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5652" w:rsidRDefault="00655249" w:rsidP="00655249">
      <w:pPr>
        <w:pStyle w:val="Heading1"/>
      </w:pPr>
      <w:r>
        <w:t>JDI Topicality File</w:t>
      </w:r>
    </w:p>
    <w:p w:rsidR="00655249" w:rsidRDefault="00655249" w:rsidP="00655249"/>
    <w:p w:rsidR="00655249" w:rsidRDefault="00655249" w:rsidP="00655249">
      <w:pPr>
        <w:pStyle w:val="Heading2"/>
      </w:pPr>
      <w:r>
        <w:t>Resolution</w:t>
      </w:r>
    </w:p>
    <w:p w:rsidR="007A39EB" w:rsidRDefault="007A39EB" w:rsidP="007A39EB">
      <w:pPr>
        <w:pStyle w:val="NormalWeb"/>
        <w:shd w:val="clear" w:color="auto" w:fill="FFFFFF"/>
        <w:spacing w:before="0" w:beforeAutospacing="0" w:after="300" w:afterAutospacing="0" w:line="375" w:lineRule="atLeast"/>
        <w:rPr>
          <w:rFonts w:ascii="Arial" w:hAnsi="Arial" w:cs="Arial"/>
          <w:color w:val="5F5B61"/>
          <w:sz w:val="21"/>
          <w:szCs w:val="21"/>
        </w:rPr>
      </w:pPr>
    </w:p>
    <w:p w:rsidR="007A39EB" w:rsidRDefault="007A39EB" w:rsidP="007A39EB">
      <w:pPr>
        <w:pStyle w:val="NormalWeb"/>
        <w:shd w:val="clear" w:color="auto" w:fill="FFFFFF"/>
        <w:spacing w:before="0" w:beforeAutospacing="0" w:after="300" w:afterAutospacing="0" w:line="375" w:lineRule="atLeast"/>
        <w:rPr>
          <w:rFonts w:ascii="Arial" w:hAnsi="Arial" w:cs="Arial"/>
          <w:color w:val="5F5B61"/>
          <w:sz w:val="21"/>
          <w:szCs w:val="21"/>
        </w:rPr>
      </w:pPr>
      <w:r>
        <w:rPr>
          <w:rFonts w:ascii="Arial" w:hAnsi="Arial" w:cs="Arial"/>
          <w:color w:val="5F5B61"/>
          <w:sz w:val="21"/>
          <w:szCs w:val="21"/>
        </w:rPr>
        <w:t>Resolved: The United States federal government should enact substantial criminal justice reform in the United States in one or more of the following: forensic science, policing, sentencing.</w:t>
      </w:r>
    </w:p>
    <w:p w:rsidR="00655249" w:rsidRDefault="00655249" w:rsidP="00655249"/>
    <w:p w:rsidR="00655249" w:rsidRDefault="00EE5E96" w:rsidP="00655249">
      <w:pPr>
        <w:pStyle w:val="Heading2"/>
      </w:pPr>
      <w:r>
        <w:t>Topic Ballot</w:t>
      </w:r>
    </w:p>
    <w:p w:rsidR="00655249" w:rsidRDefault="00655249" w:rsidP="00655249"/>
    <w:p w:rsidR="007A39EB" w:rsidRDefault="007A39EB" w:rsidP="007A39EB">
      <w:r w:rsidRPr="00E86195">
        <w:rPr>
          <w:rStyle w:val="Style13ptBold"/>
        </w:rPr>
        <w:t>Speech and Debate.org 20</w:t>
      </w:r>
      <w:r>
        <w:t xml:space="preserve"> https://www.speechanddebate.org/wp-content/uploads/2020-2021-Policy-Debate-Topic-Synopsis.pdf</w:t>
      </w:r>
    </w:p>
    <w:p w:rsidR="007A39EB" w:rsidRDefault="007A39EB" w:rsidP="007A39EB">
      <w:r>
        <w:t>PROBLEM AREA II: CRIMINAL JUSTICE REFORM</w:t>
      </w:r>
    </w:p>
    <w:p w:rsidR="007A39EB" w:rsidRPr="00E61F12" w:rsidRDefault="007A39EB" w:rsidP="007A39EB">
      <w:r>
        <w:t>Resolved: The United States federal government should enact substantial criminal justice reform in the</w:t>
      </w:r>
      <w:r w:rsidR="00A82BFF">
        <w:t xml:space="preserve"> </w:t>
      </w:r>
      <w:r>
        <w:t>United States in one or more of the following: forensic science, policing, sentencing.</w:t>
      </w:r>
      <w:r w:rsidR="00A82BFF">
        <w:t xml:space="preserve"> </w:t>
      </w:r>
      <w:r>
        <w:t>The First Step Act was a bipartisan effort which made minor changes to the criminal justice system that didn’t</w:t>
      </w:r>
      <w:r w:rsidR="00A82BFF">
        <w:t xml:space="preserve"> </w:t>
      </w:r>
      <w:r>
        <w:t>go far enough. What it did was spark a conversation which in turn produced a wealth of literature that would</w:t>
      </w:r>
      <w:r w:rsidR="00A82BFF">
        <w:t xml:space="preserve"> </w:t>
      </w:r>
      <w:r>
        <w:t>be ripe for debate. As the nation with the most incarcerated people per capita we have an obligation to find</w:t>
      </w:r>
      <w:r w:rsidR="00A82BFF">
        <w:t xml:space="preserve"> </w:t>
      </w:r>
      <w:r>
        <w:t>ways to reform our current system; this resolution offers students the opportunity to explore a plethora of</w:t>
      </w:r>
      <w:r w:rsidR="00A82BFF">
        <w:t xml:space="preserve"> </w:t>
      </w:r>
      <w:r>
        <w:t xml:space="preserve">options. </w:t>
      </w:r>
      <w:r w:rsidRPr="009E55D6">
        <w:rPr>
          <w:rStyle w:val="StyleUnderline"/>
          <w:highlight w:val="yellow"/>
        </w:rPr>
        <w:t>Affirmatives can explore different ways to improve policing. These could include, but is not limited</w:t>
      </w:r>
      <w:r w:rsidR="00A82BFF">
        <w:rPr>
          <w:rStyle w:val="StyleUnderline"/>
          <w:highlight w:val="yellow"/>
        </w:rPr>
        <w:t xml:space="preserve"> </w:t>
      </w:r>
      <w:r w:rsidRPr="009E55D6">
        <w:rPr>
          <w:rStyle w:val="StyleUnderline"/>
          <w:highlight w:val="yellow"/>
        </w:rPr>
        <w:t>to, body cameras, increased community policing, instituting community review boards to investigate police</w:t>
      </w:r>
      <w:r w:rsidR="00A82BFF">
        <w:rPr>
          <w:rStyle w:val="StyleUnderline"/>
          <w:highlight w:val="yellow"/>
        </w:rPr>
        <w:t xml:space="preserve"> </w:t>
      </w:r>
      <w:r w:rsidRPr="009E55D6">
        <w:rPr>
          <w:rStyle w:val="StyleUnderline"/>
          <w:highlight w:val="yellow"/>
        </w:rPr>
        <w:t>misconduct or can overturn Supreme Court decisions that have increased protections for police officers. When</w:t>
      </w:r>
      <w:r w:rsidR="00A82BFF">
        <w:rPr>
          <w:rStyle w:val="StyleUnderline"/>
          <w:highlight w:val="yellow"/>
        </w:rPr>
        <w:t xml:space="preserve"> </w:t>
      </w:r>
      <w:r w:rsidRPr="009E55D6">
        <w:rPr>
          <w:rStyle w:val="StyleUnderline"/>
          <w:highlight w:val="yellow"/>
        </w:rPr>
        <w:t>seeking to address forensic science affirmatives can explore the accreditation standards for crime labs, change</w:t>
      </w:r>
      <w:r w:rsidR="00A82BFF">
        <w:rPr>
          <w:rStyle w:val="StyleUnderline"/>
          <w:highlight w:val="yellow"/>
        </w:rPr>
        <w:t xml:space="preserve"> </w:t>
      </w:r>
      <w:r w:rsidRPr="009E55D6">
        <w:rPr>
          <w:rStyle w:val="StyleUnderline"/>
          <w:highlight w:val="yellow"/>
        </w:rPr>
        <w:t>how evidence is handled, increase testing to establish validity in crime lab results, or institute statutory</w:t>
      </w:r>
      <w:r w:rsidR="00A82BFF">
        <w:rPr>
          <w:rStyle w:val="StyleUnderline"/>
          <w:highlight w:val="yellow"/>
        </w:rPr>
        <w:t xml:space="preserve"> </w:t>
      </w:r>
      <w:r w:rsidRPr="009E55D6">
        <w:rPr>
          <w:rStyle w:val="StyleUnderline"/>
          <w:highlight w:val="yellow"/>
        </w:rPr>
        <w:t>mechanisms that allows individuals to prove their innocence in court based on evolving science or expert</w:t>
      </w:r>
      <w:r w:rsidR="00A82BFF">
        <w:rPr>
          <w:rStyle w:val="StyleUnderline"/>
          <w:highlight w:val="yellow"/>
        </w:rPr>
        <w:t xml:space="preserve"> </w:t>
      </w:r>
      <w:r w:rsidRPr="009E55D6">
        <w:rPr>
          <w:rStyle w:val="StyleUnderline"/>
          <w:highlight w:val="yellow"/>
        </w:rPr>
        <w:t>reputation. With respect to the third area of sentencing, affirmatives can change/end mandatory minimum</w:t>
      </w:r>
      <w:r w:rsidR="00A82BFF">
        <w:rPr>
          <w:rStyle w:val="StyleUnderline"/>
          <w:highlight w:val="yellow"/>
        </w:rPr>
        <w:t xml:space="preserve"> </w:t>
      </w:r>
      <w:r w:rsidRPr="009E55D6">
        <w:rPr>
          <w:rStyle w:val="StyleUnderline"/>
          <w:highlight w:val="yellow"/>
        </w:rPr>
        <w:t>sentencing, can change the way drug crimes are sentenced, or could abolish/change the requirements for the</w:t>
      </w:r>
      <w:r w:rsidR="00A82BFF">
        <w:rPr>
          <w:rStyle w:val="StyleUnderline"/>
          <w:highlight w:val="yellow"/>
        </w:rPr>
        <w:t xml:space="preserve"> </w:t>
      </w:r>
      <w:r w:rsidRPr="009E55D6">
        <w:rPr>
          <w:rStyle w:val="StyleUnderline"/>
          <w:highlight w:val="yellow"/>
        </w:rPr>
        <w:t>death penalty</w:t>
      </w:r>
      <w:r>
        <w:t>. Negatives can argue that reforming forensic science would have catastrophic impacts for</w:t>
      </w:r>
      <w:r w:rsidR="00A82BFF">
        <w:t xml:space="preserve"> </w:t>
      </w:r>
      <w:r>
        <w:t>evidence collection or would lead to an increase in mistakes made in crime labs. When negating policing,</w:t>
      </w:r>
      <w:r w:rsidR="00A82BFF">
        <w:t xml:space="preserve"> </w:t>
      </w:r>
      <w:r>
        <w:t>teams can argue that increased reform on policing would lead to officers leaving the profession, could mobilize</w:t>
      </w:r>
      <w:r w:rsidR="00A82BFF">
        <w:t xml:space="preserve"> </w:t>
      </w:r>
      <w:r>
        <w:t>the creation of underground militias, or would cause an increase of violence towards police officers. A generic</w:t>
      </w:r>
      <w:r w:rsidR="00A82BFF">
        <w:t xml:space="preserve"> </w:t>
      </w:r>
      <w:r>
        <w:t>circumvention argument available to negatives could be that those in power, specifically, Attorney General</w:t>
      </w:r>
      <w:r w:rsidR="00A82BFF">
        <w:t xml:space="preserve"> </w:t>
      </w:r>
      <w:r>
        <w:t>Barr, will choose to not enforce whatever the affirmative does. Negative teams have access to agent CPs that</w:t>
      </w:r>
      <w:r w:rsidR="00A82BFF">
        <w:t xml:space="preserve"> </w:t>
      </w:r>
      <w:r>
        <w:t xml:space="preserve">test the mechanism of the </w:t>
      </w:r>
      <w:proofErr w:type="spellStart"/>
      <w:r>
        <w:t>aff</w:t>
      </w:r>
      <w:proofErr w:type="spellEnd"/>
      <w:r>
        <w:t>; there is a debate to be had on whether Congress or the courts are more</w:t>
      </w:r>
      <w:r w:rsidR="00A82BFF">
        <w:t xml:space="preserve"> </w:t>
      </w:r>
      <w:r>
        <w:t>effective at initiating reform in the Criminal Justice System. Disadvantage ground would include Federalism</w:t>
      </w:r>
      <w:r w:rsidR="00A82BFF">
        <w:t xml:space="preserve"> </w:t>
      </w:r>
      <w:r>
        <w:t>DAs that challenge the roles both the federal and state governments play in the criminal justice system,</w:t>
      </w:r>
      <w:r w:rsidR="00A82BFF">
        <w:t xml:space="preserve"> </w:t>
      </w:r>
      <w:r>
        <w:t>Backlash DAs in the form of police officers rebelling against the affirmative or funding DAs since a lot of the</w:t>
      </w:r>
      <w:r w:rsidR="00A82BFF">
        <w:t xml:space="preserve"> </w:t>
      </w:r>
      <w:r>
        <w:t>funding will have to be absorbed by state governments.</w:t>
      </w:r>
    </w:p>
    <w:p w:rsidR="007A39EB" w:rsidRDefault="007A39EB" w:rsidP="00655249"/>
    <w:p w:rsidR="007A39EB" w:rsidRDefault="007A39EB" w:rsidP="00655249"/>
    <w:p w:rsidR="00655249" w:rsidRDefault="00655249" w:rsidP="00655249"/>
    <w:p w:rsidR="00655249" w:rsidRDefault="00655249" w:rsidP="00A82BFF">
      <w:pPr>
        <w:pStyle w:val="Heading1"/>
      </w:pPr>
      <w:r>
        <w:t>Definitions</w:t>
      </w:r>
    </w:p>
    <w:p w:rsidR="00A82BFF" w:rsidRDefault="00A82BFF" w:rsidP="00A82BFF">
      <w:pPr>
        <w:pStyle w:val="Heading2"/>
      </w:pPr>
      <w:r>
        <w:t>Enact</w:t>
      </w:r>
    </w:p>
    <w:p w:rsidR="00A82BFF" w:rsidRDefault="00A82BFF" w:rsidP="00A82BFF"/>
    <w:p w:rsidR="002836A1" w:rsidRDefault="002836A1" w:rsidP="002836A1">
      <w:pPr>
        <w:pStyle w:val="Heading4"/>
      </w:pPr>
      <w:r>
        <w:t>Enact is a term of art in policy debates explicitly meaning passed by Congress and signed by the President</w:t>
      </w:r>
    </w:p>
    <w:p w:rsidR="002836A1" w:rsidRDefault="002836A1" w:rsidP="002836A1">
      <w:pPr>
        <w:pStyle w:val="Heading4"/>
      </w:pPr>
      <w:r>
        <w:t>Enact means passed by Congress with a Presidential signature</w:t>
      </w:r>
    </w:p>
    <w:p w:rsidR="002836A1" w:rsidRPr="002836A1" w:rsidRDefault="002836A1" w:rsidP="002836A1">
      <w:r w:rsidRPr="00DC2782">
        <w:rPr>
          <w:rStyle w:val="Style13ptBold"/>
        </w:rPr>
        <w:t>Danielson, 83</w:t>
      </w:r>
      <w:r w:rsidRPr="00DC2782">
        <w:t xml:space="preserve"> – </w:t>
      </w:r>
      <w:r>
        <w:t xml:space="preserve">George Danielson </w:t>
      </w:r>
      <w:r w:rsidRPr="00DC2782">
        <w:t>Justice, California Court of Appeals (Regulatory Reform Act: Hearing Before the Subcommittee on Administrative Law and Governmental Regulation</w:t>
      </w:r>
      <w:r w:rsidR="00266837">
        <w:t>s, June, p. 542, google books</w:t>
      </w:r>
    </w:p>
    <w:p w:rsidR="002836A1" w:rsidRPr="002836A1" w:rsidRDefault="002836A1" w:rsidP="002836A1">
      <w:pPr>
        <w:rPr>
          <w:sz w:val="16"/>
        </w:rPr>
      </w:pPr>
      <w:r w:rsidRPr="002836A1">
        <w:rPr>
          <w:sz w:val="16"/>
        </w:rPr>
        <w:t>But as I recall the word "</w:t>
      </w:r>
      <w:r w:rsidRPr="00DC2782">
        <w:rPr>
          <w:rStyle w:val="StyleUnderline"/>
        </w:rPr>
        <w:t>enact</w:t>
      </w:r>
      <w:r w:rsidRPr="002836A1">
        <w:rPr>
          <w:sz w:val="16"/>
        </w:rPr>
        <w:t xml:space="preserve">," this </w:t>
      </w:r>
      <w:r w:rsidRPr="00DC2782">
        <w:rPr>
          <w:rStyle w:val="StyleUnderline"/>
        </w:rPr>
        <w:t>is a word of art, and</w:t>
      </w:r>
      <w:r w:rsidRPr="002836A1">
        <w:rPr>
          <w:sz w:val="16"/>
        </w:rPr>
        <w:t xml:space="preserve"> if I recall it correctly, "enact" </w:t>
      </w:r>
      <w:r w:rsidRPr="00DC2782">
        <w:rPr>
          <w:rStyle w:val="StyleUnderline"/>
        </w:rPr>
        <w:t>means that both Houses pass and the</w:t>
      </w:r>
      <w:r>
        <w:rPr>
          <w:rStyle w:val="StyleUnderline"/>
        </w:rPr>
        <w:t xml:space="preserve"> </w:t>
      </w:r>
      <w:r w:rsidRPr="00DC2782">
        <w:rPr>
          <w:rStyle w:val="StyleUnderline"/>
        </w:rPr>
        <w:t>President signs</w:t>
      </w:r>
      <w:r w:rsidRPr="002836A1">
        <w:rPr>
          <w:sz w:val="16"/>
        </w:rPr>
        <w:t>. If that's the case, I would have no quarrel with your legislative veto provision. But I suspect that that's not what's intended by that part of the bill.</w:t>
      </w:r>
    </w:p>
    <w:p w:rsidR="002836A1" w:rsidRPr="002836A1" w:rsidRDefault="002836A1" w:rsidP="002836A1"/>
    <w:p w:rsidR="005446A0" w:rsidRDefault="005446A0" w:rsidP="005446A0">
      <w:pPr>
        <w:pStyle w:val="Heading4"/>
      </w:pPr>
      <w:r>
        <w:t>Enact means Congress, not the courts of executive</w:t>
      </w:r>
    </w:p>
    <w:p w:rsidR="005446A0" w:rsidRPr="005B458C" w:rsidRDefault="005446A0" w:rsidP="005446A0">
      <w:r w:rsidRPr="005B458C">
        <w:rPr>
          <w:rStyle w:val="Style13ptBold"/>
        </w:rPr>
        <w:t>Ayers 18</w:t>
      </w:r>
      <w:r>
        <w:t xml:space="preserve"> - Assistant Professor of Law and Director of the Government Law Center, Albany Law School (Ava, “Federalism and the Right to Decide Who Decides,” </w:t>
      </w:r>
      <w:r w:rsidRPr="005B458C">
        <w:rPr>
          <w:i/>
        </w:rPr>
        <w:t xml:space="preserve">63 </w:t>
      </w:r>
      <w:proofErr w:type="spellStart"/>
      <w:r w:rsidRPr="005B458C">
        <w:rPr>
          <w:i/>
        </w:rPr>
        <w:t>Vill</w:t>
      </w:r>
      <w:proofErr w:type="spellEnd"/>
      <w:r w:rsidRPr="005B458C">
        <w:rPr>
          <w:i/>
        </w:rPr>
        <w:t>. L. Rev. 567</w:t>
      </w:r>
      <w:r>
        <w:t>, Lexis)</w:t>
      </w:r>
    </w:p>
    <w:p w:rsidR="005446A0" w:rsidRPr="005446A0" w:rsidRDefault="005446A0" w:rsidP="005446A0">
      <w:pPr>
        <w:rPr>
          <w:sz w:val="16"/>
        </w:rPr>
      </w:pPr>
      <w:r w:rsidRPr="00B57BC5">
        <w:rPr>
          <w:rStyle w:val="StyleUnderline"/>
        </w:rPr>
        <w:t>Is it safe to assume that the phrase “enact a</w:t>
      </w:r>
      <w:r w:rsidRPr="005446A0">
        <w:rPr>
          <w:sz w:val="16"/>
        </w:rPr>
        <w:t xml:space="preserve"> State </w:t>
      </w:r>
      <w:r w:rsidRPr="00B57BC5">
        <w:rPr>
          <w:rStyle w:val="StyleUnderline"/>
        </w:rPr>
        <w:t>law</w:t>
      </w:r>
      <w:r w:rsidRPr="005446A0">
        <w:rPr>
          <w:sz w:val="16"/>
        </w:rPr>
        <w:t xml:space="preserve">” </w:t>
      </w:r>
      <w:r w:rsidRPr="00B57BC5">
        <w:rPr>
          <w:rStyle w:val="StyleUnderline"/>
        </w:rPr>
        <w:t>and its variants refer to legislative action, as opposed to executive, judicial, or administrative</w:t>
      </w:r>
      <w:r w:rsidRPr="005446A0">
        <w:rPr>
          <w:sz w:val="16"/>
        </w:rPr>
        <w:t xml:space="preserve"> actions? </w:t>
      </w:r>
      <w:r w:rsidRPr="00CC3E02">
        <w:rPr>
          <w:rStyle w:val="StyleUnderline"/>
        </w:rPr>
        <w:t>Dictionaries confirm that the</w:t>
      </w:r>
      <w:r w:rsidRPr="00B57BC5">
        <w:rPr>
          <w:rStyle w:val="StyleUnderline"/>
        </w:rPr>
        <w:t xml:space="preserve"> verb “</w:t>
      </w:r>
      <w:r w:rsidRPr="00B57BC5">
        <w:rPr>
          <w:rStyle w:val="Emphasis"/>
        </w:rPr>
        <w:t>enact</w:t>
      </w:r>
      <w:r w:rsidRPr="00B57BC5">
        <w:rPr>
          <w:rStyle w:val="StyleUnderline"/>
        </w:rPr>
        <w:t>”</w:t>
      </w:r>
      <w:r w:rsidRPr="005446A0">
        <w:rPr>
          <w:sz w:val="16"/>
        </w:rPr>
        <w:t xml:space="preserve"> generally </w:t>
      </w:r>
      <w:r w:rsidRPr="00B57BC5">
        <w:rPr>
          <w:rStyle w:val="StyleUnderline"/>
        </w:rPr>
        <w:t>refers to legislative action, rather than executive, judicial or administrative actions</w:t>
      </w:r>
      <w:r w:rsidRPr="005446A0">
        <w:rPr>
          <w:sz w:val="16"/>
        </w:rPr>
        <w:t xml:space="preserve">.62 ***start footnote 62*** 62. </w:t>
      </w:r>
      <w:r w:rsidRPr="00B57BC5">
        <w:rPr>
          <w:rStyle w:val="StyleUnderline"/>
        </w:rPr>
        <w:t>For example, the Oxford English Dictionary defines “enact” as</w:t>
      </w:r>
      <w:r w:rsidRPr="005446A0">
        <w:rPr>
          <w:sz w:val="16"/>
        </w:rPr>
        <w:t xml:space="preserve"> “[o]f a </w:t>
      </w:r>
      <w:r w:rsidRPr="00B57BC5">
        <w:rPr>
          <w:rStyle w:val="Emphasis"/>
        </w:rPr>
        <w:t>legislative</w:t>
      </w:r>
      <w:r w:rsidRPr="005446A0">
        <w:rPr>
          <w:sz w:val="16"/>
        </w:rPr>
        <w:t xml:space="preserve"> authority: To make into an act.” Enact, Oxford English Dictionary, http:// www.oed.com/view/Entry/61514?rskey=8kxjq3&amp;result=3&amp;isAdvanced=false#eid [Permalink unavailable] (last visited Apr. 10, 2018). ***end footnote 62*** And </w:t>
      </w:r>
      <w:r w:rsidRPr="00B57BC5">
        <w:rPr>
          <w:rStyle w:val="StyleUnderline"/>
        </w:rPr>
        <w:t>when Congress wants to allow non-statutory</w:t>
      </w:r>
      <w:r w:rsidRPr="005446A0">
        <w:rPr>
          <w:sz w:val="16"/>
        </w:rPr>
        <w:t xml:space="preserve"> state </w:t>
      </w:r>
      <w:r w:rsidRPr="00CC3E02">
        <w:rPr>
          <w:rStyle w:val="StyleUnderline"/>
        </w:rPr>
        <w:t>action</w:t>
      </w:r>
      <w:r w:rsidRPr="005446A0">
        <w:rPr>
          <w:sz w:val="16"/>
        </w:rPr>
        <w:t xml:space="preserve">, </w:t>
      </w:r>
      <w:r w:rsidRPr="00B57BC5">
        <w:rPr>
          <w:rStyle w:val="StyleUnderline"/>
        </w:rPr>
        <w:t>it does so explicitly</w:t>
      </w:r>
      <w:r w:rsidRPr="005446A0">
        <w:rPr>
          <w:sz w:val="16"/>
        </w:rPr>
        <w:t xml:space="preserve">, </w:t>
      </w:r>
      <w:r w:rsidRPr="00EC3126">
        <w:rPr>
          <w:rStyle w:val="StyleUnderline"/>
        </w:rPr>
        <w:t>by using language like</w:t>
      </w:r>
      <w:r w:rsidRPr="005446A0">
        <w:rPr>
          <w:sz w:val="16"/>
        </w:rPr>
        <w:t xml:space="preserve"> this: Nothing herein shall be construed as interfering with such rights as the States now have either to the waters within their borders or to </w:t>
      </w:r>
      <w:r w:rsidRPr="00EC3126">
        <w:rPr>
          <w:rStyle w:val="StyleUnderline"/>
        </w:rPr>
        <w:t>adopt</w:t>
      </w:r>
      <w:r w:rsidRPr="005446A0">
        <w:rPr>
          <w:sz w:val="16"/>
        </w:rPr>
        <w:t xml:space="preserve"> such </w:t>
      </w:r>
      <w:r w:rsidRPr="00EC3126">
        <w:rPr>
          <w:rStyle w:val="StyleUnderline"/>
        </w:rPr>
        <w:t>policies and enact</w:t>
      </w:r>
      <w:r w:rsidRPr="005446A0">
        <w:rPr>
          <w:sz w:val="16"/>
        </w:rPr>
        <w:t xml:space="preserve"> such </w:t>
      </w:r>
      <w:r w:rsidRPr="00EC3126">
        <w:rPr>
          <w:rStyle w:val="StyleUnderline"/>
        </w:rPr>
        <w:t>laws</w:t>
      </w:r>
      <w:r w:rsidRPr="005446A0">
        <w:rPr>
          <w:sz w:val="16"/>
        </w:rPr>
        <w:t xml:space="preserve"> as they may deem necessary with respect to the appropriation, control, and use of waters within their borders, except as modified by the Colorado River compact or other interstate agreement.63 </w:t>
      </w:r>
      <w:r w:rsidRPr="00B57BC5">
        <w:rPr>
          <w:rStyle w:val="StyleUnderline"/>
        </w:rPr>
        <w:t>When Congress wishes to do so, it is quite capable of using language that includes non-legislative actions</w:t>
      </w:r>
      <w:r w:rsidRPr="005446A0">
        <w:rPr>
          <w:sz w:val="16"/>
        </w:rPr>
        <w:t xml:space="preserve">. </w:t>
      </w:r>
      <w:r w:rsidRPr="00B57BC5">
        <w:rPr>
          <w:rStyle w:val="StyleUnderline"/>
        </w:rPr>
        <w:t>For example</w:t>
      </w:r>
      <w:r w:rsidRPr="005446A0">
        <w:rPr>
          <w:sz w:val="16"/>
        </w:rPr>
        <w:t xml:space="preserve">, when the </w:t>
      </w:r>
      <w:r w:rsidRPr="00EC3126">
        <w:rPr>
          <w:rStyle w:val="StyleUnderline"/>
        </w:rPr>
        <w:t>federal Real Estate Settlement Procedures Act</w:t>
      </w:r>
      <w:r w:rsidRPr="005446A0">
        <w:rPr>
          <w:sz w:val="16"/>
        </w:rPr>
        <w:t xml:space="preserve"> preempts inconsistent “State law,” it takes care to define “law” broadly: “‘Law’ as used in this section </w:t>
      </w:r>
      <w:r w:rsidRPr="00EC3126">
        <w:rPr>
          <w:rStyle w:val="StyleUnderline"/>
        </w:rPr>
        <w:t xml:space="preserve">includes regulations </w:t>
      </w:r>
      <w:r w:rsidRPr="00EC3126">
        <w:rPr>
          <w:rStyle w:val="Emphasis"/>
        </w:rPr>
        <w:t>and</w:t>
      </w:r>
      <w:r w:rsidRPr="005446A0">
        <w:rPr>
          <w:sz w:val="16"/>
        </w:rPr>
        <w:t xml:space="preserve"> any </w:t>
      </w:r>
      <w:r w:rsidRPr="00EC3126">
        <w:rPr>
          <w:rStyle w:val="StyleUnderline"/>
        </w:rPr>
        <w:t>enactment</w:t>
      </w:r>
      <w:r w:rsidRPr="005446A0">
        <w:rPr>
          <w:sz w:val="16"/>
        </w:rPr>
        <w:t xml:space="preserve"> which has the force and effect of law and is issued by a State or any political subdivision of a State.”64 </w:t>
      </w:r>
      <w:r w:rsidRPr="00EC3126">
        <w:rPr>
          <w:rStyle w:val="StyleUnderline"/>
        </w:rPr>
        <w:t>Another statute likewise provides that “[n]o State or political subdivision</w:t>
      </w:r>
      <w:r w:rsidRPr="005446A0">
        <w:rPr>
          <w:sz w:val="16"/>
        </w:rPr>
        <w:t xml:space="preserve"> thereof </w:t>
      </w:r>
      <w:r w:rsidRPr="00EC3126">
        <w:rPr>
          <w:rStyle w:val="StyleUnderline"/>
        </w:rPr>
        <w:t>may enact, prescribe, issue, continue in effect, or enforce any law</w:t>
      </w:r>
      <w:r w:rsidRPr="005446A0">
        <w:rPr>
          <w:sz w:val="16"/>
        </w:rPr>
        <w:t xml:space="preserve"> (including any regulation, standard, or other provision having the force and effect of law)” that transgresses on the relevant areas.65 Similarly, the Airline Deregulation Act preempts “a law, regulation, or other provision having the force and effect of law” that applies to the relevant subject matter.66 Another example of congressional tolerance for non-legislative state action is the federal E-Sign Act, under which e-signatures cannot be denied legal effect in any transaction affecting interstate commerce.67 That Act preempts any “State statute, regulation, or other rule of law”—note the care to include non-legislative action.68 It then exempts from preemption not only state “enactments,” but any state action that “constitutes an enactment or adoption of </w:t>
      </w:r>
      <w:r w:rsidRPr="00EC3126">
        <w:rPr>
          <w:rStyle w:val="StyleUnderline"/>
        </w:rPr>
        <w:t>the Uniform Electronic Transactions Act</w:t>
      </w:r>
      <w:r w:rsidRPr="005446A0">
        <w:rPr>
          <w:sz w:val="16"/>
        </w:rPr>
        <w:t xml:space="preserve">.”69 Even though this statute is anticipating the possibility of states adopting model statutes, it </w:t>
      </w:r>
      <w:r w:rsidRPr="00EC3126">
        <w:rPr>
          <w:rStyle w:val="StyleUnderline"/>
        </w:rPr>
        <w:t>uses the phrase “enactment or adoption,” taking care to allow for state action other than legislation</w:t>
      </w:r>
      <w:r w:rsidRPr="005446A0">
        <w:rPr>
          <w:sz w:val="16"/>
        </w:rPr>
        <w:t xml:space="preserve">. In other words, the law allows states to adopt a model statute through non-legislative means. At times, then, Congress is remarkably protective of states’ non-legislative lawmaking. Against this backdrop of congressional care in using the word “enactment,” it seems reasonable to assume that </w:t>
      </w:r>
      <w:r w:rsidRPr="00B57BC5">
        <w:rPr>
          <w:rStyle w:val="StyleUnderline"/>
        </w:rPr>
        <w:t>statutes</w:t>
      </w:r>
      <w:r w:rsidRPr="005446A0">
        <w:rPr>
          <w:sz w:val="16"/>
        </w:rPr>
        <w:t xml:space="preserve"> </w:t>
      </w:r>
      <w:r w:rsidRPr="00B57BC5">
        <w:rPr>
          <w:rStyle w:val="StyleUnderline"/>
        </w:rPr>
        <w:t>referring to</w:t>
      </w:r>
      <w:r w:rsidRPr="005446A0">
        <w:rPr>
          <w:sz w:val="16"/>
        </w:rPr>
        <w:t xml:space="preserve"> the “</w:t>
      </w:r>
      <w:r w:rsidRPr="00B57BC5">
        <w:rPr>
          <w:rStyle w:val="Emphasis"/>
        </w:rPr>
        <w:t>enactment</w:t>
      </w:r>
      <w:r w:rsidRPr="005446A0">
        <w:rPr>
          <w:sz w:val="16"/>
        </w:rPr>
        <w:t xml:space="preserve">” of a state “law” </w:t>
      </w:r>
      <w:r w:rsidRPr="00B57BC5">
        <w:rPr>
          <w:rStyle w:val="Emphasis"/>
        </w:rPr>
        <w:t>do indeed refer to action by the legislature</w:t>
      </w:r>
      <w:r w:rsidRPr="005446A0">
        <w:rPr>
          <w:sz w:val="16"/>
        </w:rPr>
        <w:t>. The question is an important one, because (as noted above) there are many such statutes.</w:t>
      </w:r>
    </w:p>
    <w:p w:rsidR="005446A0" w:rsidRDefault="005446A0" w:rsidP="005446A0">
      <w:pPr>
        <w:pStyle w:val="Heading4"/>
      </w:pPr>
      <w:r>
        <w:t>Enact means law by statute</w:t>
      </w:r>
    </w:p>
    <w:p w:rsidR="005446A0" w:rsidRPr="00CC3E02" w:rsidRDefault="005446A0" w:rsidP="005446A0">
      <w:r w:rsidRPr="00CC3E02">
        <w:rPr>
          <w:rStyle w:val="Style13ptBold"/>
        </w:rPr>
        <w:t>Keene</w:t>
      </w:r>
      <w:r>
        <w:t xml:space="preserve">, </w:t>
      </w:r>
      <w:proofErr w:type="spellStart"/>
      <w:r>
        <w:t>McGuckian</w:t>
      </w:r>
      <w:proofErr w:type="spellEnd"/>
      <w:r>
        <w:t xml:space="preserve"> and Jaffe </w:t>
      </w:r>
      <w:r w:rsidRPr="00CC3E02">
        <w:rPr>
          <w:rStyle w:val="Style13ptBold"/>
        </w:rPr>
        <w:t>2k</w:t>
      </w:r>
      <w:r>
        <w:t xml:space="preserve"> (Robert, Rachel and Erik, all JD, writing a brief of appellees for Anchor Inn Seafood in the case, MONTGOMERY COUNTY MARYLAND, et al., Appellants, v. ANCHOR INN SEAFOOD RESTAURANT, et al., Appellees., </w:t>
      </w:r>
      <w:hyperlink r:id="rId6" w:history="1">
        <w:r w:rsidRPr="00B87946">
          <w:rPr>
            <w:rStyle w:val="Hyperlink"/>
          </w:rPr>
          <w:t>http://www.esjpc.com/_pdf/MontgomeryCounty_v_AnchorInn.pdf</w:t>
        </w:r>
      </w:hyperlink>
      <w:r>
        <w:t>)</w:t>
      </w:r>
    </w:p>
    <w:p w:rsidR="005446A0" w:rsidRPr="005446A0" w:rsidRDefault="005446A0" w:rsidP="005446A0">
      <w:pPr>
        <w:rPr>
          <w:sz w:val="16"/>
        </w:rPr>
      </w:pPr>
      <w:r w:rsidRPr="005446A0">
        <w:rPr>
          <w:sz w:val="16"/>
        </w:rPr>
        <w:t xml:space="preserve">Fifth, </w:t>
      </w:r>
      <w:r w:rsidRPr="00323569">
        <w:rPr>
          <w:rStyle w:val="StyleUnderline"/>
        </w:rPr>
        <w:t>the use of the word “enact”</w:t>
      </w:r>
      <w:r w:rsidRPr="005446A0">
        <w:rPr>
          <w:sz w:val="16"/>
        </w:rPr>
        <w:t xml:space="preserve"> in the savings clause </w:t>
      </w:r>
      <w:r w:rsidRPr="00323569">
        <w:rPr>
          <w:rStyle w:val="StyleUnderline"/>
        </w:rPr>
        <w:t>corroborates that only legislative actions are saved from</w:t>
      </w:r>
      <w:r w:rsidRPr="005446A0">
        <w:rPr>
          <w:sz w:val="16"/>
        </w:rPr>
        <w:t xml:space="preserve"> </w:t>
      </w:r>
      <w:r w:rsidRPr="00323569">
        <w:rPr>
          <w:rStyle w:val="StyleUnderline"/>
        </w:rPr>
        <w:t>preemption</w:t>
      </w:r>
      <w:r w:rsidRPr="005446A0">
        <w:rPr>
          <w:sz w:val="16"/>
        </w:rPr>
        <w:t xml:space="preserve">. It is common usage that </w:t>
      </w:r>
      <w:r w:rsidRPr="00323569">
        <w:rPr>
          <w:rStyle w:val="StyleUnderline"/>
        </w:rPr>
        <w:t>laws are “enacted”</w:t>
      </w:r>
      <w:r>
        <w:rPr>
          <w:rStyle w:val="StyleUnderline"/>
        </w:rPr>
        <w:t xml:space="preserve"> </w:t>
      </w:r>
      <w:r w:rsidRPr="00323569">
        <w:rPr>
          <w:rStyle w:val="StyleUnderline"/>
        </w:rPr>
        <w:t>whereas regulations are “adopted” or “promulgated</w:t>
      </w:r>
      <w:r w:rsidRPr="005446A0">
        <w:rPr>
          <w:sz w:val="16"/>
        </w:rPr>
        <w:t xml:space="preserve">.” </w:t>
      </w:r>
      <w:r w:rsidRPr="00323569">
        <w:rPr>
          <w:rStyle w:val="StyleUnderline"/>
        </w:rPr>
        <w:t>See Black’s Law</w:t>
      </w:r>
      <w:r w:rsidRPr="005446A0">
        <w:rPr>
          <w:sz w:val="16"/>
        </w:rPr>
        <w:t xml:space="preserve"> Dictionary, at 546 (</w:t>
      </w:r>
      <w:r w:rsidRPr="00323569">
        <w:rPr>
          <w:rStyle w:val="StyleUnderline"/>
        </w:rPr>
        <w:t>defining “enact”</w:t>
      </w:r>
      <w:r w:rsidRPr="005446A0">
        <w:rPr>
          <w:sz w:val="16"/>
        </w:rPr>
        <w:t xml:space="preserve"> as “1. </w:t>
      </w:r>
      <w:r w:rsidRPr="00323569">
        <w:rPr>
          <w:rStyle w:val="StyleUnderline"/>
        </w:rPr>
        <w:t>To make into law</w:t>
      </w:r>
      <w:r w:rsidRPr="005446A0">
        <w:rPr>
          <w:sz w:val="16"/>
        </w:rPr>
        <w:t xml:space="preserve"> by authoritative act; to pass &lt;the statute was enacted shortly before the announced deadline&gt;. 2. (</w:t>
      </w:r>
      <w:r w:rsidRPr="00323569">
        <w:rPr>
          <w:rStyle w:val="Emphasis"/>
        </w:rPr>
        <w:t>Of</w:t>
      </w:r>
      <w:r w:rsidRPr="005446A0">
        <w:rPr>
          <w:sz w:val="16"/>
        </w:rPr>
        <w:t xml:space="preserve"> a </w:t>
      </w:r>
      <w:r w:rsidRPr="00323569">
        <w:rPr>
          <w:rStyle w:val="Emphasis"/>
        </w:rPr>
        <w:t>statute</w:t>
      </w:r>
      <w:r w:rsidRPr="005446A0">
        <w:rPr>
          <w:sz w:val="16"/>
        </w:rPr>
        <w:t xml:space="preserve">) to provide &lt;the statute of frauds enacts that no action may be brought on certain types of contracts unless a plaintiff has a signed writing to prove the agreement&gt;.”).9 </w:t>
      </w:r>
      <w:r w:rsidRPr="00323569">
        <w:rPr>
          <w:rStyle w:val="StyleUnderline"/>
        </w:rPr>
        <w:t>The General Assembly can be</w:t>
      </w:r>
      <w:r>
        <w:rPr>
          <w:rStyle w:val="StyleUnderline"/>
        </w:rPr>
        <w:t xml:space="preserve"> </w:t>
      </w:r>
      <w:r w:rsidRPr="00323569">
        <w:rPr>
          <w:rStyle w:val="StyleUnderline"/>
        </w:rPr>
        <w:t>presumed to have understood that common usage of the word “enact” when it selected it</w:t>
      </w:r>
      <w:r>
        <w:rPr>
          <w:rStyle w:val="StyleUnderline"/>
        </w:rPr>
        <w:t xml:space="preserve"> </w:t>
      </w:r>
      <w:r w:rsidRPr="00323569">
        <w:rPr>
          <w:rStyle w:val="StyleUnderline"/>
        </w:rPr>
        <w:t>to describe conduct</w:t>
      </w:r>
      <w:r w:rsidRPr="005446A0">
        <w:rPr>
          <w:sz w:val="16"/>
        </w:rPr>
        <w:t xml:space="preserve"> by a “county” or “municipal corporation” creating a law or an ordinance. </w:t>
      </w:r>
      <w:r w:rsidRPr="00323569">
        <w:rPr>
          <w:rStyle w:val="StyleUnderline"/>
        </w:rPr>
        <w:t>By contrast, administrative entities</w:t>
      </w:r>
      <w:r w:rsidRPr="005446A0">
        <w:rPr>
          <w:sz w:val="16"/>
        </w:rPr>
        <w:t xml:space="preserve"> are said to “</w:t>
      </w:r>
      <w:r w:rsidRPr="00323569">
        <w:rPr>
          <w:rStyle w:val="StyleUnderline"/>
        </w:rPr>
        <w:t>adopt</w:t>
      </w:r>
      <w:r w:rsidRPr="005446A0">
        <w:rPr>
          <w:sz w:val="16"/>
        </w:rPr>
        <w:t xml:space="preserve">” </w:t>
      </w:r>
      <w:r w:rsidRPr="00323569">
        <w:rPr>
          <w:rStyle w:val="StyleUnderline"/>
        </w:rPr>
        <w:t>regulations</w:t>
      </w:r>
      <w:r w:rsidRPr="005446A0">
        <w:rPr>
          <w:sz w:val="16"/>
        </w:rPr>
        <w:t xml:space="preserve">, </w:t>
      </w:r>
      <w:r w:rsidRPr="00323569">
        <w:rPr>
          <w:rStyle w:val="StyleUnderline"/>
        </w:rPr>
        <w:t>and nobody is</w:t>
      </w:r>
      <w:r>
        <w:rPr>
          <w:rStyle w:val="StyleUnderline"/>
        </w:rPr>
        <w:t xml:space="preserve"> </w:t>
      </w:r>
      <w:r w:rsidRPr="00323569">
        <w:rPr>
          <w:rStyle w:val="StyleUnderline"/>
        </w:rPr>
        <w:t>heard to say that the SEC or the FCC or the EPA “</w:t>
      </w:r>
      <w:r w:rsidRPr="00323569">
        <w:rPr>
          <w:rStyle w:val="Emphasis"/>
        </w:rPr>
        <w:t>enacted</w:t>
      </w:r>
      <w:r w:rsidRPr="00323569">
        <w:rPr>
          <w:rStyle w:val="StyleUnderline"/>
        </w:rPr>
        <w:t xml:space="preserve"> a law </w:t>
      </w:r>
      <w:r w:rsidRPr="005446A0">
        <w:rPr>
          <w:sz w:val="16"/>
        </w:rPr>
        <w:t xml:space="preserve">today.” ***begin footnote 10*** The Board’s </w:t>
      </w:r>
      <w:r w:rsidRPr="00CC3E02">
        <w:rPr>
          <w:rStyle w:val="StyleUnderline"/>
        </w:rPr>
        <w:t>federal cases</w:t>
      </w:r>
      <w:r w:rsidRPr="005446A0">
        <w:rPr>
          <w:sz w:val="16"/>
        </w:rPr>
        <w:t xml:space="preserve"> discussing the phrase “an enactment of Congress,” Board Br. 22-23, </w:t>
      </w:r>
      <w:r w:rsidRPr="00CC3E02">
        <w:rPr>
          <w:rStyle w:val="StyleUnderline"/>
        </w:rPr>
        <w:t>do not use the verb “enact” in reference to regulations</w:t>
      </w:r>
      <w:r w:rsidRPr="005446A0">
        <w:rPr>
          <w:sz w:val="16"/>
        </w:rPr>
        <w:t xml:space="preserve">, but rather deal with the specialized language and context of the Assimilated Crimes Act, 18 U.S.C. § 13(a), and seem to recognize that their construction is contrary to normal usage. See, e.g., United States v. </w:t>
      </w:r>
      <w:proofErr w:type="spellStart"/>
      <w:r w:rsidRPr="005446A0">
        <w:rPr>
          <w:sz w:val="16"/>
        </w:rPr>
        <w:t>Brotzman</w:t>
      </w:r>
      <w:proofErr w:type="spellEnd"/>
      <w:r w:rsidRPr="005446A0">
        <w:rPr>
          <w:sz w:val="16"/>
        </w:rPr>
        <w:t xml:space="preserve">, 708 F. Supp. 713, 715 (D. Md. 189). The California case of Posey v. State, 225 Cal. </w:t>
      </w:r>
      <w:proofErr w:type="spellStart"/>
      <w:r w:rsidRPr="005446A0">
        <w:rPr>
          <w:sz w:val="16"/>
        </w:rPr>
        <w:t>Rptr</w:t>
      </w:r>
      <w:proofErr w:type="spellEnd"/>
      <w:r w:rsidRPr="005446A0">
        <w:rPr>
          <w:sz w:val="16"/>
        </w:rPr>
        <w:t>. 830, 838 (Cal. App. 1st Dist. 1986) likewise relies on an uncommon definition in a specialized statute, and then proceeds to contextually distinguish laws from regulations “that are promulgated.” Finally, in Montgomery County v. Revere Nat’l Corp., 341 Md. 366, 384 (1996) the zoning enactments were so named because the statutory language began by requiring ordinances and only later was language added to the statute allowing district councils to proceed by resolution. See infra at 17. ***end footnote 10***</w:t>
      </w:r>
    </w:p>
    <w:p w:rsidR="005446A0" w:rsidRDefault="005446A0" w:rsidP="0073451D"/>
    <w:p w:rsidR="0073451D" w:rsidRPr="005446A0" w:rsidRDefault="0073451D" w:rsidP="0073451D">
      <w:pPr>
        <w:pStyle w:val="Heading4"/>
      </w:pPr>
      <w:r>
        <w:t>Court action violates enact</w:t>
      </w:r>
    </w:p>
    <w:p w:rsidR="0073451D" w:rsidRPr="003752AF" w:rsidRDefault="0073451D" w:rsidP="0073451D">
      <w:r w:rsidRPr="005446A0">
        <w:rPr>
          <w:rStyle w:val="Style13ptBold"/>
        </w:rPr>
        <w:t>Desha 12</w:t>
      </w:r>
      <w:r>
        <w:t xml:space="preserve"> – Larry Desha is a JD in California (2012 WL 3526013 (Cal.) (Appellate Brief) Supreme Court of California. In Re Sergio C. GARCIA on Admission. No. </w:t>
      </w:r>
      <w:proofErr w:type="gramStart"/>
      <w:r>
        <w:t>S202512.,</w:t>
      </w:r>
      <w:proofErr w:type="gramEnd"/>
      <w:r>
        <w:t xml:space="preserve"> </w:t>
      </w:r>
      <w:proofErr w:type="spellStart"/>
      <w:r>
        <w:t>WestLaw</w:t>
      </w:r>
      <w:proofErr w:type="spellEnd"/>
      <w:r>
        <w:t>)</w:t>
      </w:r>
    </w:p>
    <w:p w:rsidR="0073451D" w:rsidRDefault="0073451D" w:rsidP="0073451D">
      <w:r>
        <w:t xml:space="preserve">*15 B. Is There Any State Legislation That Provides - As Specifically Authorized By 8 U.S.C. Section 1621, Subdivision (d) - That Undocumented Immigrants Are Eligible for Professional Licenses In Fields Such As Law, Medicine, Or Other Professions? The Committee concludes that no such legislation has been enacted. (COB, pp. 16-17.) </w:t>
      </w:r>
      <w:r w:rsidRPr="00AF65E6">
        <w:rPr>
          <w:rStyle w:val="StyleUnderline"/>
        </w:rPr>
        <w:t>The Committee</w:t>
      </w:r>
      <w:r>
        <w:t xml:space="preserve"> then </w:t>
      </w:r>
      <w:r w:rsidRPr="00AF65E6">
        <w:rPr>
          <w:rStyle w:val="StyleUnderline"/>
        </w:rPr>
        <w:t>erroneously argues that the Court could</w:t>
      </w:r>
      <w:r>
        <w:t xml:space="preserve"> “invoke... section 1621(d), and, in its quasi-legislative authority, in </w:t>
      </w:r>
      <w:r w:rsidRPr="00AF65E6">
        <w:rPr>
          <w:rStyle w:val="StyleUnderline"/>
        </w:rPr>
        <w:t>effect enact a law (i.e., a rule of court)</w:t>
      </w:r>
      <w:r>
        <w:t xml:space="preserve"> expressly providing that undocumented immigrants are eligible for law licensure.” (COB, p. 18, fn. 11.) </w:t>
      </w:r>
      <w:r w:rsidRPr="00AF65E6">
        <w:rPr>
          <w:rStyle w:val="StyleUnderline"/>
        </w:rPr>
        <w:t xml:space="preserve">This is an </w:t>
      </w:r>
      <w:r w:rsidRPr="00AF65E6">
        <w:rPr>
          <w:rStyle w:val="Emphasis"/>
        </w:rPr>
        <w:t>invitation to error</w:t>
      </w:r>
      <w:r w:rsidRPr="00AF65E6">
        <w:rPr>
          <w:rStyle w:val="StyleUnderline"/>
        </w:rPr>
        <w:t xml:space="preserve"> which completely overlooks the fact that the Court </w:t>
      </w:r>
      <w:r w:rsidRPr="00AF65E6">
        <w:rPr>
          <w:rStyle w:val="Emphasis"/>
        </w:rPr>
        <w:t>does not</w:t>
      </w:r>
      <w:r w:rsidRPr="00AF65E6">
        <w:rPr>
          <w:rStyle w:val="StyleUnderline"/>
        </w:rPr>
        <w:t xml:space="preserve"> “enact” laws,</w:t>
      </w:r>
      <w:r>
        <w:t xml:space="preserve"> which “enactment of a State Law” is explicitly required by 8 U.S.C. § 1621(d) for the permitted opting out of § 1621(c). In the case of attorney admissions and practice, the Court “adopts” pertinent California Rules of Court, which start with rule 9.1. (See rule, 9.2, California Rules of Court.)</w:t>
      </w:r>
    </w:p>
    <w:p w:rsidR="0073451D" w:rsidRDefault="006B35DA" w:rsidP="0073451D">
      <w:pPr>
        <w:pStyle w:val="Heading4"/>
      </w:pPr>
      <w:r>
        <w:t>Court rulings do not</w:t>
      </w:r>
      <w:r w:rsidR="0073451D">
        <w:t xml:space="preserve"> enact</w:t>
      </w:r>
    </w:p>
    <w:p w:rsidR="0073451D" w:rsidRPr="000D3383" w:rsidRDefault="0073451D" w:rsidP="0073451D">
      <w:r w:rsidRPr="00CB582E">
        <w:rPr>
          <w:rStyle w:val="Style13ptBold"/>
        </w:rPr>
        <w:t>Scalia, 2</w:t>
      </w:r>
      <w:r w:rsidRPr="00CB582E">
        <w:t xml:space="preserve"> – </w:t>
      </w:r>
      <w:r>
        <w:t xml:space="preserve">Antonin Scalia </w:t>
      </w:r>
      <w:r w:rsidRPr="00CB582E">
        <w:t>Supreme Court Justice</w:t>
      </w:r>
      <w:r>
        <w:t>, writing for the majority; currently he is dead</w:t>
      </w:r>
      <w:r w:rsidRPr="00CB582E">
        <w:t xml:space="preserve"> (Branch v. Smith, 538</w:t>
      </w:r>
      <w:r w:rsidR="00266837">
        <w:t xml:space="preserve"> U.S. 254, 12/10/2, Lexis </w:t>
      </w:r>
      <w:proofErr w:type="spellStart"/>
      <w:r w:rsidR="00266837">
        <w:t>Nexis</w:t>
      </w:r>
      <w:proofErr w:type="spellEnd"/>
    </w:p>
    <w:p w:rsidR="0073451D" w:rsidRPr="0073451D" w:rsidRDefault="0073451D" w:rsidP="0073451D">
      <w:pPr>
        <w:rPr>
          <w:sz w:val="16"/>
        </w:rPr>
      </w:pPr>
      <w:r w:rsidRPr="0073451D">
        <w:rPr>
          <w:sz w:val="16"/>
        </w:rPr>
        <w:t xml:space="preserve">[6A] Section 5 provides that HN4 "whenever a [covered jurisdiction] shall enact or seek </w:t>
      </w:r>
      <w:proofErr w:type="gramStart"/>
      <w:r w:rsidRPr="0073451D">
        <w:rPr>
          <w:sz w:val="16"/>
        </w:rPr>
        <w:t>to  [</w:t>
      </w:r>
      <w:proofErr w:type="gramEnd"/>
      <w:r w:rsidRPr="0073451D">
        <w:rPr>
          <w:sz w:val="16"/>
        </w:rPr>
        <w:t xml:space="preserve">**1437]  administer" a voting change, such a change may be enforced if it is submitted to the [****21]  Attorney General and there is no objection by the Attorney General within 60 days. 42 U.S.C. § 1973(c) (emphasis added). Clearly </w:t>
      </w:r>
      <w:r w:rsidRPr="00CB582E">
        <w:rPr>
          <w:rStyle w:val="StyleUnderline"/>
        </w:rPr>
        <w:t>the State Chancery Court's redistricting plan was not "enacted" by the State of Mississippi</w:t>
      </w:r>
      <w:r w:rsidRPr="0073451D">
        <w:rPr>
          <w:sz w:val="16"/>
        </w:rPr>
        <w:t xml:space="preserve">. </w:t>
      </w:r>
      <w:r w:rsidRPr="00CB582E">
        <w:rPr>
          <w:rStyle w:val="StyleUnderline"/>
        </w:rPr>
        <w:t xml:space="preserve">An "enactment" is the product of legislation, </w:t>
      </w:r>
      <w:r w:rsidRPr="00CB582E">
        <w:rPr>
          <w:rStyle w:val="Emphasis"/>
        </w:rPr>
        <w:t>not adjudication</w:t>
      </w:r>
      <w:r w:rsidRPr="0073451D">
        <w:rPr>
          <w:sz w:val="16"/>
        </w:rPr>
        <w:t xml:space="preserve">. See Webster's New International Dictionary 841 (2d ed. 1949) (defining "enact" as "to make into an act or law; esp., to perform the legislative act with reference to (a bill) which gives it the validity of law"); Black's Law Dictionary 910 (7th ed. 1999) (defining "legislate" as "to make or enact laws"). </w:t>
      </w:r>
      <w:r w:rsidRPr="00CB582E">
        <w:rPr>
          <w:rStyle w:val="StyleUnderline"/>
        </w:rPr>
        <w:t>The</w:t>
      </w:r>
      <w:r w:rsidRPr="0073451D">
        <w:rPr>
          <w:sz w:val="16"/>
        </w:rPr>
        <w:t xml:space="preserve"> web of state and federal </w:t>
      </w:r>
      <w:r w:rsidRPr="00CB582E">
        <w:rPr>
          <w:rStyle w:val="StyleUnderline"/>
        </w:rPr>
        <w:t xml:space="preserve">litigation before us is the consequence of the Mississippi Legislature's </w:t>
      </w:r>
      <w:r w:rsidRPr="00CB582E">
        <w:rPr>
          <w:rStyle w:val="StyleUnderline"/>
          <w:i/>
          <w:iCs/>
        </w:rPr>
        <w:t>failure</w:t>
      </w:r>
      <w:r w:rsidRPr="00CB582E">
        <w:rPr>
          <w:rStyle w:val="StyleUnderline"/>
        </w:rPr>
        <w:t xml:space="preserve"> to enact</w:t>
      </w:r>
      <w:r w:rsidRPr="0073451D">
        <w:rPr>
          <w:sz w:val="16"/>
        </w:rPr>
        <w:t xml:space="preserve"> a plan. The Chancery Court's redistricting plan, then, could be eligible for preclearance only if the State was "seeking to administer" it.</w:t>
      </w:r>
    </w:p>
    <w:p w:rsidR="0073451D" w:rsidRPr="0073451D" w:rsidRDefault="0073451D" w:rsidP="0073451D"/>
    <w:p w:rsidR="0073451D" w:rsidRDefault="0073451D" w:rsidP="0073451D"/>
    <w:p w:rsidR="0073451D" w:rsidRDefault="0073451D" w:rsidP="0073451D">
      <w:pPr>
        <w:pStyle w:val="Heading4"/>
      </w:pPr>
      <w:r>
        <w:t>Court and agency rulings cannot enact</w:t>
      </w:r>
    </w:p>
    <w:p w:rsidR="0073451D" w:rsidRPr="0073451D" w:rsidRDefault="0073451D" w:rsidP="0073451D">
      <w:proofErr w:type="spellStart"/>
      <w:r w:rsidRPr="002335F3">
        <w:rPr>
          <w:rStyle w:val="Style13ptBold"/>
        </w:rPr>
        <w:t>McMurdie</w:t>
      </w:r>
      <w:proofErr w:type="spellEnd"/>
      <w:r w:rsidRPr="002335F3">
        <w:rPr>
          <w:rStyle w:val="Style13ptBold"/>
        </w:rPr>
        <w:t>, 20</w:t>
      </w:r>
      <w:r w:rsidRPr="002335F3">
        <w:t xml:space="preserve"> – </w:t>
      </w:r>
      <w:r>
        <w:t xml:space="preserve">Paul </w:t>
      </w:r>
      <w:proofErr w:type="spellStart"/>
      <w:r>
        <w:t>McMurdie</w:t>
      </w:r>
      <w:proofErr w:type="spellEnd"/>
      <w:r>
        <w:t xml:space="preserve"> </w:t>
      </w:r>
      <w:proofErr w:type="spellStart"/>
      <w:r>
        <w:t>is</w:t>
      </w:r>
      <w:r w:rsidRPr="002335F3">
        <w:t>Presiding</w:t>
      </w:r>
      <w:proofErr w:type="spellEnd"/>
      <w:r w:rsidRPr="002335F3">
        <w:t xml:space="preserve"> Judge of the Arizona Appeals Court (The Neth. v. MD Helicopters Inc., 2020</w:t>
      </w:r>
      <w:r w:rsidR="00266837">
        <w:t xml:space="preserve"> Ariz. App. LEXIS 284, 3/19, Lexis </w:t>
      </w:r>
      <w:proofErr w:type="spellStart"/>
      <w:r w:rsidR="00266837">
        <w:t>Nexis</w:t>
      </w:r>
      <w:proofErr w:type="spellEnd"/>
    </w:p>
    <w:p w:rsidR="0073451D" w:rsidRPr="0073451D" w:rsidRDefault="0073451D" w:rsidP="0073451D">
      <w:pPr>
        <w:rPr>
          <w:sz w:val="14"/>
        </w:rPr>
      </w:pPr>
      <w:r w:rsidRPr="0073451D">
        <w:rPr>
          <w:sz w:val="14"/>
        </w:rPr>
        <w:t xml:space="preserve">P19 MD Helicopters' argument regarding the meaning of the terms "enact" and "adopt" is similarly unpersuasive on the question of whether A.R.S. § 12-3252(B)(2) refers only to acts of a foreign country's legislative body, and not of its courts as well. </w:t>
      </w:r>
      <w:r w:rsidRPr="002335F3">
        <w:rPr>
          <w:rStyle w:val="StyleUnderline"/>
        </w:rPr>
        <w:t>The common usage of the term "enact" does not</w:t>
      </w:r>
      <w:r w:rsidRPr="0073451D">
        <w:rPr>
          <w:sz w:val="14"/>
        </w:rPr>
        <w:t xml:space="preserve"> generally </w:t>
      </w:r>
      <w:r w:rsidRPr="002335F3">
        <w:rPr>
          <w:rStyle w:val="StyleUnderline"/>
        </w:rPr>
        <w:t>include the actions of a court</w:t>
      </w:r>
      <w:r w:rsidRPr="0073451D">
        <w:rPr>
          <w:sz w:val="14"/>
        </w:rPr>
        <w:t xml:space="preserve">. See, e.g., 2015 Ariz. Sess. Laws, </w:t>
      </w:r>
      <w:proofErr w:type="spellStart"/>
      <w:r w:rsidRPr="0073451D">
        <w:rPr>
          <w:sz w:val="14"/>
        </w:rPr>
        <w:t>ch.</w:t>
      </w:r>
      <w:proofErr w:type="spellEnd"/>
      <w:r w:rsidRPr="0073451D">
        <w:rPr>
          <w:sz w:val="14"/>
        </w:rPr>
        <w:t xml:space="preserve"> 170, § 1 (1st Reg. Sess.) ("Be it enacted by the Legislature of the State of Arizona . . . ." (</w:t>
      </w:r>
      <w:proofErr w:type="gramStart"/>
      <w:r w:rsidRPr="0073451D">
        <w:rPr>
          <w:sz w:val="14"/>
        </w:rPr>
        <w:t>emphasis</w:t>
      </w:r>
      <w:proofErr w:type="gramEnd"/>
      <w:r w:rsidRPr="0073451D">
        <w:rPr>
          <w:sz w:val="14"/>
        </w:rPr>
        <w:t xml:space="preserve"> added)); Cronin v. Sheldon, 195 Ariz. 531, 537, 991 P.2d 231 (1999) ("[T]he legislature has the authority to enact laws."). But </w:t>
      </w:r>
      <w:r w:rsidRPr="002335F3">
        <w:rPr>
          <w:rStyle w:val="StyleUnderline"/>
        </w:rPr>
        <w:t>the term "adopt" is not nearly so limited. Courts make law through the adoption of rules or common-law principles</w:t>
      </w:r>
      <w:r w:rsidRPr="0073451D">
        <w:rPr>
          <w:sz w:val="14"/>
        </w:rPr>
        <w:t xml:space="preserve">. See, e.g., </w:t>
      </w:r>
      <w:proofErr w:type="spellStart"/>
      <w:r w:rsidRPr="0073451D">
        <w:rPr>
          <w:sz w:val="14"/>
        </w:rPr>
        <w:t>Carrow</w:t>
      </w:r>
      <w:proofErr w:type="spellEnd"/>
      <w:r w:rsidRPr="0073451D">
        <w:rPr>
          <w:sz w:val="14"/>
        </w:rPr>
        <w:t xml:space="preserve"> Co. v. Lusby, 167 Ariz. 18, 24, 804 P.2d 747 (1990) ("We adopt the modern common law view that an owner of livestock owes a duty of ordinary care to motorists traveling on a public highway in open range." (</w:t>
      </w:r>
      <w:proofErr w:type="gramStart"/>
      <w:r w:rsidRPr="0073451D">
        <w:rPr>
          <w:sz w:val="14"/>
        </w:rPr>
        <w:t>emphasis</w:t>
      </w:r>
      <w:proofErr w:type="gramEnd"/>
      <w:r w:rsidRPr="0073451D">
        <w:rPr>
          <w:sz w:val="14"/>
        </w:rPr>
        <w:t xml:space="preserve"> added)); Judson C. Ball Revocable Tr. v. Phoenix Orchard Grp. I, L.P., 245 Ariz. 519, 523-24, </w:t>
      </w:r>
      <w:r w:rsidRPr="0073451D">
        <w:rPr>
          <w:sz w:val="12"/>
        </w:rPr>
        <w:t>¶¶</w:t>
      </w:r>
      <w:r w:rsidRPr="0073451D">
        <w:rPr>
          <w:sz w:val="14"/>
        </w:rPr>
        <w:t xml:space="preserve"> 11, 16, 431 P.3d 589 (App. 2018) (Finding Delaware courts' decision to "adopt" rule of standing for shareholder suits "as a matter of common law" persuasive and deciding to "adopt" that rule as well). </w:t>
      </w:r>
      <w:r w:rsidRPr="002335F3">
        <w:rPr>
          <w:rStyle w:val="StyleUnderline"/>
        </w:rPr>
        <w:t>Executive agencies are also frequently empowered by the legislature to "adopt" rules</w:t>
      </w:r>
      <w:r w:rsidRPr="0073451D">
        <w:rPr>
          <w:sz w:val="14"/>
        </w:rPr>
        <w:t xml:space="preserve"> and [*16</w:t>
      </w:r>
      <w:proofErr w:type="gramStart"/>
      <w:r w:rsidRPr="0073451D">
        <w:rPr>
          <w:sz w:val="14"/>
        </w:rPr>
        <w:t>]  regulations</w:t>
      </w:r>
      <w:proofErr w:type="gramEnd"/>
      <w:r w:rsidRPr="0073451D">
        <w:rPr>
          <w:sz w:val="14"/>
        </w:rPr>
        <w:t>. See, e.g., A.R.S. § 23-361 (Industrial Commission "may adopt such rules and regulations as necessary" to administer and enforce statutes governing the payment of wages (emphasis added)). And the use of both the terms "</w:t>
      </w:r>
      <w:r w:rsidRPr="002335F3">
        <w:rPr>
          <w:rStyle w:val="StyleUnderline"/>
        </w:rPr>
        <w:t>enact" and "adopt" must be read to contemplate different things</w:t>
      </w:r>
      <w:r w:rsidRPr="0073451D">
        <w:rPr>
          <w:sz w:val="14"/>
        </w:rPr>
        <w:t xml:space="preserve">, or one term will be rendered superfluous. See </w:t>
      </w:r>
      <w:proofErr w:type="spellStart"/>
      <w:r w:rsidRPr="0073451D">
        <w:rPr>
          <w:sz w:val="14"/>
        </w:rPr>
        <w:t>Cont'l</w:t>
      </w:r>
      <w:proofErr w:type="spellEnd"/>
      <w:r w:rsidRPr="0073451D">
        <w:rPr>
          <w:sz w:val="14"/>
        </w:rPr>
        <w:t xml:space="preserve"> Bank, 131 Ariz. at 8.</w:t>
      </w:r>
    </w:p>
    <w:p w:rsidR="005446A0" w:rsidRDefault="005446A0" w:rsidP="0073451D"/>
    <w:p w:rsidR="0073451D" w:rsidRDefault="0073451D" w:rsidP="0073451D">
      <w:pPr>
        <w:pStyle w:val="Heading4"/>
      </w:pPr>
      <w:r>
        <w:t>Federal agency rulings violate enact</w:t>
      </w:r>
    </w:p>
    <w:p w:rsidR="00266837" w:rsidRDefault="0073451D" w:rsidP="0073451D">
      <w:pPr>
        <w:rPr>
          <w:sz w:val="16"/>
        </w:rPr>
      </w:pPr>
      <w:r w:rsidRPr="002335F3">
        <w:rPr>
          <w:rStyle w:val="Style13ptBold"/>
        </w:rPr>
        <w:t>Carlson, 4</w:t>
      </w:r>
      <w:r>
        <w:t xml:space="preserve"> P.J. Carlson is a Judge, Supreme Court of Mississippi (Gulf Ins. Co. v. Neel-Schaffer, Inc., 904 So. 2d 1036, 12/9, </w:t>
      </w:r>
      <w:proofErr w:type="spellStart"/>
      <w:r>
        <w:t>Nexis</w:t>
      </w:r>
      <w:proofErr w:type="spellEnd"/>
      <w:r>
        <w:t xml:space="preserve"> </w:t>
      </w:r>
      <w:proofErr w:type="spellStart"/>
      <w:r>
        <w:t>Uni</w:t>
      </w:r>
      <w:proofErr w:type="spellEnd"/>
      <w:r>
        <w:t xml:space="preserve"> </w:t>
      </w:r>
      <w:r w:rsidR="00266837">
        <w:rPr>
          <w:sz w:val="16"/>
        </w:rPr>
        <w:t>p. 24</w:t>
      </w:r>
    </w:p>
    <w:p w:rsidR="0073451D" w:rsidRPr="0073451D" w:rsidRDefault="0073451D" w:rsidP="0073451D">
      <w:pPr>
        <w:rPr>
          <w:sz w:val="16"/>
        </w:rPr>
      </w:pPr>
      <w:r w:rsidRPr="0073451D">
        <w:rPr>
          <w:sz w:val="16"/>
        </w:rPr>
        <w:t xml:space="preserve"> In so holding, we note that Neel-Schaffer's argument is not altogether unreasonable. </w:t>
      </w:r>
      <w:r w:rsidRPr="000D3383">
        <w:rPr>
          <w:rStyle w:val="StyleUnderline"/>
        </w:rPr>
        <w:t>Neel-Schaffer argues that in instances where a legislative branch has delegated its authority</w:t>
      </w:r>
      <w:r w:rsidRPr="0073451D">
        <w:rPr>
          <w:sz w:val="16"/>
        </w:rPr>
        <w:t xml:space="preserve"> to regulate to an administrative agency and where that agency is considered the final regulatory authority, </w:t>
      </w:r>
      <w:r w:rsidRPr="000D3383">
        <w:rPr>
          <w:rStyle w:val="StyleUnderline"/>
        </w:rPr>
        <w:t>the agency's regulations should be considered the legal equivalent to statutes</w:t>
      </w:r>
      <w:r w:rsidRPr="0073451D">
        <w:rPr>
          <w:sz w:val="16"/>
        </w:rPr>
        <w:t xml:space="preserve">. Nevertheless, Neel-Schaffer presents no compelling argument as to why this Court should not adopt the view held by the local federal courts. Further </w:t>
      </w:r>
      <w:r w:rsidRPr="000D3383">
        <w:rPr>
          <w:rStyle w:val="StyleUnderline"/>
        </w:rPr>
        <w:t>reasoning to reject</w:t>
      </w:r>
      <w:r w:rsidRPr="0073451D">
        <w:rPr>
          <w:sz w:val="16"/>
        </w:rPr>
        <w:t xml:space="preserve"> Neel-Schaffer's argument </w:t>
      </w:r>
      <w:r w:rsidRPr="000D3383">
        <w:rPr>
          <w:rStyle w:val="StyleUnderline"/>
        </w:rPr>
        <w:t>is the fact that the Act incorporates the term "enact."</w:t>
      </w:r>
      <w:r w:rsidRPr="0073451D">
        <w:rPr>
          <w:sz w:val="16"/>
        </w:rPr>
        <w:t xml:space="preserve"> </w:t>
      </w:r>
      <w:r w:rsidRPr="000D3383">
        <w:rPr>
          <w:rStyle w:val="StyleUnderline"/>
        </w:rPr>
        <w:t xml:space="preserve">The use of this term seemingly denotes a </w:t>
      </w:r>
      <w:r w:rsidRPr="000D3383">
        <w:rPr>
          <w:rStyle w:val="StyleUnderline"/>
          <w:i/>
          <w:iCs/>
        </w:rPr>
        <w:t>legislative</w:t>
      </w:r>
      <w:r w:rsidRPr="000D3383">
        <w:rPr>
          <w:rStyle w:val="StyleUnderline"/>
        </w:rPr>
        <w:t xml:space="preserve"> enterprise</w:t>
      </w:r>
      <w:r w:rsidRPr="0073451D">
        <w:rPr>
          <w:sz w:val="16"/>
        </w:rPr>
        <w:t>.</w:t>
      </w:r>
    </w:p>
    <w:p w:rsidR="0073451D" w:rsidRDefault="0073451D" w:rsidP="0073451D"/>
    <w:p w:rsidR="0073451D" w:rsidRDefault="0073451D" w:rsidP="0073451D">
      <w:pPr>
        <w:pStyle w:val="Heading4"/>
      </w:pPr>
      <w:r>
        <w:t>Federal agency rulings do not “enact”</w:t>
      </w:r>
    </w:p>
    <w:p w:rsidR="0073451D" w:rsidRPr="002836A1" w:rsidRDefault="0073451D" w:rsidP="0073451D">
      <w:pPr>
        <w:rPr>
          <w:sz w:val="16"/>
        </w:rPr>
      </w:pPr>
      <w:r w:rsidRPr="00DC2782">
        <w:rPr>
          <w:rStyle w:val="Style13ptBold"/>
        </w:rPr>
        <w:t>Clement</w:t>
      </w:r>
      <w:r w:rsidR="00266837">
        <w:rPr>
          <w:rStyle w:val="Style13ptBold"/>
        </w:rPr>
        <w:t xml:space="preserve"> et al</w:t>
      </w:r>
      <w:r w:rsidRPr="00DC2782">
        <w:rPr>
          <w:rStyle w:val="Style13ptBold"/>
        </w:rPr>
        <w:t xml:space="preserve">, 7 </w:t>
      </w:r>
      <w:r w:rsidRPr="00DC2782">
        <w:t xml:space="preserve">- </w:t>
      </w:r>
      <w:r w:rsidR="00266837">
        <w:t>PAUL D. CLEMENT Solicitor General Counsel of Record GRACE CHUNG BECKER Acting Assistant Attorney General GREGORY G. GARRE Deputy Solicitor General ERIC D. MILLER Assistant to the Solicitor General DIANA K. FLYNN GREGORY B. FRIEL SARAH E. HARRINGTON Attorneys Department of Justice</w:t>
      </w:r>
      <w:r w:rsidRPr="00DC2782">
        <w:t xml:space="preserve">(Amicus Brief, BOB RILEY, GOVERNOR OF ALABAMA, APPELLANT v. YVONNE KENNEDY, ET AL., </w:t>
      </w:r>
      <w:hyperlink r:id="rId7" w:history="1">
        <w:r w:rsidR="00266837">
          <w:rPr>
            <w:rStyle w:val="Hyperlink"/>
          </w:rPr>
          <w:t>https://www.justic</w:t>
        </w:r>
        <w:r w:rsidR="00266837">
          <w:rPr>
            <w:rStyle w:val="Hyperlink"/>
          </w:rPr>
          <w:t>e</w:t>
        </w:r>
        <w:r w:rsidR="00266837">
          <w:rPr>
            <w:rStyle w:val="Hyperlink"/>
          </w:rPr>
          <w:t>.gov/osg/brief/riley-v-kennedy-amicus-merits</w:t>
        </w:r>
      </w:hyperlink>
      <w:r w:rsidR="00266837" w:rsidRPr="002836A1">
        <w:rPr>
          <w:sz w:val="16"/>
        </w:rPr>
        <w:t xml:space="preserve"> </w:t>
      </w:r>
      <w:r w:rsidRPr="002836A1">
        <w:rPr>
          <w:sz w:val="16"/>
        </w:rPr>
        <w:t xml:space="preserve">The use of the disjunctive-"enact" or "seek to administer"-implies that those terms have different mea </w:t>
      </w:r>
      <w:proofErr w:type="spellStart"/>
      <w:r w:rsidRPr="002836A1">
        <w:rPr>
          <w:sz w:val="16"/>
        </w:rPr>
        <w:t>nings</w:t>
      </w:r>
      <w:proofErr w:type="spellEnd"/>
      <w:r w:rsidRPr="002836A1">
        <w:rPr>
          <w:sz w:val="16"/>
        </w:rPr>
        <w:t xml:space="preserve"> in the statute. See Brooke Group Ltd. v. Brown &amp; Williamson Tobacco Corp., 509 U.S. 209, 229 (1993). And </w:t>
      </w:r>
      <w:r w:rsidRPr="00831714">
        <w:rPr>
          <w:rStyle w:val="StyleUnderline"/>
        </w:rPr>
        <w:t>in ordinary usage, "administer" has a meaning that is different from and broader than "enact."</w:t>
      </w:r>
      <w:r w:rsidRPr="002836A1">
        <w:rPr>
          <w:sz w:val="16"/>
        </w:rPr>
        <w:t xml:space="preserve"> The word "</w:t>
      </w:r>
      <w:r w:rsidRPr="00831714">
        <w:rPr>
          <w:rStyle w:val="StyleUnderline"/>
        </w:rPr>
        <w:t>enact" ordinarily refers to the process by which a legislative body votes a bill into law</w:t>
      </w:r>
      <w:r w:rsidRPr="002836A1">
        <w:rPr>
          <w:sz w:val="16"/>
        </w:rPr>
        <w:t xml:space="preserve">. See Black's Law </w:t>
      </w:r>
      <w:proofErr w:type="spellStart"/>
      <w:r w:rsidRPr="002836A1">
        <w:rPr>
          <w:sz w:val="16"/>
        </w:rPr>
        <w:t>Dictio</w:t>
      </w:r>
      <w:proofErr w:type="spellEnd"/>
      <w:r w:rsidRPr="002836A1">
        <w:rPr>
          <w:sz w:val="16"/>
        </w:rPr>
        <w:t xml:space="preserve"> nary 567 (8th ed. 2004) (Black's) ("[t]o make into law by authoritative act; to pass"); Webster's Third New </w:t>
      </w:r>
      <w:proofErr w:type="spellStart"/>
      <w:r w:rsidRPr="002836A1">
        <w:rPr>
          <w:sz w:val="16"/>
        </w:rPr>
        <w:t>Inter national</w:t>
      </w:r>
      <w:proofErr w:type="spellEnd"/>
      <w:r w:rsidRPr="002836A1">
        <w:rPr>
          <w:sz w:val="16"/>
        </w:rPr>
        <w:t xml:space="preserve"> Dictionary of the English Language 745 (1986) (Webster's) ("to establish by legal and authoritative act: make into a law; </w:t>
      </w:r>
      <w:proofErr w:type="spellStart"/>
      <w:r w:rsidRPr="002836A1">
        <w:rPr>
          <w:sz w:val="16"/>
        </w:rPr>
        <w:t>esp</w:t>
      </w:r>
      <w:proofErr w:type="spellEnd"/>
      <w:r w:rsidRPr="002836A1">
        <w:rPr>
          <w:sz w:val="16"/>
        </w:rPr>
        <w:t xml:space="preserve">: to perform the last act of legislation upon (a bill) that gives the validity of law"); see also Branch, 538 U.S. at 264. The word </w:t>
      </w:r>
      <w:r w:rsidRPr="00831714">
        <w:rPr>
          <w:rStyle w:val="StyleUnderline"/>
        </w:rPr>
        <w:t>"administer," by contrast, more commonly refers to the implementation of an established legal requirement</w:t>
      </w:r>
      <w:r w:rsidRPr="002836A1">
        <w:rPr>
          <w:sz w:val="16"/>
        </w:rPr>
        <w:t xml:space="preserve">. See Webster's 27 ("to direct or superintend the execution, use, or conduct of"); Black's 46 (defining "administration" as "[t]he manage </w:t>
      </w:r>
      <w:proofErr w:type="spellStart"/>
      <w:r w:rsidRPr="002836A1">
        <w:rPr>
          <w:sz w:val="16"/>
        </w:rPr>
        <w:t>ment</w:t>
      </w:r>
      <w:proofErr w:type="spellEnd"/>
      <w:r w:rsidRPr="002836A1">
        <w:rPr>
          <w:sz w:val="16"/>
        </w:rPr>
        <w:t xml:space="preserve"> or performance of the executive duties of a govern </w:t>
      </w:r>
      <w:proofErr w:type="spellStart"/>
      <w:r w:rsidRPr="002836A1">
        <w:rPr>
          <w:sz w:val="16"/>
        </w:rPr>
        <w:t>ment</w:t>
      </w:r>
      <w:proofErr w:type="spellEnd"/>
      <w:r w:rsidRPr="002836A1">
        <w:rPr>
          <w:sz w:val="16"/>
        </w:rPr>
        <w:t xml:space="preserve">"). In other words, it "encompasses </w:t>
      </w:r>
      <w:proofErr w:type="spellStart"/>
      <w:r w:rsidRPr="002836A1">
        <w:rPr>
          <w:sz w:val="16"/>
        </w:rPr>
        <w:t>nondiscretion</w:t>
      </w:r>
      <w:proofErr w:type="spellEnd"/>
      <w:r w:rsidRPr="002836A1">
        <w:rPr>
          <w:sz w:val="16"/>
        </w:rPr>
        <w:t xml:space="preserve"> </w:t>
      </w:r>
      <w:proofErr w:type="spellStart"/>
      <w:r w:rsidRPr="002836A1">
        <w:rPr>
          <w:sz w:val="16"/>
        </w:rPr>
        <w:t>ary</w:t>
      </w:r>
      <w:proofErr w:type="spellEnd"/>
      <w:r w:rsidRPr="002836A1">
        <w:rPr>
          <w:sz w:val="16"/>
        </w:rPr>
        <w:t xml:space="preserve"> acts" by officials "endeavoring to comply with the superior law of the State." Lopez v. Monterey County, 525 U.S. 266, 279 (1999). When a state official attempts to implement a practice affecting voting that is different from a practice previously administered in that jurisdiction, the official "seek[s] to administer" a change affecting voting, and he or she must submit it for preclearance. Section 5 makes no distinction among the numerous potential sources of such a change-whether an agency makes the change on its own motion or because of an intervening state court decision. Accordingly, the statute explicitly requires preclearance before a state official may implement a voting change ordered by a state court.</w:t>
      </w:r>
    </w:p>
    <w:p w:rsidR="0073451D" w:rsidRDefault="0073451D" w:rsidP="0073451D"/>
    <w:p w:rsidR="005446A0" w:rsidRDefault="002836A1" w:rsidP="005446A0">
      <w:pPr>
        <w:pStyle w:val="Heading4"/>
      </w:pPr>
      <w:r>
        <w:t>AFF--</w:t>
      </w:r>
      <w:r w:rsidR="005446A0">
        <w:t>Court rulings are enactments</w:t>
      </w:r>
    </w:p>
    <w:p w:rsidR="005446A0" w:rsidRPr="00323569" w:rsidRDefault="005446A0" w:rsidP="005446A0">
      <w:r w:rsidRPr="008B2CF4">
        <w:rPr>
          <w:rStyle w:val="Style13ptBold"/>
        </w:rPr>
        <w:t>Wright 13</w:t>
      </w:r>
      <w:r>
        <w:t xml:space="preserve"> – JD @ UM, Executive Notes Editor of UM Journal of Race and Law (Adam, “Federal Constraints on States’ Ability to License an Undocumented Immigrant to Practice Law,” 19 MICH. J. RACE &amp; L. 177, Lexis)</w:t>
      </w:r>
    </w:p>
    <w:p w:rsidR="0073451D" w:rsidRPr="0073451D" w:rsidRDefault="0073451D" w:rsidP="0073451D">
      <w:pPr>
        <w:rPr>
          <w:sz w:val="16"/>
        </w:rPr>
      </w:pPr>
      <w:r w:rsidRPr="00EC3126">
        <w:rPr>
          <w:rStyle w:val="StyleUnderline"/>
        </w:rPr>
        <w:t xml:space="preserve">The text </w:t>
      </w:r>
      <w:r w:rsidRPr="0073451D">
        <w:rPr>
          <w:sz w:val="16"/>
        </w:rPr>
        <w:t xml:space="preserve">of the savings clause </w:t>
      </w:r>
      <w:r w:rsidRPr="00EC3126">
        <w:rPr>
          <w:rStyle w:val="StyleUnderline"/>
        </w:rPr>
        <w:t>does not limit “enactments</w:t>
      </w:r>
      <w:r w:rsidRPr="0073451D">
        <w:rPr>
          <w:sz w:val="16"/>
        </w:rPr>
        <w:t xml:space="preserve"> of State law” </w:t>
      </w:r>
      <w:r w:rsidRPr="00EC3126">
        <w:rPr>
          <w:rStyle w:val="StyleUnderline"/>
        </w:rPr>
        <w:t>to legislative enactments</w:t>
      </w:r>
      <w:r w:rsidRPr="0073451D">
        <w:rPr>
          <w:sz w:val="16"/>
        </w:rPr>
        <w:t xml:space="preserve">.85 </w:t>
      </w:r>
      <w:r w:rsidRPr="00EC3126">
        <w:rPr>
          <w:rStyle w:val="StyleUnderline"/>
        </w:rPr>
        <w:t>Opponents</w:t>
      </w:r>
      <w:r w:rsidRPr="0073451D">
        <w:rPr>
          <w:sz w:val="16"/>
        </w:rPr>
        <w:t xml:space="preserve">, nevertheless, </w:t>
      </w:r>
      <w:r w:rsidRPr="00EC3126">
        <w:rPr>
          <w:rStyle w:val="StyleUnderline"/>
        </w:rPr>
        <w:t>argue that only a legislature may enact</w:t>
      </w:r>
      <w:r w:rsidRPr="0073451D">
        <w:rPr>
          <w:sz w:val="16"/>
        </w:rPr>
        <w:t xml:space="preserve"> a law.86 </w:t>
      </w:r>
      <w:r w:rsidRPr="00EC3126">
        <w:rPr>
          <w:rStyle w:val="StyleUnderline"/>
        </w:rPr>
        <w:t>However, plain meaning and popular use of the word “enact” is not so limited. The Merriam-Webster Dictionary does not define “enact” as an action exclusive to legislatures</w:t>
      </w:r>
      <w:r w:rsidRPr="0073451D">
        <w:rPr>
          <w:sz w:val="16"/>
        </w:rPr>
        <w:t xml:space="preserve">; </w:t>
      </w:r>
      <w:r w:rsidRPr="00EC3126">
        <w:rPr>
          <w:rStyle w:val="StyleUnderline"/>
        </w:rPr>
        <w:t>it is merely defined as “to establish by legal and authoritative act,” or “to make into law</w:t>
      </w:r>
      <w:r w:rsidRPr="0073451D">
        <w:rPr>
          <w:sz w:val="16"/>
        </w:rPr>
        <w:t>. . . .”87 “</w:t>
      </w:r>
      <w:r w:rsidRPr="00EC3126">
        <w:rPr>
          <w:rStyle w:val="StyleUnderline"/>
        </w:rPr>
        <w:t xml:space="preserve">Enact” is </w:t>
      </w:r>
      <w:r w:rsidRPr="00EC3126">
        <w:rPr>
          <w:rStyle w:val="Emphasis"/>
        </w:rPr>
        <w:t>not defined</w:t>
      </w:r>
      <w:r w:rsidRPr="00EC3126">
        <w:rPr>
          <w:rStyle w:val="StyleUnderline"/>
        </w:rPr>
        <w:t xml:space="preserve">, </w:t>
      </w:r>
      <w:r w:rsidRPr="00EC3126">
        <w:rPr>
          <w:rStyle w:val="Emphasis"/>
        </w:rPr>
        <w:t>nor is it generally thought</w:t>
      </w:r>
      <w:r w:rsidRPr="00EC3126">
        <w:rPr>
          <w:rStyle w:val="StyleUnderline"/>
        </w:rPr>
        <w:t xml:space="preserve"> of, as an action unique to legislatures</w:t>
      </w:r>
      <w:r w:rsidRPr="0073451D">
        <w:rPr>
          <w:sz w:val="16"/>
        </w:rPr>
        <w:t xml:space="preserve">. Further, </w:t>
      </w:r>
      <w:r w:rsidRPr="00EC3126">
        <w:rPr>
          <w:rStyle w:val="StyleUnderline"/>
        </w:rPr>
        <w:t>courts commonly refer to court-enacted rules</w:t>
      </w:r>
      <w:r w:rsidRPr="0073451D">
        <w:rPr>
          <w:sz w:val="16"/>
        </w:rPr>
        <w:t xml:space="preserve">. </w:t>
      </w:r>
      <w:r w:rsidRPr="00EC3126">
        <w:rPr>
          <w:rStyle w:val="StyleUnderline"/>
        </w:rPr>
        <w:t>For example, the California Supreme Court has discussed the “rules of court enacted in response to [a] constitutional amendment</w:t>
      </w:r>
      <w:r w:rsidRPr="0073451D">
        <w:rPr>
          <w:sz w:val="16"/>
        </w:rPr>
        <w:t xml:space="preserve"> . . . .”,88 the Delaware Supreme Court has referenced a “statute or rule of court enacted under authority of law”,89 and many other state supreme courts and federal appellate courts often have pointed to court-enacted rules.90 These cases refer to court enacted rules that deal with bearing the cost of printing a transcript record,91 rules setting the requirements for appeal in state court proceedings,92 and rules prescribing class action requirements.93 The plethora of these examples indicates that courts have not restricted the ability to “enact” a law to the legislature. The fact that these cases refer to court-enacted “rules” rather than “laws” is of little significance. </w:t>
      </w:r>
      <w:r w:rsidRPr="00EC3126">
        <w:rPr>
          <w:rStyle w:val="StyleUnderline"/>
        </w:rPr>
        <w:t>Similar to legislative enactments of law, court rules have “the force of law” and are in this important way indistinguishable from legislative laws</w:t>
      </w:r>
      <w:r w:rsidRPr="0073451D">
        <w:rPr>
          <w:sz w:val="16"/>
        </w:rPr>
        <w:t>.94 The U.S. Court of Appeals for the Second Circuit has stated that “[l]</w:t>
      </w:r>
      <w:proofErr w:type="spellStart"/>
      <w:r w:rsidRPr="0073451D">
        <w:rPr>
          <w:sz w:val="16"/>
        </w:rPr>
        <w:t>ocal</w:t>
      </w:r>
      <w:proofErr w:type="spellEnd"/>
      <w:r w:rsidRPr="0073451D">
        <w:rPr>
          <w:sz w:val="16"/>
        </w:rPr>
        <w:t xml:space="preserve"> rules have the force of law, as long as they do not conflict with a rule prescribed by the Supreme Court, Congress, or the Constitution.”95 The Committee, citing Black’s Law Dictionary, notes, “‘[L]aw means more than statutes and includes legislation, judicial precedents, rules, and legal principles . . .”96 Thus, it follows that </w:t>
      </w:r>
      <w:r w:rsidRPr="00EC3126">
        <w:rPr>
          <w:rStyle w:val="StyleUnderline"/>
        </w:rPr>
        <w:t>a</w:t>
      </w:r>
      <w:r w:rsidRPr="0073451D">
        <w:rPr>
          <w:sz w:val="16"/>
        </w:rPr>
        <w:t xml:space="preserve"> state </w:t>
      </w:r>
      <w:r w:rsidRPr="00EC3126">
        <w:rPr>
          <w:rStyle w:val="StyleUnderline"/>
        </w:rPr>
        <w:t>court may enact a law</w:t>
      </w:r>
      <w:r w:rsidRPr="0073451D">
        <w:rPr>
          <w:sz w:val="16"/>
        </w:rPr>
        <w:t xml:space="preserve"> sufficient to activate § 1621’s savings clause.</w:t>
      </w:r>
    </w:p>
    <w:p w:rsidR="002836A1" w:rsidRDefault="002836A1" w:rsidP="002836A1">
      <w:pPr>
        <w:pStyle w:val="Heading4"/>
      </w:pPr>
      <w:r>
        <w:t>When courts strike down a precedent they “enact”</w:t>
      </w:r>
    </w:p>
    <w:p w:rsidR="002836A1" w:rsidRDefault="002836A1" w:rsidP="002836A1">
      <w:r w:rsidRPr="00DC2782">
        <w:rPr>
          <w:rStyle w:val="Style13ptBold"/>
        </w:rPr>
        <w:t>Wall, 7</w:t>
      </w:r>
      <w:r w:rsidRPr="00DC2782">
        <w:t xml:space="preserve"> - </w:t>
      </w:r>
      <w:r>
        <w:t xml:space="preserve">J R N Wall </w:t>
      </w:r>
      <w:r w:rsidRPr="00DC2782">
        <w:t>A dissertation submitted in partial fulfilment of the degree of Bachelor of Laws (</w:t>
      </w:r>
      <w:proofErr w:type="spellStart"/>
      <w:r w:rsidRPr="00DC2782">
        <w:t>Honours</w:t>
      </w:r>
      <w:proofErr w:type="spellEnd"/>
      <w:r w:rsidRPr="00DC2782">
        <w:t>)</w:t>
      </w:r>
      <w:r>
        <w:t xml:space="preserve"> </w:t>
      </w:r>
      <w:r w:rsidRPr="00DC2782">
        <w:t xml:space="preserve">at the University of Otago (“PROSPECTIVE OVERRULING – IT’S ABOUT TIME” </w:t>
      </w:r>
      <w:hyperlink r:id="rId8" w:history="1">
        <w:r w:rsidRPr="00DC2782">
          <w:rPr>
            <w:rStyle w:val="Hyperlink"/>
          </w:rPr>
          <w:t>https://www.otago.ac.nz/law/research/journals/otago036272.pdf</w:t>
        </w:r>
      </w:hyperlink>
      <w:r>
        <w:t xml:space="preserve"> </w:t>
      </w:r>
    </w:p>
    <w:p w:rsidR="002836A1" w:rsidRPr="002836A1" w:rsidRDefault="002836A1" w:rsidP="002836A1">
      <w:pPr>
        <w:rPr>
          <w:sz w:val="16"/>
        </w:rPr>
      </w:pPr>
      <w:r w:rsidRPr="002836A1">
        <w:rPr>
          <w:sz w:val="16"/>
        </w:rPr>
        <w:t xml:space="preserve">The purpose of this dissertation is two-fold: to identify a problem in the common law and propose a possible solution. I shall argue in Part A that </w:t>
      </w:r>
      <w:r w:rsidRPr="00DC2782">
        <w:rPr>
          <w:rStyle w:val="StyleUnderline"/>
        </w:rPr>
        <w:t>when a court overturns a prior precedent the court enacts</w:t>
      </w:r>
      <w:r w:rsidRPr="002836A1">
        <w:rPr>
          <w:sz w:val="16"/>
        </w:rPr>
        <w:t xml:space="preserve">2 </w:t>
      </w:r>
      <w:r w:rsidRPr="00DC2782">
        <w:rPr>
          <w:rStyle w:val="StyleUnderline"/>
        </w:rPr>
        <w:t>retrospective law</w:t>
      </w:r>
      <w:r w:rsidRPr="002836A1">
        <w:rPr>
          <w:sz w:val="16"/>
        </w:rPr>
        <w:t xml:space="preserve">. In Part B I shall assess the cogency of ‘prospective overruling’ as a solution to this problem. My primary question is whether prospective overruling solves the problem of providing both certainty and fairness in common law adjudication. </w:t>
      </w:r>
      <w:r w:rsidRPr="002836A1">
        <w:rPr>
          <w:b/>
          <w:bCs/>
          <w:sz w:val="16"/>
        </w:rPr>
        <w:t>(</w:t>
      </w:r>
      <w:proofErr w:type="gramStart"/>
      <w:r w:rsidRPr="002836A1">
        <w:rPr>
          <w:b/>
          <w:bCs/>
          <w:sz w:val="16"/>
        </w:rPr>
        <w:t>footnote</w:t>
      </w:r>
      <w:proofErr w:type="gramEnd"/>
      <w:r w:rsidRPr="002836A1">
        <w:rPr>
          <w:b/>
          <w:bCs/>
          <w:sz w:val="16"/>
        </w:rPr>
        <w:t xml:space="preserve"> 2) </w:t>
      </w:r>
      <w:r w:rsidRPr="002836A1">
        <w:rPr>
          <w:sz w:val="16"/>
        </w:rPr>
        <w:t xml:space="preserve">2 I </w:t>
      </w:r>
      <w:proofErr w:type="spellStart"/>
      <w:r w:rsidRPr="002836A1">
        <w:rPr>
          <w:sz w:val="16"/>
        </w:rPr>
        <w:t>recognise</w:t>
      </w:r>
      <w:proofErr w:type="spellEnd"/>
      <w:r w:rsidRPr="002836A1">
        <w:rPr>
          <w:sz w:val="16"/>
        </w:rPr>
        <w:t xml:space="preserve"> that the use of the term </w:t>
      </w:r>
      <w:r w:rsidRPr="00DC2782">
        <w:rPr>
          <w:rStyle w:val="StyleUnderline"/>
        </w:rPr>
        <w:t>enact in reference to judge-made law is unorthodox since the term is usually reserved for legislation. However,</w:t>
      </w:r>
      <w:r w:rsidRPr="002836A1">
        <w:rPr>
          <w:sz w:val="16"/>
        </w:rPr>
        <w:t xml:space="preserve"> as will be discussed in Chapter 3, I contend that the </w:t>
      </w:r>
      <w:r w:rsidRPr="00DC2782">
        <w:rPr>
          <w:rStyle w:val="StyleUnderline"/>
        </w:rPr>
        <w:t xml:space="preserve">courts fulfil a quasi-legislative function, and </w:t>
      </w:r>
      <w:r w:rsidRPr="002836A1">
        <w:rPr>
          <w:sz w:val="16"/>
        </w:rPr>
        <w:t xml:space="preserve">hence I contend that </w:t>
      </w:r>
      <w:r w:rsidRPr="00DC2782">
        <w:rPr>
          <w:rStyle w:val="StyleUnderline"/>
        </w:rPr>
        <w:t>it is appropriate to use the term enact when describing judge-made law</w:t>
      </w:r>
      <w:r w:rsidRPr="002836A1">
        <w:rPr>
          <w:sz w:val="16"/>
        </w:rPr>
        <w:t xml:space="preserve">. </w:t>
      </w:r>
    </w:p>
    <w:p w:rsidR="002836A1" w:rsidRDefault="002836A1" w:rsidP="002836A1"/>
    <w:p w:rsidR="002836A1" w:rsidRDefault="002836A1" w:rsidP="002836A1"/>
    <w:p w:rsidR="005446A0" w:rsidRDefault="005446A0" w:rsidP="00A82BFF"/>
    <w:p w:rsidR="00A82BFF" w:rsidRDefault="00A82BFF" w:rsidP="00A82BFF">
      <w:pPr>
        <w:pStyle w:val="Heading2"/>
      </w:pPr>
      <w:r>
        <w:t>Substantial</w:t>
      </w:r>
    </w:p>
    <w:p w:rsidR="00344506" w:rsidRDefault="00344506" w:rsidP="00344506"/>
    <w:p w:rsidR="00333AE0" w:rsidRDefault="00333AE0" w:rsidP="00344506"/>
    <w:p w:rsidR="00333AE0" w:rsidRDefault="00333AE0" w:rsidP="00333AE0">
      <w:pPr>
        <w:pStyle w:val="Heading4"/>
      </w:pPr>
      <w:r>
        <w:t>When substantial modifies reform it refers to the scope of the reforms—</w:t>
      </w:r>
      <w:proofErr w:type="gramStart"/>
      <w:r>
        <w:t>A</w:t>
      </w:r>
      <w:proofErr w:type="gramEnd"/>
      <w:r>
        <w:t xml:space="preserve"> substantial reform must affect the whole country and be at least 20</w:t>
      </w:r>
      <w:r w:rsidR="00671A23">
        <w:t>%</w:t>
      </w:r>
      <w:r w:rsidR="005A30FD">
        <w:t>, anything smaller is a minor reform</w:t>
      </w:r>
    </w:p>
    <w:p w:rsidR="00344506" w:rsidRDefault="00344506" w:rsidP="00344506">
      <w:proofErr w:type="spellStart"/>
      <w:r w:rsidRPr="00333AE0">
        <w:rPr>
          <w:rStyle w:val="Style13ptBold"/>
        </w:rPr>
        <w:t>Bedock</w:t>
      </w:r>
      <w:proofErr w:type="spellEnd"/>
      <w:r w:rsidRPr="00333AE0">
        <w:rPr>
          <w:rStyle w:val="Style13ptBold"/>
        </w:rPr>
        <w:t xml:space="preserve"> 17</w:t>
      </w:r>
      <w:r>
        <w:t xml:space="preserve"> Camille </w:t>
      </w:r>
      <w:proofErr w:type="spellStart"/>
      <w:r>
        <w:t>Bedock</w:t>
      </w:r>
      <w:proofErr w:type="spellEnd"/>
      <w:r>
        <w:t xml:space="preserve"> PhD in Political Science and currently works at the Centre Emile </w:t>
      </w:r>
      <w:proofErr w:type="spellStart"/>
      <w:r>
        <w:t>Durkhaim</w:t>
      </w:r>
      <w:proofErr w:type="spellEnd"/>
      <w:r>
        <w:t xml:space="preserve"> in Sciences </w:t>
      </w:r>
      <w:proofErr w:type="spellStart"/>
      <w:r>
        <w:t>po</w:t>
      </w:r>
      <w:proofErr w:type="spellEnd"/>
      <w:r>
        <w:t xml:space="preserve"> Bordeaux</w:t>
      </w:r>
    </w:p>
    <w:p w:rsidR="00344506" w:rsidRDefault="00344506" w:rsidP="00344506">
      <w:r>
        <w:t>Reforming Democracy: Institutiona</w:t>
      </w:r>
      <w:r w:rsidR="00333AE0">
        <w:t>l Engineering in Western Europe, pp 67-8</w:t>
      </w:r>
    </w:p>
    <w:p w:rsidR="00344506" w:rsidRPr="00333AE0" w:rsidRDefault="00344506" w:rsidP="00344506">
      <w:pPr>
        <w:rPr>
          <w:sz w:val="16"/>
        </w:rPr>
      </w:pPr>
      <w:proofErr w:type="gramStart"/>
      <w:r w:rsidRPr="00333AE0">
        <w:rPr>
          <w:sz w:val="16"/>
        </w:rPr>
        <w:t>a )</w:t>
      </w:r>
      <w:proofErr w:type="gramEnd"/>
      <w:r w:rsidRPr="00333AE0">
        <w:rPr>
          <w:sz w:val="16"/>
        </w:rPr>
        <w:t xml:space="preserve"> </w:t>
      </w:r>
      <w:r w:rsidRPr="00333AE0">
        <w:rPr>
          <w:rStyle w:val="StyleUnderline"/>
          <w:highlight w:val="yellow"/>
        </w:rPr>
        <w:t>Scope of "reforms</w:t>
      </w:r>
      <w:r w:rsidRPr="00333AE0">
        <w:rPr>
          <w:sz w:val="16"/>
        </w:rPr>
        <w:t>.” Evaluating the scope of reforms across six dimensions</w:t>
      </w:r>
      <w:r w:rsidR="00333AE0" w:rsidRPr="00333AE0">
        <w:rPr>
          <w:sz w:val="16"/>
        </w:rPr>
        <w:t xml:space="preserve"> </w:t>
      </w:r>
      <w:r w:rsidRPr="00333AE0">
        <w:rPr>
          <w:sz w:val="16"/>
        </w:rPr>
        <w:t>inevitably leads to the determination of some form of arbitrary threshold.</w:t>
      </w:r>
      <w:r w:rsidR="00333AE0" w:rsidRPr="00333AE0">
        <w:rPr>
          <w:sz w:val="16"/>
        </w:rPr>
        <w:t xml:space="preserve"> </w:t>
      </w:r>
      <w:r w:rsidRPr="00333AE0">
        <w:rPr>
          <w:sz w:val="16"/>
        </w:rPr>
        <w:t xml:space="preserve">I have chosen to speak about </w:t>
      </w:r>
      <w:r w:rsidRPr="00333AE0">
        <w:rPr>
          <w:rStyle w:val="StyleUnderline"/>
          <w:highlight w:val="yellow"/>
        </w:rPr>
        <w:t>substantial vs. minor reforms</w:t>
      </w:r>
      <w:r w:rsidRPr="00333AE0">
        <w:rPr>
          <w:sz w:val="16"/>
        </w:rPr>
        <w:t xml:space="preserve">. </w:t>
      </w:r>
      <w:r w:rsidRPr="00333AE0">
        <w:rPr>
          <w:rStyle w:val="StyleUnderline"/>
          <w:highlight w:val="yellow"/>
        </w:rPr>
        <w:t>A substantial</w:t>
      </w:r>
      <w:r w:rsidR="00333AE0">
        <w:rPr>
          <w:rStyle w:val="StyleUnderline"/>
          <w:highlight w:val="yellow"/>
        </w:rPr>
        <w:t xml:space="preserve"> </w:t>
      </w:r>
      <w:r w:rsidRPr="00333AE0">
        <w:rPr>
          <w:rStyle w:val="StyleUnderline"/>
          <w:highlight w:val="yellow"/>
        </w:rPr>
        <w:t>reform is: a reform that substantially alters the balance of power and the</w:t>
      </w:r>
      <w:r w:rsidR="00333AE0">
        <w:rPr>
          <w:rStyle w:val="StyleUnderline"/>
          <w:highlight w:val="yellow"/>
        </w:rPr>
        <w:t xml:space="preserve"> </w:t>
      </w:r>
      <w:r w:rsidRPr="00333AE0">
        <w:rPr>
          <w:rStyle w:val="StyleUnderline"/>
          <w:highlight w:val="yellow"/>
        </w:rPr>
        <w:t>relationship between parties</w:t>
      </w:r>
      <w:r w:rsidRPr="00333AE0">
        <w:rPr>
          <w:sz w:val="16"/>
        </w:rPr>
        <w:t>, the executive and the legislative powers, or</w:t>
      </w:r>
      <w:r w:rsidR="00333AE0" w:rsidRPr="00333AE0">
        <w:rPr>
          <w:sz w:val="16"/>
        </w:rPr>
        <w:t xml:space="preserve"> </w:t>
      </w:r>
      <w:r w:rsidRPr="00333AE0">
        <w:rPr>
          <w:sz w:val="16"/>
        </w:rPr>
        <w:t xml:space="preserve">between citizens and the political system. The notion of a 'substantial' </w:t>
      </w:r>
      <w:proofErr w:type="spellStart"/>
      <w:r w:rsidRPr="00333AE0">
        <w:rPr>
          <w:sz w:val="16"/>
        </w:rPr>
        <w:t>insti</w:t>
      </w:r>
      <w:proofErr w:type="spellEnd"/>
      <w:r w:rsidRPr="00333AE0">
        <w:rPr>
          <w:sz w:val="16"/>
        </w:rPr>
        <w:t>-</w:t>
      </w:r>
      <w:r w:rsidR="00333AE0" w:rsidRPr="00333AE0">
        <w:rPr>
          <w:sz w:val="16"/>
        </w:rPr>
        <w:t xml:space="preserve"> </w:t>
      </w:r>
      <w:proofErr w:type="spellStart"/>
      <w:r w:rsidRPr="00333AE0">
        <w:rPr>
          <w:sz w:val="16"/>
        </w:rPr>
        <w:t>tutional</w:t>
      </w:r>
      <w:proofErr w:type="spellEnd"/>
      <w:r w:rsidRPr="00333AE0">
        <w:rPr>
          <w:sz w:val="16"/>
        </w:rPr>
        <w:t xml:space="preserve"> reform is necessarily partly subjective, as it is possible to evaluate the</w:t>
      </w:r>
      <w:r w:rsidR="00333AE0" w:rsidRPr="00333AE0">
        <w:rPr>
          <w:sz w:val="16"/>
        </w:rPr>
        <w:t xml:space="preserve"> </w:t>
      </w:r>
      <w:r w:rsidRPr="00333AE0">
        <w:rPr>
          <w:sz w:val="16"/>
        </w:rPr>
        <w:t xml:space="preserve">scope of a reform based on two factors: its objective content. </w:t>
      </w:r>
      <w:proofErr w:type="gramStart"/>
      <w:r w:rsidRPr="00333AE0">
        <w:rPr>
          <w:sz w:val="16"/>
        </w:rPr>
        <w:t>and</w:t>
      </w:r>
      <w:proofErr w:type="gramEnd"/>
      <w:r w:rsidRPr="00333AE0">
        <w:rPr>
          <w:sz w:val="16"/>
        </w:rPr>
        <w:t xml:space="preserve"> its impact.</w:t>
      </w:r>
      <w:r w:rsidR="00333AE0" w:rsidRPr="00333AE0">
        <w:rPr>
          <w:sz w:val="16"/>
        </w:rPr>
        <w:t xml:space="preserve"> </w:t>
      </w:r>
      <w:r w:rsidR="00333AE0" w:rsidRPr="00333AE0">
        <w:rPr>
          <w:rStyle w:val="StyleUnderline"/>
          <w:highlight w:val="yellow"/>
        </w:rPr>
        <w:t>Defining a substantial reform</w:t>
      </w:r>
      <w:r w:rsidRPr="00333AE0">
        <w:rPr>
          <w:rStyle w:val="StyleUnderline"/>
          <w:highlight w:val="yellow"/>
        </w:rPr>
        <w:t xml:space="preserve"> by assessing its impact is</w:t>
      </w:r>
      <w:r w:rsidRPr="00333AE0">
        <w:rPr>
          <w:sz w:val="16"/>
        </w:rPr>
        <w:t xml:space="preserve"> quite </w:t>
      </w:r>
      <w:r w:rsidRPr="00333AE0">
        <w:rPr>
          <w:rStyle w:val="StyleUnderline"/>
          <w:highlight w:val="yellow"/>
        </w:rPr>
        <w:t>problematic.</w:t>
      </w:r>
      <w:r w:rsidR="00333AE0" w:rsidRPr="00333AE0">
        <w:rPr>
          <w:sz w:val="16"/>
        </w:rPr>
        <w:t xml:space="preserve"> </w:t>
      </w:r>
      <w:r w:rsidRPr="00333AE0">
        <w:rPr>
          <w:sz w:val="16"/>
        </w:rPr>
        <w:t>Apparently small institutional reforms can have enduring consequences,</w:t>
      </w:r>
      <w:r w:rsidR="00333AE0" w:rsidRPr="00333AE0">
        <w:rPr>
          <w:sz w:val="16"/>
        </w:rPr>
        <w:t xml:space="preserve"> </w:t>
      </w:r>
      <w:r w:rsidRPr="00333AE0">
        <w:rPr>
          <w:sz w:val="16"/>
        </w:rPr>
        <w:t>major reforms can have delayed effects or be largely neutralized by actors'</w:t>
      </w:r>
      <w:r w:rsidR="00333AE0" w:rsidRPr="00333AE0">
        <w:rPr>
          <w:sz w:val="16"/>
        </w:rPr>
        <w:t xml:space="preserve"> </w:t>
      </w:r>
      <w:proofErr w:type="spellStart"/>
      <w:r w:rsidRPr="00333AE0">
        <w:rPr>
          <w:sz w:val="16"/>
        </w:rPr>
        <w:t>behaviour</w:t>
      </w:r>
      <w:proofErr w:type="spellEnd"/>
      <w:r w:rsidRPr="00333AE0">
        <w:rPr>
          <w:sz w:val="16"/>
        </w:rPr>
        <w:t>, while identical reforms can have extremely different effects in</w:t>
      </w:r>
      <w:r w:rsidR="00333AE0" w:rsidRPr="00333AE0">
        <w:rPr>
          <w:sz w:val="16"/>
        </w:rPr>
        <w:t xml:space="preserve"> </w:t>
      </w:r>
      <w:r w:rsidRPr="00333AE0">
        <w:rPr>
          <w:sz w:val="16"/>
        </w:rPr>
        <w:t>different settings (</w:t>
      </w:r>
      <w:proofErr w:type="spellStart"/>
      <w:r w:rsidRPr="00333AE0">
        <w:rPr>
          <w:sz w:val="16"/>
        </w:rPr>
        <w:t>Grofman</w:t>
      </w:r>
      <w:proofErr w:type="spellEnd"/>
      <w:r w:rsidRPr="00333AE0">
        <w:rPr>
          <w:sz w:val="16"/>
        </w:rPr>
        <w:t xml:space="preserve"> 1999). It would also require extensive knowledge</w:t>
      </w:r>
      <w:r w:rsidR="00333AE0" w:rsidRPr="00333AE0">
        <w:rPr>
          <w:sz w:val="16"/>
        </w:rPr>
        <w:t xml:space="preserve"> </w:t>
      </w:r>
      <w:r w:rsidRPr="00333AE0">
        <w:rPr>
          <w:sz w:val="16"/>
        </w:rPr>
        <w:t>of each of the cases included in the database. In order to be able to classify</w:t>
      </w:r>
      <w:r w:rsidR="00333AE0" w:rsidRPr="00333AE0">
        <w:rPr>
          <w:sz w:val="16"/>
        </w:rPr>
        <w:t xml:space="preserve"> </w:t>
      </w:r>
      <w:r w:rsidRPr="00333AE0">
        <w:rPr>
          <w:sz w:val="16"/>
        </w:rPr>
        <w:t>such a large range of reforms according to their scope, it was necessary to</w:t>
      </w:r>
      <w:r w:rsidR="00333AE0" w:rsidRPr="00333AE0">
        <w:rPr>
          <w:sz w:val="16"/>
        </w:rPr>
        <w:t xml:space="preserve"> </w:t>
      </w:r>
      <w:r w:rsidRPr="00333AE0">
        <w:rPr>
          <w:sz w:val="16"/>
        </w:rPr>
        <w:t>develop precise, ex ante (regardless of the importance of the consequences of</w:t>
      </w:r>
      <w:r w:rsidR="00333AE0" w:rsidRPr="00333AE0">
        <w:rPr>
          <w:sz w:val="16"/>
        </w:rPr>
        <w:t xml:space="preserve"> </w:t>
      </w:r>
      <w:r w:rsidRPr="00333AE0">
        <w:rPr>
          <w:sz w:val="16"/>
        </w:rPr>
        <w:t>a given reform) criteria for each of the dimensions that would be cross-</w:t>
      </w:r>
      <w:r w:rsidR="00333AE0" w:rsidRPr="00333AE0">
        <w:rPr>
          <w:sz w:val="16"/>
        </w:rPr>
        <w:t xml:space="preserve"> </w:t>
      </w:r>
      <w:r w:rsidRPr="00333AE0">
        <w:rPr>
          <w:sz w:val="16"/>
        </w:rPr>
        <w:t>comparable with a variety of countries.</w:t>
      </w:r>
      <w:r w:rsidR="00333AE0" w:rsidRPr="00333AE0">
        <w:rPr>
          <w:sz w:val="16"/>
        </w:rPr>
        <w:t xml:space="preserve"> </w:t>
      </w:r>
      <w:r w:rsidRPr="00333AE0">
        <w:rPr>
          <w:rStyle w:val="StyleUnderline"/>
          <w:highlight w:val="yellow"/>
        </w:rPr>
        <w:t>In order to avoid subjectivity</w:t>
      </w:r>
      <w:r w:rsidRPr="00333AE0">
        <w:rPr>
          <w:sz w:val="16"/>
        </w:rPr>
        <w:t xml:space="preserve"> in the classification, as far as possible, a</w:t>
      </w:r>
      <w:r w:rsidR="00333AE0" w:rsidRPr="00333AE0">
        <w:rPr>
          <w:sz w:val="16"/>
        </w:rPr>
        <w:t xml:space="preserve"> </w:t>
      </w:r>
      <w:r w:rsidRPr="00333AE0">
        <w:rPr>
          <w:sz w:val="16"/>
        </w:rPr>
        <w:t xml:space="preserve">variety of </w:t>
      </w:r>
      <w:r w:rsidRPr="00333AE0">
        <w:rPr>
          <w:rStyle w:val="StyleUnderline"/>
          <w:highlight w:val="yellow"/>
        </w:rPr>
        <w:t>criteria were developed</w:t>
      </w:r>
      <w:r w:rsidRPr="00333AE0">
        <w:rPr>
          <w:sz w:val="16"/>
        </w:rPr>
        <w:t xml:space="preserve"> for each of the dimensions included in the</w:t>
      </w:r>
      <w:r w:rsidR="00333AE0" w:rsidRPr="00333AE0">
        <w:rPr>
          <w:sz w:val="16"/>
        </w:rPr>
        <w:t xml:space="preserve"> </w:t>
      </w:r>
      <w:r w:rsidRPr="00333AE0">
        <w:rPr>
          <w:sz w:val="16"/>
        </w:rPr>
        <w:t>database using criteria developed by specialized secondary sources (such as</w:t>
      </w:r>
      <w:r w:rsidR="00333AE0" w:rsidRPr="00333AE0">
        <w:rPr>
          <w:sz w:val="16"/>
        </w:rPr>
        <w:t xml:space="preserve"> Jacobs and </w:t>
      </w:r>
      <w:proofErr w:type="spellStart"/>
      <w:r w:rsidR="00333AE0" w:rsidRPr="00333AE0">
        <w:rPr>
          <w:sz w:val="16"/>
        </w:rPr>
        <w:t>Leyenaar</w:t>
      </w:r>
      <w:proofErr w:type="spellEnd"/>
      <w:r w:rsidR="00333AE0" w:rsidRPr="00333AE0">
        <w:rPr>
          <w:sz w:val="16"/>
        </w:rPr>
        <w:t xml:space="preserve"> 2011</w:t>
      </w:r>
      <w:r w:rsidRPr="00333AE0">
        <w:rPr>
          <w:sz w:val="16"/>
        </w:rPr>
        <w:t xml:space="preserve">l; </w:t>
      </w:r>
      <w:proofErr w:type="spellStart"/>
      <w:r w:rsidRPr="00333AE0">
        <w:rPr>
          <w:sz w:val="16"/>
        </w:rPr>
        <w:t>Hooghe</w:t>
      </w:r>
      <w:proofErr w:type="spellEnd"/>
      <w:r w:rsidRPr="00333AE0">
        <w:rPr>
          <w:sz w:val="16"/>
        </w:rPr>
        <w:t xml:space="preserve">, Marks, and </w:t>
      </w:r>
      <w:proofErr w:type="spellStart"/>
      <w:r w:rsidRPr="00333AE0">
        <w:rPr>
          <w:sz w:val="16"/>
        </w:rPr>
        <w:t>Schakel</w:t>
      </w:r>
      <w:proofErr w:type="spellEnd"/>
      <w:r w:rsidRPr="00333AE0">
        <w:rPr>
          <w:sz w:val="16"/>
        </w:rPr>
        <w:t xml:space="preserve"> 2010) whenever</w:t>
      </w:r>
      <w:r w:rsidR="00333AE0" w:rsidRPr="00333AE0">
        <w:rPr>
          <w:sz w:val="16"/>
        </w:rPr>
        <w:t xml:space="preserve"> </w:t>
      </w:r>
      <w:r w:rsidRPr="00333AE0">
        <w:rPr>
          <w:sz w:val="16"/>
        </w:rPr>
        <w:t>possible. In cases when the content of a given institutional reform could be</w:t>
      </w:r>
      <w:r w:rsidR="00333AE0" w:rsidRPr="00333AE0">
        <w:rPr>
          <w:sz w:val="16"/>
        </w:rPr>
        <w:t xml:space="preserve"> described through quantifiable set-off points (such as distinct magnitude, the number of seats in parliament, the number of citizens entitled to vote, and so on), a threshold of 20 percent was used to determine the scope of the reform, as proposed by </w:t>
      </w:r>
      <w:proofErr w:type="spellStart"/>
      <w:r w:rsidR="00333AE0" w:rsidRPr="00333AE0">
        <w:rPr>
          <w:sz w:val="16"/>
        </w:rPr>
        <w:t>Lijphart</w:t>
      </w:r>
      <w:proofErr w:type="spellEnd"/>
      <w:r w:rsidR="00333AE0" w:rsidRPr="00333AE0">
        <w:rPr>
          <w:sz w:val="16"/>
        </w:rPr>
        <w:t xml:space="preserve"> in his dealings with electoral reforms (1984). </w:t>
      </w:r>
      <w:r w:rsidR="00333AE0" w:rsidRPr="00333AE0">
        <w:rPr>
          <w:rStyle w:val="StyleUnderline"/>
          <w:highlight w:val="yellow"/>
        </w:rPr>
        <w:t>Overall, reforms are classified as substantial when they affect</w:t>
      </w:r>
      <w:r w:rsidR="00333AE0" w:rsidRPr="00333AE0">
        <w:rPr>
          <w:sz w:val="16"/>
        </w:rPr>
        <w:t xml:space="preserve"> the national </w:t>
      </w:r>
      <w:r w:rsidRPr="00333AE0">
        <w:rPr>
          <w:sz w:val="16"/>
        </w:rPr>
        <w:t>level (</w:t>
      </w:r>
      <w:r w:rsidRPr="00333AE0">
        <w:rPr>
          <w:rStyle w:val="StyleUnderline"/>
          <w:highlight w:val="yellow"/>
        </w:rPr>
        <w:t>the whole country</w:t>
      </w:r>
      <w:r w:rsidRPr="00333AE0">
        <w:rPr>
          <w:sz w:val="16"/>
        </w:rPr>
        <w:t>), have a direct impact on the relationship between the</w:t>
      </w:r>
      <w:r w:rsidR="00333AE0" w:rsidRPr="00333AE0">
        <w:rPr>
          <w:sz w:val="16"/>
        </w:rPr>
        <w:t xml:space="preserve"> </w:t>
      </w:r>
      <w:r w:rsidRPr="00333AE0">
        <w:rPr>
          <w:sz w:val="16"/>
        </w:rPr>
        <w:t>citizenry and the political system, and between the actors within the political</w:t>
      </w:r>
      <w:r w:rsidR="00333AE0" w:rsidRPr="00333AE0">
        <w:rPr>
          <w:sz w:val="16"/>
        </w:rPr>
        <w:t xml:space="preserve"> </w:t>
      </w:r>
      <w:r w:rsidRPr="00333AE0">
        <w:rPr>
          <w:sz w:val="16"/>
        </w:rPr>
        <w:t xml:space="preserve">system, </w:t>
      </w:r>
      <w:r w:rsidRPr="00333AE0">
        <w:rPr>
          <w:rStyle w:val="StyleUnderline"/>
          <w:highlight w:val="yellow"/>
        </w:rPr>
        <w:t>and when their quantifiable dimensions meet the 20 per cent threshold</w:t>
      </w:r>
      <w:r w:rsidR="00333AE0" w:rsidRPr="00333AE0">
        <w:rPr>
          <w:sz w:val="16"/>
        </w:rPr>
        <w:t xml:space="preserve"> </w:t>
      </w:r>
      <w:r w:rsidRPr="00333AE0">
        <w:rPr>
          <w:sz w:val="16"/>
        </w:rPr>
        <w:t>(Appendix 2).</w:t>
      </w:r>
    </w:p>
    <w:p w:rsidR="00344506" w:rsidRDefault="00344506" w:rsidP="00344506"/>
    <w:p w:rsidR="005A30FD" w:rsidRDefault="005A30FD" w:rsidP="005A30FD">
      <w:pPr>
        <w:pStyle w:val="Heading4"/>
      </w:pPr>
      <w:r>
        <w:t>Reforms to specific elements of the law are minor reforms</w:t>
      </w:r>
    </w:p>
    <w:p w:rsidR="00C94716" w:rsidRDefault="00C94716" w:rsidP="00344506">
      <w:r w:rsidRPr="00C94716">
        <w:rPr>
          <w:rStyle w:val="Style13ptBold"/>
        </w:rPr>
        <w:t>O’Connor et al 7</w:t>
      </w:r>
      <w:r>
        <w:t xml:space="preserve"> VIVIENNE O'CONNOR is the rule of law project officer at the Irish Centre for Human Rights, National University of Ireland, </w:t>
      </w:r>
      <w:proofErr w:type="gramStart"/>
      <w:r>
        <w:t>Galway</w:t>
      </w:r>
      <w:proofErr w:type="gramEnd"/>
      <w:r>
        <w:t xml:space="preserve">. </w:t>
      </w:r>
      <w:proofErr w:type="gramStart"/>
      <w:r>
        <w:t>and</w:t>
      </w:r>
      <w:proofErr w:type="gramEnd"/>
      <w:r>
        <w:t xml:space="preserve"> </w:t>
      </w:r>
      <w:proofErr w:type="spellStart"/>
      <w:r>
        <w:t>codirector</w:t>
      </w:r>
      <w:proofErr w:type="spellEnd"/>
      <w:r>
        <w:t xml:space="preserve"> of the Model Codes for Post-Conflict Criminal </w:t>
      </w:r>
      <w:proofErr w:type="spellStart"/>
      <w:r>
        <w:t>lustice</w:t>
      </w:r>
      <w:proofErr w:type="spellEnd"/>
      <w:r>
        <w:t xml:space="preserve"> Project. She is also a senior fellow of the University of Melbourne, Model Codes for Post-conflict Criminal Justice, Volume 1, </w:t>
      </w:r>
      <w:proofErr w:type="gramStart"/>
      <w:r>
        <w:t>pp</w:t>
      </w:r>
      <w:proofErr w:type="gramEnd"/>
      <w:r>
        <w:t>. 24-5</w:t>
      </w:r>
    </w:p>
    <w:p w:rsidR="00C94716" w:rsidRPr="005A30FD" w:rsidRDefault="00C94716" w:rsidP="00344506">
      <w:pPr>
        <w:rPr>
          <w:sz w:val="16"/>
        </w:rPr>
      </w:pPr>
      <w:r w:rsidRPr="00C94716">
        <w:rPr>
          <w:rStyle w:val="StyleUnderline"/>
          <w:highlight w:val="yellow"/>
        </w:rPr>
        <w:t>Law reform actors must decide</w:t>
      </w:r>
      <w:r w:rsidRPr="005A30FD">
        <w:rPr>
          <w:sz w:val="16"/>
        </w:rPr>
        <w:t xml:space="preserve"> whether to work with the law as it is and postpone</w:t>
      </w:r>
      <w:r w:rsidR="005A30FD" w:rsidRPr="005A30FD">
        <w:rPr>
          <w:sz w:val="16"/>
        </w:rPr>
        <w:t xml:space="preserve"> </w:t>
      </w:r>
      <w:r w:rsidRPr="005A30FD">
        <w:rPr>
          <w:sz w:val="16"/>
        </w:rPr>
        <w:t xml:space="preserve">reform until </w:t>
      </w:r>
      <w:r w:rsidRPr="00C94716">
        <w:rPr>
          <w:rStyle w:val="StyleUnderline"/>
          <w:highlight w:val="yellow"/>
        </w:rPr>
        <w:t>a comprehensive program of reform</w:t>
      </w:r>
      <w:r w:rsidRPr="005A30FD">
        <w:rPr>
          <w:sz w:val="16"/>
        </w:rPr>
        <w:t xml:space="preserve"> can be conducted </w:t>
      </w:r>
      <w:r w:rsidRPr="00C94716">
        <w:rPr>
          <w:rStyle w:val="StyleUnderline"/>
          <w:highlight w:val="yellow"/>
        </w:rPr>
        <w:t>or</w:t>
      </w:r>
      <w:r w:rsidRPr="005A30FD">
        <w:rPr>
          <w:sz w:val="16"/>
        </w:rPr>
        <w:t xml:space="preserve"> engage in </w:t>
      </w:r>
      <w:r w:rsidRPr="005A30FD">
        <w:rPr>
          <w:rStyle w:val="StyleUnderline"/>
        </w:rPr>
        <w:t>a</w:t>
      </w:r>
      <w:r w:rsidR="005A30FD">
        <w:rPr>
          <w:rStyle w:val="StyleUnderline"/>
        </w:rPr>
        <w:t xml:space="preserve"> </w:t>
      </w:r>
      <w:r w:rsidRPr="005A30FD">
        <w:rPr>
          <w:rStyle w:val="StyleUnderline"/>
        </w:rPr>
        <w:t>small-scale reform process by pressing ahead</w:t>
      </w:r>
      <w:r w:rsidRPr="005A30FD">
        <w:rPr>
          <w:sz w:val="16"/>
        </w:rPr>
        <w:t xml:space="preserve"> immediately </w:t>
      </w:r>
      <w:r w:rsidRPr="005A30FD">
        <w:rPr>
          <w:rStyle w:val="StyleUnderline"/>
        </w:rPr>
        <w:t>with</w:t>
      </w:r>
      <w:r w:rsidRPr="00C94716">
        <w:rPr>
          <w:rStyle w:val="StyleUnderline"/>
        </w:rPr>
        <w:t xml:space="preserve"> </w:t>
      </w:r>
      <w:r w:rsidRPr="005A30FD">
        <w:rPr>
          <w:sz w:val="16"/>
        </w:rPr>
        <w:t xml:space="preserve">ad hoc and </w:t>
      </w:r>
      <w:r w:rsidRPr="00C94716">
        <w:rPr>
          <w:rStyle w:val="StyleUnderline"/>
          <w:highlight w:val="yellow"/>
        </w:rPr>
        <w:t>minor</w:t>
      </w:r>
      <w:r w:rsidR="005A30FD">
        <w:rPr>
          <w:rStyle w:val="StyleUnderline"/>
          <w:highlight w:val="yellow"/>
        </w:rPr>
        <w:t xml:space="preserve"> </w:t>
      </w:r>
      <w:r w:rsidRPr="00C94716">
        <w:rPr>
          <w:rStyle w:val="StyleUnderline"/>
          <w:highlight w:val="yellow"/>
        </w:rPr>
        <w:t>reforms to specific elements of the law or reform of discrete segments of the legal</w:t>
      </w:r>
      <w:r w:rsidR="005A30FD">
        <w:rPr>
          <w:rStyle w:val="StyleUnderline"/>
          <w:highlight w:val="yellow"/>
        </w:rPr>
        <w:t xml:space="preserve"> </w:t>
      </w:r>
      <w:r w:rsidRPr="00C94716">
        <w:rPr>
          <w:rStyle w:val="StyleUnderline"/>
          <w:highlight w:val="yellow"/>
        </w:rPr>
        <w:t>framework</w:t>
      </w:r>
      <w:r w:rsidRPr="005A30FD">
        <w:rPr>
          <w:sz w:val="16"/>
        </w:rPr>
        <w:t xml:space="preserve"> (in hopes. perhaps, of a more holistic reform being conducted </w:t>
      </w:r>
      <w:proofErr w:type="spellStart"/>
      <w:r w:rsidRPr="005A30FD">
        <w:rPr>
          <w:sz w:val="16"/>
        </w:rPr>
        <w:t>subse</w:t>
      </w:r>
      <w:proofErr w:type="spellEnd"/>
      <w:r w:rsidRPr="005A30FD">
        <w:rPr>
          <w:sz w:val="16"/>
        </w:rPr>
        <w:t>-</w:t>
      </w:r>
      <w:r w:rsidR="005A30FD" w:rsidRPr="005A30FD">
        <w:rPr>
          <w:sz w:val="16"/>
        </w:rPr>
        <w:t xml:space="preserve"> </w:t>
      </w:r>
      <w:proofErr w:type="spellStart"/>
      <w:r w:rsidR="005A30FD" w:rsidRPr="005A30FD">
        <w:rPr>
          <w:sz w:val="16"/>
        </w:rPr>
        <w:t>quently</w:t>
      </w:r>
      <w:proofErr w:type="spellEnd"/>
      <w:r w:rsidR="005A30FD" w:rsidRPr="005A30FD">
        <w:rPr>
          <w:sz w:val="16"/>
        </w:rPr>
        <w:t xml:space="preserve">). Such small-scale, or targeted, reforms are often essential in post-conflict states (for instance, they may be necessary to deal with a particular crime problem that is plaguing the state and is not adequately addressed by existing laws) and, indeed. </w:t>
      </w:r>
      <w:proofErr w:type="gramStart"/>
      <w:r w:rsidR="005A30FD" w:rsidRPr="005A30FD">
        <w:rPr>
          <w:sz w:val="16"/>
        </w:rPr>
        <w:t>are</w:t>
      </w:r>
      <w:proofErr w:type="gramEnd"/>
      <w:r w:rsidR="005A30FD" w:rsidRPr="005A30FD">
        <w:rPr>
          <w:sz w:val="16"/>
        </w:rPr>
        <w:t xml:space="preserve"> conducted on an ongoing basis in many states around the world. However, in a post- conflict context, where the entire criminal law framework is</w:t>
      </w:r>
      <w:r w:rsidRPr="005A30FD">
        <w:rPr>
          <w:sz w:val="16"/>
        </w:rPr>
        <w:t xml:space="preserve"> o</w:t>
      </w:r>
      <w:r w:rsidR="005A30FD" w:rsidRPr="005A30FD">
        <w:rPr>
          <w:sz w:val="16"/>
        </w:rPr>
        <w:t>ften</w:t>
      </w:r>
      <w:r w:rsidRPr="005A30FD">
        <w:rPr>
          <w:sz w:val="16"/>
        </w:rPr>
        <w:t xml:space="preserve"> grossly </w:t>
      </w:r>
      <w:r w:rsidR="005A30FD" w:rsidRPr="005A30FD">
        <w:rPr>
          <w:sz w:val="16"/>
        </w:rPr>
        <w:t>inadequate</w:t>
      </w:r>
      <w:r w:rsidRPr="005A30FD">
        <w:rPr>
          <w:sz w:val="16"/>
        </w:rPr>
        <w:t>,</w:t>
      </w:r>
      <w:r w:rsidR="005A30FD" w:rsidRPr="005A30FD">
        <w:rPr>
          <w:sz w:val="16"/>
        </w:rPr>
        <w:t xml:space="preserve"> </w:t>
      </w:r>
      <w:r w:rsidRPr="005A30FD">
        <w:rPr>
          <w:rStyle w:val="StyleUnderline"/>
          <w:highlight w:val="yellow"/>
        </w:rPr>
        <w:t>a more holistic reform process</w:t>
      </w:r>
      <w:r w:rsidRPr="005A30FD">
        <w:rPr>
          <w:sz w:val="16"/>
        </w:rPr>
        <w:t xml:space="preserve"> may be required in order to be effective. This process</w:t>
      </w:r>
      <w:r w:rsidR="005A30FD" w:rsidRPr="005A30FD">
        <w:rPr>
          <w:sz w:val="16"/>
        </w:rPr>
        <w:t xml:space="preserve"> </w:t>
      </w:r>
      <w:r w:rsidRPr="005A30FD">
        <w:rPr>
          <w:rStyle w:val="StyleUnderline"/>
          <w:highlight w:val="yellow"/>
        </w:rPr>
        <w:t>should address all criminal law</w:t>
      </w:r>
      <w:r w:rsidRPr="005A30FD">
        <w:rPr>
          <w:rStyle w:val="StyleUnderline"/>
        </w:rPr>
        <w:t xml:space="preserve"> </w:t>
      </w:r>
      <w:r w:rsidRPr="005A30FD">
        <w:rPr>
          <w:sz w:val="16"/>
        </w:rPr>
        <w:t>in the state, including the criminal code, the criminal</w:t>
      </w:r>
      <w:r w:rsidR="005A30FD" w:rsidRPr="005A30FD">
        <w:rPr>
          <w:sz w:val="16"/>
        </w:rPr>
        <w:t xml:space="preserve"> </w:t>
      </w:r>
      <w:r w:rsidRPr="005A30FD">
        <w:rPr>
          <w:sz w:val="16"/>
        </w:rPr>
        <w:t xml:space="preserve">procedure code. </w:t>
      </w:r>
      <w:proofErr w:type="gramStart"/>
      <w:r w:rsidRPr="005A30FD">
        <w:rPr>
          <w:sz w:val="16"/>
        </w:rPr>
        <w:t>prisons</w:t>
      </w:r>
      <w:proofErr w:type="gramEnd"/>
      <w:r w:rsidRPr="005A30FD">
        <w:rPr>
          <w:sz w:val="16"/>
        </w:rPr>
        <w:t xml:space="preserve"> laws, and provisions governing police activities.</w:t>
      </w:r>
    </w:p>
    <w:p w:rsidR="00C94716" w:rsidRDefault="00C94716" w:rsidP="00344506"/>
    <w:p w:rsidR="00C94716" w:rsidRDefault="00C94716" w:rsidP="00344506"/>
    <w:p w:rsidR="00C94716" w:rsidRDefault="00C94716" w:rsidP="00344506"/>
    <w:p w:rsidR="005F3576" w:rsidRDefault="005F3576" w:rsidP="00344506"/>
    <w:p w:rsidR="005F3576" w:rsidRDefault="005F3576" w:rsidP="00344506"/>
    <w:p w:rsidR="00183F00" w:rsidRDefault="00183F00" w:rsidP="00183F00">
      <w:pPr>
        <w:pStyle w:val="Heading4"/>
      </w:pPr>
      <w:r>
        <w:t>Substantial reform must be large enough to change the character of the entire system</w:t>
      </w:r>
    </w:p>
    <w:p w:rsidR="00183F00" w:rsidRPr="00C3790D" w:rsidRDefault="00183F00" w:rsidP="00183F00">
      <w:r w:rsidRPr="00C3790D">
        <w:rPr>
          <w:rStyle w:val="Style13ptBold"/>
        </w:rPr>
        <w:t>U.S. Code 88</w:t>
      </w:r>
      <w:r w:rsidRPr="00C3790D">
        <w:t xml:space="preserve"> 18 U.S. Code § 1093.Definitions, </w:t>
      </w:r>
      <w:hyperlink r:id="rId9" w:anchor="8" w:history="1">
        <w:r w:rsidRPr="00C3790D">
          <w:rPr>
            <w:rStyle w:val="Hyperlink"/>
          </w:rPr>
          <w:t>https://www.law.cornell.edu/uscode/text/18/1093#8</w:t>
        </w:r>
      </w:hyperlink>
    </w:p>
    <w:p w:rsidR="00183F00" w:rsidRDefault="00183F00" w:rsidP="00183F00">
      <w:proofErr w:type="gramStart"/>
      <w:r>
        <w:t>the</w:t>
      </w:r>
      <w:proofErr w:type="gramEnd"/>
      <w:r>
        <w:t xml:space="preserve"> term “</w:t>
      </w:r>
      <w:r w:rsidRPr="00C3790D">
        <w:rPr>
          <w:rStyle w:val="StyleUnderline"/>
          <w:highlight w:val="yellow"/>
        </w:rPr>
        <w:t>substantial part” means a part of a group of such numerical significance that the destruction or loss of that part would cause the destruction of the group as a viable entity</w:t>
      </w:r>
      <w:r w:rsidRPr="00C3790D">
        <w:rPr>
          <w:rStyle w:val="StyleUnderline"/>
        </w:rPr>
        <w:t xml:space="preserve"> </w:t>
      </w:r>
      <w:r>
        <w:t>within the nation of which such group is a part.</w:t>
      </w:r>
    </w:p>
    <w:p w:rsidR="00183F00" w:rsidRPr="00C3790D" w:rsidRDefault="00183F00" w:rsidP="00183F00">
      <w:r>
        <w:t>(Added Pub. L. 100–606, § </w:t>
      </w:r>
      <w:proofErr w:type="gramStart"/>
      <w:r>
        <w:t>2(</w:t>
      </w:r>
      <w:proofErr w:type="gramEnd"/>
      <w:r>
        <w:t>a), Nov. 4, 1988, 102 Stat. 3046.)</w:t>
      </w:r>
    </w:p>
    <w:p w:rsidR="00183F00" w:rsidRDefault="00183F00" w:rsidP="00183F00"/>
    <w:p w:rsidR="00183F00" w:rsidRDefault="00183F00" w:rsidP="00183F00"/>
    <w:p w:rsidR="00183F00" w:rsidRDefault="00183F00" w:rsidP="00183F00">
      <w:pPr>
        <w:pStyle w:val="Heading4"/>
      </w:pPr>
      <w:proofErr w:type="gramStart"/>
      <w:r>
        <w:t>substantial</w:t>
      </w:r>
      <w:proofErr w:type="gramEnd"/>
      <w:r>
        <w:t xml:space="preserve"> means important</w:t>
      </w:r>
      <w:r w:rsidR="00BF1A17">
        <w:t xml:space="preserve"> in the context of reform</w:t>
      </w:r>
    </w:p>
    <w:p w:rsidR="00183F00" w:rsidRPr="00064BFC" w:rsidRDefault="00183F00" w:rsidP="00183F00">
      <w:r w:rsidRPr="00064BFC">
        <w:rPr>
          <w:rStyle w:val="Style13ptBold"/>
        </w:rPr>
        <w:t>Collins Dictionary</w:t>
      </w:r>
      <w:r w:rsidRPr="00064BFC">
        <w:t>, https://www.collinsdictionary.com/us/dictionary/english/substantial</w:t>
      </w:r>
    </w:p>
    <w:p w:rsidR="00183F00" w:rsidRPr="00064BFC" w:rsidRDefault="00183F00" w:rsidP="00183F00">
      <w:pPr>
        <w:pStyle w:val="Heading4"/>
      </w:pPr>
      <w:proofErr w:type="gramStart"/>
      <w:r w:rsidRPr="00064BFC">
        <w:rPr>
          <w:highlight w:val="yellow"/>
        </w:rPr>
        <w:t>substantial</w:t>
      </w:r>
      <w:proofErr w:type="gramEnd"/>
    </w:p>
    <w:p w:rsidR="00183F00" w:rsidRDefault="00183F00" w:rsidP="00183F00">
      <w:pPr>
        <w:rPr>
          <w:rStyle w:val="StyleUnderline"/>
        </w:rPr>
      </w:pPr>
      <w:proofErr w:type="gramStart"/>
      <w:r>
        <w:t>in</w:t>
      </w:r>
      <w:proofErr w:type="gramEnd"/>
      <w:r>
        <w:t xml:space="preserve"> British English (</w:t>
      </w:r>
      <w:proofErr w:type="spellStart"/>
      <w:r>
        <w:t>səbˈstænʃəl</w:t>
      </w:r>
      <w:proofErr w:type="spellEnd"/>
      <w:r>
        <w:t xml:space="preserve"> ) ADJECTIVE 1. </w:t>
      </w:r>
      <w:proofErr w:type="gramStart"/>
      <w:r>
        <w:t>of</w:t>
      </w:r>
      <w:proofErr w:type="gramEnd"/>
      <w:r>
        <w:t xml:space="preserve"> a considerable size or value substantial funds 2. </w:t>
      </w:r>
      <w:proofErr w:type="gramStart"/>
      <w:r w:rsidRPr="00064BFC">
        <w:rPr>
          <w:rStyle w:val="StyleUnderline"/>
          <w:highlight w:val="yellow"/>
        </w:rPr>
        <w:t>worthwhile</w:t>
      </w:r>
      <w:proofErr w:type="gramEnd"/>
      <w:r w:rsidRPr="00064BFC">
        <w:rPr>
          <w:rStyle w:val="StyleUnderline"/>
          <w:highlight w:val="yellow"/>
        </w:rPr>
        <w:t>; important</w:t>
      </w:r>
      <w:r>
        <w:rPr>
          <w:rStyle w:val="StyleUnderline"/>
          <w:highlight w:val="yellow"/>
        </w:rPr>
        <w:t xml:space="preserve"> </w:t>
      </w:r>
      <w:r w:rsidRPr="00064BFC">
        <w:rPr>
          <w:rStyle w:val="StyleUnderline"/>
          <w:highlight w:val="yellow"/>
        </w:rPr>
        <w:t>a substantial reform</w:t>
      </w:r>
    </w:p>
    <w:p w:rsidR="00183F00" w:rsidRDefault="00183F00" w:rsidP="00183F00">
      <w:pPr>
        <w:rPr>
          <w:rStyle w:val="StyleUnderline"/>
        </w:rPr>
      </w:pPr>
    </w:p>
    <w:p w:rsidR="00183F00" w:rsidRPr="00CA6B9D" w:rsidRDefault="00183F00" w:rsidP="00183F00">
      <w:pPr>
        <w:pStyle w:val="Heading4"/>
      </w:pPr>
      <w:r w:rsidRPr="00CA6B9D">
        <w:t>A substantial reform is an important reform</w:t>
      </w:r>
    </w:p>
    <w:p w:rsidR="00183F00" w:rsidRPr="00B23100" w:rsidRDefault="00183F00" w:rsidP="00183F00">
      <w:pPr>
        <w:rPr>
          <w:rStyle w:val="Style13ptBold"/>
        </w:rPr>
      </w:pPr>
      <w:r w:rsidRPr="00B23100">
        <w:rPr>
          <w:rStyle w:val="Style13ptBold"/>
        </w:rPr>
        <w:t>Dictionary.com</w:t>
      </w:r>
    </w:p>
    <w:p w:rsidR="00183F00" w:rsidRPr="00B23100" w:rsidRDefault="00183F00" w:rsidP="00183F00">
      <w:r>
        <w:rPr>
          <w:rStyle w:val="StyleUnderline"/>
        </w:rPr>
        <w:t xml:space="preserve"> </w:t>
      </w:r>
      <w:proofErr w:type="gramStart"/>
      <w:r w:rsidRPr="00B23100">
        <w:rPr>
          <w:rStyle w:val="StyleUnderline"/>
          <w:highlight w:val="yellow"/>
        </w:rPr>
        <w:t>substantial</w:t>
      </w:r>
      <w:proofErr w:type="gramEnd"/>
      <w:r w:rsidRPr="00B23100">
        <w:t>/ (</w:t>
      </w:r>
      <w:proofErr w:type="spellStart"/>
      <w:r w:rsidRPr="00B23100">
        <w:t>səbˈstænʃəl</w:t>
      </w:r>
      <w:proofErr w:type="spellEnd"/>
      <w:r w:rsidRPr="00B23100">
        <w:t>) /</w:t>
      </w:r>
      <w:r>
        <w:t xml:space="preserve"> </w:t>
      </w:r>
      <w:r w:rsidRPr="00B23100">
        <w:t>adjective</w:t>
      </w:r>
      <w:r>
        <w:t xml:space="preserve"> 1. </w:t>
      </w:r>
      <w:proofErr w:type="gramStart"/>
      <w:r w:rsidRPr="00B23100">
        <w:t>of</w:t>
      </w:r>
      <w:proofErr w:type="gramEnd"/>
      <w:r w:rsidRPr="00B23100">
        <w:t xml:space="preserve"> a considerable size or value</w:t>
      </w:r>
      <w:r>
        <w:t xml:space="preserve"> </w:t>
      </w:r>
      <w:r w:rsidRPr="00B23100">
        <w:t>substantial funds</w:t>
      </w:r>
      <w:r>
        <w:t xml:space="preserve"> 2. </w:t>
      </w:r>
      <w:proofErr w:type="gramStart"/>
      <w:r w:rsidRPr="008B7D23">
        <w:rPr>
          <w:rStyle w:val="StyleUnderline"/>
          <w:highlight w:val="yellow"/>
        </w:rPr>
        <w:t>worthwhile</w:t>
      </w:r>
      <w:proofErr w:type="gramEnd"/>
      <w:r w:rsidRPr="008B7D23">
        <w:rPr>
          <w:rStyle w:val="StyleUnderline"/>
          <w:highlight w:val="yellow"/>
        </w:rPr>
        <w:t xml:space="preserve">;   important </w:t>
      </w:r>
      <w:r w:rsidRPr="00B23100">
        <w:rPr>
          <w:rStyle w:val="StyleUnderline"/>
          <w:highlight w:val="yellow"/>
        </w:rPr>
        <w:t>a substantial reform</w:t>
      </w:r>
    </w:p>
    <w:p w:rsidR="00183F00" w:rsidRDefault="00183F00" w:rsidP="00183F00"/>
    <w:p w:rsidR="00183F00" w:rsidRDefault="00183F00" w:rsidP="00183F00">
      <w:pPr>
        <w:pStyle w:val="Heading4"/>
      </w:pPr>
      <w:r>
        <w:t>The first step act is substantial reform because it changes mandatory minimums in multiple area</w:t>
      </w:r>
    </w:p>
    <w:p w:rsidR="00183F00" w:rsidRDefault="00183F00" w:rsidP="00183F00">
      <w:r w:rsidRPr="00573B68">
        <w:rPr>
          <w:rStyle w:val="Style13ptBold"/>
        </w:rPr>
        <w:t>Goran 19</w:t>
      </w:r>
      <w:r>
        <w:t xml:space="preserve"> Eisner </w:t>
      </w:r>
      <w:proofErr w:type="spellStart"/>
      <w:r>
        <w:t>Gorin</w:t>
      </w:r>
      <w:proofErr w:type="spellEnd"/>
      <w:r>
        <w:t xml:space="preserve"> LLP Criminal attorneys, First Step Act and Changes to Federal Sentencing October 1, </w:t>
      </w:r>
      <w:proofErr w:type="gramStart"/>
      <w:r>
        <w:t>2019 ,</w:t>
      </w:r>
      <w:proofErr w:type="gramEnd"/>
      <w:r>
        <w:t xml:space="preserve"> https://www.thefederalcriminalattorneys.com/first-step-act-changes-federal-sentencing/</w:t>
      </w:r>
    </w:p>
    <w:p w:rsidR="00183F00" w:rsidRDefault="00183F00" w:rsidP="00183F00">
      <w:r>
        <w:t xml:space="preserve">The federal government’s focus on criminal justice reform has resulted in Congress passing </w:t>
      </w:r>
      <w:r w:rsidRPr="00B23100">
        <w:rPr>
          <w:rStyle w:val="StyleUnderline"/>
          <w:highlight w:val="yellow"/>
        </w:rPr>
        <w:t>the First Step Act</w:t>
      </w:r>
      <w:r>
        <w:t xml:space="preserve">, which </w:t>
      </w:r>
      <w:r w:rsidRPr="00B23100">
        <w:rPr>
          <w:rStyle w:val="StyleUnderline"/>
          <w:highlight w:val="yellow"/>
        </w:rPr>
        <w:t>has made substantial changes</w:t>
      </w:r>
      <w:r w:rsidRPr="00B23100">
        <w:rPr>
          <w:rStyle w:val="StyleUnderline"/>
        </w:rPr>
        <w:t xml:space="preserve"> to</w:t>
      </w:r>
      <w:r>
        <w:t xml:space="preserve"> several aspects of </w:t>
      </w:r>
      <w:r w:rsidRPr="00B23100">
        <w:rPr>
          <w:rStyle w:val="StyleUnderline"/>
          <w:highlight w:val="yellow"/>
        </w:rPr>
        <w:t>federal criminal laws.</w:t>
      </w:r>
      <w:r>
        <w:t xml:space="preserve"> </w:t>
      </w:r>
      <w:r w:rsidRPr="00B23100">
        <w:rPr>
          <w:rStyle w:val="StyleUnderline"/>
          <w:highlight w:val="yellow"/>
        </w:rPr>
        <w:t>A notable change is the application of sentencing guidelines to federal offenses</w:t>
      </w:r>
      <w:r>
        <w:t xml:space="preserve">. </w:t>
      </w:r>
      <w:r w:rsidRPr="00B23100">
        <w:rPr>
          <w:rStyle w:val="StyleUnderline"/>
          <w:highlight w:val="yellow"/>
        </w:rPr>
        <w:t>A highly significant change</w:t>
      </w:r>
      <w:r>
        <w:t xml:space="preserve"> in sentencing </w:t>
      </w:r>
      <w:r w:rsidRPr="00B23100">
        <w:rPr>
          <w:rStyle w:val="StyleUnderline"/>
          <w:highlight w:val="yellow"/>
        </w:rPr>
        <w:t>applies to a second and subsequent convictions for drug-related crime.</w:t>
      </w:r>
      <w:r>
        <w:t xml:space="preserve"> Under the previous law, if you were convicted of a third drug offense under 21 U.S.C. §§ 841/851, you could be facing a mandatory life sentence. </w:t>
      </w:r>
      <w:r w:rsidRPr="00B23100">
        <w:rPr>
          <w:rStyle w:val="StyleUnderline"/>
          <w:highlight w:val="yellow"/>
        </w:rPr>
        <w:t>The First Step Act has reduced this sentencing provision to a 25-year mandatory minimum</w:t>
      </w:r>
      <w:r>
        <w:t xml:space="preserve">. Clearly, this recent deduction still represents a significant sentence, but still much less than life in a federal prison. </w:t>
      </w:r>
      <w:r w:rsidRPr="00B23100">
        <w:rPr>
          <w:rStyle w:val="StyleUnderline"/>
          <w:highlight w:val="yellow"/>
        </w:rPr>
        <w:t>Another significant change is the legal definition of drug crime that would trigger a mandatory minimum sentence has been redefined.</w:t>
      </w:r>
      <w:r>
        <w:t xml:space="preserve"> Before, the third drug-related crime could include even a low-level state drug crime. Now, under the First Step Act, qualifying, previous drug offenses must be a felony drug crime or a serious violent felony offense. Whenever there are new laws that affect sentencing, it’s common to expect future litigation designed to clear up any confusion on exactly which State and federal prior convictions will fall into the new categories. Another reform deals with the previous 20-year mandatory minimum for a second drug offense under 21 U.S.C. § 841/851. Under the First Step Act, it has now been reduced to a 15-year mandatory minimum. Just like the first reform discussed above, the category of a qualifying prior offense has also been changed to felony drug crime or a serious violent felony. It should be noted these reforms to drug crime sentencing only apply to future cases. In other words, they are not retroactive re-sentencing provisions. Stacking Allegations Eliminated </w:t>
      </w:r>
      <w:r w:rsidRPr="00573B68">
        <w:rPr>
          <w:rStyle w:val="StyleUnderline"/>
          <w:highlight w:val="yellow"/>
        </w:rPr>
        <w:t>A substantial reform</w:t>
      </w:r>
      <w:r>
        <w:t xml:space="preserve"> under the First Step Act </w:t>
      </w:r>
      <w:r w:rsidRPr="00B23100">
        <w:rPr>
          <w:rStyle w:val="StyleUnderline"/>
          <w:highlight w:val="yellow"/>
        </w:rPr>
        <w:t>is the elimination of</w:t>
      </w:r>
      <w:r>
        <w:t xml:space="preserve"> 18 USC § 924 </w:t>
      </w:r>
      <w:r w:rsidRPr="00B23100">
        <w:rPr>
          <w:rStyle w:val="StyleUnderline"/>
          <w:highlight w:val="yellow"/>
        </w:rPr>
        <w:t>stacking. In federal sentencing</w:t>
      </w:r>
      <w:r>
        <w:t xml:space="preserve">, 924 stacking is referring to using multiple 18 U.S.C. § 924(c) allegations – which is considered a serious firearm-related offense – in the same case. Before, multiple § 924 convictions in the same case – even if it was a first offense – could trigger a 25-year mandatory minimum prison sentence. Now, under </w:t>
      </w:r>
      <w:r w:rsidRPr="00B23100">
        <w:rPr>
          <w:rStyle w:val="StyleUnderline"/>
          <w:highlight w:val="yellow"/>
        </w:rPr>
        <w:t>the First Step Act</w:t>
      </w:r>
      <w:r>
        <w:t xml:space="preserve">, it </w:t>
      </w:r>
      <w:r w:rsidRPr="00B23100">
        <w:rPr>
          <w:rStyle w:val="StyleUnderline"/>
          <w:highlight w:val="yellow"/>
        </w:rPr>
        <w:t>prevents this type of “stacking,” and ensures a mandatory minimum is only triggered in a situation of</w:t>
      </w:r>
      <w:r>
        <w:t xml:space="preserve"> § 924 convictions in </w:t>
      </w:r>
      <w:r w:rsidRPr="00B23100">
        <w:rPr>
          <w:rStyle w:val="StyleUnderline"/>
          <w:highlight w:val="yellow"/>
        </w:rPr>
        <w:t>a second or subsequent case</w:t>
      </w:r>
      <w:r>
        <w:t>. Also, a first-offender is not exposed to a 25-year mandatory minimum sentence. Again, just like the other drug crime reforms discussed above, the § 924 stacking reform is not retroactive for anyone with prior convictions. This means the recent change in law will not provide any type of relief for anyone currently serving 25-year mandatory minimum prison sentences that were based on a first offense conviction involving multiple § 924(c) counts.</w:t>
      </w:r>
    </w:p>
    <w:p w:rsidR="00183F00" w:rsidRDefault="00183F00" w:rsidP="00183F00"/>
    <w:p w:rsidR="00183F00" w:rsidRDefault="00183F00" w:rsidP="00183F00">
      <w:pPr>
        <w:pStyle w:val="Heading4"/>
      </w:pPr>
      <w:r>
        <w:t xml:space="preserve">Contextually substantial reform requires changing multiple components of the system </w:t>
      </w:r>
    </w:p>
    <w:p w:rsidR="00183F00" w:rsidRDefault="00183F00" w:rsidP="00183F00">
      <w:r w:rsidRPr="00FE531F">
        <w:rPr>
          <w:rStyle w:val="Style13ptBold"/>
        </w:rPr>
        <w:t>Griffin 19</w:t>
      </w:r>
      <w:r>
        <w:t xml:space="preserve"> Patrick Griffin attorney at law FEBRUARY 14, 2019 BY P. GRIFFIN NEWS Interpreting the Groundbreaking “First Step Act”, </w:t>
      </w:r>
      <w:hyperlink r:id="rId10" w:history="1">
        <w:r w:rsidRPr="00593304">
          <w:rPr>
            <w:rStyle w:val="Hyperlink"/>
          </w:rPr>
          <w:t>https://patrickgriffinlaw.com/blog/first-step-act/</w:t>
        </w:r>
      </w:hyperlink>
    </w:p>
    <w:p w:rsidR="00183F00" w:rsidRPr="00525B66" w:rsidRDefault="00183F00" w:rsidP="00183F00">
      <w:pPr>
        <w:rPr>
          <w:sz w:val="16"/>
        </w:rPr>
      </w:pPr>
      <w:r w:rsidRPr="00525B66">
        <w:rPr>
          <w:sz w:val="16"/>
        </w:rPr>
        <w:t xml:space="preserve">In late 2018, Congress voted to pass </w:t>
      </w:r>
      <w:r w:rsidRPr="00525B66">
        <w:rPr>
          <w:rStyle w:val="Emphasis"/>
          <w:highlight w:val="yellow"/>
        </w:rPr>
        <w:t>substantial criminal justice reform</w:t>
      </w:r>
      <w:r w:rsidRPr="00525B66">
        <w:rPr>
          <w:sz w:val="16"/>
        </w:rPr>
        <w:t xml:space="preserve"> measures, the first of its kind in several decades. </w:t>
      </w:r>
      <w:r w:rsidRPr="004F28BA">
        <w:rPr>
          <w:rStyle w:val="StyleUnderline"/>
          <w:highlight w:val="yellow"/>
        </w:rPr>
        <w:t>Known as the First Step Act, the prison reform bill has several components that are aimed to increase early release</w:t>
      </w:r>
      <w:r w:rsidRPr="00525B66">
        <w:rPr>
          <w:sz w:val="16"/>
        </w:rPr>
        <w:t xml:space="preserve"> and living conditions for those incarcerated. In particular, the act is expected to reduce recidivism rates, or the regression of criminals to commit additional crimes once being released from prison. In addition, </w:t>
      </w:r>
      <w:r w:rsidRPr="004F28BA">
        <w:rPr>
          <w:rStyle w:val="StyleUnderline"/>
          <w:highlight w:val="yellow"/>
        </w:rPr>
        <w:t>the act aimed to reduce the total prison population with early release programs</w:t>
      </w:r>
      <w:r w:rsidRPr="00525B66">
        <w:rPr>
          <w:sz w:val="16"/>
        </w:rPr>
        <w:t xml:space="preserve">, providing classes for job training and aimed to move individuals closer to their family during incarceration. Here are the highlights of the First Step Act, and how it may impact a current or future criminal conviction: First Step Act Passage Introduced as a bipartisan bill to the Senate, the First Step Act was sponsored by Senators Sheldon Whitehouse (D-RI) and John </w:t>
      </w:r>
      <w:proofErr w:type="spellStart"/>
      <w:r w:rsidRPr="00525B66">
        <w:rPr>
          <w:sz w:val="16"/>
        </w:rPr>
        <w:t>Cornyn</w:t>
      </w:r>
      <w:proofErr w:type="spellEnd"/>
      <w:r w:rsidRPr="00525B66">
        <w:rPr>
          <w:sz w:val="16"/>
        </w:rPr>
        <w:t xml:space="preserve"> (R-TX). The measure was passed and signed into law in December 2018 by President Trump. As its name suggests, is a first step in reforming the prison system that has long been criticized for both cost and mass incarceration. Critics of the current system have long called for substantial reform of criminal law because of the high rate of incarceration in the United States, far outpacing other developed nations. Major Changes </w:t>
      </w:r>
      <w:r w:rsidRPr="00525B66">
        <w:rPr>
          <w:rStyle w:val="StyleUnderline"/>
          <w:highlight w:val="yellow"/>
        </w:rPr>
        <w:t>The measure implemented several programs, including reducing the current prison population by giving retroactive credits for time served with good behavior</w:t>
      </w:r>
      <w:r w:rsidRPr="00525B66">
        <w:rPr>
          <w:sz w:val="16"/>
        </w:rPr>
        <w:t xml:space="preserve">. </w:t>
      </w:r>
      <w:r w:rsidRPr="00164C29">
        <w:rPr>
          <w:rStyle w:val="StyleUnderline"/>
          <w:highlight w:val="yellow"/>
        </w:rPr>
        <w:t>This affected approximately 9,000 prisoners in the first year</w:t>
      </w:r>
      <w:r w:rsidRPr="00164C29">
        <w:rPr>
          <w:sz w:val="16"/>
          <w:highlight w:val="yellow"/>
        </w:rPr>
        <w:t>. In</w:t>
      </w:r>
      <w:r w:rsidRPr="00525B66">
        <w:rPr>
          <w:sz w:val="16"/>
        </w:rPr>
        <w:t xml:space="preserve"> addition, the First Step Act gives additional incentives for good behavior and participation in programs. This allows prisoners to partake in additional phone and visitation privileges, helping the person remain connected to their family during incarceration. Lastly, another significant change is to what is called “compassionate release,” which lowers the age requirement for elderly release petition. </w:t>
      </w:r>
      <w:r w:rsidRPr="00525B66">
        <w:rPr>
          <w:rStyle w:val="StyleUnderline"/>
          <w:highlight w:val="yellow"/>
        </w:rPr>
        <w:t>In addition, the act aims to remedy the disparity in crack vs. powder cocaine sentences</w:t>
      </w:r>
      <w:r w:rsidRPr="00525B66">
        <w:rPr>
          <w:sz w:val="16"/>
        </w:rPr>
        <w:t xml:space="preserve">. This reduces the disproportional impact on the African American community when the two drugs are chemically similar, but use and sentencing for African Americans of crack cocaine are more prevalent in the population. For those sentenced for crack cocaine violations before 2010, prisoners can now petition for their case to be re-tried to reflect current standards. As new inmates enter the criminal justice system and additional prisoners become eligible for early releases, the program will have wide sweeping effects on the total prison population for years to come. However, many lawmakers argue that </w:t>
      </w:r>
      <w:r w:rsidRPr="00525B66">
        <w:rPr>
          <w:rStyle w:val="StyleUnderline"/>
          <w:highlight w:val="yellow"/>
        </w:rPr>
        <w:t>this is just one step in a much larger criminal justice reform</w:t>
      </w:r>
      <w:r w:rsidRPr="00525B66">
        <w:rPr>
          <w:sz w:val="16"/>
        </w:rPr>
        <w:t>, which has gained some bipartisan support in a politically divided environment.</w:t>
      </w:r>
    </w:p>
    <w:p w:rsidR="00183F00" w:rsidRDefault="00183F00" w:rsidP="00183F00"/>
    <w:p w:rsidR="00183F00" w:rsidRDefault="00183F00" w:rsidP="00183F00"/>
    <w:p w:rsidR="00183F00" w:rsidRDefault="00183F00" w:rsidP="00183F00">
      <w:pPr>
        <w:pStyle w:val="Heading4"/>
      </w:pPr>
      <w:r>
        <w:t>Change in compassionate release is substantial reform</w:t>
      </w:r>
    </w:p>
    <w:p w:rsidR="00183F00" w:rsidRDefault="00183F00" w:rsidP="00183F00">
      <w:r w:rsidRPr="00FE531F">
        <w:rPr>
          <w:rStyle w:val="Style13ptBold"/>
        </w:rPr>
        <w:t>Gordon 19</w:t>
      </w:r>
      <w:r>
        <w:t xml:space="preserve"> Jeremy Gordon LLC criminal attorneys at law, Compassionate Release and 3582 Lawyers, </w:t>
      </w:r>
      <w:hyperlink r:id="rId11" w:history="1">
        <w:r w:rsidRPr="00593304">
          <w:rPr>
            <w:rStyle w:val="Hyperlink"/>
          </w:rPr>
          <w:t>https://www.gordondefense.com/compassionate-release-3582/</w:t>
        </w:r>
      </w:hyperlink>
    </w:p>
    <w:p w:rsidR="00183F00" w:rsidRPr="00164C29" w:rsidRDefault="00183F00" w:rsidP="00183F00">
      <w:pPr>
        <w:rPr>
          <w:sz w:val="16"/>
        </w:rPr>
      </w:pPr>
      <w:r w:rsidRPr="00164C29">
        <w:rPr>
          <w:sz w:val="16"/>
        </w:rPr>
        <w:t xml:space="preserve">In December 2018, the First Step Act was enacted into law. </w:t>
      </w:r>
      <w:r w:rsidRPr="00164C29">
        <w:rPr>
          <w:rStyle w:val="StyleUnderline"/>
          <w:highlight w:val="yellow"/>
        </w:rPr>
        <w:t xml:space="preserve">The First Step Act marked the first substantial </w:t>
      </w:r>
      <w:r w:rsidRPr="00FE531F">
        <w:rPr>
          <w:rStyle w:val="StyleUnderline"/>
          <w:highlight w:val="yellow"/>
        </w:rPr>
        <w:t>reform</w:t>
      </w:r>
      <w:r w:rsidRPr="00164C29">
        <w:rPr>
          <w:sz w:val="16"/>
        </w:rPr>
        <w:t xml:space="preserve"> </w:t>
      </w:r>
      <w:r w:rsidRPr="00164C29">
        <w:rPr>
          <w:rStyle w:val="StyleUnderline"/>
          <w:highlight w:val="yellow"/>
        </w:rPr>
        <w:t>to our federal criminal justice system in decades</w:t>
      </w:r>
      <w:r w:rsidRPr="00164C29">
        <w:rPr>
          <w:sz w:val="16"/>
        </w:rPr>
        <w:t xml:space="preserve">. Among its many criminal justice reforms, </w:t>
      </w:r>
      <w:r w:rsidRPr="00164C29">
        <w:rPr>
          <w:rStyle w:val="StyleUnderline"/>
          <w:highlight w:val="yellow"/>
        </w:rPr>
        <w:t>the First Step Act made a major change to how the Compassionate Release program is administered</w:t>
      </w:r>
      <w:r w:rsidRPr="00164C29">
        <w:rPr>
          <w:sz w:val="16"/>
        </w:rPr>
        <w:t>. Prior to December 2018, an inmate could only obtain Compassionate Release if the inmate was able to persuade the Bureau of Prisons (BOP) to make a Compassionate Release request on the inmate’s behalf. Needless to say, that was a relatively high hurdle to overcome. However, with the passage of the First Step Act, inmates now have the option to make a Compassionate Release application directly to a sentencing court if the BOP has expressed its unwillingness to bring an application on the inmate’s behalf. This is a significant, and positive, change for inmates because a Compassionate Release application no longer begins and ends with the BOP, or the Warden of the facility in which the inmate resides. Now, an inmate can make his or her case to a court of law that may be more objective in reviewing a Compassionate Release request.</w:t>
      </w:r>
    </w:p>
    <w:p w:rsidR="00183F00" w:rsidRDefault="00183F00" w:rsidP="00183F00"/>
    <w:p w:rsidR="00183F00" w:rsidRDefault="00183F00" w:rsidP="00183F00">
      <w:pPr>
        <w:pStyle w:val="Heading4"/>
      </w:pPr>
      <w:r>
        <w:t>Substantial sentencing reform means procedural reforms that effect ALL offenders</w:t>
      </w:r>
    </w:p>
    <w:p w:rsidR="00183F00" w:rsidRDefault="00183F00" w:rsidP="00183F00">
      <w:r w:rsidRPr="008F2848">
        <w:rPr>
          <w:rStyle w:val="Style13ptBold"/>
        </w:rPr>
        <w:t>Gottschalk 16</w:t>
      </w:r>
      <w:r>
        <w:t xml:space="preserve"> Marie Gottschalk is a Professor of Political Science at the University of Pennsylvania, What’s Money Got to Do </w:t>
      </w:r>
      <w:proofErr w:type="gramStart"/>
      <w:r>
        <w:t>With</w:t>
      </w:r>
      <w:proofErr w:type="gramEnd"/>
      <w:r>
        <w:t xml:space="preserve"> It? The Great Recession and the Great Confinement, In To Build a Better Criminal Justice System, Marc </w:t>
      </w:r>
      <w:proofErr w:type="spellStart"/>
      <w:r>
        <w:t>Mauer</w:t>
      </w:r>
      <w:proofErr w:type="spellEnd"/>
      <w:r>
        <w:t xml:space="preserve"> and Kate Epstein Editors, https://www.sentencingproject.org/wp-content/uploads/2016/01/To-Build-a-Better-Criminal-Justice-System.pdf</w:t>
      </w:r>
    </w:p>
    <w:p w:rsidR="00183F00" w:rsidRPr="008F2848" w:rsidRDefault="00183F00" w:rsidP="00183F00">
      <w:pPr>
        <w:rPr>
          <w:sz w:val="16"/>
        </w:rPr>
      </w:pPr>
      <w:r w:rsidRPr="008F2848">
        <w:rPr>
          <w:rStyle w:val="StyleUnderline"/>
          <w:highlight w:val="yellow"/>
        </w:rPr>
        <w:t xml:space="preserve">Real change can only come from </w:t>
      </w:r>
      <w:r w:rsidRPr="008F2848">
        <w:rPr>
          <w:rStyle w:val="Emphasis"/>
          <w:highlight w:val="yellow"/>
        </w:rPr>
        <w:t>sentencing reform</w:t>
      </w:r>
      <w:r w:rsidRPr="008F2848">
        <w:rPr>
          <w:sz w:val="16"/>
        </w:rPr>
        <w:t xml:space="preserve">. We need to reduce the number of people who are sent to jail or prison in the first place and to reduce the time served of many of those who are sent away. </w:t>
      </w:r>
      <w:r w:rsidRPr="008F2848">
        <w:rPr>
          <w:rStyle w:val="StyleUnderline"/>
          <w:highlight w:val="yellow"/>
        </w:rPr>
        <w:t>This means ending</w:t>
      </w:r>
      <w:r>
        <w:rPr>
          <w:rStyle w:val="StyleUnderline"/>
          <w:highlight w:val="yellow"/>
        </w:rPr>
        <w:t xml:space="preserve"> </w:t>
      </w:r>
      <w:r w:rsidRPr="008F2848">
        <w:rPr>
          <w:rStyle w:val="StyleUnderline"/>
          <w:highlight w:val="yellow"/>
        </w:rPr>
        <w:t xml:space="preserve">mandatory minimums, repealing life without parole statutes, and establishing a meaningful parole process </w:t>
      </w:r>
      <w:r w:rsidRPr="008F2848">
        <w:rPr>
          <w:rStyle w:val="Emphasis"/>
          <w:highlight w:val="yellow"/>
        </w:rPr>
        <w:t>for all</w:t>
      </w:r>
      <w:r>
        <w:rPr>
          <w:rStyle w:val="Emphasis"/>
          <w:highlight w:val="yellow"/>
        </w:rPr>
        <w:t xml:space="preserve"> </w:t>
      </w:r>
      <w:r w:rsidRPr="008F2848">
        <w:rPr>
          <w:rStyle w:val="Emphasis"/>
          <w:highlight w:val="yellow"/>
        </w:rPr>
        <w:t>offenders</w:t>
      </w:r>
      <w:r w:rsidRPr="008F2848">
        <w:rPr>
          <w:rStyle w:val="StyleUnderline"/>
          <w:highlight w:val="yellow"/>
        </w:rPr>
        <w:t>.</w:t>
      </w:r>
      <w:r w:rsidRPr="008F2848">
        <w:rPr>
          <w:sz w:val="16"/>
        </w:rPr>
        <w:t xml:space="preserve"> If we are to do this, economic arguments will not be sufficient. Criminal justice is fundamentally a political problem, not an economic or crime-and-punishment problem. Framing the </w:t>
      </w:r>
      <w:proofErr w:type="spellStart"/>
      <w:r w:rsidRPr="008F2848">
        <w:rPr>
          <w:sz w:val="16"/>
        </w:rPr>
        <w:t>carceral</w:t>
      </w:r>
      <w:proofErr w:type="spellEnd"/>
      <w:r w:rsidRPr="008F2848">
        <w:rPr>
          <w:sz w:val="16"/>
        </w:rPr>
        <w:t xml:space="preserve"> state primarily as an economic issue may yield some short-term benefits. But we need more compelling arguments against the prison buildup and a durable movement to propel these arguments. Focusing too heavily on the economic burden draws attention away from how the vast penal system has begun to fundamentally alter the operation of key social and political institutions and to pervert what it means to be a citizen in the United States. It also undercuts the compelling civil- and human- rights arguments that the </w:t>
      </w:r>
      <w:proofErr w:type="spellStart"/>
      <w:r w:rsidRPr="008F2848">
        <w:rPr>
          <w:sz w:val="16"/>
        </w:rPr>
        <w:t>carceral</w:t>
      </w:r>
      <w:proofErr w:type="spellEnd"/>
      <w:r w:rsidRPr="008F2848">
        <w:rPr>
          <w:sz w:val="16"/>
        </w:rPr>
        <w:t xml:space="preserve"> state raises as it removes wide swaths of African Americans, Latinos, and poor people from their neighborhoods. Mass incarceration raises troubling questions about the fairness and legitimacy of not only the criminal justice system but also of the political system more broadly. </w:t>
      </w:r>
      <w:r w:rsidRPr="008F2848">
        <w:rPr>
          <w:rStyle w:val="StyleUnderline"/>
          <w:highlight w:val="yellow"/>
        </w:rPr>
        <w:t xml:space="preserve">To see </w:t>
      </w:r>
      <w:r w:rsidRPr="008F2848">
        <w:rPr>
          <w:rStyle w:val="Emphasis"/>
          <w:highlight w:val="yellow"/>
        </w:rPr>
        <w:t>a substantial change</w:t>
      </w:r>
      <w:r w:rsidRPr="008F2848">
        <w:rPr>
          <w:sz w:val="16"/>
        </w:rPr>
        <w:t xml:space="preserve"> by 2036, </w:t>
      </w:r>
      <w:r w:rsidRPr="008F2848">
        <w:rPr>
          <w:rStyle w:val="StyleUnderline"/>
          <w:highlight w:val="yellow"/>
        </w:rPr>
        <w:t>we need a resilient</w:t>
      </w:r>
      <w:r>
        <w:rPr>
          <w:rStyle w:val="StyleUnderline"/>
          <w:highlight w:val="yellow"/>
        </w:rPr>
        <w:t xml:space="preserve"> </w:t>
      </w:r>
      <w:r w:rsidRPr="008F2848">
        <w:rPr>
          <w:rStyle w:val="StyleUnderline"/>
          <w:highlight w:val="yellow"/>
        </w:rPr>
        <w:t>reform movement</w:t>
      </w:r>
      <w:r w:rsidRPr="008F2848">
        <w:rPr>
          <w:sz w:val="16"/>
        </w:rPr>
        <w:t xml:space="preserve">. Efforts </w:t>
      </w:r>
      <w:r w:rsidRPr="008F2848">
        <w:rPr>
          <w:rStyle w:val="StyleUnderline"/>
          <w:highlight w:val="yellow"/>
        </w:rPr>
        <w:t>to substantially reduce the incarceration rate</w:t>
      </w:r>
      <w:r w:rsidRPr="008F2848">
        <w:rPr>
          <w:sz w:val="16"/>
        </w:rPr>
        <w:t xml:space="preserve"> will inevitably spark a backlash. The Great Recession does not spell the beginning of the end of mass incarceration in the United States. To borrow from Winston Churchill, “It is not even the beginning of the end. But it is, perhaps, the end of the beginning.” </w:t>
      </w:r>
    </w:p>
    <w:p w:rsidR="00183F00" w:rsidRDefault="00183F00" w:rsidP="00183F00"/>
    <w:p w:rsidR="00183F00" w:rsidRDefault="00183F00" w:rsidP="00183F00"/>
    <w:p w:rsidR="00183F00" w:rsidRDefault="00183F00" w:rsidP="00183F00">
      <w:pPr>
        <w:pStyle w:val="Heading4"/>
      </w:pPr>
      <w:r>
        <w:t>As a legal term Substantial means large in magnitude</w:t>
      </w:r>
    </w:p>
    <w:p w:rsidR="00183F00" w:rsidRDefault="00183F00" w:rsidP="00183F00">
      <w:r w:rsidRPr="00290223">
        <w:rPr>
          <w:rStyle w:val="Style13ptBold"/>
        </w:rPr>
        <w:t>Rossini 98</w:t>
      </w:r>
      <w:r>
        <w:t xml:space="preserve"> Christine Rossini is a J.D. and LL.M from KU Leuven University English </w:t>
      </w:r>
      <w:proofErr w:type="gramStart"/>
      <w:r>
        <w:t>As</w:t>
      </w:r>
      <w:proofErr w:type="gramEnd"/>
      <w:r>
        <w:t xml:space="preserve"> a Legal Language, p. 224</w:t>
      </w:r>
    </w:p>
    <w:p w:rsidR="00183F00" w:rsidRPr="00294D9B" w:rsidRDefault="00183F00" w:rsidP="00183F00">
      <w:pPr>
        <w:rPr>
          <w:sz w:val="16"/>
        </w:rPr>
      </w:pPr>
      <w:proofErr w:type="gramStart"/>
      <w:r w:rsidRPr="00294D9B">
        <w:rPr>
          <w:sz w:val="16"/>
        </w:rPr>
        <w:t>substance</w:t>
      </w:r>
      <w:proofErr w:type="gramEnd"/>
      <w:r w:rsidRPr="00294D9B">
        <w:rPr>
          <w:sz w:val="16"/>
        </w:rPr>
        <w:t xml:space="preserve"> the essential legal value, as compared with form or procedure. Substantive law refers to that part of the law which creates and defines rights and duties, as distinguished from procedural law (in LlTlGA11ON). However, </w:t>
      </w:r>
      <w:r w:rsidRPr="00290223">
        <w:rPr>
          <w:rStyle w:val="StyleUnderline"/>
          <w:highlight w:val="yellow"/>
        </w:rPr>
        <w:t>in legal terminology the word</w:t>
      </w:r>
      <w:r>
        <w:rPr>
          <w:rStyle w:val="StyleUnderline"/>
          <w:highlight w:val="yellow"/>
        </w:rPr>
        <w:t xml:space="preserve"> </w:t>
      </w:r>
      <w:r w:rsidRPr="00290223">
        <w:rPr>
          <w:rStyle w:val="StyleUnderline"/>
          <w:highlight w:val="yellow"/>
        </w:rPr>
        <w:t>substantial,</w:t>
      </w:r>
      <w:r w:rsidRPr="00294D9B">
        <w:rPr>
          <w:sz w:val="16"/>
        </w:rPr>
        <w:t xml:space="preserve"> like the word material (see materiality in </w:t>
      </w:r>
      <w:proofErr w:type="spellStart"/>
      <w:r w:rsidRPr="00294D9B">
        <w:rPr>
          <w:sz w:val="16"/>
        </w:rPr>
        <w:t>sacunrmzs</w:t>
      </w:r>
      <w:proofErr w:type="spellEnd"/>
      <w:r w:rsidRPr="00294D9B">
        <w:rPr>
          <w:sz w:val="16"/>
        </w:rPr>
        <w:t xml:space="preserve"> and in ACCOUNTING) </w:t>
      </w:r>
      <w:r w:rsidRPr="00294D9B">
        <w:rPr>
          <w:rStyle w:val="StyleUnderline"/>
        </w:rPr>
        <w:t>is meant in the figurative sense only</w:t>
      </w:r>
      <w:r w:rsidRPr="00294D9B">
        <w:rPr>
          <w:sz w:val="16"/>
        </w:rPr>
        <w:t xml:space="preserve"> and has nothing to do with physical (three-dimensional) objects </w:t>
      </w:r>
      <w:r w:rsidRPr="00294D9B">
        <w:rPr>
          <w:rStyle w:val="StyleUnderline"/>
        </w:rPr>
        <w:t xml:space="preserve">The adjective substantial </w:t>
      </w:r>
      <w:r w:rsidRPr="00290223">
        <w:rPr>
          <w:rStyle w:val="StyleUnderline"/>
          <w:highlight w:val="yellow"/>
        </w:rPr>
        <w:t>has a meaning close to significant:</w:t>
      </w:r>
      <w:r>
        <w:rPr>
          <w:rStyle w:val="StyleUnderline"/>
          <w:highlight w:val="yellow"/>
        </w:rPr>
        <w:t xml:space="preserve"> </w:t>
      </w:r>
      <w:r w:rsidRPr="00290223">
        <w:rPr>
          <w:rStyle w:val="StyleUnderline"/>
          <w:highlight w:val="yellow"/>
        </w:rPr>
        <w:t>something that has weight or quantity</w:t>
      </w:r>
      <w:r w:rsidRPr="00294D9B">
        <w:rPr>
          <w:sz w:val="16"/>
        </w:rPr>
        <w:t xml:space="preserve">. Compare important (to import in vans). </w:t>
      </w:r>
      <w:r w:rsidRPr="00290223">
        <w:rPr>
          <w:rStyle w:val="StyleUnderline"/>
          <w:highlight w:val="yellow"/>
        </w:rPr>
        <w:t>Substantial</w:t>
      </w:r>
      <w:r>
        <w:rPr>
          <w:rStyle w:val="StyleUnderline"/>
          <w:highlight w:val="yellow"/>
        </w:rPr>
        <w:t xml:space="preserve"> </w:t>
      </w:r>
      <w:r w:rsidRPr="00290223">
        <w:rPr>
          <w:rStyle w:val="StyleUnderline"/>
          <w:highlight w:val="yellow"/>
        </w:rPr>
        <w:t>describes something which is significant because of its</w:t>
      </w:r>
      <w:r>
        <w:rPr>
          <w:rStyle w:val="StyleUnderline"/>
          <w:highlight w:val="yellow"/>
        </w:rPr>
        <w:t xml:space="preserve"> </w:t>
      </w:r>
      <w:r w:rsidRPr="00290223">
        <w:rPr>
          <w:rStyle w:val="StyleUnderline"/>
          <w:highlight w:val="yellow"/>
        </w:rPr>
        <w:t>size or magnitude.</w:t>
      </w:r>
      <w:r w:rsidRPr="00294D9B">
        <w:rPr>
          <w:sz w:val="16"/>
        </w:rPr>
        <w:t xml:space="preserve"> "The Court': decision will have a substantial effect on commercial </w:t>
      </w:r>
      <w:proofErr w:type="spellStart"/>
      <w:r w:rsidRPr="00294D9B">
        <w:rPr>
          <w:sz w:val="16"/>
        </w:rPr>
        <w:t>practicca</w:t>
      </w:r>
      <w:proofErr w:type="spellEnd"/>
      <w:r w:rsidRPr="00294D9B">
        <w:rPr>
          <w:sz w:val="16"/>
        </w:rPr>
        <w:t xml:space="preserve">" "Sub- </w:t>
      </w:r>
      <w:proofErr w:type="spellStart"/>
      <w:r w:rsidRPr="00294D9B">
        <w:rPr>
          <w:sz w:val="16"/>
        </w:rPr>
        <w:t>stantial</w:t>
      </w:r>
      <w:proofErr w:type="spellEnd"/>
      <w:r w:rsidRPr="00294D9B">
        <w:rPr>
          <w:sz w:val="16"/>
        </w:rPr>
        <w:t xml:space="preserve"> gains are expected in the company's </w:t>
      </w:r>
      <w:proofErr w:type="spellStart"/>
      <w:r w:rsidRPr="00294D9B">
        <w:rPr>
          <w:sz w:val="16"/>
        </w:rPr>
        <w:t>ptofits</w:t>
      </w:r>
      <w:proofErr w:type="spellEnd"/>
      <w:r w:rsidRPr="00294D9B">
        <w:rPr>
          <w:sz w:val="16"/>
        </w:rPr>
        <w:t xml:space="preserve"> as a result of the new process." </w:t>
      </w:r>
      <w:r w:rsidRPr="00290223">
        <w:rPr>
          <w:rStyle w:val="StyleUnderline"/>
        </w:rPr>
        <w:t>Substantial does not</w:t>
      </w:r>
      <w:r>
        <w:rPr>
          <w:rStyle w:val="StyleUnderline"/>
        </w:rPr>
        <w:t xml:space="preserve"> </w:t>
      </w:r>
      <w:r w:rsidRPr="00290223">
        <w:rPr>
          <w:rStyle w:val="StyleUnderline"/>
        </w:rPr>
        <w:t>mean tangible</w:t>
      </w:r>
      <w:r w:rsidRPr="00294D9B">
        <w:rPr>
          <w:sz w:val="16"/>
        </w:rPr>
        <w:t xml:space="preserve"> (having physical substance; m. c.</w:t>
      </w:r>
      <w:proofErr w:type="gramStart"/>
      <w:r w:rsidRPr="00294D9B">
        <w:rPr>
          <w:sz w:val="16"/>
        </w:rPr>
        <w:t>;..</w:t>
      </w:r>
      <w:proofErr w:type="gramEnd"/>
      <w:r w:rsidRPr="00294D9B">
        <w:rPr>
          <w:sz w:val="16"/>
        </w:rPr>
        <w:t xml:space="preserve"> tangible knowhow, intangible assets). Nor should it be confused with real or actual which means gen- </w:t>
      </w:r>
      <w:proofErr w:type="spellStart"/>
      <w:r w:rsidRPr="00294D9B">
        <w:rPr>
          <w:sz w:val="16"/>
        </w:rPr>
        <w:t>uine</w:t>
      </w:r>
      <w:proofErr w:type="spellEnd"/>
      <w:r w:rsidRPr="00294D9B">
        <w:rPr>
          <w:sz w:val="16"/>
        </w:rPr>
        <w:t>, the opposite of imagined or fake. Along these lines, actual means genuine in fact and should not be confused with current, which means contemporary, or present in time.</w:t>
      </w:r>
    </w:p>
    <w:p w:rsidR="00183F00" w:rsidRDefault="00183F00" w:rsidP="00183F00"/>
    <w:p w:rsidR="00183F00" w:rsidRDefault="00183F00" w:rsidP="00183F00"/>
    <w:p w:rsidR="00183F00" w:rsidRDefault="00183F00" w:rsidP="00183F00">
      <w:pPr>
        <w:pStyle w:val="Heading4"/>
      </w:pPr>
      <w:r>
        <w:t>Substantial reform can be imaginary not real</w:t>
      </w:r>
    </w:p>
    <w:p w:rsidR="00183F00" w:rsidRDefault="00183F00" w:rsidP="00183F00">
      <w:r w:rsidRPr="00290223">
        <w:rPr>
          <w:rStyle w:val="Style13ptBold"/>
        </w:rPr>
        <w:t>Rossini 98</w:t>
      </w:r>
      <w:r>
        <w:t xml:space="preserve"> Christine Rossini is a J.D. and LL.M from KU Leuven University English </w:t>
      </w:r>
      <w:proofErr w:type="gramStart"/>
      <w:r>
        <w:t>As</w:t>
      </w:r>
      <w:proofErr w:type="gramEnd"/>
      <w:r>
        <w:t xml:space="preserve"> a Legal Language, p. 224</w:t>
      </w:r>
    </w:p>
    <w:p w:rsidR="00183F00" w:rsidRPr="00294D9B" w:rsidRDefault="00183F00" w:rsidP="00183F00">
      <w:pPr>
        <w:rPr>
          <w:sz w:val="16"/>
        </w:rPr>
      </w:pPr>
      <w:proofErr w:type="gramStart"/>
      <w:r w:rsidRPr="00294D9B">
        <w:rPr>
          <w:sz w:val="16"/>
        </w:rPr>
        <w:t>substance</w:t>
      </w:r>
      <w:proofErr w:type="gramEnd"/>
      <w:r w:rsidRPr="00294D9B">
        <w:rPr>
          <w:sz w:val="16"/>
        </w:rPr>
        <w:t xml:space="preserve"> the essential legal value, as compared with form or procedure. Substantive law refers to that part of the law which creates and defines rights and duties, as distinguished from procedural law (in LlTlGA11ON). However, in legal terminology the word substantial, like the word material (see materiality in </w:t>
      </w:r>
      <w:proofErr w:type="spellStart"/>
      <w:r w:rsidRPr="00294D9B">
        <w:rPr>
          <w:sz w:val="16"/>
        </w:rPr>
        <w:t>sacunrmzs</w:t>
      </w:r>
      <w:proofErr w:type="spellEnd"/>
      <w:r w:rsidRPr="00294D9B">
        <w:rPr>
          <w:sz w:val="16"/>
        </w:rPr>
        <w:t xml:space="preserve"> and in ACCOUNTING) is meant in the figurative sense only and has nothing to do with </w:t>
      </w:r>
      <w:proofErr w:type="spellStart"/>
      <w:r w:rsidRPr="00294D9B">
        <w:rPr>
          <w:sz w:val="16"/>
        </w:rPr>
        <w:t>phys</w:t>
      </w:r>
      <w:proofErr w:type="spellEnd"/>
      <w:r w:rsidRPr="00294D9B">
        <w:rPr>
          <w:sz w:val="16"/>
        </w:rPr>
        <w:t xml:space="preserve">- </w:t>
      </w:r>
      <w:proofErr w:type="spellStart"/>
      <w:r w:rsidRPr="00294D9B">
        <w:rPr>
          <w:sz w:val="16"/>
        </w:rPr>
        <w:t>ical</w:t>
      </w:r>
      <w:proofErr w:type="spellEnd"/>
      <w:r w:rsidRPr="00294D9B">
        <w:rPr>
          <w:sz w:val="16"/>
        </w:rPr>
        <w:t xml:space="preserve"> (three-dimensional) objects The adjective </w:t>
      </w:r>
      <w:proofErr w:type="spellStart"/>
      <w:r w:rsidRPr="00294D9B">
        <w:rPr>
          <w:sz w:val="16"/>
        </w:rPr>
        <w:t>ub</w:t>
      </w:r>
      <w:proofErr w:type="spellEnd"/>
      <w:r w:rsidRPr="00294D9B">
        <w:rPr>
          <w:sz w:val="16"/>
        </w:rPr>
        <w:t xml:space="preserve">- </w:t>
      </w:r>
      <w:proofErr w:type="spellStart"/>
      <w:r w:rsidRPr="00294D9B">
        <w:rPr>
          <w:sz w:val="16"/>
        </w:rPr>
        <w:t>atantial</w:t>
      </w:r>
      <w:proofErr w:type="spellEnd"/>
      <w:r w:rsidRPr="00294D9B">
        <w:rPr>
          <w:sz w:val="16"/>
        </w:rPr>
        <w:t xml:space="preserve"> has a meaning close to significant: something that has weight or quantity. Compare important (to import in vans). Substantial describes something which is significant because of its size or magnitude. "The Court': decision will have a substantial effect on commercial </w:t>
      </w:r>
      <w:proofErr w:type="spellStart"/>
      <w:r w:rsidRPr="00294D9B">
        <w:rPr>
          <w:sz w:val="16"/>
        </w:rPr>
        <w:t>practicca</w:t>
      </w:r>
      <w:proofErr w:type="spellEnd"/>
      <w:r w:rsidRPr="00294D9B">
        <w:rPr>
          <w:sz w:val="16"/>
        </w:rPr>
        <w:t xml:space="preserve">" "Substantial gains are expected in the company's </w:t>
      </w:r>
      <w:proofErr w:type="spellStart"/>
      <w:r w:rsidRPr="00294D9B">
        <w:rPr>
          <w:sz w:val="16"/>
        </w:rPr>
        <w:t>ptofits</w:t>
      </w:r>
      <w:proofErr w:type="spellEnd"/>
      <w:r w:rsidRPr="00294D9B">
        <w:rPr>
          <w:sz w:val="16"/>
        </w:rPr>
        <w:t xml:space="preserve"> as a result of the new process." </w:t>
      </w:r>
      <w:r w:rsidRPr="00294D9B">
        <w:rPr>
          <w:rStyle w:val="StyleUnderline"/>
          <w:highlight w:val="yellow"/>
        </w:rPr>
        <w:t>Substantial does not mean tangible (having physical substance</w:t>
      </w:r>
      <w:r w:rsidRPr="00294D9B">
        <w:rPr>
          <w:sz w:val="16"/>
        </w:rPr>
        <w:t>; m. c.</w:t>
      </w:r>
      <w:proofErr w:type="gramStart"/>
      <w:r w:rsidRPr="00294D9B">
        <w:rPr>
          <w:sz w:val="16"/>
        </w:rPr>
        <w:t>;..</w:t>
      </w:r>
      <w:proofErr w:type="gramEnd"/>
      <w:r w:rsidRPr="00294D9B">
        <w:rPr>
          <w:sz w:val="16"/>
        </w:rPr>
        <w:t xml:space="preserve"> tangible knowhow, intangible assets). </w:t>
      </w:r>
      <w:r w:rsidRPr="00294D9B">
        <w:rPr>
          <w:rStyle w:val="StyleUnderline"/>
          <w:highlight w:val="yellow"/>
        </w:rPr>
        <w:t xml:space="preserve">Nor should it be confused with real or actual which means </w:t>
      </w:r>
      <w:r>
        <w:rPr>
          <w:rStyle w:val="StyleUnderline"/>
          <w:highlight w:val="yellow"/>
        </w:rPr>
        <w:t>gen</w:t>
      </w:r>
      <w:r w:rsidRPr="00294D9B">
        <w:rPr>
          <w:rStyle w:val="StyleUnderline"/>
          <w:highlight w:val="yellow"/>
        </w:rPr>
        <w:t>uine, the opposite of imagined</w:t>
      </w:r>
      <w:r w:rsidRPr="00294D9B">
        <w:rPr>
          <w:sz w:val="16"/>
        </w:rPr>
        <w:t xml:space="preserve"> or fake. Along these lines, actual means genuine in fact and should not be confused with current, which means contemporary, or present in time.</w:t>
      </w:r>
    </w:p>
    <w:p w:rsidR="00183F00" w:rsidRDefault="00183F00" w:rsidP="00183F00"/>
    <w:p w:rsidR="009842A9" w:rsidRDefault="009842A9" w:rsidP="009842A9">
      <w:pPr>
        <w:pStyle w:val="paragraph"/>
        <w:spacing w:before="0" w:beforeAutospacing="0" w:after="0" w:afterAutospacing="0"/>
        <w:textAlignment w:val="baseline"/>
        <w:rPr>
          <w:rFonts w:ascii="Segoe UI" w:hAnsi="Segoe UI" w:cs="Segoe UI"/>
          <w:b/>
          <w:bCs/>
          <w:sz w:val="18"/>
          <w:szCs w:val="18"/>
        </w:rPr>
      </w:pPr>
      <w:r>
        <w:rPr>
          <w:rStyle w:val="normaltextrun"/>
          <w:rFonts w:ascii="Georgia" w:eastAsiaTheme="majorEastAsia" w:hAnsi="Georgia" w:cs="Segoe UI"/>
          <w:b/>
          <w:bCs/>
          <w:szCs w:val="26"/>
        </w:rPr>
        <w:t>Substantial means “of considerable amount” --- not some contrived percentage</w:t>
      </w:r>
      <w:r>
        <w:rPr>
          <w:rStyle w:val="eop"/>
          <w:rFonts w:ascii="Georgia" w:hAnsi="Georgia" w:cs="Segoe UI"/>
          <w:b/>
          <w:bCs/>
          <w:sz w:val="26"/>
          <w:szCs w:val="26"/>
        </w:rPr>
        <w:t> </w:t>
      </w:r>
    </w:p>
    <w:p w:rsidR="009842A9" w:rsidRDefault="009842A9" w:rsidP="009842A9">
      <w:pPr>
        <w:pStyle w:val="paragraph"/>
        <w:spacing w:before="0" w:beforeAutospacing="0" w:after="0" w:afterAutospacing="0"/>
        <w:textAlignment w:val="baseline"/>
        <w:rPr>
          <w:rFonts w:ascii="Segoe UI" w:hAnsi="Segoe UI" w:cs="Segoe UI"/>
          <w:sz w:val="18"/>
          <w:szCs w:val="18"/>
        </w:rPr>
      </w:pPr>
      <w:r>
        <w:rPr>
          <w:rStyle w:val="normaltextrun"/>
          <w:rFonts w:ascii="Georgia" w:eastAsiaTheme="majorEastAsia" w:hAnsi="Georgia" w:cs="Segoe UI"/>
          <w:b/>
          <w:bCs/>
          <w:szCs w:val="26"/>
        </w:rPr>
        <w:t>Prost 4</w:t>
      </w:r>
      <w:r>
        <w:rPr>
          <w:rStyle w:val="normaltextrun"/>
          <w:rFonts w:ascii="Georgia" w:eastAsiaTheme="majorEastAsia" w:hAnsi="Georgia" w:cs="Segoe UI"/>
          <w:sz w:val="16"/>
          <w:szCs w:val="16"/>
        </w:rPr>
        <w:t> - Judge – United States Court of Appeals for the Federal Circuit</w:t>
      </w:r>
      <w:r>
        <w:rPr>
          <w:rStyle w:val="eop"/>
          <w:rFonts w:ascii="Georgia" w:hAnsi="Georgia" w:cs="Segoe UI"/>
          <w:sz w:val="16"/>
          <w:szCs w:val="16"/>
        </w:rPr>
        <w:t> </w:t>
      </w:r>
    </w:p>
    <w:p w:rsidR="009842A9" w:rsidRDefault="009842A9" w:rsidP="009842A9">
      <w:pPr>
        <w:pStyle w:val="paragraph"/>
        <w:spacing w:before="0" w:beforeAutospacing="0" w:after="0" w:afterAutospacing="0"/>
        <w:textAlignment w:val="baseline"/>
        <w:rPr>
          <w:rFonts w:ascii="Segoe UI" w:hAnsi="Segoe UI" w:cs="Segoe UI"/>
          <w:sz w:val="18"/>
          <w:szCs w:val="18"/>
        </w:rPr>
      </w:pPr>
      <w:r>
        <w:rPr>
          <w:rStyle w:val="normaltextrun"/>
          <w:rFonts w:ascii="Georgia" w:eastAsiaTheme="majorEastAsia" w:hAnsi="Georgia" w:cs="Segoe UI"/>
          <w:sz w:val="16"/>
          <w:szCs w:val="16"/>
        </w:rPr>
        <w:t xml:space="preserve">(“Committee </w:t>
      </w:r>
      <w:proofErr w:type="gramStart"/>
      <w:r>
        <w:rPr>
          <w:rStyle w:val="normaltextrun"/>
          <w:rFonts w:ascii="Georgia" w:eastAsiaTheme="majorEastAsia" w:hAnsi="Georgia" w:cs="Segoe UI"/>
          <w:sz w:val="16"/>
          <w:szCs w:val="16"/>
        </w:rPr>
        <w:t>For</w:t>
      </w:r>
      <w:proofErr w:type="gramEnd"/>
      <w:r>
        <w:rPr>
          <w:rStyle w:val="normaltextrun"/>
          <w:rFonts w:ascii="Georgia" w:eastAsiaTheme="majorEastAsia" w:hAnsi="Georgia" w:cs="Segoe UI"/>
          <w:sz w:val="16"/>
          <w:szCs w:val="16"/>
        </w:rPr>
        <w:t xml:space="preserve"> Fairly Traded Venezuelan Cement v. United States”, 6-18, http://www.ll.georgetown.edu/federal/judicial/fed/opinions/04opinions/04-1016.html)</w:t>
      </w:r>
      <w:r>
        <w:rPr>
          <w:rStyle w:val="eop"/>
          <w:rFonts w:ascii="Georgia" w:hAnsi="Georgia" w:cs="Segoe UI"/>
          <w:sz w:val="16"/>
          <w:szCs w:val="16"/>
        </w:rPr>
        <w:t> </w:t>
      </w:r>
    </w:p>
    <w:p w:rsidR="009842A9" w:rsidRDefault="009842A9" w:rsidP="009842A9">
      <w:pPr>
        <w:pStyle w:val="paragraph"/>
        <w:spacing w:before="0" w:beforeAutospacing="0" w:after="0" w:afterAutospacing="0"/>
        <w:ind w:left="285" w:right="285"/>
        <w:textAlignment w:val="baseline"/>
        <w:rPr>
          <w:rFonts w:ascii="Segoe UI" w:hAnsi="Segoe UI" w:cs="Segoe UI"/>
          <w:sz w:val="18"/>
          <w:szCs w:val="18"/>
        </w:rPr>
      </w:pPr>
      <w:r>
        <w:rPr>
          <w:rStyle w:val="normaltextrun"/>
          <w:rFonts w:eastAsiaTheme="majorEastAsia"/>
          <w:sz w:val="16"/>
          <w:szCs w:val="16"/>
        </w:rPr>
        <w:t xml:space="preserve">The URAA and the SAA neither amend nor refine the language of § 1677(4)(C).  In fact, they merely suggest, without disqualifying other alternatives, a “clearly higher/substantial proportion” approach.  Indeed, the SAA specifically mentions that no “precise mathematical formula” or “‘benchmark’ proportion” is to be used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SAA at 860.  </w:t>
      </w:r>
      <w:proofErr w:type="gramStart"/>
      <w:r>
        <w:rPr>
          <w:rStyle w:val="normaltextrun"/>
          <w:rFonts w:eastAsiaTheme="majorEastAsia"/>
          <w:sz w:val="16"/>
          <w:szCs w:val="16"/>
        </w:rPr>
        <w:t>Finally</w:t>
      </w:r>
      <w:proofErr w:type="gramEnd"/>
      <w:r>
        <w:rPr>
          <w:rStyle w:val="normaltextrun"/>
          <w:rFonts w:eastAsiaTheme="majorEastAsia"/>
          <w:sz w:val="16"/>
          <w:szCs w:val="16"/>
        </w:rPr>
        <w:t>, </w:t>
      </w:r>
      <w:r>
        <w:rPr>
          <w:rStyle w:val="normaltextrun"/>
          <w:rFonts w:eastAsiaTheme="majorEastAsia"/>
          <w:sz w:val="22"/>
          <w:szCs w:val="22"/>
          <w:u w:val="single"/>
        </w:rPr>
        <w:t>the definition of the word “substantial” undercuts the</w:t>
      </w:r>
      <w:r>
        <w:rPr>
          <w:rStyle w:val="normaltextrun"/>
          <w:rFonts w:eastAsiaTheme="majorEastAsia"/>
          <w:sz w:val="16"/>
          <w:szCs w:val="16"/>
        </w:rPr>
        <w:t> CFTVC’s </w:t>
      </w:r>
      <w:r>
        <w:rPr>
          <w:rStyle w:val="normaltextrun"/>
          <w:rFonts w:eastAsiaTheme="majorEastAsia"/>
          <w:sz w:val="22"/>
          <w:szCs w:val="22"/>
          <w:u w:val="single"/>
        </w:rPr>
        <w:t>argument.  The word “substantial” generally means “considerable in amount,</w:t>
      </w:r>
      <w:r>
        <w:rPr>
          <w:rStyle w:val="normaltextrun"/>
          <w:rFonts w:ascii="Cambria" w:eastAsiaTheme="majorEastAsia" w:hAnsi="Cambria" w:cs="Segoe UI"/>
          <w:sz w:val="20"/>
          <w:szCs w:val="20"/>
          <w:u w:val="single"/>
        </w:rPr>
        <w:t> </w:t>
      </w:r>
      <w:r>
        <w:rPr>
          <w:rStyle w:val="normaltextrun"/>
          <w:rFonts w:eastAsiaTheme="majorEastAsia"/>
          <w:sz w:val="16"/>
          <w:szCs w:val="16"/>
        </w:rPr>
        <w:t>value or worth.”  Webster’s Third New International Dictionary 2280 (1993).  </w:t>
      </w:r>
      <w:r>
        <w:rPr>
          <w:rStyle w:val="normaltextrun"/>
          <w:rFonts w:eastAsiaTheme="majorEastAsia"/>
          <w:sz w:val="22"/>
          <w:szCs w:val="22"/>
          <w:u w:val="single"/>
        </w:rPr>
        <w:t>It </w:t>
      </w:r>
      <w:r>
        <w:rPr>
          <w:rStyle w:val="normaltextrun"/>
          <w:rFonts w:ascii="Georgia" w:eastAsiaTheme="majorEastAsia" w:hAnsi="Georgia" w:cs="Segoe UI"/>
          <w:b/>
          <w:bCs/>
          <w:sz w:val="22"/>
          <w:szCs w:val="22"/>
          <w:u w:val="single"/>
        </w:rPr>
        <w:t>does not imply a specific number or cut-off</w:t>
      </w:r>
      <w:r>
        <w:rPr>
          <w:rStyle w:val="normaltextrun"/>
          <w:rFonts w:ascii="MS Gothic" w:eastAsia="MS Gothic" w:hAnsi="MS Gothic" w:cs="Segoe UI" w:hint="eastAsia"/>
          <w:sz w:val="22"/>
          <w:szCs w:val="22"/>
          <w:u w:val="single"/>
        </w:rPr>
        <w:t>.</w:t>
      </w:r>
      <w:r>
        <w:rPr>
          <w:rStyle w:val="normaltextrun"/>
          <w:rFonts w:ascii="Cambria Math" w:eastAsia="MS Gothic" w:hAnsi="Cambria Math" w:cs="Cambria Math"/>
          <w:sz w:val="22"/>
          <w:szCs w:val="22"/>
          <w:u w:val="single"/>
        </w:rPr>
        <w:t> </w:t>
      </w:r>
      <w:r>
        <w:rPr>
          <w:rStyle w:val="normaltextrun"/>
          <w:rFonts w:ascii="MS Gothic" w:eastAsia="MS Gothic" w:hAnsi="MS Gothic" w:cs="Segoe UI" w:hint="eastAsia"/>
          <w:sz w:val="22"/>
          <w:szCs w:val="22"/>
          <w:u w:val="single"/>
        </w:rPr>
        <w:t> </w:t>
      </w:r>
      <w:r>
        <w:rPr>
          <w:rStyle w:val="normaltextrun"/>
          <w:rFonts w:eastAsiaTheme="majorEastAsia"/>
          <w:sz w:val="22"/>
          <w:szCs w:val="22"/>
          <w:u w:val="single"/>
        </w:rPr>
        <w:t>What may be substantial in one situation may not be in another situation. </w:t>
      </w:r>
      <w:r>
        <w:rPr>
          <w:rStyle w:val="normaltextrun"/>
          <w:rFonts w:eastAsiaTheme="majorEastAsia"/>
          <w:sz w:val="16"/>
          <w:szCs w:val="16"/>
        </w:rPr>
        <w:t> The very breadth of the term “substantial” undercuts the CFTVC’s argument that Congress spoke clearly in establishing a standard for the Commission’s regional antidumping and countervailing duty analyses.  It therefore supports the conclusion that the Commission is owed deference in its interpretation of “substantial proportion.”  The Commission clearly embarked on its analysis having been given considerable leeway to interpret a particularly broad term.</w:t>
      </w:r>
      <w:r>
        <w:rPr>
          <w:rStyle w:val="eop"/>
          <w:sz w:val="16"/>
          <w:szCs w:val="16"/>
        </w:rPr>
        <w:t> </w:t>
      </w:r>
    </w:p>
    <w:p w:rsidR="009842A9" w:rsidRDefault="009842A9" w:rsidP="009842A9">
      <w:pPr>
        <w:pStyle w:val="paragraph"/>
        <w:spacing w:before="0" w:beforeAutospacing="0" w:after="0" w:afterAutospacing="0"/>
        <w:textAlignment w:val="baseline"/>
        <w:rPr>
          <w:rStyle w:val="normaltextrun"/>
          <w:rFonts w:ascii="Georgia" w:eastAsiaTheme="majorEastAsia" w:hAnsi="Georgia" w:cs="Segoe UI"/>
          <w:b/>
          <w:bCs/>
          <w:szCs w:val="26"/>
        </w:rPr>
      </w:pPr>
    </w:p>
    <w:p w:rsidR="009842A9" w:rsidRDefault="009842A9" w:rsidP="009842A9">
      <w:pPr>
        <w:pStyle w:val="paragraph"/>
        <w:spacing w:before="0" w:beforeAutospacing="0" w:after="0" w:afterAutospacing="0"/>
        <w:textAlignment w:val="baseline"/>
        <w:rPr>
          <w:rFonts w:ascii="Segoe UI" w:hAnsi="Segoe UI" w:cs="Segoe UI"/>
          <w:b/>
          <w:bCs/>
          <w:sz w:val="18"/>
          <w:szCs w:val="18"/>
        </w:rPr>
      </w:pPr>
      <w:r>
        <w:rPr>
          <w:rStyle w:val="normaltextrun"/>
          <w:rFonts w:ascii="Georgia" w:eastAsiaTheme="majorEastAsia" w:hAnsi="Georgia" w:cs="Segoe UI"/>
          <w:b/>
          <w:bCs/>
          <w:szCs w:val="26"/>
        </w:rPr>
        <w:t>Federal courts agree – substantially shouldn't be defined precisely to a numerical value</w:t>
      </w:r>
      <w:r>
        <w:rPr>
          <w:rStyle w:val="eop"/>
          <w:rFonts w:ascii="Georgia" w:hAnsi="Georgia" w:cs="Segoe UI"/>
          <w:b/>
          <w:bCs/>
          <w:sz w:val="26"/>
          <w:szCs w:val="26"/>
        </w:rPr>
        <w:t> </w:t>
      </w:r>
    </w:p>
    <w:p w:rsidR="009842A9" w:rsidRDefault="009842A9" w:rsidP="009842A9">
      <w:pPr>
        <w:pStyle w:val="paragraph"/>
        <w:spacing w:before="0" w:beforeAutospacing="0" w:after="0" w:afterAutospacing="0"/>
        <w:textAlignment w:val="baseline"/>
        <w:rPr>
          <w:rFonts w:ascii="Segoe UI" w:hAnsi="Segoe UI" w:cs="Segoe UI"/>
          <w:sz w:val="18"/>
          <w:szCs w:val="18"/>
        </w:rPr>
      </w:pPr>
      <w:r>
        <w:rPr>
          <w:rStyle w:val="normaltextrun"/>
          <w:rFonts w:ascii="Georgia" w:eastAsiaTheme="majorEastAsia" w:hAnsi="Georgia" w:cs="Segoe UI"/>
          <w:b/>
          <w:bCs/>
          <w:szCs w:val="26"/>
        </w:rPr>
        <w:t>Curtin 3</w:t>
      </w:r>
      <w:r>
        <w:rPr>
          <w:rStyle w:val="normaltextrun"/>
          <w:rFonts w:ascii="Georgia" w:eastAsiaTheme="majorEastAsia" w:hAnsi="Georgia" w:cs="Segoe UI"/>
          <w:sz w:val="16"/>
          <w:szCs w:val="16"/>
        </w:rPr>
        <w:t> - United States Circuit Judge of the Western District of New York</w:t>
      </w:r>
      <w:r>
        <w:rPr>
          <w:rStyle w:val="eop"/>
          <w:rFonts w:ascii="Georgia" w:hAnsi="Georgia" w:cs="Segoe UI"/>
          <w:sz w:val="16"/>
          <w:szCs w:val="16"/>
        </w:rPr>
        <w:t> </w:t>
      </w:r>
    </w:p>
    <w:p w:rsidR="009842A9" w:rsidRDefault="009842A9" w:rsidP="009842A9">
      <w:pPr>
        <w:pStyle w:val="paragraph"/>
        <w:spacing w:before="0" w:beforeAutospacing="0" w:after="0" w:afterAutospacing="0"/>
        <w:textAlignment w:val="baseline"/>
        <w:rPr>
          <w:rFonts w:ascii="Segoe UI" w:hAnsi="Segoe UI" w:cs="Segoe UI"/>
          <w:sz w:val="18"/>
          <w:szCs w:val="18"/>
        </w:rPr>
      </w:pPr>
      <w:r>
        <w:rPr>
          <w:rStyle w:val="normaltextrun"/>
          <w:rFonts w:ascii="Georgia" w:eastAsiaTheme="majorEastAsia" w:hAnsi="Georgia" w:cs="Segoe UI"/>
          <w:sz w:val="16"/>
          <w:szCs w:val="16"/>
        </w:rPr>
        <w:t>(Gateway Equip. Corp. v. United States, 247 F. Supp. 2d 299, Lexis)</w:t>
      </w:r>
      <w:r>
        <w:rPr>
          <w:rStyle w:val="eop"/>
          <w:rFonts w:ascii="Georgia" w:hAnsi="Georgia" w:cs="Segoe UI"/>
          <w:sz w:val="16"/>
          <w:szCs w:val="16"/>
        </w:rPr>
        <w:t> </w:t>
      </w:r>
    </w:p>
    <w:p w:rsidR="009842A9" w:rsidRDefault="009842A9" w:rsidP="009842A9">
      <w:pPr>
        <w:pStyle w:val="paragraph"/>
        <w:spacing w:before="0" w:beforeAutospacing="0" w:after="0" w:afterAutospacing="0"/>
        <w:ind w:left="285" w:right="285"/>
        <w:textAlignment w:val="baseline"/>
        <w:rPr>
          <w:rFonts w:ascii="Segoe UI" w:hAnsi="Segoe UI" w:cs="Segoe UI"/>
          <w:sz w:val="18"/>
          <w:szCs w:val="18"/>
        </w:rPr>
      </w:pPr>
      <w:r>
        <w:rPr>
          <w:rStyle w:val="normaltextrun"/>
          <w:rFonts w:eastAsiaTheme="majorEastAsia"/>
          <w:sz w:val="16"/>
          <w:szCs w:val="16"/>
        </w:rPr>
        <w:t>While </w:t>
      </w:r>
      <w:r>
        <w:rPr>
          <w:rStyle w:val="normaltextrun"/>
          <w:rFonts w:eastAsiaTheme="majorEastAsia"/>
          <w:sz w:val="22"/>
          <w:szCs w:val="22"/>
          <w:u w:val="single"/>
        </w:rPr>
        <w:t>the court</w:t>
      </w:r>
      <w:r>
        <w:rPr>
          <w:rStyle w:val="normaltextrun"/>
          <w:rFonts w:eastAsiaTheme="majorEastAsia"/>
          <w:sz w:val="16"/>
          <w:szCs w:val="16"/>
        </w:rPr>
        <w:t> agrees that the meanings of limitation and impairment refer to restriction and reduction, it </w:t>
      </w:r>
      <w:r>
        <w:rPr>
          <w:rStyle w:val="normaltextrun"/>
          <w:rFonts w:eastAsiaTheme="majorEastAsia"/>
          <w:b/>
          <w:bCs/>
          <w:sz w:val="16"/>
          <w:szCs w:val="16"/>
          <w:u w:val="single"/>
        </w:rPr>
        <w:t>does not agree</w:t>
      </w:r>
      <w:r>
        <w:rPr>
          <w:rStyle w:val="normaltextrun"/>
          <w:rFonts w:eastAsiaTheme="majorEastAsia"/>
          <w:sz w:val="22"/>
          <w:szCs w:val="22"/>
          <w:u w:val="single"/>
        </w:rPr>
        <w:t> with the uncited definition of "substantial" as an order of magnitude </w:t>
      </w:r>
      <w:r>
        <w:rPr>
          <w:rStyle w:val="normaltextrun"/>
          <w:rFonts w:eastAsiaTheme="majorEastAsia"/>
          <w:sz w:val="16"/>
          <w:szCs w:val="16"/>
        </w:rPr>
        <w:t>equivalent to 80 or 90 percent. </w:t>
      </w:r>
      <w:r>
        <w:rPr>
          <w:rStyle w:val="normaltextrun"/>
          <w:rFonts w:eastAsiaTheme="majorEastAsia"/>
          <w:i/>
          <w:iCs/>
          <w:sz w:val="16"/>
          <w:szCs w:val="16"/>
          <w:u w:val="single"/>
        </w:rPr>
        <w:t>Random House Unabridged Dictionary</w:t>
      </w:r>
      <w:r>
        <w:rPr>
          <w:rStyle w:val="normaltextrun"/>
          <w:rFonts w:eastAsiaTheme="majorEastAsia"/>
          <w:sz w:val="22"/>
          <w:szCs w:val="22"/>
          <w:u w:val="single"/>
        </w:rPr>
        <w:t> 1897 (2d ed. 1993) defines "substantial" as "of ample or considerable amount quantity, size," a much less precise definition than offered by the government</w:t>
      </w:r>
      <w:r>
        <w:rPr>
          <w:rStyle w:val="normaltextrun"/>
          <w:rFonts w:eastAsiaTheme="majorEastAsia"/>
          <w:sz w:val="16"/>
          <w:szCs w:val="16"/>
        </w:rPr>
        <w:t>. It is clear that the CB-4000 can and does transport its load over the public highway in the course of traveling to a job</w:t>
      </w:r>
      <w:proofErr w:type="gramStart"/>
      <w:r>
        <w:rPr>
          <w:rStyle w:val="normaltextrun"/>
          <w:rFonts w:eastAsiaTheme="majorEastAsia"/>
          <w:sz w:val="16"/>
          <w:szCs w:val="16"/>
        </w:rPr>
        <w:t> </w:t>
      </w:r>
      <w:r>
        <w:rPr>
          <w:rStyle w:val="normaltextrun"/>
          <w:rFonts w:eastAsiaTheme="majorEastAsia"/>
          <w:b/>
          <w:bCs/>
          <w:color w:val="000000"/>
          <w:sz w:val="16"/>
          <w:szCs w:val="16"/>
        </w:rPr>
        <w:t>[</w:t>
      </w:r>
      <w:proofErr w:type="gramEnd"/>
      <w:r>
        <w:rPr>
          <w:rStyle w:val="normaltextrun"/>
          <w:rFonts w:eastAsiaTheme="majorEastAsia"/>
          <w:b/>
          <w:bCs/>
          <w:color w:val="000000"/>
          <w:sz w:val="16"/>
          <w:szCs w:val="16"/>
        </w:rPr>
        <w:t>**33]</w:t>
      </w:r>
      <w:r>
        <w:rPr>
          <w:rStyle w:val="normaltextrun"/>
          <w:rFonts w:eastAsiaTheme="majorEastAsia"/>
          <w:sz w:val="16"/>
          <w:szCs w:val="16"/>
        </w:rPr>
        <w:t>  site. The question is whether that transportation function is substantially limited by its special design in the type of material it can haul, and whether there are other factors that substantially limit/ impair its use for over-the-road distance hauling.</w:t>
      </w:r>
      <w:r>
        <w:rPr>
          <w:rStyle w:val="eop"/>
          <w:sz w:val="16"/>
          <w:szCs w:val="16"/>
        </w:rPr>
        <w:t> </w:t>
      </w:r>
    </w:p>
    <w:p w:rsidR="00183F00" w:rsidRDefault="00183F00" w:rsidP="00183F00"/>
    <w:p w:rsidR="00A82BFF" w:rsidRDefault="00A82BFF" w:rsidP="00A82BFF"/>
    <w:p w:rsidR="00A82BFF" w:rsidRDefault="00A82BFF" w:rsidP="00A82BFF">
      <w:pPr>
        <w:pStyle w:val="Heading2"/>
      </w:pPr>
      <w:r>
        <w:t>Criminal Justice Reform</w:t>
      </w:r>
    </w:p>
    <w:p w:rsidR="00A82BFF" w:rsidRDefault="00A82BFF" w:rsidP="00A82BFF">
      <w:pPr>
        <w:pStyle w:val="Heading3"/>
      </w:pPr>
      <w:r>
        <w:t>General definitions</w:t>
      </w:r>
    </w:p>
    <w:p w:rsidR="00A82BFF" w:rsidRDefault="00A82BFF" w:rsidP="00A82BFF">
      <w:pPr>
        <w:pStyle w:val="Heading4"/>
      </w:pPr>
      <w:r>
        <w:t>Criminal justice reform includes all front end matters from policing to sentencing</w:t>
      </w:r>
    </w:p>
    <w:p w:rsidR="00A82BFF" w:rsidRPr="00474811" w:rsidRDefault="00A82BFF" w:rsidP="00A82BFF">
      <w:pPr>
        <w:rPr>
          <w:b/>
          <w:bCs/>
          <w:sz w:val="26"/>
        </w:rPr>
      </w:pPr>
      <w:r w:rsidRPr="00474811">
        <w:rPr>
          <w:rStyle w:val="Style13ptBold"/>
        </w:rPr>
        <w:t>ACLU 20</w:t>
      </w:r>
      <w:r>
        <w:rPr>
          <w:rStyle w:val="Style13ptBold"/>
        </w:rPr>
        <w:t xml:space="preserve"> </w:t>
      </w:r>
      <w:r>
        <w:t>CRIMINAL LAW REFORM, https://www.aclu.org/issues/criminal-law-reform</w:t>
      </w:r>
    </w:p>
    <w:p w:rsidR="00A82BFF" w:rsidRPr="00474811" w:rsidRDefault="00A82BFF" w:rsidP="00A82BFF">
      <w:pPr>
        <w:rPr>
          <w:sz w:val="16"/>
        </w:rPr>
      </w:pPr>
      <w:r w:rsidRPr="00474811">
        <w:rPr>
          <w:sz w:val="16"/>
        </w:rPr>
        <w:t xml:space="preserve">The </w:t>
      </w:r>
      <w:r w:rsidRPr="00EC2E48">
        <w:rPr>
          <w:rStyle w:val="StyleUnderline"/>
          <w:highlight w:val="yellow"/>
        </w:rPr>
        <w:t>Criminal Law Reform</w:t>
      </w:r>
      <w:r w:rsidRPr="00474811">
        <w:rPr>
          <w:sz w:val="16"/>
        </w:rPr>
        <w:t xml:space="preserve"> Project (CLRP)</w:t>
      </w:r>
      <w:r w:rsidRPr="00474811">
        <w:rPr>
          <w:rStyle w:val="StyleUnderline"/>
        </w:rPr>
        <w:t xml:space="preserve"> </w:t>
      </w:r>
      <w:r w:rsidRPr="00EC2E48">
        <w:rPr>
          <w:rStyle w:val="StyleUnderline"/>
          <w:highlight w:val="yellow"/>
        </w:rPr>
        <w:t>focuses</w:t>
      </w:r>
      <w:r w:rsidRPr="00474811">
        <w:rPr>
          <w:sz w:val="16"/>
        </w:rPr>
        <w:t xml:space="preserve"> its work </w:t>
      </w:r>
      <w:r w:rsidRPr="00EC2E48">
        <w:rPr>
          <w:rStyle w:val="StyleUnderline"/>
          <w:highlight w:val="yellow"/>
        </w:rPr>
        <w:t>on the “front end” of the criminal legal system—from policing to sentencing— seeking to end excessively harsh criminal justice policies that result in mass incarceration, over-criminalization, and racial injustice</w:t>
      </w:r>
      <w:r w:rsidRPr="00474811">
        <w:rPr>
          <w:rStyle w:val="StyleUnderline"/>
        </w:rPr>
        <w:t>,</w:t>
      </w:r>
      <w:r w:rsidRPr="00474811">
        <w:rPr>
          <w:sz w:val="16"/>
        </w:rPr>
        <w:t xml:space="preserve"> and stand in the way of a fair and equal society. </w:t>
      </w:r>
      <w:r w:rsidRPr="00EC2E48">
        <w:rPr>
          <w:rStyle w:val="StyleUnderline"/>
          <w:highlight w:val="yellow"/>
        </w:rPr>
        <w:t>By fighting for nationwide reforms to pretrial detention and surveillance, police practices, public defense systems, disproportionate sentencing, prosecutorial and/or judicial abuses of authority in the name of public safety, and failed drug policies</w:t>
      </w:r>
      <w:r w:rsidRPr="00474811">
        <w:rPr>
          <w:sz w:val="16"/>
        </w:rPr>
        <w:t xml:space="preserve"> which have failed to achieve public health while putting an unprecedented number of people behind bars, CLRP is working to fundamentally change the punishment bureaucracy by </w:t>
      </w:r>
      <w:r w:rsidRPr="00474811">
        <w:rPr>
          <w:rStyle w:val="StyleUnderline"/>
        </w:rPr>
        <w:t>reversing the tide of incarceration, protecting constitutional rights, eliminating racism, and increasing government accountability and transparency</w:t>
      </w:r>
      <w:r w:rsidRPr="00474811">
        <w:rPr>
          <w:sz w:val="16"/>
        </w:rPr>
        <w:t>.</w:t>
      </w:r>
    </w:p>
    <w:p w:rsidR="009907A0" w:rsidRDefault="009907A0" w:rsidP="009907A0">
      <w:pPr>
        <w:pStyle w:val="Heading4"/>
      </w:pPr>
      <w:r>
        <w:t>Eliminating mandatory minimum sentences is contextually criminal justice reform</w:t>
      </w:r>
    </w:p>
    <w:p w:rsidR="009907A0" w:rsidRDefault="009907A0" w:rsidP="009907A0">
      <w:proofErr w:type="spellStart"/>
      <w:r w:rsidRPr="00461588">
        <w:rPr>
          <w:rStyle w:val="Style13ptBold"/>
        </w:rPr>
        <w:t>Tebrugge</w:t>
      </w:r>
      <w:proofErr w:type="spellEnd"/>
      <w:r w:rsidRPr="00461588">
        <w:rPr>
          <w:rStyle w:val="Style13ptBold"/>
        </w:rPr>
        <w:t xml:space="preserve"> 14</w:t>
      </w:r>
      <w:r>
        <w:t xml:space="preserve"> Adam </w:t>
      </w:r>
      <w:proofErr w:type="spellStart"/>
      <w:r>
        <w:t>Tebrugge</w:t>
      </w:r>
      <w:proofErr w:type="spellEnd"/>
      <w:r>
        <w:t xml:space="preserve"> of Sarasota is a Bradenton-based defense attorney. Adam </w:t>
      </w:r>
      <w:proofErr w:type="spellStart"/>
      <w:r>
        <w:t>Tebrugge</w:t>
      </w:r>
      <w:proofErr w:type="spellEnd"/>
      <w:r>
        <w:t>: Improve justice by providing alternatives to incarceration, https://www.heraldtribune.com/opinion/20141125/adam-tebrugge-improve-justice-by-providing-alternatives-to-incarceration</w:t>
      </w:r>
    </w:p>
    <w:p w:rsidR="009907A0" w:rsidRPr="00006EEB" w:rsidRDefault="009907A0" w:rsidP="009907A0">
      <w:pPr>
        <w:rPr>
          <w:sz w:val="16"/>
        </w:rPr>
      </w:pPr>
      <w:r w:rsidRPr="00EC2E48">
        <w:rPr>
          <w:rStyle w:val="StyleUnderline"/>
          <w:highlight w:val="yellow"/>
        </w:rPr>
        <w:t>When I use the term “criminal justice reform,” I am primarily referring to the elimination of minimum mandatory sentences</w:t>
      </w:r>
      <w:r w:rsidRPr="00006EEB">
        <w:rPr>
          <w:sz w:val="16"/>
        </w:rPr>
        <w:t xml:space="preserve"> in order to return discretion to the local judiciary, where it belongs. But I am also talking about ending our overreliance on prison sentences when nothing is done to address underlying issues. My argument is that we need to expand alternatives to incarceration, like Drug Court and Veterans Court, while making victim compensation a primary goal of the system. It also means working to reintegrate offenders into our communities and not denying them the right to vote after the completion of a court’s sentence. The citizens involved with Einstein’s Circle had a lot to add to this discussion. Among the questions asked and points raised were the following: Does the privatization of the prison system incentivize incarceration over better rehabilitation strategies? Would additional community mental health treatment centers be a good investment? Why is there resistance to paying for long-term drug treatment as an alternative to imprisonment? Shouldn’t we provide extra educational incentives to prisoners in Florida’s jails and prisons? Aren’t our limited financial resources better spent on treatment, education and victim compensation? With crime rates down, can we reduce the amount of money spent on law enforcement and corrections? How can we work with employers to give offenders a second chance at meaningful work so that they can make restitution to victims? Many people in the audience had experience working with offenders. There was general consensus that we need to work with inmates to tackle issues such as illiteracy while they are incarcerated. We can’t keep people locked up for years at a time and then release them </w:t>
      </w:r>
      <w:proofErr w:type="spellStart"/>
      <w:r w:rsidRPr="00006EEB">
        <w:rPr>
          <w:sz w:val="16"/>
        </w:rPr>
        <w:t>with out</w:t>
      </w:r>
      <w:proofErr w:type="spellEnd"/>
      <w:r w:rsidRPr="00006EEB">
        <w:rPr>
          <w:sz w:val="16"/>
        </w:rPr>
        <w:t xml:space="preserve"> the necessary skills to survive. We must also strive to understand the disproportionate impact that our present criminal justice policies have had upon African-American citizens and neighborhoods, and adopt educational and community strategies other than incarceration. At the national level, some progress has been made in reducing prison sentences for certain drug offenses. States such as Georgia, Texas, California and New York have implemented reform efforts that have resulted in significant cost savings and no increase in criminal behavior. One interesting aspect of these </w:t>
      </w:r>
      <w:r w:rsidRPr="00006EEB">
        <w:rPr>
          <w:rStyle w:val="StyleUnderline"/>
        </w:rPr>
        <w:t>reform efforts is that they are usually bipartisan. Saving scant resources, eliminating wasteful incarceration costs, and providing for more effective treatment of offenders are neither Democratic nor Republican policies</w:t>
      </w:r>
      <w:r w:rsidRPr="00006EEB">
        <w:rPr>
          <w:sz w:val="16"/>
        </w:rPr>
        <w:t xml:space="preserve">. They just make sense. In Florida, despite our declining crime rates, the prison population continues to increase. We will spend approximately $2.4 billion this year just on housing prisoners. Our state’s incarceration rate is 26 percent higher than the national average, and we have the third-largest correctional system in the nation. Approximately 102,000 people are locked up in Florida prisons and many more are housed in our county jails. </w:t>
      </w:r>
      <w:r w:rsidRPr="00006EEB">
        <w:rPr>
          <w:rStyle w:val="StyleUnderline"/>
        </w:rPr>
        <w:t>Unfortunately, legislators are reluctant to tackle meaningful reform efforts for fear of being portrayed as “soft on crime</w:t>
      </w:r>
      <w:r w:rsidRPr="00006EEB">
        <w:rPr>
          <w:sz w:val="16"/>
        </w:rPr>
        <w:t>.” As citizens, it is our job to let our elected leaders know that we want them to examine different priorities for our criminal justice system.</w:t>
      </w:r>
    </w:p>
    <w:p w:rsidR="009907A0" w:rsidRDefault="009907A0" w:rsidP="009907A0"/>
    <w:p w:rsidR="009907A0" w:rsidRPr="00491FDD" w:rsidRDefault="009907A0" w:rsidP="009907A0">
      <w:pPr>
        <w:pStyle w:val="Heading4"/>
      </w:pPr>
      <w:r>
        <w:t>CJR includes decriminalization of specific offenses or categories of offenders</w:t>
      </w:r>
    </w:p>
    <w:p w:rsidR="009907A0" w:rsidRDefault="009907A0" w:rsidP="009907A0">
      <w:r w:rsidRPr="00607FBB">
        <w:rPr>
          <w:rStyle w:val="Style13ptBold"/>
        </w:rPr>
        <w:t>TCCRI 20</w:t>
      </w:r>
      <w:r>
        <w:t xml:space="preserve">  Texas Conservative Coalition Research Institute Senate Committee on State Affairs February 26, 2020, Testimony: Senate Committee on State Affairs - Personal Property Protections, </w:t>
      </w:r>
      <w:hyperlink r:id="rId12" w:history="1">
        <w:r w:rsidRPr="00A7141D">
          <w:rPr>
            <w:rStyle w:val="Hyperlink"/>
          </w:rPr>
          <w:t>https://www.txccri.org/single-post/2020/02/26/Testimony-Senate-Committee-on-State-Affairs---Personal-Property-Protections</w:t>
        </w:r>
      </w:hyperlink>
    </w:p>
    <w:p w:rsidR="009907A0" w:rsidRPr="00491FDD" w:rsidRDefault="009907A0" w:rsidP="009907A0">
      <w:pPr>
        <w:rPr>
          <w:sz w:val="16"/>
        </w:rPr>
      </w:pPr>
      <w:r w:rsidRPr="00491FDD">
        <w:rPr>
          <w:sz w:val="16"/>
        </w:rPr>
        <w:t xml:space="preserve">In the last few years, many politicians across the political spectrum have advocated criminal justice reform. </w:t>
      </w:r>
      <w:r w:rsidRPr="00491FDD">
        <w:rPr>
          <w:rStyle w:val="StyleUnderline"/>
          <w:highlight w:val="yellow"/>
        </w:rPr>
        <w:t>Different people use the phrase “criminal justice reform” to mean different things</w:t>
      </w:r>
      <w:r w:rsidRPr="00491FDD">
        <w:rPr>
          <w:sz w:val="16"/>
        </w:rPr>
        <w:t xml:space="preserve">, but </w:t>
      </w:r>
      <w:r w:rsidRPr="00491FDD">
        <w:rPr>
          <w:rStyle w:val="StyleUnderline"/>
          <w:highlight w:val="yellow"/>
        </w:rPr>
        <w:t>to a significant number of advocates</w:t>
      </w:r>
      <w:r w:rsidRPr="00491FDD">
        <w:rPr>
          <w:sz w:val="16"/>
        </w:rPr>
        <w:t xml:space="preserve">, these </w:t>
      </w:r>
      <w:r w:rsidRPr="00491FDD">
        <w:rPr>
          <w:rStyle w:val="StyleUnderline"/>
          <w:highlight w:val="yellow"/>
        </w:rPr>
        <w:t>proposed policy changes consist of emphasizing rehabilitation rather than punishing offenders and deterring prospective offenders</w:t>
      </w:r>
      <w:r w:rsidRPr="00491FDD">
        <w:rPr>
          <w:sz w:val="16"/>
        </w:rPr>
        <w:t xml:space="preserve">. In pursuing this goal of re8habilitation, some </w:t>
      </w:r>
      <w:r w:rsidRPr="00491FDD">
        <w:rPr>
          <w:rStyle w:val="StyleUnderline"/>
          <w:highlight w:val="yellow"/>
        </w:rPr>
        <w:t>advocates of criminal justice reform argue that certain offenders, such as the homeless, mentally ill, or juveniles, should not be subjected to the penalties for which the law provides</w:t>
      </w:r>
      <w:r w:rsidRPr="00491FDD">
        <w:rPr>
          <w:sz w:val="16"/>
        </w:rPr>
        <w:t xml:space="preserve">. Similarly, </w:t>
      </w:r>
      <w:r w:rsidRPr="00491FDD">
        <w:rPr>
          <w:rStyle w:val="StyleUnderline"/>
          <w:highlight w:val="yellow"/>
        </w:rPr>
        <w:t>some advocates argue that certain types of offenses, such as criminal trespass, drug use, and minor theft, should not be prosecuted</w:t>
      </w:r>
      <w:r w:rsidRPr="00EB0852">
        <w:rPr>
          <w:rStyle w:val="StyleUnderline"/>
        </w:rPr>
        <w:t xml:space="preserve"> in</w:t>
      </w:r>
      <w:r w:rsidRPr="00491FDD">
        <w:rPr>
          <w:sz w:val="16"/>
        </w:rPr>
        <w:t xml:space="preserve"> at least </w:t>
      </w:r>
      <w:r w:rsidRPr="00EB0852">
        <w:rPr>
          <w:rStyle w:val="StyleUnderline"/>
        </w:rPr>
        <w:t>some circumstances.</w:t>
      </w:r>
      <w:r w:rsidRPr="00491FDD">
        <w:rPr>
          <w:sz w:val="16"/>
        </w:rPr>
        <w:t xml:space="preserve"> </w:t>
      </w:r>
    </w:p>
    <w:p w:rsidR="009907A0" w:rsidRDefault="009907A0" w:rsidP="009907A0"/>
    <w:p w:rsidR="009907A0" w:rsidRDefault="009907A0" w:rsidP="009907A0"/>
    <w:p w:rsidR="009907A0" w:rsidRDefault="009907A0" w:rsidP="009907A0">
      <w:pPr>
        <w:pStyle w:val="Heading4"/>
      </w:pPr>
      <w:r>
        <w:t>Juvenile justice reform is part of criminal justice reform</w:t>
      </w:r>
    </w:p>
    <w:p w:rsidR="009907A0" w:rsidRDefault="009907A0" w:rsidP="009907A0">
      <w:r w:rsidRPr="00E33D45">
        <w:rPr>
          <w:rStyle w:val="Style13ptBold"/>
        </w:rPr>
        <w:t>Landry 18</w:t>
      </w:r>
      <w:r>
        <w:t xml:space="preserve"> Anne Johnson Landry June 14, 2018 Juvenile Justice Reform in the Criminal Justice Package https://willbrownsberger.com/juvenile-justice-reform/</w:t>
      </w:r>
    </w:p>
    <w:p w:rsidR="009907A0" w:rsidRPr="00EC2E48" w:rsidRDefault="009907A0" w:rsidP="009907A0">
      <w:pPr>
        <w:rPr>
          <w:sz w:val="16"/>
        </w:rPr>
      </w:pPr>
      <w:r w:rsidRPr="00EC2E48">
        <w:rPr>
          <w:sz w:val="16"/>
        </w:rPr>
        <w:t xml:space="preserve">An Act relative to </w:t>
      </w:r>
      <w:r w:rsidRPr="00EC2E48">
        <w:rPr>
          <w:rStyle w:val="StyleUnderline"/>
          <w:highlight w:val="yellow"/>
        </w:rPr>
        <w:t>criminal justice reform includes a number of changes to the way our criminal justice system treats</w:t>
      </w:r>
      <w:r w:rsidRPr="00EC2E48">
        <w:rPr>
          <w:sz w:val="16"/>
        </w:rPr>
        <w:t xml:space="preserve"> young adults and </w:t>
      </w:r>
      <w:r w:rsidRPr="00EC2E48">
        <w:rPr>
          <w:rStyle w:val="StyleUnderline"/>
          <w:highlight w:val="yellow"/>
        </w:rPr>
        <w:t xml:space="preserve">juveniles. These changes include reforms targeting developmentally appropriate treatment for young adults in the criminal justice system, </w:t>
      </w:r>
      <w:proofErr w:type="gramStart"/>
      <w:r w:rsidRPr="00EC2E48">
        <w:rPr>
          <w:rStyle w:val="StyleUnderline"/>
          <w:highlight w:val="yellow"/>
        </w:rPr>
        <w:t>combating</w:t>
      </w:r>
      <w:proofErr w:type="gramEnd"/>
      <w:r w:rsidRPr="00EC2E48">
        <w:rPr>
          <w:rStyle w:val="StyleUnderline"/>
          <w:highlight w:val="yellow"/>
        </w:rPr>
        <w:t xml:space="preserve"> the school to prison pipeline, promoting humane conditions of detention for juveniles</w:t>
      </w:r>
      <w:r w:rsidRPr="00EC2E48">
        <w:rPr>
          <w:sz w:val="16"/>
        </w:rPr>
        <w:t xml:space="preserve">, putting in place task forces to develop juvenile justice policy further, </w:t>
      </w:r>
      <w:r w:rsidRPr="00EC2E48">
        <w:rPr>
          <w:rStyle w:val="StyleUnderline"/>
          <w:highlight w:val="yellow"/>
        </w:rPr>
        <w:t>and protecting the privacy of juvenile and young adult criminal records</w:t>
      </w:r>
      <w:r w:rsidRPr="00EC2E48">
        <w:rPr>
          <w:sz w:val="16"/>
        </w:rPr>
        <w:t>.</w:t>
      </w:r>
    </w:p>
    <w:p w:rsidR="009907A0" w:rsidRDefault="009907A0" w:rsidP="009907A0"/>
    <w:p w:rsidR="00A37C5D" w:rsidRDefault="00A37C5D" w:rsidP="00A37C5D">
      <w:pPr>
        <w:pStyle w:val="Heading4"/>
      </w:pPr>
      <w:r>
        <w:t>All police reform is topical because they are an element of the Criminal Justice System</w:t>
      </w:r>
    </w:p>
    <w:p w:rsidR="00A37C5D" w:rsidRDefault="00A37C5D" w:rsidP="00A37C5D">
      <w:r w:rsidRPr="00496489">
        <w:rPr>
          <w:rStyle w:val="Style13ptBold"/>
        </w:rPr>
        <w:t>Muller 12</w:t>
      </w:r>
      <w:r>
        <w:t xml:space="preserve"> Erwin Muller is dean of the Faculty of Governance and Global Affairs and professor of Safety, Security and Law at Leiden University Security, safety and criminal justice in the Netherlands: An organizational and legal perspective p. 20</w:t>
      </w:r>
    </w:p>
    <w:p w:rsidR="00A37C5D" w:rsidRDefault="00A37C5D" w:rsidP="00A37C5D">
      <w:r>
        <w:t xml:space="preserve">In this book I define security and safety as prevention and response to intentional and accidental risks for men and goods. Intentional risks are, for example, the risks of crime or a terrorist attack. Accidental risks are risks such as accidents by hazardous materials, flooding or infectious diseases. Security refers to intentional risks and safety refers to accidental risks. I do not define it as human security which refers to all risks that an individual runs. I am only concentrating on the intentional and accidental risks. </w:t>
      </w:r>
      <w:r w:rsidRPr="00EC2E48">
        <w:rPr>
          <w:rStyle w:val="StyleUnderline"/>
          <w:highlight w:val="yellow"/>
        </w:rPr>
        <w:t>I define criminal justice as the organizations and processes which are concerned with crime</w:t>
      </w:r>
      <w:r w:rsidRPr="00EC2E48">
        <w:rPr>
          <w:rStyle w:val="StyleUnderline"/>
        </w:rPr>
        <w:t>,</w:t>
      </w:r>
      <w:r w:rsidRPr="00496489">
        <w:rPr>
          <w:rStyle w:val="StyleUnderline"/>
        </w:rPr>
        <w:t xml:space="preserve"> defendants or criminals. These are</w:t>
      </w:r>
      <w:r>
        <w:t xml:space="preserve">, </w:t>
      </w:r>
      <w:r w:rsidRPr="00EC2E48">
        <w:rPr>
          <w:highlight w:val="yellow"/>
        </w:rPr>
        <w:t xml:space="preserve">for example, </w:t>
      </w:r>
      <w:r w:rsidRPr="00EC2E48">
        <w:rPr>
          <w:rStyle w:val="StyleUnderline"/>
          <w:highlight w:val="yellow"/>
        </w:rPr>
        <w:t>the police</w:t>
      </w:r>
      <w:r w:rsidRPr="00496489">
        <w:rPr>
          <w:rStyle w:val="StyleUnderline"/>
        </w:rPr>
        <w:t>, the Criminal Investigation Departments, the judges and the</w:t>
      </w:r>
      <w:r>
        <w:rPr>
          <w:rStyle w:val="StyleUnderline"/>
        </w:rPr>
        <w:t xml:space="preserve"> </w:t>
      </w:r>
      <w:r w:rsidRPr="00496489">
        <w:rPr>
          <w:rStyle w:val="StyleUnderline"/>
        </w:rPr>
        <w:t>courts, the Public Prosecution Service, the Prison Service the Probation service,</w:t>
      </w:r>
      <w:r>
        <w:rPr>
          <w:rStyle w:val="StyleUnderline"/>
        </w:rPr>
        <w:t xml:space="preserve"> </w:t>
      </w:r>
      <w:r w:rsidRPr="00496489">
        <w:rPr>
          <w:rStyle w:val="StyleUnderline"/>
        </w:rPr>
        <w:t>the criminal investigation process and the forensic investigation process</w:t>
      </w:r>
      <w:r>
        <w:t>. Criminal justice organizations and processes are in my definitions a substantial part of security.</w:t>
      </w:r>
    </w:p>
    <w:p w:rsidR="00A37C5D" w:rsidRDefault="00A37C5D" w:rsidP="00A37C5D"/>
    <w:p w:rsidR="00A37C5D" w:rsidRDefault="00A37C5D" w:rsidP="00A37C5D">
      <w:pPr>
        <w:pStyle w:val="Heading4"/>
      </w:pPr>
      <w:r>
        <w:t>Criminal justice is the system for bringing criminal charges</w:t>
      </w:r>
    </w:p>
    <w:p w:rsidR="00A37C5D" w:rsidRDefault="00A37C5D" w:rsidP="00A37C5D">
      <w:r w:rsidRPr="00496489">
        <w:rPr>
          <w:rStyle w:val="Style13ptBold"/>
        </w:rPr>
        <w:t>Muller 12</w:t>
      </w:r>
      <w:r>
        <w:t xml:space="preserve"> Erwin Muller is dean of the Faculty of Governance and Global Affairs and professor of Safety, Security and Law at Leiden University Security, safety and criminal justice in the Netherlands: An organizational and legal perspective p. 18</w:t>
      </w:r>
    </w:p>
    <w:p w:rsidR="00A37C5D" w:rsidRPr="00496489" w:rsidRDefault="00A37C5D" w:rsidP="00A37C5D">
      <w:pPr>
        <w:rPr>
          <w:sz w:val="16"/>
        </w:rPr>
      </w:pPr>
      <w:r w:rsidRPr="00496489">
        <w:rPr>
          <w:sz w:val="16"/>
        </w:rPr>
        <w:t xml:space="preserve"> “Security is the state of being secure, specifically freedom from fear, danger, risk, care, poverty and anxiety. Security also implies certainty. The roots of the term are in the Latin </w:t>
      </w:r>
      <w:proofErr w:type="spellStart"/>
      <w:r w:rsidRPr="00496489">
        <w:rPr>
          <w:sz w:val="16"/>
        </w:rPr>
        <w:t>securitas</w:t>
      </w:r>
      <w:proofErr w:type="spellEnd"/>
      <w:r w:rsidRPr="00496489">
        <w:rPr>
          <w:sz w:val="16"/>
        </w:rPr>
        <w:t>/</w:t>
      </w:r>
      <w:proofErr w:type="spellStart"/>
      <w:r w:rsidRPr="00496489">
        <w:rPr>
          <w:sz w:val="16"/>
        </w:rPr>
        <w:t>securus</w:t>
      </w:r>
      <w:proofErr w:type="spellEnd"/>
      <w:r w:rsidRPr="00496489">
        <w:rPr>
          <w:sz w:val="16"/>
        </w:rPr>
        <w:t xml:space="preserve">, derived from sine (meaning without) </w:t>
      </w:r>
      <w:proofErr w:type="spellStart"/>
      <w:r w:rsidRPr="00496489">
        <w:rPr>
          <w:sz w:val="16"/>
        </w:rPr>
        <w:t>cura</w:t>
      </w:r>
      <w:proofErr w:type="spellEnd"/>
      <w:r w:rsidRPr="00496489">
        <w:rPr>
          <w:sz w:val="16"/>
        </w:rPr>
        <w:t xml:space="preserve"> (care, anxiety, pains, worry). Safety is closely related to security. Safety also means freedom from danger or risk. However, it has additional connotations which have more to do with physical conditions </w:t>
      </w:r>
      <w:proofErr w:type="spellStart"/>
      <w:r w:rsidRPr="00496489">
        <w:rPr>
          <w:sz w:val="16"/>
        </w:rPr>
        <w:t>e.a</w:t>
      </w:r>
      <w:proofErr w:type="spellEnd"/>
      <w:r w:rsidRPr="00496489">
        <w:rPr>
          <w:sz w:val="16"/>
        </w:rPr>
        <w:t xml:space="preserve">. freedom from injury, the safety of the body and property. In this context certainty refers to certainty of order, assurance and predictability.” 7 In this dictionary of criminology the concept of safety is not defined. </w:t>
      </w:r>
      <w:r w:rsidRPr="00496489">
        <w:rPr>
          <w:rStyle w:val="StyleUnderline"/>
        </w:rPr>
        <w:t xml:space="preserve">Criminal justice is defined as “the process through which the state responds to </w:t>
      </w:r>
      <w:proofErr w:type="spellStart"/>
      <w:r w:rsidRPr="00496489">
        <w:rPr>
          <w:rStyle w:val="StyleUnderline"/>
        </w:rPr>
        <w:t>behaviour</w:t>
      </w:r>
      <w:proofErr w:type="spellEnd"/>
      <w:r w:rsidRPr="00496489">
        <w:rPr>
          <w:rStyle w:val="StyleUnderline"/>
        </w:rPr>
        <w:t xml:space="preserve"> that it deems unacceptable. Criminal justice is delivered through a series of stages: charge, prosecution, trial, sentence; appeal; punishment. These processes and the agencies which carry them out are referred to collectively as the criminal justice system</w:t>
      </w:r>
      <w:r w:rsidRPr="00496489">
        <w:rPr>
          <w:sz w:val="16"/>
        </w:rPr>
        <w:t>.”</w:t>
      </w:r>
    </w:p>
    <w:p w:rsidR="00A37C5D" w:rsidRDefault="00A37C5D" w:rsidP="00A37C5D"/>
    <w:p w:rsidR="00A37C5D" w:rsidRDefault="00A37C5D" w:rsidP="00A37C5D">
      <w:pPr>
        <w:pStyle w:val="Heading4"/>
      </w:pPr>
      <w:r>
        <w:t>Radical criminology is totally distinct from criminal justice</w:t>
      </w:r>
    </w:p>
    <w:p w:rsidR="00A37C5D" w:rsidRDefault="00A37C5D" w:rsidP="00A37C5D">
      <w:proofErr w:type="spellStart"/>
      <w:r w:rsidRPr="00241440">
        <w:rPr>
          <w:rStyle w:val="Style13ptBold"/>
        </w:rPr>
        <w:t>Garofalo</w:t>
      </w:r>
      <w:proofErr w:type="spellEnd"/>
      <w:r w:rsidRPr="00241440">
        <w:rPr>
          <w:rStyle w:val="Style13ptBold"/>
        </w:rPr>
        <w:t xml:space="preserve"> 78</w:t>
      </w:r>
      <w:r>
        <w:t xml:space="preserve"> James </w:t>
      </w:r>
      <w:proofErr w:type="spellStart"/>
      <w:r>
        <w:t>Garofalo</w:t>
      </w:r>
      <w:proofErr w:type="spellEnd"/>
      <w:r>
        <w:t xml:space="preserve"> is Professor of Criminology at Southern Illinois University RADICAL CRIMINOLOGY AND CRIMINAL JUSTICE - POINTS OF DIVERGENCE AND CONTACT CRIME AND SOCIAL JUSTICE  Issue:10  Dated:(FALL/WINTER)  Pages:17-27</w:t>
      </w:r>
    </w:p>
    <w:p w:rsidR="00A37C5D" w:rsidRDefault="00A37C5D" w:rsidP="00A37C5D">
      <w:pPr>
        <w:rPr>
          <w:sz w:val="16"/>
        </w:rPr>
      </w:pPr>
      <w:r w:rsidRPr="00EC2E48">
        <w:rPr>
          <w:rStyle w:val="StyleUnderline"/>
          <w:highlight w:val="yellow"/>
        </w:rPr>
        <w:t>CRIMINAL JUSTICE IS DEFINED AS A FIELD OF STUDY THAT FOCUSES ON THE OPERATIONS OF</w:t>
      </w:r>
      <w:r w:rsidRPr="00241440">
        <w:rPr>
          <w:rStyle w:val="StyleUnderline"/>
        </w:rPr>
        <w:t xml:space="preserve"> THE INSTITUTIONS CREATED TO DEAL WITH BEHAVIORS SPECIFIED BY </w:t>
      </w:r>
      <w:r w:rsidRPr="00EC2E48">
        <w:rPr>
          <w:rStyle w:val="StyleUnderline"/>
          <w:highlight w:val="yellow"/>
        </w:rPr>
        <w:t>THE CRIMINAL LAW</w:t>
      </w:r>
      <w:r w:rsidRPr="00241440">
        <w:rPr>
          <w:sz w:val="16"/>
        </w:rPr>
        <w:t xml:space="preserve">. </w:t>
      </w:r>
      <w:r w:rsidRPr="00EC2E48">
        <w:rPr>
          <w:rStyle w:val="StyleUnderline"/>
          <w:highlight w:val="yellow"/>
        </w:rPr>
        <w:t>RADICAL CRIMINOLOGY IS DEFINED AS A MARXIST APPROACH TO THE ISSUES OF CRIME AND CRIME CONTROL</w:t>
      </w:r>
      <w:r w:rsidRPr="00241440">
        <w:rPr>
          <w:sz w:val="16"/>
        </w:rPr>
        <w:t xml:space="preserve">. IT IS ARGUED THAT </w:t>
      </w:r>
      <w:r w:rsidRPr="00241440">
        <w:rPr>
          <w:rStyle w:val="StyleUnderline"/>
        </w:rPr>
        <w:t xml:space="preserve">THE TWO DISCIPLINES CANNOT BE VIEWED AS MERELY DIFFERENT PERSPECTIVES EXISTING WITHIN A COMMON INTELLECTUAL FRAMEWORK. </w:t>
      </w:r>
      <w:r w:rsidRPr="00EC2E48">
        <w:rPr>
          <w:rStyle w:val="StyleUnderline"/>
          <w:highlight w:val="yellow"/>
        </w:rPr>
        <w:t>THE BASIC ASSUMPTIONS, OBJECTS OF STUDY, EVALUATION STRATEGIES, POLITICAL COMMITMENTS, AND CONSTITUENCIES OF CRIMINAL JUSTICE AND RADICAL CRIMINOLOGY</w:t>
      </w:r>
      <w:r w:rsidRPr="00241440">
        <w:rPr>
          <w:rStyle w:val="StyleUnderline"/>
        </w:rPr>
        <w:t xml:space="preserve"> ARE SO OPPOSED THAT THE ONLY THING THE TWO FIELDS SHARE IS AN INTEREST IN THE STUDY OF CRIME AND CONTROL</w:t>
      </w:r>
      <w:r w:rsidRPr="00241440">
        <w:rPr>
          <w:sz w:val="16"/>
        </w:rPr>
        <w:t>. HOWEVER, BECAUSE THE TWO FIELDS DO SHARE THIS INTEREST, THEY ARE BOUND TO COME INTO CONTACT. CRIMINAL JUSTICE, WITH ITS ADVANTAGED POWER POSITION, CAN AFFORD TO IGNORE RADICAL CRIMINOLOGY MOST OF THE TIME AND TO COOPT RADICAL IDEAS AND MEANINGS (RESTATE THEM IN SUCH A WAY TO RENDER THEM SUPPORTIVE OF, OR AT LEAST NOT CONTRADICTORY TO, ELEMENTS WITHIN THE DOMINANT CULTURE) WHEN OCCASIONS FOR CONTACT ARISE. RADICAL CRIMINOLOGY, AS THE OUTSIDER, MUST PLAN ITS CONTACTS WITH CRIMINAL JUSTICE CAREFULLY AND MUST TAKE A STRATEGIC POSTURE IN THOSE CONTACTS. THE OVERALL SITUATION ENSURES THAT THERE WILL BE NO RESOLUTION BETWEEN THE TWO DISCIPLINES, UNLESS ONE GIVES UP ITS KEY PRECEPTS. A LIST OF REFERENCES IS INCLUDED. (AUTHOR ABSTRACT MODIFIED--LKM)</w:t>
      </w:r>
    </w:p>
    <w:p w:rsidR="00A37C5D" w:rsidRDefault="00A37C5D" w:rsidP="00A37C5D"/>
    <w:p w:rsidR="00A37C5D" w:rsidRPr="00B54CB0" w:rsidRDefault="00A37C5D" w:rsidP="00A37C5D">
      <w:pPr>
        <w:pStyle w:val="Heading4"/>
      </w:pPr>
      <w:r w:rsidRPr="00B54CB0">
        <w:t xml:space="preserve">Police are inherently part of the Criminal Justice system </w:t>
      </w:r>
    </w:p>
    <w:p w:rsidR="00A37C5D" w:rsidRPr="00B54CB0" w:rsidRDefault="00A37C5D" w:rsidP="00A37C5D">
      <w:pPr>
        <w:pStyle w:val="Heading4"/>
      </w:pPr>
      <w:r w:rsidRPr="00B54CB0">
        <w:t>Criminal Justice Information Systems Act of 74</w:t>
      </w:r>
    </w:p>
    <w:p w:rsidR="00A37C5D" w:rsidRDefault="00A37C5D" w:rsidP="00A37C5D">
      <w:r>
        <w:t xml:space="preserve">Criminal Justice Data Banks--1974: Hearings </w:t>
      </w:r>
      <w:proofErr w:type="gramStart"/>
      <w:r>
        <w:t>Before</w:t>
      </w:r>
      <w:proofErr w:type="gramEnd"/>
      <w:r>
        <w:t xml:space="preserve"> the Subcommittee on Constitutional Rights, U.S. Senate, https://www.law.cornell.edu/uscode/text/34/11103</w:t>
      </w:r>
    </w:p>
    <w:p w:rsidR="00A37C5D" w:rsidRPr="00245ECE" w:rsidRDefault="00A37C5D" w:rsidP="00A37C5D">
      <w:pPr>
        <w:rPr>
          <w:sz w:val="16"/>
        </w:rPr>
      </w:pPr>
      <w:r w:rsidRPr="00245ECE">
        <w:rPr>
          <w:sz w:val="16"/>
        </w:rPr>
        <w:t>Subsection (g). "</w:t>
      </w:r>
      <w:r w:rsidRPr="00B54CB0">
        <w:rPr>
          <w:rStyle w:val="StyleUnderline"/>
          <w:highlight w:val="yellow"/>
        </w:rPr>
        <w:t>Criminal justice" is defined to mean any activity pertaining to the enforcement of criminal laws</w:t>
      </w:r>
      <w:r w:rsidRPr="00245ECE">
        <w:rPr>
          <w:rStyle w:val="StyleUnderline"/>
        </w:rPr>
        <w:t xml:space="preserve">. </w:t>
      </w:r>
      <w:r w:rsidRPr="00B54CB0">
        <w:rPr>
          <w:rStyle w:val="StyleUnderline"/>
          <w:highlight w:val="yellow"/>
        </w:rPr>
        <w:t>This term includes police efforts to</w:t>
      </w:r>
      <w:r w:rsidRPr="00B54CB0">
        <w:rPr>
          <w:rStyle w:val="StyleUnderline"/>
        </w:rPr>
        <w:t xml:space="preserve"> </w:t>
      </w:r>
      <w:r w:rsidRPr="00245ECE">
        <w:rPr>
          <w:sz w:val="16"/>
        </w:rPr>
        <w:t xml:space="preserve">prevent, control or reduce crime or to </w:t>
      </w:r>
      <w:r w:rsidRPr="00B54CB0">
        <w:rPr>
          <w:rStyle w:val="StyleUnderline"/>
          <w:highlight w:val="yellow"/>
        </w:rPr>
        <w:t>apprehend criminals</w:t>
      </w:r>
      <w:r w:rsidRPr="00245ECE">
        <w:rPr>
          <w:sz w:val="16"/>
        </w:rPr>
        <w:t xml:space="preserve">. Also included are activities of </w:t>
      </w:r>
      <w:r w:rsidRPr="00245ECE">
        <w:rPr>
          <w:rStyle w:val="StyleUnderline"/>
        </w:rPr>
        <w:t>prosecutors, courts and corrections, probation', pardon or parole authorities</w:t>
      </w:r>
      <w:r w:rsidRPr="00245ECE">
        <w:rPr>
          <w:sz w:val="16"/>
        </w:rPr>
        <w:t xml:space="preserve">. Subsection (b). "Criminal justice agency' means a public agency, Federal, </w:t>
      </w:r>
      <w:r>
        <w:rPr>
          <w:sz w:val="16"/>
        </w:rPr>
        <w:t>state or local, whose p</w:t>
      </w:r>
      <w:r w:rsidRPr="00245ECE">
        <w:rPr>
          <w:sz w:val="16"/>
        </w:rPr>
        <w:t xml:space="preserve">rincipal function is the performance of activities pertaining </w:t>
      </w:r>
      <w:r>
        <w:rPr>
          <w:sz w:val="16"/>
        </w:rPr>
        <w:t>to criminal j</w:t>
      </w:r>
      <w:r w:rsidRPr="00245ECE">
        <w:rPr>
          <w:sz w:val="16"/>
        </w:rPr>
        <w:t xml:space="preserve">ustice. </w:t>
      </w:r>
      <w:r>
        <w:rPr>
          <w:sz w:val="16"/>
        </w:rPr>
        <w:t>Th</w:t>
      </w:r>
      <w:r w:rsidRPr="00245ECE">
        <w:rPr>
          <w:sz w:val="16"/>
        </w:rPr>
        <w:t>e definition includes a "component" of a public agency if the princip</w:t>
      </w:r>
      <w:r>
        <w:rPr>
          <w:sz w:val="16"/>
        </w:rPr>
        <w:t>le</w:t>
      </w:r>
      <w:r w:rsidRPr="00245ECE">
        <w:rPr>
          <w:sz w:val="16"/>
        </w:rPr>
        <w:t xml:space="preserve"> function of the component is performi</w:t>
      </w:r>
      <w:r>
        <w:rPr>
          <w:sz w:val="16"/>
        </w:rPr>
        <w:t>ng activities relating to crimi</w:t>
      </w:r>
      <w:r w:rsidRPr="00245ECE">
        <w:rPr>
          <w:sz w:val="16"/>
        </w:rPr>
        <w:t>nal justice. For example, a unit of the Internal Revenue Service which has as its principal function investigation of criminal violations of the tax laws would be a 'criminal justice agency" even though the Internal Revenue Service as a whole would not come within that definition.</w:t>
      </w:r>
    </w:p>
    <w:p w:rsidR="00A37C5D" w:rsidRDefault="00A37C5D" w:rsidP="00A37C5D"/>
    <w:p w:rsidR="00A37C5D" w:rsidRDefault="00A37C5D" w:rsidP="00A37C5D">
      <w:pPr>
        <w:pStyle w:val="Heading4"/>
      </w:pPr>
      <w:r>
        <w:t>Criminal Justice Reform is about the actions of governments</w:t>
      </w:r>
    </w:p>
    <w:p w:rsidR="00A37C5D" w:rsidRDefault="00A37C5D" w:rsidP="00A37C5D">
      <w:proofErr w:type="spellStart"/>
      <w:r w:rsidRPr="005A41F8">
        <w:rPr>
          <w:rStyle w:val="Style13ptBold"/>
        </w:rPr>
        <w:t>Dept</w:t>
      </w:r>
      <w:proofErr w:type="spellEnd"/>
      <w:r w:rsidRPr="005A41F8">
        <w:rPr>
          <w:rStyle w:val="Style13ptBold"/>
        </w:rPr>
        <w:t xml:space="preserve"> of Health &amp; Human Services North Central Michigan College 20</w:t>
      </w:r>
      <w:r>
        <w:rPr>
          <w:rStyle w:val="Style13ptBold"/>
        </w:rPr>
        <w:t xml:space="preserve"> </w:t>
      </w:r>
      <w:r>
        <w:t>https://www.ncmich.edu/academics/choose-a-program/health-human-services/human-services-education.html</w:t>
      </w:r>
    </w:p>
    <w:p w:rsidR="00A37C5D" w:rsidRPr="005A41F8" w:rsidRDefault="00A37C5D" w:rsidP="00A37C5D">
      <w:pPr>
        <w:rPr>
          <w:sz w:val="16"/>
        </w:rPr>
      </w:pPr>
      <w:r w:rsidRPr="00B54CB0">
        <w:rPr>
          <w:rStyle w:val="StyleUnderline"/>
          <w:highlight w:val="yellow"/>
        </w:rPr>
        <w:t>Criminal justice is defined as the system of practices and institutions of governments</w:t>
      </w:r>
      <w:r w:rsidRPr="005A41F8">
        <w:rPr>
          <w:rStyle w:val="StyleUnderline"/>
        </w:rPr>
        <w:t xml:space="preserve"> </w:t>
      </w:r>
      <w:r w:rsidRPr="00B54CB0">
        <w:rPr>
          <w:rStyle w:val="StyleUnderline"/>
          <w:highlight w:val="yellow"/>
        </w:rPr>
        <w:t>directed at</w:t>
      </w:r>
      <w:r w:rsidRPr="005A41F8">
        <w:rPr>
          <w:sz w:val="16"/>
        </w:rPr>
        <w:t xml:space="preserve"> upholding control of society, </w:t>
      </w:r>
      <w:r w:rsidRPr="005A41F8">
        <w:rPr>
          <w:rStyle w:val="StyleUnderline"/>
        </w:rPr>
        <w:t xml:space="preserve">deterring and mitigating crime, or penalizing those who violate laws with </w:t>
      </w:r>
      <w:r w:rsidRPr="00B54CB0">
        <w:rPr>
          <w:rStyle w:val="StyleUnderline"/>
          <w:highlight w:val="yellow"/>
        </w:rPr>
        <w:t>criminal penalties</w:t>
      </w:r>
      <w:r w:rsidRPr="005A41F8">
        <w:rPr>
          <w:rStyle w:val="StyleUnderline"/>
        </w:rPr>
        <w:t xml:space="preserve"> and rehabilitation</w:t>
      </w:r>
      <w:r w:rsidRPr="005A41F8">
        <w:rPr>
          <w:sz w:val="16"/>
        </w:rPr>
        <w:t xml:space="preserve">.  A career in Human Services can be a rewarding way to contribute to and help keep your community safe. North Central's criminal justice degrees are comprehensive and will prepare students for career opportunities in law enforcement, the judicial system, or corrections. We are also pleased to offer law enforcement aide and state corrections certificates. </w:t>
      </w:r>
    </w:p>
    <w:p w:rsidR="00A37C5D" w:rsidRDefault="00A37C5D" w:rsidP="00A37C5D"/>
    <w:p w:rsidR="00A37C5D" w:rsidRDefault="00A37C5D" w:rsidP="00A37C5D"/>
    <w:p w:rsidR="00A37C5D" w:rsidRDefault="00A37C5D" w:rsidP="00A37C5D">
      <w:pPr>
        <w:pStyle w:val="Heading4"/>
      </w:pPr>
      <w:r>
        <w:t>Criminal Justice includes data collection and surveillance</w:t>
      </w:r>
    </w:p>
    <w:p w:rsidR="00A37C5D" w:rsidRDefault="00A37C5D" w:rsidP="00A37C5D">
      <w:r w:rsidRPr="00580CA7">
        <w:rPr>
          <w:rStyle w:val="Style13ptBold"/>
        </w:rPr>
        <w:t>Criminal Justice Information and Protection of Privacy Act of 1975</w:t>
      </w:r>
      <w:r>
        <w:rPr>
          <w:rStyle w:val="Style13ptBold"/>
        </w:rPr>
        <w:t xml:space="preserve"> </w:t>
      </w:r>
      <w:r>
        <w:t xml:space="preserve">Hearings </w:t>
      </w:r>
      <w:proofErr w:type="gramStart"/>
      <w:r>
        <w:t>Before</w:t>
      </w:r>
      <w:proofErr w:type="gramEnd"/>
      <w:r>
        <w:t xml:space="preserve"> the Subcommittee on Constitutional Rights, U.S. Senate, </w:t>
      </w:r>
    </w:p>
    <w:p w:rsidR="00A37C5D" w:rsidRPr="00580CA7" w:rsidRDefault="00A37C5D" w:rsidP="00A37C5D">
      <w:pPr>
        <w:rPr>
          <w:sz w:val="16"/>
        </w:rPr>
      </w:pPr>
      <w:r w:rsidRPr="00580CA7">
        <w:rPr>
          <w:sz w:val="16"/>
        </w:rPr>
        <w:t xml:space="preserve">Section 102 defines some of the key terms used in the bill, although not all terms are specifically defined. "The administration of </w:t>
      </w:r>
      <w:r w:rsidRPr="00B54CB0">
        <w:rPr>
          <w:rStyle w:val="StyleUnderline"/>
          <w:highlight w:val="yellow"/>
        </w:rPr>
        <w:t>criminal justice is defined to include the whole range of functions concerned with crime,</w:t>
      </w:r>
      <w:r w:rsidRPr="00580CA7">
        <w:rPr>
          <w:rStyle w:val="StyleUnderline"/>
        </w:rPr>
        <w:t xml:space="preserve"> from protective measures to prevent the commission of crimes through the rehabilitation of convicted persons. </w:t>
      </w:r>
      <w:r w:rsidRPr="00B54CB0">
        <w:rPr>
          <w:rStyle w:val="StyleUnderline"/>
          <w:highlight w:val="yellow"/>
        </w:rPr>
        <w:t>The term also specifically includes the collection, storage or dissemination of criminal justice information</w:t>
      </w:r>
      <w:r w:rsidRPr="00B54CB0">
        <w:rPr>
          <w:sz w:val="16"/>
          <w:highlight w:val="yellow"/>
        </w:rPr>
        <w:t>.</w:t>
      </w:r>
    </w:p>
    <w:p w:rsidR="00A37C5D" w:rsidRDefault="00A37C5D" w:rsidP="00A37C5D"/>
    <w:p w:rsidR="00A37C5D" w:rsidRDefault="00A37C5D" w:rsidP="00A37C5D">
      <w:pPr>
        <w:pStyle w:val="Heading4"/>
      </w:pPr>
      <w:r>
        <w:t>Criminal Justice is a system of practices and institutions</w:t>
      </w:r>
    </w:p>
    <w:p w:rsidR="00A37C5D" w:rsidRDefault="00A37C5D" w:rsidP="00A37C5D">
      <w:r w:rsidRPr="00613636">
        <w:rPr>
          <w:rStyle w:val="Style13ptBold"/>
        </w:rPr>
        <w:t>Wiggins 16</w:t>
      </w:r>
      <w:r>
        <w:t xml:space="preserve"> Colin A. Wiggins is the International Admission Specialist at John Jay College of Criminal Justice. Studying Criminal Justice in the United States August 25, 2016, </w:t>
      </w:r>
      <w:hyperlink r:id="rId13" w:history="1">
        <w:r w:rsidRPr="00593304">
          <w:rPr>
            <w:rStyle w:val="Hyperlink"/>
          </w:rPr>
          <w:t>https://www.wes.org/advisor-blog/studying-criminal-justice-in-the-us/</w:t>
        </w:r>
      </w:hyperlink>
    </w:p>
    <w:p w:rsidR="00A37C5D" w:rsidRPr="00613636" w:rsidRDefault="00A37C5D" w:rsidP="00A37C5D">
      <w:pPr>
        <w:rPr>
          <w:sz w:val="16"/>
        </w:rPr>
      </w:pPr>
      <w:r w:rsidRPr="00613636">
        <w:rPr>
          <w:rStyle w:val="StyleUnderline"/>
        </w:rPr>
        <w:t>Criminal justice is defined as “the system of practices government institutions make to uphold social control, deter and lower crime, or punish those who violate laws with criminal penalties and rehabilitation efforts</w:t>
      </w:r>
      <w:r w:rsidRPr="00613636">
        <w:rPr>
          <w:sz w:val="16"/>
        </w:rPr>
        <w:t>.” It may surprise many that the study of criminal justice is relatively new, and didn’t exist until as recently as the 1920s. It evolved from criminology, which is an offshoot of sociology. In this post, I’m going to talk about three popular criminal justice degrees and the career options for each one.</w:t>
      </w:r>
    </w:p>
    <w:p w:rsidR="00A37C5D" w:rsidRDefault="00A37C5D" w:rsidP="00A37C5D"/>
    <w:p w:rsidR="00A37C5D" w:rsidRDefault="00A37C5D" w:rsidP="00A37C5D">
      <w:pPr>
        <w:pStyle w:val="Heading4"/>
      </w:pPr>
      <w:r>
        <w:t>Criminal justice refers to the system that enforces laws</w:t>
      </w:r>
    </w:p>
    <w:p w:rsidR="00A37C5D" w:rsidRDefault="00A37C5D" w:rsidP="00A37C5D">
      <w:proofErr w:type="spellStart"/>
      <w:r w:rsidRPr="003B2ED7">
        <w:rPr>
          <w:rStyle w:val="Style13ptBold"/>
        </w:rPr>
        <w:t>Ruesch</w:t>
      </w:r>
      <w:proofErr w:type="spellEnd"/>
      <w:r w:rsidRPr="003B2ED7">
        <w:rPr>
          <w:rStyle w:val="Style13ptBold"/>
        </w:rPr>
        <w:t xml:space="preserve"> 20</w:t>
      </w:r>
      <w:r>
        <w:t xml:space="preserve"> Stephanie N. </w:t>
      </w:r>
      <w:proofErr w:type="spellStart"/>
      <w:r>
        <w:t>Ruesch</w:t>
      </w:r>
      <w:proofErr w:type="spellEnd"/>
      <w:r>
        <w:t xml:space="preserve"> </w:t>
      </w:r>
      <w:proofErr w:type="spellStart"/>
      <w:r>
        <w:t>HeinOnline</w:t>
      </w:r>
      <w:proofErr w:type="spellEnd"/>
      <w:r>
        <w:t xml:space="preserve"> Specialist at William S. Hein &amp; Co., Inc., https://libguides.heinonline.org/criminal-justice-and-criminology</w:t>
      </w:r>
    </w:p>
    <w:p w:rsidR="00A37C5D" w:rsidRPr="003B2ED7" w:rsidRDefault="00A37C5D" w:rsidP="00A37C5D">
      <w:pPr>
        <w:rPr>
          <w:sz w:val="16"/>
        </w:rPr>
      </w:pPr>
      <w:r w:rsidRPr="003B2ED7">
        <w:rPr>
          <w:rStyle w:val="StyleUnderline"/>
        </w:rPr>
        <w:t>Criminal justice refers to the system by which justice is dispensed onto those who have committed a crime. It includes the crime a defendant allegedly committed, the law enforcement officers</w:t>
      </w:r>
      <w:r w:rsidRPr="003B2ED7">
        <w:rPr>
          <w:sz w:val="16"/>
        </w:rPr>
        <w:t xml:space="preserve"> who arrested him, </w:t>
      </w:r>
      <w:r w:rsidRPr="003B2ED7">
        <w:rPr>
          <w:rStyle w:val="StyleUnderline"/>
        </w:rPr>
        <w:t>the court system</w:t>
      </w:r>
      <w:r w:rsidRPr="003B2ED7">
        <w:rPr>
          <w:sz w:val="16"/>
        </w:rPr>
        <w:t xml:space="preserve"> that prosecutes and defends him, </w:t>
      </w:r>
      <w:r w:rsidRPr="003B2ED7">
        <w:rPr>
          <w:rStyle w:val="StyleUnderline"/>
        </w:rPr>
        <w:t>and how the defendant is punished if</w:t>
      </w:r>
      <w:r w:rsidRPr="003B2ED7">
        <w:rPr>
          <w:sz w:val="16"/>
        </w:rPr>
        <w:t xml:space="preserve"> he is </w:t>
      </w:r>
      <w:r w:rsidRPr="003B2ED7">
        <w:rPr>
          <w:rStyle w:val="StyleUnderline"/>
        </w:rPr>
        <w:t>convicted.</w:t>
      </w:r>
      <w:r w:rsidRPr="003B2ED7">
        <w:rPr>
          <w:sz w:val="16"/>
        </w:rPr>
        <w:t xml:space="preserve"> Law enforcement agencies, the courts system, and the detention and supervisory agencies for offenders all work together to maintain a society's rule of law. Criminal justice systems have existed in some form or other for centuries, although the forms they have taken have changed with time. There have always been acts deemed by a society to be unacceptable, but the way society has punished those behaviors (and who was empowered to do the punishing) have changed. For example, stealing has been punished for centuries by mutilation and branding, but imprisonment is a relatively "modern" invention that was not widely used until the 19th century. Watchmen, the ancestors of our modern police, have similarly existed for thousands of years in many different parts of the world. In England, watchmen were codified into law in the 13th century. Unlit streets brought danger after dark. These volunteer groups of men were responsible for patrolling the streets of their local town or parish at night to keep the peace, watch out for fires, and enforce curfew ordinances. An increase in both population and crime in the late 18th and early 19th centuries made the effectiveness of this volunteer, local-level force both inefficient and untenable, and they were replaced by the first paid, state-run modern police force, London's Metropolitan Police, in 1829, which cast the model for today's law enforcement agencies.</w:t>
      </w:r>
    </w:p>
    <w:p w:rsidR="00A37C5D" w:rsidRDefault="00A37C5D" w:rsidP="00A37C5D"/>
    <w:p w:rsidR="00A37C5D" w:rsidRDefault="00A37C5D" w:rsidP="00A37C5D"/>
    <w:p w:rsidR="00183F00" w:rsidRDefault="00183F00" w:rsidP="00183F00">
      <w:pPr>
        <w:pStyle w:val="Heading4"/>
      </w:pPr>
      <w:r>
        <w:t>Criminal justice is a process focused on agencies and officials</w:t>
      </w:r>
    </w:p>
    <w:p w:rsidR="00183F00" w:rsidRDefault="00183F00" w:rsidP="00183F00">
      <w:r w:rsidRPr="006A3D70">
        <w:rPr>
          <w:rStyle w:val="Style13ptBold"/>
        </w:rPr>
        <w:t>Payne 19</w:t>
      </w:r>
      <w:r>
        <w:t xml:space="preserve"> Brian K. Payne Professor in the Department of Sociology and Criminal Justice Old Dominion University, and the chair of the Hampton Roads Cybersecurity Education, Workforce, and Economic Development Alliance. He is a former editor of the American Journal of Criminal Justice, past president of the Academy of Criminal Justice Sciences and past president of the Southern Criminal Justice Association. Introduction to Criminal Justice, https://www.sagepub.com/sites/default/files/upm-binaries/90113_Chapter_1_Introduction_to_Criminal_Justice.pdf</w:t>
      </w:r>
    </w:p>
    <w:p w:rsidR="00183F00" w:rsidRPr="0039397C" w:rsidRDefault="00183F00" w:rsidP="00183F00">
      <w:pPr>
        <w:rPr>
          <w:sz w:val="16"/>
        </w:rPr>
      </w:pPr>
      <w:r w:rsidRPr="0039397C">
        <w:rPr>
          <w:rStyle w:val="StyleUnderline"/>
          <w:highlight w:val="yellow"/>
        </w:rPr>
        <w:t>Criminal justice focuses</w:t>
      </w:r>
      <w:r w:rsidRPr="0039397C">
        <w:rPr>
          <w:sz w:val="16"/>
        </w:rPr>
        <w:t xml:space="preserve"> primarily </w:t>
      </w:r>
      <w:r w:rsidRPr="0039397C">
        <w:rPr>
          <w:rStyle w:val="StyleUnderline"/>
          <w:highlight w:val="yellow"/>
        </w:rPr>
        <w:t xml:space="preserve">on the justice </w:t>
      </w:r>
      <w:r w:rsidRPr="0039397C">
        <w:rPr>
          <w:rStyle w:val="Emphasis"/>
          <w:highlight w:val="yellow"/>
        </w:rPr>
        <w:t>process</w:t>
      </w:r>
      <w:r w:rsidRPr="0039397C">
        <w:rPr>
          <w:sz w:val="16"/>
        </w:rPr>
        <w:t xml:space="preserve">, </w:t>
      </w:r>
      <w:r w:rsidRPr="0039397C">
        <w:rPr>
          <w:rStyle w:val="StyleUnderline"/>
          <w:highlight w:val="yellow"/>
        </w:rPr>
        <w:t>with a particular emphasis given to the agencies and officials involved in the process</w:t>
      </w:r>
      <w:r w:rsidRPr="0039397C">
        <w:rPr>
          <w:sz w:val="16"/>
        </w:rPr>
        <w:t xml:space="preserve">. Criminology, in turn, focuses primarily on crime and criminals in an effort to understand and explain behavior. Some scholars might identify with one of the areas more than the other. Even so, scholars from both areas seem to appreciate the need to understand both. For instance, it is impossible to under- stand and explain crime without also understanding the criminal justice process. </w:t>
      </w:r>
    </w:p>
    <w:p w:rsidR="00183F00" w:rsidRDefault="00183F00" w:rsidP="00183F00"/>
    <w:p w:rsidR="00183F00" w:rsidRDefault="00183F00" w:rsidP="00183F00">
      <w:pPr>
        <w:pStyle w:val="Heading4"/>
      </w:pPr>
      <w:r>
        <w:t>Criminal justice is about the decisions made by individuals</w:t>
      </w:r>
    </w:p>
    <w:p w:rsidR="00183F00" w:rsidRDefault="00183F00" w:rsidP="00183F00">
      <w:r w:rsidRPr="006A3D70">
        <w:rPr>
          <w:rStyle w:val="Style13ptBold"/>
        </w:rPr>
        <w:t>Payne 19</w:t>
      </w:r>
      <w:r>
        <w:t xml:space="preserve"> Brian K. Payne Professor in the Department of Sociology and Criminal Justice Old Dominion University, and the chair of the Hampton Roads Cybersecurity Education, Workforce, and Economic Development Alliance. He is a former editor of the American Journal of Criminal Justice, past president of the Academy of Criminal Justice Sciences and past president of the Southern Criminal Justice Association. Introduction to Criminal Justice, https://www.sagepub.com/sites/default/files/upm-binaries/90113_Chapter_1_Introduction_to_Criminal_Justice.pdf</w:t>
      </w:r>
    </w:p>
    <w:p w:rsidR="00183F00" w:rsidRPr="00CA6B9D" w:rsidRDefault="00183F00" w:rsidP="00183F00">
      <w:pPr>
        <w:rPr>
          <w:sz w:val="16"/>
        </w:rPr>
      </w:pPr>
      <w:r w:rsidRPr="00CA6B9D">
        <w:rPr>
          <w:sz w:val="16"/>
        </w:rPr>
        <w:t xml:space="preserve">Criminal Justice as a Collection of Individuals </w:t>
      </w:r>
      <w:r w:rsidRPr="00CA6B9D">
        <w:rPr>
          <w:rStyle w:val="StyleUnderline"/>
          <w:highlight w:val="yellow"/>
        </w:rPr>
        <w:t>Criminal justice can</w:t>
      </w:r>
      <w:r w:rsidRPr="00CA6B9D">
        <w:rPr>
          <w:sz w:val="16"/>
        </w:rPr>
        <w:t xml:space="preserve"> also b</w:t>
      </w:r>
      <w:r w:rsidRPr="00CA6B9D">
        <w:rPr>
          <w:rStyle w:val="StyleUnderline"/>
          <w:highlight w:val="yellow"/>
        </w:rPr>
        <w:t>e defined by the actions of those individuals engaged in the</w:t>
      </w:r>
      <w:r>
        <w:rPr>
          <w:rStyle w:val="StyleUnderline"/>
          <w:highlight w:val="yellow"/>
        </w:rPr>
        <w:t xml:space="preserve"> </w:t>
      </w:r>
      <w:r w:rsidRPr="00CA6B9D">
        <w:rPr>
          <w:rStyle w:val="StyleUnderline"/>
          <w:highlight w:val="yellow"/>
        </w:rPr>
        <w:t>criminal justice process</w:t>
      </w:r>
      <w:r w:rsidRPr="00CA6B9D">
        <w:rPr>
          <w:sz w:val="16"/>
        </w:rPr>
        <w:t xml:space="preserve">. In particular, criminal justice can be viewed </w:t>
      </w:r>
      <w:r w:rsidRPr="00CA6B9D">
        <w:rPr>
          <w:rStyle w:val="StyleUnderline"/>
          <w:highlight w:val="yellow"/>
        </w:rPr>
        <w:t>as a collection of</w:t>
      </w:r>
      <w:r>
        <w:rPr>
          <w:rStyle w:val="StyleUnderline"/>
          <w:highlight w:val="yellow"/>
        </w:rPr>
        <w:t xml:space="preserve"> </w:t>
      </w:r>
      <w:r w:rsidRPr="00CA6B9D">
        <w:rPr>
          <w:rStyle w:val="StyleUnderline"/>
          <w:highlight w:val="yellow"/>
        </w:rPr>
        <w:t>individuals charged with making decisions as part of a formal effort to control human</w:t>
      </w:r>
      <w:r>
        <w:rPr>
          <w:rStyle w:val="StyleUnderline"/>
          <w:highlight w:val="yellow"/>
        </w:rPr>
        <w:t xml:space="preserve"> </w:t>
      </w:r>
      <w:r w:rsidRPr="00CA6B9D">
        <w:rPr>
          <w:rStyle w:val="StyleUnderline"/>
          <w:highlight w:val="yellow"/>
        </w:rPr>
        <w:t>behavior.</w:t>
      </w:r>
      <w:r w:rsidRPr="00CA6B9D">
        <w:rPr>
          <w:sz w:val="16"/>
        </w:rPr>
        <w:t xml:space="preserve"> These decisions will ultimately affect how a case is processed through the justice system. It is important to recognize that the activities of professionals in the criminal justice system are guided by a series of decisions made by the professionals as well as by those outside of the system. On one level, the decisions are influenced by broader structural and political influences. On another level, the decisions made in specific criminal cases have consequences for those involved with those specific cases. Figure 1.6 shows the various types of decisions made in the criminal justice process. </w:t>
      </w:r>
      <w:r w:rsidRPr="00CA6B9D">
        <w:rPr>
          <w:rStyle w:val="StyleUnderline"/>
          <w:highlight w:val="yellow"/>
        </w:rPr>
        <w:t>The criminal justice system can be viewed as a living system influenced by the</w:t>
      </w:r>
      <w:r>
        <w:rPr>
          <w:rStyle w:val="StyleUnderline"/>
          <w:highlight w:val="yellow"/>
        </w:rPr>
        <w:t xml:space="preserve"> </w:t>
      </w:r>
      <w:r w:rsidRPr="00CA6B9D">
        <w:rPr>
          <w:rStyle w:val="StyleUnderline"/>
          <w:highlight w:val="yellow"/>
        </w:rPr>
        <w:t>decisions made by individuals inside and outside the system</w:t>
      </w:r>
      <w:r w:rsidRPr="00CA6B9D">
        <w:rPr>
          <w:sz w:val="16"/>
        </w:rPr>
        <w:t xml:space="preserve">. Their decisions will </w:t>
      </w:r>
      <w:proofErr w:type="spellStart"/>
      <w:r w:rsidRPr="00CA6B9D">
        <w:rPr>
          <w:sz w:val="16"/>
        </w:rPr>
        <w:t>influ</w:t>
      </w:r>
      <w:proofErr w:type="spellEnd"/>
      <w:r w:rsidRPr="00CA6B9D">
        <w:rPr>
          <w:sz w:val="16"/>
        </w:rPr>
        <w:t xml:space="preserve">- </w:t>
      </w:r>
      <w:proofErr w:type="spellStart"/>
      <w:r w:rsidRPr="00CA6B9D">
        <w:rPr>
          <w:sz w:val="16"/>
        </w:rPr>
        <w:t>ence</w:t>
      </w:r>
      <w:proofErr w:type="spellEnd"/>
      <w:r w:rsidRPr="00CA6B9D">
        <w:rPr>
          <w:sz w:val="16"/>
        </w:rPr>
        <w:t xml:space="preserve"> how cases proceed through the justice system. The decisions have </w:t>
      </w:r>
      <w:proofErr w:type="spellStart"/>
      <w:r w:rsidRPr="00CA6B9D">
        <w:rPr>
          <w:sz w:val="16"/>
        </w:rPr>
        <w:t>extraordi</w:t>
      </w:r>
      <w:proofErr w:type="spellEnd"/>
      <w:r w:rsidRPr="00CA6B9D">
        <w:rPr>
          <w:sz w:val="16"/>
        </w:rPr>
        <w:t xml:space="preserve">- </w:t>
      </w:r>
      <w:proofErr w:type="spellStart"/>
      <w:r w:rsidRPr="00CA6B9D">
        <w:rPr>
          <w:sz w:val="16"/>
        </w:rPr>
        <w:t>narily</w:t>
      </w:r>
      <w:proofErr w:type="spellEnd"/>
      <w:r w:rsidRPr="00CA6B9D">
        <w:rPr>
          <w:sz w:val="16"/>
        </w:rPr>
        <w:t xml:space="preserve"> significant implications for other peoples' lives. Deciding to arrest a suspect will change the course of the suspect's life, as well as the lives of the suspect's loved ones. Decisions made by others in the justice process will have equal, if not greater, consequences for suspects.</w:t>
      </w:r>
    </w:p>
    <w:p w:rsidR="00183F00" w:rsidRDefault="00183F00" w:rsidP="00183F00">
      <w:pPr>
        <w:pStyle w:val="Heading4"/>
      </w:pPr>
      <w:r>
        <w:t>Criminal justice is a process that should be understood as a communicative act</w:t>
      </w:r>
    </w:p>
    <w:p w:rsidR="00183F00" w:rsidRDefault="00183F00" w:rsidP="00183F00">
      <w:proofErr w:type="spellStart"/>
      <w:r w:rsidRPr="00944871">
        <w:rPr>
          <w:rStyle w:val="Style13ptBold"/>
        </w:rPr>
        <w:t>Cordella</w:t>
      </w:r>
      <w:proofErr w:type="spellEnd"/>
      <w:r w:rsidRPr="00944871">
        <w:rPr>
          <w:rStyle w:val="Style13ptBold"/>
        </w:rPr>
        <w:t xml:space="preserve"> 6</w:t>
      </w:r>
      <w:r>
        <w:t xml:space="preserve"> </w:t>
      </w:r>
      <w:proofErr w:type="spellStart"/>
      <w:r>
        <w:t>Cordella</w:t>
      </w:r>
      <w:proofErr w:type="spellEnd"/>
      <w:r>
        <w:t xml:space="preserve">, Peter Professor of Criminal Justice at Saint Anselm College. Sanctuary as a refuge from state justice In, Dennis Sullivan and Larry </w:t>
      </w:r>
      <w:proofErr w:type="spellStart"/>
      <w:r>
        <w:t>Tifft</w:t>
      </w:r>
      <w:proofErr w:type="spellEnd"/>
      <w:r>
        <w:t xml:space="preserve"> editors, "Handbook of Restorative Justice" A Global Perspective. London and New York: Routledge. Taylor &amp; Francis Group pp.198-205</w:t>
      </w:r>
    </w:p>
    <w:p w:rsidR="00183F00" w:rsidRPr="00944871" w:rsidRDefault="00183F00" w:rsidP="00183F00">
      <w:pPr>
        <w:rPr>
          <w:sz w:val="16"/>
        </w:rPr>
      </w:pPr>
      <w:r w:rsidRPr="00944871">
        <w:rPr>
          <w:sz w:val="16"/>
        </w:rPr>
        <w:t xml:space="preserve">In the context of contemporary justice the rationally, morally or psychologically deficient transgressor is viewed as incapable and unworthy of the opportunity to negotiate their return to society. In each of these models the transgression is viewed not as an isolated act but as the symptom of a condition that renders the transgressor incapable of participating in the justice process. These are fixed models that transfer the resolution of transgression to either legal or medical professionals. The ownership of conflict, and it is important to remember that crime is a form of conflict, has increasingly been transferred from the community to the bureaucratic state. This shift of ownership has transformed the transgressor from a moral agent capable of carrying out a dialogue of justice with fellow members of the community to a passive participant whose future is determined by a prescriptive formula based on the criminality of the transgression and the deficiency that caused it. The prescriptive nature of contemporary criminal justice precludes participation by the community as well. In bureaucratic justice direct participation in the process by either the transgressor or the community is seen as potentially compromising the fairness, reasonableness and consistency of the law. The legitimacy of criminal law in the modern state is believed to be dependent upon the presence of these three qualities in justice process. Contemporary </w:t>
      </w:r>
      <w:r w:rsidRPr="00CA6B9D">
        <w:rPr>
          <w:rStyle w:val="StyleUnderline"/>
          <w:highlight w:val="yellow"/>
        </w:rPr>
        <w:t>criminal justice is defined by process rather than outcome</w:t>
      </w:r>
      <w:r w:rsidRPr="00944871">
        <w:rPr>
          <w:rStyle w:val="StyleUnderline"/>
        </w:rPr>
        <w:t xml:space="preserve">. In order to create a more participatory system of justice, </w:t>
      </w:r>
      <w:r w:rsidRPr="00CA6B9D">
        <w:rPr>
          <w:rStyle w:val="StyleUnderline"/>
          <w:highlight w:val="yellow"/>
        </w:rPr>
        <w:t>law must be conceived as a communicative act</w:t>
      </w:r>
      <w:r w:rsidRPr="00944871">
        <w:rPr>
          <w:sz w:val="16"/>
        </w:rPr>
        <w:t xml:space="preserve">. Herman Bianchi in his discussion of justice as sanctuary suggests that </w:t>
      </w:r>
      <w:r w:rsidRPr="00CA6B9D">
        <w:rPr>
          <w:rStyle w:val="StyleUnderline"/>
          <w:highlight w:val="yellow"/>
        </w:rPr>
        <w:t>such a communicative conception of law encourages people</w:t>
      </w:r>
      <w:r w:rsidRPr="00944871">
        <w:rPr>
          <w:sz w:val="16"/>
        </w:rPr>
        <w:t xml:space="preserve"> – law in hand – </w:t>
      </w:r>
      <w:r w:rsidRPr="00CA6B9D">
        <w:rPr>
          <w:rStyle w:val="StyleUnderline"/>
          <w:highlight w:val="yellow"/>
        </w:rPr>
        <w:t>to discuss the main problems of their social lives.</w:t>
      </w:r>
      <w:r w:rsidRPr="00944871">
        <w:rPr>
          <w:sz w:val="16"/>
        </w:rPr>
        <w:t xml:space="preserve"> By engaging in such a discourse, members of a society keep alive the sense that law unites them rather than separates them. The social framework most conducive to the establishment and maintenance of communicative law is the sanctuary.</w:t>
      </w:r>
    </w:p>
    <w:p w:rsidR="00183F00" w:rsidRDefault="00183F00" w:rsidP="00183F00"/>
    <w:p w:rsidR="00183F00" w:rsidRDefault="00183F00" w:rsidP="00183F00"/>
    <w:p w:rsidR="00183F00" w:rsidRDefault="00183F00" w:rsidP="00183F00">
      <w:pPr>
        <w:pStyle w:val="Heading4"/>
      </w:pPr>
      <w:proofErr w:type="spellStart"/>
      <w:r>
        <w:t>Discusions</w:t>
      </w:r>
      <w:proofErr w:type="spellEnd"/>
      <w:r>
        <w:t xml:space="preserve"> of criminal justice reform must begin with the perspective of the marginalized</w:t>
      </w:r>
    </w:p>
    <w:p w:rsidR="00183F00" w:rsidRDefault="00183F00" w:rsidP="00183F00">
      <w:r w:rsidRPr="005C3D3E">
        <w:rPr>
          <w:rStyle w:val="Style13ptBold"/>
        </w:rPr>
        <w:t>Shiner 9</w:t>
      </w:r>
      <w:r>
        <w:t xml:space="preserve"> Roger A. Shiner Prof of Sociology at University of British Columbia, Theorizing Criminal Law Reform, </w:t>
      </w:r>
      <w:hyperlink r:id="rId14" w:history="1">
        <w:r w:rsidRPr="00593304">
          <w:rPr>
            <w:rStyle w:val="Hyperlink"/>
          </w:rPr>
          <w:t>https://www.researchgate.net/publication/226224347_Theorizing_Criminal_Law_Reform</w:t>
        </w:r>
      </w:hyperlink>
    </w:p>
    <w:p w:rsidR="00183F00" w:rsidRDefault="00183F00" w:rsidP="00183F00">
      <w:r w:rsidRPr="00CA6B9D">
        <w:rPr>
          <w:rStyle w:val="StyleUnderline"/>
          <w:highlight w:val="yellow"/>
        </w:rPr>
        <w:t>How are we to understand criminal law reform</w:t>
      </w:r>
      <w:r w:rsidRPr="00CA6B9D">
        <w:rPr>
          <w:highlight w:val="yellow"/>
        </w:rPr>
        <w:t>?</w:t>
      </w:r>
      <w:r>
        <w:t xml:space="preserve"> The idea seems simple—the criminal law on the books is wrong: it should be changed. But 'wrong’ how? By what norms 'wrong’? As soon as one tries to answer those questions, the issue becomes more complex. </w:t>
      </w:r>
      <w:r w:rsidRPr="00EB0852">
        <w:rPr>
          <w:rStyle w:val="StyleUnderline"/>
        </w:rPr>
        <w:t>One kind of answer is that the criminal law is substantively wrong: that is, we assume valid norms of background political morality, and we argue that doctrinally the criminal law on the books does not embody those norms</w:t>
      </w:r>
      <w:r>
        <w:t>. Another kind of answer is that the criminal law as it stands presupposes certain empirical facts, and yet those facts do not hold. Traditionally, criminal law reform has been informed by both these answers. Analytical theorists examine doctrine for its conceptual structure, and social scientists examine the actual workings of the criminal justice system. This tidy picture is, however, challenged by social constructivist accounts of the criminal law. They challenge the stability and conceptual purity of doctrine, and they challenge the objectivity of social science. On the basis of these challenges, they undermine the ambitions of traditional criminal law reform, and argue that the only reforms to the criminal law that matter are politicized ones—</w:t>
      </w:r>
      <w:r w:rsidRPr="00EB0852">
        <w:rPr>
          <w:rStyle w:val="StyleUnderline"/>
        </w:rPr>
        <w:t xml:space="preserve">that </w:t>
      </w:r>
      <w:r w:rsidRPr="00CA6B9D">
        <w:rPr>
          <w:rStyle w:val="StyleUnderline"/>
          <w:highlight w:val="yellow"/>
        </w:rPr>
        <w:t>criminal law reform is pointless unless it serves the interests of the marginalized and the dispossessed</w:t>
      </w:r>
      <w:r w:rsidRPr="00EB0852">
        <w:rPr>
          <w:rStyle w:val="StyleUnderline"/>
        </w:rPr>
        <w:t>.</w:t>
      </w:r>
      <w:r>
        <w:t xml:space="preserve"> It seems undeniable that in some sense our perceptions of crime in our society are indeed </w:t>
      </w:r>
      <w:proofErr w:type="spellStart"/>
      <w:r>
        <w:t>moulded</w:t>
      </w:r>
      <w:proofErr w:type="spellEnd"/>
      <w:r>
        <w:t xml:space="preserve"> by social forces, and that </w:t>
      </w:r>
      <w:r w:rsidRPr="00CA6B9D">
        <w:rPr>
          <w:rStyle w:val="StyleUnderline"/>
          <w:highlight w:val="yellow"/>
        </w:rPr>
        <w:t>crime does not exist independently of the social structures and processes that help to define and control it.</w:t>
      </w:r>
      <w:r>
        <w:t xml:space="preserve"> But why should those insights have the implications for our understanding of criminal law reform that they are alleged to have? How could it follow from those insights that criminal law reform either becomes radicalized or valueless? The aim of this paper is to show that what can legitimately be taken from the emphasis on the social </w:t>
      </w:r>
      <w:proofErr w:type="spellStart"/>
      <w:r>
        <w:t>constructedness</w:t>
      </w:r>
      <w:proofErr w:type="spellEnd"/>
      <w:r>
        <w:t xml:space="preserve"> of crime does not require wholesale abandonment of the traditional picture of criminal law reform, even though it may require some modifications of that picture.</w:t>
      </w:r>
    </w:p>
    <w:p w:rsidR="00183F00" w:rsidRDefault="00183F00" w:rsidP="00183F00"/>
    <w:p w:rsidR="00183F00" w:rsidRDefault="00183F00" w:rsidP="00183F00"/>
    <w:p w:rsidR="00183F00" w:rsidRDefault="00183F00" w:rsidP="00183F00">
      <w:pPr>
        <w:pStyle w:val="Heading4"/>
      </w:pPr>
      <w:r>
        <w:t>Criminal justice is both a system and a process</w:t>
      </w:r>
    </w:p>
    <w:p w:rsidR="00183F00" w:rsidRDefault="00183F00" w:rsidP="00183F00">
      <w:r w:rsidRPr="006A3D70">
        <w:rPr>
          <w:rStyle w:val="Style13ptBold"/>
        </w:rPr>
        <w:t>Payne 19</w:t>
      </w:r>
      <w:r>
        <w:t xml:space="preserve"> Brian K. Payne Professor in the Department of Sociology and Criminal Justice Old Dominion University, and the chair of the Hampton Roads Cybersecurity Education, Workforce, and Economic Development Alliance. He is a former editor of the American Journal of Criminal Justice, past president of the Academy of Criminal Justice Sciences and past president of the Southern Criminal Justice Association. Introduction to Criminal Justice, https://www.sagepub.com/sites/default/files/upm-binaries/90113_Chapter_1_Introduction_to_Criminal_Justice.pdf</w:t>
      </w:r>
    </w:p>
    <w:p w:rsidR="00183F00" w:rsidRPr="00172652" w:rsidRDefault="00183F00" w:rsidP="00183F00">
      <w:pPr>
        <w:rPr>
          <w:sz w:val="16"/>
        </w:rPr>
      </w:pPr>
      <w:r w:rsidRPr="00172652">
        <w:rPr>
          <w:sz w:val="16"/>
        </w:rPr>
        <w:t xml:space="preserve">Although </w:t>
      </w:r>
      <w:r w:rsidRPr="00172652">
        <w:rPr>
          <w:rStyle w:val="StyleUnderline"/>
        </w:rPr>
        <w:t>criminal justice can be seen as both a system and a process</w:t>
      </w:r>
      <w:r w:rsidRPr="00172652">
        <w:rPr>
          <w:sz w:val="16"/>
        </w:rPr>
        <w:t xml:space="preserve">, in reality </w:t>
      </w:r>
      <w:r w:rsidRPr="00172652">
        <w:rPr>
          <w:rStyle w:val="StyleUnderline"/>
        </w:rPr>
        <w:t>the phrase criminal justice refers to much more than a system or a process.</w:t>
      </w:r>
      <w:r w:rsidRPr="00172652">
        <w:rPr>
          <w:sz w:val="16"/>
        </w:rPr>
        <w:t xml:space="preserve"> Generally speaking, </w:t>
      </w:r>
      <w:r w:rsidRPr="00172652">
        <w:rPr>
          <w:rStyle w:val="StyleUnderline"/>
        </w:rPr>
        <w:t>the various roles of criminal justice include</w:t>
      </w:r>
      <w:r w:rsidRPr="00172652">
        <w:rPr>
          <w:sz w:val="16"/>
        </w:rPr>
        <w:t xml:space="preserve"> the following: 0 </w:t>
      </w:r>
      <w:r w:rsidRPr="00172652">
        <w:rPr>
          <w:rStyle w:val="StyleUnderline"/>
        </w:rPr>
        <w:t>Criminal justice as an academic discipline</w:t>
      </w:r>
      <w:r w:rsidRPr="00172652">
        <w:rPr>
          <w:sz w:val="16"/>
        </w:rPr>
        <w:t xml:space="preserve"> Iv </w:t>
      </w:r>
      <w:r w:rsidRPr="00172652">
        <w:rPr>
          <w:rStyle w:val="StyleUnderline"/>
        </w:rPr>
        <w:t>Criminal justice as a social science</w:t>
      </w:r>
      <w:r w:rsidRPr="00172652">
        <w:rPr>
          <w:sz w:val="16"/>
        </w:rPr>
        <w:t xml:space="preserve"> D </w:t>
      </w:r>
      <w:r w:rsidRPr="00172652">
        <w:rPr>
          <w:rStyle w:val="StyleUnderline"/>
        </w:rPr>
        <w:t>Criminal justice as a political topic</w:t>
      </w:r>
      <w:r w:rsidRPr="00172652">
        <w:rPr>
          <w:sz w:val="16"/>
        </w:rPr>
        <w:t xml:space="preserve"> D </w:t>
      </w:r>
      <w:r w:rsidRPr="00172652">
        <w:rPr>
          <w:rStyle w:val="StyleUnderline"/>
        </w:rPr>
        <w:t xml:space="preserve">Criminal justice as a setting for controversial issues </w:t>
      </w:r>
      <w:r w:rsidRPr="00172652">
        <w:rPr>
          <w:sz w:val="16"/>
        </w:rPr>
        <w:t>D Criminal justice versus criminology 0 Criminal justice as a collection of individuals I Criminal justice and college students</w:t>
      </w:r>
    </w:p>
    <w:p w:rsidR="00183F00" w:rsidRDefault="00183F00" w:rsidP="00183F00"/>
    <w:p w:rsidR="00183F00" w:rsidRDefault="00183F00" w:rsidP="00183F00"/>
    <w:p w:rsidR="00A37C5D" w:rsidRDefault="00A37C5D" w:rsidP="009907A0"/>
    <w:p w:rsidR="00A82BFF" w:rsidRDefault="009907A0" w:rsidP="009907A0">
      <w:pPr>
        <w:pStyle w:val="Heading3"/>
      </w:pPr>
      <w:r>
        <w:t>Reform Definitions</w:t>
      </w:r>
    </w:p>
    <w:p w:rsidR="009907A0" w:rsidRDefault="009907A0" w:rsidP="009907A0"/>
    <w:p w:rsidR="009907A0" w:rsidRDefault="009907A0" w:rsidP="009907A0">
      <w:pPr>
        <w:pStyle w:val="Heading4"/>
      </w:pPr>
      <w:r>
        <w:t>Reform does not require change in law—it includes changing practices</w:t>
      </w:r>
    </w:p>
    <w:p w:rsidR="009907A0" w:rsidRDefault="009907A0" w:rsidP="009907A0">
      <w:r w:rsidRPr="00C376DA">
        <w:rPr>
          <w:rStyle w:val="Style13ptBold"/>
        </w:rPr>
        <w:t>ACLU of Missouri 2020</w:t>
      </w:r>
      <w:r>
        <w:rPr>
          <w:rStyle w:val="Style13ptBold"/>
        </w:rPr>
        <w:t xml:space="preserve"> </w:t>
      </w:r>
      <w:r>
        <w:t>SOCIAL JUSTICE FELLOWSHIP, https://www.aclu-mo.org/en/social-justice-fellowship</w:t>
      </w:r>
    </w:p>
    <w:p w:rsidR="009907A0" w:rsidRPr="00C376DA" w:rsidRDefault="009907A0" w:rsidP="009907A0">
      <w:pPr>
        <w:rPr>
          <w:sz w:val="16"/>
        </w:rPr>
      </w:pPr>
      <w:r w:rsidRPr="00C376DA">
        <w:rPr>
          <w:sz w:val="16"/>
        </w:rPr>
        <w:t xml:space="preserve">Regardless of the strategy employed, all fellows must, during the term of the Fellowship itself, actively seek some measure of reform.  </w:t>
      </w:r>
      <w:r w:rsidRPr="00C376DA">
        <w:rPr>
          <w:rStyle w:val="StyleUnderline"/>
          <w:highlight w:val="yellow"/>
        </w:rPr>
        <w:t>We generally define “reform” as a change to a policy or practice, whether formalized by law or not, that has a particular effect</w:t>
      </w:r>
      <w:r w:rsidRPr="00C376DA">
        <w:rPr>
          <w:sz w:val="16"/>
        </w:rPr>
        <w:t xml:space="preserve"> on individuals, families, or communities.  </w:t>
      </w:r>
      <w:r w:rsidRPr="00C376DA">
        <w:rPr>
          <w:rStyle w:val="StyleUnderline"/>
          <w:highlight w:val="yellow"/>
        </w:rPr>
        <w:t>Reform can promote or create good policies or practices, as well as change or lessen the harmful effects of bad ones.</w:t>
      </w:r>
      <w:r w:rsidRPr="00C376DA">
        <w:rPr>
          <w:sz w:val="16"/>
        </w:rPr>
        <w:t xml:space="preserve">  Moreover, reform should involve more than simply achieving a specific result for a specific person; instead, groups of people defined by certain characteristics or circumstances who will benefit from achieving a particular change.</w:t>
      </w:r>
    </w:p>
    <w:p w:rsidR="009907A0" w:rsidRDefault="009907A0" w:rsidP="009907A0"/>
    <w:p w:rsidR="009907A0" w:rsidRDefault="009907A0" w:rsidP="009907A0"/>
    <w:p w:rsidR="009907A0" w:rsidRDefault="009907A0" w:rsidP="009907A0">
      <w:pPr>
        <w:pStyle w:val="Heading4"/>
      </w:pPr>
      <w:r>
        <w:t>Reform must be deliberate, not incremental and includes enactment and implementation</w:t>
      </w:r>
    </w:p>
    <w:p w:rsidR="009907A0" w:rsidRDefault="009907A0" w:rsidP="009907A0">
      <w:r w:rsidRPr="005506B2">
        <w:rPr>
          <w:rStyle w:val="Style13ptBold"/>
        </w:rPr>
        <w:t xml:space="preserve">Lindquist &amp; </w:t>
      </w:r>
      <w:proofErr w:type="spellStart"/>
      <w:r w:rsidRPr="005506B2">
        <w:rPr>
          <w:rStyle w:val="Style13ptBold"/>
        </w:rPr>
        <w:t>Wanna</w:t>
      </w:r>
      <w:proofErr w:type="spellEnd"/>
      <w:r w:rsidRPr="005506B2">
        <w:rPr>
          <w:rStyle w:val="Style13ptBold"/>
        </w:rPr>
        <w:t xml:space="preserve"> 11</w:t>
      </w:r>
      <w:r>
        <w:rPr>
          <w:rStyle w:val="Style13ptBold"/>
        </w:rPr>
        <w:t xml:space="preserve">  </w:t>
      </w:r>
      <w:r>
        <w:t xml:space="preserve">Evert A. Lindquist is Professor of Public Administration at the </w:t>
      </w:r>
      <w:proofErr w:type="spellStart"/>
      <w:r>
        <w:t>Univ</w:t>
      </w:r>
      <w:proofErr w:type="spellEnd"/>
      <w:r>
        <w:t xml:space="preserve"> of Victoria and John </w:t>
      </w:r>
      <w:proofErr w:type="spellStart"/>
      <w:r>
        <w:t>Wanna</w:t>
      </w:r>
      <w:proofErr w:type="spellEnd"/>
      <w:r>
        <w:t xml:space="preserve"> Professor with the Sir John Bunting Chair of Public Administration at the Australia and New Zealand School of Government, Delivering Policy Reform, pp 30-32 Anchoring Significant Reforms in Turbulent Times, https://press-files.anu.edu.au/downloads/press/p112401/pdf/book.pdf</w:t>
      </w:r>
    </w:p>
    <w:p w:rsidR="009907A0" w:rsidRDefault="009907A0" w:rsidP="009907A0">
      <w:pPr>
        <w:rPr>
          <w:sz w:val="16"/>
        </w:rPr>
      </w:pPr>
      <w:r w:rsidRPr="005506B2">
        <w:rPr>
          <w:sz w:val="16"/>
        </w:rPr>
        <w:t xml:space="preserve">In my analysis, </w:t>
      </w:r>
      <w:r w:rsidRPr="005506B2">
        <w:rPr>
          <w:rStyle w:val="StyleUnderline"/>
          <w:highlight w:val="yellow"/>
        </w:rPr>
        <w:t>I define reform as a deliberate non-incremental change in an existing line of policy</w:t>
      </w:r>
      <w:r w:rsidRPr="005506B2">
        <w:rPr>
          <w:sz w:val="16"/>
        </w:rPr>
        <w:t xml:space="preserve">, intended to impart instrumental rationality on governmental activity to make it more rational, or to distribute benefits to some broad constituency. It is thus an effort to make government more effective, to create a more logical relationship between the policy tools that are used and the intended goals, and to ensure that government works for the broad majority instead of for the benefit of some narrow constituency. </w:t>
      </w:r>
      <w:r w:rsidRPr="005506B2">
        <w:rPr>
          <w:rStyle w:val="StyleUnderline"/>
        </w:rPr>
        <w:t>It is not</w:t>
      </w:r>
      <w:r>
        <w:rPr>
          <w:rStyle w:val="StyleUnderline"/>
        </w:rPr>
        <w:t xml:space="preserve"> </w:t>
      </w:r>
      <w:r w:rsidRPr="005506B2">
        <w:rPr>
          <w:rStyle w:val="StyleUnderline"/>
        </w:rPr>
        <w:t>about breakthrough policies where government is penetrating a previously</w:t>
      </w:r>
      <w:r>
        <w:rPr>
          <w:rStyle w:val="StyleUnderline"/>
        </w:rPr>
        <w:t xml:space="preserve"> </w:t>
      </w:r>
      <w:r w:rsidRPr="005506B2">
        <w:rPr>
          <w:rStyle w:val="StyleUnderline"/>
        </w:rPr>
        <w:t>unoccupied field for the first time where there was no government activity,</w:t>
      </w:r>
      <w:r>
        <w:rPr>
          <w:rStyle w:val="StyleUnderline"/>
        </w:rPr>
        <w:t xml:space="preserve"> </w:t>
      </w:r>
      <w:r w:rsidRPr="005506B2">
        <w:rPr>
          <w:rStyle w:val="StyleUnderline"/>
        </w:rPr>
        <w:t>but rather literally re-forming</w:t>
      </w:r>
      <w:r w:rsidRPr="005506B2">
        <w:rPr>
          <w:sz w:val="16"/>
        </w:rPr>
        <w:t>—forming again—</w:t>
      </w:r>
      <w:r w:rsidRPr="005506B2">
        <w:rPr>
          <w:rStyle w:val="StyleUnderline"/>
        </w:rPr>
        <w:t>an area where government is</w:t>
      </w:r>
      <w:r>
        <w:rPr>
          <w:rStyle w:val="StyleUnderline"/>
        </w:rPr>
        <w:t xml:space="preserve"> </w:t>
      </w:r>
      <w:r w:rsidRPr="005506B2">
        <w:rPr>
          <w:rStyle w:val="StyleUnderline"/>
        </w:rPr>
        <w:t>involved, but has not been as effective and equitable as it should be</w:t>
      </w:r>
      <w:r w:rsidRPr="005506B2">
        <w:rPr>
          <w:sz w:val="16"/>
        </w:rPr>
        <w:t xml:space="preserve">. Indeed, in our age of the modern welfare, regulatory, administrative state, most of what government does today involves reform. There are not many areas where we have completely barren policy terrain, and this is why reform is often hard— as it mainly concerns altering pre-existing public or private arrangements. As Hugh </w:t>
      </w:r>
      <w:proofErr w:type="spellStart"/>
      <w:r w:rsidRPr="005506B2">
        <w:rPr>
          <w:sz w:val="16"/>
        </w:rPr>
        <w:t>Heclo</w:t>
      </w:r>
      <w:proofErr w:type="spellEnd"/>
      <w:r w:rsidRPr="005506B2">
        <w:rPr>
          <w:sz w:val="16"/>
        </w:rPr>
        <w:t xml:space="preserve"> has observed, there will be inevitable resistance to change from existing stakeholders who benefit from the existing arrangements. We are not simply changing government’s goals; we are trying to change the way in which actors operate in the public sector and the private sector, including businesses and other types of </w:t>
      </w:r>
      <w:proofErr w:type="spellStart"/>
      <w:r w:rsidRPr="005506B2">
        <w:rPr>
          <w:sz w:val="16"/>
        </w:rPr>
        <w:t>organisations</w:t>
      </w:r>
      <w:proofErr w:type="spellEnd"/>
      <w:r w:rsidRPr="005506B2">
        <w:rPr>
          <w:sz w:val="16"/>
        </w:rPr>
        <w:t xml:space="preserve">, families, and individuals. </w:t>
      </w:r>
      <w:r w:rsidRPr="005506B2">
        <w:rPr>
          <w:rStyle w:val="StyleUnderline"/>
          <w:highlight w:val="yellow"/>
        </w:rPr>
        <w:t>We must</w:t>
      </w:r>
      <w:r w:rsidRPr="005506B2">
        <w:rPr>
          <w:rStyle w:val="StyleUnderline"/>
        </w:rPr>
        <w:t xml:space="preserve"> thus </w:t>
      </w:r>
      <w:r w:rsidRPr="005506B2">
        <w:rPr>
          <w:rStyle w:val="StyleUnderline"/>
          <w:highlight w:val="yellow"/>
        </w:rPr>
        <w:t>distinguish between two phases of reform. The first is the enactment phase</w:t>
      </w:r>
      <w:r w:rsidRPr="005506B2">
        <w:rPr>
          <w:rStyle w:val="StyleUnderline"/>
        </w:rPr>
        <w:t>, in which initial success depends on policy advocates and</w:t>
      </w:r>
      <w:r>
        <w:rPr>
          <w:rStyle w:val="StyleUnderline"/>
        </w:rPr>
        <w:t xml:space="preserve"> </w:t>
      </w:r>
      <w:r w:rsidRPr="005506B2">
        <w:rPr>
          <w:rStyle w:val="StyleUnderline"/>
        </w:rPr>
        <w:t>experts being able to develop solutions</w:t>
      </w:r>
      <w:r w:rsidRPr="005506B2">
        <w:rPr>
          <w:sz w:val="16"/>
        </w:rPr>
        <w:t xml:space="preserve">. This can be extremely difficult. We need political entrepreneurs to frame problems, introduce new policy products, and </w:t>
      </w:r>
      <w:proofErr w:type="spellStart"/>
      <w:r w:rsidRPr="005506B2">
        <w:rPr>
          <w:sz w:val="16"/>
        </w:rPr>
        <w:t>mobilise</w:t>
      </w:r>
      <w:proofErr w:type="spellEnd"/>
      <w:r w:rsidRPr="005506B2">
        <w:rPr>
          <w:sz w:val="16"/>
        </w:rPr>
        <w:t xml:space="preserve"> the latent sentiment for change. What is then needed is the establishment of conditions that allow rank-and-file members of a parliament to vote for the reform. Yet the tactics used to win the initial adoption of a reform do not necessarily assure its sustainability going forward. Indeed, some of the very strategies that are most useful in helping ease the adoption of a reform can themselves cause sustainability problems. Consider the following three strategies that advocates of reforms use to make the adoption of a reform possible. Informational strategies </w:t>
      </w:r>
      <w:proofErr w:type="gramStart"/>
      <w:r w:rsidRPr="005506B2">
        <w:rPr>
          <w:sz w:val="16"/>
        </w:rPr>
        <w:t>This</w:t>
      </w:r>
      <w:proofErr w:type="gramEnd"/>
      <w:r w:rsidRPr="005506B2">
        <w:rPr>
          <w:sz w:val="16"/>
        </w:rPr>
        <w:t xml:space="preserve"> involves alerting the public that there is a problem, and thus a need for reform. This can be done by using symbols or linking the specific reform cause with a broader issue that resonates with the public. The problem with informational strategies is that they often have a short shelf life. The media might initially be useful in highlighting some pathology of government or some narrow group that is profiting at the public’s expense, but the media is fickle, and might not stick with the issue after the reform is adopted. Further, it is difficult to use symbolic politics and paint with a broad brush when we enter the murky implementation phase. Advocates pushing the initial passage of a reform might be able to present it as a case of good verses bad, or it might even become a salient campaign issue for a candidate. But such use of symbolism becomes increasingly difficult when it comes to composing the detailed regulations needed to carry out the reform. Procedural strategies </w:t>
      </w:r>
      <w:proofErr w:type="gramStart"/>
      <w:r w:rsidRPr="005506B2">
        <w:rPr>
          <w:sz w:val="16"/>
        </w:rPr>
        <w:t>It</w:t>
      </w:r>
      <w:proofErr w:type="gramEnd"/>
      <w:r w:rsidRPr="005506B2">
        <w:rPr>
          <w:sz w:val="16"/>
        </w:rPr>
        <w:t xml:space="preserve"> is fundamental to frame the debate in a way that makes it hard for politicians not to vote for the reform. Consequently, policy advocates seeking to build support for the initial passage of a reform will try to create parliamentary rules that make it easy for law-makers to say yes, and make it hard for them to amend the reform or strip it away. The problem with this strategy is that after the bill has been signed into law, law-makers can submit any amendment they want. There might be a narrow interest group that pushes for an obscure provision to which no-one will pay much attention and thus it will pass, potentially undermining the original goal of the reform in question. Compensation strategies </w:t>
      </w:r>
      <w:proofErr w:type="gramStart"/>
      <w:r w:rsidRPr="005506B2">
        <w:rPr>
          <w:sz w:val="16"/>
        </w:rPr>
        <w:t>It</w:t>
      </w:r>
      <w:proofErr w:type="gramEnd"/>
      <w:r w:rsidRPr="005506B2">
        <w:rPr>
          <w:sz w:val="16"/>
        </w:rPr>
        <w:t xml:space="preserve"> is likely there will be some clientele group unhappy with a reform. A frequent enactment-phase strategy is necessary to give extra benefits or provide for transitional arrangements, to gain the group’s support or at the very least to tame their opposition. The problem with this strategy is that once losers agree to accept a legislative change, if they are given compensatory benefits, what is to stop them using this precedent to demand increased benefits in the future? It might be possible to rent ‘losers’ in a democracy for a little while, but is it possible to buy them in perpetuity? This becomes increasingly difficult if the government is implementing a transitional scheme over a long period, promising adjustments along the way. Will losers stay ‘bought’ for the entirety of a transitional scheme, even if they know there is an election in between the adoption of the scheme and its final implementation date? Their acquiescence is never guaranteed. </w:t>
      </w:r>
      <w:r w:rsidRPr="005506B2">
        <w:rPr>
          <w:rStyle w:val="StyleUnderline"/>
          <w:highlight w:val="yellow"/>
        </w:rPr>
        <w:t>The second stage of reform is post enactment</w:t>
      </w:r>
      <w:r w:rsidRPr="005506B2">
        <w:rPr>
          <w:rStyle w:val="StyleUnderline"/>
        </w:rPr>
        <w:t>. Once a reform has been passed it</w:t>
      </w:r>
      <w:r>
        <w:rPr>
          <w:rStyle w:val="StyleUnderline"/>
        </w:rPr>
        <w:t xml:space="preserve"> </w:t>
      </w:r>
      <w:r w:rsidRPr="005506B2">
        <w:rPr>
          <w:rStyle w:val="StyleUnderline"/>
        </w:rPr>
        <w:t>does not mean it has been won; all that has been won is the right to fight another</w:t>
      </w:r>
      <w:r>
        <w:rPr>
          <w:rStyle w:val="StyleUnderline"/>
        </w:rPr>
        <w:t xml:space="preserve"> </w:t>
      </w:r>
      <w:r w:rsidRPr="005506B2">
        <w:rPr>
          <w:rStyle w:val="StyleUnderline"/>
        </w:rPr>
        <w:t>day. It is rare for a reform to become embedded in an instant; consolidation</w:t>
      </w:r>
      <w:r>
        <w:rPr>
          <w:rStyle w:val="StyleUnderline"/>
        </w:rPr>
        <w:t xml:space="preserve"> </w:t>
      </w:r>
      <w:r w:rsidRPr="005506B2">
        <w:rPr>
          <w:rStyle w:val="StyleUnderline"/>
        </w:rPr>
        <w:t>takes time. During this interim period, the old policy system—which was so</w:t>
      </w:r>
      <w:r>
        <w:rPr>
          <w:rStyle w:val="StyleUnderline"/>
        </w:rPr>
        <w:t xml:space="preserve"> </w:t>
      </w:r>
      <w:r w:rsidRPr="005506B2">
        <w:rPr>
          <w:rStyle w:val="StyleUnderline"/>
        </w:rPr>
        <w:t>inefficient and inequitable that it needed reforming in the first place—must be</w:t>
      </w:r>
      <w:r>
        <w:rPr>
          <w:rStyle w:val="StyleUnderline"/>
        </w:rPr>
        <w:t xml:space="preserve"> </w:t>
      </w:r>
      <w:r w:rsidRPr="005506B2">
        <w:rPr>
          <w:rStyle w:val="StyleUnderline"/>
        </w:rPr>
        <w:t>dismantled. The old system must be uprooted, and a new one constructed in its</w:t>
      </w:r>
      <w:r>
        <w:rPr>
          <w:rStyle w:val="StyleUnderline"/>
        </w:rPr>
        <w:t xml:space="preserve"> </w:t>
      </w:r>
      <w:r w:rsidRPr="005506B2">
        <w:rPr>
          <w:rStyle w:val="StyleUnderline"/>
        </w:rPr>
        <w:t>place</w:t>
      </w:r>
      <w:r w:rsidRPr="005506B2">
        <w:rPr>
          <w:rStyle w:val="StyleUnderline"/>
          <w:highlight w:val="yellow"/>
        </w:rPr>
        <w:t>. Reform outcomes are never completely settled</w:t>
      </w:r>
      <w:r w:rsidRPr="005506B2">
        <w:rPr>
          <w:rStyle w:val="StyleUnderline"/>
        </w:rPr>
        <w:t xml:space="preserve"> because democracy continually</w:t>
      </w:r>
      <w:r>
        <w:rPr>
          <w:rStyle w:val="StyleUnderline"/>
        </w:rPr>
        <w:t xml:space="preserve"> </w:t>
      </w:r>
      <w:r w:rsidRPr="005506B2">
        <w:rPr>
          <w:rStyle w:val="StyleUnderline"/>
        </w:rPr>
        <w:t xml:space="preserve">adapts and responds to new pressures. </w:t>
      </w:r>
      <w:r w:rsidRPr="005506B2">
        <w:rPr>
          <w:rStyle w:val="StyleUnderline"/>
          <w:highlight w:val="yellow"/>
        </w:rPr>
        <w:t>There is no end point</w:t>
      </w:r>
      <w:r w:rsidRPr="005506B2">
        <w:rPr>
          <w:sz w:val="16"/>
        </w:rPr>
        <w:t>. And yet</w:t>
      </w:r>
      <w:r w:rsidRPr="005506B2">
        <w:rPr>
          <w:rStyle w:val="StyleUnderline"/>
        </w:rPr>
        <w:t xml:space="preserve">, </w:t>
      </w:r>
      <w:r w:rsidRPr="005506B2">
        <w:rPr>
          <w:rStyle w:val="StyleUnderline"/>
          <w:highlight w:val="yellow"/>
        </w:rPr>
        <w:t>it is possible for a reform to become so deeply embedded</w:t>
      </w:r>
      <w:r w:rsidRPr="005506B2">
        <w:rPr>
          <w:rStyle w:val="StyleUnderline"/>
        </w:rPr>
        <w:t xml:space="preserve"> in governance, and in the adaptations of social actors via policy feedback effects, </w:t>
      </w:r>
      <w:r w:rsidRPr="005506B2">
        <w:rPr>
          <w:rStyle w:val="StyleUnderline"/>
          <w:highlight w:val="yellow"/>
        </w:rPr>
        <w:t>that its subsequent reversal becomes virtually unthinkable</w:t>
      </w:r>
      <w:r w:rsidRPr="005506B2">
        <w:rPr>
          <w:sz w:val="16"/>
        </w:rPr>
        <w:t>, even if the next parliament retains the legal ability to enact another policy that would undo it. Let me now examine how we can tell when this is likely.</w:t>
      </w:r>
    </w:p>
    <w:p w:rsidR="009907A0" w:rsidRDefault="009907A0" w:rsidP="009907A0"/>
    <w:p w:rsidR="009907A0" w:rsidRDefault="009907A0" w:rsidP="009907A0"/>
    <w:p w:rsidR="009907A0" w:rsidRDefault="009907A0" w:rsidP="009907A0">
      <w:pPr>
        <w:pStyle w:val="Heading4"/>
      </w:pPr>
      <w:r>
        <w:t>Reform requires government action and explicit policy change</w:t>
      </w:r>
    </w:p>
    <w:p w:rsidR="009907A0" w:rsidRDefault="009907A0" w:rsidP="009907A0">
      <w:proofErr w:type="spellStart"/>
      <w:r w:rsidRPr="00ED0229">
        <w:rPr>
          <w:rStyle w:val="Style13ptBold"/>
        </w:rPr>
        <w:t>Martinussen</w:t>
      </w:r>
      <w:proofErr w:type="spellEnd"/>
      <w:r w:rsidRPr="00ED0229">
        <w:rPr>
          <w:rStyle w:val="Style13ptBold"/>
        </w:rPr>
        <w:t xml:space="preserve"> 2</w:t>
      </w:r>
      <w:r>
        <w:t xml:space="preserve"> </w:t>
      </w:r>
    </w:p>
    <w:p w:rsidR="009907A0" w:rsidRDefault="009907A0" w:rsidP="009907A0">
      <w:r>
        <w:t xml:space="preserve">Pal E. </w:t>
      </w:r>
      <w:proofErr w:type="spellStart"/>
      <w:proofErr w:type="gramStart"/>
      <w:r>
        <w:t>Martinussen</w:t>
      </w:r>
      <w:proofErr w:type="spellEnd"/>
      <w:r>
        <w:t xml:space="preserve">  is</w:t>
      </w:r>
      <w:proofErr w:type="gramEnd"/>
      <w:r>
        <w:t xml:space="preserve"> Professor at the Department of Sociology and Political Science at NTNU In Nordic health care systems Recent reforms and current policy challenges Edited by Jon Magnussen </w:t>
      </w:r>
      <w:proofErr w:type="spellStart"/>
      <w:r>
        <w:t>Karsten</w:t>
      </w:r>
      <w:proofErr w:type="spellEnd"/>
      <w:r>
        <w:t xml:space="preserve"> </w:t>
      </w:r>
      <w:proofErr w:type="spellStart"/>
      <w:r>
        <w:t>Vrangbek</w:t>
      </w:r>
      <w:proofErr w:type="spellEnd"/>
      <w:r>
        <w:t xml:space="preserve"> and Richard B. </w:t>
      </w:r>
      <w:proofErr w:type="spellStart"/>
      <w:r>
        <w:t>Saltman</w:t>
      </w:r>
      <w:proofErr w:type="spellEnd"/>
      <w:r>
        <w:t xml:space="preserve"> p. 17</w:t>
      </w:r>
    </w:p>
    <w:p w:rsidR="009907A0" w:rsidRPr="00ED0229" w:rsidRDefault="009907A0" w:rsidP="009907A0">
      <w:pPr>
        <w:rPr>
          <w:sz w:val="16"/>
        </w:rPr>
      </w:pPr>
      <w:proofErr w:type="spellStart"/>
      <w:r w:rsidRPr="00ED0229">
        <w:rPr>
          <w:sz w:val="16"/>
        </w:rPr>
        <w:t>Saltman</w:t>
      </w:r>
      <w:proofErr w:type="spellEnd"/>
      <w:r w:rsidRPr="00ED0229">
        <w:rPr>
          <w:sz w:val="16"/>
        </w:rPr>
        <w:t xml:space="preserve"> and </w:t>
      </w:r>
      <w:proofErr w:type="spellStart"/>
      <w:r w:rsidRPr="00ED0229">
        <w:rPr>
          <w:sz w:val="16"/>
        </w:rPr>
        <w:t>Figueras</w:t>
      </w:r>
      <w:proofErr w:type="spellEnd"/>
      <w:r w:rsidRPr="00ED0229">
        <w:rPr>
          <w:sz w:val="16"/>
        </w:rPr>
        <w:t xml:space="preserve"> (1997) provide </w:t>
      </w:r>
      <w:r w:rsidRPr="00ED0229">
        <w:rPr>
          <w:rStyle w:val="StyleUnderline"/>
        </w:rPr>
        <w:t>a detailed definition of reform:</w:t>
      </w:r>
      <w:r w:rsidRPr="00ED0229">
        <w:rPr>
          <w:sz w:val="16"/>
        </w:rPr>
        <w:t xml:space="preserve"> </w:t>
      </w:r>
      <w:r w:rsidRPr="00ED0229">
        <w:rPr>
          <w:rStyle w:val="StyleUnderline"/>
          <w:highlight w:val="yellow"/>
        </w:rPr>
        <w:t xml:space="preserve">Reform is defined as “a process that involves sustained and profound institutional and structural change, </w:t>
      </w:r>
      <w:r w:rsidRPr="00ED0229">
        <w:rPr>
          <w:rStyle w:val="Emphasis"/>
          <w:highlight w:val="yellow"/>
        </w:rPr>
        <w:t>led by government</w:t>
      </w:r>
      <w:r w:rsidRPr="00ED0229">
        <w:rPr>
          <w:rStyle w:val="StyleUnderline"/>
          <w:highlight w:val="yellow"/>
        </w:rPr>
        <w:t xml:space="preserve"> and seeking to attain</w:t>
      </w:r>
      <w:r w:rsidRPr="00ED0229">
        <w:rPr>
          <w:sz w:val="16"/>
        </w:rPr>
        <w:t xml:space="preserve"> a series of </w:t>
      </w:r>
      <w:r w:rsidRPr="00ED0229">
        <w:rPr>
          <w:rStyle w:val="StyleUnderline"/>
          <w:highlight w:val="yellow"/>
        </w:rPr>
        <w:t>explicit policy objectives</w:t>
      </w:r>
      <w:r w:rsidRPr="00ED0229">
        <w:rPr>
          <w:sz w:val="16"/>
        </w:rPr>
        <w:t>.</w:t>
      </w:r>
    </w:p>
    <w:p w:rsidR="009907A0" w:rsidRDefault="009907A0" w:rsidP="009907A0"/>
    <w:p w:rsidR="009907A0" w:rsidRDefault="009907A0" w:rsidP="009907A0"/>
    <w:p w:rsidR="009907A0" w:rsidRDefault="009907A0" w:rsidP="009907A0">
      <w:pPr>
        <w:pStyle w:val="Heading4"/>
      </w:pPr>
      <w:r>
        <w:t>Reform requires government legislation</w:t>
      </w:r>
    </w:p>
    <w:p w:rsidR="009907A0" w:rsidRDefault="009907A0" w:rsidP="009907A0">
      <w:proofErr w:type="spellStart"/>
      <w:r w:rsidRPr="00D406A0">
        <w:rPr>
          <w:rStyle w:val="Style13ptBold"/>
        </w:rPr>
        <w:t>Mahmalat</w:t>
      </w:r>
      <w:proofErr w:type="spellEnd"/>
      <w:r w:rsidRPr="00D406A0">
        <w:rPr>
          <w:rStyle w:val="Style13ptBold"/>
        </w:rPr>
        <w:t xml:space="preserve"> 20</w:t>
      </w:r>
      <w:r>
        <w:rPr>
          <w:rStyle w:val="Style13ptBold"/>
        </w:rPr>
        <w:t xml:space="preserve">  </w:t>
      </w:r>
      <w:proofErr w:type="spellStart"/>
      <w:r>
        <w:t>Mounir</w:t>
      </w:r>
      <w:proofErr w:type="spellEnd"/>
      <w:r>
        <w:t xml:space="preserve"> </w:t>
      </w:r>
      <w:proofErr w:type="spellStart"/>
      <w:r>
        <w:t>Mahmalat</w:t>
      </w:r>
      <w:proofErr w:type="spellEnd"/>
      <w:r>
        <w:t xml:space="preserve">, PhD in Business from Dublin City University, FRACTIONALIZATION, CRISES, AND REFORM: INQUIRIES INTO THE DETERMINANTS OF POLITICAL COLLABORATION, </w:t>
      </w:r>
      <w:hyperlink r:id="rId15" w:history="1">
        <w:r w:rsidRPr="00593304">
          <w:rPr>
            <w:rStyle w:val="Hyperlink"/>
          </w:rPr>
          <w:t>http://doras.dcu.ie/24116/1/Mahmalat%20-%20Dissertation%20PhD.pdf</w:t>
        </w:r>
      </w:hyperlink>
      <w:r>
        <w:t xml:space="preserve"> p. 81-82</w:t>
      </w:r>
    </w:p>
    <w:p w:rsidR="009907A0" w:rsidRPr="00D406A0" w:rsidRDefault="009907A0" w:rsidP="009907A0">
      <w:pPr>
        <w:rPr>
          <w:sz w:val="16"/>
        </w:rPr>
      </w:pPr>
      <w:r w:rsidRPr="00D406A0">
        <w:rPr>
          <w:sz w:val="16"/>
        </w:rPr>
        <w:t xml:space="preserve">Following this logic, legislation refers to the entirety of documents that enter legal force by representing the outcome of an exchange of political transactions. </w:t>
      </w:r>
      <w:r w:rsidRPr="00D406A0">
        <w:rPr>
          <w:rStyle w:val="StyleUnderline"/>
          <w:highlight w:val="yellow"/>
        </w:rPr>
        <w:t>We define reform as ‘high-profile’</w:t>
      </w:r>
      <w:r>
        <w:rPr>
          <w:rStyle w:val="StyleUnderline"/>
          <w:highlight w:val="yellow"/>
        </w:rPr>
        <w:t xml:space="preserve"> </w:t>
      </w:r>
      <w:r w:rsidRPr="00D406A0">
        <w:rPr>
          <w:rStyle w:val="StyleUnderline"/>
          <w:highlight w:val="yellow"/>
        </w:rPr>
        <w:t>legislation which establishes or amends</w:t>
      </w:r>
      <w:r w:rsidRPr="00D406A0">
        <w:rPr>
          <w:sz w:val="16"/>
        </w:rPr>
        <w:t xml:space="preserve"> impersonal </w:t>
      </w:r>
      <w:r w:rsidRPr="00D406A0">
        <w:rPr>
          <w:rStyle w:val="StyleUnderline"/>
          <w:highlight w:val="yellow"/>
        </w:rPr>
        <w:t>rules and significantly change the regulatory</w:t>
      </w:r>
      <w:r>
        <w:rPr>
          <w:rStyle w:val="StyleUnderline"/>
          <w:highlight w:val="yellow"/>
        </w:rPr>
        <w:t xml:space="preserve"> </w:t>
      </w:r>
      <w:r w:rsidRPr="00D406A0">
        <w:rPr>
          <w:rStyle w:val="StyleUnderline"/>
          <w:highlight w:val="yellow"/>
        </w:rPr>
        <w:t>framework of a country.</w:t>
      </w:r>
      <w:r w:rsidRPr="00D406A0">
        <w:rPr>
          <w:sz w:val="16"/>
        </w:rPr>
        <w:t xml:space="preserve"> Notably, </w:t>
      </w:r>
      <w:r w:rsidRPr="00D406A0">
        <w:rPr>
          <w:rStyle w:val="StyleUnderline"/>
          <w:highlight w:val="yellow"/>
        </w:rPr>
        <w:t>this definition</w:t>
      </w:r>
      <w:r w:rsidRPr="00D406A0">
        <w:rPr>
          <w:sz w:val="16"/>
        </w:rPr>
        <w:t xml:space="preserve"> departs from the Spiller and </w:t>
      </w:r>
      <w:proofErr w:type="spellStart"/>
      <w:r w:rsidRPr="00D406A0">
        <w:rPr>
          <w:sz w:val="16"/>
        </w:rPr>
        <w:t>Tommasi</w:t>
      </w:r>
      <w:proofErr w:type="spellEnd"/>
      <w:r w:rsidRPr="00D406A0">
        <w:rPr>
          <w:sz w:val="16"/>
        </w:rPr>
        <w:t xml:space="preserve"> framework as it does not refer to the concept and elaboration of polices – in their function of setting guidelines for the elaboration of legislation – but </w:t>
      </w:r>
      <w:r w:rsidRPr="00D406A0">
        <w:rPr>
          <w:rStyle w:val="StyleUnderline"/>
          <w:highlight w:val="yellow"/>
        </w:rPr>
        <w:t>focuses on legislation in its function to amend institutional</w:t>
      </w:r>
      <w:r>
        <w:rPr>
          <w:rStyle w:val="StyleUnderline"/>
          <w:highlight w:val="yellow"/>
        </w:rPr>
        <w:t xml:space="preserve"> </w:t>
      </w:r>
      <w:r w:rsidRPr="00D406A0">
        <w:rPr>
          <w:rStyle w:val="StyleUnderline"/>
          <w:highlight w:val="yellow"/>
        </w:rPr>
        <w:t>frameworks</w:t>
      </w:r>
      <w:r w:rsidRPr="00D406A0">
        <w:rPr>
          <w:sz w:val="16"/>
        </w:rPr>
        <w:t xml:space="preserve">. As we will argue, this definition enables a conceptual differentiation between policy areas and its institutional origins of a reform in empirical models. Empirical analysis, then, can infer more differentiated conclusions on the mechanisms by which the given socio-economic configuration of a polity impacts political collaboration, and thereby the occurrence of reform. </w:t>
      </w:r>
    </w:p>
    <w:p w:rsidR="009907A0" w:rsidRPr="00D406A0" w:rsidRDefault="009907A0" w:rsidP="009907A0"/>
    <w:p w:rsidR="009907A0" w:rsidRDefault="009907A0" w:rsidP="009907A0"/>
    <w:p w:rsidR="009907A0" w:rsidRDefault="009907A0" w:rsidP="009907A0">
      <w:pPr>
        <w:pStyle w:val="Heading4"/>
      </w:pPr>
      <w:r>
        <w:t>Challenging conventional norms and hegemonic domination is reform</w:t>
      </w:r>
    </w:p>
    <w:p w:rsidR="009907A0" w:rsidRDefault="009907A0" w:rsidP="009907A0">
      <w:r w:rsidRPr="00D406A0">
        <w:rPr>
          <w:rStyle w:val="Style13ptBold"/>
        </w:rPr>
        <w:t>Miller 02</w:t>
      </w:r>
      <w:r>
        <w:t xml:space="preserve"> Jeffrey Miller, PhD in English </w:t>
      </w:r>
      <w:proofErr w:type="spellStart"/>
      <w:r>
        <w:t>Univ</w:t>
      </w:r>
      <w:proofErr w:type="spellEnd"/>
      <w:r>
        <w:t xml:space="preserve"> of Cincinnati, NOVEL RESISTANCE: CULTURAL CAPITAL, SOCIAL FICTION, AND AMERICAN REALISM, 1861-1911 A dissertation submitted to the Division of Research and Advanced Studies of the University of Cincinnati in partial fulfillment of the requirements for the degree of DOCTORATE OF PHILOSOPHY (Ph.D.) in the Department of English and Comparative Literature of the College of Arts and Sciences 2002, https://etd.ohiolink.edu/!etd.send_file?accession=ucin1023305969&amp;disposition=inline</w:t>
      </w:r>
    </w:p>
    <w:p w:rsidR="009907A0" w:rsidRDefault="009907A0" w:rsidP="009907A0">
      <w:pPr>
        <w:rPr>
          <w:sz w:val="16"/>
        </w:rPr>
      </w:pPr>
      <w:r w:rsidRPr="00D406A0">
        <w:rPr>
          <w:sz w:val="16"/>
        </w:rPr>
        <w:t>I began this study with a series of questions about the efficacy of fiction as a tool for reform. More specifically, I wanted to investigate how realist fiction of the late nineteenth and early twentieth centuries “works” to negotiate the trichotomy of rule, hegemony, and reform. I explained in Chapter One that, according to Antonio Gramsci</w:t>
      </w:r>
      <w:r w:rsidRPr="00D406A0">
        <w:rPr>
          <w:sz w:val="16"/>
          <w:highlight w:val="yellow"/>
        </w:rPr>
        <w:t xml:space="preserve">, </w:t>
      </w:r>
      <w:r w:rsidRPr="00D406A0">
        <w:rPr>
          <w:rStyle w:val="StyleUnderline"/>
          <w:highlight w:val="yellow"/>
        </w:rPr>
        <w:t>hegemony is</w:t>
      </w:r>
      <w:r w:rsidRPr="00D406A0">
        <w:rPr>
          <w:rStyle w:val="StyleUnderline"/>
        </w:rPr>
        <w:t xml:space="preserve"> the spontaneous consent of the masses “to </w:t>
      </w:r>
      <w:r w:rsidRPr="00D406A0">
        <w:rPr>
          <w:rStyle w:val="StyleUnderline"/>
          <w:highlight w:val="yellow"/>
        </w:rPr>
        <w:t>the general direction of social life imposed by the dominant fundamental group</w:t>
      </w:r>
      <w:r w:rsidRPr="00D406A0">
        <w:rPr>
          <w:sz w:val="16"/>
        </w:rPr>
        <w:t xml:space="preserve">” and rule is the coercive power of the state; </w:t>
      </w:r>
      <w:r w:rsidRPr="00D406A0">
        <w:rPr>
          <w:rStyle w:val="StyleUnderline"/>
          <w:highlight w:val="yellow"/>
        </w:rPr>
        <w:t>I define reform as any attempt to counter rule or hegemony</w:t>
      </w:r>
      <w:r w:rsidRPr="00D406A0">
        <w:rPr>
          <w:sz w:val="16"/>
        </w:rPr>
        <w:t xml:space="preserve">. Through an analysis of the writings of Rebecca Harding Davis, William Dean Howells, Edward Bellamy, Albion </w:t>
      </w:r>
      <w:proofErr w:type="spellStart"/>
      <w:r w:rsidRPr="00D406A0">
        <w:rPr>
          <w:sz w:val="16"/>
        </w:rPr>
        <w:t>Tourgée</w:t>
      </w:r>
      <w:proofErr w:type="spellEnd"/>
      <w:r w:rsidRPr="00D406A0">
        <w:rPr>
          <w:sz w:val="16"/>
        </w:rPr>
        <w:t xml:space="preserve">, Charles Chesnutt, Thomas Dixon, and W. E. B. Du Bois, I found that the social novel works as one piece of a complex cultural puzzle. In other words, the social novel is a textual production that acts as an avenue towards historical understanding. As I stated in Chapter One, focused by the four “historical moments” of women and labor, socialism and the literary mainstream, utopian thought, and race and the post-Reconstruction color line, I did not begin with particular literary texts hoping to better understand them, but instead I began with the historical issues and chose texts that might help my investigation of the history. I did not begin looking to understand the fiction of Rebecca Harding Davis, for instance, but instead I began researching women and labor in the nineteenth century, which led me to Rebecca Harding Davis. </w:t>
      </w:r>
    </w:p>
    <w:p w:rsidR="009907A0" w:rsidRDefault="009907A0" w:rsidP="009907A0"/>
    <w:p w:rsidR="009907A0" w:rsidRPr="009907A0" w:rsidRDefault="009907A0" w:rsidP="009907A0"/>
    <w:p w:rsidR="00A82BFF" w:rsidRPr="00A82BFF" w:rsidRDefault="00A82BFF" w:rsidP="00A82BFF"/>
    <w:p w:rsidR="00A82BFF" w:rsidRDefault="00A82BFF" w:rsidP="00A82BFF"/>
    <w:p w:rsidR="00A82BFF" w:rsidRDefault="00A82BFF" w:rsidP="00A82BFF">
      <w:pPr>
        <w:pStyle w:val="Heading3"/>
      </w:pPr>
      <w:r>
        <w:t>Civil Justice not Criminal Justice</w:t>
      </w:r>
    </w:p>
    <w:p w:rsidR="00A82BFF" w:rsidRDefault="00A82BFF" w:rsidP="00A82BFF">
      <w:pPr>
        <w:pStyle w:val="Heading4"/>
      </w:pPr>
      <w:r>
        <w:t>The civil justice system and the criminal justice system are distinct places for reform</w:t>
      </w:r>
    </w:p>
    <w:p w:rsidR="00A82BFF" w:rsidRDefault="00A82BFF" w:rsidP="00A82BFF">
      <w:r w:rsidRPr="002D32E8">
        <w:rPr>
          <w:rStyle w:val="Style13ptBold"/>
        </w:rPr>
        <w:t>Root &amp; Buchanan 19</w:t>
      </w:r>
      <w:r>
        <w:rPr>
          <w:rStyle w:val="Style13ptBold"/>
        </w:rPr>
        <w:t xml:space="preserve"> </w:t>
      </w:r>
      <w:r w:rsidRPr="002D32E8">
        <w:t>Danielle Root is the associate director of voting rights and access to justice on the Democracy and Government Reform team at the Center for American Progress. Maggie Jo Buchanan is the director of Legal Progress at the Center for American Progress.</w:t>
      </w:r>
      <w:r>
        <w:t xml:space="preserve"> </w:t>
      </w:r>
      <w:r w:rsidRPr="002D32E8">
        <w:t>5 Principles for Civil Justice Reform</w:t>
      </w:r>
      <w:r>
        <w:t xml:space="preserve"> </w:t>
      </w:r>
      <w:r w:rsidRPr="002D32E8">
        <w:t>December 19, 2019, https://www.americanprogress</w:t>
      </w:r>
      <w:r>
        <w:t>.org/issues/courts/news/2019/12/19/478875/5-principles-civil-justice-reform/</w:t>
      </w:r>
    </w:p>
    <w:p w:rsidR="00A82BFF" w:rsidRPr="00670089" w:rsidRDefault="00A82BFF" w:rsidP="00A82BFF">
      <w:pPr>
        <w:rPr>
          <w:sz w:val="16"/>
        </w:rPr>
      </w:pPr>
      <w:r w:rsidRPr="00670089">
        <w:rPr>
          <w:sz w:val="16"/>
        </w:rPr>
        <w:t xml:space="preserve">Each year, </w:t>
      </w:r>
      <w:r w:rsidRPr="00670089">
        <w:rPr>
          <w:rStyle w:val="StyleUnderline"/>
          <w:highlight w:val="yellow"/>
        </w:rPr>
        <w:t>millions of civil cases are filed in courts</w:t>
      </w:r>
      <w:r w:rsidRPr="00670089">
        <w:rPr>
          <w:sz w:val="16"/>
        </w:rPr>
        <w:t xml:space="preserve"> across the United States </w:t>
      </w:r>
      <w:r w:rsidRPr="00670089">
        <w:rPr>
          <w:rStyle w:val="StyleUnderline"/>
          <w:highlight w:val="yellow"/>
        </w:rPr>
        <w:t>concerning everything from family law and domestic violence matters to issues of housing and consumer debt</w:t>
      </w:r>
      <w:r w:rsidRPr="00670089">
        <w:rPr>
          <w:sz w:val="16"/>
        </w:rPr>
        <w:t xml:space="preserve">. Unfortunately, deficiencies in the civil justice system perpetuate power imbalances; those who can hire private attorneys are much more likely to prevail in court or avoid court altogether. These power imbalances prevent people—mostly low- and middle-income people and disproportionately people of color—from prevailing in their cases, resulting in miscarriages of justice. For parties involved, the stakes of civil proceedings are extraordinarily high. Child custody; orders of protection against a violent stalker; foreclosure of and eviction from a home; and falling prey to predatory debt collectors are all matters handled by civil courts. For some, winning or losing in court can mean the difference between life and death. Over the years, advocates and </w:t>
      </w:r>
      <w:r w:rsidRPr="009E55D6">
        <w:rPr>
          <w:rStyle w:val="StyleUnderline"/>
          <w:highlight w:val="yellow"/>
        </w:rPr>
        <w:t xml:space="preserve">policymakers have suggested a range of approaches to </w:t>
      </w:r>
      <w:r w:rsidRPr="00670089">
        <w:rPr>
          <w:rStyle w:val="Emphasis"/>
          <w:highlight w:val="yellow"/>
        </w:rPr>
        <w:t>reforming the civil justice system</w:t>
      </w:r>
      <w:r w:rsidRPr="00670089">
        <w:rPr>
          <w:rStyle w:val="Emphasis"/>
        </w:rPr>
        <w:t>,</w:t>
      </w:r>
      <w:r w:rsidRPr="00670089">
        <w:rPr>
          <w:sz w:val="16"/>
        </w:rPr>
        <w:t xml:space="preserve"> including guaranteeing legal representation in certain additional classes of civil cases; lifting restrictions on providers of civil legal aid—which includes a broad range of civil legal services—who receive public funding; and expanding opportunities for law students, attorneys, advocates, and paralegals to provide pro-bono services and representation to clients in need. Several jurisdictions have adopted some of these ideas, including New York City, which now provides a right to counsel for low-income tenants facing eviction in housing court. Some states such as Utah use a licensed paralegal </w:t>
      </w:r>
      <w:proofErr w:type="gramStart"/>
      <w:r w:rsidRPr="00670089">
        <w:rPr>
          <w:sz w:val="16"/>
        </w:rPr>
        <w:t>practitioners</w:t>
      </w:r>
      <w:proofErr w:type="gramEnd"/>
      <w:r w:rsidRPr="00670089">
        <w:rPr>
          <w:sz w:val="16"/>
        </w:rPr>
        <w:t xml:space="preserve"> model that allows highly trained paralegals to provide more affordable legal assistance. Despite these important efforts, </w:t>
      </w:r>
      <w:r w:rsidRPr="009E55D6">
        <w:rPr>
          <w:rStyle w:val="StyleUnderline"/>
          <w:highlight w:val="yellow"/>
        </w:rPr>
        <w:t xml:space="preserve">the need for </w:t>
      </w:r>
      <w:r w:rsidRPr="00670089">
        <w:rPr>
          <w:rStyle w:val="Emphasis"/>
          <w:highlight w:val="yellow"/>
        </w:rPr>
        <w:t>civil justice reform</w:t>
      </w:r>
      <w:r w:rsidRPr="009E55D6">
        <w:rPr>
          <w:rStyle w:val="StyleUnderline"/>
          <w:highlight w:val="yellow"/>
        </w:rPr>
        <w:t xml:space="preserve"> remains lesser known than</w:t>
      </w:r>
      <w:r w:rsidRPr="00670089">
        <w:rPr>
          <w:sz w:val="16"/>
        </w:rPr>
        <w:t xml:space="preserve"> the vital </w:t>
      </w:r>
      <w:r w:rsidRPr="00670089">
        <w:rPr>
          <w:rStyle w:val="Emphasis"/>
          <w:highlight w:val="yellow"/>
        </w:rPr>
        <w:t>criminal justice reform</w:t>
      </w:r>
      <w:r w:rsidRPr="00670089">
        <w:rPr>
          <w:sz w:val="16"/>
        </w:rPr>
        <w:t xml:space="preserve"> work being done today.</w:t>
      </w:r>
    </w:p>
    <w:p w:rsidR="00A82BFF" w:rsidRDefault="00A82BFF" w:rsidP="00A82BFF"/>
    <w:p w:rsidR="00A82BFF" w:rsidRDefault="00A82BFF" w:rsidP="00A82BFF">
      <w:pPr>
        <w:pStyle w:val="Heading4"/>
      </w:pPr>
      <w:r>
        <w:t>The plan includes civil justice reforms—Reforms in police practice, training, and equipment are civil reforms not criminal reforms</w:t>
      </w:r>
    </w:p>
    <w:p w:rsidR="00A82BFF" w:rsidRDefault="00A82BFF" w:rsidP="00A82BFF">
      <w:r w:rsidRPr="000C173B">
        <w:rPr>
          <w:rStyle w:val="Style13ptBold"/>
        </w:rPr>
        <w:t>Sykes</w:t>
      </w:r>
      <w:r>
        <w:t xml:space="preserve"> 6/9/</w:t>
      </w:r>
      <w:r w:rsidRPr="00AD2271">
        <w:rPr>
          <w:rStyle w:val="Style13ptBold"/>
        </w:rPr>
        <w:t>20</w:t>
      </w:r>
      <w:r w:rsidRPr="000C173B">
        <w:rPr>
          <w:rStyle w:val="Style13ptBold"/>
        </w:rPr>
        <w:t xml:space="preserve"> </w:t>
      </w:r>
      <w:r>
        <w:t xml:space="preserve">Emilia Sykes is a Representative in Ohio State Legislature, House Democrats Reveal Legislative Plans </w:t>
      </w:r>
      <w:proofErr w:type="gramStart"/>
      <w:r>
        <w:t>For</w:t>
      </w:r>
      <w:proofErr w:type="gramEnd"/>
      <w:r>
        <w:t xml:space="preserve"> Police Reforms, http://www.ohiohouse.gov/emilia-strong-sykes/press/house-democrats-reveal-legislative-plans-for-police-reforms</w:t>
      </w:r>
    </w:p>
    <w:p w:rsidR="00A82BFF" w:rsidRPr="000C173B" w:rsidRDefault="00A82BFF" w:rsidP="00A82BFF">
      <w:pPr>
        <w:rPr>
          <w:sz w:val="16"/>
        </w:rPr>
      </w:pPr>
      <w:r w:rsidRPr="000C173B">
        <w:rPr>
          <w:sz w:val="16"/>
        </w:rPr>
        <w:t xml:space="preserve">House Democrats are currently considering </w:t>
      </w:r>
      <w:r w:rsidRPr="000C173B">
        <w:rPr>
          <w:rStyle w:val="StyleUnderline"/>
          <w:highlight w:val="yellow"/>
        </w:rPr>
        <w:t>the following bills to address police and</w:t>
      </w:r>
      <w:r w:rsidRPr="000C173B">
        <w:rPr>
          <w:sz w:val="16"/>
        </w:rPr>
        <w:t xml:space="preserve"> </w:t>
      </w:r>
      <w:r w:rsidRPr="000C173B">
        <w:rPr>
          <w:rStyle w:val="Emphasis"/>
          <w:highlight w:val="yellow"/>
        </w:rPr>
        <w:t>civil justice reform</w:t>
      </w:r>
      <w:r w:rsidRPr="000C173B">
        <w:rPr>
          <w:sz w:val="16"/>
        </w:rPr>
        <w:t xml:space="preserve">: </w:t>
      </w:r>
      <w:r w:rsidRPr="000C173B">
        <w:rPr>
          <w:rStyle w:val="StyleUnderline"/>
        </w:rPr>
        <w:t xml:space="preserve">A bill that would </w:t>
      </w:r>
      <w:r w:rsidRPr="000C173B">
        <w:rPr>
          <w:rStyle w:val="StyleUnderline"/>
          <w:highlight w:val="yellow"/>
        </w:rPr>
        <w:t>demilitarize the police</w:t>
      </w:r>
      <w:r w:rsidRPr="000C173B">
        <w:rPr>
          <w:sz w:val="16"/>
        </w:rPr>
        <w:t xml:space="preserve"> by prohibiting Ohio police departments from benefitting from the federal 1099 program, which allows the DOD to offload excess and surplus military weapons &amp; equipment to police departments at little to no cost; </w:t>
      </w:r>
      <w:r w:rsidRPr="000C173B">
        <w:rPr>
          <w:rStyle w:val="StyleUnderline"/>
        </w:rPr>
        <w:t xml:space="preserve">A bill that would </w:t>
      </w:r>
      <w:r w:rsidRPr="000C173B">
        <w:rPr>
          <w:rStyle w:val="StyleUnderline"/>
          <w:highlight w:val="yellow"/>
        </w:rPr>
        <w:t>prohibit law enforcement</w:t>
      </w:r>
      <w:r w:rsidRPr="000C173B">
        <w:rPr>
          <w:rStyle w:val="StyleUnderline"/>
        </w:rPr>
        <w:t xml:space="preserve"> agencies from </w:t>
      </w:r>
      <w:r w:rsidRPr="000C173B">
        <w:rPr>
          <w:rStyle w:val="StyleUnderline"/>
          <w:highlight w:val="yellow"/>
        </w:rPr>
        <w:t>profiling</w:t>
      </w:r>
      <w:r w:rsidRPr="000C173B">
        <w:rPr>
          <w:rStyle w:val="StyleUnderline"/>
        </w:rPr>
        <w:t xml:space="preserve"> and require</w:t>
      </w:r>
      <w:r w:rsidRPr="000C173B">
        <w:rPr>
          <w:sz w:val="16"/>
        </w:rPr>
        <w:t xml:space="preserve">s annual </w:t>
      </w:r>
      <w:r w:rsidRPr="000C173B">
        <w:rPr>
          <w:rStyle w:val="StyleUnderline"/>
          <w:highlight w:val="yellow"/>
        </w:rPr>
        <w:t>racial or other biased-based police training</w:t>
      </w:r>
      <w:r w:rsidRPr="000C173B">
        <w:rPr>
          <w:sz w:val="16"/>
        </w:rPr>
        <w:t xml:space="preserve">; </w:t>
      </w:r>
      <w:r w:rsidRPr="000C173B">
        <w:rPr>
          <w:rStyle w:val="StyleUnderline"/>
        </w:rPr>
        <w:t xml:space="preserve">A bill to </w:t>
      </w:r>
      <w:r w:rsidRPr="000C173B">
        <w:rPr>
          <w:rStyle w:val="StyleUnderline"/>
          <w:highlight w:val="yellow"/>
        </w:rPr>
        <w:t>prohibit</w:t>
      </w:r>
      <w:r w:rsidRPr="000C173B">
        <w:rPr>
          <w:rStyle w:val="StyleUnderline"/>
        </w:rPr>
        <w:t xml:space="preserve"> the use of arrest or citation </w:t>
      </w:r>
      <w:r w:rsidRPr="000C173B">
        <w:rPr>
          <w:rStyle w:val="StyleUnderline"/>
          <w:highlight w:val="yellow"/>
        </w:rPr>
        <w:t>quota</w:t>
      </w:r>
      <w:r w:rsidRPr="000C173B">
        <w:rPr>
          <w:sz w:val="16"/>
          <w:highlight w:val="yellow"/>
        </w:rPr>
        <w:t>s</w:t>
      </w:r>
      <w:r w:rsidRPr="000C173B">
        <w:rPr>
          <w:sz w:val="16"/>
        </w:rPr>
        <w:t xml:space="preserve"> by all law enforcement agencies; </w:t>
      </w:r>
      <w:r w:rsidRPr="000C173B">
        <w:rPr>
          <w:rStyle w:val="StyleUnderline"/>
        </w:rPr>
        <w:t xml:space="preserve">A bill regarding de-escalation and </w:t>
      </w:r>
      <w:r w:rsidRPr="000C173B">
        <w:rPr>
          <w:rStyle w:val="StyleUnderline"/>
          <w:highlight w:val="yellow"/>
        </w:rPr>
        <w:t>mental health training</w:t>
      </w:r>
      <w:r w:rsidRPr="000C173B">
        <w:rPr>
          <w:sz w:val="16"/>
          <w:highlight w:val="yellow"/>
        </w:rPr>
        <w:t>;</w:t>
      </w:r>
      <w:r w:rsidRPr="000C173B">
        <w:rPr>
          <w:sz w:val="16"/>
        </w:rPr>
        <w:t xml:space="preserve"> A bill to require that all officer-involved shootings and other officer misconduct be independently investigated; A bill to create a centralized excessive use of force database that would require all law enforcement agencies to report officer-involved shootings and injuries; </w:t>
      </w:r>
      <w:r w:rsidRPr="000C173B">
        <w:rPr>
          <w:rStyle w:val="StyleUnderline"/>
        </w:rPr>
        <w:t>A bill that requires the Attorney General to maintain a database</w:t>
      </w:r>
      <w:r w:rsidRPr="000C173B">
        <w:rPr>
          <w:sz w:val="16"/>
        </w:rPr>
        <w:t xml:space="preserve"> showing the employment history of police officers; </w:t>
      </w:r>
      <w:r w:rsidRPr="000C173B">
        <w:rPr>
          <w:rStyle w:val="StyleUnderline"/>
        </w:rPr>
        <w:t xml:space="preserve">A bill to require police officers wear clearly visible and easily traceable identification at all times; And a bill to </w:t>
      </w:r>
      <w:r w:rsidRPr="000C173B">
        <w:rPr>
          <w:rStyle w:val="StyleUnderline"/>
          <w:highlight w:val="yellow"/>
        </w:rPr>
        <w:t>prohibit the use of tear gas</w:t>
      </w:r>
      <w:r w:rsidRPr="000C173B">
        <w:rPr>
          <w:rStyle w:val="StyleUnderline"/>
        </w:rPr>
        <w:t xml:space="preserve"> </w:t>
      </w:r>
      <w:r w:rsidRPr="000C173B">
        <w:rPr>
          <w:sz w:val="16"/>
        </w:rPr>
        <w:t>by law enforcement.</w:t>
      </w:r>
    </w:p>
    <w:p w:rsidR="00A82BFF" w:rsidRDefault="00A82BFF" w:rsidP="00A82BFF"/>
    <w:p w:rsidR="00A82BFF" w:rsidRDefault="00A82BFF" w:rsidP="00A82BFF">
      <w:pPr>
        <w:pStyle w:val="Heading4"/>
      </w:pPr>
      <w:r>
        <w:t>Demilitarization and training are civil justice reforms</w:t>
      </w:r>
    </w:p>
    <w:p w:rsidR="00A82BFF" w:rsidRDefault="00A82BFF" w:rsidP="00A82BFF">
      <w:r w:rsidRPr="00AD2271">
        <w:rPr>
          <w:rStyle w:val="Style13ptBold"/>
        </w:rPr>
        <w:t>Chow</w:t>
      </w:r>
      <w:r>
        <w:t xml:space="preserve"> 6/10/</w:t>
      </w:r>
      <w:r w:rsidRPr="00AD2271">
        <w:rPr>
          <w:rStyle w:val="Style13ptBold"/>
        </w:rPr>
        <w:t>20</w:t>
      </w:r>
      <w:r>
        <w:t xml:space="preserve"> Andy Chow is a state government reporter and a producer with WBNS 10TV. House GOP Proposes Law Enforcement Reforms, https://www.statenews.org/post/house-gop-proposes-law-enforcement-reforms</w:t>
      </w:r>
    </w:p>
    <w:p w:rsidR="00A82BFF" w:rsidRPr="00AD2271" w:rsidRDefault="00A82BFF" w:rsidP="00A82BFF">
      <w:pPr>
        <w:rPr>
          <w:sz w:val="16"/>
        </w:rPr>
      </w:pPr>
      <w:r w:rsidRPr="00AD2271">
        <w:rPr>
          <w:sz w:val="16"/>
        </w:rPr>
        <w:t xml:space="preserve">The House Democratic Caucus released a list of bills </w:t>
      </w:r>
      <w:r w:rsidRPr="00AD2271">
        <w:rPr>
          <w:rStyle w:val="StyleUnderline"/>
          <w:highlight w:val="yellow"/>
        </w:rPr>
        <w:t>lawmakers are considering</w:t>
      </w:r>
      <w:r w:rsidRPr="00AD2271">
        <w:rPr>
          <w:sz w:val="16"/>
        </w:rPr>
        <w:t xml:space="preserve"> to address </w:t>
      </w:r>
      <w:r w:rsidRPr="00AD2271">
        <w:rPr>
          <w:rStyle w:val="StyleUnderline"/>
          <w:highlight w:val="yellow"/>
        </w:rPr>
        <w:t>police</w:t>
      </w:r>
      <w:r w:rsidRPr="00AD2271">
        <w:rPr>
          <w:sz w:val="16"/>
        </w:rPr>
        <w:t xml:space="preserve"> and </w:t>
      </w:r>
      <w:r w:rsidRPr="00AD2271">
        <w:rPr>
          <w:rStyle w:val="Emphasis"/>
          <w:highlight w:val="yellow"/>
        </w:rPr>
        <w:t>civil justice reform</w:t>
      </w:r>
      <w:r w:rsidRPr="00AD2271">
        <w:rPr>
          <w:sz w:val="16"/>
        </w:rPr>
        <w:t xml:space="preserve">, </w:t>
      </w:r>
      <w:r w:rsidRPr="00AD2271">
        <w:rPr>
          <w:rStyle w:val="StyleUnderline"/>
          <w:highlight w:val="yellow"/>
        </w:rPr>
        <w:t>such as "demilitarizing the police," prohibiting the use of arrest or citation quotas, prohibiting the use of tear gas, and independent investigations</w:t>
      </w:r>
      <w:r w:rsidRPr="00AD2271">
        <w:rPr>
          <w:rStyle w:val="StyleUnderline"/>
        </w:rPr>
        <w:t xml:space="preserve"> </w:t>
      </w:r>
      <w:r w:rsidRPr="00AD2271">
        <w:rPr>
          <w:sz w:val="16"/>
        </w:rPr>
        <w:t>of officer misconduct.</w:t>
      </w:r>
    </w:p>
    <w:p w:rsidR="00A82BFF" w:rsidRDefault="00A82BFF" w:rsidP="00A82BFF"/>
    <w:p w:rsidR="00C115CF" w:rsidRDefault="00C115CF" w:rsidP="00C115CF">
      <w:pPr>
        <w:pStyle w:val="Heading4"/>
      </w:pPr>
      <w:r>
        <w:t>Reforming tort liability is separate from criminal justice reform</w:t>
      </w:r>
    </w:p>
    <w:p w:rsidR="00C115CF" w:rsidRDefault="00C115CF" w:rsidP="00C115CF">
      <w:r w:rsidRPr="00027C82">
        <w:rPr>
          <w:rStyle w:val="Style13ptBold"/>
        </w:rPr>
        <w:t>Stern 19</w:t>
      </w:r>
      <w:r>
        <w:t xml:space="preserve"> Paul D. Stern currently serves as a Trial Attorney with the United States Department of Justice, Tort Justice Reform, 52 U. MICH. J. L. REFORM 649 (2019). </w:t>
      </w:r>
      <w:hyperlink r:id="rId16" w:history="1">
        <w:r w:rsidRPr="00980ECE">
          <w:rPr>
            <w:rStyle w:val="Hyperlink"/>
          </w:rPr>
          <w:t>https://repository.law.umich.edu/mjlr/vol52/iss3/4</w:t>
        </w:r>
      </w:hyperlink>
      <w:r>
        <w:t xml:space="preserve"> </w:t>
      </w:r>
    </w:p>
    <w:p w:rsidR="00C115CF" w:rsidRPr="00B767F2" w:rsidRDefault="00C115CF" w:rsidP="00C115CF">
      <w:pPr>
        <w:rPr>
          <w:sz w:val="16"/>
        </w:rPr>
      </w:pPr>
      <w:r w:rsidRPr="00B767F2">
        <w:rPr>
          <w:rStyle w:val="StyleUnderline"/>
          <w:highlight w:val="yellow"/>
        </w:rPr>
        <w:t xml:space="preserve">Law enforcement accountability cannot be addressed solely </w:t>
      </w:r>
      <w:r w:rsidRPr="00B767F2">
        <w:rPr>
          <w:rStyle w:val="Emphasis"/>
          <w:highlight w:val="yellow"/>
        </w:rPr>
        <w:t>through the criminal justice system</w:t>
      </w:r>
      <w:r w:rsidRPr="00B767F2">
        <w:rPr>
          <w:sz w:val="16"/>
        </w:rPr>
        <w:t xml:space="preserve">. Remedial measures in the criminal arena, whether excluding unconstitutionally obtained evidence or prosecuting malicious police officers, center on establishing sufficient deterrent and punitive mechanisms to guard against public actor’s misconduct. Since law enforcement officials are bestowed with unique privileges when performing their duties, these criminal safeguards are necessary countermeasures to such extraordinary authority. Yet, </w:t>
      </w:r>
      <w:r w:rsidRPr="00B767F2">
        <w:rPr>
          <w:rStyle w:val="StyleUnderline"/>
          <w:highlight w:val="yellow"/>
        </w:rPr>
        <w:t xml:space="preserve">while many scholars </w:t>
      </w:r>
      <w:r w:rsidRPr="00B767F2">
        <w:rPr>
          <w:rStyle w:val="Emphasis"/>
          <w:highlight w:val="yellow"/>
        </w:rPr>
        <w:t>call for reform in the criminal justice system</w:t>
      </w:r>
      <w:r w:rsidRPr="00B767F2">
        <w:rPr>
          <w:rStyle w:val="StyleUnderline"/>
          <w:highlight w:val="yellow"/>
        </w:rPr>
        <w:t xml:space="preserve"> aimed at bolstering police accountability</w:t>
      </w:r>
      <w:proofErr w:type="gramStart"/>
      <w:r w:rsidRPr="00B767F2">
        <w:rPr>
          <w:sz w:val="16"/>
        </w:rPr>
        <w:t>,1</w:t>
      </w:r>
      <w:proofErr w:type="gramEnd"/>
      <w:r w:rsidRPr="00B767F2">
        <w:rPr>
          <w:sz w:val="16"/>
        </w:rPr>
        <w:t xml:space="preserve"> fostering institutional advancement and </w:t>
      </w:r>
      <w:r w:rsidRPr="00B767F2">
        <w:rPr>
          <w:rStyle w:val="StyleUnderline"/>
          <w:highlight w:val="yellow"/>
        </w:rPr>
        <w:t>incentivizing better decision making cannot derive</w:t>
      </w:r>
      <w:r w:rsidRPr="00B767F2">
        <w:rPr>
          <w:rStyle w:val="StyleUnderline"/>
        </w:rPr>
        <w:t xml:space="preserve"> merely </w:t>
      </w:r>
      <w:r w:rsidRPr="00B767F2">
        <w:rPr>
          <w:rStyle w:val="StyleUnderline"/>
          <w:highlight w:val="yellow"/>
        </w:rPr>
        <w:t>from the threat of prosecution</w:t>
      </w:r>
      <w:r w:rsidRPr="00B767F2">
        <w:rPr>
          <w:sz w:val="16"/>
        </w:rPr>
        <w:t>. And, when officer misconduct does not involve the requisite criminal intent to initiate criminal proceedings</w:t>
      </w:r>
      <w:proofErr w:type="gramStart"/>
      <w:r w:rsidRPr="00B767F2">
        <w:rPr>
          <w:sz w:val="16"/>
        </w:rPr>
        <w:t>,2</w:t>
      </w:r>
      <w:proofErr w:type="gramEnd"/>
      <w:r w:rsidRPr="00B767F2">
        <w:rPr>
          <w:sz w:val="16"/>
        </w:rPr>
        <w:t xml:space="preserve"> their missteps can nevertheless result in catastrophic damages, including wrongful death. In such circumstances, </w:t>
      </w:r>
      <w:r w:rsidRPr="00B767F2">
        <w:rPr>
          <w:rStyle w:val="StyleUnderline"/>
          <w:highlight w:val="yellow"/>
        </w:rPr>
        <w:t>the responsibility to</w:t>
      </w:r>
      <w:r w:rsidRPr="00B767F2">
        <w:rPr>
          <w:rStyle w:val="StyleUnderline"/>
        </w:rPr>
        <w:t xml:space="preserve"> </w:t>
      </w:r>
      <w:r w:rsidRPr="00B767F2">
        <w:rPr>
          <w:sz w:val="16"/>
        </w:rPr>
        <w:t xml:space="preserve">compensate victims, </w:t>
      </w:r>
      <w:r w:rsidRPr="00B767F2">
        <w:rPr>
          <w:rStyle w:val="StyleUnderline"/>
          <w:highlight w:val="yellow"/>
        </w:rPr>
        <w:t>deter future misconduct</w:t>
      </w:r>
      <w:r w:rsidRPr="00B767F2">
        <w:rPr>
          <w:sz w:val="16"/>
        </w:rPr>
        <w:t xml:space="preserve">, and hold public officials accountable </w:t>
      </w:r>
      <w:r w:rsidRPr="00B767F2">
        <w:rPr>
          <w:rStyle w:val="StyleUnderline"/>
          <w:highlight w:val="yellow"/>
        </w:rPr>
        <w:t>falls upon public tort law</w:t>
      </w:r>
      <w:r w:rsidRPr="00B767F2">
        <w:rPr>
          <w:sz w:val="16"/>
        </w:rPr>
        <w:t xml:space="preserve">. Tort jurisprudence has traditionally functioned as a form of public law, granting private citizens the ability to identify wrongful conduct and seek redress for their injuries. Like criminal law, tort law can serve a regulatory function by retroactively condemning injurious behavior. Indeed, tort law has a long history of fostering institutional and societal reform, from the emergence of seatbelts3 to warning labels on cigarette packs.4 </w:t>
      </w:r>
      <w:proofErr w:type="gramStart"/>
      <w:r w:rsidRPr="00B767F2">
        <w:rPr>
          <w:sz w:val="16"/>
        </w:rPr>
        <w:t>One</w:t>
      </w:r>
      <w:proofErr w:type="gramEnd"/>
      <w:r w:rsidRPr="00B767F2">
        <w:rPr>
          <w:sz w:val="16"/>
        </w:rPr>
        <w:t xml:space="preserve"> famous metaphor described tort law as an “ombudsman” that functions as a “weapon of social progress.”5 When prosecutors are unable or unwilling to bring criminal indictments against public officials, tort law can empower ordinary citizens to serve as “private attorneys general.”6 The call to reform public tort law is not merely victim advocacy. Remedial regimes must recognize that not all wrongful conduct should be treated equally. Law enforcement officials err, sometimes negligently, sometimes intentionally, and sometimes nefariously. Public tort law should reflect this reality. Officials should not be forced to pay large judgments out of pocket because they were poorly trained or acted in good faith on reasonable, but ultimately mistaken, facts. Moreover, good-natured officers should not have to persevere through the burdens and stresses of litigation in order to clear their names. Even when government employees are represented by their agencies, the litigation can have an emotional toll, as well as affect an officer’s ability to secure home mortgages, obtain insurance, and fulfill other financial obligations. </w:t>
      </w:r>
      <w:r w:rsidRPr="00B767F2">
        <w:rPr>
          <w:rStyle w:val="StyleUnderline"/>
          <w:highlight w:val="yellow"/>
        </w:rPr>
        <w:t>The doctrine of qualified immunity</w:t>
      </w:r>
      <w:r w:rsidRPr="00B767F2">
        <w:rPr>
          <w:sz w:val="16"/>
        </w:rPr>
        <w:t xml:space="preserve"> recognizes that a remedial scheme cannot be so burdensome that it creates a disincentive for officers to properly perform their difficult, and often dangerous, duties. Public tort law should ensure accountability but not at the risk of punishing earnest civil servants. In </w:t>
      </w:r>
      <w:proofErr w:type="spellStart"/>
      <w:r w:rsidRPr="00B767F2">
        <w:rPr>
          <w:sz w:val="16"/>
        </w:rPr>
        <w:t>Bivens</w:t>
      </w:r>
      <w:proofErr w:type="spellEnd"/>
      <w:r w:rsidRPr="00B767F2">
        <w:rPr>
          <w:sz w:val="16"/>
        </w:rPr>
        <w:t xml:space="preserve"> v. Six Unknown Named Agents of Federal Bureau of Narcotics and its progeny, the United States Supreme Court attempted to bolster law enforcement accountability by finding implied causes of action for constitutional wrongs committed by federal actors. Upon recognizing that no adequate remedy existed outside the exclusionary rule for Fourth Amendment infractions by federal agents, the Court found that compensatory measures were a necessary remedial avenue. In the immediate years following </w:t>
      </w:r>
      <w:proofErr w:type="spellStart"/>
      <w:r w:rsidRPr="00B767F2">
        <w:rPr>
          <w:sz w:val="16"/>
        </w:rPr>
        <w:t>Bivens</w:t>
      </w:r>
      <w:proofErr w:type="spellEnd"/>
      <w:r w:rsidRPr="00B767F2">
        <w:rPr>
          <w:sz w:val="16"/>
        </w:rPr>
        <w:t xml:space="preserve">, the Court made clear that the intent of such implied actions is not merely to compensate, but to ensure accountability and deter misconduct of federal actors. In so doing, the Court opined that remedies must be aimed at the individual actor in order to actualize the perceived benefits of constitutional tort law. Notwithstanding the laudable goals of the </w:t>
      </w:r>
      <w:proofErr w:type="spellStart"/>
      <w:r w:rsidRPr="00B767F2">
        <w:rPr>
          <w:sz w:val="16"/>
        </w:rPr>
        <w:t>Bivens</w:t>
      </w:r>
      <w:proofErr w:type="spellEnd"/>
      <w:r w:rsidRPr="00B767F2">
        <w:rPr>
          <w:sz w:val="16"/>
        </w:rPr>
        <w:t xml:space="preserve"> remedy, it has never fulfilled its promise. As the Court began to disfavor implied causes of action for constitutional wrongs, its case law placed tremendous strains on the ability of constitutional tort law to provide meaningful compensation, deterrence, and accountability. Two recent Supreme Court decisions represent the zenith of efforts to curtail </w:t>
      </w:r>
      <w:proofErr w:type="spellStart"/>
      <w:r w:rsidRPr="00B767F2">
        <w:rPr>
          <w:sz w:val="16"/>
        </w:rPr>
        <w:t>Bivens</w:t>
      </w:r>
      <w:proofErr w:type="spellEnd"/>
      <w:r w:rsidRPr="00B767F2">
        <w:rPr>
          <w:sz w:val="16"/>
        </w:rPr>
        <w:t xml:space="preserve">’ remedy. In </w:t>
      </w:r>
      <w:proofErr w:type="spellStart"/>
      <w:r w:rsidRPr="00B767F2">
        <w:rPr>
          <w:sz w:val="16"/>
        </w:rPr>
        <w:t>Ziglar</w:t>
      </w:r>
      <w:proofErr w:type="spellEnd"/>
      <w:r w:rsidRPr="00B767F2">
        <w:rPr>
          <w:sz w:val="16"/>
        </w:rPr>
        <w:t xml:space="preserve"> v. </w:t>
      </w:r>
      <w:proofErr w:type="spellStart"/>
      <w:r w:rsidRPr="00B767F2">
        <w:rPr>
          <w:sz w:val="16"/>
        </w:rPr>
        <w:t>Abbasi</w:t>
      </w:r>
      <w:proofErr w:type="spellEnd"/>
      <w:r w:rsidRPr="00B767F2">
        <w:rPr>
          <w:sz w:val="16"/>
        </w:rPr>
        <w:t>, the Supreme Court relied on a long line of post-</w:t>
      </w:r>
      <w:proofErr w:type="spellStart"/>
      <w:r w:rsidRPr="00B767F2">
        <w:rPr>
          <w:sz w:val="16"/>
        </w:rPr>
        <w:t>Bivens</w:t>
      </w:r>
      <w:proofErr w:type="spellEnd"/>
      <w:r w:rsidRPr="00B767F2">
        <w:rPr>
          <w:sz w:val="16"/>
        </w:rPr>
        <w:t xml:space="preserve"> cases that disfavored the judicially created remedy to conclude that the slightest factual distinction from Court precedent constituted a new context. Absent substantial justification, such new contexts do not warrant finding an implied cause of action. While the separation-of-powers concerns surrounding the </w:t>
      </w:r>
      <w:proofErr w:type="spellStart"/>
      <w:r w:rsidRPr="00B767F2">
        <w:rPr>
          <w:sz w:val="16"/>
        </w:rPr>
        <w:t>Bivens</w:t>
      </w:r>
      <w:proofErr w:type="spellEnd"/>
      <w:r w:rsidRPr="00B767F2">
        <w:rPr>
          <w:sz w:val="16"/>
        </w:rPr>
        <w:t xml:space="preserve"> remedy are debatable, it is undeniable that the modern restriction on the remedial measure leaves parties that have been injured by constitutional violations without a remedy. Even where an implied cause of action exists, the doctrine of qualified immunity creates intractable barriers to compensation and accountability. The </w:t>
      </w:r>
      <w:proofErr w:type="spellStart"/>
      <w:r w:rsidRPr="00B767F2">
        <w:rPr>
          <w:sz w:val="16"/>
        </w:rPr>
        <w:t>Abbasi</w:t>
      </w:r>
      <w:proofErr w:type="spellEnd"/>
      <w:r w:rsidRPr="00B767F2">
        <w:rPr>
          <w:sz w:val="16"/>
        </w:rPr>
        <w:t xml:space="preserve"> Court reiterated that implied actions remain cognizable for Fourth Amendment infractions by federal law enforcement officers. Yet, in District of Columbia v. </w:t>
      </w:r>
      <w:proofErr w:type="spellStart"/>
      <w:r w:rsidRPr="00B767F2">
        <w:rPr>
          <w:sz w:val="16"/>
        </w:rPr>
        <w:t>Wesby</w:t>
      </w:r>
      <w:proofErr w:type="spellEnd"/>
      <w:r w:rsidRPr="00B767F2">
        <w:rPr>
          <w:sz w:val="16"/>
        </w:rPr>
        <w:t xml:space="preserve">, the Court cited the rationale supporting the </w:t>
      </w:r>
      <w:proofErr w:type="spellStart"/>
      <w:r w:rsidRPr="00B767F2">
        <w:rPr>
          <w:sz w:val="16"/>
        </w:rPr>
        <w:t>Abbasi</w:t>
      </w:r>
      <w:proofErr w:type="spellEnd"/>
      <w:r w:rsidRPr="00B767F2">
        <w:rPr>
          <w:sz w:val="16"/>
        </w:rPr>
        <w:t xml:space="preserve"> decision to find that the law enforcement officers in that case were entitled to qualified immunity when entering a home without a warrant—the exact sort of Fourth Amendment violation the </w:t>
      </w:r>
      <w:proofErr w:type="spellStart"/>
      <w:r w:rsidRPr="00B767F2">
        <w:rPr>
          <w:sz w:val="16"/>
        </w:rPr>
        <w:t>Bivens</w:t>
      </w:r>
      <w:proofErr w:type="spellEnd"/>
      <w:r w:rsidRPr="00B767F2">
        <w:rPr>
          <w:sz w:val="16"/>
        </w:rPr>
        <w:t xml:space="preserve"> remedy was meant to correct.7 In the wake of </w:t>
      </w:r>
      <w:proofErr w:type="spellStart"/>
      <w:r w:rsidRPr="00B767F2">
        <w:rPr>
          <w:sz w:val="16"/>
        </w:rPr>
        <w:t>Abbasi</w:t>
      </w:r>
      <w:proofErr w:type="spellEnd"/>
      <w:r w:rsidRPr="00B767F2">
        <w:rPr>
          <w:sz w:val="16"/>
        </w:rPr>
        <w:t xml:space="preserve"> and </w:t>
      </w:r>
      <w:proofErr w:type="spellStart"/>
      <w:r w:rsidRPr="00B767F2">
        <w:rPr>
          <w:sz w:val="16"/>
        </w:rPr>
        <w:t>Wesby</w:t>
      </w:r>
      <w:proofErr w:type="spellEnd"/>
      <w:r w:rsidRPr="00B767F2">
        <w:rPr>
          <w:sz w:val="16"/>
        </w:rPr>
        <w:t xml:space="preserve">, it is difficult to conceive of </w:t>
      </w:r>
      <w:proofErr w:type="spellStart"/>
      <w:r w:rsidRPr="00B767F2">
        <w:rPr>
          <w:sz w:val="16"/>
        </w:rPr>
        <w:t>Bivens</w:t>
      </w:r>
      <w:proofErr w:type="spellEnd"/>
      <w:r w:rsidRPr="00B767F2">
        <w:rPr>
          <w:sz w:val="16"/>
        </w:rPr>
        <w:t xml:space="preserve"> as an effective safeguard against federal law enforcement misconduct. Many scholars have lamented the </w:t>
      </w:r>
      <w:proofErr w:type="spellStart"/>
      <w:r w:rsidRPr="00B767F2">
        <w:rPr>
          <w:sz w:val="16"/>
        </w:rPr>
        <w:t>Abbasi</w:t>
      </w:r>
      <w:proofErr w:type="spellEnd"/>
      <w:r w:rsidRPr="00B767F2">
        <w:rPr>
          <w:sz w:val="16"/>
        </w:rPr>
        <w:t xml:space="preserve"> decision.8 </w:t>
      </w:r>
      <w:proofErr w:type="gramStart"/>
      <w:r w:rsidRPr="00B767F2">
        <w:rPr>
          <w:sz w:val="16"/>
        </w:rPr>
        <w:t>Others</w:t>
      </w:r>
      <w:proofErr w:type="gramEnd"/>
      <w:r w:rsidRPr="00B767F2">
        <w:rPr>
          <w:sz w:val="16"/>
        </w:rPr>
        <w:t xml:space="preserve"> have railed against the doctrine of qualified immunity.9 Rather than eulogize </w:t>
      </w:r>
      <w:proofErr w:type="spellStart"/>
      <w:r w:rsidRPr="00B767F2">
        <w:rPr>
          <w:sz w:val="16"/>
        </w:rPr>
        <w:t>Bivens</w:t>
      </w:r>
      <w:proofErr w:type="spellEnd"/>
      <w:r w:rsidRPr="00B767F2">
        <w:rPr>
          <w:sz w:val="16"/>
        </w:rPr>
        <w:t xml:space="preserve"> or advocate for the elimination of qualified immunity, this Article continues by questioning the very premise undergirding the </w:t>
      </w:r>
      <w:proofErr w:type="spellStart"/>
      <w:r w:rsidRPr="00B767F2">
        <w:rPr>
          <w:sz w:val="16"/>
        </w:rPr>
        <w:t>Bivens</w:t>
      </w:r>
      <w:proofErr w:type="spellEnd"/>
      <w:r w:rsidRPr="00B767F2">
        <w:rPr>
          <w:sz w:val="16"/>
        </w:rPr>
        <w:t xml:space="preserve"> decision—namely, </w:t>
      </w:r>
      <w:r w:rsidRPr="00B767F2">
        <w:rPr>
          <w:rStyle w:val="StyleUnderline"/>
          <w:highlight w:val="yellow"/>
        </w:rPr>
        <w:t>constitutional torts require a separate</w:t>
      </w:r>
      <w:r w:rsidRPr="00B767F2">
        <w:rPr>
          <w:sz w:val="16"/>
        </w:rPr>
        <w:t xml:space="preserve"> and implied </w:t>
      </w:r>
      <w:r w:rsidRPr="00B767F2">
        <w:rPr>
          <w:rStyle w:val="StyleUnderline"/>
          <w:highlight w:val="yellow"/>
        </w:rPr>
        <w:t>remedy in the law enforcement realm</w:t>
      </w:r>
      <w:r w:rsidRPr="00B767F2">
        <w:rPr>
          <w:sz w:val="16"/>
        </w:rPr>
        <w:t xml:space="preserve">. By examining the relationship between Fourth Amendment excessive force jurisprudence and the common-law torts of assault, battery, and negligence, this Article highlights the limited nature of the </w:t>
      </w:r>
      <w:proofErr w:type="spellStart"/>
      <w:r w:rsidRPr="00B767F2">
        <w:rPr>
          <w:sz w:val="16"/>
        </w:rPr>
        <w:t>Bivens</w:t>
      </w:r>
      <w:proofErr w:type="spellEnd"/>
      <w:r w:rsidRPr="00B767F2">
        <w:rPr>
          <w:sz w:val="16"/>
        </w:rPr>
        <w:t xml:space="preserve"> remedy and argues that </w:t>
      </w:r>
      <w:r w:rsidRPr="00B767F2">
        <w:rPr>
          <w:rStyle w:val="StyleUnderline"/>
          <w:highlight w:val="yellow"/>
        </w:rPr>
        <w:t>bolstering the common-law tort regime provides a more fruitful avenue for reform</w:t>
      </w:r>
      <w:r w:rsidRPr="00B767F2">
        <w:rPr>
          <w:sz w:val="16"/>
        </w:rPr>
        <w:t>.</w:t>
      </w:r>
    </w:p>
    <w:p w:rsidR="00C115CF" w:rsidRDefault="00C115CF" w:rsidP="00C115CF"/>
    <w:p w:rsidR="00C115CF" w:rsidRDefault="00C115CF" w:rsidP="00A82BFF"/>
    <w:p w:rsidR="00A82BFF" w:rsidRDefault="00A82BFF" w:rsidP="00A82BFF">
      <w:pPr>
        <w:pStyle w:val="Heading4"/>
      </w:pPr>
      <w:r>
        <w:t>Changing tort liability is civil justice reform</w:t>
      </w:r>
    </w:p>
    <w:p w:rsidR="00A82BFF" w:rsidRDefault="00A82BFF" w:rsidP="00A82BFF">
      <w:proofErr w:type="spellStart"/>
      <w:r w:rsidRPr="00E808F2">
        <w:rPr>
          <w:rStyle w:val="Style13ptBold"/>
        </w:rPr>
        <w:t>Steifel</w:t>
      </w:r>
      <w:proofErr w:type="spellEnd"/>
      <w:r w:rsidRPr="00E808F2">
        <w:rPr>
          <w:rStyle w:val="Style13ptBold"/>
        </w:rPr>
        <w:t xml:space="preserve"> &amp; </w:t>
      </w:r>
      <w:proofErr w:type="spellStart"/>
      <w:r w:rsidRPr="00E808F2">
        <w:rPr>
          <w:rStyle w:val="Style13ptBold"/>
        </w:rPr>
        <w:t>Maxeiner</w:t>
      </w:r>
      <w:proofErr w:type="spellEnd"/>
      <w:r w:rsidRPr="00E808F2">
        <w:rPr>
          <w:rStyle w:val="Style13ptBold"/>
        </w:rPr>
        <w:t xml:space="preserve"> 94</w:t>
      </w:r>
      <w:r>
        <w:rPr>
          <w:rStyle w:val="Style13ptBold"/>
        </w:rPr>
        <w:t xml:space="preserve"> </w:t>
      </w:r>
      <w:r w:rsidRPr="00E808F2">
        <w:t xml:space="preserve">Ernst C. </w:t>
      </w:r>
      <w:proofErr w:type="spellStart"/>
      <w:r w:rsidRPr="00E808F2">
        <w:t>Stiefel</w:t>
      </w:r>
      <w:proofErr w:type="spellEnd"/>
      <w:r>
        <w:t xml:space="preserve"> </w:t>
      </w:r>
      <w:r w:rsidRPr="00E808F2">
        <w:t>New York Law School</w:t>
      </w:r>
      <w:r>
        <w:t xml:space="preserve"> </w:t>
      </w:r>
      <w:r w:rsidRPr="00E808F2">
        <w:t xml:space="preserve">James </w:t>
      </w:r>
      <w:proofErr w:type="spellStart"/>
      <w:r w:rsidRPr="00E808F2">
        <w:t>Maxeiner</w:t>
      </w:r>
      <w:proofErr w:type="spellEnd"/>
      <w:r>
        <w:t xml:space="preserve"> </w:t>
      </w:r>
      <w:r w:rsidRPr="00E808F2">
        <w:t>University of Baltimore School of Law</w:t>
      </w:r>
      <w:r>
        <w:t xml:space="preserve"> </w:t>
      </w:r>
      <w:r w:rsidRPr="00E808F2">
        <w:t>Winter 1994</w:t>
      </w:r>
      <w:r>
        <w:t xml:space="preserve"> </w:t>
      </w:r>
      <w:r w:rsidRPr="00E808F2">
        <w:t>Civil Justice Reform in the United States —</w:t>
      </w:r>
      <w:r>
        <w:t xml:space="preserve"> </w:t>
      </w:r>
      <w:r w:rsidRPr="00E808F2">
        <w:t>Opportunity for Learning from 'Civilized'</w:t>
      </w:r>
      <w:r>
        <w:t xml:space="preserve"> </w:t>
      </w:r>
      <w:r w:rsidRPr="00E808F2">
        <w:t>European Procedure Instead of Continued</w:t>
      </w:r>
      <w:r>
        <w:t xml:space="preserve"> </w:t>
      </w:r>
      <w:r w:rsidRPr="00E808F2">
        <w:t>Isolation? https://scholarworks.law.ubalt.edu/</w:t>
      </w:r>
      <w:r>
        <w:t>cgi/viewcontent.cgi?article=1760&amp;context=all_fac</w:t>
      </w:r>
    </w:p>
    <w:p w:rsidR="00A82BFF" w:rsidRPr="00E808F2" w:rsidRDefault="00A82BFF" w:rsidP="00A82BFF">
      <w:pPr>
        <w:rPr>
          <w:sz w:val="16"/>
        </w:rPr>
      </w:pPr>
      <w:r w:rsidRPr="00E808F2">
        <w:rPr>
          <w:rStyle w:val="StyleUnderline"/>
          <w:highlight w:val="yellow"/>
        </w:rPr>
        <w:t>Civil justice reform in the United States can refer to both reform of civil procedure and to reform of substantive tort law.</w:t>
      </w:r>
      <w:r w:rsidRPr="00E808F2">
        <w:rPr>
          <w:sz w:val="16"/>
        </w:rPr>
        <w:t xml:space="preserve"> In this article we refer only to reform of civil procedure; our discussion of Continental procedure is limited to German</w:t>
      </w:r>
    </w:p>
    <w:p w:rsidR="00A82BFF" w:rsidRDefault="00A82BFF" w:rsidP="00A82BFF"/>
    <w:p w:rsidR="00A82BFF" w:rsidRDefault="00A82BFF" w:rsidP="00A82BFF">
      <w:pPr>
        <w:pStyle w:val="Heading4"/>
      </w:pPr>
      <w:r>
        <w:t xml:space="preserve">Criminal justice and </w:t>
      </w:r>
      <w:proofErr w:type="gramStart"/>
      <w:r>
        <w:t>Civil</w:t>
      </w:r>
      <w:proofErr w:type="gramEnd"/>
      <w:r>
        <w:t xml:space="preserve"> justice are related but distinct systems</w:t>
      </w:r>
    </w:p>
    <w:p w:rsidR="00A82BFF" w:rsidRDefault="00A82BFF" w:rsidP="00A82BFF">
      <w:r w:rsidRPr="00341BB0">
        <w:rPr>
          <w:rStyle w:val="Style13ptBold"/>
        </w:rPr>
        <w:t>Owen et al 15</w:t>
      </w:r>
      <w:r>
        <w:t xml:space="preserve"> Stephen S. Owen is Professor of Criminal Justice at Radford University, where he also serves as Chair of the Criminal Justice Department. Henry F. </w:t>
      </w:r>
      <w:proofErr w:type="spellStart"/>
      <w:r>
        <w:t>Fradella</w:t>
      </w:r>
      <w:proofErr w:type="spellEnd"/>
      <w:r>
        <w:t xml:space="preserve"> is the Professor and Associate Director at Arizona State University School of Criminology and Criminal Justice. Tod W. Burke is Professor of Criminal Justice at Radford University and currently serves as the Associate Dean for the College of Humanities and Behavioral Sciences. Jerry W. Joplin is Professor of Justice and Policy Studies at Guilford College. Foundations of Criminal Justice</w:t>
      </w:r>
    </w:p>
    <w:p w:rsidR="00A82BFF" w:rsidRPr="00341BB0" w:rsidRDefault="00A82BFF" w:rsidP="00A82BFF">
      <w:pPr>
        <w:rPr>
          <w:sz w:val="16"/>
        </w:rPr>
      </w:pPr>
      <w:r w:rsidRPr="00341BB0">
        <w:rPr>
          <w:sz w:val="16"/>
        </w:rPr>
        <w:t xml:space="preserve">This chapter explores the differences between American civil and criminal justice systems and how the ideals of social justice impact each of these systems. </w:t>
      </w:r>
      <w:r w:rsidRPr="00B54CB0">
        <w:rPr>
          <w:rStyle w:val="StyleUnderline"/>
          <w:highlight w:val="yellow"/>
        </w:rPr>
        <w:t>Criminal justice refers to the government’s response to crime</w:t>
      </w:r>
      <w:r w:rsidRPr="00B54CB0">
        <w:rPr>
          <w:sz w:val="16"/>
          <w:highlight w:val="yellow"/>
        </w:rPr>
        <w:t>.</w:t>
      </w:r>
      <w:r w:rsidRPr="00341BB0">
        <w:rPr>
          <w:sz w:val="16"/>
        </w:rPr>
        <w:t xml:space="preserve"> </w:t>
      </w:r>
      <w:r w:rsidRPr="00B54CB0">
        <w:rPr>
          <w:rStyle w:val="StyleUnderline"/>
          <w:highlight w:val="yellow"/>
        </w:rPr>
        <w:t>Civil justice is the means for a person</w:t>
      </w:r>
      <w:r w:rsidRPr="00341BB0">
        <w:rPr>
          <w:sz w:val="16"/>
        </w:rPr>
        <w:t xml:space="preserve"> (an individual or a company) </w:t>
      </w:r>
      <w:r w:rsidRPr="00B54CB0">
        <w:rPr>
          <w:rStyle w:val="StyleUnderline"/>
          <w:highlight w:val="yellow"/>
        </w:rPr>
        <w:t>to be compensated for a wrong done to them.</w:t>
      </w:r>
      <w:r w:rsidRPr="00341BB0">
        <w:rPr>
          <w:sz w:val="16"/>
        </w:rPr>
        <w:t xml:space="preserve"> </w:t>
      </w:r>
      <w:r w:rsidRPr="00B54CB0">
        <w:rPr>
          <w:rStyle w:val="StyleUnderline"/>
          <w:highlight w:val="yellow"/>
        </w:rPr>
        <w:t>The civil justice process is related to, and has impact on, the criminal justice system</w:t>
      </w:r>
      <w:r w:rsidRPr="00341BB0">
        <w:rPr>
          <w:sz w:val="16"/>
        </w:rPr>
        <w:t xml:space="preserve">. Social justice is based on the ideals of </w:t>
      </w:r>
      <w:r w:rsidRPr="00B54CB0">
        <w:rPr>
          <w:rStyle w:val="StyleUnderline"/>
        </w:rPr>
        <w:t>fairness and equality</w:t>
      </w:r>
      <w:r w:rsidRPr="00B54CB0">
        <w:rPr>
          <w:sz w:val="16"/>
        </w:rPr>
        <w:t xml:space="preserve">, which </w:t>
      </w:r>
      <w:r w:rsidRPr="00B54CB0">
        <w:rPr>
          <w:rStyle w:val="StyleUnderline"/>
        </w:rPr>
        <w:t>should be present in both justice systems</w:t>
      </w:r>
      <w:r w:rsidRPr="00B54CB0">
        <w:rPr>
          <w:sz w:val="16"/>
        </w:rPr>
        <w:t>.</w:t>
      </w:r>
    </w:p>
    <w:p w:rsidR="00A82BFF" w:rsidRDefault="00A82BFF" w:rsidP="00A82BFF"/>
    <w:p w:rsidR="00A82BFF" w:rsidRDefault="00A82BFF" w:rsidP="00A82BFF"/>
    <w:p w:rsidR="00A82BFF" w:rsidRDefault="00A82BFF" w:rsidP="00A82BFF">
      <w:pPr>
        <w:pStyle w:val="Heading4"/>
      </w:pPr>
      <w:r>
        <w:t>Civil criminal justice or tort liability is not part of criminal justice</w:t>
      </w:r>
    </w:p>
    <w:p w:rsidR="00A82BFF" w:rsidRDefault="00A82BFF" w:rsidP="00A82BFF">
      <w:r w:rsidRPr="00F61878">
        <w:rPr>
          <w:rStyle w:val="Style13ptBold"/>
        </w:rPr>
        <w:t>Legal Match 20</w:t>
      </w:r>
      <w:proofErr w:type="gramStart"/>
      <w:r>
        <w:t>,  What</w:t>
      </w:r>
      <w:proofErr w:type="gramEnd"/>
      <w:r>
        <w:t xml:space="preserve"> are the Differences Between the Criminal and Civil Justice Systems? https://www.legalmatch.com/law-library/article/differences-between-the-criminal-and-civil-justice-systems.html</w:t>
      </w:r>
    </w:p>
    <w:p w:rsidR="00A82BFF" w:rsidRPr="00F61878" w:rsidRDefault="00A82BFF" w:rsidP="00A82BFF">
      <w:pPr>
        <w:rPr>
          <w:sz w:val="16"/>
        </w:rPr>
      </w:pPr>
      <w:r w:rsidRPr="00F61878">
        <w:rPr>
          <w:rStyle w:val="StyleUnderline"/>
          <w:highlight w:val="yellow"/>
        </w:rPr>
        <w:t>The American court system is divided between criminal and civil justice systems. In the criminal system, it is the government that brings a case against a defendant, and in civil court, citizens can bring lawsuits against one another. The laws</w:t>
      </w:r>
      <w:r w:rsidRPr="00F61878">
        <w:rPr>
          <w:sz w:val="16"/>
        </w:rPr>
        <w:t xml:space="preserve">, punishments, and the burdens of proof </w:t>
      </w:r>
      <w:r w:rsidRPr="00F61878">
        <w:rPr>
          <w:rStyle w:val="StyleUnderline"/>
          <w:highlight w:val="yellow"/>
        </w:rPr>
        <w:t>differ between both court systems</w:t>
      </w:r>
      <w:r w:rsidRPr="00F61878">
        <w:rPr>
          <w:sz w:val="16"/>
        </w:rPr>
        <w:t xml:space="preserve">. For instance, prison is a possibility in certain criminal cases, whereas </w:t>
      </w:r>
      <w:r w:rsidRPr="00F61878">
        <w:rPr>
          <w:rStyle w:val="StyleUnderline"/>
          <w:highlight w:val="yellow"/>
        </w:rPr>
        <w:t>civil cases do not punish the accused with incarceration</w:t>
      </w:r>
      <w:r w:rsidRPr="00F61878">
        <w:rPr>
          <w:sz w:val="16"/>
        </w:rPr>
        <w:t>.</w:t>
      </w:r>
    </w:p>
    <w:p w:rsidR="00A82BFF" w:rsidRDefault="00A82BFF" w:rsidP="00A82BFF"/>
    <w:p w:rsidR="009907A0" w:rsidRPr="009907A0" w:rsidRDefault="009907A0" w:rsidP="009907A0"/>
    <w:p w:rsidR="00A82BFF" w:rsidRDefault="00A82BFF" w:rsidP="00A82BFF">
      <w:pPr>
        <w:pStyle w:val="Heading2"/>
      </w:pPr>
      <w:r>
        <w:t>“In”</w:t>
      </w:r>
    </w:p>
    <w:p w:rsidR="005D07D1" w:rsidRDefault="005D07D1" w:rsidP="005D07D1">
      <w:pPr>
        <w:pStyle w:val="Heading4"/>
      </w:pPr>
      <w:r>
        <w:t>Deciding the meaning of prepositions like “in” is critical—</w:t>
      </w:r>
      <w:proofErr w:type="gramStart"/>
      <w:r>
        <w:t>It</w:t>
      </w:r>
      <w:proofErr w:type="gramEnd"/>
      <w:r>
        <w:t xml:space="preserve"> is how courts decide the meaning of laws</w:t>
      </w:r>
    </w:p>
    <w:p w:rsidR="005D07D1" w:rsidRDefault="005D07D1" w:rsidP="005D07D1">
      <w:r w:rsidRPr="00EC1E51">
        <w:rPr>
          <w:rStyle w:val="Style13ptBold"/>
        </w:rPr>
        <w:t>Stoll et al 20</w:t>
      </w:r>
      <w:r>
        <w:t xml:space="preserve">, Stoll Keenan and Ogden attorneys at </w:t>
      </w:r>
      <w:proofErr w:type="gramStart"/>
      <w:r>
        <w:t>law  IT</w:t>
      </w:r>
      <w:proofErr w:type="gramEnd"/>
      <w:r>
        <w:t xml:space="preserve"> DEPENDS ON WHAT THE MEANING OF “IN” IS, https://www.skofirm.com/publications/it-depends-on-what-the-meaning-of-the-word-in-is/</w:t>
      </w:r>
    </w:p>
    <w:p w:rsidR="005D07D1" w:rsidRPr="00EE5E96" w:rsidRDefault="005D07D1" w:rsidP="00EE5E96">
      <w:pPr>
        <w:rPr>
          <w:sz w:val="16"/>
        </w:rPr>
      </w:pPr>
      <w:r w:rsidRPr="00986608">
        <w:rPr>
          <w:sz w:val="16"/>
        </w:rPr>
        <w:t xml:space="preserve">Many of us can recall former President Bill Clinton’s famous line, “It depends on what the meaning of the word ‘is’ is.” Most were left scratching their heads, wondering how a single, seemingly insignificant word can change the outcome of an issue. It turns out that an analysis of </w:t>
      </w:r>
      <w:r w:rsidRPr="00986608">
        <w:rPr>
          <w:rStyle w:val="StyleUnderline"/>
          <w:highlight w:val="yellow"/>
        </w:rPr>
        <w:t>a statutory scheme can fall to the interpretation of a simple preposition</w:t>
      </w:r>
      <w:r w:rsidRPr="00986608">
        <w:rPr>
          <w:sz w:val="16"/>
        </w:rPr>
        <w:t xml:space="preserve">. </w:t>
      </w:r>
      <w:r w:rsidRPr="00986608">
        <w:rPr>
          <w:rStyle w:val="StyleUnderline"/>
          <w:highlight w:val="yellow"/>
        </w:rPr>
        <w:t>The Indiana Supreme Court recently had the pleasure of interpreting the word “in</w:t>
      </w:r>
      <w:r w:rsidRPr="00986608">
        <w:rPr>
          <w:sz w:val="16"/>
        </w:rPr>
        <w:t xml:space="preserve">” in West v. Office of Indiana </w:t>
      </w:r>
      <w:proofErr w:type="spellStart"/>
      <w:r w:rsidRPr="00986608">
        <w:rPr>
          <w:sz w:val="16"/>
        </w:rPr>
        <w:t>Sec’y</w:t>
      </w:r>
      <w:proofErr w:type="spellEnd"/>
      <w:r w:rsidRPr="00986608">
        <w:rPr>
          <w:sz w:val="16"/>
        </w:rPr>
        <w:t xml:space="preserve"> of State, No. 49S02-1511-PL-668, 2016 WL 3090189 (Ind. June 2, 2016). And </w:t>
      </w:r>
      <w:r w:rsidRPr="00986608">
        <w:rPr>
          <w:rStyle w:val="StyleUnderline"/>
          <w:highlight w:val="yellow"/>
        </w:rPr>
        <w:t>that interpretation certainly altered the outcome of the case, even leading to a reversal of the lower Appellate Court</w:t>
      </w:r>
      <w:r w:rsidRPr="00986608">
        <w:rPr>
          <w:sz w:val="16"/>
        </w:rPr>
        <w:t xml:space="preserve">. The dispute arose when a dealership located in Anderson wanted to relocate into (or “in” if you’re Justice Massa) Hamilton County. Three dealerships located from about seven to 24 miles from the proposed relocation boundary challenged the relocation with the Indiana Secretary of State Auto Dealer Services Division. The problem: only existing dealerships that are located within the “relevant market area” have standing to challenge the proposed relocation. In other words, dealerships must be sufficiently close (within either six or 10 miles) to the boundary line of the proposed relocation before they can raise a challenge. How close is close enough? We have a statute for that. “Relevant market area” means “a new motor vehicle dealer who plans to relocate the dealer’s place of business in a county having a population of more than 100,000, the area within a radius of six miles of the intended site of the relocated dealer.” Now, with respect to a “(A) proposed new motor vehicle dealer; or (B) new motor vehicle dealer who plans to relocate the dealer’s place of business in a county having a population of not more than 100,000; the area within a radius of 10 miles of the intended site of the proposed or relocated dealer.” Put simply, if an established dealer plan to move its dealership in a county with more than 100,000 people, only those existing dealerships within six miles can challenge the plan. If the county has fewer than 100,000 people, only those within 10 miles can challenge the plan. And if an entirely new dealership will be established, rather than just relocated, the 10 mile rule applies, regardless of county population. Here’s where things get interesting. The dealerships challenging the proposed move argued that the word “in” means “within” a county. The relocating dealership argued that the word “in” means “into” a county. Under the former definition, if a dealership relocates “within” a county of less than 100,000 people, other dealers within 10 miles can object. If relocating “within” a county with more than 100,000, dealers within six miles can object. Under this definition, the relevant market area contemplates the size of the county where the relocating dealership is currently located. If we change the word “within” to “into,” then we contemplate the size of the county that the dealership is moving into, rather than where the dealership is currently located. Here’s the rub. If the word “in” means “within,” then we have no rule that governs dealerships who cross the county line as a result of relocation. So, the only option is to conclude that the rule that applies to a “proposed new motor vehicle dealer” is not limited to newly established dealerships, but is instead broad enough to capture those dealers who cross the county line, i.e., those moving out of their current county. That’s precisely what the challenging dealers argued. And although the challenging dealers were able to cite statutory support for this position, the Justices didn’t buy it. In the end, </w:t>
      </w:r>
      <w:r w:rsidRPr="00986608">
        <w:rPr>
          <w:rStyle w:val="StyleUnderline"/>
          <w:highlight w:val="yellow"/>
        </w:rPr>
        <w:t>the Supreme Court decided that the word “in” doesn’t necessarily mean “within” or “into,” but means exactly what it means, which is “in.”</w:t>
      </w:r>
      <w:r w:rsidRPr="00986608">
        <w:rPr>
          <w:sz w:val="16"/>
        </w:rPr>
        <w:t xml:space="preserve"> So when a dealer moves “in” a county, it doesn’t matter whether the dealer crosses the county line or not. </w:t>
      </w:r>
      <w:r w:rsidRPr="00986608">
        <w:rPr>
          <w:rStyle w:val="StyleUnderline"/>
          <w:highlight w:val="yellow"/>
        </w:rPr>
        <w:t>The end location is what matters.</w:t>
      </w:r>
      <w:r w:rsidRPr="00986608">
        <w:rPr>
          <w:sz w:val="16"/>
        </w:rPr>
        <w:t xml:space="preserve"> And now we know. </w:t>
      </w:r>
    </w:p>
    <w:p w:rsidR="005D07D1" w:rsidRDefault="005D07D1" w:rsidP="005D07D1"/>
    <w:p w:rsidR="005D07D1" w:rsidRDefault="005D07D1" w:rsidP="005D07D1">
      <w:pPr>
        <w:pStyle w:val="Heading4"/>
      </w:pPr>
      <w:r>
        <w:t>In means located inside</w:t>
      </w:r>
    </w:p>
    <w:p w:rsidR="005D07D1" w:rsidRPr="00986608" w:rsidRDefault="005D07D1" w:rsidP="005D07D1">
      <w:r w:rsidRPr="00986608">
        <w:rPr>
          <w:rStyle w:val="Style13ptBold"/>
        </w:rPr>
        <w:t>U.S. District Court</w:t>
      </w:r>
      <w:r>
        <w:t xml:space="preserve"> of Northern California</w:t>
      </w:r>
      <w:r w:rsidRPr="00986608">
        <w:rPr>
          <w:rStyle w:val="Style13ptBold"/>
        </w:rPr>
        <w:t xml:space="preserve"> 13</w:t>
      </w:r>
      <w:r>
        <w:t xml:space="preserve"> TETSUYA JOE NOMURA, Plaintiff, v. YOUTUBE, LLC, Defendant. TETSUYA JOE… </w:t>
      </w:r>
      <w:proofErr w:type="spellStart"/>
      <w:r>
        <w:t>Court</w:t>
      </w:r>
      <w:proofErr w:type="gramStart"/>
      <w:r>
        <w:t>:UNITED</w:t>
      </w:r>
      <w:proofErr w:type="spellEnd"/>
      <w:proofErr w:type="gramEnd"/>
      <w:r>
        <w:t xml:space="preserve"> STATES DISTRICT COURT FOR THE NORTHERN DISTRICT OF CALIFORNIA SAN JOSE DIVISION Feb 8, 2013, https://casetext.com/case/nomura-v-youtube-4</w:t>
      </w:r>
    </w:p>
    <w:p w:rsidR="005D07D1" w:rsidRPr="00986608" w:rsidRDefault="005D07D1" w:rsidP="005D07D1">
      <w:pPr>
        <w:rPr>
          <w:sz w:val="16"/>
        </w:rPr>
      </w:pPr>
      <w:r w:rsidRPr="00986608">
        <w:rPr>
          <w:sz w:val="16"/>
        </w:rPr>
        <w:t xml:space="preserve">Nomura argues that the term "error" requires no construction because it has a commonly understood plain and ordinary meaning. Nomura also asserts that the addition of the word "within" imports redundant words into the term that would not make sense in the context of the claim as a whole. Defendants do not counter that the term "error" is not commonly understood; rather, they simply argue that the court should adopt an extrinsic definition because the term "error" is not expressly defined in the specification. Defendants also counter that errors detected must be within the video data files because </w:t>
      </w:r>
      <w:r w:rsidRPr="00986608">
        <w:rPr>
          <w:rStyle w:val="StyleUnderline"/>
          <w:highlight w:val="yellow"/>
        </w:rPr>
        <w:t>the word "in" means "located inside or within</w:t>
      </w:r>
      <w:r w:rsidRPr="00986608">
        <w:rPr>
          <w:sz w:val="16"/>
        </w:rPr>
        <w:t>." Response Br. 15 (citing Webster's New Collegiate Dictionary (1981) 573, Ex. 7).</w:t>
      </w:r>
    </w:p>
    <w:p w:rsidR="005D07D1" w:rsidRDefault="005D07D1" w:rsidP="005D07D1"/>
    <w:p w:rsidR="005D07D1" w:rsidRDefault="005D07D1" w:rsidP="005D07D1"/>
    <w:p w:rsidR="005D07D1" w:rsidRDefault="005D07D1" w:rsidP="005D07D1">
      <w:pPr>
        <w:pStyle w:val="Heading4"/>
      </w:pPr>
      <w:r>
        <w:t>“In” means located inside of something</w:t>
      </w:r>
    </w:p>
    <w:p w:rsidR="005D07D1" w:rsidRDefault="005D07D1" w:rsidP="005D07D1">
      <w:r w:rsidRPr="00B22CB8">
        <w:rPr>
          <w:rStyle w:val="Style13ptBold"/>
        </w:rPr>
        <w:t>Harman 7</w:t>
      </w:r>
      <w:r>
        <w:t xml:space="preserve"> Graham Harman is Distinguished Professor of Philosophy at the Southern California Institute of Architecture in Los Angeles, Heidegger Explained </w:t>
      </w:r>
      <w:proofErr w:type="gramStart"/>
      <w:r>
        <w:t>From</w:t>
      </w:r>
      <w:proofErr w:type="gramEnd"/>
      <w:r>
        <w:t xml:space="preserve"> Phenomenon to Thing, p. 61</w:t>
      </w:r>
    </w:p>
    <w:p w:rsidR="005D07D1" w:rsidRPr="00B22CB8" w:rsidRDefault="005D07D1" w:rsidP="005D07D1">
      <w:pPr>
        <w:rPr>
          <w:sz w:val="16"/>
        </w:rPr>
      </w:pPr>
      <w:r w:rsidRPr="00B22CB8">
        <w:rPr>
          <w:sz w:val="16"/>
        </w:rPr>
        <w:t xml:space="preserve">Human beings are not just ghosts floating through the world and gazing upon objects. </w:t>
      </w:r>
      <w:proofErr w:type="spellStart"/>
      <w:r w:rsidRPr="00B22CB8">
        <w:rPr>
          <w:sz w:val="16"/>
        </w:rPr>
        <w:t>Dasein</w:t>
      </w:r>
      <w:proofErr w:type="spellEnd"/>
      <w:r w:rsidRPr="00B22CB8">
        <w:rPr>
          <w:sz w:val="16"/>
        </w:rPr>
        <w:t xml:space="preserve"> is always being-in-the-world, and inseparable from the world. Even though </w:t>
      </w:r>
      <w:proofErr w:type="spellStart"/>
      <w:r w:rsidRPr="00B22CB8">
        <w:rPr>
          <w:sz w:val="16"/>
        </w:rPr>
        <w:t>Dasein</w:t>
      </w:r>
      <w:proofErr w:type="spellEnd"/>
      <w:r w:rsidRPr="00B22CB8">
        <w:rPr>
          <w:sz w:val="16"/>
        </w:rPr>
        <w:t xml:space="preserve"> and world must be different in some sense, being-in-the-world is a unified structure. It is important here to specify what </w:t>
      </w:r>
      <w:r w:rsidRPr="00B22CB8">
        <w:rPr>
          <w:rStyle w:val="StyleUnderline"/>
          <w:highlight w:val="yellow"/>
        </w:rPr>
        <w:t>the word “in</w:t>
      </w:r>
      <w:r w:rsidRPr="00B22CB8">
        <w:rPr>
          <w:sz w:val="16"/>
        </w:rPr>
        <w:t xml:space="preserve">” means. Usually “in” </w:t>
      </w:r>
      <w:r w:rsidRPr="00B22CB8">
        <w:rPr>
          <w:rStyle w:val="StyleUnderline"/>
          <w:highlight w:val="yellow"/>
        </w:rPr>
        <w:t>refers to something spatially present inside of another</w:t>
      </w:r>
      <w:r>
        <w:rPr>
          <w:rStyle w:val="StyleUnderline"/>
          <w:highlight w:val="yellow"/>
        </w:rPr>
        <w:t xml:space="preserve"> </w:t>
      </w:r>
      <w:r w:rsidRPr="00B22CB8">
        <w:rPr>
          <w:rStyle w:val="StyleUnderline"/>
          <w:highlight w:val="yellow"/>
        </w:rPr>
        <w:t>thing. Water is in a glass, New Orleans is in the state of Louisiana,</w:t>
      </w:r>
      <w:r>
        <w:rPr>
          <w:rStyle w:val="StyleUnderline"/>
          <w:highlight w:val="yellow"/>
        </w:rPr>
        <w:t xml:space="preserve"> </w:t>
      </w:r>
      <w:r w:rsidRPr="00B22CB8">
        <w:rPr>
          <w:rStyle w:val="StyleUnderline"/>
          <w:highlight w:val="yellow"/>
        </w:rPr>
        <w:t>a soul is somehow in a body.</w:t>
      </w:r>
      <w:r w:rsidRPr="00B22CB8">
        <w:rPr>
          <w:sz w:val="16"/>
        </w:rPr>
        <w:t xml:space="preserve"> This is not what being-in-the-world means. Instead, being-in means that </w:t>
      </w:r>
      <w:proofErr w:type="spellStart"/>
      <w:r w:rsidRPr="00B22CB8">
        <w:rPr>
          <w:sz w:val="16"/>
        </w:rPr>
        <w:t>Dasein</w:t>
      </w:r>
      <w:proofErr w:type="spellEnd"/>
      <w:r w:rsidRPr="00B22CB8">
        <w:rPr>
          <w:sz w:val="16"/>
        </w:rPr>
        <w:t xml:space="preserve"> is immersed in the world, involved with it, permanently intertwined and occupied with it even when it feels alienated or lonely. For this very reason, Heidegger says that only </w:t>
      </w:r>
      <w:proofErr w:type="spellStart"/>
      <w:r w:rsidRPr="00B22CB8">
        <w:rPr>
          <w:sz w:val="16"/>
        </w:rPr>
        <w:t>Dasein</w:t>
      </w:r>
      <w:proofErr w:type="spellEnd"/>
      <w:r w:rsidRPr="00B22CB8">
        <w:rPr>
          <w:sz w:val="16"/>
        </w:rPr>
        <w:t xml:space="preserve"> can touch other entities, since only </w:t>
      </w:r>
      <w:proofErr w:type="spellStart"/>
      <w:r w:rsidRPr="00B22CB8">
        <w:rPr>
          <w:sz w:val="16"/>
        </w:rPr>
        <w:t>Dasein</w:t>
      </w:r>
      <w:proofErr w:type="spellEnd"/>
      <w:r w:rsidRPr="00B22CB8">
        <w:rPr>
          <w:sz w:val="16"/>
        </w:rPr>
        <w:t xml:space="preserve"> has access to them or is truly aware of them. A chair can never touch a wall, because these objects have no way of encountering one another, even if their physical bodies are in direct contact.</w:t>
      </w:r>
    </w:p>
    <w:p w:rsidR="005D07D1" w:rsidRDefault="005D07D1" w:rsidP="005D07D1"/>
    <w:p w:rsidR="005D07D1" w:rsidRDefault="005D07D1" w:rsidP="005D07D1">
      <w:pPr>
        <w:pStyle w:val="Heading3"/>
      </w:pPr>
      <w:proofErr w:type="spellStart"/>
      <w:r>
        <w:t>Xtra</w:t>
      </w:r>
      <w:proofErr w:type="spellEnd"/>
      <w:r>
        <w:t xml:space="preserve"> T</w:t>
      </w:r>
    </w:p>
    <w:p w:rsidR="005D07D1" w:rsidRDefault="005D07D1" w:rsidP="005D07D1">
      <w:pPr>
        <w:pStyle w:val="Heading4"/>
      </w:pPr>
      <w:r>
        <w:t>“In” means “in and only in”</w:t>
      </w:r>
    </w:p>
    <w:p w:rsidR="005D07D1" w:rsidRDefault="005D07D1" w:rsidP="005D07D1">
      <w:r w:rsidRPr="005B490C">
        <w:rPr>
          <w:rStyle w:val="Style13ptBold"/>
        </w:rPr>
        <w:t>U.S. District Court</w:t>
      </w:r>
      <w:r>
        <w:t xml:space="preserve"> For the Eastern District </w:t>
      </w:r>
      <w:r w:rsidRPr="005B490C">
        <w:rPr>
          <w:rStyle w:val="Style13ptBold"/>
        </w:rPr>
        <w:t>3</w:t>
      </w:r>
      <w:r>
        <w:t xml:space="preserve"> IN THE UNITED STATES DISTRICT COURT FOR THE EASTERN DISTRICT OF PENNSYLVANIA ASTRAZENECA AB, et al. : CIVIL ACTION : v. : : MUTUAL PHARMACEUTICAL CO., INC. : 00-4731, https://www.paed.uscourts.gov/documents/opinions/03D0106P.pdf</w:t>
      </w:r>
    </w:p>
    <w:p w:rsidR="005D07D1" w:rsidRPr="005B490C" w:rsidRDefault="005D07D1" w:rsidP="005D07D1">
      <w:pPr>
        <w:rPr>
          <w:sz w:val="16"/>
        </w:rPr>
      </w:pPr>
      <w:r w:rsidRPr="005B490C">
        <w:rPr>
          <w:sz w:val="16"/>
        </w:rPr>
        <w:t xml:space="preserve">Now, following Judge Reed’s claim construction, in response to Plaintiff’s motion for summary judgment, Defendant raises a new issue of claim interpretation, concerning the following phrase within claim 1 of the patent: “a solution or dispersion of an effective amount of the active compound in a semi-solid or liquid nonionic </w:t>
      </w:r>
      <w:proofErr w:type="spellStart"/>
      <w:r w:rsidRPr="005B490C">
        <w:rPr>
          <w:sz w:val="16"/>
        </w:rPr>
        <w:t>solubilizer</w:t>
      </w:r>
      <w:proofErr w:type="spellEnd"/>
      <w:r w:rsidRPr="005B490C">
        <w:rPr>
          <w:sz w:val="16"/>
        </w:rPr>
        <w:t xml:space="preserve">.” Defendant’s new position is that </w:t>
      </w:r>
      <w:r w:rsidRPr="005B490C">
        <w:rPr>
          <w:rStyle w:val="StyleUnderline"/>
          <w:highlight w:val="yellow"/>
        </w:rPr>
        <w:t>the word “in” should be construed to mean “in and only in</w:t>
      </w:r>
      <w:r w:rsidRPr="005B490C">
        <w:rPr>
          <w:rStyle w:val="StyleUnderline"/>
        </w:rPr>
        <w:t>.”</w:t>
      </w:r>
      <w:r w:rsidRPr="005B490C">
        <w:rPr>
          <w:sz w:val="16"/>
        </w:rPr>
        <w:t xml:space="preserve"> Defendant’s Memorandum in Opposition to Plaintiff’s Motion for Summary Judgment (“Def. Brief”) at 6. Defendant contends that, under the proper interpretation of “in,” the patent is limited to a solution in which an effective amount of the active compound is dissolved in and only in the </w:t>
      </w:r>
      <w:proofErr w:type="spellStart"/>
      <w:r w:rsidRPr="005B490C">
        <w:rPr>
          <w:sz w:val="16"/>
        </w:rPr>
        <w:t>solubilizer</w:t>
      </w:r>
      <w:proofErr w:type="spellEnd"/>
      <w:r w:rsidRPr="005B490C">
        <w:rPr>
          <w:sz w:val="16"/>
        </w:rPr>
        <w:t xml:space="preserve">, and in 4 Plaintiff asserts that it is too late for Defendant to raise new arguments concerning claim construction. However, because a complete and proper understanding of the patent claims is necessary in order for this Court to determine whether Defendant has infringed those claims, this Court will consider Defendant’s new arguments. </w:t>
      </w:r>
      <w:proofErr w:type="gramStart"/>
      <w:r w:rsidRPr="005B490C">
        <w:rPr>
          <w:sz w:val="16"/>
        </w:rPr>
        <w:t>nothing</w:t>
      </w:r>
      <w:proofErr w:type="gramEnd"/>
      <w:r w:rsidRPr="005B490C">
        <w:rPr>
          <w:sz w:val="16"/>
        </w:rPr>
        <w:t xml:space="preserve"> else.4</w:t>
      </w:r>
    </w:p>
    <w:p w:rsidR="005D07D1" w:rsidRDefault="005D07D1" w:rsidP="005D07D1"/>
    <w:p w:rsidR="005D07D1" w:rsidRDefault="005D07D1" w:rsidP="005D07D1">
      <w:pPr>
        <w:pStyle w:val="Heading4"/>
      </w:pPr>
      <w:r>
        <w:t xml:space="preserve">In is a term of limitation which means they can’t include </w:t>
      </w:r>
      <w:proofErr w:type="spellStart"/>
      <w:r>
        <w:t>extratopical</w:t>
      </w:r>
      <w:proofErr w:type="spellEnd"/>
      <w:r>
        <w:t xml:space="preserve"> action outside of the specified area</w:t>
      </w:r>
    </w:p>
    <w:p w:rsidR="005D07D1" w:rsidRDefault="005D07D1" w:rsidP="005D07D1">
      <w:proofErr w:type="spellStart"/>
      <w:r w:rsidRPr="00B22CB8">
        <w:rPr>
          <w:rStyle w:val="Style13ptBold"/>
        </w:rPr>
        <w:t>Nehme</w:t>
      </w:r>
      <w:proofErr w:type="spellEnd"/>
      <w:r w:rsidRPr="00B22CB8">
        <w:rPr>
          <w:rStyle w:val="Style13ptBold"/>
        </w:rPr>
        <w:t xml:space="preserve"> &amp; Adams 12</w:t>
      </w:r>
      <w:r>
        <w:t xml:space="preserve"> Marina </w:t>
      </w:r>
      <w:proofErr w:type="spellStart"/>
      <w:r>
        <w:t>Nehme</w:t>
      </w:r>
      <w:proofErr w:type="spellEnd"/>
      <w:r>
        <w:t xml:space="preserve"> University of Western Sydney Michael Adams University of Western </w:t>
      </w:r>
      <w:proofErr w:type="gramStart"/>
      <w:r>
        <w:t>Sydney ,</w:t>
      </w:r>
      <w:proofErr w:type="gramEnd"/>
      <w:r>
        <w:t xml:space="preserve"> 10-18-2012 Section 18 of the Australian Consumer Law and Environmental Issues, http://www.austlii.edu.au/au/journals/BondLawRw/2012/2.pdf</w:t>
      </w:r>
    </w:p>
    <w:p w:rsidR="005D07D1" w:rsidRPr="009B42E9" w:rsidRDefault="005D07D1" w:rsidP="005D07D1">
      <w:pPr>
        <w:rPr>
          <w:sz w:val="16"/>
        </w:rPr>
      </w:pPr>
      <w:r w:rsidRPr="009B42E9">
        <w:rPr>
          <w:sz w:val="16"/>
        </w:rPr>
        <w:t xml:space="preserve">Legal actions under s 18 ACL require a person to have ‘engage[d] in conduct’, which can include remaining silent, 98 as well as doing or refusing to do an act. 99 Consequently, one of the many areas to fall under s 52 TPA—and now under s 18 ACL—is the area of advertising, 100 including environmental marketing. 101 </w:t>
      </w:r>
      <w:r w:rsidRPr="009B42E9">
        <w:rPr>
          <w:rStyle w:val="StyleUnderline"/>
          <w:highlight w:val="yellow"/>
        </w:rPr>
        <w:t>The</w:t>
      </w:r>
      <w:r>
        <w:rPr>
          <w:rStyle w:val="StyleUnderline"/>
          <w:highlight w:val="yellow"/>
        </w:rPr>
        <w:t xml:space="preserve"> </w:t>
      </w:r>
      <w:r w:rsidRPr="009B42E9">
        <w:rPr>
          <w:rStyle w:val="StyleUnderline"/>
          <w:highlight w:val="yellow"/>
        </w:rPr>
        <w:t>limitation that exists is that the conduct has to take place ‘in trade or commerce’</w:t>
      </w:r>
      <w:r w:rsidRPr="009B42E9">
        <w:rPr>
          <w:sz w:val="16"/>
        </w:rPr>
        <w:t xml:space="preserve">. ‘In trade or commerce’ covers trade or commerce ‘within Australia and places outside Australia’. 102 As a result, </w:t>
      </w:r>
      <w:r w:rsidRPr="009B42E9">
        <w:rPr>
          <w:rStyle w:val="StyleUnderline"/>
          <w:highlight w:val="yellow"/>
        </w:rPr>
        <w:t>the word ‘in’ means ‘within’ and does not include ‘in</w:t>
      </w:r>
      <w:r>
        <w:rPr>
          <w:rStyle w:val="StyleUnderline"/>
        </w:rPr>
        <w:t xml:space="preserve"> </w:t>
      </w:r>
      <w:r w:rsidRPr="009B42E9">
        <w:rPr>
          <w:rStyle w:val="StyleUnderline"/>
          <w:highlight w:val="yellow"/>
        </w:rPr>
        <w:t>connection with’ or ‘in relation to’. This distinction is very important, as it limits the</w:t>
      </w:r>
      <w:r>
        <w:rPr>
          <w:rStyle w:val="StyleUnderline"/>
          <w:highlight w:val="yellow"/>
        </w:rPr>
        <w:t xml:space="preserve"> </w:t>
      </w:r>
      <w:r w:rsidRPr="009B42E9">
        <w:rPr>
          <w:rStyle w:val="StyleUnderline"/>
          <w:highlight w:val="yellow"/>
        </w:rPr>
        <w:t>application</w:t>
      </w:r>
      <w:r w:rsidRPr="009B42E9">
        <w:rPr>
          <w:sz w:val="16"/>
        </w:rPr>
        <w:t xml:space="preserve"> of s 18 ACL to a certain extent. </w:t>
      </w:r>
      <w:r w:rsidRPr="009B42E9">
        <w:rPr>
          <w:rStyle w:val="StyleUnderline"/>
          <w:highlight w:val="yellow"/>
        </w:rPr>
        <w:t>As such, the conduct under this section</w:t>
      </w:r>
      <w:r>
        <w:rPr>
          <w:rStyle w:val="StyleUnderline"/>
          <w:highlight w:val="yellow"/>
        </w:rPr>
        <w:t xml:space="preserve"> </w:t>
      </w:r>
      <w:r w:rsidRPr="009B42E9">
        <w:rPr>
          <w:rStyle w:val="StyleUnderline"/>
          <w:highlight w:val="yellow"/>
        </w:rPr>
        <w:t>only refers ‘to the “central conception” of trade or commerce and not to the immense</w:t>
      </w:r>
      <w:r>
        <w:rPr>
          <w:rStyle w:val="StyleUnderline"/>
          <w:highlight w:val="yellow"/>
        </w:rPr>
        <w:t xml:space="preserve"> </w:t>
      </w:r>
      <w:r w:rsidRPr="009B42E9">
        <w:rPr>
          <w:rStyle w:val="StyleUnderline"/>
          <w:highlight w:val="yellow"/>
        </w:rPr>
        <w:t>field of activities in which corporations may engage in the course of</w:t>
      </w:r>
      <w:r w:rsidRPr="009B42E9">
        <w:rPr>
          <w:sz w:val="16"/>
        </w:rPr>
        <w:t xml:space="preserve">, or for the purpose of, carrying on some overall </w:t>
      </w:r>
      <w:r w:rsidRPr="009B42E9">
        <w:rPr>
          <w:rStyle w:val="StyleUnderline"/>
          <w:highlight w:val="yellow"/>
        </w:rPr>
        <w:t>trading or commercial business’</w:t>
      </w:r>
      <w:r w:rsidRPr="009B42E9">
        <w:rPr>
          <w:sz w:val="16"/>
        </w:rPr>
        <w:t>.103</w:t>
      </w:r>
    </w:p>
    <w:p w:rsidR="005D07D1" w:rsidRDefault="005D07D1" w:rsidP="005D07D1"/>
    <w:p w:rsidR="005D07D1" w:rsidRDefault="005D07D1" w:rsidP="005D07D1"/>
    <w:p w:rsidR="005D07D1" w:rsidRDefault="005D07D1" w:rsidP="005D07D1">
      <w:pPr>
        <w:pStyle w:val="Heading4"/>
      </w:pPr>
      <w:r>
        <w:t>In means entirely within—</w:t>
      </w:r>
      <w:proofErr w:type="gramStart"/>
      <w:r>
        <w:t>It</w:t>
      </w:r>
      <w:proofErr w:type="gramEnd"/>
      <w:r>
        <w:t xml:space="preserve"> can’t include actions out of the area</w:t>
      </w:r>
    </w:p>
    <w:p w:rsidR="005D07D1" w:rsidRDefault="005D07D1" w:rsidP="005D07D1">
      <w:proofErr w:type="spellStart"/>
      <w:r w:rsidRPr="0098058F">
        <w:rPr>
          <w:rStyle w:val="Style13ptBold"/>
        </w:rPr>
        <w:t>Naess</w:t>
      </w:r>
      <w:proofErr w:type="spellEnd"/>
      <w:r w:rsidRPr="0098058F">
        <w:rPr>
          <w:rStyle w:val="Style13ptBold"/>
        </w:rPr>
        <w:t xml:space="preserve"> 1</w:t>
      </w:r>
      <w:r>
        <w:t xml:space="preserve"> Arne </w:t>
      </w:r>
      <w:proofErr w:type="spellStart"/>
      <w:r>
        <w:t>Naess</w:t>
      </w:r>
      <w:proofErr w:type="spellEnd"/>
      <w:r>
        <w:t xml:space="preserve"> Norwegian philosopher and environmentalist “Here I Stand”: An Interview </w:t>
      </w:r>
      <w:proofErr w:type="gramStart"/>
      <w:r>
        <w:t>With</w:t>
      </w:r>
      <w:proofErr w:type="gramEnd"/>
      <w:r>
        <w:t xml:space="preserve"> Arne </w:t>
      </w:r>
      <w:proofErr w:type="spellStart"/>
      <w:r>
        <w:t>Naess</w:t>
      </w:r>
      <w:proofErr w:type="spellEnd"/>
      <w:r>
        <w:t xml:space="preserve"> Conducted by Christian </w:t>
      </w:r>
      <w:proofErr w:type="spellStart"/>
      <w:r>
        <w:t>Diehm</w:t>
      </w:r>
      <w:proofErr w:type="spellEnd"/>
      <w:r>
        <w:t xml:space="preserve"> 15-16 December 2001, https://www-jstor-org.www2.lib.ku.edu/stable/pdf/26167897.pdf?ab_segments=0%2Fbasic_search%2Fcontrol&amp;refreqid=search%3Ae871ce51cb6c3534bbd8fee22bfd7740</w:t>
      </w:r>
    </w:p>
    <w:p w:rsidR="005D07D1" w:rsidRPr="0098058F" w:rsidRDefault="005D07D1" w:rsidP="005D07D1">
      <w:pPr>
        <w:rPr>
          <w:sz w:val="16"/>
        </w:rPr>
      </w:pPr>
      <w:r w:rsidRPr="0098058F">
        <w:rPr>
          <w:sz w:val="16"/>
        </w:rPr>
        <w:t>AN: This is getting underneath the relation between the human being and the world; it’s underneath the polarity between the human and the world. In the expression “</w:t>
      </w:r>
      <w:proofErr w:type="spellStart"/>
      <w:r w:rsidRPr="0098058F">
        <w:rPr>
          <w:sz w:val="16"/>
        </w:rPr>
        <w:t>beingin</w:t>
      </w:r>
      <w:proofErr w:type="spellEnd"/>
      <w:r w:rsidRPr="0098058F">
        <w:rPr>
          <w:sz w:val="16"/>
        </w:rPr>
        <w:t xml:space="preserve"> the-world” </w:t>
      </w:r>
      <w:r w:rsidRPr="0098058F">
        <w:rPr>
          <w:rStyle w:val="StyleUnderline"/>
          <w:highlight w:val="yellow"/>
        </w:rPr>
        <w:t>the term “in” means you are completely in</w:t>
      </w:r>
      <w:r w:rsidRPr="0098058F">
        <w:rPr>
          <w:sz w:val="16"/>
        </w:rPr>
        <w:t xml:space="preserve">. There is a state-of-affairs— </w:t>
      </w:r>
      <w:proofErr w:type="spellStart"/>
      <w:r w:rsidRPr="0098058F">
        <w:rPr>
          <w:sz w:val="16"/>
        </w:rPr>
        <w:t>Sachverfassung</w:t>
      </w:r>
      <w:proofErr w:type="spellEnd"/>
      <w:r w:rsidRPr="0098058F">
        <w:rPr>
          <w:sz w:val="16"/>
        </w:rPr>
        <w:t>—that we tend to describe with certain concepts, like the concepts of “human being” and “doing something.” It should be possible, however, to describe the state-of-affairs such that when you read it you understand that there is a human being doing something, but the description itself should be neutral with regard to the distinction between the human being and the world.</w:t>
      </w:r>
    </w:p>
    <w:p w:rsidR="005D07D1" w:rsidRDefault="005D07D1" w:rsidP="005D07D1"/>
    <w:p w:rsidR="005D07D1" w:rsidRDefault="005D07D1" w:rsidP="005D07D1">
      <w:pPr>
        <w:pStyle w:val="Heading4"/>
      </w:pPr>
      <w:r>
        <w:t xml:space="preserve">In means throughout </w:t>
      </w:r>
    </w:p>
    <w:p w:rsidR="005D07D1" w:rsidRDefault="005D07D1" w:rsidP="005D07D1">
      <w:r w:rsidRPr="0098058F">
        <w:rPr>
          <w:rStyle w:val="Style13ptBold"/>
        </w:rPr>
        <w:t>Words and Phrases 2008</w:t>
      </w:r>
      <w:r>
        <w:t xml:space="preserve"> Judicial and Statutory Definitions of Words and Phrases, Volume 4</w:t>
      </w:r>
      <w:proofErr w:type="gramStart"/>
      <w:r>
        <w:t>,  Google</w:t>
      </w:r>
      <w:proofErr w:type="gramEnd"/>
      <w:r>
        <w:t xml:space="preserve"> Books</w:t>
      </w:r>
    </w:p>
    <w:p w:rsidR="005D07D1" w:rsidRPr="0098058F" w:rsidRDefault="005D07D1" w:rsidP="005D07D1">
      <w:r>
        <w:t xml:space="preserve">In the Act of 1861 providing that justices of the peace shall have jurisdiction “in” their respective counties to hear and determine all complaints, </w:t>
      </w:r>
      <w:r w:rsidRPr="0098058F">
        <w:rPr>
          <w:rStyle w:val="StyleUnderline"/>
          <w:highlight w:val="yellow"/>
        </w:rPr>
        <w:t>the word “in” should be construed to mean “throughout”</w:t>
      </w:r>
      <w:r>
        <w:t xml:space="preserve"> such counties. Reynolds v. Larkin, 14, p. 114, 117, 10 Colo. 126.</w:t>
      </w:r>
    </w:p>
    <w:p w:rsidR="005D07D1" w:rsidRDefault="005D07D1" w:rsidP="005D07D1"/>
    <w:p w:rsidR="00403431" w:rsidRDefault="00403431" w:rsidP="00403431">
      <w:pPr>
        <w:pStyle w:val="Heading4"/>
      </w:pPr>
      <w:r>
        <w:t>In does not mean throughout</w:t>
      </w:r>
    </w:p>
    <w:p w:rsidR="00403431" w:rsidRPr="00BD7AB7" w:rsidRDefault="00403431" w:rsidP="00403431">
      <w:pPr>
        <w:rPr>
          <w:rFonts w:asciiTheme="minorHAnsi" w:hAnsiTheme="minorHAnsi"/>
        </w:rPr>
      </w:pPr>
      <w:r w:rsidRPr="00BD7AB7">
        <w:rPr>
          <w:rStyle w:val="Style13ptBold"/>
          <w:rFonts w:asciiTheme="minorHAnsi" w:hAnsiTheme="minorHAnsi"/>
        </w:rPr>
        <w:t>Cullen 52</w:t>
      </w:r>
      <w:r w:rsidRPr="00BD7AB7">
        <w:rPr>
          <w:rFonts w:asciiTheme="minorHAnsi" w:hAnsiTheme="minorHAnsi"/>
        </w:rPr>
        <w:t xml:space="preserve"> – Cullen, Court of Appeals of Kentucky, 52, Commissioner, Court of Appeals of Kentucky, November 13, 1952 </w:t>
      </w:r>
      <w:proofErr w:type="spellStart"/>
      <w:r w:rsidRPr="00BD7AB7">
        <w:rPr>
          <w:rFonts w:asciiTheme="minorHAnsi" w:hAnsiTheme="minorHAnsi"/>
        </w:rPr>
        <w:t>Riehl</w:t>
      </w:r>
      <w:proofErr w:type="spellEnd"/>
      <w:r w:rsidRPr="00BD7AB7">
        <w:rPr>
          <w:rFonts w:asciiTheme="minorHAnsi" w:hAnsiTheme="minorHAnsi"/>
        </w:rPr>
        <w:t xml:space="preserve"> et al. V. Kentucky unemployment compensation commission; the judgment is affirmed. Rehearing denied; COMBS, J., and SIMS, C. J., dissenting. </w:t>
      </w:r>
      <w:hyperlink r:id="rId17" w:history="1">
        <w:r w:rsidRPr="00BD7AB7">
          <w:rPr>
            <w:rFonts w:asciiTheme="minorHAnsi" w:hAnsiTheme="minorHAnsi"/>
          </w:rPr>
          <w:t>http://ky.findacase.com/research/wfrmDocViewer.aspx/xq/fac.19521113_0040095.KY.htm/qx</w:t>
        </w:r>
      </w:hyperlink>
    </w:p>
    <w:p w:rsidR="00403431" w:rsidRPr="00F97288" w:rsidRDefault="00403431" w:rsidP="00403431">
      <w:pPr>
        <w:rPr>
          <w:rFonts w:asciiTheme="minorHAnsi" w:hAnsiTheme="minorHAnsi"/>
        </w:rPr>
      </w:pPr>
      <w:r w:rsidRPr="00BD7AB7">
        <w:rPr>
          <w:rFonts w:asciiTheme="minorHAnsi" w:hAnsiTheme="minorHAnsi"/>
        </w:rPr>
        <w:t xml:space="preserve">We do not find any ambiguity in KRS 341.070(1). It is our opinion that </w:t>
      </w:r>
      <w:r w:rsidRPr="00BD7AB7">
        <w:rPr>
          <w:rFonts w:asciiTheme="minorHAnsi" w:hAnsiTheme="minorHAnsi"/>
          <w:u w:val="single"/>
        </w:rPr>
        <w:t>the key word in the statute is the word 'in,' preceding the words 'each of three calendar quarters',</w:t>
      </w:r>
      <w:r w:rsidRPr="00BD7AB7">
        <w:rPr>
          <w:rFonts w:asciiTheme="minorHAnsi" w:hAnsiTheme="minorHAnsi"/>
        </w:rPr>
        <w:t xml:space="preserve"> and if the word is accorded its ordinary and common meaning, </w:t>
      </w:r>
      <w:r w:rsidRPr="00BD7AB7">
        <w:rPr>
          <w:rFonts w:asciiTheme="minorHAnsi" w:hAnsiTheme="minorHAnsi"/>
          <w:u w:val="single"/>
        </w:rPr>
        <w:t>the statute does not require simultaneous employment. According to Webster's</w:t>
      </w:r>
      <w:r w:rsidRPr="00BD7AB7">
        <w:rPr>
          <w:rFonts w:asciiTheme="minorHAnsi" w:hAnsiTheme="minorHAnsi"/>
        </w:rPr>
        <w:t xml:space="preserve"> New International </w:t>
      </w:r>
      <w:r w:rsidRPr="00BD7AB7">
        <w:rPr>
          <w:rFonts w:asciiTheme="minorHAnsi" w:hAnsiTheme="minorHAnsi"/>
          <w:u w:val="single"/>
        </w:rPr>
        <w:t>Dictionary, the word 'in,' used with relation to a period of time, means 'during the course of.'</w:t>
      </w:r>
      <w:r w:rsidRPr="00BD7AB7">
        <w:rPr>
          <w:rFonts w:asciiTheme="minorHAnsi" w:hAnsiTheme="minorHAnsi"/>
        </w:rPr>
        <w:t xml:space="preserve"> The same meaning, expressed in another way, would be </w:t>
      </w:r>
      <w:r w:rsidRPr="00BD7AB7">
        <w:rPr>
          <w:rFonts w:asciiTheme="minorHAnsi" w:hAnsiTheme="minorHAnsi"/>
          <w:u w:val="single"/>
        </w:rPr>
        <w:t>'within the limits or duration of.'</w:t>
      </w:r>
      <w:r w:rsidRPr="00BD7AB7">
        <w:rPr>
          <w:rFonts w:asciiTheme="minorHAnsi" w:hAnsiTheme="minorHAnsi"/>
        </w:rPr>
        <w:t xml:space="preserve"> Employing this meaning, the statute says that an employer is subject to the Act if, during the course of, or within the limits or duration of each of three calendar quarters, he had in covered employment four or more workers, to each of whom the required amount of wages was paid. This clearly means that the employment need not be simultaneous. </w:t>
      </w:r>
      <w:r w:rsidRPr="00403431">
        <w:rPr>
          <w:rStyle w:val="Emphasis"/>
          <w:rFonts w:asciiTheme="minorHAnsi" w:hAnsiTheme="minorHAnsi"/>
          <w:sz w:val="24"/>
          <w:highlight w:val="yellow"/>
        </w:rPr>
        <w:t>Obviously, the word 'in' does not mean 'throughout'</w:t>
      </w:r>
      <w:r w:rsidRPr="00BD7AB7">
        <w:rPr>
          <w:rFonts w:asciiTheme="minorHAnsi" w:hAnsiTheme="minorHAnsi"/>
          <w:u w:val="single"/>
        </w:rPr>
        <w:t xml:space="preserve"> or 'for the entire period of,' because then there would be no point in adding the requirement of the payment of a minimum of $50 in wages. </w:t>
      </w:r>
      <w:r w:rsidRPr="00BD7AB7">
        <w:rPr>
          <w:rFonts w:asciiTheme="minorHAnsi" w:hAnsiTheme="minorHAnsi"/>
        </w:rPr>
        <w:t xml:space="preserve">In these times, no worker employed for a full calendar quarter would be paid less than $50 in wages. The appellant seeks to read into the statute the words 'at the same time,' following the words 'had in covered employment'. There is no justification for this, unless the word 'in' means 'during any one period of time in.' </w:t>
      </w:r>
      <w:proofErr w:type="gramStart"/>
      <w:r w:rsidRPr="00BD7AB7">
        <w:rPr>
          <w:rFonts w:asciiTheme="minorHAnsi" w:hAnsiTheme="minorHAnsi"/>
          <w:u w:val="single"/>
        </w:rPr>
        <w:t>We</w:t>
      </w:r>
      <w:proofErr w:type="gramEnd"/>
      <w:r w:rsidRPr="00BD7AB7">
        <w:rPr>
          <w:rFonts w:asciiTheme="minorHAnsi" w:hAnsiTheme="minorHAnsi"/>
          <w:u w:val="single"/>
        </w:rPr>
        <w:t xml:space="preserve"> are not aware of </w:t>
      </w:r>
      <w:r w:rsidRPr="00BD7AB7">
        <w:rPr>
          <w:rStyle w:val="Emphasis"/>
          <w:rFonts w:asciiTheme="minorHAnsi" w:hAnsiTheme="minorHAnsi"/>
          <w:sz w:val="26"/>
        </w:rPr>
        <w:t>any authority</w:t>
      </w:r>
      <w:r w:rsidRPr="00BD7AB7">
        <w:rPr>
          <w:rFonts w:asciiTheme="minorHAnsi" w:hAnsiTheme="minorHAnsi"/>
          <w:sz w:val="26"/>
          <w:u w:val="single"/>
        </w:rPr>
        <w:t xml:space="preserve"> </w:t>
      </w:r>
      <w:r w:rsidRPr="00BD7AB7">
        <w:rPr>
          <w:rFonts w:asciiTheme="minorHAnsi" w:hAnsiTheme="minorHAnsi"/>
          <w:u w:val="single"/>
        </w:rPr>
        <w:t>for ascribing such a meaning to the word 'in'</w:t>
      </w:r>
      <w:r w:rsidRPr="00BD7AB7">
        <w:rPr>
          <w:rFonts w:asciiTheme="minorHAnsi" w:hAnsiTheme="minorHAnsi"/>
        </w:rPr>
        <w:t>.</w:t>
      </w:r>
      <w:r w:rsidRPr="00F97288">
        <w:rPr>
          <w:rFonts w:asciiTheme="minorHAnsi" w:hAnsiTheme="minorHAnsi"/>
        </w:rPr>
        <w:t xml:space="preserve"> </w:t>
      </w:r>
    </w:p>
    <w:p w:rsidR="00403431" w:rsidRPr="00403431" w:rsidRDefault="00403431" w:rsidP="00403431"/>
    <w:p w:rsidR="005D07D1" w:rsidRDefault="005D07D1" w:rsidP="005D07D1"/>
    <w:p w:rsidR="005D07D1" w:rsidRDefault="005D07D1" w:rsidP="005D07D1">
      <w:pPr>
        <w:pStyle w:val="Heading4"/>
      </w:pPr>
      <w:r>
        <w:t>In means within</w:t>
      </w:r>
    </w:p>
    <w:p w:rsidR="005D07D1" w:rsidRDefault="005D07D1" w:rsidP="005D07D1">
      <w:r w:rsidRPr="0098058F">
        <w:rPr>
          <w:rStyle w:val="Style13ptBold"/>
        </w:rPr>
        <w:t>Words and Phrases 2008</w:t>
      </w:r>
      <w:r>
        <w:t xml:space="preserve"> Judicial and Statutory Definitions of Words and Phrases, Volume 4</w:t>
      </w:r>
      <w:proofErr w:type="gramStart"/>
      <w:r>
        <w:t>,  Google</w:t>
      </w:r>
      <w:proofErr w:type="gramEnd"/>
      <w:r>
        <w:t xml:space="preserve"> Books</w:t>
      </w:r>
    </w:p>
    <w:p w:rsidR="005D07D1" w:rsidRPr="005B490C" w:rsidRDefault="005D07D1" w:rsidP="005D07D1">
      <w:pPr>
        <w:rPr>
          <w:sz w:val="16"/>
        </w:rPr>
      </w:pPr>
      <w:r w:rsidRPr="005B490C">
        <w:rPr>
          <w:rStyle w:val="StyleUnderline"/>
          <w:highlight w:val="yellow"/>
        </w:rPr>
        <w:t>The word "in" is defined</w:t>
      </w:r>
      <w:r w:rsidRPr="005B490C">
        <w:rPr>
          <w:sz w:val="16"/>
        </w:rPr>
        <w:t xml:space="preserve"> by Webster </w:t>
      </w:r>
      <w:r w:rsidRPr="005B490C">
        <w:rPr>
          <w:rStyle w:val="StyleUnderline"/>
          <w:highlight w:val="yellow"/>
        </w:rPr>
        <w:t>as</w:t>
      </w:r>
      <w:r>
        <w:rPr>
          <w:rStyle w:val="StyleUnderline"/>
          <w:highlight w:val="yellow"/>
        </w:rPr>
        <w:t xml:space="preserve"> </w:t>
      </w:r>
      <w:r w:rsidRPr="005B490C">
        <w:rPr>
          <w:rStyle w:val="StyleUnderline"/>
          <w:highlight w:val="yellow"/>
        </w:rPr>
        <w:t>within, inside</w:t>
      </w:r>
      <w:r w:rsidRPr="005B490C">
        <w:rPr>
          <w:sz w:val="16"/>
          <w:highlight w:val="yellow"/>
        </w:rPr>
        <w:t xml:space="preserve"> of,</w:t>
      </w:r>
      <w:r w:rsidRPr="005B490C">
        <w:rPr>
          <w:sz w:val="16"/>
        </w:rPr>
        <w:t xml:space="preserve"> "and with such meaning the preposition is commonly and generally used." It is used </w:t>
      </w:r>
      <w:proofErr w:type="gramStart"/>
      <w:r w:rsidRPr="005B490C">
        <w:rPr>
          <w:sz w:val="16"/>
        </w:rPr>
        <w:t>In</w:t>
      </w:r>
      <w:proofErr w:type="gramEnd"/>
      <w:r w:rsidRPr="005B490C">
        <w:rPr>
          <w:sz w:val="16"/>
        </w:rPr>
        <w:t xml:space="preserve"> such meaning in a bond providing that it may be paid "in" the years. </w:t>
      </w:r>
      <w:proofErr w:type="gramStart"/>
      <w:r w:rsidRPr="005B490C">
        <w:rPr>
          <w:sz w:val="16"/>
        </w:rPr>
        <w:t>and</w:t>
      </w:r>
      <w:proofErr w:type="gramEnd"/>
      <w:r w:rsidRPr="005B490C">
        <w:rPr>
          <w:sz w:val="16"/>
        </w:rPr>
        <w:t xml:space="preserve"> hence the bond may be paid within such time. </w:t>
      </w:r>
      <w:proofErr w:type="spellStart"/>
      <w:r w:rsidRPr="005B490C">
        <w:rPr>
          <w:sz w:val="16"/>
        </w:rPr>
        <w:t>Verdlno</w:t>
      </w:r>
      <w:proofErr w:type="spellEnd"/>
      <w:r w:rsidRPr="005B490C">
        <w:rPr>
          <w:sz w:val="16"/>
        </w:rPr>
        <w:t xml:space="preserve"> V. Olney. 48 N. W. 975. 978. 77 Mich. 310.</w:t>
      </w:r>
    </w:p>
    <w:p w:rsidR="005D07D1" w:rsidRDefault="005D07D1" w:rsidP="005D07D1"/>
    <w:p w:rsidR="00A82BFF" w:rsidRDefault="00A82BFF" w:rsidP="00A82BFF"/>
    <w:p w:rsidR="00A82BFF" w:rsidRDefault="00A82BFF" w:rsidP="00A82BFF">
      <w:pPr>
        <w:pStyle w:val="Heading2"/>
      </w:pPr>
      <w:r>
        <w:t>Forensic Science</w:t>
      </w:r>
    </w:p>
    <w:p w:rsidR="00A82BFF" w:rsidRDefault="00A82BFF" w:rsidP="00A82BFF"/>
    <w:p w:rsidR="00DE4FD3" w:rsidRDefault="00DE4FD3" w:rsidP="00DE4FD3">
      <w:pPr>
        <w:pStyle w:val="Heading4"/>
      </w:pPr>
      <w:r>
        <w:t>Forensic science is a huge area with a multitude of types of research and many different agencies</w:t>
      </w:r>
    </w:p>
    <w:p w:rsidR="00DE4FD3" w:rsidRDefault="00DE4FD3" w:rsidP="00DE4FD3">
      <w:r w:rsidRPr="00907C9E">
        <w:rPr>
          <w:rStyle w:val="Style13ptBold"/>
        </w:rPr>
        <w:t>U.S. Department of Justice 20</w:t>
      </w:r>
      <w:r>
        <w:t xml:space="preserve"> Forensic Science, </w:t>
      </w:r>
      <w:hyperlink r:id="rId18" w:history="1">
        <w:r w:rsidRPr="00303CF6">
          <w:rPr>
            <w:rStyle w:val="Hyperlink"/>
          </w:rPr>
          <w:t>https://www.justice.gov/olp/forensic-science</w:t>
        </w:r>
      </w:hyperlink>
    </w:p>
    <w:p w:rsidR="00DE4FD3" w:rsidRPr="00E55FA2" w:rsidRDefault="00DE4FD3" w:rsidP="00DE4FD3">
      <w:pPr>
        <w:rPr>
          <w:sz w:val="16"/>
        </w:rPr>
      </w:pPr>
      <w:r w:rsidRPr="000B2C33">
        <w:rPr>
          <w:rStyle w:val="StyleUnderline"/>
        </w:rPr>
        <w:t>Forensic science is a</w:t>
      </w:r>
      <w:r w:rsidRPr="00E55FA2">
        <w:rPr>
          <w:sz w:val="16"/>
        </w:rPr>
        <w:t xml:space="preserve"> critical </w:t>
      </w:r>
      <w:r w:rsidRPr="000B2C33">
        <w:rPr>
          <w:rStyle w:val="StyleUnderline"/>
        </w:rPr>
        <w:t>element of the criminal justice system</w:t>
      </w:r>
      <w:r w:rsidRPr="00E55FA2">
        <w:rPr>
          <w:sz w:val="16"/>
        </w:rPr>
        <w:t xml:space="preserve">. Forensic scientists examine and analyze evidence from crime scenes and elsewhere to develop objective findings that can assist in the investigation and prosecution of perpetrators of crime or absolve an innocent person from suspicion. Common </w:t>
      </w:r>
      <w:r w:rsidRPr="00E55FA2">
        <w:rPr>
          <w:rStyle w:val="StyleUnderline"/>
        </w:rPr>
        <w:t>forensic science</w:t>
      </w:r>
      <w:r w:rsidRPr="00E55FA2">
        <w:rPr>
          <w:sz w:val="16"/>
        </w:rPr>
        <w:t xml:space="preserve"> laboratory </w:t>
      </w:r>
      <w:r w:rsidRPr="00E55FA2">
        <w:rPr>
          <w:rStyle w:val="StyleUnderline"/>
        </w:rPr>
        <w:t>disciplines include</w:t>
      </w:r>
      <w:r w:rsidRPr="00E55FA2">
        <w:rPr>
          <w:sz w:val="16"/>
        </w:rPr>
        <w:t xml:space="preserve"> forensic molecular biology (</w:t>
      </w:r>
      <w:r w:rsidRPr="00E55FA2">
        <w:rPr>
          <w:rStyle w:val="StyleUnderline"/>
        </w:rPr>
        <w:t>DNA), forensic chemistry, trace evidence examination</w:t>
      </w:r>
      <w:r w:rsidRPr="00E55FA2">
        <w:rPr>
          <w:sz w:val="16"/>
        </w:rPr>
        <w:t xml:space="preserve"> (hairs and fibers, paints and polymers, glass, soil, etc.), latent </w:t>
      </w:r>
      <w:r w:rsidRPr="00E55FA2">
        <w:rPr>
          <w:rStyle w:val="StyleUnderline"/>
        </w:rPr>
        <w:t xml:space="preserve">fingerprint examination, firearms and </w:t>
      </w:r>
      <w:proofErr w:type="spellStart"/>
      <w:r w:rsidRPr="00E55FA2">
        <w:rPr>
          <w:rStyle w:val="StyleUnderline"/>
        </w:rPr>
        <w:t>toolmarks</w:t>
      </w:r>
      <w:proofErr w:type="spellEnd"/>
      <w:r w:rsidRPr="00E55FA2">
        <w:rPr>
          <w:sz w:val="16"/>
        </w:rPr>
        <w:t xml:space="preserve"> examination</w:t>
      </w:r>
      <w:r w:rsidRPr="00E55FA2">
        <w:rPr>
          <w:rStyle w:val="StyleUnderline"/>
        </w:rPr>
        <w:t>, handwriting analysis, fire and explosives examinations, forensic toxicology, and digital evidence</w:t>
      </w:r>
      <w:r w:rsidRPr="00E55FA2">
        <w:rPr>
          <w:sz w:val="16"/>
        </w:rPr>
        <w:t xml:space="preserve">. Some </w:t>
      </w:r>
      <w:r w:rsidRPr="00E55FA2">
        <w:rPr>
          <w:rStyle w:val="StyleUnderline"/>
        </w:rPr>
        <w:t>forensic disciplines practiced outside forensic laboratories include forensic pathology, forensic nursing, forensic psychiatry, forensic entomology, and forensic engineering</w:t>
      </w:r>
      <w:r w:rsidRPr="00E55FA2">
        <w:rPr>
          <w:sz w:val="16"/>
        </w:rPr>
        <w:t xml:space="preserve">. Practitioners of these disciplines are most often found in medical examiner or coroner offices, in universities, or in private practices. </w:t>
      </w:r>
      <w:r w:rsidRPr="00E55FA2">
        <w:rPr>
          <w:rStyle w:val="StyleUnderline"/>
        </w:rPr>
        <w:t>The Department of Justice maintains forensic laboratories at the Bureau of Alcohol, Tobacco, Firearms, and Explosives, the Drug Enforcement Administration, and the Federal Bureau of Investigation</w:t>
      </w:r>
      <w:r w:rsidRPr="00E55FA2">
        <w:rPr>
          <w:sz w:val="16"/>
        </w:rPr>
        <w:t xml:space="preserve">. </w:t>
      </w:r>
      <w:r w:rsidRPr="00E55FA2">
        <w:rPr>
          <w:rStyle w:val="StyleUnderline"/>
        </w:rPr>
        <w:t>The Department</w:t>
      </w:r>
      <w:r w:rsidRPr="00E55FA2">
        <w:rPr>
          <w:sz w:val="16"/>
        </w:rPr>
        <w:t xml:space="preserve">, through the National Institute of Justice, </w:t>
      </w:r>
      <w:r w:rsidRPr="00E55FA2">
        <w:rPr>
          <w:rStyle w:val="StyleUnderline"/>
        </w:rPr>
        <w:t>is a sponsor of cutting-edge research</w:t>
      </w:r>
      <w:r w:rsidRPr="00E55FA2">
        <w:rPr>
          <w:sz w:val="16"/>
        </w:rPr>
        <w:t xml:space="preserve">. </w:t>
      </w:r>
      <w:r w:rsidRPr="00E55FA2">
        <w:rPr>
          <w:rStyle w:val="StyleUnderline"/>
        </w:rPr>
        <w:t>Its labs serve as a model for government forensic agencies at the federal, state and local levels.</w:t>
      </w:r>
      <w:r w:rsidRPr="00E55FA2">
        <w:rPr>
          <w:sz w:val="16"/>
        </w:rPr>
        <w:t xml:space="preserve"> The Department strives to set the global standard for excellence in forensic science and to advance the practice and use of forensic science by the broader community. This website contains information of value to the forensic science community, as well as stakeholders engaged in the criminal justice system with interests in forensic science. </w:t>
      </w:r>
    </w:p>
    <w:p w:rsidR="00DE4FD3" w:rsidRDefault="00DE4FD3" w:rsidP="00DE4FD3"/>
    <w:p w:rsidR="00DE4FD3" w:rsidRDefault="00DE4FD3" w:rsidP="00A82BFF"/>
    <w:p w:rsidR="00DE4FD3" w:rsidRDefault="00DE4FD3" w:rsidP="00DE4FD3">
      <w:pPr>
        <w:pStyle w:val="Heading4"/>
      </w:pPr>
      <w:r>
        <w:t>Forensic Science is collecting, storing and analyzing scientific evidence</w:t>
      </w:r>
    </w:p>
    <w:p w:rsidR="00DE4FD3" w:rsidRDefault="00DE4FD3" w:rsidP="00DE4FD3">
      <w:r w:rsidRPr="00613636">
        <w:rPr>
          <w:rStyle w:val="Style13ptBold"/>
        </w:rPr>
        <w:t>Wiggins 16</w:t>
      </w:r>
      <w:r>
        <w:t xml:space="preserve"> Colin A. Wiggins is the International Admission Specialist at John Jay College of Criminal Justice. Studying Criminal Justice in the United States August 25, 2016, </w:t>
      </w:r>
      <w:hyperlink r:id="rId19" w:history="1">
        <w:r w:rsidRPr="00593304">
          <w:rPr>
            <w:rStyle w:val="Hyperlink"/>
          </w:rPr>
          <w:t>https://www.wes.org/advisor-blog/studying-criminal-justice-in-the-us/</w:t>
        </w:r>
      </w:hyperlink>
    </w:p>
    <w:p w:rsidR="00DE4FD3" w:rsidRPr="00730B59" w:rsidRDefault="00DE4FD3" w:rsidP="00DE4FD3">
      <w:pPr>
        <w:rPr>
          <w:sz w:val="16"/>
        </w:rPr>
      </w:pPr>
      <w:r w:rsidRPr="00730B59">
        <w:rPr>
          <w:rStyle w:val="StyleUnderline"/>
        </w:rPr>
        <w:t>Criminal justice</w:t>
      </w:r>
      <w:r w:rsidRPr="00730B59">
        <w:rPr>
          <w:sz w:val="16"/>
        </w:rPr>
        <w:t xml:space="preserve"> is defined as “the system of practices government institutions make to uphold social control, deter and lower crime, or punish those who violate laws with criminal penalties and rehabilitation efforts.” It may surprise many that the study of criminal justice is relatively new, and didn’t exist until as recently as the 1920s. It evolved from criminology, which is an offshoot of sociology. In this post, I’m going to talk about three popular criminal justice degrees and the career options for each one. Although there are many different programs of study under criminal justice at varying educational levels, such as corrections, criminal law, criminal procedures, legal research, and law and ethics, we’re going to look at the three most popular programs of criminal justice education: forensic psychology, forensic science, and cybersecurity. Forensic Psychology This program studies a combination of both psychology and the justice system. Forensic psychologists have to understand the law regarding testimonies, and how to appropriately interact with judges, attorneys, and legal professionals. They also may be called to testify as expert witnesses. For example, a forensic neuropsychologist would be asked to testify as an expert witness to discuss cases that involve the brain or brain damage, or to determine if an individual is competent enough to stand trial. Most forensic psychology positions require further education after obtaining a bachelor’s degree. Students can pursue a master’s degree in forensic psychology, and can eventually go to medical school for a doctorate in clinical psychology. The professional opportunities in forensic psychology include academic research, law enforcement, correctional psychologist, legal trial consultant, and psychological evaluator. Forensic Science </w:t>
      </w:r>
      <w:r w:rsidRPr="00730B59">
        <w:rPr>
          <w:rStyle w:val="StyleUnderline"/>
        </w:rPr>
        <w:t>Forensic science is the study of collecting, preserving, and analyzing scientific evidence throughout the course of an investigation</w:t>
      </w:r>
      <w:r w:rsidRPr="00730B59">
        <w:rPr>
          <w:sz w:val="16"/>
        </w:rPr>
        <w:t xml:space="preserve">. Forensic scientists will typically work in one of two ways: out in the field collecting evidence at a crime scene, or working in a laboratory performing analyses on objects brought to them from other agencies. For forensic science degrees, students can pursue two-year degrees, bachelor’s degrees, master’s degrees, and even work up to obtain a doctorate in forensic science. The two-year degree opens the door to entry-level positions or entrance into a bachelor’s program. The bachelor’s program will include further study in natural sciences, biochemistry, and toxicology. Then, for the master’s program, students begin specializing in ballistics (firearms), DNA analysis, and chemical technology. Finally, at the doctorate level, students can perform specialized research in one area of study. In addition to this specialization, doctorate-earners can teach at universities, manage labs and research centers, and be used as expert witnesses. The job opportunities in forensic science are many, and can include: criminalistics (reconstructing a crime scene), toxicologist (screen bodily fluids, hair, and nails for substances), pathologist (conducts autopsies for cause and time of death), forensic anthropology (identify bones to discover background), and document examiner (analyze handwriting and signatures, restore and decipher documents). Cybersecurity </w:t>
      </w:r>
      <w:proofErr w:type="spellStart"/>
      <w:r w:rsidRPr="00730B59">
        <w:rPr>
          <w:sz w:val="16"/>
        </w:rPr>
        <w:t>Cybersecurity</w:t>
      </w:r>
      <w:proofErr w:type="spellEnd"/>
      <w:r w:rsidRPr="00730B59">
        <w:rPr>
          <w:sz w:val="16"/>
        </w:rPr>
        <w:t xml:space="preserve"> is a criminal justice field that is constantly changing due to threats to government and private computer networks, which means well-trained cybersecurity professionals are always in demand. In this area of criminal justice, individuals will study the technology, processes, and practices designed to protect networks, computers, programs, and data from attack. It involves identity management, risk management, and incident management. Two-year degrees in cybersecurity are usually specific to one of three specializations: network management, database security, and network administration. After obtaining a two-year degree, students can pursue a bachelor’s degree in cybersecurity, which includes further study in ethics, cybercrime, law and information, mathematics, and computer science. Then, for master’s degrees in cybersecurity, students typically study legal privacy, ethics in hacking, cryptography, data breaches, and recovery.</w:t>
      </w:r>
    </w:p>
    <w:p w:rsidR="00DE4FD3" w:rsidRDefault="00DE4FD3" w:rsidP="00DE4FD3"/>
    <w:p w:rsidR="00DE4FD3" w:rsidRDefault="00DE4FD3" w:rsidP="00DE4FD3">
      <w:pPr>
        <w:pStyle w:val="Heading4"/>
      </w:pPr>
      <w:r>
        <w:t>Forensic science is the application of science to the law</w:t>
      </w:r>
    </w:p>
    <w:p w:rsidR="00DE4FD3" w:rsidRDefault="00DE4FD3" w:rsidP="00DE4FD3">
      <w:r w:rsidRPr="00904056">
        <w:rPr>
          <w:rStyle w:val="Style13ptBold"/>
        </w:rPr>
        <w:t>National Institute of Justice 20</w:t>
      </w:r>
      <w:r>
        <w:t xml:space="preserve"> Forensic Sciences, </w:t>
      </w:r>
      <w:hyperlink r:id="rId20" w:history="1">
        <w:r w:rsidRPr="00303CF6">
          <w:rPr>
            <w:rStyle w:val="Hyperlink"/>
          </w:rPr>
          <w:t>https://nij.ojp.gov/topics/forensics</w:t>
        </w:r>
      </w:hyperlink>
    </w:p>
    <w:p w:rsidR="00DE4FD3" w:rsidRPr="00D874B2" w:rsidRDefault="00DE4FD3" w:rsidP="00DE4FD3">
      <w:pPr>
        <w:rPr>
          <w:sz w:val="16"/>
        </w:rPr>
      </w:pPr>
      <w:r w:rsidRPr="00904056">
        <w:rPr>
          <w:rStyle w:val="StyleUnderline"/>
        </w:rPr>
        <w:t>Forensic science is the application of sciences such as physics, chemistry, biology, computer science and engineering to matters of law</w:t>
      </w:r>
      <w:r w:rsidRPr="00D874B2">
        <w:rPr>
          <w:sz w:val="16"/>
        </w:rPr>
        <w:t>. NIJ’s forensic science research and development program focuses on basic and applied scientific research with the intent to: Direct the findings of basic scientific research in broader scientific fields applicable to forensic science. Apply forensic science research to the development of highly discriminating, accurate, reliable, cost-effective, rapid methods for the identification, analysis and interpretation of physical evidence. Expand the scientific basis of forensic methods. Produce useful materials, devices, systems or methods that have the potential for forensic application. Increase the body of knowledge to guide and inform forensic science policy and practice.</w:t>
      </w:r>
    </w:p>
    <w:p w:rsidR="00DE4FD3" w:rsidRDefault="00DE4FD3" w:rsidP="00DE4FD3"/>
    <w:p w:rsidR="00DE4FD3" w:rsidRDefault="00DE4FD3" w:rsidP="00DE4FD3"/>
    <w:p w:rsidR="00DE4FD3" w:rsidRDefault="00DE4FD3" w:rsidP="00DE4FD3">
      <w:pPr>
        <w:pStyle w:val="Heading4"/>
      </w:pPr>
      <w:r>
        <w:t>Forensic science is scientific research about crime</w:t>
      </w:r>
    </w:p>
    <w:p w:rsidR="00DE4FD3" w:rsidRDefault="00DE4FD3" w:rsidP="00DE4FD3">
      <w:r w:rsidRPr="00907C9E">
        <w:rPr>
          <w:rStyle w:val="Style13ptBold"/>
        </w:rPr>
        <w:t>Criminal Justice Laws.com 19</w:t>
      </w:r>
      <w:r>
        <w:t xml:space="preserve"> Forensic Science Defined, </w:t>
      </w:r>
      <w:hyperlink r:id="rId21" w:history="1">
        <w:r w:rsidRPr="00303CF6">
          <w:rPr>
            <w:rStyle w:val="Hyperlink"/>
          </w:rPr>
          <w:t>https://criminal-justice.laws.com/forensic-science</w:t>
        </w:r>
      </w:hyperlink>
    </w:p>
    <w:p w:rsidR="00DE4FD3" w:rsidRPr="000B2C33" w:rsidRDefault="00DE4FD3" w:rsidP="00DE4FD3">
      <w:pPr>
        <w:rPr>
          <w:sz w:val="16"/>
        </w:rPr>
      </w:pPr>
      <w:r w:rsidRPr="00907C9E">
        <w:rPr>
          <w:rStyle w:val="StyleUnderline"/>
        </w:rPr>
        <w:t>Forensic Science Defined? Forensic science is a combination of broad scientific fields and is used to answer questions revolving around crime scenes and legal matters</w:t>
      </w:r>
      <w:r w:rsidRPr="000B2C33">
        <w:rPr>
          <w:sz w:val="16"/>
        </w:rPr>
        <w:t xml:space="preserve">. Forensic science may be applied to a felony or a civil action. However used, the field of forensic science will apply various technologies and formulas to expedite an investigation. As a result of advancements in computer technologies and the evolution of scientific fields, forensic science is regarded as an integral aspect for crime scene investigation. Forensic science, regardless of the specific field, is used to evaluate crime scenes in hopes of extracting evidence that will ultimately lead to a conviction. Forensic science, because of the agglomerated framework, is often described as a broad discipline within the science and law enforcement community. </w:t>
      </w:r>
      <w:r w:rsidRPr="00907C9E">
        <w:rPr>
          <w:rStyle w:val="StyleUnderline"/>
        </w:rPr>
        <w:t xml:space="preserve">Within forensic science exists a number of specific disciplines, which may range from forensic veterinary science to forensic </w:t>
      </w:r>
      <w:proofErr w:type="gramStart"/>
      <w:r w:rsidRPr="00907C9E">
        <w:rPr>
          <w:rStyle w:val="StyleUnderline"/>
        </w:rPr>
        <w:t>anthropology</w:t>
      </w:r>
      <w:r w:rsidRPr="000B2C33">
        <w:rPr>
          <w:sz w:val="16"/>
        </w:rPr>
        <w:t>.</w:t>
      </w:r>
      <w:proofErr w:type="gramEnd"/>
      <w:r w:rsidRPr="000B2C33">
        <w:rPr>
          <w:sz w:val="16"/>
        </w:rPr>
        <w:t xml:space="preserve"> </w:t>
      </w:r>
    </w:p>
    <w:p w:rsidR="00DE4FD3" w:rsidRDefault="00DE4FD3" w:rsidP="00DE4FD3"/>
    <w:p w:rsidR="00DE4FD3" w:rsidRDefault="00DE4FD3" w:rsidP="00DE4FD3"/>
    <w:p w:rsidR="00DE4FD3" w:rsidRDefault="00DE4FD3" w:rsidP="00DE4FD3"/>
    <w:p w:rsidR="00DE4FD3" w:rsidRDefault="00DE4FD3" w:rsidP="00DE4FD3">
      <w:pPr>
        <w:pStyle w:val="Heading4"/>
      </w:pPr>
      <w:r>
        <w:t>All forensic science is not part of criminal justice—it includes civil justice science as well</w:t>
      </w:r>
    </w:p>
    <w:p w:rsidR="00DE4FD3" w:rsidRDefault="00DE4FD3" w:rsidP="00DE4FD3">
      <w:r w:rsidRPr="00DE0011">
        <w:rPr>
          <w:rStyle w:val="Style13ptBold"/>
        </w:rPr>
        <w:t>Siegel 20</w:t>
      </w:r>
      <w:r>
        <w:t xml:space="preserve">  Former Director, Forensic and Investigative Sciences Program, Indiana University-Purdue University, Encyclopedia </w:t>
      </w:r>
      <w:proofErr w:type="spellStart"/>
      <w:r>
        <w:t>Brittanica</w:t>
      </w:r>
      <w:proofErr w:type="spellEnd"/>
      <w:r>
        <w:t>, Forensic Science, Former Director, Forensic and Investigative Sciences Program, Indiana University-Purdue University</w:t>
      </w:r>
    </w:p>
    <w:p w:rsidR="00DE4FD3" w:rsidRPr="00E55FA2" w:rsidRDefault="00DE4FD3" w:rsidP="00DE4FD3">
      <w:pPr>
        <w:rPr>
          <w:sz w:val="16"/>
        </w:rPr>
      </w:pPr>
      <w:r w:rsidRPr="00E55FA2">
        <w:rPr>
          <w:rStyle w:val="StyleUnderline"/>
        </w:rPr>
        <w:t>Forensic science, the application</w:t>
      </w:r>
      <w:r w:rsidRPr="00E55FA2">
        <w:rPr>
          <w:sz w:val="16"/>
        </w:rPr>
        <w:t xml:space="preserve"> </w:t>
      </w:r>
      <w:r w:rsidRPr="00E55FA2">
        <w:rPr>
          <w:rStyle w:val="StyleUnderline"/>
        </w:rPr>
        <w:t>of the methods of the natural and physical sciences to matters of criminal and civil law.</w:t>
      </w:r>
      <w:r w:rsidRPr="00E55FA2">
        <w:rPr>
          <w:sz w:val="16"/>
        </w:rPr>
        <w:t xml:space="preserve"> </w:t>
      </w:r>
      <w:r w:rsidRPr="00E55FA2">
        <w:rPr>
          <w:rStyle w:val="StyleUnderline"/>
        </w:rPr>
        <w:t>Forensic science can be involved not only in investigation and prosecution of crimes such as rape, murder, and drug trafficking but also in matters in which a crime has not been committed but in which someone is charged with a civil wrong</w:t>
      </w:r>
      <w:r w:rsidRPr="00E55FA2">
        <w:rPr>
          <w:sz w:val="16"/>
        </w:rPr>
        <w:t xml:space="preserve"> (see tort), </w:t>
      </w:r>
      <w:r w:rsidRPr="00BD1E2E">
        <w:rPr>
          <w:rStyle w:val="StyleUnderline"/>
        </w:rPr>
        <w:t xml:space="preserve">such as willful pollution of air or water </w:t>
      </w:r>
      <w:r w:rsidRPr="00E55FA2">
        <w:rPr>
          <w:sz w:val="16"/>
        </w:rPr>
        <w:t xml:space="preserve">or causing industrial injuries. </w:t>
      </w:r>
      <w:r w:rsidRPr="00E55FA2">
        <w:rPr>
          <w:rStyle w:val="StyleUnderline"/>
        </w:rPr>
        <w:t>Almost any science can be a forensic science because almost any science can contribute to solving a crime or evaluating a civil harm.</w:t>
      </w:r>
      <w:r w:rsidRPr="00E55FA2">
        <w:rPr>
          <w:sz w:val="16"/>
        </w:rPr>
        <w:t xml:space="preserve"> In fact, with few exceptions, forensic sciences are no different in what they study than traditional sciences. The only difference is that forensic scientists apply the methods and techniques of established sciences to legal matters.</w:t>
      </w:r>
    </w:p>
    <w:p w:rsidR="00DE4FD3" w:rsidRDefault="00DE4FD3" w:rsidP="00DE4FD3"/>
    <w:p w:rsidR="00DE4FD3" w:rsidRDefault="00DE4FD3" w:rsidP="00DE4FD3">
      <w:pPr>
        <w:pStyle w:val="Heading4"/>
      </w:pPr>
      <w:r>
        <w:t>Forensics Science includes Criminal and Civil Justice</w:t>
      </w:r>
    </w:p>
    <w:p w:rsidR="00DE4FD3" w:rsidRDefault="00DE4FD3" w:rsidP="00DE4FD3">
      <w:r w:rsidRPr="005B107D">
        <w:rPr>
          <w:rStyle w:val="Style13ptBold"/>
        </w:rPr>
        <w:t xml:space="preserve">John Jay College of Criminal Justice </w:t>
      </w:r>
      <w:proofErr w:type="gramStart"/>
      <w:r w:rsidRPr="005B107D">
        <w:rPr>
          <w:rStyle w:val="Style13ptBold"/>
        </w:rPr>
        <w:t>20</w:t>
      </w:r>
      <w:r>
        <w:t xml:space="preserve"> ,</w:t>
      </w:r>
      <w:proofErr w:type="gramEnd"/>
      <w:r>
        <w:t xml:space="preserve"> ABOUT FORENSIC SCIENCE, </w:t>
      </w:r>
      <w:hyperlink r:id="rId22" w:history="1">
        <w:r w:rsidRPr="00303CF6">
          <w:rPr>
            <w:rStyle w:val="Hyperlink"/>
          </w:rPr>
          <w:t>https://www.jjay.cuny.edu/about-forensic-science</w:t>
        </w:r>
      </w:hyperlink>
    </w:p>
    <w:p w:rsidR="00DE4FD3" w:rsidRPr="00105D71" w:rsidRDefault="00DE4FD3" w:rsidP="00DE4FD3">
      <w:pPr>
        <w:rPr>
          <w:sz w:val="16"/>
        </w:rPr>
      </w:pPr>
      <w:r w:rsidRPr="00E55FA2">
        <w:rPr>
          <w:rStyle w:val="StyleUnderline"/>
        </w:rPr>
        <w:t>Forensic science is the application of the natural sciences to matters of legal concern</w:t>
      </w:r>
      <w:r w:rsidRPr="00105D71">
        <w:rPr>
          <w:sz w:val="16"/>
        </w:rPr>
        <w:t xml:space="preserve">. </w:t>
      </w:r>
      <w:r w:rsidRPr="00E55FA2">
        <w:rPr>
          <w:rStyle w:val="StyleUnderline"/>
        </w:rPr>
        <w:t>Forensic scientists work on both civil and criminal cases</w:t>
      </w:r>
      <w:r w:rsidRPr="00105D71">
        <w:rPr>
          <w:sz w:val="16"/>
        </w:rPr>
        <w:t xml:space="preserve"> and because the application of forensic science spans a broad spectrum of scientific knowledge, most are specialists in a particular area of science or technology. Some of these </w:t>
      </w:r>
      <w:r w:rsidRPr="00E55FA2">
        <w:rPr>
          <w:rStyle w:val="StyleUnderline"/>
        </w:rPr>
        <w:t>specialties include anthropology, criminalistics, engineering, molecular biology, pathology, toxicology, and other areas</w:t>
      </w:r>
      <w:r w:rsidRPr="00105D71">
        <w:rPr>
          <w:sz w:val="16"/>
        </w:rPr>
        <w:t>. Scientific problem solving is a key component unifying all of these areas. A solid foundation in the physical and biological sciences is necessary in the education of the prospective forensic scientist. A working knowledge of the law is also necessary as forensic science, by definition, requires an ongoing interaction with the legal system. Forensic scientists are scientists first and must be able to use their knowledge of science to analyze the evidence in question, but they must also be able to explain their results in simple language to judges, lawyers and juries. Communication skills are important because a misunderstanding in communicating an expert opinion can have dramatic consequences and affect a defendant’s life and liberty. While most scientists are careful to maintain the scientific integrity of their samples during experimentation, forensic scientists must also be concerned with the legal integrity of the physical evidence that they work with. In addition to ensuring that the analysis of the evidence was done to ensure an accurate result, the forensic scientist must also ensure that the evidence is properly handled and must carefully document the transfer, storage, analysis and final disposition of all physical evidence in order for it to be admissible as evidence in a court of law. The forensic science program at John Jay College provides a solid educational foundation in the theory and techniques necessary to master the laboratory sciences, field investigation and expert testimony requirements of a successful graduate. At the undergraduate level, students begin the major in their freshman year, learning chemistry, biology and calculus and proceed to advanced science courses in their sophomore and junior years. In the junior year, undergraduates begin focusing in one of three specialization tracks as well as learning to apply their knowledge in an undergraduate research project or external laboratory internship. At the master’s level, students build on their undergraduate training in science by focusing in one of the three areas of specialization. All graduate students are required to complete research with a faculty member and produce a master’s thesis. All students in the program are encouraged to solve scientific problems by researching theoretical concepts and experimenting with different techniques to gain a better understanding of when and how various techniques should be applied. The forensic science program at John Jay College offers specialization in criminalistics, molecular biology, and toxicology. Mastery in these specialties requires expertise in the areas of chemistry, biology, physics, and many other areas of scientific and mathematical knowledge. Criminalistics involves the recognition, identification, individualization, and evaluation of physical evidence. The criminalist uses this information to reconstruct the events leading up to and during the commission of a crime. Any type of material can become physical evidence, but criminalists typically analyze evidence such as fingerprints, hairs, fibers, physiological fluid stains, bloodstain patterns, and firearms evidence. A criminalist may identify trace evidence to connect a suspect to a victim or crime scene or may analyze a blood-spatter pattern to determine the position of a shooting victim and the assailant. Molecular biology applied to forensic science focuses on obtaining and comparing DNA profiles from biological evidence. These analyses have provided an important tool in the investigation of many types of crimes, including homicide, sexual assault and burglary. Matching the DNA profile from a bloodstain at a crime scene to a known suspect can be compelling evidence of guilt. Forensic DNA analysis is also the major tool used to exonerate convicted felons of crimes which they did not commit. Since biological evidence can come in many forms, from the skin cells left behind from touching an object to the biological fluid stains collected from a sexual assault scene, forensic molecular biologists have at hand a variety of techniques which can be used to extract DNA from a range of different sample types. Toxicology involves the investigation of poisoning incidents and the analysis of samples for the presence of drugs and toxic substances. Toxicology samples are routinely collected in a variety of situations, including urine testing of athletes, drug testing of hair from applicants to law enforcement agencies, suspected cases of driving under the influence of alcohol or drugs, and from autopsy subjects. Toxicologists must be knowledgeable about the metabolism of various drugs and poisons in the human body and be able to identify and quantify the drug or poison in question.</w:t>
      </w:r>
    </w:p>
    <w:p w:rsidR="00DE4FD3" w:rsidRDefault="00DE4FD3" w:rsidP="00DE4FD3"/>
    <w:p w:rsidR="00DE4FD3" w:rsidRDefault="00DE4FD3" w:rsidP="00DE4FD3"/>
    <w:p w:rsidR="00DE4FD3" w:rsidRDefault="00DE4FD3" w:rsidP="00DE4FD3"/>
    <w:p w:rsidR="00DE4FD3" w:rsidRDefault="00DE4FD3" w:rsidP="00DE4FD3">
      <w:pPr>
        <w:pStyle w:val="Heading4"/>
      </w:pPr>
      <w:r>
        <w:t xml:space="preserve">Forensic Science reform includes </w:t>
      </w:r>
      <w:proofErr w:type="spellStart"/>
      <w:r>
        <w:t>post conviction</w:t>
      </w:r>
      <w:proofErr w:type="spellEnd"/>
      <w:r>
        <w:t xml:space="preserve"> relief</w:t>
      </w:r>
    </w:p>
    <w:p w:rsidR="00DE4FD3" w:rsidRDefault="00DE4FD3" w:rsidP="00DE4FD3">
      <w:r w:rsidRPr="001A40D6">
        <w:rPr>
          <w:rStyle w:val="Style13ptBold"/>
        </w:rPr>
        <w:t>Criminal Justice Policy Program at Harvard 20</w:t>
      </w:r>
      <w:r>
        <w:t xml:space="preserve"> Forensic Science Reform </w:t>
      </w:r>
      <w:hyperlink r:id="rId23" w:history="1">
        <w:r>
          <w:rPr>
            <w:rStyle w:val="Hyperlink"/>
          </w:rPr>
          <w:t>http://cjpp.law.harvard.edu/forensics</w:t>
        </w:r>
      </w:hyperlink>
    </w:p>
    <w:p w:rsidR="00DE4FD3" w:rsidRPr="00105D71" w:rsidRDefault="00DE4FD3" w:rsidP="00DE4FD3">
      <w:pPr>
        <w:rPr>
          <w:rStyle w:val="StyleUnderline"/>
        </w:rPr>
      </w:pPr>
      <w:r w:rsidRPr="00105D71">
        <w:rPr>
          <w:rStyle w:val="StyleUnderline"/>
        </w:rPr>
        <w:t>Supporting Post-conviction Relief</w:t>
      </w:r>
    </w:p>
    <w:p w:rsidR="00DE4FD3" w:rsidRPr="00105D71" w:rsidRDefault="00DE4FD3" w:rsidP="00DE4FD3">
      <w:pPr>
        <w:rPr>
          <w:sz w:val="16"/>
        </w:rPr>
      </w:pPr>
      <w:r w:rsidRPr="00105D71">
        <w:rPr>
          <w:rStyle w:val="StyleUnderline"/>
        </w:rPr>
        <w:t>While forward-looking reform may help prevent wrongful convictions as a result of flawed forensic science in the future, many defendants have already been convicted on the basis of faulty forensics and may be entitled to relief.  It is critical that criminal justice stakeholders take systemic action to identify cases involving improper forensic evidence and provide relief to individuals subject to potentially wrongful convictions</w:t>
      </w:r>
      <w:r w:rsidRPr="00105D71">
        <w:rPr>
          <w:sz w:val="16"/>
        </w:rPr>
        <w:t>.  For example, in Middlesex County, Massachusetts, District Attorney Marian Ryan has agreed to collaborate with other justice-system stakeholders to review cases involving the use of microscopic hair analysis, a discredited forensic method.  The Criminal Justice Policy Program has worked with stakeholders involved in that audit to ensure that individuals convicted on the basis of flawed forensics have meaningful avenues for obtaining relief from the courts.</w:t>
      </w:r>
    </w:p>
    <w:p w:rsidR="00DE4FD3" w:rsidRDefault="00DE4FD3" w:rsidP="00DE4FD3"/>
    <w:p w:rsidR="00DE4FD3" w:rsidRDefault="00DE4FD3" w:rsidP="00DE4FD3"/>
    <w:p w:rsidR="00DE4FD3" w:rsidRDefault="00DE4FD3" w:rsidP="00DE4FD3"/>
    <w:p w:rsidR="00DE4FD3" w:rsidRDefault="00DE4FD3" w:rsidP="00DE4FD3">
      <w:pPr>
        <w:pStyle w:val="Heading4"/>
      </w:pPr>
      <w:r>
        <w:t>Forensic Science reform involves stopping the misuse of science for wrongful convictions</w:t>
      </w:r>
    </w:p>
    <w:p w:rsidR="00DE4FD3" w:rsidRDefault="00DE4FD3" w:rsidP="00DE4FD3">
      <w:r w:rsidRPr="004E5FDD">
        <w:rPr>
          <w:rStyle w:val="Style13ptBold"/>
        </w:rPr>
        <w:t>CIFS 20</w:t>
      </w:r>
      <w:r>
        <w:t xml:space="preserve"> Center for Integrity in Forensic Science, Reform in Forensics Sciences</w:t>
      </w:r>
    </w:p>
    <w:p w:rsidR="00DE4FD3" w:rsidRDefault="00DE4FD3" w:rsidP="00DE4FD3">
      <w:hyperlink r:id="rId24" w:history="1">
        <w:r>
          <w:rPr>
            <w:rStyle w:val="Hyperlink"/>
          </w:rPr>
          <w:t>https://cifsjustice.org/about-cifs/reform-in-forensic-sciences/</w:t>
        </w:r>
      </w:hyperlink>
    </w:p>
    <w:p w:rsidR="00DE4FD3" w:rsidRDefault="00DE4FD3" w:rsidP="00DE4FD3">
      <w:r>
        <w:t xml:space="preserve">REFORM IN FORENSIC SCIENCES </w:t>
      </w:r>
      <w:proofErr w:type="gramStart"/>
      <w:r>
        <w:t>Tracking</w:t>
      </w:r>
      <w:proofErr w:type="gramEnd"/>
      <w:r>
        <w:t xml:space="preserve"> by the National Registry of Exonerations has revealed that </w:t>
      </w:r>
      <w:r w:rsidRPr="00105D71">
        <w:rPr>
          <w:rStyle w:val="StyleUnderline"/>
          <w:highlight w:val="yellow"/>
        </w:rPr>
        <w:t>of the more than 2000 innocent people exonerated since 1989 from wrongful convictions</w:t>
      </w:r>
      <w:r>
        <w:t xml:space="preserve"> sometimes decades old, </w:t>
      </w:r>
      <w:r w:rsidRPr="00105D71">
        <w:rPr>
          <w:rStyle w:val="StyleUnderline"/>
          <w:highlight w:val="yellow"/>
        </w:rPr>
        <w:t>a shocking 24 % had trials that featured improper or invalid forensic evidence</w:t>
      </w:r>
      <w:r>
        <w:t xml:space="preserve">. </w:t>
      </w:r>
      <w:r w:rsidRPr="00105D71">
        <w:rPr>
          <w:rStyle w:val="StyleUnderline"/>
          <w:highlight w:val="yellow"/>
        </w:rPr>
        <w:t xml:space="preserve">Sometimes this involved deliberately false testimony by purported scientists, but more often it was the result of </w:t>
      </w:r>
      <w:proofErr w:type="spellStart"/>
      <w:r w:rsidRPr="00105D71">
        <w:rPr>
          <w:rStyle w:val="StyleUnderline"/>
          <w:highlight w:val="yellow"/>
        </w:rPr>
        <w:t>unvalidated</w:t>
      </w:r>
      <w:proofErr w:type="spellEnd"/>
      <w:r w:rsidRPr="00105D71">
        <w:rPr>
          <w:rStyle w:val="StyleUnderline"/>
          <w:highlight w:val="yellow"/>
        </w:rPr>
        <w:t xml:space="preserve"> forensic techniques or exaggerated testimony by analysts</w:t>
      </w:r>
      <w:r>
        <w:t xml:space="preserve">. In 2015, </w:t>
      </w:r>
      <w:r w:rsidRPr="00105D71">
        <w:rPr>
          <w:rStyle w:val="StyleUnderline"/>
          <w:highlight w:val="yellow"/>
        </w:rPr>
        <w:t>the FBI conducted a study of 268 cases where its crime lab analysts provided trial testimony about so-called microscopic hair comparison evidence</w:t>
      </w:r>
      <w:r>
        <w:t xml:space="preserve">. That now-discredited forensic technique involved the analyst’s comparison in a double-field microscope of hair found at a crime scene with hair taken from a suspect, and a subjective opinion about whether the two hairs could have come from the same source. Because there were no required standards of similarity, the analyst’s opinion was supposed to be limited to whether the hairs were “similar” or “consistent.” Shockingly, </w:t>
      </w:r>
      <w:r w:rsidRPr="00105D71">
        <w:rPr>
          <w:rStyle w:val="StyleUnderline"/>
          <w:highlight w:val="yellow"/>
        </w:rPr>
        <w:t>the FBI’s</w:t>
      </w:r>
      <w:r>
        <w:t xml:space="preserve"> 2015 </w:t>
      </w:r>
      <w:r w:rsidRPr="00105D71">
        <w:rPr>
          <w:rStyle w:val="StyleUnderline"/>
          <w:highlight w:val="yellow"/>
        </w:rPr>
        <w:t>study found that in 95% of the cases its own analysts provided false or misleading opinion testimony about the hair evidence. Thirty-two of the cases involved defendants on death row, and 14 had already been executed</w:t>
      </w:r>
      <w:r>
        <w:t xml:space="preserve">. While the trials included other evidence besides the misleading hair comparison testimony, the study illustrates just one of many flawed forensic science disciplines that courts have allowed at trial despite subjective and </w:t>
      </w:r>
      <w:proofErr w:type="spellStart"/>
      <w:r>
        <w:t>unvalidated</w:t>
      </w:r>
      <w:proofErr w:type="spellEnd"/>
      <w:r>
        <w:t xml:space="preserve"> theories and techniques. The advent of DNA exonerations has highlighted the flaws in much of the forensic evidence used in American criminal courts. </w:t>
      </w:r>
      <w:r w:rsidRPr="00105D71">
        <w:rPr>
          <w:rStyle w:val="StyleUnderline"/>
          <w:highlight w:val="yellow"/>
        </w:rPr>
        <w:t>A 2009 National Academy of Sciences report, “Strengthening Forensic Science in the United States,” surveyed all the various forensic science disciplines, from DNA to hair comparison, bite marks, ballistics and more. The study found nearly all but DNA lacking in supporting validation studies</w:t>
      </w:r>
      <w:r>
        <w:t xml:space="preserve">. </w:t>
      </w:r>
      <w:r w:rsidRPr="00105D71">
        <w:rPr>
          <w:rStyle w:val="StyleUnderline"/>
          <w:highlight w:val="yellow"/>
        </w:rPr>
        <w:t>The NAS recommended many types of reforms necessary to strengthen the reliability of forensic evidence. Yet, nearly ten years later little progress has been made</w:t>
      </w:r>
      <w:r>
        <w:t xml:space="preserve">. </w:t>
      </w:r>
      <w:r w:rsidRPr="00105D71">
        <w:rPr>
          <w:rStyle w:val="StyleUnderline"/>
          <w:highlight w:val="yellow"/>
        </w:rPr>
        <w:t>CIFS seeks</w:t>
      </w:r>
      <w:r>
        <w:t xml:space="preserve"> to build on the NAS and other studies </w:t>
      </w:r>
      <w:r w:rsidRPr="00105D71">
        <w:rPr>
          <w:rStyle w:val="StyleUnderline"/>
          <w:highlight w:val="yellow"/>
        </w:rPr>
        <w:t>to reform forensic science in this country by bringing together true scientists and criminal justice system participants to address the problems of skewed forensic science and its structural causes</w:t>
      </w:r>
      <w:r>
        <w:t>.</w:t>
      </w:r>
    </w:p>
    <w:p w:rsidR="00DE4FD3" w:rsidRDefault="00DE4FD3" w:rsidP="00DE4FD3">
      <w:pPr>
        <w:pStyle w:val="Heading4"/>
      </w:pPr>
      <w:r>
        <w:t>Forensic Science creates flawed and unjust outcomes</w:t>
      </w:r>
    </w:p>
    <w:p w:rsidR="00DE4FD3" w:rsidRDefault="00DE4FD3" w:rsidP="00DE4FD3">
      <w:r w:rsidRPr="001A40D6">
        <w:rPr>
          <w:rStyle w:val="Style13ptBold"/>
        </w:rPr>
        <w:t>Criminal Justice Policy Program at Harvard 20</w:t>
      </w:r>
      <w:r>
        <w:t xml:space="preserve"> Forensic Science Reform </w:t>
      </w:r>
      <w:hyperlink r:id="rId25" w:history="1">
        <w:r>
          <w:rPr>
            <w:rStyle w:val="Hyperlink"/>
          </w:rPr>
          <w:t>http://cjpp.law.harvard.edu/forensics</w:t>
        </w:r>
      </w:hyperlink>
    </w:p>
    <w:p w:rsidR="00DE4FD3" w:rsidRPr="00105D71" w:rsidRDefault="00DE4FD3" w:rsidP="00DE4FD3">
      <w:pPr>
        <w:rPr>
          <w:sz w:val="16"/>
        </w:rPr>
      </w:pPr>
      <w:r w:rsidRPr="00105D71">
        <w:rPr>
          <w:sz w:val="16"/>
        </w:rPr>
        <w:t xml:space="preserve">In recent decades, </w:t>
      </w:r>
      <w:r w:rsidRPr="00105D71">
        <w:rPr>
          <w:rStyle w:val="StyleUnderline"/>
        </w:rPr>
        <w:t>prosecutors have relied on a wide range of forensic science techniques</w:t>
      </w:r>
      <w:r w:rsidRPr="00105D71">
        <w:rPr>
          <w:sz w:val="16"/>
        </w:rPr>
        <w:t xml:space="preserve"> to provide crucial evidence in pursuing criminal convictions. Several of those techniques, however, have not withstood scientific scrutiny. </w:t>
      </w:r>
      <w:r w:rsidRPr="00105D71">
        <w:rPr>
          <w:rStyle w:val="StyleUnderline"/>
        </w:rPr>
        <w:t>As a result, many individuals have been convicted on the basis of fundamentally flawed forensic evidence</w:t>
      </w:r>
      <w:r w:rsidRPr="00105D71">
        <w:rPr>
          <w:sz w:val="16"/>
        </w:rPr>
        <w:t xml:space="preserve"> – a pattern reflected in the increasing number of exonerations based on improper forensic testimony. In recent years, </w:t>
      </w:r>
      <w:r w:rsidRPr="00105D71">
        <w:rPr>
          <w:rStyle w:val="StyleUnderline"/>
        </w:rPr>
        <w:t>scientists have uncovered disturbing flaws in forensic science practices including arson science, firearms ballistics, hair microscopy, and analysis of fingerprints, bite marks, and blood stains. Forensic examiners have routinely overstated the significance of such evidence in court, improperly bolstering the weight of evidence used to support convictions</w:t>
      </w:r>
      <w:r w:rsidRPr="00105D71">
        <w:rPr>
          <w:sz w:val="16"/>
        </w:rPr>
        <w:t xml:space="preserve">. The systemic flaws in forensic science techniques were described in detail in a 2009 report by the National Academy of Sciences and a 2016 report by the President’s Council of Advisors on Science and Technology – those reports reflected </w:t>
      </w:r>
      <w:r w:rsidRPr="00105D71">
        <w:rPr>
          <w:rStyle w:val="StyleUnderline"/>
        </w:rPr>
        <w:t>the strong scientific consensus that many forensic techniques routinely presented by prosecutors actually lack sufficient reliability to be considered sound science</w:t>
      </w:r>
      <w:r w:rsidRPr="00105D71">
        <w:rPr>
          <w:sz w:val="16"/>
        </w:rPr>
        <w:t xml:space="preserve">. </w:t>
      </w:r>
      <w:r w:rsidRPr="00105D71">
        <w:rPr>
          <w:rStyle w:val="StyleUnderline"/>
        </w:rPr>
        <w:t xml:space="preserve">Outside of the courtroom, crime laboratories across the nation have faced scandals due to the misconduct of forensic analysts. </w:t>
      </w:r>
      <w:r w:rsidRPr="00105D71">
        <w:rPr>
          <w:sz w:val="16"/>
        </w:rPr>
        <w:t xml:space="preserve">In one high-profile example, the Massachusetts Supreme Judicial Court dismissed over 21,000 drug cases after a state examiner admitted to fabricating drug analyses for nearly a decade. These </w:t>
      </w:r>
      <w:r w:rsidRPr="00105D71">
        <w:rPr>
          <w:rStyle w:val="StyleUnderline"/>
        </w:rPr>
        <w:t>flaws in the forensic science system threaten the integrity of the broader criminal justice system and create an unjustifiable risk of wrongful convictions</w:t>
      </w:r>
      <w:r w:rsidRPr="00105D71">
        <w:rPr>
          <w:sz w:val="16"/>
        </w:rPr>
        <w:t>.</w:t>
      </w:r>
    </w:p>
    <w:p w:rsidR="00DE4FD3" w:rsidRDefault="00DE4FD3" w:rsidP="00DE4FD3"/>
    <w:p w:rsidR="00DE4FD3" w:rsidRDefault="00DE4FD3" w:rsidP="00DE4FD3"/>
    <w:p w:rsidR="00DE4FD3" w:rsidRDefault="00DE4FD3" w:rsidP="00A82BFF"/>
    <w:p w:rsidR="00A82BFF" w:rsidRDefault="00A82BFF" w:rsidP="00A82BFF">
      <w:pPr>
        <w:pStyle w:val="Heading2"/>
      </w:pPr>
      <w:r>
        <w:t>Policing</w:t>
      </w:r>
    </w:p>
    <w:p w:rsidR="000C551F" w:rsidRDefault="000C551F" w:rsidP="000C551F">
      <w:pPr>
        <w:pStyle w:val="Heading4"/>
      </w:pPr>
      <w:r>
        <w:t>A narrow definition of policing means actions of the police</w:t>
      </w:r>
    </w:p>
    <w:p w:rsidR="000C551F" w:rsidRDefault="000C551F" w:rsidP="000C551F">
      <w:proofErr w:type="spellStart"/>
      <w:r w:rsidRPr="006F36A6">
        <w:rPr>
          <w:rStyle w:val="Style13ptBold"/>
        </w:rPr>
        <w:t>Osse</w:t>
      </w:r>
      <w:proofErr w:type="spellEnd"/>
      <w:r w:rsidRPr="006F36A6">
        <w:rPr>
          <w:rStyle w:val="Style13ptBold"/>
        </w:rPr>
        <w:t xml:space="preserve"> </w:t>
      </w:r>
      <w:proofErr w:type="gramStart"/>
      <w:r w:rsidRPr="006F36A6">
        <w:rPr>
          <w:rStyle w:val="Style13ptBold"/>
        </w:rPr>
        <w:t>7</w:t>
      </w:r>
      <w:r>
        <w:t xml:space="preserve">  </w:t>
      </w:r>
      <w:proofErr w:type="spellStart"/>
      <w:r>
        <w:t>Anneke</w:t>
      </w:r>
      <w:proofErr w:type="spellEnd"/>
      <w:proofErr w:type="gramEnd"/>
      <w:r>
        <w:t xml:space="preserve"> </w:t>
      </w:r>
      <w:proofErr w:type="spellStart"/>
      <w:r>
        <w:t>Osse</w:t>
      </w:r>
      <w:proofErr w:type="spellEnd"/>
      <w:r>
        <w:t xml:space="preserve"> is an Independent Consultant on Police (Reform) and Human Rights. UNDERSTANDING POLICING A resource for human rights activists, https://www.amnesty.org/download/Documents/HRELibrary/sec010112007eng.pdf</w:t>
      </w:r>
    </w:p>
    <w:p w:rsidR="000C551F" w:rsidRPr="00EE5E96" w:rsidRDefault="000C551F" w:rsidP="00EE5E96">
      <w:pPr>
        <w:rPr>
          <w:sz w:val="16"/>
        </w:rPr>
      </w:pPr>
      <w:r w:rsidRPr="002C433E">
        <w:rPr>
          <w:rStyle w:val="StyleUnderline"/>
          <w:highlight w:val="yellow"/>
        </w:rPr>
        <w:t>The term policing is used with many different meanings</w:t>
      </w:r>
      <w:r w:rsidRPr="000C551F">
        <w:rPr>
          <w:sz w:val="16"/>
        </w:rPr>
        <w:t xml:space="preserve"> in mind; most notably it is referred to as the process of ‘ensuring compliance with the law’ in all its aspects. It should be apparent that ensuring such compliance can never be achieved by the police alone. </w:t>
      </w:r>
      <w:r w:rsidRPr="002C433E">
        <w:rPr>
          <w:rStyle w:val="StyleUnderline"/>
          <w:highlight w:val="yellow"/>
        </w:rPr>
        <w:t>Policing may indeed encompass more</w:t>
      </w:r>
      <w:r w:rsidRPr="000C551F">
        <w:rPr>
          <w:sz w:val="16"/>
        </w:rPr>
        <w:t xml:space="preserve"> agencies and entities </w:t>
      </w:r>
      <w:r w:rsidRPr="002C433E">
        <w:rPr>
          <w:rStyle w:val="StyleUnderline"/>
          <w:highlight w:val="yellow"/>
        </w:rPr>
        <w:t>than just the police</w:t>
      </w:r>
      <w:r w:rsidRPr="000C551F">
        <w:rPr>
          <w:sz w:val="16"/>
        </w:rPr>
        <w:t xml:space="preserve"> and is sometimes even taken as a social process involving civil society at large rather than a professional duty carried out by a State agency. </w:t>
      </w:r>
      <w:r w:rsidRPr="002C433E">
        <w:rPr>
          <w:rStyle w:val="StyleUnderline"/>
          <w:highlight w:val="yellow"/>
        </w:rPr>
        <w:t>However, such an interpretation of the concept of ‘policing’ may create unnecessary confusion,</w:t>
      </w:r>
      <w:r w:rsidRPr="002C433E">
        <w:rPr>
          <w:rStyle w:val="StyleUnderline"/>
        </w:rPr>
        <w:t xml:space="preserve"> </w:t>
      </w:r>
      <w:r w:rsidRPr="000C551F">
        <w:rPr>
          <w:sz w:val="16"/>
        </w:rPr>
        <w:t xml:space="preserve">underlined by the fact that Human Rights and the Police 43 </w:t>
      </w:r>
      <w:proofErr w:type="gramStart"/>
      <w:r w:rsidRPr="000C551F">
        <w:rPr>
          <w:sz w:val="16"/>
        </w:rPr>
        <w:t>5 )</w:t>
      </w:r>
      <w:proofErr w:type="gramEnd"/>
      <w:r w:rsidRPr="000C551F">
        <w:rPr>
          <w:sz w:val="16"/>
        </w:rPr>
        <w:t xml:space="preserve"> The word first appeared c.1530 in the English language, as a synonym for ‘policy’, that is civil administration. Up to the mid-19th century, ‘police’ in English meant both ‘civil administration’ and, borrowed from French, ‘administration of public order’. Online Etymological Dictionary, at www.etymonline.com. </w:t>
      </w:r>
      <w:proofErr w:type="gramStart"/>
      <w:r w:rsidRPr="000C551F">
        <w:rPr>
          <w:sz w:val="16"/>
        </w:rPr>
        <w:t>6 )</w:t>
      </w:r>
      <w:proofErr w:type="gramEnd"/>
      <w:r w:rsidRPr="000C551F">
        <w:rPr>
          <w:sz w:val="16"/>
        </w:rPr>
        <w:t xml:space="preserve"> See for example; Cachet, A., 1990, </w:t>
      </w:r>
      <w:proofErr w:type="spellStart"/>
      <w:r w:rsidRPr="000C551F">
        <w:rPr>
          <w:sz w:val="16"/>
        </w:rPr>
        <w:t>Politie</w:t>
      </w:r>
      <w:proofErr w:type="spellEnd"/>
      <w:r w:rsidRPr="000C551F">
        <w:rPr>
          <w:sz w:val="16"/>
        </w:rPr>
        <w:t xml:space="preserve"> </w:t>
      </w:r>
      <w:proofErr w:type="spellStart"/>
      <w:r w:rsidRPr="000C551F">
        <w:rPr>
          <w:sz w:val="16"/>
        </w:rPr>
        <w:t>en</w:t>
      </w:r>
      <w:proofErr w:type="spellEnd"/>
      <w:r w:rsidRPr="000C551F">
        <w:rPr>
          <w:sz w:val="16"/>
        </w:rPr>
        <w:t xml:space="preserve"> </w:t>
      </w:r>
      <w:proofErr w:type="spellStart"/>
      <w:r w:rsidRPr="000C551F">
        <w:rPr>
          <w:sz w:val="16"/>
        </w:rPr>
        <w:t>sociale</w:t>
      </w:r>
      <w:proofErr w:type="spellEnd"/>
      <w:r w:rsidRPr="000C551F">
        <w:rPr>
          <w:sz w:val="16"/>
        </w:rPr>
        <w:t xml:space="preserve"> </w:t>
      </w:r>
      <w:proofErr w:type="spellStart"/>
      <w:r w:rsidRPr="000C551F">
        <w:rPr>
          <w:sz w:val="16"/>
        </w:rPr>
        <w:t>controle</w:t>
      </w:r>
      <w:proofErr w:type="spellEnd"/>
      <w:r w:rsidRPr="000C551F">
        <w:rPr>
          <w:sz w:val="16"/>
        </w:rPr>
        <w:t xml:space="preserve">. </w:t>
      </w:r>
      <w:proofErr w:type="gramStart"/>
      <w:r w:rsidRPr="000C551F">
        <w:rPr>
          <w:sz w:val="16"/>
        </w:rPr>
        <w:t>7 )</w:t>
      </w:r>
      <w:proofErr w:type="gramEnd"/>
      <w:r w:rsidRPr="000C551F">
        <w:rPr>
          <w:sz w:val="16"/>
        </w:rPr>
        <w:t xml:space="preserve"> Das, </w:t>
      </w:r>
      <w:proofErr w:type="spellStart"/>
      <w:r w:rsidRPr="000C551F">
        <w:rPr>
          <w:sz w:val="16"/>
        </w:rPr>
        <w:t>Dilip</w:t>
      </w:r>
      <w:proofErr w:type="spellEnd"/>
      <w:r w:rsidRPr="000C551F">
        <w:rPr>
          <w:sz w:val="16"/>
        </w:rPr>
        <w:t xml:space="preserve"> K., 1997, “Challenges of policing democracies: a world perspective.” p. 628. </w:t>
      </w:r>
      <w:proofErr w:type="gramStart"/>
      <w:r w:rsidRPr="000C551F">
        <w:rPr>
          <w:sz w:val="16"/>
        </w:rPr>
        <w:t>the</w:t>
      </w:r>
      <w:proofErr w:type="gramEnd"/>
      <w:r w:rsidRPr="000C551F">
        <w:rPr>
          <w:sz w:val="16"/>
        </w:rPr>
        <w:t xml:space="preserve"> term is not always easy to translate in other languages. </w:t>
      </w:r>
      <w:r w:rsidRPr="002C433E">
        <w:rPr>
          <w:rStyle w:val="StyleUnderline"/>
          <w:highlight w:val="yellow"/>
        </w:rPr>
        <w:t>We will therefore use a simple definition and define policing as ‘what the police do to ensure compliance with the law</w:t>
      </w:r>
      <w:r w:rsidRPr="000C551F">
        <w:rPr>
          <w:sz w:val="16"/>
        </w:rPr>
        <w:t xml:space="preserve">’. </w:t>
      </w:r>
    </w:p>
    <w:p w:rsidR="000C551F" w:rsidRDefault="000C551F" w:rsidP="000C551F">
      <w:pPr>
        <w:pStyle w:val="Heading4"/>
      </w:pPr>
      <w:r>
        <w:t>A narrow definition of policing as law enforcement is essential to limit and focus study</w:t>
      </w:r>
    </w:p>
    <w:p w:rsidR="000C551F" w:rsidRDefault="000C551F" w:rsidP="000C551F">
      <w:r w:rsidRPr="000C551F">
        <w:rPr>
          <w:rStyle w:val="Style13ptBold"/>
        </w:rPr>
        <w:t>Rowe 13</w:t>
      </w:r>
      <w:r>
        <w:t xml:space="preserve"> Michael Rowe is a Professor of Social Sciences at </w:t>
      </w:r>
      <w:proofErr w:type="spellStart"/>
      <w:r>
        <w:t>Northumbria</w:t>
      </w:r>
      <w:proofErr w:type="spellEnd"/>
      <w:r>
        <w:t xml:space="preserve"> University, former Director of the Institute of Criminology at Victoria University Wellington and senior lecturer in criminology at the University of Leicester. Introduction to Policing, https://www.sagepub.com/sites/default/files/upm-binaries/66160_Rowe__Intro_to_Policing.pdf</w:t>
      </w:r>
    </w:p>
    <w:p w:rsidR="000C551F" w:rsidRPr="000C551F" w:rsidRDefault="000C551F" w:rsidP="000C551F">
      <w:pPr>
        <w:rPr>
          <w:sz w:val="16"/>
        </w:rPr>
      </w:pPr>
      <w:r w:rsidRPr="000C551F">
        <w:rPr>
          <w:rStyle w:val="StyleUnderline"/>
          <w:highlight w:val="yellow"/>
        </w:rPr>
        <w:t>Before attempting to answer the question ‘what is policing</w:t>
      </w:r>
      <w:r w:rsidRPr="000C551F">
        <w:rPr>
          <w:sz w:val="16"/>
        </w:rPr>
        <w:t xml:space="preserve">?’ a point of clarification needs to be made. </w:t>
      </w:r>
      <w:r w:rsidRPr="000C551F">
        <w:rPr>
          <w:rStyle w:val="StyleUnderline"/>
          <w:highlight w:val="yellow"/>
        </w:rPr>
        <w:t>Most important is the need to distinguish between the narrow</w:t>
      </w:r>
      <w:r w:rsidRPr="000C551F">
        <w:rPr>
          <w:sz w:val="16"/>
        </w:rPr>
        <w:t xml:space="preserve"> set of functions performed by the institution of the police service </w:t>
      </w:r>
      <w:r w:rsidRPr="000C551F">
        <w:rPr>
          <w:rStyle w:val="StyleUnderline"/>
          <w:highlight w:val="yellow"/>
        </w:rPr>
        <w:t>and</w:t>
      </w:r>
      <w:r w:rsidRPr="000C551F">
        <w:rPr>
          <w:sz w:val="16"/>
        </w:rPr>
        <w:t xml:space="preserve"> the </w:t>
      </w:r>
      <w:r w:rsidRPr="000C551F">
        <w:rPr>
          <w:rStyle w:val="StyleUnderline"/>
          <w:highlight w:val="yellow"/>
        </w:rPr>
        <w:t>broader processes of social regulation</w:t>
      </w:r>
      <w:r w:rsidRPr="000C551F">
        <w:rPr>
          <w:sz w:val="16"/>
        </w:rPr>
        <w:t xml:space="preserve"> and reproduction that govern everyday lives. The wider account of policing as a social function stresses that many institutions that do not have any formal role in the regulation of social life in practice contribute to the development of social norms and standards of </w:t>
      </w:r>
      <w:proofErr w:type="spellStart"/>
      <w:r w:rsidRPr="000C551F">
        <w:rPr>
          <w:sz w:val="16"/>
        </w:rPr>
        <w:t>behaviour</w:t>
      </w:r>
      <w:proofErr w:type="spellEnd"/>
      <w:r w:rsidRPr="000C551F">
        <w:rPr>
          <w:sz w:val="16"/>
        </w:rPr>
        <w:t xml:space="preserve"> that underpin the ordinary social interaction of everyday activity. </w:t>
      </w:r>
      <w:r w:rsidRPr="000C551F">
        <w:rPr>
          <w:rStyle w:val="StyleUnderline"/>
          <w:highlight w:val="yellow"/>
        </w:rPr>
        <w:t>The word ‘policing’</w:t>
      </w:r>
      <w:r w:rsidRPr="000C551F">
        <w:rPr>
          <w:sz w:val="16"/>
        </w:rPr>
        <w:t xml:space="preserve"> is etymologically related to ‘politics’, the governance of the city or state, and </w:t>
      </w:r>
      <w:r w:rsidRPr="000C551F">
        <w:rPr>
          <w:rStyle w:val="StyleUnderline"/>
          <w:highlight w:val="yellow"/>
        </w:rPr>
        <w:t>was used in broad terms to signify social regulation in the widest sense</w:t>
      </w:r>
      <w:r w:rsidRPr="000C551F">
        <w:rPr>
          <w:sz w:val="16"/>
        </w:rPr>
        <w:t xml:space="preserve">. Box 1.1 outlines the development of the term. ‘Policing’ did not come to be associated with the particular activities of a specific institution (the police) until relatively recently in many societies. The historical development of the police in Britain is described in the next chapter, which shows that demand for a particular </w:t>
      </w:r>
      <w:proofErr w:type="spellStart"/>
      <w:r w:rsidRPr="000C551F">
        <w:rPr>
          <w:sz w:val="16"/>
        </w:rPr>
        <w:t>organisation</w:t>
      </w:r>
      <w:proofErr w:type="spellEnd"/>
      <w:r w:rsidRPr="000C551F">
        <w:rPr>
          <w:sz w:val="16"/>
        </w:rPr>
        <w:t xml:space="preserve"> to police society emerged in Britain during the eighteenth century. Schools provide a good example of the broader process of social regulation as they play a central role in the </w:t>
      </w:r>
      <w:proofErr w:type="spellStart"/>
      <w:r w:rsidRPr="000C551F">
        <w:rPr>
          <w:sz w:val="16"/>
        </w:rPr>
        <w:t>socialisation</w:t>
      </w:r>
      <w:proofErr w:type="spellEnd"/>
      <w:r w:rsidRPr="000C551F">
        <w:rPr>
          <w:sz w:val="16"/>
        </w:rPr>
        <w:t xml:space="preserve"> of young people by preparing them for adult life. This is not the primary function of the education system, of course, but recent debates about the development of the study of citizenship within schools indicate that preparing young people for their post-school lives is increasingly </w:t>
      </w:r>
      <w:proofErr w:type="spellStart"/>
      <w:r w:rsidRPr="000C551F">
        <w:rPr>
          <w:sz w:val="16"/>
        </w:rPr>
        <w:t>recognised</w:t>
      </w:r>
      <w:proofErr w:type="spellEnd"/>
      <w:r w:rsidRPr="000C551F">
        <w:rPr>
          <w:sz w:val="16"/>
        </w:rPr>
        <w:t xml:space="preserve"> as an important secondary role. For these reasons it is readily apparent that the education system plays a central role in the policing of society, if that is conceived in terms of the broad process of social regulation. Many other agencies also contribute to this process in ways that are less obvious: religious groups, health providers, and the business sector – to take three examples – contribute in various ways to the </w:t>
      </w:r>
      <w:proofErr w:type="spellStart"/>
      <w:r w:rsidRPr="000C551F">
        <w:rPr>
          <w:sz w:val="16"/>
        </w:rPr>
        <w:t>organisation</w:t>
      </w:r>
      <w:proofErr w:type="spellEnd"/>
      <w:r w:rsidRPr="000C551F">
        <w:rPr>
          <w:sz w:val="16"/>
        </w:rPr>
        <w:t xml:space="preserve"> of social life and could be regarded as part of the process of policing. Increasingly these ‘third party’ agencies have been corralled into formal frameworks of regulation and are legally obliged to monitor client </w:t>
      </w:r>
      <w:proofErr w:type="spellStart"/>
      <w:r w:rsidRPr="000C551F">
        <w:rPr>
          <w:sz w:val="16"/>
        </w:rPr>
        <w:t>behaviour</w:t>
      </w:r>
      <w:proofErr w:type="spellEnd"/>
      <w:r w:rsidRPr="000C551F">
        <w:rPr>
          <w:sz w:val="16"/>
        </w:rPr>
        <w:t xml:space="preserve"> and report suspicious activities to law enforcement agencies (Mazerolle and </w:t>
      </w:r>
      <w:proofErr w:type="spellStart"/>
      <w:r w:rsidRPr="000C551F">
        <w:rPr>
          <w:sz w:val="16"/>
        </w:rPr>
        <w:t>Ransley</w:t>
      </w:r>
      <w:proofErr w:type="spellEnd"/>
      <w:r w:rsidRPr="000C551F">
        <w:rPr>
          <w:sz w:val="16"/>
        </w:rPr>
        <w:t xml:space="preserve">, 2005). Some might argue that the media play a central role in shaping subjective interpretation of the world and the place of the individual within it and so are important agents of policing in this wider sense. In Chapter 10 the increasing range of institutions engaged in police networks is considered in more detail. </w:t>
      </w:r>
      <w:r w:rsidRPr="000C551F">
        <w:rPr>
          <w:rStyle w:val="StyleUnderline"/>
          <w:highlight w:val="yellow"/>
        </w:rPr>
        <w:t xml:space="preserve">The difficulty of </w:t>
      </w:r>
      <w:proofErr w:type="spellStart"/>
      <w:r w:rsidRPr="000C551F">
        <w:rPr>
          <w:rStyle w:val="StyleUnderline"/>
          <w:highlight w:val="yellow"/>
        </w:rPr>
        <w:t>theorising</w:t>
      </w:r>
      <w:proofErr w:type="spellEnd"/>
      <w:r w:rsidRPr="000C551F">
        <w:rPr>
          <w:rStyle w:val="StyleUnderline"/>
          <w:highlight w:val="yellow"/>
        </w:rPr>
        <w:t xml:space="preserve"> policing in these broad terms is that it becomes difficult to know where the category can be closed</w:t>
      </w:r>
      <w:r w:rsidRPr="000C551F">
        <w:rPr>
          <w:sz w:val="16"/>
        </w:rPr>
        <w:t xml:space="preserve">. It might be important to </w:t>
      </w:r>
      <w:proofErr w:type="spellStart"/>
      <w:r w:rsidRPr="000C551F">
        <w:rPr>
          <w:sz w:val="16"/>
        </w:rPr>
        <w:t>recognise</w:t>
      </w:r>
      <w:proofErr w:type="spellEnd"/>
      <w:r w:rsidRPr="000C551F">
        <w:rPr>
          <w:sz w:val="16"/>
        </w:rPr>
        <w:t xml:space="preserve"> that policing is not just the business of the formal police service and that other institutions play a crucial role in developing, for example, public perceptions of criminal or deviant </w:t>
      </w:r>
      <w:proofErr w:type="spellStart"/>
      <w:r w:rsidRPr="000C551F">
        <w:rPr>
          <w:sz w:val="16"/>
        </w:rPr>
        <w:t>behaviour</w:t>
      </w:r>
      <w:proofErr w:type="spellEnd"/>
      <w:r w:rsidRPr="000C551F">
        <w:rPr>
          <w:sz w:val="16"/>
        </w:rPr>
        <w:t xml:space="preserve">, but the same could be said for almost any and every aspect of social life. For this reason, much of this book will focus on the narrow approach to policing and concentrate primarily on the activities of the police service and so this initial discussion of ‘what is policing?’ is also cast relatively narrow. Other agencies, both in the private and the public sector, play an increasingly important role in the business of policing and where relevant these are included in the discussion and analysis in the chapters that follow. Since the police service cannot be understood in isolation from broader social developments the wider dynamics of policing are crucial to many of the topics featured throughout the book. For the purposes of understanding ‘what is policing?’, though, it is to the narrower role of the police service that the analysis now turns. Even a narrow focus on the institution of the police raises the dilemma of how to answer the question, and two perspectives are taken here. This chapter addresses the question literally by exploring what it is that the police do. Chapter 2 explores the question in historical terms by charting the myriad factors that led to the establishment of the modern police service in the nineteenth century. </w:t>
      </w:r>
      <w:proofErr w:type="gramStart"/>
      <w:r w:rsidRPr="000C551F">
        <w:rPr>
          <w:sz w:val="16"/>
        </w:rPr>
        <w:t>what</w:t>
      </w:r>
      <w:proofErr w:type="gramEnd"/>
      <w:r w:rsidRPr="000C551F">
        <w:rPr>
          <w:sz w:val="16"/>
        </w:rPr>
        <w:t xml:space="preserve"> is policing? Attempts to define policing have focused upon a range of different aspects of the diverse roles that the service performs. Chapter 2 provides an alternative approach by considering the historical development of the police service in Britain. In this section various other perspectives are discussed. First, </w:t>
      </w:r>
      <w:r w:rsidRPr="000C551F">
        <w:rPr>
          <w:rStyle w:val="StyleUnderline"/>
          <w:highlight w:val="yellow"/>
        </w:rPr>
        <w:t>a</w:t>
      </w:r>
      <w:r w:rsidRPr="000C551F">
        <w:rPr>
          <w:rStyle w:val="StyleUnderline"/>
        </w:rPr>
        <w:t xml:space="preserve"> </w:t>
      </w:r>
      <w:r w:rsidRPr="000C551F">
        <w:rPr>
          <w:sz w:val="16"/>
        </w:rPr>
        <w:t>traditional ‘</w:t>
      </w:r>
      <w:r w:rsidRPr="000C551F">
        <w:rPr>
          <w:rStyle w:val="StyleUnderline"/>
          <w:highlight w:val="yellow"/>
        </w:rPr>
        <w:t>common sense’ definition of police</w:t>
      </w:r>
      <w:r w:rsidRPr="000C551F">
        <w:rPr>
          <w:sz w:val="16"/>
        </w:rPr>
        <w:t xml:space="preserve"> work – that </w:t>
      </w:r>
      <w:r w:rsidRPr="000C551F">
        <w:rPr>
          <w:rStyle w:val="StyleUnderline"/>
          <w:highlight w:val="yellow"/>
        </w:rPr>
        <w:t>it is primarily a matter of law-enforcement</w:t>
      </w:r>
      <w:r w:rsidRPr="000C551F">
        <w:rPr>
          <w:sz w:val="16"/>
        </w:rPr>
        <w:t xml:space="preserve"> – is considered. Although this approach does not account for the many other aspects of police work that do not, directly or indirectly, relate to crime control and law-enforcement, </w:t>
      </w:r>
      <w:r w:rsidRPr="000C551F">
        <w:rPr>
          <w:rStyle w:val="StyleUnderline"/>
          <w:highlight w:val="yellow"/>
        </w:rPr>
        <w:t>it has the advantage of providing a relatively clear, concise definition</w:t>
      </w:r>
      <w:r w:rsidRPr="000C551F">
        <w:rPr>
          <w:sz w:val="16"/>
        </w:rPr>
        <w:t xml:space="preserve">. Other perspectives that seek to reflect the wider activities performed by the police are then considered. One approach has </w:t>
      </w:r>
      <w:proofErr w:type="gramStart"/>
      <w:r w:rsidRPr="000C551F">
        <w:rPr>
          <w:sz w:val="16"/>
        </w:rPr>
        <w:t>been</w:t>
      </w:r>
      <w:proofErr w:type="gramEnd"/>
      <w:r w:rsidRPr="000C551F">
        <w:rPr>
          <w:sz w:val="16"/>
        </w:rPr>
        <w:t xml:space="preserve"> to define the police service in terms of its recourse to the use of force, and the power of the police service over ordinary citizens. Certainly, the police service exerts coercive power over citizens that is not available to many other agencies. However, approaches based on the centrality of force to policing need to account for the recourse that other institutions have to physical force, but might still prove coercive in terms of exerting power over the lives of citizens. Moreover, studies suggest that a characteristic of police work is to under-enforce the law and to use persuasion and negotiation rather </w:t>
      </w:r>
      <w:proofErr w:type="spellStart"/>
      <w:r w:rsidRPr="000C551F">
        <w:rPr>
          <w:sz w:val="16"/>
        </w:rPr>
        <w:t>then</w:t>
      </w:r>
      <w:proofErr w:type="spellEnd"/>
      <w:r w:rsidRPr="000C551F">
        <w:rPr>
          <w:sz w:val="16"/>
        </w:rPr>
        <w:t xml:space="preserve"> physical force, although the potential to do so remains. Another approach to understanding policing focuses on the routine functions performed by officers. These perspectives tend to note the breadth and diversity of tasks that the police perform, many of which are </w:t>
      </w:r>
      <w:proofErr w:type="spellStart"/>
      <w:r w:rsidRPr="000C551F">
        <w:rPr>
          <w:sz w:val="16"/>
        </w:rPr>
        <w:t>characterised</w:t>
      </w:r>
      <w:proofErr w:type="spellEnd"/>
      <w:r w:rsidRPr="000C551F">
        <w:rPr>
          <w:sz w:val="16"/>
        </w:rPr>
        <w:t xml:space="preserve"> by </w:t>
      </w:r>
      <w:r w:rsidRPr="000C551F">
        <w:rPr>
          <w:rStyle w:val="StyleUnderline"/>
          <w:highlight w:val="yellow"/>
        </w:rPr>
        <w:t>a broader</w:t>
      </w:r>
      <w:r w:rsidRPr="000C551F">
        <w:rPr>
          <w:sz w:val="16"/>
        </w:rPr>
        <w:t xml:space="preserve"> public service </w:t>
      </w:r>
      <w:r w:rsidRPr="000C551F">
        <w:rPr>
          <w:rStyle w:val="StyleUnderline"/>
          <w:highlight w:val="yellow"/>
        </w:rPr>
        <w:t>ethos</w:t>
      </w:r>
      <w:r w:rsidRPr="000C551F">
        <w:rPr>
          <w:rStyle w:val="StyleUnderline"/>
        </w:rPr>
        <w:t xml:space="preserve"> </w:t>
      </w:r>
      <w:r w:rsidRPr="000C551F">
        <w:rPr>
          <w:sz w:val="16"/>
        </w:rPr>
        <w:t xml:space="preserve">not related to crime control. In contrast to the law-enforcement model, this has the advantage of reflecting the realities of police work, but </w:t>
      </w:r>
      <w:r w:rsidRPr="000C551F">
        <w:rPr>
          <w:rStyle w:val="StyleUnderline"/>
          <w:highlight w:val="yellow"/>
        </w:rPr>
        <w:t>tends to result in definitions that are so broad that they lack focus</w:t>
      </w:r>
      <w:r w:rsidRPr="000C551F">
        <w:rPr>
          <w:sz w:val="16"/>
        </w:rPr>
        <w:t xml:space="preserve">. Another approach that tends to suggest that law-enforcement is only part of the police role </w:t>
      </w:r>
      <w:proofErr w:type="spellStart"/>
      <w:r w:rsidRPr="000C551F">
        <w:rPr>
          <w:sz w:val="16"/>
        </w:rPr>
        <w:t>characterises</w:t>
      </w:r>
      <w:proofErr w:type="spellEnd"/>
      <w:r w:rsidRPr="000C551F">
        <w:rPr>
          <w:sz w:val="16"/>
        </w:rPr>
        <w:t xml:space="preserve"> the bureaucratic and administrative responsibilities of officers. The gathering, interrogation and communication of intelligence relating to crime, disorder and antisocial </w:t>
      </w:r>
      <w:proofErr w:type="spellStart"/>
      <w:r w:rsidRPr="000C551F">
        <w:rPr>
          <w:sz w:val="16"/>
        </w:rPr>
        <w:t>behaviour</w:t>
      </w:r>
      <w:proofErr w:type="spellEnd"/>
      <w:r w:rsidRPr="000C551F">
        <w:rPr>
          <w:sz w:val="16"/>
        </w:rPr>
        <w:t xml:space="preserve"> have, it is argued, become the defining characteristic of police work. A final perspective is an institutional one that relates to the role of the police service in terms of the broader functions of the criminal justice system. </w:t>
      </w:r>
    </w:p>
    <w:p w:rsidR="000C551F" w:rsidRDefault="000C551F" w:rsidP="000C551F"/>
    <w:p w:rsidR="000C551F" w:rsidRDefault="000C551F" w:rsidP="000C551F">
      <w:pPr>
        <w:pStyle w:val="Heading4"/>
      </w:pPr>
      <w:r>
        <w:t>Policing is law enforcement</w:t>
      </w:r>
    </w:p>
    <w:p w:rsidR="000C551F" w:rsidRDefault="000C551F" w:rsidP="000C551F">
      <w:proofErr w:type="spellStart"/>
      <w:r w:rsidRPr="00E029D1">
        <w:rPr>
          <w:rStyle w:val="Style13ptBold"/>
        </w:rPr>
        <w:t>Ulvi</w:t>
      </w:r>
      <w:proofErr w:type="spellEnd"/>
      <w:r w:rsidRPr="00E029D1">
        <w:rPr>
          <w:rStyle w:val="Style13ptBold"/>
        </w:rPr>
        <w:t xml:space="preserve"> 14</w:t>
      </w:r>
      <w:r>
        <w:t xml:space="preserve"> Kun </w:t>
      </w:r>
      <w:proofErr w:type="spellStart"/>
      <w:r>
        <w:t>Ulvi</w:t>
      </w:r>
      <w:proofErr w:type="spellEnd"/>
      <w:r>
        <w:t xml:space="preserve"> PhD in Government and Public Affairs Virginia Commonwealth University The Use of Geographic Information Systems by Law Enforcement Agencies and Its Impact on Police Performance https://scholarscompass.vcu.edu/cgi/viewcontent.cgi?article=4400&amp;context=etd</w:t>
      </w:r>
    </w:p>
    <w:p w:rsidR="000C551F" w:rsidRPr="004E5FDD" w:rsidRDefault="000C551F" w:rsidP="000C551F">
      <w:pPr>
        <w:rPr>
          <w:sz w:val="16"/>
        </w:rPr>
      </w:pPr>
      <w:r w:rsidRPr="004E5FDD">
        <w:rPr>
          <w:sz w:val="16"/>
        </w:rPr>
        <w:t xml:space="preserve">In addition to the above, several studies examine the role of police in the community and their effect on crime. </w:t>
      </w:r>
      <w:r w:rsidRPr="004E5FDD">
        <w:rPr>
          <w:rStyle w:val="StyleUnderline"/>
          <w:highlight w:val="yellow"/>
        </w:rPr>
        <w:t>Policing is defined as a</w:t>
      </w:r>
      <w:r w:rsidRPr="00E029D1">
        <w:rPr>
          <w:rStyle w:val="StyleUnderline"/>
        </w:rPr>
        <w:t xml:space="preserve"> dynamic </w:t>
      </w:r>
      <w:r w:rsidRPr="004E5FDD">
        <w:rPr>
          <w:rStyle w:val="StyleUnderline"/>
          <w:highlight w:val="yellow"/>
        </w:rPr>
        <w:t>service delivery to enforce the law and keep the order in an area via law enforcement agencies</w:t>
      </w:r>
      <w:r w:rsidRPr="004E5FDD">
        <w:rPr>
          <w:sz w:val="16"/>
        </w:rPr>
        <w:t xml:space="preserve"> (</w:t>
      </w:r>
      <w:proofErr w:type="spellStart"/>
      <w:r w:rsidRPr="004E5FDD">
        <w:rPr>
          <w:sz w:val="16"/>
        </w:rPr>
        <w:t>Skogan</w:t>
      </w:r>
      <w:proofErr w:type="spellEnd"/>
      <w:r w:rsidRPr="004E5FDD">
        <w:rPr>
          <w:sz w:val="16"/>
        </w:rPr>
        <w:t xml:space="preserve"> &amp; </w:t>
      </w:r>
      <w:proofErr w:type="spellStart"/>
      <w:r w:rsidRPr="004E5FDD">
        <w:rPr>
          <w:sz w:val="16"/>
        </w:rPr>
        <w:t>Frydl</w:t>
      </w:r>
      <w:proofErr w:type="spellEnd"/>
      <w:r w:rsidRPr="004E5FDD">
        <w:rPr>
          <w:sz w:val="16"/>
        </w:rPr>
        <w:t xml:space="preserve">, 2004). The role of policing in society is considered to fall within the deterrence understanding and there is ongoing research examining the relation between policing and crime levels (Ehrlich, 1973; Wilson &amp; Boland, 1977; Marvell &amp; Moody, 1996; </w:t>
      </w:r>
      <w:proofErr w:type="spellStart"/>
      <w:r w:rsidRPr="004E5FDD">
        <w:rPr>
          <w:sz w:val="16"/>
        </w:rPr>
        <w:t>Vollaard</w:t>
      </w:r>
      <w:proofErr w:type="spellEnd"/>
      <w:r w:rsidRPr="004E5FDD">
        <w:rPr>
          <w:sz w:val="16"/>
        </w:rPr>
        <w:t>, 2005). Notably, some scholars questioned the efficacy of policing on crime reduction for a period of time (</w:t>
      </w:r>
      <w:proofErr w:type="spellStart"/>
      <w:r w:rsidRPr="004E5FDD">
        <w:rPr>
          <w:sz w:val="16"/>
        </w:rPr>
        <w:t>Klockars</w:t>
      </w:r>
      <w:proofErr w:type="spellEnd"/>
      <w:r w:rsidRPr="004E5FDD">
        <w:rPr>
          <w:sz w:val="16"/>
        </w:rPr>
        <w:t xml:space="preserve">, 1980; </w:t>
      </w:r>
      <w:proofErr w:type="spellStart"/>
      <w:r w:rsidRPr="004E5FDD">
        <w:rPr>
          <w:sz w:val="16"/>
        </w:rPr>
        <w:t>Hirschi</w:t>
      </w:r>
      <w:proofErr w:type="spellEnd"/>
      <w:r w:rsidRPr="004E5FDD">
        <w:rPr>
          <w:sz w:val="16"/>
        </w:rPr>
        <w:t xml:space="preserve"> &amp; </w:t>
      </w:r>
      <w:proofErr w:type="spellStart"/>
      <w:r w:rsidRPr="004E5FDD">
        <w:rPr>
          <w:sz w:val="16"/>
        </w:rPr>
        <w:t>Gottfredson</w:t>
      </w:r>
      <w:proofErr w:type="spellEnd"/>
      <w:r w:rsidRPr="004E5FDD">
        <w:rPr>
          <w:sz w:val="16"/>
        </w:rPr>
        <w:t xml:space="preserve">, 1993; Moran, 1995; Bayley, 1996) and most of these studies were found to be biased as a result of specification problems and the effect of the police was substantial (Marvell &amp; Moody, 1996). In fact, recent researches have shown more clear evidence of the efficacy of policing in reducing crime (Gallo, 1998; Eck and Maguire, 2000; Levitt, 2004; </w:t>
      </w:r>
      <w:proofErr w:type="spellStart"/>
      <w:r w:rsidRPr="004E5FDD">
        <w:rPr>
          <w:sz w:val="16"/>
        </w:rPr>
        <w:t>Weisburd</w:t>
      </w:r>
      <w:proofErr w:type="spellEnd"/>
      <w:r w:rsidRPr="004E5FDD">
        <w:rPr>
          <w:sz w:val="16"/>
        </w:rPr>
        <w:t xml:space="preserve"> &amp; Eck, 2004; Braga &amp; </w:t>
      </w:r>
      <w:proofErr w:type="spellStart"/>
      <w:r w:rsidRPr="004E5FDD">
        <w:rPr>
          <w:sz w:val="16"/>
        </w:rPr>
        <w:t>Weisburd</w:t>
      </w:r>
      <w:proofErr w:type="spellEnd"/>
      <w:r w:rsidRPr="004E5FDD">
        <w:rPr>
          <w:sz w:val="16"/>
        </w:rPr>
        <w:t>, 2006)</w:t>
      </w:r>
    </w:p>
    <w:p w:rsidR="000C551F" w:rsidRDefault="000C551F" w:rsidP="000C551F"/>
    <w:p w:rsidR="000C551F" w:rsidRDefault="000C551F" w:rsidP="000C551F">
      <w:pPr>
        <w:pStyle w:val="Heading4"/>
      </w:pPr>
      <w:r>
        <w:t>Policing is different from police—</w:t>
      </w:r>
      <w:proofErr w:type="gramStart"/>
      <w:r>
        <w:t>Every</w:t>
      </w:r>
      <w:proofErr w:type="gramEnd"/>
      <w:r>
        <w:t xml:space="preserve"> individual in a community is part of the area of policing</w:t>
      </w:r>
    </w:p>
    <w:p w:rsidR="000C551F" w:rsidRPr="00EE5E96" w:rsidRDefault="000C551F" w:rsidP="00EE5E96">
      <w:pPr>
        <w:rPr>
          <w:sz w:val="16"/>
        </w:rPr>
      </w:pPr>
      <w:r w:rsidRPr="00082862">
        <w:rPr>
          <w:rStyle w:val="StyleUnderline"/>
          <w:highlight w:val="yellow"/>
        </w:rPr>
        <w:t>If we are to achieve real</w:t>
      </w:r>
      <w:r w:rsidRPr="00450A67">
        <w:rPr>
          <w:rStyle w:val="StyleUnderline"/>
        </w:rPr>
        <w:t xml:space="preserve"> and sustainable </w:t>
      </w:r>
      <w:r w:rsidRPr="00082862">
        <w:rPr>
          <w:rStyle w:val="StyleUnderline"/>
          <w:highlight w:val="yellow"/>
        </w:rPr>
        <w:t>reform</w:t>
      </w:r>
      <w:r w:rsidRPr="00450A67">
        <w:rPr>
          <w:rStyle w:val="StyleUnderline"/>
        </w:rPr>
        <w:t xml:space="preserve"> in law enforcement</w:t>
      </w:r>
      <w:r w:rsidRPr="00450A67">
        <w:rPr>
          <w:rStyle w:val="StyleUnderline"/>
          <w:highlight w:val="yellow"/>
        </w:rPr>
        <w:t>, our focus must shift from the police</w:t>
      </w:r>
      <w:r w:rsidRPr="00450A67">
        <w:rPr>
          <w:sz w:val="16"/>
        </w:rPr>
        <w:t xml:space="preserve"> (those individuals sworn to uphold the law) </w:t>
      </w:r>
      <w:r w:rsidRPr="00450A67">
        <w:rPr>
          <w:rStyle w:val="StyleUnderline"/>
          <w:highlight w:val="yellow"/>
        </w:rPr>
        <w:t xml:space="preserve">to policing systems </w:t>
      </w:r>
      <w:r w:rsidRPr="00450A67">
        <w:rPr>
          <w:rStyle w:val="StyleUnderline"/>
        </w:rPr>
        <w:t>(</w:t>
      </w:r>
      <w:r w:rsidRPr="00082862">
        <w:rPr>
          <w:rStyle w:val="StyleUnderline"/>
          <w:highlight w:val="yellow"/>
        </w:rPr>
        <w:t>the policies, practices, and culture of police organizations</w:t>
      </w:r>
      <w:r w:rsidRPr="00450A67">
        <w:rPr>
          <w:rStyle w:val="StyleUnderline"/>
        </w:rPr>
        <w:t>). And through reform, our policing systems must identify</w:t>
      </w:r>
      <w:r w:rsidRPr="00450A67">
        <w:rPr>
          <w:sz w:val="16"/>
        </w:rPr>
        <w:t xml:space="preserve"> not just the roles and responsibilities of the police but </w:t>
      </w:r>
      <w:r w:rsidRPr="00450A67">
        <w:rPr>
          <w:rStyle w:val="StyleUnderline"/>
        </w:rPr>
        <w:t>the roles and responsibilities of the community</w:t>
      </w:r>
      <w:r w:rsidRPr="00450A67">
        <w:rPr>
          <w:sz w:val="16"/>
        </w:rPr>
        <w:t xml:space="preserve"> as well. After all, </w:t>
      </w:r>
      <w:r w:rsidRPr="00082862">
        <w:rPr>
          <w:rStyle w:val="StyleUnderline"/>
          <w:highlight w:val="yellow"/>
        </w:rPr>
        <w:t>communities are a vital part of the policing system</w:t>
      </w:r>
      <w:r w:rsidRPr="00082862">
        <w:rPr>
          <w:sz w:val="16"/>
          <w:highlight w:val="yellow"/>
        </w:rPr>
        <w:t xml:space="preserve">. In the words of Sir Robert Peel, the founder of modern law enforcement, “The police are the public and the public are the police; the police being only members of </w:t>
      </w:r>
      <w:r w:rsidRPr="00082862">
        <w:rPr>
          <w:rStyle w:val="StyleUnderline"/>
          <w:highlight w:val="yellow"/>
        </w:rPr>
        <w:t>the public who are paid to give full time attention to duties which are incumbent on every citizen in the interests of community welfare and existence.”</w:t>
      </w:r>
      <w:r w:rsidRPr="00082862">
        <w:rPr>
          <w:sz w:val="16"/>
          <w:highlight w:val="yellow"/>
        </w:rPr>
        <w:t xml:space="preserve"> </w:t>
      </w:r>
      <w:r w:rsidRPr="00082862">
        <w:rPr>
          <w:rStyle w:val="StyleUnderline"/>
          <w:highlight w:val="yellow"/>
        </w:rPr>
        <w:t>To separate the community from the policing system is akin to separating patients from the health care system or students from the education system</w:t>
      </w:r>
      <w:r w:rsidRPr="00082862">
        <w:rPr>
          <w:sz w:val="16"/>
          <w:highlight w:val="yellow"/>
        </w:rPr>
        <w:t>. Indeed, even the best teacher cannot hel</w:t>
      </w:r>
      <w:r w:rsidRPr="00450A67">
        <w:rPr>
          <w:sz w:val="16"/>
        </w:rPr>
        <w:t xml:space="preserve">p a student who refuses to study. Nor can a doctor cure a patient who refuses to take prescribed medication or to follow the doctor’s orders. The same applies to policing. The level of community involvement in the policing system and </w:t>
      </w:r>
      <w:r w:rsidRPr="00450A67">
        <w:rPr>
          <w:rStyle w:val="StyleUnderline"/>
          <w:highlight w:val="yellow"/>
        </w:rPr>
        <w:t>the level of personal responsibility each community member assumes</w:t>
      </w:r>
      <w:r w:rsidRPr="00450A67">
        <w:rPr>
          <w:sz w:val="16"/>
        </w:rPr>
        <w:t xml:space="preserve"> by cooperating or collaborating with the police </w:t>
      </w:r>
      <w:r w:rsidRPr="00450A67">
        <w:rPr>
          <w:rStyle w:val="StyleUnderline"/>
          <w:highlight w:val="yellow"/>
        </w:rPr>
        <w:t>greatly impact the outcome of the system</w:t>
      </w:r>
      <w:r w:rsidRPr="00450A67">
        <w:rPr>
          <w:sz w:val="16"/>
        </w:rPr>
        <w:t>. Focusing on the policing system does not ignore or excuse the misconduct of individual police officers. To the contrary, the stronger the policing system, the more likely bad officers will be identified and removed from service. The stronger the policing system, the more likely the culture of police organizations will reject officer misconduct and embrace accountability and transparency. And the stronger the policing system, the more likely recruitment and hiring practices will focus not only on hiring diverse, qualified candidates who reflect the communities they serve but also on hiring candidates who see themselves as members of that community.</w:t>
      </w:r>
    </w:p>
    <w:p w:rsidR="00AE7673" w:rsidRDefault="00AE7673" w:rsidP="00AE7673">
      <w:pPr>
        <w:pStyle w:val="Heading4"/>
      </w:pPr>
      <w:r>
        <w:t xml:space="preserve">Military </w:t>
      </w:r>
      <w:r w:rsidR="000C551F">
        <w:t xml:space="preserve">police </w:t>
      </w:r>
      <w:r>
        <w:t>reform is not topical</w:t>
      </w:r>
    </w:p>
    <w:p w:rsidR="00AE7673" w:rsidRDefault="00AE7673" w:rsidP="00AE7673">
      <w:proofErr w:type="spellStart"/>
      <w:r w:rsidRPr="00956C20">
        <w:rPr>
          <w:rStyle w:val="Style13ptBold"/>
        </w:rPr>
        <w:t>Conser</w:t>
      </w:r>
      <w:proofErr w:type="spellEnd"/>
      <w:r w:rsidRPr="00956C20">
        <w:rPr>
          <w:rStyle w:val="Style13ptBold"/>
        </w:rPr>
        <w:t xml:space="preserve"> et al 13</w:t>
      </w:r>
      <w:r>
        <w:t xml:space="preserve"> James A. </w:t>
      </w:r>
      <w:proofErr w:type="spellStart"/>
      <w:r>
        <w:t>Conser</w:t>
      </w:r>
      <w:proofErr w:type="spellEnd"/>
      <w:r>
        <w:t xml:space="preserve"> Professor Emeritus in Criminal Justice at Youngstown State </w:t>
      </w:r>
      <w:proofErr w:type="spellStart"/>
      <w:r>
        <w:t>Univ</w:t>
      </w:r>
      <w:proofErr w:type="spellEnd"/>
      <w:r>
        <w:t xml:space="preserve">, Rebecca </w:t>
      </w:r>
      <w:proofErr w:type="spellStart"/>
      <w:r>
        <w:t>Paynich</w:t>
      </w:r>
      <w:proofErr w:type="spellEnd"/>
      <w:r>
        <w:t xml:space="preserve"> Professor of Criminal Justice at Curry College, Terry E. </w:t>
      </w:r>
      <w:proofErr w:type="spellStart"/>
      <w:r>
        <w:t>Gingerich</w:t>
      </w:r>
      <w:proofErr w:type="spellEnd"/>
      <w:r>
        <w:t xml:space="preserve"> Professor of Criminal Justice Western Oregon University Law Enforcement in the United States 3rd Edition.</w:t>
      </w:r>
    </w:p>
    <w:p w:rsidR="00AE7673" w:rsidRPr="004E5FDD" w:rsidRDefault="00AE7673" w:rsidP="00AE7673">
      <w:pPr>
        <w:rPr>
          <w:sz w:val="16"/>
        </w:rPr>
      </w:pPr>
      <w:r w:rsidRPr="004E5FDD">
        <w:rPr>
          <w:sz w:val="16"/>
        </w:rPr>
        <w:t xml:space="preserve">This chapter introduced you to the field of law enforcement. </w:t>
      </w:r>
      <w:proofErr w:type="spellStart"/>
      <w:proofErr w:type="gramStart"/>
      <w:r w:rsidRPr="004E5FDD">
        <w:rPr>
          <w:sz w:val="16"/>
        </w:rPr>
        <w:t>lt</w:t>
      </w:r>
      <w:proofErr w:type="spellEnd"/>
      <w:proofErr w:type="gramEnd"/>
      <w:r w:rsidRPr="004E5FDD">
        <w:rPr>
          <w:sz w:val="16"/>
        </w:rPr>
        <w:t xml:space="preserve"> described law enforcement as one of the formal processes of social control, which means that it is one of society's attempts to obtain compliance with the law. The common term </w:t>
      </w:r>
      <w:r w:rsidRPr="00BC292A">
        <w:rPr>
          <w:rStyle w:val="StyleUnderline"/>
        </w:rPr>
        <w:t>"policing" is defined as one form of law enforcement that emphasizes the prevention, detection, investigation, and prosecution of crime, as well as providing numerous other services</w:t>
      </w:r>
      <w:r w:rsidRPr="004E5FDD">
        <w:rPr>
          <w:sz w:val="16"/>
        </w:rPr>
        <w:t xml:space="preserve"> to society. </w:t>
      </w:r>
      <w:r w:rsidRPr="00BC292A">
        <w:rPr>
          <w:rStyle w:val="StyleUnderline"/>
          <w:highlight w:val="yellow"/>
        </w:rPr>
        <w:t xml:space="preserve">Policing officials are distinguished from other law enforcement officials by the fact that they are </w:t>
      </w:r>
      <w:r w:rsidRPr="00A1479B">
        <w:rPr>
          <w:rStyle w:val="Emphasis"/>
          <w:highlight w:val="yellow"/>
        </w:rPr>
        <w:t>non-military</w:t>
      </w:r>
      <w:r w:rsidRPr="00BC292A">
        <w:rPr>
          <w:rStyle w:val="StyleUnderline"/>
          <w:highlight w:val="yellow"/>
        </w:rPr>
        <w:t xml:space="preserve"> government personnel</w:t>
      </w:r>
      <w:r w:rsidRPr="004E5FDD">
        <w:rPr>
          <w:sz w:val="16"/>
        </w:rPr>
        <w:t xml:space="preserve"> who are armed and may use coercive and physical force under certain conditions. Since policing is a form of social control, the </w:t>
      </w:r>
      <w:proofErr w:type="spellStart"/>
      <w:r w:rsidRPr="004E5FDD">
        <w:rPr>
          <w:sz w:val="16"/>
        </w:rPr>
        <w:t>dilferences</w:t>
      </w:r>
      <w:proofErr w:type="spellEnd"/>
      <w:r w:rsidRPr="004E5FDD">
        <w:rPr>
          <w:sz w:val="16"/>
        </w:rPr>
        <w:t xml:space="preserve"> between formal (government sponsored) and informal control mechanisms have been presented here as well. Of particular concern are the many influences upon social control, which have been presented as social, economic, and political factors. These factors influence the police function in every community within the country.</w:t>
      </w:r>
    </w:p>
    <w:p w:rsidR="00AE7673" w:rsidRDefault="00AE7673" w:rsidP="00AE7673"/>
    <w:p w:rsidR="00AE7673" w:rsidRDefault="00AE7673" w:rsidP="00AE7673"/>
    <w:p w:rsidR="00AE7673" w:rsidRDefault="00AE7673" w:rsidP="00AE7673">
      <w:pPr>
        <w:pStyle w:val="Heading4"/>
      </w:pPr>
      <w:r>
        <w:t>All policing is not part of criminal justice—</w:t>
      </w:r>
      <w:proofErr w:type="gramStart"/>
      <w:r>
        <w:t>It</w:t>
      </w:r>
      <w:proofErr w:type="gramEnd"/>
      <w:r>
        <w:t xml:space="preserve"> includes enforcement of non-criminal rules—Policing is not synonymous with police</w:t>
      </w:r>
    </w:p>
    <w:p w:rsidR="00AE7673" w:rsidRDefault="00AE7673" w:rsidP="00AE7673">
      <w:r w:rsidRPr="00BC292A">
        <w:rPr>
          <w:rStyle w:val="Style13ptBold"/>
        </w:rPr>
        <w:t xml:space="preserve">Shearing &amp; </w:t>
      </w:r>
      <w:proofErr w:type="spellStart"/>
      <w:r w:rsidRPr="00BC292A">
        <w:rPr>
          <w:rStyle w:val="Style13ptBold"/>
        </w:rPr>
        <w:t>Stenning</w:t>
      </w:r>
      <w:proofErr w:type="spellEnd"/>
      <w:r w:rsidRPr="00BC292A">
        <w:rPr>
          <w:rStyle w:val="Style13ptBold"/>
        </w:rPr>
        <w:t xml:space="preserve"> 15</w:t>
      </w:r>
      <w:r>
        <w:rPr>
          <w:rStyle w:val="Style13ptBold"/>
        </w:rPr>
        <w:t xml:space="preserve"> </w:t>
      </w:r>
      <w:r>
        <w:t xml:space="preserve">Clifford Shearing Professor Griffith University’s School of Criminology and Criminal Justice, Philip </w:t>
      </w:r>
      <w:proofErr w:type="spellStart"/>
      <w:r>
        <w:t>Stenning</w:t>
      </w:r>
      <w:proofErr w:type="spellEnd"/>
      <w:r>
        <w:t xml:space="preserve"> Professor of Criminology at Griffith University, </w:t>
      </w:r>
      <w:proofErr w:type="spellStart"/>
      <w:r>
        <w:t>Privatisation</w:t>
      </w:r>
      <w:proofErr w:type="spellEnd"/>
      <w:r>
        <w:t xml:space="preserve">, </w:t>
      </w:r>
      <w:proofErr w:type="spellStart"/>
      <w:r>
        <w:t>pluralisation</w:t>
      </w:r>
      <w:proofErr w:type="spellEnd"/>
      <w:r>
        <w:t xml:space="preserve"> and the </w:t>
      </w:r>
      <w:proofErr w:type="spellStart"/>
      <w:r>
        <w:t>globalisation</w:t>
      </w:r>
      <w:proofErr w:type="spellEnd"/>
      <w:r>
        <w:t xml:space="preserve"> of Policing, </w:t>
      </w:r>
      <w:hyperlink r:id="rId26" w:history="1">
        <w:r w:rsidRPr="00303CF6">
          <w:rPr>
            <w:rStyle w:val="Hyperlink"/>
          </w:rPr>
          <w:t>file:///C:/Users/sharris/Downloads/SSRN-id2674028.pdf</w:t>
        </w:r>
      </w:hyperlink>
    </w:p>
    <w:p w:rsidR="00AE7673" w:rsidRPr="004E5FDD" w:rsidRDefault="00AE7673" w:rsidP="00AE7673">
      <w:pPr>
        <w:rPr>
          <w:sz w:val="16"/>
        </w:rPr>
      </w:pPr>
      <w:r w:rsidRPr="004E5FDD">
        <w:rPr>
          <w:sz w:val="16"/>
        </w:rPr>
        <w:t>Since ‘</w:t>
      </w:r>
      <w:r w:rsidRPr="004E5FDD">
        <w:rPr>
          <w:rStyle w:val="StyleUnderline"/>
          <w:highlight w:val="yellow"/>
        </w:rPr>
        <w:t>policing’ is no longer just what ‘the</w:t>
      </w:r>
      <w:r w:rsidRPr="004E5FDD">
        <w:rPr>
          <w:sz w:val="16"/>
        </w:rPr>
        <w:t xml:space="preserve"> (public) </w:t>
      </w:r>
      <w:r w:rsidRPr="004E5FDD">
        <w:rPr>
          <w:rStyle w:val="StyleUnderline"/>
          <w:highlight w:val="yellow"/>
        </w:rPr>
        <w:t>police’ do</w:t>
      </w:r>
      <w:r w:rsidRPr="004E5FDD">
        <w:rPr>
          <w:sz w:val="16"/>
        </w:rPr>
        <w:t>, we are challenged to redefine what we mean by ‘policing’. The following definition has been offered by Crawford and his colleagues (Crawford, 2005, p. 4): “For our purposes ‘</w:t>
      </w:r>
      <w:r w:rsidRPr="004E5FDD">
        <w:rPr>
          <w:rStyle w:val="StyleUnderline"/>
          <w:highlight w:val="yellow"/>
        </w:rPr>
        <w:t xml:space="preserve">policing’ is defined as intentional action involving the conscious exercise of power or authority (by an individual or </w:t>
      </w:r>
      <w:proofErr w:type="spellStart"/>
      <w:r w:rsidRPr="004E5FDD">
        <w:rPr>
          <w:rStyle w:val="StyleUnderline"/>
          <w:highlight w:val="yellow"/>
        </w:rPr>
        <w:t>organisation</w:t>
      </w:r>
      <w:proofErr w:type="spellEnd"/>
      <w:r w:rsidRPr="004E5FDD">
        <w:rPr>
          <w:rStyle w:val="StyleUnderline"/>
          <w:highlight w:val="yellow"/>
        </w:rPr>
        <w:t>) that is directed towards rule enforcement, the promotion of order or assurances of safety</w:t>
      </w:r>
      <w:r w:rsidRPr="004E5FDD">
        <w:rPr>
          <w:sz w:val="16"/>
        </w:rPr>
        <w:t xml:space="preserve">.” There are several advantages to this as a definition of ‘policing’ in the modern pluralized, globalized policing environment: 1. </w:t>
      </w:r>
      <w:r w:rsidRPr="004E5FDD">
        <w:rPr>
          <w:rStyle w:val="StyleUnderline"/>
          <w:highlight w:val="yellow"/>
        </w:rPr>
        <w:t>Neither the state nor the public police are specifically mentioned in it</w:t>
      </w:r>
      <w:r w:rsidRPr="004E5FDD">
        <w:rPr>
          <w:sz w:val="16"/>
        </w:rPr>
        <w:t xml:space="preserve">; 2. </w:t>
      </w:r>
      <w:r w:rsidRPr="004E5FDD">
        <w:rPr>
          <w:rStyle w:val="StyleUnderline"/>
          <w:highlight w:val="yellow"/>
        </w:rPr>
        <w:t>None of the words ‘crime’,</w:t>
      </w:r>
      <w:r w:rsidRPr="004E5FDD">
        <w:rPr>
          <w:sz w:val="16"/>
        </w:rPr>
        <w:t xml:space="preserve"> ‘law’ </w:t>
      </w:r>
      <w:r w:rsidRPr="004E5FDD">
        <w:rPr>
          <w:rStyle w:val="StyleUnderline"/>
          <w:highlight w:val="yellow"/>
        </w:rPr>
        <w:t>or ‘criminal justice’ appear in it</w:t>
      </w:r>
      <w:r w:rsidRPr="004E5FDD">
        <w:rPr>
          <w:sz w:val="16"/>
        </w:rPr>
        <w:t>; 3. The definition doesn’t suggest that policing is necessarily something that is only undertaken within a specified geographical territory; 4. It refers to ‘power’ as well as ‘authority’ as a basis for policing; 5. It notes that policing does not necessarily have to be done by an ‘individual’; and 6. Despite these previous five features, the definition easily covers what the public police do.</w:t>
      </w:r>
    </w:p>
    <w:p w:rsidR="00AE7673" w:rsidRDefault="00AE7673" w:rsidP="00AE7673"/>
    <w:p w:rsidR="00AE7673" w:rsidRPr="007547B3" w:rsidRDefault="00AE7673" w:rsidP="00AE7673"/>
    <w:p w:rsidR="00AE7673" w:rsidRDefault="00AE7673" w:rsidP="00AE7673">
      <w:pPr>
        <w:pStyle w:val="Heading4"/>
      </w:pPr>
      <w:r>
        <w:t>Policing involves actions to promote compliance with the law and includes more than the police</w:t>
      </w:r>
    </w:p>
    <w:p w:rsidR="00AE7673" w:rsidRDefault="00AE7673" w:rsidP="00AE7673">
      <w:proofErr w:type="spellStart"/>
      <w:r w:rsidRPr="006F36A6">
        <w:rPr>
          <w:rStyle w:val="Style13ptBold"/>
        </w:rPr>
        <w:t>Osse</w:t>
      </w:r>
      <w:proofErr w:type="spellEnd"/>
      <w:r w:rsidRPr="006F36A6">
        <w:rPr>
          <w:rStyle w:val="Style13ptBold"/>
        </w:rPr>
        <w:t xml:space="preserve"> </w:t>
      </w:r>
      <w:proofErr w:type="gramStart"/>
      <w:r w:rsidRPr="006F36A6">
        <w:rPr>
          <w:rStyle w:val="Style13ptBold"/>
        </w:rPr>
        <w:t>7</w:t>
      </w:r>
      <w:r>
        <w:t xml:space="preserve">  </w:t>
      </w:r>
      <w:proofErr w:type="spellStart"/>
      <w:r>
        <w:t>Anneke</w:t>
      </w:r>
      <w:proofErr w:type="spellEnd"/>
      <w:proofErr w:type="gramEnd"/>
      <w:r>
        <w:t xml:space="preserve"> </w:t>
      </w:r>
      <w:proofErr w:type="spellStart"/>
      <w:r>
        <w:t>Osse</w:t>
      </w:r>
      <w:proofErr w:type="spellEnd"/>
      <w:r>
        <w:t xml:space="preserve"> is an Independent Consultant on Police (Reform) and Human Rights. UNDERSTANDING POLICING A resource for human rights activists, https://www.amnesty.org/download/Documents/HRELibrary/sec010112007eng.pdf</w:t>
      </w:r>
    </w:p>
    <w:p w:rsidR="00AE7673" w:rsidRPr="002C433E" w:rsidRDefault="00AE7673" w:rsidP="00AE7673">
      <w:pPr>
        <w:rPr>
          <w:sz w:val="16"/>
        </w:rPr>
      </w:pPr>
      <w:r w:rsidRPr="002C433E">
        <w:rPr>
          <w:sz w:val="16"/>
        </w:rPr>
        <w:t xml:space="preserve">The term </w:t>
      </w:r>
      <w:r w:rsidRPr="004E5FDD">
        <w:rPr>
          <w:rStyle w:val="StyleUnderline"/>
          <w:highlight w:val="yellow"/>
        </w:rPr>
        <w:t>policing is</w:t>
      </w:r>
      <w:r w:rsidRPr="002C433E">
        <w:rPr>
          <w:sz w:val="16"/>
        </w:rPr>
        <w:t xml:space="preserve"> used with many different meanings in mind; most notably it is </w:t>
      </w:r>
      <w:r w:rsidRPr="004E5FDD">
        <w:rPr>
          <w:rStyle w:val="StyleUnderline"/>
          <w:highlight w:val="yellow"/>
        </w:rPr>
        <w:t>referred to as the process of ‘ensuring compliance with the law’ in all its aspects</w:t>
      </w:r>
      <w:r w:rsidRPr="002C433E">
        <w:rPr>
          <w:sz w:val="16"/>
        </w:rPr>
        <w:t xml:space="preserve">. It should be apparent that </w:t>
      </w:r>
      <w:r w:rsidRPr="004E5FDD">
        <w:rPr>
          <w:rStyle w:val="StyleUnderline"/>
          <w:highlight w:val="yellow"/>
        </w:rPr>
        <w:t>ensuring such compliance can never be achieved by the police alone</w:t>
      </w:r>
      <w:r w:rsidRPr="002C433E">
        <w:rPr>
          <w:sz w:val="16"/>
        </w:rPr>
        <w:t xml:space="preserve">. </w:t>
      </w:r>
      <w:r w:rsidRPr="004E5FDD">
        <w:rPr>
          <w:rStyle w:val="StyleUnderline"/>
          <w:highlight w:val="yellow"/>
        </w:rPr>
        <w:t>Policing may</w:t>
      </w:r>
      <w:r w:rsidRPr="002C433E">
        <w:rPr>
          <w:sz w:val="16"/>
        </w:rPr>
        <w:t xml:space="preserve"> indeed </w:t>
      </w:r>
      <w:r w:rsidRPr="004E5FDD">
        <w:rPr>
          <w:rStyle w:val="StyleUnderline"/>
          <w:highlight w:val="yellow"/>
        </w:rPr>
        <w:t>encompass more agencies and entities than just the police and is sometimes even taken as a social process involving civil society at large</w:t>
      </w:r>
      <w:r w:rsidRPr="002C433E">
        <w:rPr>
          <w:sz w:val="16"/>
        </w:rPr>
        <w:t xml:space="preserve"> rather than a professional duty carried out by a State agency. However, such an interpretation of the concept of ‘policing’ may create unnecessary confusion, underlined by the fact that Human Rights and the Police 43 </w:t>
      </w:r>
      <w:proofErr w:type="gramStart"/>
      <w:r w:rsidRPr="002C433E">
        <w:rPr>
          <w:sz w:val="16"/>
        </w:rPr>
        <w:t>5 )</w:t>
      </w:r>
      <w:proofErr w:type="gramEnd"/>
      <w:r w:rsidRPr="002C433E">
        <w:rPr>
          <w:sz w:val="16"/>
        </w:rPr>
        <w:t xml:space="preserve"> </w:t>
      </w:r>
      <w:r w:rsidRPr="002C433E">
        <w:rPr>
          <w:rStyle w:val="StyleUnderline"/>
          <w:highlight w:val="yellow"/>
        </w:rPr>
        <w:t>The word first appeared</w:t>
      </w:r>
      <w:r w:rsidRPr="002C433E">
        <w:rPr>
          <w:rStyle w:val="StyleUnderline"/>
        </w:rPr>
        <w:t xml:space="preserve"> </w:t>
      </w:r>
      <w:r w:rsidRPr="002C433E">
        <w:rPr>
          <w:sz w:val="16"/>
        </w:rPr>
        <w:t xml:space="preserve">c.1530 </w:t>
      </w:r>
      <w:r w:rsidRPr="002C433E">
        <w:rPr>
          <w:rStyle w:val="StyleUnderline"/>
          <w:highlight w:val="yellow"/>
        </w:rPr>
        <w:t>in the English language, as a synonym for ‘policy’</w:t>
      </w:r>
      <w:r w:rsidRPr="002C433E">
        <w:rPr>
          <w:sz w:val="16"/>
        </w:rPr>
        <w:t xml:space="preserve">, that is civil administration. Up to the mid-19th century, ‘police’ in English meant both ‘civil administration’ and, borrowed from French, ‘administration of public order’. Online Etymological Dictionary, at www.etymonline.com. </w:t>
      </w:r>
      <w:proofErr w:type="gramStart"/>
      <w:r w:rsidRPr="002C433E">
        <w:rPr>
          <w:sz w:val="16"/>
        </w:rPr>
        <w:t>6 )</w:t>
      </w:r>
      <w:proofErr w:type="gramEnd"/>
      <w:r w:rsidRPr="002C433E">
        <w:rPr>
          <w:sz w:val="16"/>
        </w:rPr>
        <w:t xml:space="preserve"> See for example; Cachet, A., 1990, </w:t>
      </w:r>
      <w:proofErr w:type="spellStart"/>
      <w:r w:rsidRPr="002C433E">
        <w:rPr>
          <w:sz w:val="16"/>
        </w:rPr>
        <w:t>Politie</w:t>
      </w:r>
      <w:proofErr w:type="spellEnd"/>
      <w:r w:rsidRPr="002C433E">
        <w:rPr>
          <w:sz w:val="16"/>
        </w:rPr>
        <w:t xml:space="preserve"> </w:t>
      </w:r>
      <w:proofErr w:type="spellStart"/>
      <w:r w:rsidRPr="002C433E">
        <w:rPr>
          <w:sz w:val="16"/>
        </w:rPr>
        <w:t>en</w:t>
      </w:r>
      <w:proofErr w:type="spellEnd"/>
      <w:r w:rsidRPr="002C433E">
        <w:rPr>
          <w:sz w:val="16"/>
        </w:rPr>
        <w:t xml:space="preserve"> </w:t>
      </w:r>
      <w:proofErr w:type="spellStart"/>
      <w:r w:rsidRPr="002C433E">
        <w:rPr>
          <w:sz w:val="16"/>
        </w:rPr>
        <w:t>sociale</w:t>
      </w:r>
      <w:proofErr w:type="spellEnd"/>
      <w:r w:rsidRPr="002C433E">
        <w:rPr>
          <w:sz w:val="16"/>
        </w:rPr>
        <w:t xml:space="preserve"> </w:t>
      </w:r>
      <w:proofErr w:type="spellStart"/>
      <w:r w:rsidRPr="002C433E">
        <w:rPr>
          <w:sz w:val="16"/>
        </w:rPr>
        <w:t>controle</w:t>
      </w:r>
      <w:proofErr w:type="spellEnd"/>
      <w:r w:rsidRPr="002C433E">
        <w:rPr>
          <w:sz w:val="16"/>
        </w:rPr>
        <w:t xml:space="preserve">. </w:t>
      </w:r>
      <w:proofErr w:type="gramStart"/>
      <w:r w:rsidRPr="002C433E">
        <w:rPr>
          <w:sz w:val="16"/>
        </w:rPr>
        <w:t>7 )</w:t>
      </w:r>
      <w:proofErr w:type="gramEnd"/>
      <w:r w:rsidRPr="002C433E">
        <w:rPr>
          <w:sz w:val="16"/>
        </w:rPr>
        <w:t xml:space="preserve"> Das, </w:t>
      </w:r>
      <w:proofErr w:type="spellStart"/>
      <w:r w:rsidRPr="002C433E">
        <w:rPr>
          <w:sz w:val="16"/>
        </w:rPr>
        <w:t>Dilip</w:t>
      </w:r>
      <w:proofErr w:type="spellEnd"/>
      <w:r w:rsidRPr="002C433E">
        <w:rPr>
          <w:sz w:val="16"/>
        </w:rPr>
        <w:t xml:space="preserve"> K., 1997, “Challenges of policing democracies: a world perspective.” p. 628. </w:t>
      </w:r>
      <w:proofErr w:type="gramStart"/>
      <w:r w:rsidRPr="002C433E">
        <w:rPr>
          <w:sz w:val="16"/>
        </w:rPr>
        <w:t>the</w:t>
      </w:r>
      <w:proofErr w:type="gramEnd"/>
      <w:r w:rsidRPr="002C433E">
        <w:rPr>
          <w:sz w:val="16"/>
        </w:rPr>
        <w:t xml:space="preserve"> term is not always easy to translate in other languages. We will therefore use a simple definition and define policing as ‘what the police do to ensure compliance with the law’. </w:t>
      </w:r>
    </w:p>
    <w:p w:rsidR="00AE7673" w:rsidRDefault="00AE7673" w:rsidP="00AE7673"/>
    <w:p w:rsidR="00AE7673" w:rsidRDefault="00AE7673" w:rsidP="00AE7673">
      <w:pPr>
        <w:pStyle w:val="Heading4"/>
      </w:pPr>
      <w:r>
        <w:t>There are different types of police reform—Radical replacement of the entire institution is 3</w:t>
      </w:r>
      <w:r w:rsidRPr="00A66877">
        <w:rPr>
          <w:vertAlign w:val="superscript"/>
        </w:rPr>
        <w:t>rd</w:t>
      </w:r>
      <w:r>
        <w:t xml:space="preserve"> order reform</w:t>
      </w:r>
    </w:p>
    <w:p w:rsidR="00AE7673" w:rsidRDefault="00AE7673" w:rsidP="00AE7673">
      <w:r w:rsidRPr="00461307">
        <w:rPr>
          <w:rStyle w:val="Style13ptBold"/>
        </w:rPr>
        <w:t>Jones &amp; Stockdale 17</w:t>
      </w:r>
      <w:r>
        <w:t xml:space="preserve"> Matt Jones is a Lecturer in Criminology at </w:t>
      </w:r>
      <w:proofErr w:type="spellStart"/>
      <w:r>
        <w:t>Northumbria</w:t>
      </w:r>
      <w:proofErr w:type="spellEnd"/>
      <w:r>
        <w:t xml:space="preserve"> University, Kelly Stockdale is a Lecturer in Criminology from </w:t>
      </w:r>
      <w:proofErr w:type="spellStart"/>
      <w:r>
        <w:t>Northumbria</w:t>
      </w:r>
      <w:proofErr w:type="spellEnd"/>
      <w:r>
        <w:t xml:space="preserve"> </w:t>
      </w:r>
      <w:proofErr w:type="spellStart"/>
      <w:r>
        <w:t>Univ</w:t>
      </w:r>
      <w:proofErr w:type="spellEnd"/>
      <w:r>
        <w:t xml:space="preserve">, An Introduction to Criminal Justice edited by Jamie Harding, Pamela Davies, </w:t>
      </w:r>
      <w:proofErr w:type="gramStart"/>
      <w:r>
        <w:t>George</w:t>
      </w:r>
      <w:proofErr w:type="gramEnd"/>
      <w:r>
        <w:t xml:space="preserve"> </w:t>
      </w:r>
      <w:proofErr w:type="spellStart"/>
      <w:r>
        <w:t>Mair</w:t>
      </w:r>
      <w:proofErr w:type="spellEnd"/>
      <w:r>
        <w:t xml:space="preserve"> Google Books</w:t>
      </w:r>
    </w:p>
    <w:p w:rsidR="00AE7673" w:rsidRPr="00DB409C" w:rsidRDefault="00AE7673" w:rsidP="00AE7673">
      <w:pPr>
        <w:rPr>
          <w:sz w:val="16"/>
        </w:rPr>
      </w:pPr>
      <w:r w:rsidRPr="00DB409C">
        <w:rPr>
          <w:sz w:val="16"/>
        </w:rPr>
        <w:t xml:space="preserve">Hall et al. (2009) identified </w:t>
      </w:r>
      <w:r w:rsidRPr="00A66877">
        <w:rPr>
          <w:rStyle w:val="StyleUnderline"/>
        </w:rPr>
        <w:t>three 'orders of change' concerning police reform</w:t>
      </w:r>
      <w:r w:rsidRPr="00DB409C">
        <w:rPr>
          <w:sz w:val="16"/>
        </w:rPr>
        <w:t xml:space="preserve"> that related to the nature and impact of the proposed initiatives. </w:t>
      </w:r>
      <w:r w:rsidRPr="00A66877">
        <w:rPr>
          <w:rStyle w:val="StyleUnderline"/>
          <w:highlight w:val="yellow"/>
        </w:rPr>
        <w:t>'First order' reform represents a continuity of quantitative initiatives that have been utilized in the pas</w:t>
      </w:r>
      <w:r w:rsidRPr="00DB409C">
        <w:rPr>
          <w:sz w:val="16"/>
        </w:rPr>
        <w:t xml:space="preserve">t (e.g. increasing police numbers in problematic areas); </w:t>
      </w:r>
      <w:r w:rsidRPr="00A66877">
        <w:rPr>
          <w:rStyle w:val="StyleUnderline"/>
          <w:highlight w:val="yellow"/>
        </w:rPr>
        <w:t>'second order' reform refers to less common but still 'normal' reform initiatives</w:t>
      </w:r>
      <w:r w:rsidRPr="00DB409C">
        <w:rPr>
          <w:sz w:val="16"/>
        </w:rPr>
        <w:t xml:space="preserve"> (e.g. changing the way that an area of policing is delivered); </w:t>
      </w:r>
      <w:r w:rsidRPr="00A66877">
        <w:rPr>
          <w:rStyle w:val="StyleUnderline"/>
          <w:highlight w:val="yellow"/>
        </w:rPr>
        <w:t>'third order' reform refers to more radical initiatives that represent a fundamental change in police direction</w:t>
      </w:r>
      <w:r w:rsidRPr="00DB409C">
        <w:rPr>
          <w:sz w:val="16"/>
        </w:rPr>
        <w:t xml:space="preserve">. In this regard, the new diversity reform agenda was described by Hall et al. as a </w:t>
      </w:r>
      <w:r w:rsidRPr="00461307">
        <w:rPr>
          <w:rStyle w:val="StyleUnderline"/>
          <w:highlight w:val="yellow"/>
        </w:rPr>
        <w:t>'third order'</w:t>
      </w:r>
      <w:r w:rsidRPr="00DB409C">
        <w:rPr>
          <w:sz w:val="16"/>
        </w:rPr>
        <w:t xml:space="preserve"> </w:t>
      </w:r>
      <w:proofErr w:type="spellStart"/>
      <w:r w:rsidRPr="00DB409C">
        <w:rPr>
          <w:sz w:val="16"/>
        </w:rPr>
        <w:t>programme</w:t>
      </w:r>
      <w:proofErr w:type="spellEnd"/>
      <w:r w:rsidRPr="00DB409C">
        <w:rPr>
          <w:sz w:val="16"/>
        </w:rPr>
        <w:t xml:space="preserve"> </w:t>
      </w:r>
      <w:r w:rsidRPr="00461307">
        <w:rPr>
          <w:rStyle w:val="StyleUnderline"/>
          <w:highlight w:val="yellow"/>
        </w:rPr>
        <w:t>representing 'a paradigm shift</w:t>
      </w:r>
      <w:r w:rsidRPr="00DB409C">
        <w:rPr>
          <w:sz w:val="16"/>
        </w:rPr>
        <w:t xml:space="preserve"> relating to fundamental changes in the police mindset and in external expectations of what the police are there to deliver' (p. 5). Similarly, Reiner (2010), citing Shearing and Bayley (1996: 585), argued that 'future generations will look back on [this] era as </w:t>
      </w:r>
      <w:r w:rsidRPr="00461307">
        <w:rPr>
          <w:rStyle w:val="StyleUnderline"/>
          <w:highlight w:val="yellow"/>
        </w:rPr>
        <w:t>a time when one system of policing ended and another took its place'</w:t>
      </w:r>
      <w:r w:rsidRPr="00DB409C">
        <w:rPr>
          <w:sz w:val="16"/>
        </w:rPr>
        <w:t>.</w:t>
      </w:r>
    </w:p>
    <w:p w:rsidR="00AE7673" w:rsidRDefault="00AE7673" w:rsidP="00AE7673"/>
    <w:p w:rsidR="00AE7673" w:rsidRPr="0003588A" w:rsidRDefault="00AE7673" w:rsidP="00AE7673">
      <w:pPr>
        <w:pStyle w:val="Heading4"/>
      </w:pPr>
      <w:r>
        <w:t>Policing includes police actions and attitudes and community policing</w:t>
      </w:r>
    </w:p>
    <w:p w:rsidR="00AE7673" w:rsidRDefault="00AE7673" w:rsidP="00AE7673">
      <w:proofErr w:type="spellStart"/>
      <w:r w:rsidRPr="00F85C6A">
        <w:rPr>
          <w:rStyle w:val="Style13ptBold"/>
        </w:rPr>
        <w:t>Mesko</w:t>
      </w:r>
      <w:proofErr w:type="spellEnd"/>
      <w:r w:rsidRPr="00F85C6A">
        <w:rPr>
          <w:rStyle w:val="Style13ptBold"/>
        </w:rPr>
        <w:t xml:space="preserve"> 2</w:t>
      </w:r>
      <w:r>
        <w:t xml:space="preserve"> </w:t>
      </w:r>
      <w:proofErr w:type="spellStart"/>
      <w:r>
        <w:t>Gorazd</w:t>
      </w:r>
      <w:proofErr w:type="spellEnd"/>
      <w:r>
        <w:t xml:space="preserve"> </w:t>
      </w:r>
      <w:proofErr w:type="spellStart"/>
      <w:r>
        <w:t>Meško</w:t>
      </w:r>
      <w:proofErr w:type="spellEnd"/>
      <w:r>
        <w:t xml:space="preserve"> is Professor of Criminology at the Faculty of Criminal Justice and Security, University of Maribor, Slovenia</w:t>
      </w:r>
    </w:p>
    <w:p w:rsidR="00AE7673" w:rsidRDefault="00AE7673" w:rsidP="00AE7673">
      <w:r>
        <w:t xml:space="preserve">Research at the College of Police and Security Studies Ljubljana, Slovenia 1996-2001: Book of Research Abstracts, </w:t>
      </w:r>
      <w:hyperlink r:id="rId27" w:history="1">
        <w:r w:rsidRPr="007663DA">
          <w:rPr>
            <w:rStyle w:val="Hyperlink"/>
          </w:rPr>
          <w:t>https://www.ncjrs.gov/App/Publications/abstract.aspx?ID=205823</w:t>
        </w:r>
      </w:hyperlink>
    </w:p>
    <w:p w:rsidR="00AE7673" w:rsidRPr="00F85C6A" w:rsidRDefault="00AE7673" w:rsidP="00AE7673">
      <w:pPr>
        <w:rPr>
          <w:sz w:val="14"/>
        </w:rPr>
      </w:pPr>
      <w:r w:rsidRPr="00F85C6A">
        <w:rPr>
          <w:sz w:val="14"/>
        </w:rPr>
        <w:t xml:space="preserve">In developing into an academic institution, the College of Police and Security Studies affiliated with the University of Ljubljana in Slovenia is the development of research activities by the College’s teaching and research staff. This report is a book of research abstracts illustrating the research conducted at the College between 1996 and 2001. The research projects reflect the staff’s attempts in the development of subjects and preparation of new training programs within the field of police and security studies. The research abstracts are divided into five groups: policing, security and safety, criminology, criminal investigation, and other studies. Highlights of research conducted in </w:t>
      </w:r>
      <w:r w:rsidRPr="00F85C6A">
        <w:rPr>
          <w:rStyle w:val="StyleUnderline"/>
        </w:rPr>
        <w:t xml:space="preserve">the area of policing include: police organizations, police officer opinions toward suspects and victims, the relationship between police and private security officers, community policing, police stress, and police attitudes </w:t>
      </w:r>
      <w:r w:rsidRPr="00F85C6A">
        <w:rPr>
          <w:sz w:val="14"/>
        </w:rPr>
        <w:t xml:space="preserve">towards foreigners. Highlights of research conducted in the area of security and safety include: protection of judges and courts, security assessment, customer satisfaction with private security services, national security and interethnic conflicts, and the analysis of </w:t>
      </w:r>
      <w:proofErr w:type="spellStart"/>
      <w:r w:rsidRPr="00F85C6A">
        <w:rPr>
          <w:sz w:val="14"/>
        </w:rPr>
        <w:t>decisionmaking</w:t>
      </w:r>
      <w:proofErr w:type="spellEnd"/>
      <w:r w:rsidRPr="00F85C6A">
        <w:rPr>
          <w:sz w:val="14"/>
        </w:rPr>
        <w:t xml:space="preserve"> in the process of defense policymaking process in modern states. Highlights of research conducted in the area of criminology include: corruption, environmental crime, organized crime, fear of crime, and crime prevention. Highlights of research conducted in the area of criminal investigations include: criminal investigation of economic crime and psychological factors in criminal investigation. Other studies included the application of neural networks and research of primary etalon for low pressures. Index of authors</w:t>
      </w:r>
    </w:p>
    <w:p w:rsidR="00AE7673" w:rsidRDefault="00AE7673" w:rsidP="00AE7673"/>
    <w:p w:rsidR="00A82F6C" w:rsidRDefault="00A82F6C" w:rsidP="00A82F6C">
      <w:pPr>
        <w:pStyle w:val="Heading2"/>
      </w:pPr>
      <w:r>
        <w:t>Mass Noun</w:t>
      </w:r>
    </w:p>
    <w:p w:rsidR="00A82F6C" w:rsidRDefault="00A82F6C" w:rsidP="00A82F6C"/>
    <w:p w:rsidR="00A82F6C" w:rsidRDefault="00A82F6C" w:rsidP="00A82F6C">
      <w:pPr>
        <w:pStyle w:val="Heading4"/>
      </w:pPr>
      <w:r>
        <w:t>Policing is a mass noun</w:t>
      </w:r>
    </w:p>
    <w:p w:rsidR="00A82F6C" w:rsidRDefault="00A82F6C" w:rsidP="00A82F6C">
      <w:r>
        <w:rPr>
          <w:rStyle w:val="Style13ptBold"/>
        </w:rPr>
        <w:t xml:space="preserve">Oxford Dictionary at </w:t>
      </w:r>
      <w:proofErr w:type="spellStart"/>
      <w:r>
        <w:rPr>
          <w:rStyle w:val="Style13ptBold"/>
        </w:rPr>
        <w:t>Lexico</w:t>
      </w:r>
      <w:proofErr w:type="spellEnd"/>
      <w:r>
        <w:t xml:space="preserve"> https://www.lexico.com/definition/policing</w:t>
      </w:r>
    </w:p>
    <w:p w:rsidR="00A82F6C" w:rsidRDefault="00A82F6C" w:rsidP="00A82F6C">
      <w:r w:rsidRPr="008256F8">
        <w:rPr>
          <w:rStyle w:val="StyleUnderline"/>
          <w:highlight w:val="yellow"/>
        </w:rPr>
        <w:t>Policing</w:t>
      </w:r>
      <w:r>
        <w:t xml:space="preserve"> NOUN </w:t>
      </w:r>
      <w:r w:rsidRPr="008256F8">
        <w:rPr>
          <w:rStyle w:val="StyleUnderline"/>
          <w:highlight w:val="yellow"/>
        </w:rPr>
        <w:t>mass noun</w:t>
      </w:r>
      <w:r>
        <w:t xml:space="preserve"> 1The maintenance of law and order by a police force.</w:t>
      </w:r>
    </w:p>
    <w:p w:rsidR="00A82F6C" w:rsidRDefault="00A82F6C" w:rsidP="00A82F6C"/>
    <w:p w:rsidR="00A82F6C" w:rsidRDefault="00A82F6C" w:rsidP="00A82F6C">
      <w:pPr>
        <w:pStyle w:val="Heading4"/>
      </w:pPr>
      <w:r>
        <w:t>Mass nouns require treating the noun as a whole without reference to specific parts</w:t>
      </w:r>
    </w:p>
    <w:p w:rsidR="00A82F6C" w:rsidRDefault="00A82F6C" w:rsidP="00A82F6C">
      <w:proofErr w:type="spellStart"/>
      <w:r w:rsidRPr="0053712F">
        <w:rPr>
          <w:rStyle w:val="Style13ptBold"/>
        </w:rPr>
        <w:t>Gillon</w:t>
      </w:r>
      <w:proofErr w:type="spellEnd"/>
      <w:r w:rsidRPr="0053712F">
        <w:rPr>
          <w:rStyle w:val="Style13ptBold"/>
        </w:rPr>
        <w:t xml:space="preserve"> </w:t>
      </w:r>
      <w:proofErr w:type="gramStart"/>
      <w:r w:rsidRPr="0053712F">
        <w:rPr>
          <w:rStyle w:val="Style13ptBold"/>
        </w:rPr>
        <w:t>4</w:t>
      </w:r>
      <w:r>
        <w:rPr>
          <w:rStyle w:val="Style13ptBold"/>
        </w:rPr>
        <w:t xml:space="preserve">  </w:t>
      </w:r>
      <w:r>
        <w:t>Brendan</w:t>
      </w:r>
      <w:proofErr w:type="gramEnd"/>
      <w:r>
        <w:t xml:space="preserve"> S. </w:t>
      </w:r>
      <w:proofErr w:type="spellStart"/>
      <w:r>
        <w:t>Gillon</w:t>
      </w:r>
      <w:proofErr w:type="spellEnd"/>
      <w:r>
        <w:t xml:space="preserve"> Professor. Department of Linguistics McGill University, TOWARDS A COMMON SEMANTICS FOR ENGLISH COUNT AND MASS NOUNS, </w:t>
      </w:r>
      <w:proofErr w:type="gramStart"/>
      <w:r>
        <w:t>In</w:t>
      </w:r>
      <w:proofErr w:type="gramEnd"/>
      <w:r>
        <w:t xml:space="preserve"> Semantics: A Reader edited by Steven Davis, Brendan S. </w:t>
      </w:r>
      <w:proofErr w:type="spellStart"/>
      <w:r>
        <w:t>Gillon</w:t>
      </w:r>
      <w:proofErr w:type="spellEnd"/>
      <w:r>
        <w:t xml:space="preserve"> p. 395</w:t>
      </w:r>
    </w:p>
    <w:p w:rsidR="00A82F6C" w:rsidRPr="0053712F" w:rsidRDefault="00A82F6C" w:rsidP="00A82F6C">
      <w:pPr>
        <w:rPr>
          <w:sz w:val="16"/>
        </w:rPr>
      </w:pPr>
      <w:r w:rsidRPr="0053712F">
        <w:rPr>
          <w:sz w:val="16"/>
        </w:rPr>
        <w:t>Bunt (1985. pp. 45-46) goes on to claim that "</w:t>
      </w:r>
      <w:r w:rsidRPr="00EB001F">
        <w:rPr>
          <w:rStyle w:val="StyleUnderline"/>
          <w:highlight w:val="yellow"/>
        </w:rPr>
        <w:t>mass nouns provide the possibility of talking about things as if they do not consist of discrete parts</w:t>
      </w:r>
      <w:r w:rsidRPr="0053712F">
        <w:rPr>
          <w:sz w:val="16"/>
        </w:rPr>
        <w:t xml:space="preserve">" and that "a linguistic semantic theory should take into account that the use of </w:t>
      </w:r>
      <w:r w:rsidRPr="00EB001F">
        <w:rPr>
          <w:rStyle w:val="StyleUnderline"/>
          <w:highlight w:val="yellow"/>
        </w:rPr>
        <w:t>a mass noun is a way of talking about things as if they were homogeneous masses. i.e</w:t>
      </w:r>
      <w:proofErr w:type="gramStart"/>
      <w:r w:rsidRPr="00EB001F">
        <w:rPr>
          <w:sz w:val="16"/>
          <w:highlight w:val="yellow"/>
        </w:rPr>
        <w:t>..</w:t>
      </w:r>
      <w:proofErr w:type="gramEnd"/>
      <w:r w:rsidRPr="0053712F">
        <w:rPr>
          <w:sz w:val="16"/>
        </w:rPr>
        <w:t xml:space="preserve"> </w:t>
      </w:r>
      <w:proofErr w:type="gramStart"/>
      <w:r w:rsidRPr="0053712F">
        <w:rPr>
          <w:sz w:val="16"/>
        </w:rPr>
        <w:t>as</w:t>
      </w:r>
      <w:proofErr w:type="gramEnd"/>
      <w:r w:rsidRPr="0053712F">
        <w:rPr>
          <w:sz w:val="16"/>
        </w:rPr>
        <w:t xml:space="preserve"> having some part-whole structure but </w:t>
      </w:r>
      <w:r w:rsidRPr="00EB001F">
        <w:rPr>
          <w:rStyle w:val="StyleUnderline"/>
          <w:highlight w:val="yellow"/>
        </w:rPr>
        <w:t>without singling out any particular parts</w:t>
      </w:r>
      <w:r w:rsidRPr="0053712F">
        <w:rPr>
          <w:sz w:val="16"/>
        </w:rPr>
        <w:t xml:space="preserve"> and without any commitments concerning the existence of minimal parts." He calls this the homogeneous reference hypothesis and </w:t>
      </w:r>
      <w:proofErr w:type="spellStart"/>
      <w:r w:rsidRPr="0053712F">
        <w:rPr>
          <w:sz w:val="16"/>
        </w:rPr>
        <w:t>restatcs</w:t>
      </w:r>
      <w:proofErr w:type="spellEnd"/>
      <w:r w:rsidRPr="0053712F">
        <w:rPr>
          <w:sz w:val="16"/>
        </w:rPr>
        <w:t xml:space="preserve"> it as follows: "</w:t>
      </w:r>
      <w:r w:rsidRPr="0053712F">
        <w:rPr>
          <w:rStyle w:val="StyleUnderline"/>
        </w:rPr>
        <w:t>Mass nouns refer to entities as having a part-whole structure without singling out any particular parts</w:t>
      </w:r>
      <w:r w:rsidRPr="0053712F">
        <w:rPr>
          <w:sz w:val="16"/>
        </w:rPr>
        <w:t xml:space="preserve"> and without making any commitments concerning the existence of minimal parts" (Bunt 1985. p. 46: see also Bunt 1979. pp. 255-256).</w:t>
      </w:r>
    </w:p>
    <w:p w:rsidR="00A82F6C" w:rsidRDefault="00A82F6C" w:rsidP="00A82F6C"/>
    <w:p w:rsidR="00A82F6C" w:rsidRDefault="00A82F6C" w:rsidP="00A82F6C">
      <w:pPr>
        <w:pStyle w:val="Heading4"/>
      </w:pPr>
      <w:r>
        <w:t>The areas are mass nouns in the resolution because there is no article like “a’ preceding it.</w:t>
      </w:r>
    </w:p>
    <w:p w:rsidR="00A82F6C" w:rsidRDefault="00A82F6C" w:rsidP="00A82F6C">
      <w:proofErr w:type="spellStart"/>
      <w:r w:rsidRPr="00325A2C">
        <w:rPr>
          <w:rStyle w:val="Style13ptBold"/>
        </w:rPr>
        <w:t>Servais</w:t>
      </w:r>
      <w:proofErr w:type="spellEnd"/>
      <w:r w:rsidRPr="00325A2C">
        <w:rPr>
          <w:rStyle w:val="Style13ptBold"/>
        </w:rPr>
        <w:t xml:space="preserve"> 11</w:t>
      </w:r>
      <w:r>
        <w:t xml:space="preserve"> Erin </w:t>
      </w:r>
      <w:proofErr w:type="spellStart"/>
      <w:r>
        <w:t>Servais</w:t>
      </w:r>
      <w:proofErr w:type="spellEnd"/>
      <w:r>
        <w:t xml:space="preserve"> is a book editor who, in her decade plus of industry experience, has edited hundreds of books, </w:t>
      </w:r>
      <w:proofErr w:type="gramStart"/>
      <w:r>
        <w:t>A</w:t>
      </w:r>
      <w:proofErr w:type="gramEnd"/>
      <w:r>
        <w:t xml:space="preserve"> guide to mass nouns</w:t>
      </w:r>
    </w:p>
    <w:p w:rsidR="00A82F6C" w:rsidRDefault="00A82F6C" w:rsidP="00A82F6C">
      <w:r>
        <w:t>APRIL 25, 2011, https://grammarpartyblog.com/2011/04/25/a-guide-to-mass-nouns/</w:t>
      </w:r>
    </w:p>
    <w:p w:rsidR="00A82F6C" w:rsidRPr="00D664AD" w:rsidRDefault="00A82F6C" w:rsidP="00A82F6C">
      <w:pPr>
        <w:rPr>
          <w:sz w:val="14"/>
        </w:rPr>
      </w:pPr>
      <w:r w:rsidRPr="00D664AD">
        <w:rPr>
          <w:sz w:val="14"/>
        </w:rPr>
        <w:t xml:space="preserve">Then once you’ve memorized all these rules, mass nouns enter the fray. There are no rules for making mass nouns plural because they can only be plural. </w:t>
      </w:r>
      <w:r w:rsidRPr="00816C6A">
        <w:rPr>
          <w:rStyle w:val="StyleUnderline"/>
          <w:highlight w:val="yellow"/>
        </w:rPr>
        <w:t>Mass nouns</w:t>
      </w:r>
      <w:r w:rsidRPr="00D664AD">
        <w:rPr>
          <w:sz w:val="14"/>
        </w:rPr>
        <w:t xml:space="preserve">, also called “uncountable nouns,” </w:t>
      </w:r>
      <w:r w:rsidRPr="00816C6A">
        <w:rPr>
          <w:rStyle w:val="StyleUnderline"/>
          <w:highlight w:val="yellow"/>
        </w:rPr>
        <w:t>are</w:t>
      </w:r>
      <w:r w:rsidRPr="00D664AD">
        <w:rPr>
          <w:sz w:val="14"/>
        </w:rPr>
        <w:t xml:space="preserve"> substances, objects, and </w:t>
      </w:r>
      <w:r w:rsidRPr="00816C6A">
        <w:rPr>
          <w:rStyle w:val="StyleUnderline"/>
          <w:highlight w:val="yellow"/>
        </w:rPr>
        <w:t>concepts that cannot be divided into separate parts</w:t>
      </w:r>
      <w:r w:rsidRPr="00D664AD">
        <w:rPr>
          <w:sz w:val="14"/>
        </w:rPr>
        <w:t xml:space="preserve">. Think about the word “news.” There’s only news as a general idea. There isn’t one “new.” News is all of the important topics of the day, taken together as a collection. The same goes with “sand.” There are beaches filled with sand, but you can’t find one sand. However, you can dig your hand into the ground and come up with grains of sand. This is one of the rules with mass nouns. If you want to use a mass noun, </w:t>
      </w:r>
      <w:r w:rsidRPr="00816C6A">
        <w:rPr>
          <w:rStyle w:val="StyleUnderline"/>
          <w:highlight w:val="yellow"/>
        </w:rPr>
        <w:t>you have to place words in front that explain how much or many of the mass noun you have. – a grain of sand</w:t>
      </w:r>
      <w:r w:rsidRPr="00D664AD">
        <w:rPr>
          <w:sz w:val="14"/>
        </w:rPr>
        <w:t xml:space="preserve"> – piece of news – </w:t>
      </w:r>
      <w:r w:rsidRPr="00816C6A">
        <w:rPr>
          <w:rStyle w:val="StyleUnderline"/>
          <w:highlight w:val="yellow"/>
        </w:rPr>
        <w:t>a gallon of water</w:t>
      </w:r>
      <w:r w:rsidRPr="00D664AD">
        <w:rPr>
          <w:sz w:val="14"/>
        </w:rPr>
        <w:t xml:space="preserve"> Another rule with mass nouns to keep in mind is that </w:t>
      </w:r>
      <w:r w:rsidRPr="00816C6A">
        <w:rPr>
          <w:rStyle w:val="StyleUnderline"/>
          <w:highlight w:val="yellow"/>
        </w:rPr>
        <w:t>English treats mass nouns as if they were singular</w:t>
      </w:r>
      <w:r w:rsidRPr="00D664AD">
        <w:rPr>
          <w:sz w:val="14"/>
        </w:rPr>
        <w:t>. For instance, instead of using “are,” use “is.” – This juice is delicious. – Greed is dangerous. And if the verb you want to use usually drops an “s” with plural nouns, it will keep the “s” for mass nouns. – The cheese tastes yummy. – Your jewelry looks expensive</w:t>
      </w:r>
      <w:r w:rsidRPr="00BD0089">
        <w:t>. List of mass nouns This</w:t>
      </w:r>
      <w:r w:rsidRPr="00D664AD">
        <w:rPr>
          <w:sz w:val="14"/>
        </w:rPr>
        <w:t xml:space="preserve"> is by no means a complete list, but here is a brief collection to get you started: advice art bravery butter cheese chaos clarity courage cowardice currency education electricity equipment evidence furniture gas greed happiness homework honesty information insurance jewelry knowledge livestock love luggage marketing money mud music news patriotism power racism rice sand sexism sugar understanding water weather wood</w:t>
      </w:r>
    </w:p>
    <w:p w:rsidR="00A82F6C" w:rsidRPr="008D2A07" w:rsidRDefault="00A82F6C" w:rsidP="00A82F6C"/>
    <w:p w:rsidR="00A82F6C" w:rsidRDefault="00A82F6C" w:rsidP="00A82F6C">
      <w:pPr>
        <w:pStyle w:val="Heading4"/>
      </w:pPr>
      <w:r>
        <w:t>A mass noun requires the entire set—the use of the word “the” before executive power indicates it means all</w:t>
      </w:r>
    </w:p>
    <w:p w:rsidR="00A82F6C" w:rsidRDefault="00A82F6C" w:rsidP="00A82F6C">
      <w:r w:rsidRPr="007860AD">
        <w:rPr>
          <w:rStyle w:val="Style13ptBold"/>
        </w:rPr>
        <w:t>Allen 14</w:t>
      </w:r>
      <w:r>
        <w:t xml:space="preserve"> ASIIMWE ALLEN Doctor of Philosophy in the Faculty of Arts and Social Sciences at Stellenbosch University DEFINITENESS AND SPECIFICITY IN RUNYANKORE-RUKIGA </w:t>
      </w:r>
      <w:hyperlink r:id="rId28" w:history="1">
        <w:r w:rsidRPr="0091322D">
          <w:rPr>
            <w:rStyle w:val="Hyperlink"/>
          </w:rPr>
          <w:t>file:///C:/Users/sharris/Downloads/asiimwe_definiteness_2014.pdf</w:t>
        </w:r>
      </w:hyperlink>
    </w:p>
    <w:p w:rsidR="00A82F6C" w:rsidRPr="007860AD" w:rsidRDefault="00A82F6C" w:rsidP="00A82F6C">
      <w:pPr>
        <w:rPr>
          <w:sz w:val="16"/>
        </w:rPr>
      </w:pPr>
      <w:r w:rsidRPr="007860AD">
        <w:rPr>
          <w:sz w:val="16"/>
        </w:rPr>
        <w:t xml:space="preserve">Lyons (1999: 11) points out that plural and </w:t>
      </w:r>
      <w:r w:rsidRPr="00D01B75">
        <w:rPr>
          <w:rStyle w:val="StyleUnderline"/>
          <w:highlight w:val="yellow"/>
        </w:rPr>
        <w:t>mass nouns involve</w:t>
      </w:r>
      <w:r w:rsidRPr="007860AD">
        <w:rPr>
          <w:rStyle w:val="StyleUnderline"/>
        </w:rPr>
        <w:t xml:space="preserve"> the </w:t>
      </w:r>
      <w:r w:rsidRPr="00D01B75">
        <w:rPr>
          <w:rStyle w:val="StyleUnderline"/>
          <w:highlight w:val="yellow"/>
        </w:rPr>
        <w:t>inclusivenes</w:t>
      </w:r>
      <w:r w:rsidRPr="007860AD">
        <w:rPr>
          <w:rStyle w:val="StyleUnderline"/>
        </w:rPr>
        <w:t>s hypothesis</w:t>
      </w:r>
      <w:r w:rsidRPr="007860AD">
        <w:rPr>
          <w:sz w:val="16"/>
        </w:rPr>
        <w:t>. Therefore, ‘</w:t>
      </w:r>
      <w:r w:rsidRPr="00D01B75">
        <w:rPr>
          <w:rStyle w:val="StyleUnderline"/>
          <w:highlight w:val="yellow"/>
        </w:rPr>
        <w:t xml:space="preserve">reference is to the </w:t>
      </w:r>
      <w:r w:rsidRPr="00D01B75">
        <w:rPr>
          <w:rStyle w:val="Emphasis"/>
          <w:highlight w:val="yellow"/>
        </w:rPr>
        <w:t xml:space="preserve">totality </w:t>
      </w:r>
      <w:r w:rsidRPr="00D01B75">
        <w:rPr>
          <w:rStyle w:val="StyleUnderline"/>
          <w:highlight w:val="yellow"/>
        </w:rPr>
        <w:t>of the objects</w:t>
      </w:r>
      <w:r w:rsidRPr="007860AD">
        <w:rPr>
          <w:sz w:val="16"/>
        </w:rPr>
        <w:t xml:space="preserve"> or mass </w:t>
      </w:r>
      <w:r w:rsidRPr="00D01B75">
        <w:rPr>
          <w:rStyle w:val="StyleUnderline"/>
          <w:highlight w:val="yellow"/>
        </w:rPr>
        <w:t>in the context which satisfies the description’</w:t>
      </w:r>
      <w:r w:rsidRPr="007860AD">
        <w:rPr>
          <w:rStyle w:val="StyleUnderline"/>
        </w:rPr>
        <w:t xml:space="preserve">. </w:t>
      </w:r>
      <w:r w:rsidRPr="00D01B75">
        <w:rPr>
          <w:rStyle w:val="StyleUnderline"/>
          <w:highlight w:val="yellow"/>
        </w:rPr>
        <w:t>With</w:t>
      </w:r>
      <w:r w:rsidRPr="007860AD">
        <w:rPr>
          <w:sz w:val="16"/>
        </w:rPr>
        <w:t xml:space="preserve"> plural and </w:t>
      </w:r>
      <w:r w:rsidRPr="00D01B75">
        <w:rPr>
          <w:rStyle w:val="Emphasis"/>
          <w:highlight w:val="yellow"/>
        </w:rPr>
        <w:t>mass nouns</w:t>
      </w:r>
      <w:r w:rsidRPr="007860AD">
        <w:rPr>
          <w:sz w:val="16"/>
        </w:rPr>
        <w:t xml:space="preserve">, Lyons suggests that </w:t>
      </w:r>
      <w:r w:rsidRPr="00D01B75">
        <w:rPr>
          <w:rStyle w:val="StyleUnderline"/>
          <w:highlight w:val="yellow"/>
        </w:rPr>
        <w:t xml:space="preserve">the definite </w:t>
      </w:r>
      <w:proofErr w:type="gramStart"/>
      <w:r w:rsidRPr="00D01B75">
        <w:rPr>
          <w:rStyle w:val="Emphasis"/>
          <w:highlight w:val="yellow"/>
        </w:rPr>
        <w:t>the</w:t>
      </w:r>
      <w:r w:rsidRPr="00D01B75">
        <w:rPr>
          <w:rStyle w:val="StyleUnderline"/>
          <w:highlight w:val="yellow"/>
        </w:rPr>
        <w:t xml:space="preserve"> is</w:t>
      </w:r>
      <w:proofErr w:type="gramEnd"/>
      <w:r w:rsidRPr="00D01B75">
        <w:rPr>
          <w:rStyle w:val="StyleUnderline"/>
          <w:highlight w:val="yellow"/>
        </w:rPr>
        <w:t xml:space="preserve"> a </w:t>
      </w:r>
      <w:r w:rsidRPr="00D01B75">
        <w:rPr>
          <w:rStyle w:val="Emphasis"/>
          <w:highlight w:val="yellow"/>
        </w:rPr>
        <w:t>universal quantifier just like all</w:t>
      </w:r>
      <w:r w:rsidRPr="007860AD">
        <w:rPr>
          <w:rStyle w:val="StyleUnderline"/>
        </w:rPr>
        <w:t xml:space="preserve"> </w:t>
      </w:r>
      <w:r w:rsidRPr="007860AD">
        <w:rPr>
          <w:sz w:val="16"/>
        </w:rPr>
        <w:t xml:space="preserve">(see also Hawkins, 1978). In short, Lyons holds the view that the key principles to definiteness understanding are </w:t>
      </w:r>
      <w:proofErr w:type="spellStart"/>
      <w:r w:rsidRPr="007860AD">
        <w:rPr>
          <w:sz w:val="16"/>
        </w:rPr>
        <w:t>identifiability</w:t>
      </w:r>
      <w:proofErr w:type="spellEnd"/>
      <w:r w:rsidRPr="007860AD">
        <w:rPr>
          <w:sz w:val="16"/>
        </w:rPr>
        <w:t xml:space="preserve"> and inclusiveness, and that a referent may be definite due to either of the two or both principles. </w:t>
      </w:r>
    </w:p>
    <w:p w:rsidR="00A82F6C" w:rsidRDefault="00A82F6C" w:rsidP="00A82F6C"/>
    <w:p w:rsidR="00A82F6C" w:rsidRDefault="00A82F6C" w:rsidP="00A82F6C">
      <w:pPr>
        <w:pStyle w:val="Heading4"/>
      </w:pPr>
      <w:r>
        <w:t>Mass Nouns mean the whole collective</w:t>
      </w:r>
    </w:p>
    <w:p w:rsidR="00A82F6C" w:rsidRDefault="00A82F6C" w:rsidP="00A82F6C">
      <w:r>
        <w:t xml:space="preserve">The </w:t>
      </w:r>
      <w:r w:rsidRPr="007101A9">
        <w:rPr>
          <w:rStyle w:val="Style13ptBold"/>
        </w:rPr>
        <w:t>Cambridge Dictionary</w:t>
      </w:r>
      <w:r>
        <w:t xml:space="preserve"> of English Grammar</w:t>
      </w:r>
      <w:r w:rsidRPr="007101A9">
        <w:rPr>
          <w:rStyle w:val="Style13ptBold"/>
        </w:rPr>
        <w:t xml:space="preserve"> 13</w:t>
      </w:r>
    </w:p>
    <w:p w:rsidR="00A82F6C" w:rsidRDefault="00A82F6C" w:rsidP="00A82F6C">
      <w:r>
        <w:t>https://www.cambridge.org/core/product/.../core-reader</w:t>
      </w:r>
    </w:p>
    <w:p w:rsidR="00A82F6C" w:rsidRDefault="00A82F6C" w:rsidP="00A82F6C">
      <w:pPr>
        <w:rPr>
          <w:sz w:val="16"/>
        </w:rPr>
      </w:pPr>
      <w:r w:rsidRPr="00D01B75">
        <w:rPr>
          <w:rStyle w:val="StyleUnderline"/>
          <w:highlight w:val="yellow"/>
        </w:rPr>
        <w:t xml:space="preserve">Mass nouns can </w:t>
      </w:r>
      <w:r w:rsidRPr="00D01B75">
        <w:rPr>
          <w:rStyle w:val="Emphasis"/>
          <w:highlight w:val="yellow"/>
        </w:rPr>
        <w:t xml:space="preserve">only </w:t>
      </w:r>
      <w:r w:rsidRPr="00D01B75">
        <w:rPr>
          <w:rStyle w:val="StyleUnderline"/>
          <w:highlight w:val="yellow"/>
        </w:rPr>
        <w:t xml:space="preserve">refer to things as a </w:t>
      </w:r>
      <w:r w:rsidRPr="00D01B75">
        <w:rPr>
          <w:rStyle w:val="Emphasis"/>
          <w:highlight w:val="yellow"/>
        </w:rPr>
        <w:t>collective, without particularizing</w:t>
      </w:r>
      <w:r w:rsidRPr="00D01B75">
        <w:rPr>
          <w:rStyle w:val="StyleUnderline"/>
          <w:highlight w:val="yellow"/>
        </w:rPr>
        <w:t xml:space="preserve"> the elements they consist of</w:t>
      </w:r>
      <w:r w:rsidRPr="007101A9">
        <w:rPr>
          <w:rStyle w:val="StyleUnderline"/>
        </w:rPr>
        <w:t>,</w:t>
      </w:r>
      <w:r w:rsidRPr="007101A9">
        <w:rPr>
          <w:sz w:val="16"/>
        </w:rPr>
        <w:t xml:space="preserve"> e.g. butter, rice, sand, soil. Note however that some nouns have both countable and </w:t>
      </w:r>
      <w:proofErr w:type="spellStart"/>
      <w:r w:rsidRPr="007101A9">
        <w:rPr>
          <w:sz w:val="16"/>
        </w:rPr>
        <w:t>noncountable</w:t>
      </w:r>
      <w:proofErr w:type="spellEnd"/>
      <w:r w:rsidRPr="007101A9">
        <w:rPr>
          <w:sz w:val="16"/>
        </w:rPr>
        <w:t xml:space="preserve"> senses and are therefore dual in this respect (see further under count noun, mass noun, and </w:t>
      </w:r>
      <w:proofErr w:type="spellStart"/>
      <w:r w:rsidRPr="007101A9">
        <w:rPr>
          <w:sz w:val="16"/>
        </w:rPr>
        <w:t>countability</w:t>
      </w:r>
      <w:proofErr w:type="spellEnd"/>
      <w:r w:rsidRPr="007101A9">
        <w:rPr>
          <w:sz w:val="16"/>
        </w:rPr>
        <w:t>.</w:t>
      </w:r>
    </w:p>
    <w:p w:rsidR="00A82F6C" w:rsidRDefault="00A82F6C" w:rsidP="00A82F6C">
      <w:pPr>
        <w:rPr>
          <w:sz w:val="16"/>
        </w:rPr>
      </w:pPr>
    </w:p>
    <w:p w:rsidR="00A82F6C" w:rsidRPr="007101A9" w:rsidRDefault="00A82F6C" w:rsidP="00A82F6C">
      <w:pPr>
        <w:rPr>
          <w:sz w:val="16"/>
        </w:rPr>
      </w:pPr>
    </w:p>
    <w:p w:rsidR="00A82F6C" w:rsidRPr="008A5F7F" w:rsidRDefault="00A82F6C" w:rsidP="00A82F6C">
      <w:pPr>
        <w:pStyle w:val="Heading4"/>
      </w:pPr>
      <w:r>
        <w:t>Using correct grammar has independent educational and social impacts. It is key to reasoning, communication and combatting discrimination —</w:t>
      </w:r>
      <w:proofErr w:type="gramStart"/>
      <w:r>
        <w:t>It</w:t>
      </w:r>
      <w:proofErr w:type="gramEnd"/>
      <w:r>
        <w:t xml:space="preserve"> is an independent impact and voting issue.</w:t>
      </w:r>
    </w:p>
    <w:p w:rsidR="00A82F6C" w:rsidRDefault="00A82F6C" w:rsidP="00A82F6C">
      <w:proofErr w:type="spellStart"/>
      <w:r w:rsidRPr="008A5F7F">
        <w:rPr>
          <w:rStyle w:val="Style13ptBold"/>
        </w:rPr>
        <w:t>Nordquist</w:t>
      </w:r>
      <w:proofErr w:type="spellEnd"/>
      <w:r w:rsidRPr="008A5F7F">
        <w:rPr>
          <w:rStyle w:val="Style13ptBold"/>
        </w:rPr>
        <w:t xml:space="preserve"> 18</w:t>
      </w:r>
      <w:r>
        <w:t xml:space="preserve"> Richard </w:t>
      </w:r>
      <w:proofErr w:type="spellStart"/>
      <w:r>
        <w:t>Nordquist</w:t>
      </w:r>
      <w:proofErr w:type="spellEnd"/>
      <w:r>
        <w:t>, Ph.D., is professor emeritus of rhetoric and English at Armstrong State University Updated April 20, 2018, Why Does Grammar Matter</w:t>
      </w:r>
      <w:proofErr w:type="gramStart"/>
      <w:r>
        <w:t>?,</w:t>
      </w:r>
      <w:proofErr w:type="gramEnd"/>
      <w:r>
        <w:t xml:space="preserve"> </w:t>
      </w:r>
      <w:hyperlink r:id="rId29" w:history="1">
        <w:r w:rsidRPr="0091322D">
          <w:rPr>
            <w:rStyle w:val="Hyperlink"/>
          </w:rPr>
          <w:t>https://www.thoughtco.com/why-does-grammar-matter-1691029</w:t>
        </w:r>
      </w:hyperlink>
    </w:p>
    <w:p w:rsidR="00A82F6C" w:rsidRPr="00816C6A" w:rsidRDefault="00A82F6C" w:rsidP="00A82F6C">
      <w:pPr>
        <w:rPr>
          <w:sz w:val="14"/>
        </w:rPr>
      </w:pPr>
      <w:r w:rsidRPr="00816C6A">
        <w:rPr>
          <w:sz w:val="14"/>
        </w:rPr>
        <w:t xml:space="preserve">One of the most sensible answers to the question of why grammar matters appears in a position statement on the teaching of grammar in American schools. Published by the National Council of Teachers of English (NCTE), the report is refreshingly free of educational cant. Here's how it begins: </w:t>
      </w:r>
      <w:r w:rsidRPr="00816C6A">
        <w:rPr>
          <w:rStyle w:val="StyleUnderline"/>
        </w:rPr>
        <w:t>Grammar is important because it is the language that makes it possible for us to talk about language</w:t>
      </w:r>
      <w:r w:rsidRPr="00816C6A">
        <w:rPr>
          <w:sz w:val="14"/>
        </w:rPr>
        <w:t xml:space="preserve">. Grammar names the types of words and word groups that make up sentences not only in English but in any language. As human beings, we can put sentences together even as children—we can all do grammar. But to be able to talk about how sentences are built, about the types of words and word groups that make up sentences—that is knowing about grammar. And </w:t>
      </w:r>
      <w:r w:rsidRPr="00816C6A">
        <w:rPr>
          <w:rStyle w:val="StyleUnderline"/>
          <w:highlight w:val="yellow"/>
        </w:rPr>
        <w:t>knowing about grammar offers a window into the human mind</w:t>
      </w:r>
      <w:r w:rsidRPr="00816C6A">
        <w:rPr>
          <w:rStyle w:val="StyleUnderline"/>
        </w:rPr>
        <w:t xml:space="preserve"> </w:t>
      </w:r>
      <w:r w:rsidRPr="00816C6A">
        <w:rPr>
          <w:sz w:val="14"/>
        </w:rPr>
        <w:t xml:space="preserve">and into our amazingly complex mental capacity. People associate grammar with errors and correctness. But knowing about grammar also helps us understand what makes sentences and paragraphs clear and interesting and precise. Grammar can be part of literature discussions, when we and our students closely read the sentences in poetry and stories. And knowing about grammar means finding out that all languages and all dialects follow grammatical patterns. (Brock </w:t>
      </w:r>
      <w:proofErr w:type="spellStart"/>
      <w:r w:rsidRPr="00816C6A">
        <w:rPr>
          <w:sz w:val="14"/>
        </w:rPr>
        <w:t>Haussamen</w:t>
      </w:r>
      <w:proofErr w:type="spellEnd"/>
      <w:r w:rsidRPr="00816C6A">
        <w:rPr>
          <w:sz w:val="14"/>
        </w:rPr>
        <w:t xml:space="preserve">, "Guideline on Some Questions and Answers </w:t>
      </w:r>
      <w:proofErr w:type="gramStart"/>
      <w:r w:rsidRPr="00816C6A">
        <w:rPr>
          <w:sz w:val="14"/>
        </w:rPr>
        <w:t>About</w:t>
      </w:r>
      <w:proofErr w:type="gramEnd"/>
      <w:r w:rsidRPr="00816C6A">
        <w:rPr>
          <w:sz w:val="14"/>
        </w:rPr>
        <w:t xml:space="preserve"> Grammar", 2002) The author of this introduction, Brock </w:t>
      </w:r>
      <w:proofErr w:type="spellStart"/>
      <w:r w:rsidRPr="00816C6A">
        <w:rPr>
          <w:sz w:val="14"/>
        </w:rPr>
        <w:t>Haussamen</w:t>
      </w:r>
      <w:proofErr w:type="spellEnd"/>
      <w:r w:rsidRPr="00816C6A">
        <w:rPr>
          <w:sz w:val="14"/>
        </w:rPr>
        <w:t xml:space="preserve">, is professor emeritus of English at Raritan Valley Community College of New Jersey. Whether or not you teach English for a living, the full report, "Guideline on Some Questions and Answers About Grammar," is well worth the read for anyone interested in English grammar.* Additional Perspectives on Grammar Consider these explanations of why grammar matters from other experts in English and education: "On the utility and importance of the study of Grammar, and the principles of composition, much might be advanced, for the encouragement of persons in early life to apply themselves to this branch of learning... It may indeed be justly asserted, that many of the differences in opinion amongst men, with the disputes, contentions, and alienations of heart, which have too often proceeded from such differences, have been occasioned by a want of proper skill in the </w:t>
      </w:r>
      <w:proofErr w:type="spellStart"/>
      <w:r w:rsidRPr="00816C6A">
        <w:rPr>
          <w:sz w:val="14"/>
        </w:rPr>
        <w:t>connexion</w:t>
      </w:r>
      <w:proofErr w:type="spellEnd"/>
      <w:r w:rsidRPr="00816C6A">
        <w:rPr>
          <w:sz w:val="14"/>
        </w:rPr>
        <w:t xml:space="preserve"> and meaning of words, and by a tenacious misapplication of language." (Lindley Murray, English Grammar, Adapted to the Different Classes of Learners, 1818) "We study grammar because a knowledge of sentence structure is an aid in the interpretation of literature; because continual dealing with sentences influences the student to form better sentences in his own composition; and because </w:t>
      </w:r>
      <w:r w:rsidRPr="00816C6A">
        <w:rPr>
          <w:rStyle w:val="StyleUnderline"/>
          <w:highlight w:val="yellow"/>
        </w:rPr>
        <w:t>grammar is the best subject in our course of study for the development of reasoning power</w:t>
      </w:r>
      <w:r w:rsidRPr="00816C6A">
        <w:rPr>
          <w:sz w:val="14"/>
        </w:rPr>
        <w:t xml:space="preserve">." (William Frank Webster, </w:t>
      </w:r>
      <w:proofErr w:type="gramStart"/>
      <w:r w:rsidRPr="00816C6A">
        <w:rPr>
          <w:sz w:val="14"/>
        </w:rPr>
        <w:t>The</w:t>
      </w:r>
      <w:proofErr w:type="gramEnd"/>
      <w:r w:rsidRPr="00816C6A">
        <w:rPr>
          <w:sz w:val="14"/>
        </w:rPr>
        <w:t xml:space="preserve"> Teaching of English Grammar. Houghton, 1905) "The study of language is a part of general knowledge. We study the complex working of the human body to understand ourselves; the same reason should attract us to studying the marvelous complexity of human language... "</w:t>
      </w:r>
      <w:r w:rsidRPr="00816C6A">
        <w:rPr>
          <w:rStyle w:val="StyleUnderline"/>
          <w:highlight w:val="yellow"/>
        </w:rPr>
        <w:t xml:space="preserve">If you understand the nature of language, you will realize the ground for your linguistic prejudices and perhaps moderate them; you will also more clearly assess linguistic issues of public concern, such </w:t>
      </w:r>
      <w:r w:rsidRPr="00816C6A">
        <w:rPr>
          <w:sz w:val="14"/>
        </w:rPr>
        <w:t xml:space="preserve">as worries about the state of the language or </w:t>
      </w:r>
      <w:r w:rsidRPr="00816C6A">
        <w:rPr>
          <w:rStyle w:val="StyleUnderline"/>
          <w:highlight w:val="yellow"/>
        </w:rPr>
        <w:t>what to do about the teaching of immigrants</w:t>
      </w:r>
      <w:r w:rsidRPr="00816C6A">
        <w:rPr>
          <w:sz w:val="14"/>
        </w:rPr>
        <w:t xml:space="preserve">. Studying the English language has a more obvious practical application: it can help you to use the language more effectively." (Sidney </w:t>
      </w:r>
      <w:proofErr w:type="spellStart"/>
      <w:r w:rsidRPr="00816C6A">
        <w:rPr>
          <w:sz w:val="14"/>
        </w:rPr>
        <w:t>Greenbaum</w:t>
      </w:r>
      <w:proofErr w:type="spellEnd"/>
      <w:r w:rsidRPr="00816C6A">
        <w:rPr>
          <w:sz w:val="14"/>
        </w:rPr>
        <w:t xml:space="preserve"> and Gerald Nelson, </w:t>
      </w:r>
      <w:proofErr w:type="gramStart"/>
      <w:r w:rsidRPr="00816C6A">
        <w:rPr>
          <w:sz w:val="14"/>
        </w:rPr>
        <w:t>An</w:t>
      </w:r>
      <w:proofErr w:type="gramEnd"/>
      <w:r w:rsidRPr="00816C6A">
        <w:rPr>
          <w:sz w:val="14"/>
        </w:rPr>
        <w:t xml:space="preserve"> Introduction to English Grammar, 2nd ed. Longman, 2002) "Grammar is the study of how sentences mean. And that is why it helps. If we want to understand the meaning conveyed by sentences, and to develop our ability to express and respond to this meaning, then </w:t>
      </w:r>
      <w:r w:rsidRPr="00816C6A">
        <w:rPr>
          <w:rStyle w:val="StyleUnderline"/>
          <w:highlight w:val="yellow"/>
        </w:rPr>
        <w:t>the more we know about grammar, the better we will be able to carry out these tasks... "Grammar is the structural foundation of our ability to express ourselves</w:t>
      </w:r>
      <w:r w:rsidRPr="00816C6A">
        <w:rPr>
          <w:sz w:val="14"/>
        </w:rPr>
        <w:t xml:space="preserve">. The more we are aware of how it works, the more we can monitor the meaning and effectiveness of the way we and others use language. It can help foster precision, detect ambiguity, and exploit the richness of expression available in English. And </w:t>
      </w:r>
      <w:r w:rsidRPr="00816C6A">
        <w:rPr>
          <w:rStyle w:val="StyleUnderline"/>
          <w:highlight w:val="yellow"/>
        </w:rPr>
        <w:t>it can help everyone</w:t>
      </w:r>
      <w:r w:rsidRPr="00816C6A">
        <w:rPr>
          <w:sz w:val="14"/>
        </w:rPr>
        <w:t xml:space="preserve">—not only teachers of English, but teachers of anything, </w:t>
      </w:r>
      <w:r w:rsidRPr="00816C6A">
        <w:rPr>
          <w:rStyle w:val="StyleUnderline"/>
          <w:highlight w:val="yellow"/>
        </w:rPr>
        <w:t>for all teaching is ultimately a matter of getting to grips with meaning</w:t>
      </w:r>
      <w:r w:rsidRPr="00816C6A">
        <w:rPr>
          <w:sz w:val="14"/>
        </w:rPr>
        <w:t>." (David Crystal, Making Sense of Grammar. Longman, 2004)</w:t>
      </w:r>
    </w:p>
    <w:p w:rsidR="00A82F6C" w:rsidRDefault="00A82F6C" w:rsidP="00A82F6C"/>
    <w:p w:rsidR="00A82F6C" w:rsidRPr="008256F8" w:rsidRDefault="00A82F6C" w:rsidP="00A82F6C"/>
    <w:p w:rsidR="00A82F6C" w:rsidRDefault="00A82F6C" w:rsidP="00AE7673"/>
    <w:p w:rsidR="00A82BFF" w:rsidRDefault="00A82BFF" w:rsidP="00A82BFF"/>
    <w:p w:rsidR="00A82BFF" w:rsidRDefault="00A82BFF" w:rsidP="00A82BFF">
      <w:pPr>
        <w:pStyle w:val="Heading2"/>
      </w:pPr>
      <w:r>
        <w:t>Sentencing</w:t>
      </w:r>
    </w:p>
    <w:p w:rsidR="00A82BFF" w:rsidRDefault="00A82BFF" w:rsidP="00A82BFF"/>
    <w:p w:rsidR="00AE7673" w:rsidRDefault="00AE7673" w:rsidP="00AE7673">
      <w:pPr>
        <w:pStyle w:val="Heading4"/>
      </w:pPr>
      <w:r>
        <w:t>Sentencing reform means wholesale change in the entire process of sentencing not the specification of specific outcomes</w:t>
      </w:r>
    </w:p>
    <w:p w:rsidR="00AE7673" w:rsidRDefault="00AE7673" w:rsidP="00AE7673">
      <w:r w:rsidRPr="009012AA">
        <w:rPr>
          <w:rStyle w:val="Style13ptBold"/>
        </w:rPr>
        <w:t>Reitz 11</w:t>
      </w:r>
      <w:r>
        <w:t xml:space="preserve"> Kevin R. Reitz is a Professor of Law at the University of Minnesota and the James Annenberg La </w:t>
      </w:r>
      <w:proofErr w:type="spellStart"/>
      <w:r>
        <w:t>Vea</w:t>
      </w:r>
      <w:proofErr w:type="spellEnd"/>
      <w:r>
        <w:t xml:space="preserve"> Land Grant Chair in Criminal Procedure Law THE POLITICS OF SENTENCING REFORM, Google Books edited by James Q. Wilson, Joan </w:t>
      </w:r>
      <w:proofErr w:type="spellStart"/>
      <w:r>
        <w:t>Petersilia</w:t>
      </w:r>
      <w:proofErr w:type="spellEnd"/>
    </w:p>
    <w:p w:rsidR="00AE7673" w:rsidRPr="009012AA" w:rsidRDefault="00AE7673" w:rsidP="00AE7673">
      <w:pPr>
        <w:rPr>
          <w:sz w:val="16"/>
        </w:rPr>
      </w:pPr>
      <w:r w:rsidRPr="009012AA">
        <w:rPr>
          <w:sz w:val="16"/>
        </w:rPr>
        <w:t xml:space="preserve">In current parlance, </w:t>
      </w:r>
      <w:r w:rsidRPr="009012AA">
        <w:rPr>
          <w:rStyle w:val="StyleUnderline"/>
          <w:highlight w:val="yellow"/>
        </w:rPr>
        <w:t>sentencing reform means wholesale change in a</w:t>
      </w:r>
      <w:r>
        <w:rPr>
          <w:rStyle w:val="StyleUnderline"/>
          <w:highlight w:val="yellow"/>
        </w:rPr>
        <w:t xml:space="preserve"> </w:t>
      </w:r>
      <w:r w:rsidRPr="009012AA">
        <w:rPr>
          <w:rStyle w:val="StyleUnderline"/>
          <w:highlight w:val="yellow"/>
        </w:rPr>
        <w:t>jurisdiction's sentencing system</w:t>
      </w:r>
      <w:r w:rsidRPr="009012AA">
        <w:rPr>
          <w:rStyle w:val="StyleUnderline"/>
        </w:rPr>
        <w:t xml:space="preserve"> </w:t>
      </w:r>
      <w:r w:rsidRPr="009012AA">
        <w:rPr>
          <w:sz w:val="16"/>
        </w:rPr>
        <w:t xml:space="preserve">away from the traditional model of indeterminacy. Hopefully this can result in better institutional arrangements, </w:t>
      </w:r>
      <w:r w:rsidRPr="009012AA">
        <w:rPr>
          <w:rStyle w:val="StyleUnderline"/>
          <w:highlight w:val="yellow"/>
        </w:rPr>
        <w:t>better legal structures for sentencing decisions, better process, better</w:t>
      </w:r>
      <w:r>
        <w:rPr>
          <w:rStyle w:val="StyleUnderline"/>
          <w:highlight w:val="yellow"/>
        </w:rPr>
        <w:t xml:space="preserve"> </w:t>
      </w:r>
      <w:r w:rsidRPr="009012AA">
        <w:rPr>
          <w:rStyle w:val="StyleUnderline"/>
          <w:highlight w:val="yellow"/>
        </w:rPr>
        <w:t>information, and better policy implementation. The substantive use to which a</w:t>
      </w:r>
      <w:r>
        <w:rPr>
          <w:rStyle w:val="StyleUnderline"/>
        </w:rPr>
        <w:t xml:space="preserve"> </w:t>
      </w:r>
      <w:r w:rsidRPr="009012AA">
        <w:rPr>
          <w:sz w:val="16"/>
        </w:rPr>
        <w:t xml:space="preserve">new </w:t>
      </w:r>
      <w:r w:rsidRPr="009012AA">
        <w:rPr>
          <w:rStyle w:val="StyleUnderline"/>
          <w:highlight w:val="yellow"/>
        </w:rPr>
        <w:t>sentencing system will be put, however, is</w:t>
      </w:r>
      <w:r w:rsidRPr="009012AA">
        <w:rPr>
          <w:sz w:val="16"/>
        </w:rPr>
        <w:t xml:space="preserve"> very </w:t>
      </w:r>
      <w:r w:rsidRPr="009012AA">
        <w:rPr>
          <w:rStyle w:val="StyleUnderline"/>
          <w:highlight w:val="yellow"/>
        </w:rPr>
        <w:t>much a separate</w:t>
      </w:r>
      <w:r>
        <w:rPr>
          <w:rStyle w:val="StyleUnderline"/>
          <w:highlight w:val="yellow"/>
        </w:rPr>
        <w:t xml:space="preserve"> </w:t>
      </w:r>
      <w:r w:rsidRPr="009012AA">
        <w:rPr>
          <w:rStyle w:val="StyleUnderline"/>
          <w:highlight w:val="yellow"/>
        </w:rPr>
        <w:t>question</w:t>
      </w:r>
      <w:r w:rsidRPr="009012AA">
        <w:rPr>
          <w:sz w:val="16"/>
        </w:rPr>
        <w:t>. "Reformed" sentencing guidelines systems in America have been used to further policies of greater severity in punishment--in some places at some times-as well as policies of increased lenity (</w:t>
      </w:r>
      <w:proofErr w:type="spellStart"/>
      <w:r w:rsidRPr="009012AA">
        <w:rPr>
          <w:sz w:val="16"/>
        </w:rPr>
        <w:t>Tonry</w:t>
      </w:r>
      <w:proofErr w:type="spellEnd"/>
      <w:r w:rsidRPr="009012AA">
        <w:rPr>
          <w:sz w:val="16"/>
        </w:rPr>
        <w:t xml:space="preserve"> 1996; American Law institute 2007 ). In this sense, sentencing reform is ideologically neutral. Even so, the pathways toward achieving systemic reform are highly political. </w:t>
      </w:r>
      <w:r w:rsidRPr="009012AA">
        <w:rPr>
          <w:rStyle w:val="StyleUnderline"/>
          <w:highlight w:val="yellow"/>
        </w:rPr>
        <w:t>Large institutional changes affect the professional lives of many</w:t>
      </w:r>
      <w:r>
        <w:rPr>
          <w:rStyle w:val="StyleUnderline"/>
          <w:highlight w:val="yellow"/>
        </w:rPr>
        <w:t xml:space="preserve"> </w:t>
      </w:r>
      <w:r w:rsidRPr="009012AA">
        <w:rPr>
          <w:rStyle w:val="StyleUnderline"/>
          <w:highlight w:val="yellow"/>
        </w:rPr>
        <w:t>stakeholders in the criminal justice system</w:t>
      </w:r>
      <w:r w:rsidRPr="009012AA">
        <w:rPr>
          <w:sz w:val="16"/>
        </w:rPr>
        <w:t>, and the perceived interests of important constituencies vary from place to place. For example, notwithstanding the wide belief that prosecutors' powers are multiplied in a sentencing guidelines system, prosecutors' organizations have been formidable opponents of guidelines reform in many states, including Colorado, Texas, Massachusetts, and California. In other states, like Washington and Oregon, prosecutors have led the call for reform. Judges, too, have staked out different positions across jurisdictions: Judicial leadership was key to the adoption of guidelines systems in Minnesota, Delaware, North Carolina, Missouri, and the District of Columbia (and ongoing attempted reforms in Massachusetts). In other places, judges have been unsupportive or hostile to reform efforts, such as Colorado, New York, Georgia, and the federal system.</w:t>
      </w:r>
    </w:p>
    <w:p w:rsidR="00AE7673" w:rsidRDefault="00AE7673" w:rsidP="00AE7673"/>
    <w:p w:rsidR="0065538F" w:rsidRDefault="0065538F" w:rsidP="0065538F">
      <w:pPr>
        <w:pStyle w:val="Heading4"/>
      </w:pPr>
      <w:r>
        <w:t>Empirically “sentencing reform” changes the entire system of sentencing</w:t>
      </w:r>
    </w:p>
    <w:p w:rsidR="0065538F" w:rsidRDefault="0065538F" w:rsidP="0065538F">
      <w:r w:rsidRPr="001E71A9">
        <w:rPr>
          <w:rStyle w:val="Style13ptBold"/>
        </w:rPr>
        <w:t>U.S. Legal 19</w:t>
      </w:r>
      <w:r>
        <w:rPr>
          <w:rStyle w:val="Style13ptBold"/>
        </w:rPr>
        <w:t xml:space="preserve"> </w:t>
      </w:r>
      <w:hyperlink r:id="rId30" w:anchor=":~:text=The%20Sentencing%20Reform%20Act%20of,the%20United%20States%20Sentencing%20Commission.20Sentencing%20Commission" w:history="1">
        <w:r w:rsidRPr="007663DA">
          <w:rPr>
            <w:rStyle w:val="Hyperlink"/>
          </w:rPr>
          <w:t>https://definitions.uslegal.com/s/sentencing-reform-act/#:~:text=The%20Sentencing%20Reform%20Act%20of,the%20United%20States%20Sentencing%20Commission</w:t>
        </w:r>
        <w:r w:rsidRPr="007663DA">
          <w:rPr>
            <w:rStyle w:val="Hyperlink"/>
            <w:sz w:val="26"/>
          </w:rPr>
          <w:t>.</w:t>
        </w:r>
        <w:r w:rsidRPr="007663DA">
          <w:rPr>
            <w:rStyle w:val="Hyperlink"/>
          </w:rPr>
          <w:t>20Sentencing%20Commission</w:t>
        </w:r>
      </w:hyperlink>
      <w:r>
        <w:t xml:space="preserve">. </w:t>
      </w:r>
      <w:r w:rsidRPr="001E71A9">
        <w:rPr>
          <w:rStyle w:val="StyleUnderline"/>
          <w:highlight w:val="yellow"/>
        </w:rPr>
        <w:t>Sentencing Reform Act Law and Legal Definition</w:t>
      </w:r>
    </w:p>
    <w:p w:rsidR="0065538F" w:rsidRPr="001E71A9" w:rsidRDefault="0065538F" w:rsidP="0065538F">
      <w:pPr>
        <w:rPr>
          <w:sz w:val="16"/>
        </w:rPr>
      </w:pPr>
      <w:r w:rsidRPr="001E71A9">
        <w:rPr>
          <w:rStyle w:val="StyleUnderline"/>
          <w:highlight w:val="yellow"/>
        </w:rPr>
        <w:t>The Sentencing Reform Act</w:t>
      </w:r>
      <w:r w:rsidRPr="001E71A9">
        <w:rPr>
          <w:sz w:val="16"/>
        </w:rPr>
        <w:t xml:space="preserve"> of 1984 </w:t>
      </w:r>
      <w:r w:rsidRPr="001E71A9">
        <w:rPr>
          <w:rStyle w:val="StyleUnderline"/>
          <w:highlight w:val="yellow"/>
        </w:rPr>
        <w:t>is the U.S. federal statute that totally restructured the system of sentencing of the federal defendants</w:t>
      </w:r>
      <w:r w:rsidRPr="001E71A9">
        <w:rPr>
          <w:sz w:val="16"/>
        </w:rPr>
        <w:t>. The main initiative of the act was the abolition of federal parole and establishment of the United States Sentencing Commission. The purposes of the United States Sentencing Commission are to: 1. establish sentencing policies and practices for the Federal criminal justice system that assure the meeting of the purposes of sentencing; 2. provide certainty and fairness in meeting the purposes of sentencing, avoiding unwarranted sentencing disparities among defendants with similar records that have been found guilty of similar criminal conduct; and 3. reflect, to the extent practicable, advancement in knowledge of human behavior as it relates to the criminal justice process.</w:t>
      </w:r>
    </w:p>
    <w:p w:rsidR="0065538F" w:rsidRDefault="0065538F" w:rsidP="0065538F"/>
    <w:p w:rsidR="0065538F" w:rsidRDefault="0065538F" w:rsidP="00AE7673"/>
    <w:p w:rsidR="00FF5D2F" w:rsidRDefault="00FF5D2F" w:rsidP="00FF5D2F">
      <w:pPr>
        <w:pStyle w:val="Heading4"/>
      </w:pPr>
      <w:r>
        <w:t>Sentencing is about assigning penalties not deciding if something is substantively a crime--Deciding if something is a crime is different than sentencing reform</w:t>
      </w:r>
    </w:p>
    <w:p w:rsidR="00FF5D2F" w:rsidRDefault="00FF5D2F" w:rsidP="00FF5D2F">
      <w:proofErr w:type="spellStart"/>
      <w:r w:rsidRPr="00A95AC8">
        <w:rPr>
          <w:rStyle w:val="Style13ptBold"/>
        </w:rPr>
        <w:t>Tonry</w:t>
      </w:r>
      <w:proofErr w:type="spellEnd"/>
      <w:r w:rsidRPr="00A95AC8">
        <w:rPr>
          <w:rStyle w:val="Style13ptBold"/>
        </w:rPr>
        <w:t xml:space="preserve"> 5</w:t>
      </w:r>
      <w:r>
        <w:t xml:space="preserve"> Michael </w:t>
      </w:r>
      <w:proofErr w:type="spellStart"/>
      <w:r>
        <w:t>Tonry</w:t>
      </w:r>
      <w:proofErr w:type="spellEnd"/>
      <w:r>
        <w:t xml:space="preserve">, </w:t>
      </w:r>
      <w:proofErr w:type="spellStart"/>
      <w:r>
        <w:t>Sonosky</w:t>
      </w:r>
      <w:proofErr w:type="spellEnd"/>
      <w:r>
        <w:t xml:space="preserve"> Professor of Law and Public Policy and Director, Institute on Crime and Public Policy, University of Minnesota Law School; Senior Fellow, Netherlands Institute for the Study of Crime and Law Enforcement THE FUNCTIONS OF SENTENCING AND SENTENCING REFORM, TONRY FUNCTIONS OF SENTENCING REFORM 58 STAN. L. REV. 37 10/28/2005 http://www.stanfordlawreview.org/wp-content/uploads/sites/3/2010/04/Tonry.pdf</w:t>
      </w:r>
    </w:p>
    <w:p w:rsidR="00FF5D2F" w:rsidRPr="002E0510" w:rsidRDefault="00FF5D2F" w:rsidP="00FF5D2F">
      <w:pPr>
        <w:rPr>
          <w:sz w:val="16"/>
        </w:rPr>
      </w:pPr>
      <w:r w:rsidRPr="002E0510">
        <w:rPr>
          <w:sz w:val="16"/>
        </w:rPr>
        <w:t xml:space="preserve">In this Article, </w:t>
      </w:r>
      <w:r w:rsidRPr="00FF5D2F">
        <w:rPr>
          <w:rStyle w:val="StyleUnderline"/>
          <w:highlight w:val="yellow"/>
        </w:rPr>
        <w:t>I focus on</w:t>
      </w:r>
      <w:r w:rsidRPr="002E0510">
        <w:rPr>
          <w:sz w:val="16"/>
        </w:rPr>
        <w:t xml:space="preserve"> the functions of </w:t>
      </w:r>
      <w:r w:rsidRPr="002E0510">
        <w:rPr>
          <w:rStyle w:val="StyleUnderline"/>
        </w:rPr>
        <w:t xml:space="preserve">sentencing and </w:t>
      </w:r>
      <w:r w:rsidRPr="00FF5D2F">
        <w:rPr>
          <w:rStyle w:val="StyleUnderline"/>
          <w:highlight w:val="yellow"/>
        </w:rPr>
        <w:t>sentencing reform</w:t>
      </w:r>
      <w:r w:rsidRPr="00FF5D2F">
        <w:rPr>
          <w:sz w:val="16"/>
          <w:highlight w:val="yellow"/>
        </w:rPr>
        <w:t xml:space="preserve">. </w:t>
      </w:r>
      <w:r w:rsidRPr="00FF5D2F">
        <w:rPr>
          <w:rStyle w:val="StyleUnderline"/>
          <w:highlight w:val="yellow"/>
        </w:rPr>
        <w:t>The criminal law I set aside</w:t>
      </w:r>
      <w:r w:rsidRPr="002E0510">
        <w:rPr>
          <w:sz w:val="16"/>
        </w:rPr>
        <w:t xml:space="preserve">, partly </w:t>
      </w:r>
      <w:r w:rsidRPr="00FF5D2F">
        <w:rPr>
          <w:rStyle w:val="StyleUnderline"/>
          <w:highlight w:val="yellow"/>
        </w:rPr>
        <w:t>because its</w:t>
      </w:r>
      <w:r w:rsidRPr="002E0510">
        <w:rPr>
          <w:sz w:val="16"/>
        </w:rPr>
        <w:t xml:space="preserve"> primary overt </w:t>
      </w:r>
      <w:r w:rsidRPr="00FF5D2F">
        <w:rPr>
          <w:rStyle w:val="StyleUnderline"/>
          <w:highlight w:val="yellow"/>
        </w:rPr>
        <w:t>function</w:t>
      </w:r>
      <w:r w:rsidRPr="002E0510">
        <w:rPr>
          <w:rStyle w:val="StyleUnderline"/>
        </w:rPr>
        <w:t>s—</w:t>
      </w:r>
      <w:r w:rsidRPr="00FF5D2F">
        <w:rPr>
          <w:rStyle w:val="StyleUnderline"/>
          <w:highlight w:val="yellow"/>
        </w:rPr>
        <w:t>to label as crimes some behaviors</w:t>
      </w:r>
      <w:r w:rsidRPr="002E0510">
        <w:rPr>
          <w:rStyle w:val="StyleUnderline"/>
        </w:rPr>
        <w:t xml:space="preserve"> that violate important social norms</w:t>
      </w:r>
      <w:r w:rsidRPr="002E0510">
        <w:rPr>
          <w:sz w:val="16"/>
        </w:rPr>
        <w:t xml:space="preserve">, </w:t>
      </w:r>
      <w:r w:rsidRPr="00FF5D2F">
        <w:rPr>
          <w:rStyle w:val="StyleUnderline"/>
          <w:highlight w:val="yellow"/>
        </w:rPr>
        <w:t>to proscribe them</w:t>
      </w:r>
      <w:r w:rsidRPr="002E0510">
        <w:rPr>
          <w:sz w:val="16"/>
        </w:rPr>
        <w:t xml:space="preserve">, and to discourage their occurrence—are relatively uncontroversial, and partly </w:t>
      </w:r>
      <w:r w:rsidRPr="00FF5D2F">
        <w:rPr>
          <w:rStyle w:val="StyleUnderline"/>
          <w:highlight w:val="yellow"/>
        </w:rPr>
        <w:t>because sentencing</w:t>
      </w:r>
      <w:r w:rsidRPr="002E0510">
        <w:rPr>
          <w:rStyle w:val="StyleUnderline"/>
        </w:rPr>
        <w:t xml:space="preserve"> and punishment</w:t>
      </w:r>
      <w:r w:rsidRPr="002E0510">
        <w:rPr>
          <w:sz w:val="16"/>
        </w:rPr>
        <w:t xml:space="preserve"> can, only slightly artificially, be said to </w:t>
      </w:r>
      <w:r w:rsidRPr="00FF5D2F">
        <w:rPr>
          <w:rStyle w:val="StyleUnderline"/>
          <w:highlight w:val="yellow"/>
        </w:rPr>
        <w:t>pose a self-contained set of issues and problems irrespective of the substantive content of the criminal law</w:t>
      </w:r>
      <w:r w:rsidRPr="002E0510">
        <w:rPr>
          <w:sz w:val="16"/>
        </w:rPr>
        <w:t xml:space="preserve">. See, e.g., H.L.A. HART, PUNISHMENT AND RESPONSIBILITY: ESSAYS IN THE PHILOSOPHY OF LAW 12-13 (1968). </w:t>
      </w:r>
    </w:p>
    <w:p w:rsidR="00FF5D2F" w:rsidRDefault="00FF5D2F" w:rsidP="00FF5D2F"/>
    <w:p w:rsidR="0065538F" w:rsidRDefault="0065538F" w:rsidP="0065538F">
      <w:pPr>
        <w:pStyle w:val="Heading4"/>
      </w:pPr>
      <w:r>
        <w:t>Sentencing is limited to penalties handed down by courts</w:t>
      </w:r>
    </w:p>
    <w:p w:rsidR="0065538F" w:rsidRDefault="0065538F" w:rsidP="0065538F">
      <w:proofErr w:type="spellStart"/>
      <w:r w:rsidRPr="002E0510">
        <w:rPr>
          <w:rStyle w:val="Style13ptBold"/>
        </w:rPr>
        <w:t>Bhattarai</w:t>
      </w:r>
      <w:proofErr w:type="spellEnd"/>
      <w:r w:rsidRPr="002E0510">
        <w:rPr>
          <w:rStyle w:val="Style13ptBold"/>
        </w:rPr>
        <w:t xml:space="preserve"> 8</w:t>
      </w:r>
      <w:r>
        <w:t xml:space="preserve"> </w:t>
      </w:r>
      <w:proofErr w:type="spellStart"/>
      <w:r>
        <w:t>Rabindra</w:t>
      </w:r>
      <w:proofErr w:type="spellEnd"/>
      <w:r>
        <w:t xml:space="preserve"> </w:t>
      </w:r>
      <w:proofErr w:type="spellStart"/>
      <w:r>
        <w:t>Bhattarai</w:t>
      </w:r>
      <w:proofErr w:type="spellEnd"/>
      <w:r>
        <w:t xml:space="preserve"> is Advocate, LLM Kathmandu School of Law, </w:t>
      </w:r>
      <w:proofErr w:type="gramStart"/>
      <w:r>
        <w:t>Principles</w:t>
      </w:r>
      <w:proofErr w:type="gramEnd"/>
      <w:r>
        <w:t xml:space="preserve"> of Sentencing in Criminal Justice</w:t>
      </w:r>
    </w:p>
    <w:p w:rsidR="0065538F" w:rsidRDefault="0065538F" w:rsidP="0065538F">
      <w:r>
        <w:t>System, Kathmandu Law Review, Vol. 1, No. 1, http://www.asianlii.org/np/journals/KathSLRS/2008/11.pdf</w:t>
      </w:r>
    </w:p>
    <w:p w:rsidR="0065538F" w:rsidRPr="00C02046" w:rsidRDefault="0065538F" w:rsidP="0065538F">
      <w:pPr>
        <w:rPr>
          <w:sz w:val="16"/>
        </w:rPr>
      </w:pPr>
      <w:r w:rsidRPr="00C02046">
        <w:rPr>
          <w:sz w:val="16"/>
        </w:rPr>
        <w:t xml:space="preserve">Sentence, punishment, sanction and penalty are synonymous, generally used interchangeably. Punishment though, used in context of violation of law as well as in commission of some wrong, </w:t>
      </w:r>
      <w:r w:rsidRPr="00B92C0A">
        <w:rPr>
          <w:rStyle w:val="StyleUnderline"/>
          <w:highlight w:val="yellow"/>
        </w:rPr>
        <w:t>sentence</w:t>
      </w:r>
      <w:r w:rsidRPr="002E0510">
        <w:rPr>
          <w:rStyle w:val="StyleUnderline"/>
        </w:rPr>
        <w:t xml:space="preserve"> is more specific. It </w:t>
      </w:r>
      <w:r w:rsidRPr="00B92C0A">
        <w:rPr>
          <w:rStyle w:val="StyleUnderline"/>
          <w:highlight w:val="yellow"/>
        </w:rPr>
        <w:t>relates to the court proceedings whereas</w:t>
      </w:r>
      <w:r w:rsidRPr="002E0510">
        <w:rPr>
          <w:rStyle w:val="StyleUnderline"/>
        </w:rPr>
        <w:t xml:space="preserve"> punishment, </w:t>
      </w:r>
      <w:r w:rsidRPr="00B92C0A">
        <w:rPr>
          <w:rStyle w:val="StyleUnderline"/>
          <w:highlight w:val="yellow"/>
        </w:rPr>
        <w:t>sanction</w:t>
      </w:r>
      <w:r w:rsidRPr="002E0510">
        <w:rPr>
          <w:rStyle w:val="StyleUnderline"/>
        </w:rPr>
        <w:t xml:space="preserve"> and penalty </w:t>
      </w:r>
      <w:r w:rsidRPr="00B92C0A">
        <w:rPr>
          <w:rStyle w:val="StyleUnderline"/>
          <w:highlight w:val="yellow"/>
        </w:rPr>
        <w:t>would be applicable in other spheres</w:t>
      </w:r>
      <w:r w:rsidRPr="002E0510">
        <w:rPr>
          <w:rStyle w:val="StyleUnderline"/>
        </w:rPr>
        <w:t xml:space="preserve"> as well. That is, “the punishment given by a</w:t>
      </w:r>
      <w:r>
        <w:rPr>
          <w:rStyle w:val="StyleUnderline"/>
        </w:rPr>
        <w:t xml:space="preserve"> </w:t>
      </w:r>
      <w:r w:rsidRPr="002E0510">
        <w:rPr>
          <w:rStyle w:val="StyleUnderline"/>
        </w:rPr>
        <w:t xml:space="preserve">court of law" is sentence </w:t>
      </w:r>
      <w:r w:rsidRPr="00C02046">
        <w:rPr>
          <w:sz w:val="16"/>
        </w:rPr>
        <w:t>(</w:t>
      </w:r>
      <w:proofErr w:type="spellStart"/>
      <w:r w:rsidRPr="00C02046">
        <w:rPr>
          <w:sz w:val="16"/>
        </w:rPr>
        <w:t>Hernby</w:t>
      </w:r>
      <w:proofErr w:type="spellEnd"/>
      <w:r w:rsidRPr="00C02046">
        <w:rPr>
          <w:sz w:val="16"/>
        </w:rPr>
        <w:t xml:space="preserve">, 2000). </w:t>
      </w:r>
      <w:r w:rsidRPr="00B03D74">
        <w:rPr>
          <w:rStyle w:val="StyleUnderline"/>
          <w:highlight w:val="yellow"/>
        </w:rPr>
        <w:t>Sentencing</w:t>
      </w:r>
      <w:r w:rsidRPr="00B03D74">
        <w:rPr>
          <w:sz w:val="16"/>
          <w:highlight w:val="yellow"/>
        </w:rPr>
        <w:t>,</w:t>
      </w:r>
      <w:r w:rsidRPr="00C02046">
        <w:rPr>
          <w:sz w:val="16"/>
        </w:rPr>
        <w:t xml:space="preserve"> gerund form of sentence </w:t>
      </w:r>
      <w:r w:rsidRPr="00B03D74">
        <w:rPr>
          <w:rStyle w:val="StyleUnderline"/>
          <w:highlight w:val="yellow"/>
        </w:rPr>
        <w:t xml:space="preserve">denotes a process of punishing </w:t>
      </w:r>
      <w:proofErr w:type="spellStart"/>
      <w:r w:rsidRPr="00B03D74">
        <w:rPr>
          <w:rStyle w:val="StyleUnderline"/>
          <w:highlight w:val="yellow"/>
        </w:rPr>
        <w:t>some one</w:t>
      </w:r>
      <w:proofErr w:type="spellEnd"/>
      <w:r w:rsidRPr="00B03D74">
        <w:rPr>
          <w:rStyle w:val="StyleUnderline"/>
          <w:highlight w:val="yellow"/>
        </w:rPr>
        <w:t xml:space="preserve"> who is convicted of breaking of law by a court of law</w:t>
      </w:r>
      <w:r w:rsidRPr="00B03D74">
        <w:rPr>
          <w:sz w:val="16"/>
          <w:highlight w:val="yellow"/>
        </w:rPr>
        <w:t xml:space="preserve">. </w:t>
      </w:r>
      <w:r w:rsidRPr="00B03D74">
        <w:rPr>
          <w:rStyle w:val="StyleUnderline"/>
          <w:highlight w:val="yellow"/>
        </w:rPr>
        <w:t>Sentencing has been defined as "the judicial determination of a legal sanction</w:t>
      </w:r>
      <w:r w:rsidRPr="00C02046">
        <w:rPr>
          <w:sz w:val="16"/>
        </w:rPr>
        <w:t xml:space="preserve"> to be imposed on a person found </w:t>
      </w:r>
      <w:proofErr w:type="spellStart"/>
      <w:r w:rsidRPr="00C02046">
        <w:rPr>
          <w:sz w:val="16"/>
        </w:rPr>
        <w:t>guilt</w:t>
      </w:r>
      <w:proofErr w:type="spellEnd"/>
      <w:r w:rsidRPr="00C02046">
        <w:rPr>
          <w:sz w:val="16"/>
        </w:rPr>
        <w:t xml:space="preserve"> on and offence" (Canadian Sentencing Commission 1987: 115 quoted in MJNZ, 1997: 13). Ministry of Justice New Zealand, has considered it as "one of the several stages which together comprise what is often referred to as the criminal justice system"(MJNZ, 1997: 13). According to Joel (1988) ‘sentencing is a process by which penalties are imposed on convicted defendants. ...Sentencing is easily a second most important point in the criminal process after arrest’ (p.460). Principles of Sentencing in Criminal Justice System, </w:t>
      </w:r>
      <w:proofErr w:type="spellStart"/>
      <w:r w:rsidRPr="00C02046">
        <w:rPr>
          <w:sz w:val="16"/>
        </w:rPr>
        <w:t>Rabindra</w:t>
      </w:r>
      <w:proofErr w:type="spellEnd"/>
      <w:r w:rsidRPr="00C02046">
        <w:rPr>
          <w:sz w:val="16"/>
        </w:rPr>
        <w:t xml:space="preserve"> </w:t>
      </w:r>
      <w:proofErr w:type="spellStart"/>
      <w:r w:rsidRPr="00C02046">
        <w:rPr>
          <w:sz w:val="16"/>
        </w:rPr>
        <w:t>Bhattarai</w:t>
      </w:r>
      <w:proofErr w:type="spellEnd"/>
      <w:r w:rsidRPr="00C02046">
        <w:rPr>
          <w:sz w:val="16"/>
        </w:rPr>
        <w:t xml:space="preserve"> In other words, </w:t>
      </w:r>
      <w:r w:rsidRPr="00B03D74">
        <w:rPr>
          <w:rStyle w:val="StyleUnderline"/>
          <w:highlight w:val="yellow"/>
        </w:rPr>
        <w:t>sentencing is an action of passing judgement by a court of law</w:t>
      </w:r>
      <w:r w:rsidRPr="00C02046">
        <w:rPr>
          <w:sz w:val="16"/>
        </w:rPr>
        <w:t xml:space="preserve"> under legitimate jurisdiction where formal declaration of legal consequence of the acts or omissions of a convict is pronounced. Therefore, </w:t>
      </w:r>
      <w:r w:rsidRPr="00C02046">
        <w:rPr>
          <w:rStyle w:val="StyleUnderline"/>
        </w:rPr>
        <w:t>sentencing is</w:t>
      </w:r>
      <w:r w:rsidRPr="00C02046">
        <w:rPr>
          <w:sz w:val="16"/>
        </w:rPr>
        <w:t xml:space="preserve"> a judgement where the accused compel to bear the legal consequence of his acts or omissions. It is </w:t>
      </w:r>
      <w:r w:rsidRPr="00C02046">
        <w:rPr>
          <w:rStyle w:val="StyleUnderline"/>
        </w:rPr>
        <w:t>imposing of penalty on convicted</w:t>
      </w:r>
      <w:r>
        <w:rPr>
          <w:rStyle w:val="StyleUnderline"/>
        </w:rPr>
        <w:t xml:space="preserve"> </w:t>
      </w:r>
      <w:r w:rsidRPr="00C02046">
        <w:rPr>
          <w:rStyle w:val="StyleUnderline"/>
        </w:rPr>
        <w:t>defendant</w:t>
      </w:r>
      <w:r w:rsidRPr="00C02046">
        <w:rPr>
          <w:sz w:val="16"/>
        </w:rPr>
        <w:t xml:space="preserve">. It means sentencing is a legal consequence of antisocial acts of defendant. Therefore, it is central task of administration of justice by a court of law. </w:t>
      </w:r>
    </w:p>
    <w:p w:rsidR="00FF5D2F" w:rsidRDefault="00FF5D2F" w:rsidP="00AE7673"/>
    <w:p w:rsidR="00AE7673" w:rsidRDefault="00AE7673" w:rsidP="00AE7673"/>
    <w:p w:rsidR="00FF5D2F" w:rsidRDefault="00FF5D2F" w:rsidP="00FF5D2F">
      <w:pPr>
        <w:pStyle w:val="Heading4"/>
      </w:pPr>
      <w:r>
        <w:t>Sentencing includes the entire process of sanction including being stopped by police</w:t>
      </w:r>
    </w:p>
    <w:p w:rsidR="00FF5D2F" w:rsidRDefault="00FF5D2F" w:rsidP="00FF5D2F">
      <w:proofErr w:type="spellStart"/>
      <w:r w:rsidRPr="00A95AC8">
        <w:rPr>
          <w:rStyle w:val="Style13ptBold"/>
        </w:rPr>
        <w:t>Hoefnagels</w:t>
      </w:r>
      <w:proofErr w:type="spellEnd"/>
      <w:r w:rsidRPr="00A95AC8">
        <w:rPr>
          <w:rStyle w:val="Style13ptBold"/>
        </w:rPr>
        <w:t xml:space="preserve"> 69</w:t>
      </w:r>
      <w:r>
        <w:t xml:space="preserve"> G. Peter </w:t>
      </w:r>
      <w:proofErr w:type="spellStart"/>
      <w:r>
        <w:t>Hoefnagels</w:t>
      </w:r>
      <w:proofErr w:type="spellEnd"/>
      <w:r>
        <w:t xml:space="preserve"> Professor of Criminology Rotterdam University, </w:t>
      </w:r>
      <w:proofErr w:type="gramStart"/>
      <w:r>
        <w:t>The</w:t>
      </w:r>
      <w:proofErr w:type="gramEnd"/>
      <w:r>
        <w:t xml:space="preserve"> Other Side of Criminology An Inversion of the Concept of Crime p. 149</w:t>
      </w:r>
    </w:p>
    <w:p w:rsidR="00FF5D2F" w:rsidRPr="00A95AC8" w:rsidRDefault="00FF5D2F" w:rsidP="00FF5D2F">
      <w:pPr>
        <w:rPr>
          <w:sz w:val="16"/>
        </w:rPr>
      </w:pPr>
      <w:r w:rsidRPr="00A95AC8">
        <w:rPr>
          <w:sz w:val="16"/>
        </w:rPr>
        <w:t xml:space="preserve">So the ladder of sanctions shows: that 1. </w:t>
      </w:r>
      <w:proofErr w:type="gramStart"/>
      <w:r w:rsidRPr="00A95AC8">
        <w:rPr>
          <w:sz w:val="16"/>
        </w:rPr>
        <w:t>the</w:t>
      </w:r>
      <w:proofErr w:type="gramEnd"/>
      <w:r w:rsidRPr="00A95AC8">
        <w:rPr>
          <w:sz w:val="16"/>
        </w:rPr>
        <w:t xml:space="preserve"> number of sanctions is much greater than those indicated by law; 2. that virtually every sanction involves a decision whether to escalate, or to start social rehabilitation of the offender immediately; that </w:t>
      </w:r>
      <w:r w:rsidRPr="00A95AC8">
        <w:rPr>
          <w:rStyle w:val="StyleUnderline"/>
          <w:highlight w:val="yellow"/>
        </w:rPr>
        <w:t>sentencing is a process commencing with the police officer stopping and questioning the suspect and terminable at virtually every rung of the ladder of sanctions;</w:t>
      </w:r>
      <w:r w:rsidRPr="00A95AC8">
        <w:rPr>
          <w:sz w:val="16"/>
        </w:rPr>
        <w:t xml:space="preserve"> 4. </w:t>
      </w:r>
      <w:proofErr w:type="gramStart"/>
      <w:r w:rsidRPr="00A95AC8">
        <w:rPr>
          <w:sz w:val="16"/>
        </w:rPr>
        <w:t>that</w:t>
      </w:r>
      <w:proofErr w:type="gramEnd"/>
      <w:r w:rsidRPr="00A95AC8">
        <w:rPr>
          <w:sz w:val="16"/>
        </w:rPr>
        <w:t xml:space="preserve"> sanctions emphasizing the return to society (letting the offender return home or to his work, but also referral to a public mental health agency, social worker, employment office etc.) are preferable. As a rule behavior can best be influenced exclusively within the context of the offenders own living situation. (The all too familiar saying: 'He should be removed from his environment' makes one think of a fish out of water: he is moribund.)</w:t>
      </w:r>
    </w:p>
    <w:p w:rsidR="0065538F" w:rsidRDefault="0065538F" w:rsidP="0065538F">
      <w:pPr>
        <w:pStyle w:val="Heading4"/>
      </w:pPr>
      <w:r>
        <w:t>Federal law defines sentencing as the pronouncement of a sentence</w:t>
      </w:r>
    </w:p>
    <w:p w:rsidR="0065538F" w:rsidRDefault="0065538F" w:rsidP="0065538F">
      <w:r w:rsidRPr="007D08D6">
        <w:rPr>
          <w:rStyle w:val="Style13ptBold"/>
        </w:rPr>
        <w:t>U.S. vs Carter 15</w:t>
      </w:r>
      <w:r>
        <w:t xml:space="preserve">, UNITED STATES OF AMERICA § v. § CRIMINAL ACTION NO. 4:14-CR-287, UNITED STATES DISTRICT COURT SOUTHERN DISTRICT OF TEXAS HOUSTON DIVISION, </w:t>
      </w:r>
      <w:hyperlink r:id="rId31" w:history="1">
        <w:r w:rsidRPr="007663DA">
          <w:rPr>
            <w:rStyle w:val="Hyperlink"/>
          </w:rPr>
          <w:t>https://www.govinfo.gov/content/pkg/USCOURTS-txsd-4_14-cr-00287/pdf/USCOURTS-txsd-4_14-cr-00287-0.pdf</w:t>
        </w:r>
      </w:hyperlink>
    </w:p>
    <w:p w:rsidR="0065538F" w:rsidRPr="00761EA8" w:rsidRDefault="0065538F" w:rsidP="0065538F">
      <w:pPr>
        <w:rPr>
          <w:sz w:val="16"/>
        </w:rPr>
      </w:pPr>
      <w:r w:rsidRPr="00B03D74">
        <w:rPr>
          <w:rStyle w:val="StyleUnderline"/>
          <w:highlight w:val="yellow"/>
        </w:rPr>
        <w:t>Federal Rule of Criminal Procedure 35 states</w:t>
      </w:r>
      <w:r w:rsidRPr="00761EA8">
        <w:rPr>
          <w:sz w:val="16"/>
        </w:rPr>
        <w:t xml:space="preserve">, in relevant part, (a) Within 14 days after sentencing, </w:t>
      </w:r>
      <w:proofErr w:type="gramStart"/>
      <w:r w:rsidRPr="00761EA8">
        <w:rPr>
          <w:sz w:val="16"/>
        </w:rPr>
        <w:t>the</w:t>
      </w:r>
      <w:proofErr w:type="gramEnd"/>
      <w:r w:rsidRPr="00761EA8">
        <w:rPr>
          <w:sz w:val="16"/>
        </w:rPr>
        <w:t xml:space="preserve"> court may correct a sentence that resulted from arithmetical, technical, or other clear error. Fed. R. Crim. P. 35(a).</w:t>
      </w:r>
      <w:r w:rsidRPr="00761EA8">
        <w:rPr>
          <w:rStyle w:val="StyleUnderline"/>
        </w:rPr>
        <w:t xml:space="preserve">3 </w:t>
      </w:r>
      <w:r w:rsidRPr="00B03D74">
        <w:rPr>
          <w:rStyle w:val="StyleUnderline"/>
          <w:highlight w:val="yellow"/>
        </w:rPr>
        <w:t>Sentencing is defined as “the oral announcement of the sentence</w:t>
      </w:r>
      <w:r w:rsidRPr="00761EA8">
        <w:rPr>
          <w:sz w:val="16"/>
        </w:rPr>
        <w:t xml:space="preserve">.” Fed. R. Crim. P. 35(c). </w:t>
      </w:r>
    </w:p>
    <w:p w:rsidR="0065538F" w:rsidRDefault="0065538F" w:rsidP="0065538F">
      <w:pPr>
        <w:pStyle w:val="Heading4"/>
      </w:pPr>
      <w:r>
        <w:t>Sentencing is the announcement of a sentence</w:t>
      </w:r>
    </w:p>
    <w:p w:rsidR="0065538F" w:rsidRDefault="0065538F" w:rsidP="0065538F">
      <w:r w:rsidRPr="003F1DDD">
        <w:rPr>
          <w:rStyle w:val="Style13ptBold"/>
        </w:rPr>
        <w:t>US v. Martinez 5</w:t>
      </w:r>
      <w:r>
        <w:t xml:space="preserve"> USA v. Martinez et al Criminal Middle District of Florida, flmd-2:2005-cr-00049-169291, https://www.docketbird.com/court-documents/USA-v-Martinez-et-al/OPINION-AND-ORDER-granting-in-part-154-Motion-for-post-conviction-relief-as-to-Carnester-Lee-Ellis-2-and-the-Clerk-shall-enter-a-Second-Amended-Judgment-reducing-the-sentence-imposed-to-57-months-imprisonment-and-otherwise-leaving-all-other-component/flmd-2:2005-cr-00049-169291-00155</w:t>
      </w:r>
    </w:p>
    <w:p w:rsidR="0065538F" w:rsidRPr="003F1DDD" w:rsidRDefault="0065538F" w:rsidP="0065538F">
      <w:pPr>
        <w:rPr>
          <w:sz w:val="16"/>
        </w:rPr>
      </w:pPr>
      <w:proofErr w:type="gramStart"/>
      <w:r w:rsidRPr="00B03D74">
        <w:rPr>
          <w:rStyle w:val="StyleUnderline"/>
          <w:highlight w:val="yellow"/>
        </w:rPr>
        <w:t>Sentencing  is</w:t>
      </w:r>
      <w:proofErr w:type="gramEnd"/>
      <w:r w:rsidRPr="00B03D74">
        <w:rPr>
          <w:rStyle w:val="StyleUnderline"/>
          <w:highlight w:val="yellow"/>
        </w:rPr>
        <w:t xml:space="preserve">  defined  as  “the  oral  announcement  of  the sentence</w:t>
      </w:r>
      <w:r w:rsidRPr="003F1DDD">
        <w:rPr>
          <w:rStyle w:val="StyleUnderline"/>
        </w:rPr>
        <w:t>.”</w:t>
      </w:r>
      <w:r w:rsidRPr="003F1DDD">
        <w:rPr>
          <w:sz w:val="16"/>
        </w:rPr>
        <w:t xml:space="preserve">  FED.R.CRIM.P.35(c).  The Court has the authority to correct errors at any time under Federal Rule of Criminal Procedure36 to ensure that a judgment is in accord with the oral </w:t>
      </w:r>
      <w:proofErr w:type="spellStart"/>
      <w:proofErr w:type="gramStart"/>
      <w:r w:rsidRPr="003F1DDD">
        <w:rPr>
          <w:sz w:val="16"/>
        </w:rPr>
        <w:t>sentence.United</w:t>
      </w:r>
      <w:proofErr w:type="spellEnd"/>
      <w:r w:rsidRPr="003F1DDD">
        <w:rPr>
          <w:sz w:val="16"/>
        </w:rPr>
        <w:t xml:space="preserve">  States</w:t>
      </w:r>
      <w:proofErr w:type="gramEnd"/>
      <w:r w:rsidRPr="003F1DDD">
        <w:rPr>
          <w:sz w:val="16"/>
        </w:rPr>
        <w:t xml:space="preserve">  v.  Portillo</w:t>
      </w:r>
      <w:proofErr w:type="gramStart"/>
      <w:r w:rsidRPr="003F1DDD">
        <w:rPr>
          <w:sz w:val="16"/>
        </w:rPr>
        <w:t>,  363</w:t>
      </w:r>
      <w:proofErr w:type="gramEnd"/>
      <w:r w:rsidRPr="003F1DDD">
        <w:rPr>
          <w:sz w:val="16"/>
        </w:rPr>
        <w:t xml:space="preserve">  F.3d  1161,  1164-65  (11th  Cir.2004)(citations omitted).  Consistent with its oral statements </w:t>
      </w:r>
      <w:proofErr w:type="spellStart"/>
      <w:r w:rsidRPr="003F1DDD">
        <w:rPr>
          <w:sz w:val="16"/>
        </w:rPr>
        <w:t>atsentencing</w:t>
      </w:r>
      <w:proofErr w:type="spellEnd"/>
      <w:proofErr w:type="gramStart"/>
      <w:r w:rsidRPr="003F1DDD">
        <w:rPr>
          <w:sz w:val="16"/>
        </w:rPr>
        <w:t>,  the</w:t>
      </w:r>
      <w:proofErr w:type="gramEnd"/>
      <w:r w:rsidRPr="003F1DDD">
        <w:rPr>
          <w:sz w:val="16"/>
        </w:rPr>
        <w:t xml:space="preserve">  Court  </w:t>
      </w:r>
      <w:proofErr w:type="spellStart"/>
      <w:r w:rsidRPr="003F1DDD">
        <w:rPr>
          <w:sz w:val="16"/>
        </w:rPr>
        <w:t>shouldhave</w:t>
      </w:r>
      <w:proofErr w:type="spellEnd"/>
      <w:r w:rsidRPr="003F1DDD">
        <w:rPr>
          <w:sz w:val="16"/>
        </w:rPr>
        <w:t xml:space="preserve">  started  at  the  three  </w:t>
      </w:r>
      <w:proofErr w:type="spellStart"/>
      <w:r w:rsidRPr="003F1DDD">
        <w:rPr>
          <w:sz w:val="16"/>
        </w:rPr>
        <w:t>leveldownward</w:t>
      </w:r>
      <w:proofErr w:type="spellEnd"/>
      <w:r w:rsidRPr="003F1DDD">
        <w:rPr>
          <w:sz w:val="16"/>
        </w:rPr>
        <w:t xml:space="preserve"> departure from defendant’s base offense level of 27 (78-97months).  A three level reduction results in a base offense </w:t>
      </w:r>
      <w:proofErr w:type="spellStart"/>
      <w:r w:rsidRPr="003F1DDD">
        <w:rPr>
          <w:sz w:val="16"/>
        </w:rPr>
        <w:t>levelof</w:t>
      </w:r>
      <w:proofErr w:type="spellEnd"/>
      <w:r w:rsidRPr="003F1DDD">
        <w:rPr>
          <w:sz w:val="16"/>
        </w:rPr>
        <w:t xml:space="preserve">  24,  which  at  criminal  history  category  II  results  in  </w:t>
      </w:r>
      <w:proofErr w:type="spellStart"/>
      <w:r w:rsidRPr="003F1DDD">
        <w:rPr>
          <w:sz w:val="16"/>
        </w:rPr>
        <w:t>asentencing</w:t>
      </w:r>
      <w:proofErr w:type="spellEnd"/>
      <w:r w:rsidRPr="003F1DDD">
        <w:rPr>
          <w:sz w:val="16"/>
        </w:rPr>
        <w:t xml:space="preserve"> guideline range of 57-71 months.  The Court finds </w:t>
      </w:r>
      <w:proofErr w:type="spellStart"/>
      <w:r w:rsidRPr="003F1DDD">
        <w:rPr>
          <w:sz w:val="16"/>
        </w:rPr>
        <w:t>thata</w:t>
      </w:r>
      <w:proofErr w:type="spellEnd"/>
      <w:r w:rsidRPr="003F1DDD">
        <w:rPr>
          <w:sz w:val="16"/>
        </w:rPr>
        <w:t xml:space="preserve"> sentence of 57 months imprisonment is sufficient, but not </w:t>
      </w:r>
      <w:proofErr w:type="spellStart"/>
      <w:r w:rsidRPr="003F1DDD">
        <w:rPr>
          <w:sz w:val="16"/>
        </w:rPr>
        <w:t>greaterthan</w:t>
      </w:r>
      <w:proofErr w:type="spellEnd"/>
      <w:r w:rsidRPr="003F1DDD">
        <w:rPr>
          <w:sz w:val="16"/>
        </w:rPr>
        <w:t xml:space="preserve"> necessary, to comply with the purposes of sentencing as </w:t>
      </w:r>
      <w:proofErr w:type="spellStart"/>
      <w:proofErr w:type="gramStart"/>
      <w:r w:rsidRPr="003F1DDD">
        <w:rPr>
          <w:sz w:val="16"/>
        </w:rPr>
        <w:t>setforth</w:t>
      </w:r>
      <w:proofErr w:type="spellEnd"/>
      <w:r w:rsidRPr="003F1DDD">
        <w:rPr>
          <w:sz w:val="16"/>
        </w:rPr>
        <w:t xml:space="preserve">  in</w:t>
      </w:r>
      <w:proofErr w:type="gramEnd"/>
      <w:r w:rsidRPr="003F1DDD">
        <w:rPr>
          <w:sz w:val="16"/>
        </w:rPr>
        <w:t xml:space="preserve">  18  U.S.C.  </w:t>
      </w:r>
      <w:proofErr w:type="gramStart"/>
      <w:r w:rsidRPr="003F1DDD">
        <w:rPr>
          <w:sz w:val="16"/>
        </w:rPr>
        <w:t>§  3553</w:t>
      </w:r>
      <w:proofErr w:type="gramEnd"/>
      <w:r w:rsidRPr="003F1DDD">
        <w:rPr>
          <w:sz w:val="16"/>
        </w:rPr>
        <w:t xml:space="preserve">(a)  after  considering  </w:t>
      </w:r>
      <w:proofErr w:type="spellStart"/>
      <w:r w:rsidRPr="003F1DDD">
        <w:rPr>
          <w:sz w:val="16"/>
        </w:rPr>
        <w:t>defendant’ssubstantialassistance</w:t>
      </w:r>
      <w:proofErr w:type="spellEnd"/>
      <w:r w:rsidRPr="003F1DDD">
        <w:rPr>
          <w:sz w:val="16"/>
        </w:rPr>
        <w:t xml:space="preserve"> in addition to the previously </w:t>
      </w:r>
      <w:proofErr w:type="spellStart"/>
      <w:r w:rsidRPr="003F1DDD">
        <w:rPr>
          <w:sz w:val="16"/>
        </w:rPr>
        <w:t>consideredadvisoryrecommendation</w:t>
      </w:r>
      <w:proofErr w:type="spellEnd"/>
      <w:r w:rsidRPr="003F1DDD">
        <w:rPr>
          <w:sz w:val="16"/>
        </w:rPr>
        <w:t xml:space="preserve"> of the Sentencing Guidelines and all </w:t>
      </w:r>
      <w:proofErr w:type="spellStart"/>
      <w:r w:rsidRPr="003F1DDD">
        <w:rPr>
          <w:sz w:val="16"/>
        </w:rPr>
        <w:t>thefactorsidentified</w:t>
      </w:r>
      <w:proofErr w:type="spellEnd"/>
      <w:r w:rsidRPr="003F1DDD">
        <w:rPr>
          <w:sz w:val="16"/>
        </w:rPr>
        <w:t xml:space="preserve">  at  18  U.S.C.  </w:t>
      </w:r>
      <w:proofErr w:type="gramStart"/>
      <w:r w:rsidRPr="003F1DDD">
        <w:rPr>
          <w:sz w:val="16"/>
        </w:rPr>
        <w:t>§  3553</w:t>
      </w:r>
      <w:proofErr w:type="gramEnd"/>
      <w:r w:rsidRPr="003F1DDD">
        <w:rPr>
          <w:sz w:val="16"/>
        </w:rPr>
        <w:t xml:space="preserve">(a)(1)-(7).    </w:t>
      </w:r>
      <w:proofErr w:type="gramStart"/>
      <w:r w:rsidRPr="003F1DDD">
        <w:rPr>
          <w:sz w:val="16"/>
        </w:rPr>
        <w:t xml:space="preserve">All  </w:t>
      </w:r>
      <w:proofErr w:type="spellStart"/>
      <w:r w:rsidRPr="003F1DDD">
        <w:rPr>
          <w:sz w:val="16"/>
        </w:rPr>
        <w:t>otherCase</w:t>
      </w:r>
      <w:proofErr w:type="spellEnd"/>
      <w:proofErr w:type="gramEnd"/>
      <w:r w:rsidRPr="003F1DDD">
        <w:rPr>
          <w:sz w:val="16"/>
        </w:rPr>
        <w:t xml:space="preserve"> 2:05-cr-00049-JES-SPC   Document 155   Filed 12/18/07   Page 2 of 3 </w:t>
      </w:r>
      <w:proofErr w:type="spellStart"/>
      <w:r w:rsidRPr="003F1DDD">
        <w:rPr>
          <w:sz w:val="16"/>
        </w:rPr>
        <w:t>PageID</w:t>
      </w:r>
      <w:proofErr w:type="spellEnd"/>
      <w:r w:rsidRPr="003F1DDD">
        <w:rPr>
          <w:sz w:val="16"/>
        </w:rPr>
        <w:t xml:space="preserve"> 317</w:t>
      </w:r>
    </w:p>
    <w:p w:rsidR="0065538F" w:rsidRDefault="0065538F" w:rsidP="0065538F">
      <w:r>
        <w:t>-3-</w:t>
      </w:r>
      <w:proofErr w:type="gramStart"/>
      <w:r>
        <w:t>components  of</w:t>
      </w:r>
      <w:proofErr w:type="gramEnd"/>
      <w:r>
        <w:t xml:space="preserve">  the  original  sentence  shall  remain  as  </w:t>
      </w:r>
      <w:proofErr w:type="spellStart"/>
      <w:r>
        <w:t>originallyimposed</w:t>
      </w:r>
      <w:proofErr w:type="spellEnd"/>
      <w:r>
        <w:t>.</w:t>
      </w:r>
    </w:p>
    <w:p w:rsidR="0065538F" w:rsidRDefault="0065538F" w:rsidP="0065538F"/>
    <w:p w:rsidR="0065538F" w:rsidRDefault="0065538F" w:rsidP="0065538F">
      <w:pPr>
        <w:pStyle w:val="Heading4"/>
      </w:pPr>
      <w:r>
        <w:t>Sentencing reform is changes to reduce sentencing disparity</w:t>
      </w:r>
    </w:p>
    <w:p w:rsidR="0065538F" w:rsidRDefault="0065538F" w:rsidP="0065538F">
      <w:proofErr w:type="spellStart"/>
      <w:r w:rsidRPr="000B1E56">
        <w:rPr>
          <w:rStyle w:val="Style13ptBold"/>
        </w:rPr>
        <w:t>Waldfogel</w:t>
      </w:r>
      <w:proofErr w:type="spellEnd"/>
      <w:r w:rsidRPr="000B1E56">
        <w:rPr>
          <w:rStyle w:val="Style13ptBold"/>
        </w:rPr>
        <w:t xml:space="preserve"> 96</w:t>
      </w:r>
      <w:r>
        <w:t xml:space="preserve"> Joel </w:t>
      </w:r>
      <w:proofErr w:type="spellStart"/>
      <w:r>
        <w:t>Waldfogel</w:t>
      </w:r>
      <w:proofErr w:type="spellEnd"/>
      <w:r>
        <w:t xml:space="preserve"> Department of Economics, Yale University Journal of Public Economics 59 (1996) 177-193 Sentencing policy, implied demographic welfare weights, and the theory of sentencing reform, https://www-sciencedirect-com.www2.lib.ku.edu/science/article/pii/0047272795014985</w:t>
      </w:r>
    </w:p>
    <w:p w:rsidR="0065538F" w:rsidRDefault="0065538F" w:rsidP="0065538F">
      <w:pPr>
        <w:rPr>
          <w:sz w:val="16"/>
        </w:rPr>
      </w:pPr>
      <w:r w:rsidRPr="000B1E56">
        <w:rPr>
          <w:sz w:val="16"/>
        </w:rPr>
        <w:t xml:space="preserve">2 Use of </w:t>
      </w:r>
      <w:r w:rsidRPr="000B1E56">
        <w:rPr>
          <w:rStyle w:val="StyleUnderline"/>
          <w:highlight w:val="yellow"/>
        </w:rPr>
        <w:t>the term, "sentencing reform" is analogous with the term, "tax reform</w:t>
      </w:r>
      <w:r w:rsidRPr="000B1E56">
        <w:rPr>
          <w:sz w:val="16"/>
        </w:rPr>
        <w:t xml:space="preserve">". Here, </w:t>
      </w:r>
      <w:r w:rsidRPr="000B1E56">
        <w:rPr>
          <w:rStyle w:val="StyleUnderline"/>
          <w:highlight w:val="yellow"/>
        </w:rPr>
        <w:t>sentencing reform refers to efficiency-improving changes in sentences. This contrasts with the</w:t>
      </w:r>
      <w:r>
        <w:rPr>
          <w:rStyle w:val="StyleUnderline"/>
          <w:highlight w:val="yellow"/>
        </w:rPr>
        <w:t xml:space="preserve"> </w:t>
      </w:r>
      <w:r w:rsidRPr="000B1E56">
        <w:rPr>
          <w:rStyle w:val="StyleUnderline"/>
          <w:highlight w:val="yellow"/>
        </w:rPr>
        <w:t>conventional use of the term sentencing reform</w:t>
      </w:r>
      <w:r w:rsidRPr="000B1E56">
        <w:rPr>
          <w:sz w:val="16"/>
        </w:rPr>
        <w:t xml:space="preserve"> (among sentencing analysts) </w:t>
      </w:r>
      <w:r w:rsidRPr="000B1E56">
        <w:rPr>
          <w:rStyle w:val="StyleUnderline"/>
          <w:highlight w:val="yellow"/>
        </w:rPr>
        <w:t>to denote policy</w:t>
      </w:r>
      <w:r>
        <w:rPr>
          <w:rStyle w:val="StyleUnderline"/>
          <w:highlight w:val="yellow"/>
        </w:rPr>
        <w:t xml:space="preserve"> </w:t>
      </w:r>
      <w:r w:rsidRPr="000B1E56">
        <w:rPr>
          <w:rStyle w:val="StyleUnderline"/>
          <w:highlight w:val="yellow"/>
        </w:rPr>
        <w:t>changes to limit sentencing disparity</w:t>
      </w:r>
      <w:r w:rsidRPr="000B1E56">
        <w:rPr>
          <w:sz w:val="16"/>
        </w:rPr>
        <w:t xml:space="preserve">. </w:t>
      </w:r>
    </w:p>
    <w:p w:rsidR="0065538F" w:rsidRDefault="0065538F" w:rsidP="0065538F">
      <w:pPr>
        <w:rPr>
          <w:sz w:val="16"/>
        </w:rPr>
      </w:pPr>
    </w:p>
    <w:p w:rsidR="0065538F" w:rsidRDefault="0065538F" w:rsidP="0065538F">
      <w:pPr>
        <w:rPr>
          <w:sz w:val="16"/>
        </w:rPr>
      </w:pPr>
    </w:p>
    <w:p w:rsidR="0065538F" w:rsidRDefault="0065538F" w:rsidP="0065538F"/>
    <w:p w:rsidR="0065538F" w:rsidRDefault="0065538F" w:rsidP="0065538F">
      <w:pPr>
        <w:pStyle w:val="Heading4"/>
      </w:pPr>
      <w:r>
        <w:t>Sentencing includes fines and probation</w:t>
      </w:r>
    </w:p>
    <w:p w:rsidR="0065538F" w:rsidRDefault="0065538F" w:rsidP="0065538F">
      <w:r w:rsidRPr="003F1DDD">
        <w:rPr>
          <w:rStyle w:val="Style13ptBold"/>
        </w:rPr>
        <w:t>Wisconsin Court of Appeals 96</w:t>
      </w:r>
      <w:r>
        <w:t xml:space="preserve"> Wisconsin Court of Appeals State of Wisconsin, Plaintiff-Respondent, v. Steven J. Tobey, Defendant-Appellant 200 Wis. 2d 781, 548 N.W.2d 95 No. 95-1673-CR March 6, 1996, https://cite.case.law/wis-2d/200/781/</w:t>
      </w:r>
    </w:p>
    <w:p w:rsidR="0065538F" w:rsidRPr="003F1DDD" w:rsidRDefault="0065538F" w:rsidP="0065538F">
      <w:pPr>
        <w:rPr>
          <w:sz w:val="16"/>
        </w:rPr>
      </w:pPr>
      <w:r w:rsidRPr="003F1DDD">
        <w:rPr>
          <w:sz w:val="16"/>
        </w:rPr>
        <w:t xml:space="preserve">RULE 809.30, </w:t>
      </w:r>
      <w:proofErr w:type="gramStart"/>
      <w:r w:rsidRPr="003F1DDD">
        <w:rPr>
          <w:sz w:val="16"/>
        </w:rPr>
        <w:t>Stats.,</w:t>
      </w:r>
      <w:proofErr w:type="gramEnd"/>
      <w:r w:rsidRPr="003F1DDD">
        <w:rPr>
          <w:sz w:val="16"/>
        </w:rPr>
        <w:t xml:space="preserve"> governs the procedure regarding </w:t>
      </w:r>
      <w:proofErr w:type="spellStart"/>
      <w:r w:rsidRPr="003F1DDD">
        <w:rPr>
          <w:sz w:val="16"/>
        </w:rPr>
        <w:t>postconviction</w:t>
      </w:r>
      <w:proofErr w:type="spellEnd"/>
      <w:r w:rsidRPr="003F1DDD">
        <w:rPr>
          <w:sz w:val="16"/>
        </w:rPr>
        <w:t xml:space="preserve"> motions in felony cases. It provides in relevant part: "Within 20 days of the date of sentencing, the defendant shall file in the trial court and serve on the district attorney a notice of intent to pursue </w:t>
      </w:r>
      <w:proofErr w:type="spellStart"/>
      <w:r w:rsidRPr="003F1DDD">
        <w:rPr>
          <w:sz w:val="16"/>
        </w:rPr>
        <w:t>postconviction</w:t>
      </w:r>
      <w:proofErr w:type="spellEnd"/>
      <w:r w:rsidRPr="003F1DDD">
        <w:rPr>
          <w:sz w:val="16"/>
        </w:rPr>
        <w:t xml:space="preserve"> relief." Rule 809.30(2</w:t>
      </w:r>
      <w:proofErr w:type="gramStart"/>
      <w:r w:rsidRPr="003F1DDD">
        <w:rPr>
          <w:sz w:val="16"/>
        </w:rPr>
        <w:t>)(</w:t>
      </w:r>
      <w:proofErr w:type="gramEnd"/>
      <w:r w:rsidRPr="003F1DDD">
        <w:rPr>
          <w:sz w:val="16"/>
        </w:rPr>
        <w:t xml:space="preserve">b). </w:t>
      </w:r>
      <w:r w:rsidRPr="00B03D74">
        <w:rPr>
          <w:sz w:val="16"/>
          <w:highlight w:val="yellow"/>
        </w:rPr>
        <w:t>T</w:t>
      </w:r>
      <w:r w:rsidRPr="00B03D74">
        <w:rPr>
          <w:rStyle w:val="StyleUnderline"/>
          <w:highlight w:val="yellow"/>
        </w:rPr>
        <w:t>he term "sentencing" is defined as</w:t>
      </w:r>
      <w:r w:rsidRPr="003F1DDD">
        <w:rPr>
          <w:rStyle w:val="StyleUnderline"/>
        </w:rPr>
        <w:t xml:space="preserve"> "in a felony or misdemeanor case</w:t>
      </w:r>
      <w:r w:rsidRPr="00B03D74">
        <w:rPr>
          <w:rStyle w:val="StyleUnderline"/>
          <w:highlight w:val="yellow"/>
        </w:rPr>
        <w:t>, the imposition of a sentence, fine or probation</w:t>
      </w:r>
      <w:r w:rsidRPr="00B03D74">
        <w:rPr>
          <w:sz w:val="16"/>
          <w:highlight w:val="yellow"/>
        </w:rPr>
        <w:t>."</w:t>
      </w:r>
      <w:r w:rsidRPr="003F1DDD">
        <w:rPr>
          <w:sz w:val="16"/>
        </w:rPr>
        <w:t xml:space="preserve"> See Rule 809.30(l</w:t>
      </w:r>
      <w:proofErr w:type="gramStart"/>
      <w:r w:rsidRPr="003F1DDD">
        <w:rPr>
          <w:sz w:val="16"/>
        </w:rPr>
        <w:t>)(</w:t>
      </w:r>
      <w:proofErr w:type="gramEnd"/>
      <w:r w:rsidRPr="003F1DDD">
        <w:rPr>
          <w:sz w:val="16"/>
        </w:rPr>
        <w:t>b).</w:t>
      </w:r>
    </w:p>
    <w:p w:rsidR="0065538F" w:rsidRDefault="0065538F" w:rsidP="0065538F"/>
    <w:p w:rsidR="00210800" w:rsidRDefault="00210800" w:rsidP="00210800">
      <w:pPr>
        <w:pStyle w:val="Heading4"/>
      </w:pPr>
      <w:r>
        <w:t>“Sentencing” includes punishments other than incarceration, like fines</w:t>
      </w:r>
    </w:p>
    <w:p w:rsidR="00210800" w:rsidRPr="00D4015E" w:rsidRDefault="00210800" w:rsidP="00210800">
      <w:proofErr w:type="spellStart"/>
      <w:r w:rsidRPr="00A15D88">
        <w:rPr>
          <w:rStyle w:val="Style13ptBold"/>
        </w:rPr>
        <w:t>Bisson</w:t>
      </w:r>
      <w:proofErr w:type="spellEnd"/>
      <w:r w:rsidRPr="00A15D88">
        <w:rPr>
          <w:rStyle w:val="Style13ptBold"/>
        </w:rPr>
        <w:t xml:space="preserve"> 87</w:t>
      </w:r>
      <w:r>
        <w:t xml:space="preserve"> – judge of the Quebec Court of Appeal and a former Communications Security Establishment Commissioner (Claude, et al, “The Canadian Sentencing Commission,” https://johnhoward.ca/wp-content/uploads/2016/12/1987-KE-9355-A73-C33-1987-J.R.-Omer-Archambault.pdf)</w:t>
      </w:r>
    </w:p>
    <w:p w:rsidR="00210800" w:rsidRDefault="00210800" w:rsidP="00210800">
      <w:r>
        <w:t xml:space="preserve">Finally, </w:t>
      </w:r>
      <w:r w:rsidRPr="00210800">
        <w:rPr>
          <w:rStyle w:val="StyleUnderline"/>
          <w:highlight w:val="yellow"/>
        </w:rPr>
        <w:t>the</w:t>
      </w:r>
      <w:r>
        <w:t xml:space="preserve"> recommended </w:t>
      </w:r>
      <w:r w:rsidRPr="00210800">
        <w:rPr>
          <w:rStyle w:val="StyleUnderline"/>
          <w:highlight w:val="yellow"/>
        </w:rPr>
        <w:t>definition of sentencing is meant to convey</w:t>
      </w:r>
      <w:r w:rsidRPr="00A15D88">
        <w:rPr>
          <w:rStyle w:val="StyleUnderline"/>
        </w:rPr>
        <w:t xml:space="preserve"> the notion </w:t>
      </w:r>
      <w:r w:rsidRPr="00210800">
        <w:rPr>
          <w:rStyle w:val="StyleUnderline"/>
          <w:highlight w:val="yellow"/>
        </w:rPr>
        <w:t xml:space="preserve">that there are </w:t>
      </w:r>
      <w:r w:rsidRPr="00210800">
        <w:rPr>
          <w:rStyle w:val="Emphasis"/>
          <w:highlight w:val="yellow"/>
        </w:rPr>
        <w:t>numerous sanctions</w:t>
      </w:r>
      <w:r w:rsidRPr="00210800">
        <w:rPr>
          <w:rStyle w:val="StyleUnderline"/>
          <w:highlight w:val="yellow"/>
        </w:rPr>
        <w:t xml:space="preserve"> from among which the judge can choose</w:t>
      </w:r>
      <w:r>
        <w:t xml:space="preserve">. For reasons that will be explained in Chapter 12 and which have basically to do with the need to move from under the shadow of incarceration, </w:t>
      </w:r>
      <w:r w:rsidRPr="009177EE">
        <w:rPr>
          <w:rStyle w:val="StyleUnderline"/>
        </w:rPr>
        <w:t xml:space="preserve">the Commission does not think that it is desirable to dichotomize all sanctions into </w:t>
      </w:r>
      <w:r w:rsidRPr="00210800">
        <w:rPr>
          <w:rStyle w:val="StyleUnderline"/>
          <w:highlight w:val="yellow"/>
        </w:rPr>
        <w:t>custodial and non-custodial</w:t>
      </w:r>
      <w:r w:rsidRPr="009177EE">
        <w:rPr>
          <w:rStyle w:val="StyleUnderline"/>
        </w:rPr>
        <w:t xml:space="preserve"> or into incarceration and alternatives to incarceration</w:t>
      </w:r>
      <w:r>
        <w:t xml:space="preserve">. Hence, sanctions will be classified in this report into custodial sanctions and community sanctions. The phrase "community sanctions" is preferred to the more common "community-based sanctions", because the latter is too closely associated with community service orders. Although some sanctions, like absolute or conditional discharges and fines, are served or discharged within the community, they are not viewed as involving the community to the same degree as the performance of a community service order. Nevertheless, one of their explicit purposes is to avoid separating the offender from the community for any period of time. </w:t>
      </w:r>
      <w:r w:rsidRPr="009177EE">
        <w:rPr>
          <w:rStyle w:val="StyleUnderline"/>
        </w:rPr>
        <w:t xml:space="preserve">It is interesting to note in this regard that the word "fine" originally comes from the French "fin" which means "end". Accordingly, </w:t>
      </w:r>
      <w:r w:rsidRPr="00210800">
        <w:rPr>
          <w:rStyle w:val="StyleUnderline"/>
          <w:highlight w:val="yellow"/>
        </w:rPr>
        <w:t>the fine was used to "end</w:t>
      </w:r>
      <w:r w:rsidRPr="009177EE">
        <w:rPr>
          <w:rStyle w:val="StyleUnderline"/>
        </w:rPr>
        <w:t xml:space="preserve">" (actually to </w:t>
      </w:r>
      <w:r w:rsidRPr="00210800">
        <w:rPr>
          <w:rStyle w:val="StyleUnderline"/>
          <w:highlight w:val="yellow"/>
        </w:rPr>
        <w:t>vacate) a more severe sanction</w:t>
      </w:r>
      <w:r w:rsidRPr="009177EE">
        <w:rPr>
          <w:rStyle w:val="StyleUnderline"/>
        </w:rPr>
        <w:t xml:space="preserve"> such as custody</w:t>
      </w:r>
      <w:r>
        <w:t xml:space="preserve">. </w:t>
      </w:r>
      <w:r w:rsidRPr="009177EE">
        <w:rPr>
          <w:rStyle w:val="StyleUnderline"/>
        </w:rPr>
        <w:t>The implications of viewing a fine as a</w:t>
      </w:r>
      <w:r>
        <w:t xml:space="preserve"> community </w:t>
      </w:r>
      <w:r w:rsidRPr="009177EE">
        <w:rPr>
          <w:rStyle w:val="StyleUnderline"/>
        </w:rPr>
        <w:t>sanction in its own right will become clearer in the light of the Commission's proposals to make imprisonment for defaulting on a fine an exceptional measure</w:t>
      </w:r>
      <w:r>
        <w:t xml:space="preserve">. A fine is not a stopover on the way to prison; </w:t>
      </w:r>
      <w:r w:rsidRPr="009177EE">
        <w:rPr>
          <w:rStyle w:val="StyleUnderline"/>
        </w:rPr>
        <w:t>it ought to be a sanction in its own right.</w:t>
      </w:r>
    </w:p>
    <w:p w:rsidR="00210800" w:rsidRDefault="00210800" w:rsidP="0065538F"/>
    <w:p w:rsidR="00DC06DB" w:rsidRDefault="00DC06DB" w:rsidP="00DC06DB">
      <w:pPr>
        <w:pStyle w:val="Heading4"/>
      </w:pPr>
      <w:r>
        <w:t>Sentencing does not include fines and probation</w:t>
      </w:r>
    </w:p>
    <w:p w:rsidR="00DC06DB" w:rsidRPr="00AE07FF" w:rsidRDefault="00DC06DB" w:rsidP="00DC06DB">
      <w:r w:rsidRPr="00532F4E">
        <w:rPr>
          <w:rStyle w:val="Style13ptBold"/>
        </w:rPr>
        <w:t>Colorado Supreme Court 78</w:t>
      </w:r>
      <w:r>
        <w:t xml:space="preserve"> (Colorado v Blair, </w:t>
      </w:r>
      <w:hyperlink r:id="rId32" w:history="1">
        <w:r w:rsidRPr="00382ED4">
          <w:rPr>
            <w:rStyle w:val="Hyperlink"/>
          </w:rPr>
          <w:t>https://www.mlmlegal.com/legal-cases/Colorado_v_Blair.php</w:t>
        </w:r>
      </w:hyperlink>
      <w:r>
        <w:t>)</w:t>
      </w:r>
    </w:p>
    <w:p w:rsidR="00DC06DB" w:rsidRPr="00DC06DB" w:rsidRDefault="00DC06DB" w:rsidP="00DC06DB">
      <w:pPr>
        <w:rPr>
          <w:sz w:val="16"/>
        </w:rPr>
      </w:pPr>
      <w:r w:rsidRPr="00DC06DB">
        <w:rPr>
          <w:sz w:val="16"/>
        </w:rPr>
        <w:t xml:space="preserve">On this appeal, the People have conceded that since the convictions on 1 and 2-17 were based on the identical evidence, any sentence should be concurrent. Section 18-1-408(3), C.R.S.1973. The parties have cited no authority on the question of the effect the concurrent sentencing doctrine has when a person is only fined and sentence is deferred subject to probation. </w:t>
      </w:r>
      <w:r w:rsidRPr="00071127">
        <w:rPr>
          <w:rStyle w:val="StyleUnderline"/>
        </w:rPr>
        <w:t xml:space="preserve">The interests involved in allowing a person to serve actual </w:t>
      </w:r>
      <w:r w:rsidRPr="00DC06DB">
        <w:rPr>
          <w:rStyle w:val="StyleUnderline"/>
          <w:highlight w:val="yellow"/>
        </w:rPr>
        <w:t>jail sentences</w:t>
      </w:r>
      <w:r w:rsidRPr="00071127">
        <w:rPr>
          <w:rStyle w:val="StyleUnderline"/>
        </w:rPr>
        <w:t xml:space="preserve"> concurrently are quite </w:t>
      </w:r>
      <w:r w:rsidRPr="00DC06DB">
        <w:rPr>
          <w:rStyle w:val="StyleUnderline"/>
          <w:highlight w:val="yellow"/>
        </w:rPr>
        <w:t>different from</w:t>
      </w:r>
      <w:r w:rsidRPr="00071127">
        <w:rPr>
          <w:rStyle w:val="StyleUnderline"/>
        </w:rPr>
        <w:t xml:space="preserve"> those involved in the </w:t>
      </w:r>
      <w:r w:rsidRPr="00DC06DB">
        <w:rPr>
          <w:rStyle w:val="StyleUnderline"/>
          <w:highlight w:val="yellow"/>
        </w:rPr>
        <w:t>payment of fines</w:t>
      </w:r>
      <w:r w:rsidRPr="00071127">
        <w:rPr>
          <w:rStyle w:val="StyleUnderline"/>
        </w:rPr>
        <w:t>.</w:t>
      </w:r>
      <w:r w:rsidRPr="00DC06DB">
        <w:rPr>
          <w:sz w:val="16"/>
        </w:rPr>
        <w:t xml:space="preserve"> In fact, </w:t>
      </w:r>
      <w:r w:rsidRPr="00071127">
        <w:rPr>
          <w:rStyle w:val="StyleUnderline"/>
        </w:rPr>
        <w:t xml:space="preserve">in common usage, </w:t>
      </w:r>
      <w:r w:rsidRPr="00DC06DB">
        <w:rPr>
          <w:rStyle w:val="StyleUnderline"/>
          <w:highlight w:val="yellow"/>
        </w:rPr>
        <w:t xml:space="preserve">the word "sentencing" refers only to </w:t>
      </w:r>
      <w:r w:rsidRPr="00DC06DB">
        <w:rPr>
          <w:rStyle w:val="Emphasis"/>
          <w:highlight w:val="yellow"/>
        </w:rPr>
        <w:t>actual jail sentences</w:t>
      </w:r>
      <w:r w:rsidRPr="00DC06DB">
        <w:rPr>
          <w:sz w:val="16"/>
        </w:rPr>
        <w:t xml:space="preserve">, while </w:t>
      </w:r>
      <w:r w:rsidRPr="00DC06DB">
        <w:rPr>
          <w:rStyle w:val="StyleUnderline"/>
          <w:highlight w:val="yellow"/>
        </w:rPr>
        <w:t>fines are</w:t>
      </w:r>
      <w:r w:rsidRPr="00DC06DB">
        <w:rPr>
          <w:sz w:val="16"/>
        </w:rPr>
        <w:t xml:space="preserve"> commonly </w:t>
      </w:r>
      <w:r w:rsidRPr="00DC06DB">
        <w:rPr>
          <w:rStyle w:val="StyleUnderline"/>
          <w:highlight w:val="yellow"/>
        </w:rPr>
        <w:t xml:space="preserve">considered "punishment" rather than </w:t>
      </w:r>
      <w:proofErr w:type="gramStart"/>
      <w:r w:rsidRPr="00DC06DB">
        <w:rPr>
          <w:rStyle w:val="StyleUnderline"/>
          <w:highlight w:val="yellow"/>
        </w:rPr>
        <w:t>" sentence</w:t>
      </w:r>
      <w:proofErr w:type="gramEnd"/>
      <w:r w:rsidRPr="00071127">
        <w:rPr>
          <w:rStyle w:val="StyleUnderline"/>
        </w:rPr>
        <w:t>."</w:t>
      </w:r>
      <w:r w:rsidRPr="00DC06DB">
        <w:rPr>
          <w:sz w:val="16"/>
        </w:rPr>
        <w:t xml:space="preserve"> In fact, the judgment granting probation states that the defendant's "sentence" is suspended. We, therefore, determine that although the defendant was to be concurrently "sentenced" this has no effect on his fines for separate counts.</w:t>
      </w:r>
    </w:p>
    <w:p w:rsidR="00DC06DB" w:rsidRDefault="00DC06DB" w:rsidP="00DC06DB"/>
    <w:p w:rsidR="00DC06DB" w:rsidRDefault="00DC06DB" w:rsidP="00DC06DB">
      <w:pPr>
        <w:pStyle w:val="Heading4"/>
      </w:pPr>
      <w:r>
        <w:t>Sentencing is distinct from punishment</w:t>
      </w:r>
    </w:p>
    <w:p w:rsidR="00DC06DB" w:rsidRPr="00D4015E" w:rsidRDefault="00DC06DB" w:rsidP="00DC06DB">
      <w:proofErr w:type="spellStart"/>
      <w:r w:rsidRPr="004927B1">
        <w:rPr>
          <w:rStyle w:val="Style13ptBold"/>
        </w:rPr>
        <w:t>Bisson</w:t>
      </w:r>
      <w:proofErr w:type="spellEnd"/>
      <w:r w:rsidRPr="004927B1">
        <w:rPr>
          <w:rStyle w:val="Style13ptBold"/>
        </w:rPr>
        <w:t xml:space="preserve"> 87</w:t>
      </w:r>
      <w:r>
        <w:t xml:space="preserve"> – judge of the Quebec Court of Appeal and a former Communications Security Establishment Commissioner (Claude, et al, “The Canadian Sentencing Commission,” https://johnhoward.ca/wp-content/uploads/2016/12/1987-KE-9355-A73-C33-1987-J.R.-Omer-Archambault.pdf)</w:t>
      </w:r>
    </w:p>
    <w:p w:rsidR="00DC06DB" w:rsidRDefault="00DC06DB" w:rsidP="00EE5E96">
      <w:r w:rsidRPr="004927B1">
        <w:rPr>
          <w:rStyle w:val="StyleUnderline"/>
        </w:rPr>
        <w:t>The word "sentence" comes from the Latin "</w:t>
      </w:r>
      <w:proofErr w:type="spellStart"/>
      <w:r w:rsidRPr="004927B1">
        <w:rPr>
          <w:rStyle w:val="StyleUnderline"/>
        </w:rPr>
        <w:t>sententia</w:t>
      </w:r>
      <w:proofErr w:type="spellEnd"/>
      <w:r w:rsidRPr="004927B1">
        <w:rPr>
          <w:rStyle w:val="StyleUnderline"/>
        </w:rPr>
        <w:t>", which means opinion or the expression of an opinion</w:t>
      </w:r>
      <w:r>
        <w:t xml:space="preserve">. </w:t>
      </w:r>
      <w:r w:rsidRPr="004927B1">
        <w:rPr>
          <w:rStyle w:val="StyleUnderline"/>
        </w:rPr>
        <w:t>Therein lies one fundamental difference between a punishment and a sentence. The former is the</w:t>
      </w:r>
      <w:r>
        <w:t xml:space="preserve"> </w:t>
      </w:r>
      <w:r w:rsidRPr="00FC1748">
        <w:rPr>
          <w:rStyle w:val="Emphasis"/>
        </w:rPr>
        <w:t>actual</w:t>
      </w:r>
      <w:r>
        <w:t xml:space="preserve"> </w:t>
      </w:r>
      <w:r w:rsidRPr="00FC1748">
        <w:rPr>
          <w:rStyle w:val="Emphasis"/>
        </w:rPr>
        <w:t>infliction</w:t>
      </w:r>
      <w:r>
        <w:t xml:space="preserve"> </w:t>
      </w:r>
      <w:r w:rsidRPr="004927B1">
        <w:rPr>
          <w:rStyle w:val="StyleUnderline"/>
        </w:rPr>
        <w:t>of a deprivation, whereas the latter is a</w:t>
      </w:r>
      <w:r>
        <w:t xml:space="preserve"> </w:t>
      </w:r>
      <w:r w:rsidRPr="00FC1748">
        <w:rPr>
          <w:rStyle w:val="Emphasis"/>
        </w:rPr>
        <w:t>statement</w:t>
      </w:r>
      <w:r>
        <w:t xml:space="preserve"> </w:t>
      </w:r>
      <w:r w:rsidRPr="004927B1">
        <w:rPr>
          <w:rStyle w:val="StyleUnderline"/>
        </w:rPr>
        <w:t>ordering the imposition of a sanction</w:t>
      </w:r>
      <w:r>
        <w:t xml:space="preserve"> </w:t>
      </w:r>
      <w:r w:rsidRPr="004927B1">
        <w:rPr>
          <w:rStyle w:val="StyleUnderline"/>
        </w:rPr>
        <w:t>and determining what it should be</w:t>
      </w:r>
      <w:r>
        <w:t xml:space="preserve">. Even granting that to be the object of a sentencing pronouncement is in itself a stigma, </w:t>
      </w:r>
      <w:r w:rsidRPr="004927B1">
        <w:rPr>
          <w:rStyle w:val="StyleUnderline"/>
        </w:rPr>
        <w:t xml:space="preserve">the failure to draw the difference between the sentence as a </w:t>
      </w:r>
      <w:r w:rsidRPr="004927B1">
        <w:rPr>
          <w:rStyle w:val="Emphasis"/>
        </w:rPr>
        <w:t>judicial statement</w:t>
      </w:r>
      <w:r w:rsidRPr="004927B1">
        <w:rPr>
          <w:rStyle w:val="StyleUnderline"/>
        </w:rPr>
        <w:t xml:space="preserve"> and the sentence as an </w:t>
      </w:r>
      <w:r w:rsidRPr="004927B1">
        <w:rPr>
          <w:rStyle w:val="Emphasis"/>
        </w:rPr>
        <w:t>applied</w:t>
      </w:r>
      <w:r w:rsidRPr="004927B1">
        <w:rPr>
          <w:rStyle w:val="StyleUnderline"/>
        </w:rPr>
        <w:t xml:space="preserve"> </w:t>
      </w:r>
      <w:r w:rsidRPr="004927B1">
        <w:rPr>
          <w:rStyle w:val="Emphasis"/>
        </w:rPr>
        <w:t>sanction</w:t>
      </w:r>
      <w:r w:rsidRPr="004927B1">
        <w:rPr>
          <w:rStyle w:val="StyleUnderline"/>
        </w:rPr>
        <w:t xml:space="preserve"> has several undesirable consequences</w:t>
      </w:r>
      <w:r>
        <w:t>.</w:t>
      </w:r>
    </w:p>
    <w:p w:rsidR="00DC06DB" w:rsidRPr="00DC06DB" w:rsidRDefault="00DC06DB" w:rsidP="00DC06DB"/>
    <w:p w:rsidR="00DC06DB" w:rsidRDefault="00DC06DB" w:rsidP="00DC06DB">
      <w:pPr>
        <w:pStyle w:val="Heading4"/>
      </w:pPr>
      <w:r>
        <w:t>Sentencing comes after conviction</w:t>
      </w:r>
    </w:p>
    <w:p w:rsidR="00DC06DB" w:rsidRPr="00AE07FF" w:rsidRDefault="00DC06DB" w:rsidP="00DC06DB">
      <w:r w:rsidRPr="00575FBD">
        <w:rPr>
          <w:rStyle w:val="Style13ptBold"/>
        </w:rPr>
        <w:t>US Court of Appeals 15</w:t>
      </w:r>
      <w:r>
        <w:t xml:space="preserve"> (Appeal from the United States Court of Appeals for Veterans Claims, DONALD L. MULDER, Claimant-Appellant v. ROBERT A. MCDONALD, SECRETARY OF VETERANS AFFAIRS, Respondent-Appellee http://www.veteranslawlibrary.com/files/Fed_Cir_Cases/2015/Mulder_14-7137.PDF)</w:t>
      </w:r>
    </w:p>
    <w:p w:rsidR="00DC06DB" w:rsidRPr="00EE5E96" w:rsidRDefault="00DC06DB" w:rsidP="00EE5E96">
      <w:pPr>
        <w:rPr>
          <w:sz w:val="16"/>
        </w:rPr>
      </w:pPr>
      <w:r w:rsidRPr="00DC06DB">
        <w:rPr>
          <w:sz w:val="16"/>
        </w:rPr>
        <w:t xml:space="preserve">Supporting our reading is </w:t>
      </w:r>
      <w:r w:rsidRPr="00575FBD">
        <w:rPr>
          <w:rStyle w:val="StyleUnderline"/>
        </w:rPr>
        <w:t>the fundamental canon of statutory construction</w:t>
      </w:r>
      <w:r w:rsidRPr="00DC06DB">
        <w:rPr>
          <w:sz w:val="16"/>
        </w:rPr>
        <w:t xml:space="preserve"> that, “</w:t>
      </w:r>
      <w:r w:rsidRPr="00575FBD">
        <w:rPr>
          <w:rStyle w:val="StyleUnderline"/>
        </w:rPr>
        <w:t>unless otherwise defined, words will be interpreted as taking their ordinary, con- temporary common meaning</w:t>
      </w:r>
      <w:r w:rsidRPr="00DC06DB">
        <w:rPr>
          <w:sz w:val="16"/>
        </w:rPr>
        <w:t>.” Perrin v. United States, 444 U.S. 37, 42 (1979). The language of § 5313(a</w:t>
      </w:r>
      <w:proofErr w:type="gramStart"/>
      <w:r w:rsidRPr="00DC06DB">
        <w:rPr>
          <w:sz w:val="16"/>
        </w:rPr>
        <w:t>)(</w:t>
      </w:r>
      <w:proofErr w:type="gramEnd"/>
      <w:r w:rsidRPr="00DC06DB">
        <w:rPr>
          <w:sz w:val="16"/>
        </w:rPr>
        <w:t>1) plainly specifies the “conviction” date is the date on which the statutory sixty-day clock begins. As we recognized in Wilson, the word “</w:t>
      </w:r>
      <w:r w:rsidRPr="00575FBD">
        <w:rPr>
          <w:rStyle w:val="StyleUnderline"/>
        </w:rPr>
        <w:t>conviction” is understood as “[t]he act or process of judicially finding someone guilty</w:t>
      </w:r>
      <w:r w:rsidRPr="00DC06DB">
        <w:rPr>
          <w:sz w:val="16"/>
        </w:rPr>
        <w:t xml:space="preserve"> of a crime; </w:t>
      </w:r>
      <w:r w:rsidRPr="00575FBD">
        <w:rPr>
          <w:rStyle w:val="StyleUnderline"/>
        </w:rPr>
        <w:t>the state of having been proved guilty</w:t>
      </w:r>
      <w:r w:rsidRPr="00DC06DB">
        <w:rPr>
          <w:sz w:val="16"/>
        </w:rPr>
        <w:t xml:space="preserve">.” 753 F.3d at 1367 (quoting Black’s Law Dictionary 358 (8th ed. 2004)). </w:t>
      </w:r>
      <w:r w:rsidRPr="00575FBD">
        <w:rPr>
          <w:rStyle w:val="StyleUnderline"/>
        </w:rPr>
        <w:t>The Supreme Court has also equated a guilty plea</w:t>
      </w:r>
      <w:r w:rsidRPr="00DC06DB">
        <w:rPr>
          <w:sz w:val="16"/>
        </w:rPr>
        <w:t xml:space="preserve">, such as Mr. Mulder’s no contest plea, </w:t>
      </w:r>
      <w:r w:rsidRPr="00575FBD">
        <w:rPr>
          <w:rStyle w:val="StyleUnderline"/>
        </w:rPr>
        <w:t>with a conviction</w:t>
      </w:r>
      <w:r w:rsidRPr="00DC06DB">
        <w:rPr>
          <w:sz w:val="16"/>
        </w:rPr>
        <w:t xml:space="preserve">: “A plea of guilty differs in purpose and effect from a mere admission or an extrajudicial confession; it is itself a conviction. Like a verdict of a jury it is conclusive. More is not required; the court has nothing to do but give judgment and sentence.” Dickerson v. New Banner Inst., Inc., 460 U.S. 103, 112–13 (1983) (quotation marks and citation omitted).2 </w:t>
      </w:r>
      <w:r w:rsidRPr="00575FBD">
        <w:rPr>
          <w:rStyle w:val="StyleUnderline"/>
        </w:rPr>
        <w:t xml:space="preserve">A “sentence,” on the other hand, is ordinarily understood as “[t]he judgment that a court formally pronounces </w:t>
      </w:r>
      <w:r w:rsidRPr="00575FBD">
        <w:rPr>
          <w:rStyle w:val="Emphasis"/>
        </w:rPr>
        <w:t>after finding a criminal defendant guilty</w:t>
      </w:r>
      <w:r w:rsidRPr="00575FBD">
        <w:rPr>
          <w:rStyle w:val="StyleUnderline"/>
        </w:rPr>
        <w:t>” or “the punishment imposed on a criminal wrongdoer</w:t>
      </w:r>
      <w:r w:rsidRPr="00DC06DB">
        <w:rPr>
          <w:sz w:val="16"/>
        </w:rPr>
        <w:t xml:space="preserve">.” Black’s Law Dictionary 1485 (9th ed. 2009). Thus, according to its ordinary meaning, </w:t>
      </w:r>
      <w:r w:rsidRPr="00575FBD">
        <w:rPr>
          <w:rStyle w:val="StyleUnderline"/>
        </w:rPr>
        <w:t>a “conviction” occurs when the accused is found—or pleads—guilty</w:t>
      </w:r>
      <w:r w:rsidRPr="00DC06DB">
        <w:rPr>
          <w:sz w:val="16"/>
        </w:rPr>
        <w:t xml:space="preserve">; the convicted </w:t>
      </w:r>
      <w:proofErr w:type="spellStart"/>
      <w:r w:rsidRPr="00DC06DB">
        <w:rPr>
          <w:sz w:val="16"/>
        </w:rPr>
        <w:t>felon’s</w:t>
      </w:r>
      <w:proofErr w:type="spellEnd"/>
      <w:r w:rsidRPr="00DC06DB">
        <w:rPr>
          <w:sz w:val="16"/>
        </w:rPr>
        <w:t xml:space="preserve"> “</w:t>
      </w:r>
      <w:r w:rsidRPr="00575FBD">
        <w:rPr>
          <w:rStyle w:val="StyleUnderline"/>
        </w:rPr>
        <w:t xml:space="preserve">sentencing” is </w:t>
      </w:r>
      <w:r w:rsidRPr="00575FBD">
        <w:rPr>
          <w:rStyle w:val="Emphasis"/>
        </w:rPr>
        <w:t>separate and distinct</w:t>
      </w:r>
      <w:r w:rsidRPr="00575FBD">
        <w:rPr>
          <w:rStyle w:val="StyleUnderline"/>
        </w:rPr>
        <w:t xml:space="preserve"> from the determination of guilt</w:t>
      </w:r>
      <w:r w:rsidRPr="00DC06DB">
        <w:rPr>
          <w:sz w:val="16"/>
        </w:rPr>
        <w:t>. Just as in Wilson, where we held the plain language of § 5313(a)(1) did not support reading “conviction” as a final, post-exhaustion of appeals conviction, here, there is likewise no basis for interpreting “conviction” to mean conviction and sentencing. Congress, could have, but did not, draft § 5313(a</w:t>
      </w:r>
      <w:proofErr w:type="gramStart"/>
      <w:r w:rsidRPr="00DC06DB">
        <w:rPr>
          <w:sz w:val="16"/>
        </w:rPr>
        <w:t>)(</w:t>
      </w:r>
      <w:proofErr w:type="gramEnd"/>
      <w:r w:rsidRPr="00DC06DB">
        <w:rPr>
          <w:sz w:val="16"/>
        </w:rPr>
        <w:t>1) to reduce benefits post-sentencing or post-exhaustion of appeals. See, e.g., 10 U.S.C. § 12312(a</w:t>
      </w:r>
      <w:proofErr w:type="gramStart"/>
      <w:r w:rsidRPr="00DC06DB">
        <w:rPr>
          <w:sz w:val="16"/>
        </w:rPr>
        <w:t>)(</w:t>
      </w:r>
      <w:proofErr w:type="gramEnd"/>
      <w:r w:rsidRPr="00DC06DB">
        <w:rPr>
          <w:sz w:val="16"/>
        </w:rPr>
        <w:t>2) (providing for involuntary release from military service if a service-member “is convicted and sentenced to confinement . . . and the sentence has become final” (emphasis added)). Such specificity is absent here.</w:t>
      </w:r>
    </w:p>
    <w:p w:rsidR="00DC06DB" w:rsidRDefault="00DC06DB" w:rsidP="00DC06DB">
      <w:pPr>
        <w:pStyle w:val="Heading4"/>
      </w:pPr>
      <w:r>
        <w:t>Sentencing is an act by criminal judges</w:t>
      </w:r>
    </w:p>
    <w:p w:rsidR="00DC06DB" w:rsidRPr="004F6907" w:rsidRDefault="00DC06DB" w:rsidP="00DC06DB">
      <w:r w:rsidRPr="008630D6">
        <w:rPr>
          <w:rStyle w:val="Style13ptBold"/>
        </w:rPr>
        <w:t>Ohio SB 201</w:t>
      </w:r>
      <w:r>
        <w:t xml:space="preserve"> (The Regan Tokes Law, http://www.ohiojudges.org/Document.ashx?DocGuid=24fd5ed9-b7fe-4b36-882c-3f613a36c4ab)</w:t>
      </w:r>
    </w:p>
    <w:p w:rsidR="00DC06DB" w:rsidRPr="00DC06DB" w:rsidRDefault="00DC06DB" w:rsidP="00DC06DB">
      <w:pPr>
        <w:rPr>
          <w:sz w:val="16"/>
        </w:rPr>
      </w:pPr>
      <w:r w:rsidRPr="00DC06DB">
        <w:rPr>
          <w:sz w:val="16"/>
        </w:rPr>
        <w:t>SB 201 moves away from the word “sentencing” and replaces it with the word “term.” • “</w:t>
      </w:r>
      <w:r w:rsidRPr="00104FE8">
        <w:rPr>
          <w:rStyle w:val="StyleUnderline"/>
        </w:rPr>
        <w:t>Sentencing” is</w:t>
      </w:r>
      <w:r w:rsidRPr="00DC06DB">
        <w:rPr>
          <w:sz w:val="16"/>
        </w:rPr>
        <w:t xml:space="preserve"> still </w:t>
      </w:r>
      <w:r w:rsidRPr="00104FE8">
        <w:rPr>
          <w:rStyle w:val="StyleUnderline"/>
        </w:rPr>
        <w:t>what a judge does when imposing a prison</w:t>
      </w:r>
      <w:r>
        <w:rPr>
          <w:rStyle w:val="StyleUnderline"/>
        </w:rPr>
        <w:t xml:space="preserve"> </w:t>
      </w:r>
      <w:r w:rsidRPr="00104FE8">
        <w:rPr>
          <w:rStyle w:val="StyleUnderline"/>
        </w:rPr>
        <w:t>sanction</w:t>
      </w:r>
      <w:r w:rsidRPr="00DC06DB">
        <w:rPr>
          <w:sz w:val="16"/>
        </w:rPr>
        <w:t xml:space="preserve">, but that actual sanction itself is not called a sentence, it is now called a “term.” • The law defines a “prison term” as the term imposed on an individual count and the “stated prison term” as the combination of all definite, indefinite, and mandatory terms imposed. </w:t>
      </w:r>
    </w:p>
    <w:p w:rsidR="00DC06DB" w:rsidRPr="008630D6" w:rsidRDefault="00DC06DB" w:rsidP="00DC06DB">
      <w:pPr>
        <w:pStyle w:val="Heading4"/>
        <w:rPr>
          <w:u w:val="single"/>
        </w:rPr>
      </w:pPr>
      <w:r>
        <w:t xml:space="preserve">Sentencing is temporally limited---every subsequent modification in penalty is </w:t>
      </w:r>
      <w:r w:rsidRPr="008630D6">
        <w:rPr>
          <w:u w:val="single"/>
        </w:rPr>
        <w:t>post-sentencing</w:t>
      </w:r>
    </w:p>
    <w:p w:rsidR="00DC06DB" w:rsidRPr="003059C4" w:rsidRDefault="00DC06DB" w:rsidP="00DC06DB">
      <w:r w:rsidRPr="008630D6">
        <w:rPr>
          <w:rStyle w:val="Style13ptBold"/>
        </w:rPr>
        <w:t>5th Circuit Court of Appeals 12</w:t>
      </w:r>
      <w:r>
        <w:t xml:space="preserve"> (USA vs Murray, </w:t>
      </w:r>
      <w:hyperlink r:id="rId33" w:history="1">
        <w:r w:rsidRPr="00382ED4">
          <w:rPr>
            <w:rStyle w:val="Hyperlink"/>
          </w:rPr>
          <w:t>http://www.ca5.uscourts.gov/opinions/pub/11/11-20622-CR0.wpd.pdf</w:t>
        </w:r>
      </w:hyperlink>
      <w:r>
        <w:t>)</w:t>
      </w:r>
    </w:p>
    <w:p w:rsidR="00DC06DB" w:rsidRPr="00DC06DB" w:rsidRDefault="00DC06DB" w:rsidP="00DC06DB">
      <w:pPr>
        <w:rPr>
          <w:sz w:val="16"/>
        </w:rPr>
      </w:pPr>
      <w:r w:rsidRPr="00DC06DB">
        <w:rPr>
          <w:sz w:val="16"/>
        </w:rPr>
        <w:t xml:space="preserve">Several provisions in </w:t>
      </w:r>
      <w:proofErr w:type="spellStart"/>
      <w:r w:rsidRPr="00DC06DB">
        <w:rPr>
          <w:sz w:val="16"/>
        </w:rPr>
        <w:t>Wigginton’s</w:t>
      </w:r>
      <w:proofErr w:type="spellEnd"/>
      <w:r w:rsidRPr="00DC06DB">
        <w:rPr>
          <w:sz w:val="16"/>
        </w:rPr>
        <w:t xml:space="preserve"> agreement suggest that the latter interpretation more accurately reflects the parties’ understanding. For example, </w:t>
      </w:r>
      <w:proofErr w:type="spellStart"/>
      <w:r w:rsidRPr="00DC06DB">
        <w:rPr>
          <w:sz w:val="16"/>
        </w:rPr>
        <w:t>Wigginton</w:t>
      </w:r>
      <w:proofErr w:type="spellEnd"/>
      <w:r w:rsidRPr="00DC06DB">
        <w:rPr>
          <w:sz w:val="16"/>
        </w:rPr>
        <w:t xml:space="preserve"> agreed that “any fine or restitution imposed by the Court [would] be due and payable immediately upon sentencing”—not upon a later revision to his sentence. </w:t>
      </w:r>
      <w:proofErr w:type="spellStart"/>
      <w:r w:rsidRPr="00DC06DB">
        <w:rPr>
          <w:sz w:val="16"/>
        </w:rPr>
        <w:t>Wigginton</w:t>
      </w:r>
      <w:proofErr w:type="spellEnd"/>
      <w:r w:rsidRPr="00DC06DB">
        <w:rPr>
          <w:sz w:val="16"/>
        </w:rPr>
        <w:t xml:space="preserve"> further agreed </w:t>
      </w:r>
      <w:proofErr w:type="spellStart"/>
      <w:r w:rsidRPr="00DC06DB">
        <w:rPr>
          <w:sz w:val="16"/>
        </w:rPr>
        <w:t>thatifthe</w:t>
      </w:r>
      <w:proofErr w:type="spellEnd"/>
      <w:r w:rsidRPr="00DC06DB">
        <w:rPr>
          <w:sz w:val="16"/>
        </w:rPr>
        <w:t xml:space="preserve"> </w:t>
      </w:r>
      <w:proofErr w:type="spellStart"/>
      <w:r w:rsidRPr="00DC06DB">
        <w:rPr>
          <w:sz w:val="16"/>
        </w:rPr>
        <w:t>court“impose</w:t>
      </w:r>
      <w:proofErr w:type="spellEnd"/>
      <w:r w:rsidRPr="00DC06DB">
        <w:rPr>
          <w:sz w:val="16"/>
        </w:rPr>
        <w:t xml:space="preserve">[d] a fine” or ordered “the payment of restitution,” he would “make complete financial disclosure by truthfully executing a sworn financial statement immediately following his sentencing.” Had the court ordered </w:t>
      </w:r>
      <w:proofErr w:type="spellStart"/>
      <w:r w:rsidRPr="00DC06DB">
        <w:rPr>
          <w:sz w:val="16"/>
        </w:rPr>
        <w:t>Wigginton</w:t>
      </w:r>
      <w:proofErr w:type="spellEnd"/>
      <w:r w:rsidRPr="00DC06DB">
        <w:rPr>
          <w:sz w:val="16"/>
        </w:rPr>
        <w:t xml:space="preserve"> to pay a fine during his original sentencing, he would have been obligated to execute such a statement. And if “sentencing” includes the court’s October order to make restitution, then he would presumably have been obligated to execute another statement after that order, too. But the plea agreement does not contemplate two sworn financial statements: it obligates </w:t>
      </w:r>
      <w:proofErr w:type="spellStart"/>
      <w:r w:rsidRPr="00DC06DB">
        <w:rPr>
          <w:sz w:val="16"/>
        </w:rPr>
        <w:t>Wigginton</w:t>
      </w:r>
      <w:proofErr w:type="spellEnd"/>
      <w:r w:rsidRPr="00DC06DB">
        <w:rPr>
          <w:sz w:val="16"/>
        </w:rPr>
        <w:t xml:space="preserve"> to execute a statement—once. </w:t>
      </w:r>
      <w:r w:rsidRPr="008630D6">
        <w:rPr>
          <w:rStyle w:val="StyleUnderline"/>
        </w:rPr>
        <w:t>In Dolan</w:t>
      </w:r>
      <w:r w:rsidRPr="00DC06DB">
        <w:rPr>
          <w:sz w:val="16"/>
        </w:rPr>
        <w:t xml:space="preserve">, four </w:t>
      </w:r>
      <w:r w:rsidRPr="008630D6">
        <w:rPr>
          <w:rStyle w:val="StyleUnderline"/>
        </w:rPr>
        <w:t>Justices distinguished between “restitution</w:t>
      </w:r>
      <w:r w:rsidRPr="00DC06DB">
        <w:rPr>
          <w:sz w:val="16"/>
        </w:rPr>
        <w:t xml:space="preserve"> orders </w:t>
      </w:r>
      <w:r w:rsidRPr="008630D6">
        <w:rPr>
          <w:rStyle w:val="StyleUnderline"/>
        </w:rPr>
        <w:t>at sentencing” and restitution</w:t>
      </w:r>
      <w:r w:rsidRPr="00DC06DB">
        <w:rPr>
          <w:sz w:val="16"/>
        </w:rPr>
        <w:t xml:space="preserve"> orders made “</w:t>
      </w:r>
      <w:r w:rsidRPr="008630D6">
        <w:rPr>
          <w:rStyle w:val="StyleUnderline"/>
        </w:rPr>
        <w:t>after</w:t>
      </w:r>
      <w:r w:rsidRPr="00DC06DB">
        <w:rPr>
          <w:sz w:val="16"/>
        </w:rPr>
        <w:t xml:space="preserve"> </w:t>
      </w:r>
      <w:r w:rsidRPr="008630D6">
        <w:rPr>
          <w:rStyle w:val="StyleUnderline"/>
        </w:rPr>
        <w:t>sentencing has concluded</w:t>
      </w:r>
      <w:r w:rsidRPr="00DC06DB">
        <w:rPr>
          <w:sz w:val="16"/>
        </w:rPr>
        <w:t xml:space="preserve">.”26 They did so in dissent. But we have previously explained that the “language in [an] appellate waiver must be afforded its plain meaning in accord with the intent of the parties at the time the plea agreement was executed,” even if that language is given a different, technical meaning by the Supreme Court.27 In 2010, four </w:t>
      </w:r>
      <w:r w:rsidRPr="008630D6">
        <w:rPr>
          <w:rStyle w:val="StyleUnderline"/>
        </w:rPr>
        <w:t xml:space="preserve">Justices understood the word “sentencing” to carry with it </w:t>
      </w:r>
      <w:r w:rsidRPr="008630D6">
        <w:rPr>
          <w:rStyle w:val="Emphasis"/>
        </w:rPr>
        <w:t>strict temporal limitations</w:t>
      </w:r>
      <w:r w:rsidRPr="00DC06DB">
        <w:rPr>
          <w:sz w:val="16"/>
        </w:rPr>
        <w:t xml:space="preserve">. We cannot and do not conclude that </w:t>
      </w:r>
      <w:proofErr w:type="spellStart"/>
      <w:r w:rsidRPr="00DC06DB">
        <w:rPr>
          <w:sz w:val="16"/>
        </w:rPr>
        <w:t>Wigginton’s</w:t>
      </w:r>
      <w:proofErr w:type="spellEnd"/>
      <w:r w:rsidRPr="00DC06DB">
        <w:rPr>
          <w:sz w:val="16"/>
        </w:rPr>
        <w:t xml:space="preserve"> plea agreement, signed in 2008, unambiguously rejected that understanding. Accordingly, </w:t>
      </w:r>
      <w:proofErr w:type="spellStart"/>
      <w:r w:rsidRPr="00DC06DB">
        <w:rPr>
          <w:sz w:val="16"/>
        </w:rPr>
        <w:t>Wigginton</w:t>
      </w:r>
      <w:proofErr w:type="spellEnd"/>
      <w:r w:rsidRPr="00DC06DB">
        <w:rPr>
          <w:sz w:val="16"/>
        </w:rPr>
        <w:t xml:space="preserve"> did not waive his right to appeal the timing of the district court’s restitution order.28</w:t>
      </w:r>
    </w:p>
    <w:p w:rsidR="00DC06DB" w:rsidRDefault="00DC06DB" w:rsidP="00DC06DB">
      <w:pPr>
        <w:pStyle w:val="Heading4"/>
      </w:pPr>
      <w:r>
        <w:t>Arrest, adjudication and sentencing are distinct</w:t>
      </w:r>
    </w:p>
    <w:p w:rsidR="00DC06DB" w:rsidRPr="00FC1748" w:rsidRDefault="00DC06DB" w:rsidP="00DC06DB">
      <w:proofErr w:type="spellStart"/>
      <w:r w:rsidRPr="00532F4E">
        <w:rPr>
          <w:rStyle w:val="Style13ptBold"/>
        </w:rPr>
        <w:t>Bisson</w:t>
      </w:r>
      <w:proofErr w:type="spellEnd"/>
      <w:r w:rsidRPr="00532F4E">
        <w:rPr>
          <w:rStyle w:val="Style13ptBold"/>
        </w:rPr>
        <w:t xml:space="preserve"> 87</w:t>
      </w:r>
      <w:r>
        <w:t xml:space="preserve"> – judge of the Quebec Court of Appeal and a former Communications Security Establishment Commissioner (Claude, et al, “The Canadian Sentencing Commission,” </w:t>
      </w:r>
      <w:hyperlink r:id="rId34" w:history="1">
        <w:r w:rsidRPr="00382ED4">
          <w:rPr>
            <w:rStyle w:val="Hyperlink"/>
          </w:rPr>
          <w:t>https://johnhoward.ca/wp-content/uploads/2016/12/1987-KE-9355-A73-C33-1987-J.R.-Omer-Archambault.pdf</w:t>
        </w:r>
      </w:hyperlink>
      <w:r>
        <w:t>)</w:t>
      </w:r>
    </w:p>
    <w:p w:rsidR="00DC06DB" w:rsidRPr="00DC06DB" w:rsidRDefault="00DC06DB" w:rsidP="00DC06DB">
      <w:pPr>
        <w:rPr>
          <w:sz w:val="16"/>
        </w:rPr>
      </w:pPr>
      <w:r w:rsidRPr="00DC06DB">
        <w:rPr>
          <w:sz w:val="16"/>
        </w:rPr>
        <w:t xml:space="preserve">As </w:t>
      </w:r>
      <w:r w:rsidRPr="00532F4E">
        <w:rPr>
          <w:rStyle w:val="StyleUnderline"/>
        </w:rPr>
        <w:t>sentencing is</w:t>
      </w:r>
      <w:r w:rsidRPr="00DC06DB">
        <w:rPr>
          <w:sz w:val="16"/>
        </w:rPr>
        <w:t xml:space="preserve"> viewed as </w:t>
      </w:r>
      <w:r w:rsidRPr="00532F4E">
        <w:rPr>
          <w:rStyle w:val="StyleUnderline"/>
        </w:rPr>
        <w:t>the "climax of the criminal justice process</w:t>
      </w:r>
      <w:r w:rsidRPr="00DC06DB">
        <w:rPr>
          <w:sz w:val="16"/>
        </w:rPr>
        <w:t>" (Canada, Sentencing, 1984</w:t>
      </w:r>
      <w:proofErr w:type="gramStart"/>
      <w:r w:rsidRPr="00DC06DB">
        <w:rPr>
          <w:sz w:val="16"/>
        </w:rPr>
        <w:t>;1</w:t>
      </w:r>
      <w:proofErr w:type="gramEnd"/>
      <w:r w:rsidRPr="00DC06DB">
        <w:rPr>
          <w:sz w:val="16"/>
        </w:rPr>
        <w:t xml:space="preserve">), there is a tendency to trace back to sentences any punitive effect which may be produced by the criminal justice system. </w:t>
      </w:r>
      <w:r w:rsidRPr="00532F4E">
        <w:rPr>
          <w:rStyle w:val="StyleUnderline"/>
        </w:rPr>
        <w:t>It is argued for example, that</w:t>
      </w:r>
      <w:r w:rsidRPr="00DC06DB">
        <w:rPr>
          <w:sz w:val="16"/>
        </w:rPr>
        <w:t xml:space="preserve"> an absolute </w:t>
      </w:r>
      <w:r w:rsidRPr="00532F4E">
        <w:rPr>
          <w:rStyle w:val="StyleUnderline"/>
        </w:rPr>
        <w:t>discharge is punishment because the offender went through the painful ordeal of being arrested and found guilty</w:t>
      </w:r>
      <w:r w:rsidRPr="00DC06DB">
        <w:rPr>
          <w:sz w:val="16"/>
        </w:rPr>
        <w:t xml:space="preserve"> (not to mention that according to the present state of the law, he or she bears the stigma of having a criminal record). </w:t>
      </w:r>
      <w:r w:rsidRPr="00532F4E">
        <w:rPr>
          <w:rStyle w:val="StyleUnderline"/>
        </w:rPr>
        <w:t>This argument is specious</w:t>
      </w:r>
      <w:r w:rsidRPr="00DC06DB">
        <w:rPr>
          <w:sz w:val="16"/>
        </w:rPr>
        <w:t xml:space="preserve">, however, </w:t>
      </w:r>
      <w:r w:rsidRPr="00532F4E">
        <w:rPr>
          <w:rStyle w:val="StyleUnderline"/>
        </w:rPr>
        <w:t xml:space="preserve">for it fails to distinguish between a police </w:t>
      </w:r>
      <w:r w:rsidRPr="00532F4E">
        <w:rPr>
          <w:rStyle w:val="Emphasis"/>
        </w:rPr>
        <w:t>arrest</w:t>
      </w:r>
      <w:r w:rsidRPr="00532F4E">
        <w:rPr>
          <w:rStyle w:val="StyleUnderline"/>
        </w:rPr>
        <w:t xml:space="preserve">, </w:t>
      </w:r>
      <w:r w:rsidRPr="00532F4E">
        <w:rPr>
          <w:rStyle w:val="Emphasis"/>
        </w:rPr>
        <w:t>adjudication</w:t>
      </w:r>
      <w:r w:rsidRPr="00532F4E">
        <w:rPr>
          <w:rStyle w:val="StyleUnderline"/>
        </w:rPr>
        <w:t xml:space="preserve"> of guilt or innocence and </w:t>
      </w:r>
      <w:r w:rsidRPr="00532F4E">
        <w:rPr>
          <w:rStyle w:val="Emphasis"/>
        </w:rPr>
        <w:t>sentencing</w:t>
      </w:r>
      <w:r w:rsidRPr="00DC06DB">
        <w:rPr>
          <w:sz w:val="16"/>
        </w:rPr>
        <w:t xml:space="preserve">. </w:t>
      </w:r>
      <w:r w:rsidRPr="00532F4E">
        <w:rPr>
          <w:rStyle w:val="StyleUnderline"/>
        </w:rPr>
        <w:t>The failure to make these distinctions leads to holding sentencing accountable for all punishment stemming from the criminal law</w:t>
      </w:r>
      <w:r w:rsidRPr="00DC06DB">
        <w:rPr>
          <w:sz w:val="16"/>
        </w:rPr>
        <w:t xml:space="preserve">. That this is a mistake can be illustrated by the fact that even being found not guilty in court can be seen as a punitive process. In some cases, the mere fact of having been charged is sometimes stigma enough to ruin a career, whatever the outcome of the trial and even where the charge is subsequently withdrawn. In other cases, a jury might be inclined to feel that the accused has been treated to enough pain and pronounce a verdict of not guilty that is unwarranted in law or unsupported by evidence. In both instances again, the accused will bear the stigma of having been cleared by the court under circumstances which appear objectionable. Surely </w:t>
      </w:r>
      <w:r w:rsidRPr="00532F4E">
        <w:rPr>
          <w:rStyle w:val="StyleUnderline"/>
        </w:rPr>
        <w:t xml:space="preserve">when a person is found not guilty, the pain that has been otherwise visited upon him or her cannot be attributed to the sentence, because </w:t>
      </w:r>
      <w:r w:rsidRPr="00532F4E">
        <w:rPr>
          <w:rStyle w:val="Emphasis"/>
        </w:rPr>
        <w:t>no sentence is imposed</w:t>
      </w:r>
      <w:r w:rsidRPr="00532F4E">
        <w:rPr>
          <w:rStyle w:val="StyleUnderline"/>
        </w:rPr>
        <w:t xml:space="preserve"> following a verdict of not guilty</w:t>
      </w:r>
      <w:r w:rsidRPr="00DC06DB">
        <w:rPr>
          <w:sz w:val="16"/>
        </w:rPr>
        <w:t xml:space="preserve">. The same claim could be made for an absolute discharge: whatever punishment may have preceded it, as a sentencing disposition per se it does not involve punishment. Some victims of crime have learned that </w:t>
      </w:r>
      <w:r w:rsidRPr="00532F4E">
        <w:rPr>
          <w:rStyle w:val="StyleUnderline"/>
        </w:rPr>
        <w:t>any brush with the criminal law can be painful. However, one cannot argue</w:t>
      </w:r>
      <w:r w:rsidRPr="00DC06DB">
        <w:rPr>
          <w:sz w:val="16"/>
        </w:rPr>
        <w:t xml:space="preserve"> from this very general feature of the criminal law, </w:t>
      </w:r>
      <w:r w:rsidRPr="00532F4E">
        <w:rPr>
          <w:rStyle w:val="StyleUnderline"/>
        </w:rPr>
        <w:t>that the sentencing process is thereby exclusively punitive</w:t>
      </w:r>
      <w:r w:rsidRPr="00DC06DB">
        <w:rPr>
          <w:sz w:val="16"/>
        </w:rPr>
        <w:t>.</w:t>
      </w:r>
    </w:p>
    <w:p w:rsidR="00DC06DB" w:rsidRDefault="00DC06DB" w:rsidP="00DC06DB">
      <w:pPr>
        <w:pStyle w:val="Heading4"/>
      </w:pPr>
      <w:r>
        <w:t xml:space="preserve">Sentencing is exclusive to </w:t>
      </w:r>
      <w:r w:rsidRPr="004A1B8E">
        <w:rPr>
          <w:u w:val="single"/>
        </w:rPr>
        <w:t>criminal</w:t>
      </w:r>
      <w:r>
        <w:t xml:space="preserve"> law</w:t>
      </w:r>
    </w:p>
    <w:p w:rsidR="00DC06DB" w:rsidRPr="00F02AD4" w:rsidRDefault="00DC06DB" w:rsidP="00DC06DB">
      <w:r w:rsidRPr="00A710AE">
        <w:rPr>
          <w:rStyle w:val="Style13ptBold"/>
        </w:rPr>
        <w:t>Mackenzie</w:t>
      </w:r>
      <w:r>
        <w:t xml:space="preserve"> and </w:t>
      </w:r>
      <w:proofErr w:type="spellStart"/>
      <w:r>
        <w:t>Stobbs</w:t>
      </w:r>
      <w:proofErr w:type="spellEnd"/>
      <w:r>
        <w:t xml:space="preserve"> </w:t>
      </w:r>
      <w:r w:rsidRPr="00A710AE">
        <w:rPr>
          <w:rStyle w:val="Style13ptBold"/>
        </w:rPr>
        <w:t>10</w:t>
      </w:r>
      <w:r>
        <w:t xml:space="preserve"> – PhD, Professor @ U Southern Queensland (Geraldine, “Principles of Sentencing,” </w:t>
      </w:r>
      <w:hyperlink r:id="rId35" w:history="1">
        <w:r w:rsidRPr="00A67FFA">
          <w:rPr>
            <w:rStyle w:val="Hyperlink"/>
          </w:rPr>
          <w:t>https://books.google.com/books/about/Principles_of_Sentencing.html?id=7NhQAQAAIAAJ</w:t>
        </w:r>
      </w:hyperlink>
      <w:r>
        <w:t>)</w:t>
      </w:r>
    </w:p>
    <w:p w:rsidR="00210800" w:rsidRPr="00EE5E96" w:rsidRDefault="00DC06DB" w:rsidP="00EE5E96">
      <w:pPr>
        <w:rPr>
          <w:sz w:val="16"/>
        </w:rPr>
      </w:pPr>
      <w:r w:rsidRPr="00DC06DB">
        <w:rPr>
          <w:sz w:val="16"/>
        </w:rPr>
        <w:t xml:space="preserve">Sentencing of offenders is often described as a difficult task, requiring as it does the balancing of many different factors; often disparate and sometimes inherently contradictory. </w:t>
      </w:r>
      <w:r w:rsidRPr="00104FE8">
        <w:rPr>
          <w:rStyle w:val="StyleUnderline"/>
        </w:rPr>
        <w:t xml:space="preserve">Sentencing is defined as 'the process by which people who have been found guilty of offending against the </w:t>
      </w:r>
      <w:r w:rsidRPr="003A667A">
        <w:rPr>
          <w:rStyle w:val="Emphasis"/>
        </w:rPr>
        <w:t>criminal law</w:t>
      </w:r>
      <w:r w:rsidRPr="00104FE8">
        <w:rPr>
          <w:rStyle w:val="StyleUnderline"/>
        </w:rPr>
        <w:t xml:space="preserve"> have sanctions imposed upon them in accordance with the law'</w:t>
      </w:r>
      <w:r w:rsidRPr="00DC06DB">
        <w:rPr>
          <w:sz w:val="16"/>
        </w:rPr>
        <w:t xml:space="preserve"> It is this task which is examined in this book. The major change in sentencing in Australia over the past 20 years has been the enactment of provisions to govern the sentencing process, and in most Australian jurisdictions, the enactment of dedicated sentencing legislation. This legislation has set out, to various extents, sentencing guidelines and principles. As will be seen however, a wide judicial discretion is available for almost every factor to be taken into account in the sentencing process, and in the choice of sanctions. In Australia, decisions of which penalty to impose, and the quantum of that penalty, are virtually always a matter for the individual </w:t>
      </w:r>
      <w:proofErr w:type="spellStart"/>
      <w:r w:rsidRPr="00DC06DB">
        <w:rPr>
          <w:sz w:val="16"/>
        </w:rPr>
        <w:t>sentencer</w:t>
      </w:r>
      <w:proofErr w:type="spellEnd"/>
      <w:r w:rsidRPr="00DC06DB">
        <w:rPr>
          <w:sz w:val="16"/>
        </w:rPr>
        <w:t xml:space="preserve"> in their exercise of judicial discretion. This differs from the situation in other countries, in particular many jurisdictions in the United States. This book takes a principled approach to sentencing, by exploring key themes and issues which will resonate across and between jurisdictions, and by </w:t>
      </w:r>
      <w:proofErr w:type="spellStart"/>
      <w:r w:rsidRPr="00DC06DB">
        <w:rPr>
          <w:sz w:val="16"/>
        </w:rPr>
        <w:t>analysing</w:t>
      </w:r>
      <w:proofErr w:type="spellEnd"/>
      <w:r w:rsidRPr="00DC06DB">
        <w:rPr>
          <w:sz w:val="16"/>
        </w:rPr>
        <w:t xml:space="preserve"> examples from the various jurisdictions where appropriate. Each Australian jurisdiction now has sentencing principles enshrined in legislation, mainly discrete, but some incorporated within general criminal legislation. The book explains the legislation in the various jurisdictions.</w:t>
      </w:r>
    </w:p>
    <w:p w:rsidR="00210800" w:rsidRPr="00210800" w:rsidRDefault="00210800" w:rsidP="00210800">
      <w:pPr>
        <w:pStyle w:val="Heading4"/>
      </w:pPr>
      <w:r>
        <w:t>Any legal sanction is sentencing</w:t>
      </w:r>
    </w:p>
    <w:p w:rsidR="00210800" w:rsidRPr="00D4015E" w:rsidRDefault="00210800" w:rsidP="00210800">
      <w:proofErr w:type="spellStart"/>
      <w:r w:rsidRPr="008B2CF4">
        <w:rPr>
          <w:rStyle w:val="Style13ptBold"/>
        </w:rPr>
        <w:t>Bisson</w:t>
      </w:r>
      <w:proofErr w:type="spellEnd"/>
      <w:r w:rsidRPr="008B2CF4">
        <w:rPr>
          <w:rStyle w:val="Style13ptBold"/>
        </w:rPr>
        <w:t xml:space="preserve"> 87</w:t>
      </w:r>
      <w:r>
        <w:t xml:space="preserve"> – judge of the Quebec Court of Appeal and a former Communications Security Establishment Commissioner (Claude, et al, “The Canadian Sentencing Commission,” https://johnhoward.ca/wp-content/uploads/2016/12/1987-KE-9355-A73-C33-1987-J.R.-Omer-Archambault.pdf)</w:t>
      </w:r>
    </w:p>
    <w:p w:rsidR="00210800" w:rsidRDefault="00210800" w:rsidP="00210800">
      <w:r>
        <w:t xml:space="preserve">As a conclusion to the preceding discussion, the Commission recommends that the following definition of sentencing be adopted: </w:t>
      </w:r>
      <w:r w:rsidRPr="00210800">
        <w:rPr>
          <w:rStyle w:val="StyleUnderline"/>
          <w:highlight w:val="yellow"/>
        </w:rPr>
        <w:t>Sentencing is the judicial determination of a legal sanction</w:t>
      </w:r>
      <w:r w:rsidRPr="008B2CF4">
        <w:rPr>
          <w:rStyle w:val="StyleUnderline"/>
        </w:rPr>
        <w:t xml:space="preserve"> to be imposed on a person found guilty of an offence</w:t>
      </w:r>
      <w:r>
        <w:t xml:space="preserve">. This definition will be part of the recommended Declaration of Purpose and Principles of Sentencing, which appears at the end of Chapter 6. 4.1 Comments and Explanations </w:t>
      </w:r>
      <w:proofErr w:type="gramStart"/>
      <w:r w:rsidRPr="008B2CF4">
        <w:rPr>
          <w:rStyle w:val="StyleUnderline"/>
        </w:rPr>
        <w:t>The</w:t>
      </w:r>
      <w:proofErr w:type="gramEnd"/>
      <w:r w:rsidRPr="008B2CF4">
        <w:rPr>
          <w:rStyle w:val="StyleUnderline"/>
        </w:rPr>
        <w:t xml:space="preserve"> avoidance of the adjective "</w:t>
      </w:r>
      <w:r w:rsidRPr="008B2CF4">
        <w:rPr>
          <w:rStyle w:val="Emphasis"/>
        </w:rPr>
        <w:t>criminal</w:t>
      </w:r>
      <w:r w:rsidRPr="008B2CF4">
        <w:rPr>
          <w:rStyle w:val="StyleUnderline"/>
        </w:rPr>
        <w:t xml:space="preserve">" </w:t>
      </w:r>
      <w:r>
        <w:t>(</w:t>
      </w:r>
      <w:r w:rsidRPr="008B2CF4">
        <w:rPr>
          <w:rStyle w:val="StyleUnderline"/>
        </w:rPr>
        <w:t>as in "criminal sanctions" or in "criminal offences")</w:t>
      </w:r>
      <w:r>
        <w:t xml:space="preserve"> </w:t>
      </w:r>
      <w:r w:rsidRPr="008B2CF4">
        <w:rPr>
          <w:rStyle w:val="StyleUnderline"/>
        </w:rPr>
        <w:t xml:space="preserve">is meant to reflect that the </w:t>
      </w:r>
      <w:r w:rsidRPr="00210800">
        <w:rPr>
          <w:rStyle w:val="StyleUnderline"/>
          <w:highlight w:val="yellow"/>
        </w:rPr>
        <w:t>sentencing</w:t>
      </w:r>
      <w:r w:rsidRPr="008B2CF4">
        <w:rPr>
          <w:rStyle w:val="StyleUnderline"/>
        </w:rPr>
        <w:t xml:space="preserve"> process </w:t>
      </w:r>
      <w:r w:rsidRPr="00210800">
        <w:rPr>
          <w:rStyle w:val="StyleUnderline"/>
          <w:highlight w:val="yellow"/>
        </w:rPr>
        <w:t xml:space="preserve">reaches </w:t>
      </w:r>
      <w:r w:rsidRPr="00210800">
        <w:rPr>
          <w:rStyle w:val="Emphasis"/>
          <w:highlight w:val="yellow"/>
        </w:rPr>
        <w:t>outside the scope</w:t>
      </w:r>
      <w:r w:rsidRPr="00210800">
        <w:rPr>
          <w:rStyle w:val="StyleUnderline"/>
          <w:highlight w:val="yellow"/>
        </w:rPr>
        <w:t xml:space="preserve"> of the criminal law in important ways</w:t>
      </w:r>
      <w:r w:rsidRPr="008B2CF4">
        <w:rPr>
          <w:rStyle w:val="StyleUnderline"/>
        </w:rPr>
        <w:t>. The number of statutes which carry penalties</w:t>
      </w:r>
      <w:r>
        <w:t xml:space="preserve"> — </w:t>
      </w:r>
      <w:r w:rsidRPr="008B2CF4">
        <w:rPr>
          <w:rStyle w:val="StyleUnderline"/>
        </w:rPr>
        <w:t>including incarceration</w:t>
      </w:r>
      <w:r>
        <w:t xml:space="preserve"> — </w:t>
      </w:r>
      <w:r w:rsidRPr="008B2CF4">
        <w:rPr>
          <w:rStyle w:val="StyleUnderline"/>
        </w:rPr>
        <w:t xml:space="preserve">is much greater than the laws codified in the Criminal </w:t>
      </w:r>
      <w:r w:rsidRPr="00071127">
        <w:rPr>
          <w:rStyle w:val="StyleUnderline"/>
        </w:rPr>
        <w:t>Code</w:t>
      </w:r>
      <w:r>
        <w:t xml:space="preserve">. </w:t>
      </w:r>
      <w:r w:rsidRPr="00210800">
        <w:rPr>
          <w:rStyle w:val="StyleUnderline"/>
          <w:highlight w:val="yellow"/>
        </w:rPr>
        <w:t>The enforcement of these statutes involves</w:t>
      </w:r>
      <w:r>
        <w:t xml:space="preserve"> a process of </w:t>
      </w:r>
      <w:r w:rsidRPr="00210800">
        <w:rPr>
          <w:rStyle w:val="Emphasis"/>
          <w:highlight w:val="yellow"/>
        </w:rPr>
        <w:t>sentencing</w:t>
      </w:r>
      <w:r w:rsidRPr="00210800">
        <w:rPr>
          <w:highlight w:val="yellow"/>
        </w:rPr>
        <w:t>.</w:t>
      </w:r>
    </w:p>
    <w:p w:rsidR="00210800" w:rsidRPr="00210800" w:rsidRDefault="00210800" w:rsidP="00210800"/>
    <w:p w:rsidR="00210800" w:rsidRDefault="00210800" w:rsidP="00210800">
      <w:pPr>
        <w:pStyle w:val="Heading4"/>
      </w:pPr>
      <w:r>
        <w:t>Sentencing can be done by the community rather than the state</w:t>
      </w:r>
    </w:p>
    <w:p w:rsidR="00210800" w:rsidRPr="00AE07FF" w:rsidRDefault="00210800" w:rsidP="00210800">
      <w:proofErr w:type="spellStart"/>
      <w:r w:rsidRPr="008B2CF4">
        <w:rPr>
          <w:rStyle w:val="Style13ptBold"/>
        </w:rPr>
        <w:t>Fellegi</w:t>
      </w:r>
      <w:proofErr w:type="spellEnd"/>
      <w:r w:rsidRPr="008B2CF4">
        <w:rPr>
          <w:rStyle w:val="Style13ptBold"/>
        </w:rPr>
        <w:t xml:space="preserve"> 4</w:t>
      </w:r>
      <w:r>
        <w:t xml:space="preserve"> – MP in Criminology (</w:t>
      </w:r>
      <w:proofErr w:type="spellStart"/>
      <w:r>
        <w:t>Borbala</w:t>
      </w:r>
      <w:proofErr w:type="spellEnd"/>
      <w:r>
        <w:t xml:space="preserve">, EVALUATE BOTTOMS (2002) CLAIM THAT “IF THEY ARE TRUE TO THEIR CALLING ALL CRIMINOLOGISTS HAVE TO BE INTERESTED IN MORALITY” Responses to crime and their influences on moral development Essay for the course on Social Context of Crimes, </w:t>
      </w:r>
      <w:hyperlink r:id="rId36" w:history="1">
        <w:r w:rsidRPr="00382ED4">
          <w:rPr>
            <w:rStyle w:val="Hyperlink"/>
          </w:rPr>
          <w:t>http://www.fellegi.hu/files/Essays/SocialEssay_4.pdf</w:t>
        </w:r>
      </w:hyperlink>
      <w:r>
        <w:t>)</w:t>
      </w:r>
    </w:p>
    <w:p w:rsidR="00210800" w:rsidRPr="00210800" w:rsidRDefault="00210800" w:rsidP="00210800">
      <w:pPr>
        <w:rPr>
          <w:sz w:val="16"/>
        </w:rPr>
      </w:pPr>
      <w:r w:rsidRPr="008B2CF4">
        <w:rPr>
          <w:rStyle w:val="StyleUnderline"/>
        </w:rPr>
        <w:t xml:space="preserve">Sentencing is the </w:t>
      </w:r>
      <w:proofErr w:type="spellStart"/>
      <w:r w:rsidRPr="008B2CF4">
        <w:rPr>
          <w:rStyle w:val="StyleUnderline"/>
        </w:rPr>
        <w:t>authorised</w:t>
      </w:r>
      <w:proofErr w:type="spellEnd"/>
      <w:r w:rsidRPr="008B2CF4">
        <w:rPr>
          <w:rStyle w:val="StyleUnderline"/>
        </w:rPr>
        <w:t xml:space="preserve"> way of using state coercion against a person who committed an offence</w:t>
      </w:r>
      <w:r>
        <w:rPr>
          <w:rStyle w:val="StyleUnderline"/>
        </w:rPr>
        <w:t xml:space="preserve"> </w:t>
      </w:r>
      <w:r w:rsidRPr="00210800">
        <w:rPr>
          <w:sz w:val="16"/>
        </w:rPr>
        <w:t xml:space="preserve">(Ashworth, 2002: 1077). However, I use </w:t>
      </w:r>
      <w:r w:rsidRPr="00210800">
        <w:rPr>
          <w:rStyle w:val="StyleUnderline"/>
          <w:highlight w:val="yellow"/>
        </w:rPr>
        <w:t>the word sentencing</w:t>
      </w:r>
      <w:r w:rsidRPr="00210800">
        <w:rPr>
          <w:sz w:val="16"/>
        </w:rPr>
        <w:t xml:space="preserve"> with a broader </w:t>
      </w:r>
      <w:r w:rsidRPr="00210800">
        <w:rPr>
          <w:rStyle w:val="StyleUnderline"/>
          <w:highlight w:val="yellow"/>
        </w:rPr>
        <w:t>meaning</w:t>
      </w:r>
      <w:r w:rsidRPr="00210800">
        <w:rPr>
          <w:sz w:val="16"/>
        </w:rPr>
        <w:t xml:space="preserve">, </w:t>
      </w:r>
      <w:r w:rsidRPr="008B2CF4">
        <w:rPr>
          <w:rStyle w:val="StyleUnderline"/>
        </w:rPr>
        <w:t xml:space="preserve">referring to </w:t>
      </w:r>
      <w:r w:rsidRPr="00210800">
        <w:rPr>
          <w:rStyle w:val="StyleUnderline"/>
          <w:highlight w:val="yellow"/>
        </w:rPr>
        <w:t>any kind of institutional reaction to crime</w:t>
      </w:r>
      <w:r w:rsidRPr="00210800">
        <w:rPr>
          <w:sz w:val="16"/>
        </w:rPr>
        <w:t xml:space="preserve">. Hence, </w:t>
      </w:r>
      <w:r w:rsidRPr="00210800">
        <w:rPr>
          <w:rStyle w:val="StyleUnderline"/>
          <w:highlight w:val="yellow"/>
        </w:rPr>
        <w:t xml:space="preserve">it is </w:t>
      </w:r>
      <w:r w:rsidRPr="00210800">
        <w:rPr>
          <w:rStyle w:val="Emphasis"/>
          <w:highlight w:val="yellow"/>
        </w:rPr>
        <w:t>not necessarily done by the state</w:t>
      </w:r>
      <w:r w:rsidRPr="00210800">
        <w:rPr>
          <w:sz w:val="16"/>
        </w:rPr>
        <w:t xml:space="preserve"> (e.g. </w:t>
      </w:r>
      <w:r w:rsidRPr="00210800">
        <w:rPr>
          <w:rStyle w:val="StyleUnderline"/>
          <w:highlight w:val="yellow"/>
        </w:rPr>
        <w:t xml:space="preserve">it can be </w:t>
      </w:r>
      <w:proofErr w:type="spellStart"/>
      <w:r w:rsidRPr="00210800">
        <w:rPr>
          <w:rStyle w:val="StyleUnderline"/>
          <w:highlight w:val="yellow"/>
        </w:rPr>
        <w:t>authorised</w:t>
      </w:r>
      <w:proofErr w:type="spellEnd"/>
      <w:r w:rsidRPr="00210800">
        <w:rPr>
          <w:rStyle w:val="StyleUnderline"/>
          <w:highlight w:val="yellow"/>
        </w:rPr>
        <w:t xml:space="preserve"> by a community</w:t>
      </w:r>
      <w:r w:rsidRPr="00210800">
        <w:rPr>
          <w:sz w:val="16"/>
        </w:rPr>
        <w:t xml:space="preserve">) and coercion is not automatically a </w:t>
      </w:r>
      <w:proofErr w:type="gramStart"/>
      <w:r w:rsidRPr="00210800">
        <w:rPr>
          <w:sz w:val="16"/>
        </w:rPr>
        <w:t>punishment1 .</w:t>
      </w:r>
      <w:proofErr w:type="gramEnd"/>
      <w:r w:rsidRPr="00210800">
        <w:rPr>
          <w:sz w:val="16"/>
        </w:rPr>
        <w:t xml:space="preserve"> It is rather an outcome that can have a punitive </w:t>
      </w:r>
      <w:proofErr w:type="gramStart"/>
      <w:r w:rsidRPr="00210800">
        <w:rPr>
          <w:sz w:val="16"/>
        </w:rPr>
        <w:t>effect2 .</w:t>
      </w:r>
      <w:proofErr w:type="gramEnd"/>
      <w:r w:rsidRPr="00210800">
        <w:rPr>
          <w:sz w:val="16"/>
        </w:rPr>
        <w:t xml:space="preserve"> Sentencing is the practical and institutional communication of the law through the criminal justice system but has a more direct effect on those who are its recipient, than the law has itself. If we accept that “people actively reason about legal rules and that the structure of their thinking shapes their behavior toward the law” (Cohn and White, </w:t>
      </w:r>
      <w:proofErr w:type="gramStart"/>
      <w:r w:rsidRPr="00210800">
        <w:rPr>
          <w:sz w:val="16"/>
        </w:rPr>
        <w:t>19903 )</w:t>
      </w:r>
      <w:proofErr w:type="gramEnd"/>
      <w:r w:rsidRPr="00210800">
        <w:rPr>
          <w:sz w:val="16"/>
        </w:rPr>
        <w:t xml:space="preserve">, we might presume that </w:t>
      </w:r>
      <w:r w:rsidRPr="008B2CF4">
        <w:rPr>
          <w:rStyle w:val="StyleUnderline"/>
        </w:rPr>
        <w:t>sentencing and its agents</w:t>
      </w:r>
      <w:r>
        <w:rPr>
          <w:rStyle w:val="StyleUnderline"/>
        </w:rPr>
        <w:t xml:space="preserve"> </w:t>
      </w:r>
      <w:r w:rsidRPr="00210800">
        <w:rPr>
          <w:sz w:val="16"/>
        </w:rPr>
        <w:t xml:space="preserve">(i.e. </w:t>
      </w:r>
      <w:r w:rsidRPr="008B2CF4">
        <w:rPr>
          <w:rStyle w:val="Emphasis"/>
        </w:rPr>
        <w:t>prosecutors, judges, and other actors of the justice system</w:t>
      </w:r>
      <w:r w:rsidRPr="00210800">
        <w:rPr>
          <w:sz w:val="16"/>
        </w:rPr>
        <w:t xml:space="preserve">) also might </w:t>
      </w:r>
      <w:r w:rsidRPr="008B2CF4">
        <w:rPr>
          <w:rStyle w:val="StyleUnderline"/>
        </w:rPr>
        <w:t>shape</w:t>
      </w:r>
      <w:r w:rsidRPr="00210800">
        <w:rPr>
          <w:sz w:val="16"/>
        </w:rPr>
        <w:t xml:space="preserve"> one’s “</w:t>
      </w:r>
      <w:r w:rsidRPr="008B2CF4">
        <w:rPr>
          <w:rStyle w:val="StyleUnderline"/>
        </w:rPr>
        <w:t>attitudes about</w:t>
      </w:r>
      <w:r>
        <w:rPr>
          <w:rStyle w:val="StyleUnderline"/>
        </w:rPr>
        <w:t xml:space="preserve"> </w:t>
      </w:r>
      <w:r w:rsidRPr="00210800">
        <w:rPr>
          <w:sz w:val="16"/>
        </w:rPr>
        <w:t xml:space="preserve">the appropriateness of </w:t>
      </w:r>
      <w:r w:rsidRPr="008B2CF4">
        <w:rPr>
          <w:rStyle w:val="StyleUnderline"/>
        </w:rPr>
        <w:t>rule-breaking</w:t>
      </w:r>
      <w:r w:rsidRPr="00210800">
        <w:rPr>
          <w:sz w:val="16"/>
        </w:rPr>
        <w:t xml:space="preserve">” (Cohn and White, 19904). </w:t>
      </w:r>
    </w:p>
    <w:p w:rsidR="00210800" w:rsidRDefault="00210800" w:rsidP="00210800"/>
    <w:p w:rsidR="00DC06DB" w:rsidRDefault="00DC06DB" w:rsidP="0065538F"/>
    <w:p w:rsidR="00DC06DB" w:rsidRDefault="00DC06DB" w:rsidP="00DC06DB">
      <w:pPr>
        <w:pStyle w:val="Heading3"/>
      </w:pPr>
      <w:r>
        <w:t>Juvenile Justice not topical</w:t>
      </w:r>
    </w:p>
    <w:p w:rsidR="00DC06DB" w:rsidRDefault="00DC06DB" w:rsidP="00DC06DB"/>
    <w:p w:rsidR="00DC06DB" w:rsidRPr="00D10302" w:rsidRDefault="00DC06DB" w:rsidP="00DC06DB">
      <w:pPr>
        <w:pStyle w:val="Heading3"/>
      </w:pPr>
      <w:r>
        <w:t>Not juvenile</w:t>
      </w:r>
    </w:p>
    <w:p w:rsidR="00DC06DB" w:rsidRDefault="00DC06DB" w:rsidP="00DC06DB">
      <w:pPr>
        <w:pStyle w:val="Heading4"/>
      </w:pPr>
      <w:r>
        <w:t>Juvenile justice violates both criminal justice and sentencing</w:t>
      </w:r>
    </w:p>
    <w:p w:rsidR="00DC06DB" w:rsidRPr="003059C4" w:rsidRDefault="00DC06DB" w:rsidP="00DC06DB">
      <w:proofErr w:type="spellStart"/>
      <w:r w:rsidRPr="00575FBD">
        <w:rPr>
          <w:rStyle w:val="Style13ptBold"/>
        </w:rPr>
        <w:t>Spon</w:t>
      </w:r>
      <w:proofErr w:type="spellEnd"/>
      <w:r w:rsidRPr="00575FBD">
        <w:rPr>
          <w:rStyle w:val="Style13ptBold"/>
        </w:rPr>
        <w:t xml:space="preserve"> 98</w:t>
      </w:r>
      <w:r>
        <w:t xml:space="preserve"> – Judge, Judge, Richland County Court of Common Pleas, Division of Domestic Relations and Juvenile Court, Mansfield, Ohio since January 1993; B.A., Ohio State University, 1969; J.D.. Ohio Northern University, College of Law, 1973. (JUVENILE JUSTICE: A WORK "IN PROGRESS", https://www.regent.edu/acad/schlaw/student_life/studentorgs/lawreview/docs/issues/v10/10RegentULRev29.pdf)</w:t>
      </w:r>
    </w:p>
    <w:p w:rsidR="00DC06DB" w:rsidRPr="00DC06DB" w:rsidRDefault="00DC06DB" w:rsidP="00DC06DB">
      <w:pPr>
        <w:rPr>
          <w:sz w:val="16"/>
        </w:rPr>
      </w:pPr>
      <w:r w:rsidRPr="00DC06DB">
        <w:rPr>
          <w:sz w:val="16"/>
        </w:rPr>
        <w:t xml:space="preserve">This is true because a court's underlying philosophy of </w:t>
      </w:r>
      <w:r w:rsidRPr="00DC06DB">
        <w:rPr>
          <w:rStyle w:val="Style13ptBold"/>
          <w:sz w:val="16"/>
        </w:rPr>
        <w:t>justice</w:t>
      </w:r>
      <w:r w:rsidRPr="00DC06DB">
        <w:rPr>
          <w:sz w:val="16"/>
        </w:rPr>
        <w:t xml:space="preserve">, directly or indirectly, impacts the public policy of the court, even if the court does not admit to having a public policy. This, in turn, consciously or unconsciously, impacts the court's case dispositions or sentencings. And </w:t>
      </w:r>
      <w:r w:rsidRPr="00575FBD">
        <w:rPr>
          <w:rStyle w:val="StyleUnderline"/>
        </w:rPr>
        <w:t xml:space="preserve">every judge knows that </w:t>
      </w:r>
      <w:r w:rsidRPr="00DC06DB">
        <w:rPr>
          <w:rStyle w:val="StyleUnderline"/>
          <w:highlight w:val="yellow"/>
        </w:rPr>
        <w:t>the heart of the juvenile justice system is</w:t>
      </w:r>
      <w:r w:rsidRPr="00DC06DB">
        <w:rPr>
          <w:sz w:val="16"/>
        </w:rPr>
        <w:t xml:space="preserve"> the </w:t>
      </w:r>
      <w:r w:rsidRPr="00DC06DB">
        <w:rPr>
          <w:rStyle w:val="StyleUnderline"/>
          <w:highlight w:val="yellow"/>
        </w:rPr>
        <w:t>disposition</w:t>
      </w:r>
      <w:r w:rsidRPr="00DC06DB">
        <w:rPr>
          <w:sz w:val="16"/>
        </w:rPr>
        <w:t xml:space="preserve"> he renders in any particular case. FN </w:t>
      </w:r>
      <w:r w:rsidRPr="00DC06DB">
        <w:rPr>
          <w:rStyle w:val="Style13ptBold"/>
          <w:sz w:val="16"/>
        </w:rPr>
        <w:t>13</w:t>
      </w:r>
      <w:r w:rsidRPr="00DC06DB">
        <w:rPr>
          <w:sz w:val="16"/>
        </w:rPr>
        <w:t xml:space="preserve"> </w:t>
      </w:r>
      <w:r w:rsidRPr="00DC06DB">
        <w:rPr>
          <w:rStyle w:val="StyleUnderline"/>
          <w:highlight w:val="yellow"/>
        </w:rPr>
        <w:t>The term "disposition"</w:t>
      </w:r>
      <w:r w:rsidRPr="00575FBD">
        <w:rPr>
          <w:rStyle w:val="StyleUnderline"/>
        </w:rPr>
        <w:t xml:space="preserve"> is</w:t>
      </w:r>
      <w:r w:rsidRPr="00DC06DB">
        <w:rPr>
          <w:sz w:val="16"/>
        </w:rPr>
        <w:t xml:space="preserve"> customarily </w:t>
      </w:r>
      <w:r w:rsidRPr="00DC06DB">
        <w:rPr>
          <w:rStyle w:val="StyleUnderline"/>
          <w:highlight w:val="yellow"/>
        </w:rPr>
        <w:t>used in juvenile court</w:t>
      </w:r>
      <w:r w:rsidRPr="00575FBD">
        <w:rPr>
          <w:rStyle w:val="StyleUnderline"/>
        </w:rPr>
        <w:t xml:space="preserve"> parlance </w:t>
      </w:r>
      <w:r w:rsidRPr="00DC06DB">
        <w:rPr>
          <w:rStyle w:val="StyleUnderline"/>
          <w:highlight w:val="yellow"/>
        </w:rPr>
        <w:t>in place of the word "sentencing," as delinquency cases are</w:t>
      </w:r>
      <w:r w:rsidRPr="00575FBD">
        <w:rPr>
          <w:rStyle w:val="StyleUnderline"/>
        </w:rPr>
        <w:t xml:space="preserve"> </w:t>
      </w:r>
      <w:r w:rsidRPr="00DC06DB">
        <w:rPr>
          <w:sz w:val="16"/>
        </w:rPr>
        <w:t xml:space="preserve">generally </w:t>
      </w:r>
      <w:r w:rsidRPr="00575FBD">
        <w:rPr>
          <w:rStyle w:val="StyleUnderline"/>
        </w:rPr>
        <w:t xml:space="preserve">technically </w:t>
      </w:r>
      <w:r w:rsidRPr="00DC06DB">
        <w:rPr>
          <w:rStyle w:val="StyleUnderline"/>
          <w:highlight w:val="yellow"/>
        </w:rPr>
        <w:t>deemed as "civil" in nature, as opposed to "criminal</w:t>
      </w:r>
      <w:r w:rsidRPr="00DC06DB">
        <w:rPr>
          <w:sz w:val="16"/>
        </w:rPr>
        <w:t>." This is true even though "delinquency," by definition, necessarily involves a violation of a criminal statute, law or ordinance. End FN 13 This is where the juvenile court's philosophy of justice has its "day of reckoning," in terms of administering justice for persons involved in or affected by the unlawful act. Thus, a court's philosophy of justice vitally affects the administration of justice on a daily basis.</w:t>
      </w:r>
    </w:p>
    <w:p w:rsidR="00DC06DB" w:rsidRPr="00DC06DB" w:rsidRDefault="00DC06DB" w:rsidP="00DC06DB"/>
    <w:p w:rsidR="00FF5D2F" w:rsidRDefault="0065538F" w:rsidP="0065538F">
      <w:pPr>
        <w:pStyle w:val="Heading3"/>
      </w:pPr>
      <w:r>
        <w:t>Prison reform is not sentencing reform</w:t>
      </w:r>
    </w:p>
    <w:p w:rsidR="0065538F" w:rsidRDefault="0065538F" w:rsidP="0065538F"/>
    <w:p w:rsidR="0065538F" w:rsidRDefault="0065538F" w:rsidP="0065538F">
      <w:pPr>
        <w:pStyle w:val="Heading4"/>
      </w:pPr>
      <w:r>
        <w:t>Prison reform is not topical, it is distinct from sentencing reform</w:t>
      </w:r>
    </w:p>
    <w:p w:rsidR="0065538F" w:rsidRDefault="0065538F" w:rsidP="0065538F">
      <w:proofErr w:type="spellStart"/>
      <w:r w:rsidRPr="00D65A21">
        <w:rPr>
          <w:rStyle w:val="Style13ptBold"/>
        </w:rPr>
        <w:t>Sereno</w:t>
      </w:r>
      <w:proofErr w:type="spellEnd"/>
      <w:r w:rsidRPr="00D65A21">
        <w:rPr>
          <w:rStyle w:val="Style13ptBold"/>
        </w:rPr>
        <w:t xml:space="preserve"> 19</w:t>
      </w:r>
      <w:r>
        <w:t xml:space="preserve"> David </w:t>
      </w:r>
      <w:proofErr w:type="spellStart"/>
      <w:r>
        <w:t>Sereno</w:t>
      </w:r>
      <w:proofErr w:type="spellEnd"/>
      <w:r>
        <w:t xml:space="preserve"> is a Criminal Defense Attorney, Passing Criminal Justice Reform, https://www.davidserenolaw.com/passing-criminal-justice-reform/#:~:text=Sentencing%20reform%20refers%20to%20fixing,arrested%2C%20prosecuted%2C%20and%20sentenced.</w:t>
      </w:r>
    </w:p>
    <w:p w:rsidR="0065538F" w:rsidRPr="00D65A21" w:rsidRDefault="0065538F" w:rsidP="0065538F">
      <w:pPr>
        <w:rPr>
          <w:sz w:val="16"/>
        </w:rPr>
      </w:pPr>
      <w:r w:rsidRPr="00D65A21">
        <w:rPr>
          <w:sz w:val="16"/>
        </w:rPr>
        <w:t xml:space="preserve">What is criminal justice reform? According to the ACLU, our prison population has soared 700 percent since 1970. Now one in 31 adults is under some kind of correctional control including prison, jail, parole, and probation. Almost half of the inmates in state prisons are there because of non-violent offenses. The basic premise behind criminal justice reform is that our current system isn’t working. It unfairly punishes communities of color, often imposes sentences perceived to be too harsh and too long, and burdens taxpayers with the cost of mass incarceration. Groups in support of criminal justice reform generally aim to create a more equitable and effective criminal justice system, reduce the prison population without compromising public safety, and ensure a successful transition of individuals from prison to home. </w:t>
      </w:r>
      <w:r w:rsidRPr="00D65A21">
        <w:rPr>
          <w:rStyle w:val="StyleUnderline"/>
          <w:highlight w:val="yellow"/>
        </w:rPr>
        <w:t>Two</w:t>
      </w:r>
      <w:r w:rsidRPr="00D65A21">
        <w:rPr>
          <w:rStyle w:val="StyleUnderline"/>
        </w:rPr>
        <w:t xml:space="preserve"> </w:t>
      </w:r>
      <w:r w:rsidRPr="00D65A21">
        <w:rPr>
          <w:sz w:val="16"/>
        </w:rPr>
        <w:t xml:space="preserve">supporting but </w:t>
      </w:r>
      <w:r w:rsidRPr="00D65A21">
        <w:rPr>
          <w:rStyle w:val="StyleUnderline"/>
          <w:highlight w:val="yellow"/>
        </w:rPr>
        <w:t>distinct pieces of criminal justice reform are sentencing reform and prison reform</w:t>
      </w:r>
      <w:r w:rsidRPr="00D65A21">
        <w:rPr>
          <w:sz w:val="16"/>
        </w:rPr>
        <w:t xml:space="preserve">. Sentencing reform </w:t>
      </w:r>
      <w:r w:rsidRPr="00D65A21">
        <w:rPr>
          <w:rStyle w:val="StyleUnderline"/>
          <w:highlight w:val="yellow"/>
        </w:rPr>
        <w:t>Sentencing reform refers to fixing the “front end.” It targets</w:t>
      </w:r>
      <w:r w:rsidRPr="00D65A21">
        <w:rPr>
          <w:sz w:val="16"/>
        </w:rPr>
        <w:t xml:space="preserve"> reducing the amount of people sent to prison and the amount of time people spend in prison by changing </w:t>
      </w:r>
      <w:r w:rsidRPr="00D65A21">
        <w:rPr>
          <w:rStyle w:val="StyleUnderline"/>
          <w:highlight w:val="yellow"/>
        </w:rPr>
        <w:t>what happens before they are locked up, meaning when offenders are arrested, prosecuted, and sentenced</w:t>
      </w:r>
      <w:r w:rsidRPr="00D65A21">
        <w:rPr>
          <w:sz w:val="16"/>
        </w:rPr>
        <w:t xml:space="preserve">. </w:t>
      </w:r>
      <w:r w:rsidRPr="00D65A21">
        <w:rPr>
          <w:rStyle w:val="StyleUnderline"/>
          <w:highlight w:val="yellow"/>
        </w:rPr>
        <w:t>Sentencing reform</w:t>
      </w:r>
      <w:r w:rsidRPr="00D65A21">
        <w:rPr>
          <w:sz w:val="16"/>
        </w:rPr>
        <w:t xml:space="preserve"> aims to ensure the punishment fits the crime by </w:t>
      </w:r>
      <w:r w:rsidRPr="00D65A21">
        <w:rPr>
          <w:rStyle w:val="StyleUnderline"/>
          <w:highlight w:val="yellow"/>
        </w:rPr>
        <w:t>reducing mandatory minimum sentences</w:t>
      </w:r>
      <w:r w:rsidRPr="00D65A21">
        <w:rPr>
          <w:sz w:val="16"/>
        </w:rPr>
        <w:t xml:space="preserve"> and giving judges more discretion to give a sentence considering the offender’s history and circumstances surrounding the case instead of handing out terms based on the charges. Prison reform </w:t>
      </w:r>
      <w:r w:rsidRPr="00D65A21">
        <w:rPr>
          <w:rStyle w:val="StyleUnderline"/>
          <w:highlight w:val="yellow"/>
        </w:rPr>
        <w:t>Prison reform is improving the “back end,” which means</w:t>
      </w:r>
      <w:r w:rsidRPr="00D65A21">
        <w:rPr>
          <w:sz w:val="16"/>
        </w:rPr>
        <w:t xml:space="preserve"> possibly </w:t>
      </w:r>
      <w:r w:rsidRPr="00D65A21">
        <w:rPr>
          <w:rStyle w:val="StyleUnderline"/>
          <w:highlight w:val="yellow"/>
        </w:rPr>
        <w:t>reducing prison time once people are already incarcerated</w:t>
      </w:r>
      <w:r w:rsidRPr="00D65A21">
        <w:rPr>
          <w:sz w:val="16"/>
        </w:rPr>
        <w:t>, by for example, offering credits for good behavior that may let someone get out earlier than they were sentenced for. Prison reform also supports policies and programs that will help offenders leaving prison to become productive members of society and reduce the chance they will reoffend. These two initiatives go hand-in-hand. The thought is that prisons are overcrowded largely due to mass incarcerating low-level, nonviolent offenders because judges often have to hand out punishments based on mandatory minimum laws. Due to this overcrowding, there is no room or budget for rehabilitating offenders. With the mindset that they are a criminal and without support, including substance abuse and mental health treatment and access to meaningful work and educational opportunities, these nonviolent offenders get released from prison only to return to their bad habits and perpetuate a vicious cycle.</w:t>
      </w:r>
    </w:p>
    <w:p w:rsidR="0065538F" w:rsidRDefault="0065538F" w:rsidP="0065538F"/>
    <w:p w:rsidR="0065538F" w:rsidRDefault="0065538F" w:rsidP="0065538F"/>
    <w:p w:rsidR="0065538F" w:rsidRDefault="0065538F" w:rsidP="0065538F"/>
    <w:p w:rsidR="0065538F" w:rsidRDefault="0065538F" w:rsidP="0065538F">
      <w:pPr>
        <w:pStyle w:val="Heading4"/>
      </w:pPr>
      <w:r>
        <w:t>Prison reform is not sentencing reform</w:t>
      </w:r>
    </w:p>
    <w:p w:rsidR="0065538F" w:rsidRDefault="0065538F" w:rsidP="0065538F">
      <w:r w:rsidRPr="00AA02EF">
        <w:rPr>
          <w:rStyle w:val="Style13ptBold"/>
        </w:rPr>
        <w:t>Holley 18</w:t>
      </w:r>
      <w:r>
        <w:t xml:space="preserve"> Cary Holley Intern at Brennan Center For Justice The difference between two popular types of </w:t>
      </w:r>
      <w:proofErr w:type="spellStart"/>
      <w:r>
        <w:t>bills.October</w:t>
      </w:r>
      <w:proofErr w:type="spellEnd"/>
      <w:r>
        <w:t xml:space="preserve"> 5, 2018</w:t>
      </w:r>
      <w:proofErr w:type="gramStart"/>
      <w:r>
        <w:t>,  https</w:t>
      </w:r>
      <w:proofErr w:type="gramEnd"/>
      <w:r>
        <w:t>://www.brennancenter.org/our-work/analysis-opinion/whats-happening-congress-criminal-justice-reform</w:t>
      </w:r>
    </w:p>
    <w:p w:rsidR="0065538F" w:rsidRPr="00AA02EF" w:rsidRDefault="0065538F" w:rsidP="0065538F">
      <w:pPr>
        <w:rPr>
          <w:sz w:val="16"/>
        </w:rPr>
      </w:pPr>
      <w:r w:rsidRPr="00AA02EF">
        <w:rPr>
          <w:sz w:val="16"/>
        </w:rPr>
        <w:t xml:space="preserve">These two distinct problems call for </w:t>
      </w:r>
      <w:r w:rsidRPr="00AA02EF">
        <w:rPr>
          <w:rStyle w:val="StyleUnderline"/>
          <w:highlight w:val="yellow"/>
        </w:rPr>
        <w:t>two different solutions</w:t>
      </w:r>
      <w:r w:rsidRPr="00AA02EF">
        <w:rPr>
          <w:sz w:val="16"/>
        </w:rPr>
        <w:t xml:space="preserve">. Advocates now use </w:t>
      </w:r>
      <w:r w:rsidRPr="00AA02EF">
        <w:rPr>
          <w:rStyle w:val="StyleUnderline"/>
          <w:highlight w:val="yellow"/>
        </w:rPr>
        <w:t>the term “prison reform</w:t>
      </w:r>
      <w:r w:rsidRPr="00AA02EF">
        <w:rPr>
          <w:sz w:val="16"/>
        </w:rPr>
        <w:t xml:space="preserve">” to </w:t>
      </w:r>
      <w:r w:rsidRPr="00AA02EF">
        <w:rPr>
          <w:rStyle w:val="StyleUnderline"/>
          <w:highlight w:val="yellow"/>
        </w:rPr>
        <w:t xml:space="preserve">talk about bills that improve conditions in prison and the term “sentencing reform” </w:t>
      </w:r>
      <w:r w:rsidRPr="00AA02EF">
        <w:rPr>
          <w:rStyle w:val="StyleUnderline"/>
        </w:rPr>
        <w:t xml:space="preserve">to talk </w:t>
      </w:r>
      <w:r w:rsidRPr="00AA02EF">
        <w:rPr>
          <w:rStyle w:val="StyleUnderline"/>
          <w:highlight w:val="yellow"/>
        </w:rPr>
        <w:t>about bills that reduce the number of people in prison.</w:t>
      </w:r>
      <w:r>
        <w:rPr>
          <w:rStyle w:val="StyleUnderline"/>
        </w:rPr>
        <w:t xml:space="preserve"> </w:t>
      </w:r>
      <w:r w:rsidRPr="00AA02EF">
        <w:rPr>
          <w:sz w:val="16"/>
        </w:rPr>
        <w:t xml:space="preserve"> Bills that fall into each category are currently making their way through Congress. Here’s what you need to know about prison reform and sentencing reform, and how they each contribute to the overall mission of reforming our criminal justice system: Prison Reform </w:t>
      </w:r>
      <w:r w:rsidRPr="00AA02EF">
        <w:rPr>
          <w:rStyle w:val="StyleUnderline"/>
          <w:highlight w:val="yellow"/>
        </w:rPr>
        <w:t>Prison reform aims to improve the conditions of confinement for prisoners</w:t>
      </w:r>
      <w:r w:rsidRPr="00AA02EF">
        <w:rPr>
          <w:sz w:val="16"/>
        </w:rPr>
        <w:t xml:space="preserve">. Sometimes </w:t>
      </w:r>
      <w:r w:rsidRPr="00AA02EF">
        <w:rPr>
          <w:rStyle w:val="StyleUnderline"/>
          <w:highlight w:val="yellow"/>
        </w:rPr>
        <w:t>referred to as “back-end” reform,</w:t>
      </w:r>
      <w:r w:rsidRPr="00AA02EF">
        <w:rPr>
          <w:sz w:val="16"/>
        </w:rPr>
        <w:t xml:space="preserve"> prison reform policies make imprisonment more humane, rather than reduce the number of people entering prison in the first place and the time they spend there. Considering the lack of access to proper healthcare (especially for women), harrowing living conditions, and commonplace abuse of inmates in prison, change is clearly necessary.  Congress is currently considering a bill that would mitigate some of these problems. The FIRST STEP Act prohibits the use of restraints on pregnant women, ensures free access to feminine hygiene products, requires that prisoners are placed no more than 500 driving miles away from their primary residence, and more. The act also aims to reduce recidivism — or someone’s likelihood of committing another crime after release — by letting prisoners end their sentences in home confinement or halfway houses, helping ease the transition. Additionally, the bill would allow prisoners to accrue up to 54 days a year of “good time” credits — that is, time off the end of their sentence — compared to the current 47-day limit. Sentencing Reform </w:t>
      </w:r>
      <w:r w:rsidRPr="00AA02EF">
        <w:rPr>
          <w:rStyle w:val="StyleUnderline"/>
          <w:highlight w:val="yellow"/>
        </w:rPr>
        <w:t>Sentencing reform prioritizes changing the laws and guidelines that made prison sentences so long in the first place</w:t>
      </w:r>
      <w:r w:rsidRPr="00AA02EF">
        <w:rPr>
          <w:sz w:val="16"/>
        </w:rPr>
        <w:t xml:space="preserve">. Mandatory minimum laws set fixed minimum sentences for certain crimes, leaving judges with no choice but to impose a harsh penalty they may not believe in. On the other hand, sentencing guidelines help judges use what little discretion they have left. These guidelines are not compulsory, but judges tend to closely adhere to them.  These laws and guidelines helped create mass incarceration, and more and more prosecutors, judges and lawmakers are recognizing that they need to be fixed to end it.  Senators Charles Grassley (R-Iowa) and Richard Durbin (D-Ill.) have one plan to achieve that goal. In 2015 and again in 2017, they introduced a bipartisan and popular bill called the Sentencing Reform and Corrections Act (SRCA). This bill significantly reduces mandatory minimum sentences for several drug-related crimes and ensures that people who went to prison before 2010 can still benefit from the Fair Sentencing Act of 2010, which dramatically revised some drug sentences in an effort to reduce the racial disparities caused by crack cocaine sentencing laws.  SRCA would make a real dent in the prison population: Around 2,500 people entering prison each year would receive a sentence reduction of between 22 and 50 percent, and more than 6,000 currently incarcerated drug offenders would be immediately eligible for a sentence reduction of nearly 30 percent. It also includes prison reform provisions such as increasing recidivism reduction programming and activities, and significantly limiting the use of juvenile solitary confinement. </w:t>
      </w:r>
    </w:p>
    <w:p w:rsidR="0065538F" w:rsidRDefault="0065538F" w:rsidP="0065538F"/>
    <w:p w:rsidR="0065538F" w:rsidRPr="0065538F" w:rsidRDefault="0065538F" w:rsidP="0065538F"/>
    <w:p w:rsidR="00AE7673" w:rsidRDefault="00AE7673" w:rsidP="00A82BFF"/>
    <w:p w:rsidR="0065538F" w:rsidRDefault="00A82BFF" w:rsidP="00EE5E96">
      <w:pPr>
        <w:pStyle w:val="Heading2"/>
      </w:pPr>
      <w:r>
        <w:t>“</w:t>
      </w:r>
      <w:proofErr w:type="spellStart"/>
      <w:r>
        <w:t>Ing</w:t>
      </w:r>
      <w:proofErr w:type="spellEnd"/>
      <w:r>
        <w:t>” suffix</w:t>
      </w:r>
    </w:p>
    <w:p w:rsidR="0065538F" w:rsidRPr="00DD26D0" w:rsidRDefault="0065538F" w:rsidP="0065538F">
      <w:pPr>
        <w:pStyle w:val="Heading4"/>
      </w:pPr>
      <w:r>
        <w:t>The suffix “</w:t>
      </w:r>
      <w:proofErr w:type="spellStart"/>
      <w:r>
        <w:t>ing</w:t>
      </w:r>
      <w:proofErr w:type="spellEnd"/>
      <w:r>
        <w:t>” means present and future—not past</w:t>
      </w:r>
    </w:p>
    <w:p w:rsidR="0065538F" w:rsidRDefault="0065538F" w:rsidP="0065538F">
      <w:r w:rsidRPr="00DD26D0">
        <w:rPr>
          <w:rStyle w:val="Style13ptBold"/>
        </w:rPr>
        <w:t>CK-12 Foundation 20</w:t>
      </w:r>
      <w:r>
        <w:t xml:space="preserve"> Suffixes -</w:t>
      </w:r>
      <w:proofErr w:type="spellStart"/>
      <w:r>
        <w:t>ed</w:t>
      </w:r>
      <w:proofErr w:type="spellEnd"/>
      <w:r>
        <w:t xml:space="preserve"> and -</w:t>
      </w:r>
      <w:proofErr w:type="spellStart"/>
      <w:r>
        <w:t>ing</w:t>
      </w:r>
      <w:proofErr w:type="spellEnd"/>
      <w:r>
        <w:t xml:space="preserve"> with –</w:t>
      </w:r>
      <w:proofErr w:type="spellStart"/>
      <w:r>
        <w:t>ly</w:t>
      </w:r>
      <w:proofErr w:type="spellEnd"/>
      <w:proofErr w:type="gramStart"/>
      <w:r>
        <w:t>,  https</w:t>
      </w:r>
      <w:proofErr w:type="gramEnd"/>
      <w:r>
        <w:t>://www.ck12.org/c/spelling/the-suffixes-ed-and-ing-with-ly/lesson/Suffixes-ed-and-ing-with-ly/</w:t>
      </w:r>
    </w:p>
    <w:p w:rsidR="0065538F" w:rsidRPr="00DD26D0" w:rsidRDefault="0065538F" w:rsidP="0065538F">
      <w:r w:rsidRPr="00DD26D0">
        <w:rPr>
          <w:rStyle w:val="StyleUnderline"/>
          <w:highlight w:val="yellow"/>
        </w:rPr>
        <w:t>The suffix -</w:t>
      </w:r>
      <w:proofErr w:type="spellStart"/>
      <w:r w:rsidRPr="00DD26D0">
        <w:rPr>
          <w:rStyle w:val="StyleUnderline"/>
          <w:highlight w:val="yellow"/>
        </w:rPr>
        <w:t>ing</w:t>
      </w:r>
      <w:proofErr w:type="spellEnd"/>
      <w:r w:rsidRPr="00DD26D0">
        <w:rPr>
          <w:rStyle w:val="StyleUnderline"/>
          <w:highlight w:val="yellow"/>
        </w:rPr>
        <w:t xml:space="preserve"> adds to verbs the meanings “right now, in the present” and “action still going on,</w:t>
      </w:r>
      <w:r>
        <w:t xml:space="preserve"> action not yet completed.”</w:t>
      </w:r>
    </w:p>
    <w:p w:rsidR="00A82BFF" w:rsidRDefault="00A82BFF" w:rsidP="00A82BFF"/>
    <w:p w:rsidR="0065538F" w:rsidRDefault="0065538F" w:rsidP="0065538F">
      <w:pPr>
        <w:pStyle w:val="Heading2"/>
      </w:pPr>
      <w:proofErr w:type="spellStart"/>
      <w:r>
        <w:t>Unlimit</w:t>
      </w:r>
      <w:proofErr w:type="spellEnd"/>
    </w:p>
    <w:p w:rsidR="0065538F" w:rsidRDefault="0065538F" w:rsidP="0065538F"/>
    <w:p w:rsidR="0065538F" w:rsidRDefault="0065538F" w:rsidP="0065538F">
      <w:pPr>
        <w:pStyle w:val="Heading4"/>
      </w:pPr>
      <w:r>
        <w:t xml:space="preserve">Allowing the affirmative to decriminalize specific crimes </w:t>
      </w:r>
      <w:proofErr w:type="spellStart"/>
      <w:r>
        <w:t>unlimits</w:t>
      </w:r>
      <w:proofErr w:type="spellEnd"/>
      <w:r>
        <w:t>. There are thousands of federal crimes their interpretation would allow thousands of affirmatives.</w:t>
      </w:r>
    </w:p>
    <w:p w:rsidR="0065538F" w:rsidRDefault="0065538F" w:rsidP="0065538F">
      <w:r w:rsidRPr="00E86195">
        <w:rPr>
          <w:rStyle w:val="Style13ptBold"/>
        </w:rPr>
        <w:t>Lehrer 19</w:t>
      </w:r>
      <w:r>
        <w:t xml:space="preserve"> Eli Lehrer is the president and cofounder of the R Street </w:t>
      </w:r>
      <w:proofErr w:type="spellStart"/>
      <w:r>
        <w:t>Institute.America</w:t>
      </w:r>
      <w:proofErr w:type="spellEnd"/>
      <w:r>
        <w:t xml:space="preserve"> has too many criminal laws 12/09/19 </w:t>
      </w:r>
      <w:hyperlink r:id="rId37" w:history="1">
        <w:r w:rsidRPr="00980ECE">
          <w:rPr>
            <w:rStyle w:val="Hyperlink"/>
          </w:rPr>
          <w:t>https://thehill.com/opinion/criminal-justice/473659-america-has-too-many-criminal-laws</w:t>
        </w:r>
      </w:hyperlink>
    </w:p>
    <w:p w:rsidR="005446A0" w:rsidRPr="00EE5E96" w:rsidRDefault="0065538F" w:rsidP="00EE5E96">
      <w:pPr>
        <w:rPr>
          <w:sz w:val="16"/>
        </w:rPr>
      </w:pPr>
      <w:r w:rsidRPr="005E4D97">
        <w:rPr>
          <w:sz w:val="16"/>
        </w:rPr>
        <w:t xml:space="preserve">America has too many criminal offenses on the books. The most recent attempt at </w:t>
      </w:r>
      <w:r w:rsidRPr="005E4D97">
        <w:rPr>
          <w:rStyle w:val="StyleUnderline"/>
          <w:highlight w:val="yellow"/>
        </w:rPr>
        <w:t>an official estimate from the Justice Department, completed more than 35 years ago, found that the federal government had defined more than 3,000 crimes in statute, a number that may well have doubled since then. Thousands more acts are criminal under federal regulations. Criminal laws and regulations threaten prison sentences for offenses ranging from trafficking in snakehead fish to selling mattresses without warning tags</w:t>
      </w:r>
      <w:r w:rsidRPr="005E4D97">
        <w:rPr>
          <w:sz w:val="16"/>
        </w:rPr>
        <w:t>. Moreover, states and localities maintain so many criminal laws on the book that nobody even ventures a comprehensive count.</w:t>
      </w:r>
    </w:p>
    <w:p w:rsidR="005446A0" w:rsidRPr="00007039" w:rsidRDefault="005446A0" w:rsidP="005446A0">
      <w:pPr>
        <w:pStyle w:val="Heading4"/>
      </w:pPr>
      <w:r>
        <w:t xml:space="preserve">Allowing the </w:t>
      </w:r>
      <w:proofErr w:type="spellStart"/>
      <w:r>
        <w:t>aff</w:t>
      </w:r>
      <w:proofErr w:type="spellEnd"/>
      <w:r>
        <w:t xml:space="preserve"> to change individual federal crimes literally </w:t>
      </w:r>
      <w:proofErr w:type="spellStart"/>
      <w:r>
        <w:t>unlimits</w:t>
      </w:r>
      <w:proofErr w:type="spellEnd"/>
    </w:p>
    <w:p w:rsidR="005446A0" w:rsidRPr="00007039" w:rsidRDefault="005446A0" w:rsidP="005446A0">
      <w:r w:rsidRPr="00857DA7">
        <w:rPr>
          <w:rStyle w:val="Style13ptBold"/>
        </w:rPr>
        <w:t>Smith 17</w:t>
      </w:r>
      <w:r>
        <w:t xml:space="preserve"> - Professor of Law, University of Notre Dame (Stephen, “Reforming Criminal Justice,” </w:t>
      </w:r>
      <w:proofErr w:type="spellStart"/>
      <w:r>
        <w:t>ch</w:t>
      </w:r>
      <w:proofErr w:type="spellEnd"/>
      <w:r>
        <w:t xml:space="preserve"> 4)</w:t>
      </w:r>
    </w:p>
    <w:p w:rsidR="005446A0" w:rsidRDefault="005446A0" w:rsidP="005446A0">
      <w:r>
        <w:t xml:space="preserve">Those days, of course, are long gone. With Congress having cast off the shackles of federalism and self-restraint in recent generations, it comes as no surprise that </w:t>
      </w:r>
      <w:r w:rsidRPr="00001E39">
        <w:rPr>
          <w:rStyle w:val="StyleUnderline"/>
        </w:rPr>
        <w:t>the loose collection of statutes known as “</w:t>
      </w:r>
      <w:r w:rsidRPr="005446A0">
        <w:rPr>
          <w:rStyle w:val="StyleUnderline"/>
          <w:highlight w:val="yellow"/>
        </w:rPr>
        <w:t>federal criminal law” is</w:t>
      </w:r>
      <w:r w:rsidRPr="00001E39">
        <w:rPr>
          <w:rStyle w:val="StyleUnderline"/>
        </w:rPr>
        <w:t xml:space="preserve"> sprawling and </w:t>
      </w:r>
      <w:r w:rsidRPr="005446A0">
        <w:rPr>
          <w:rStyle w:val="StyleUnderline"/>
          <w:highlight w:val="yellow"/>
        </w:rPr>
        <w:t xml:space="preserve">virtually </w:t>
      </w:r>
      <w:r w:rsidRPr="005446A0">
        <w:rPr>
          <w:rStyle w:val="Emphasis"/>
          <w:highlight w:val="yellow"/>
        </w:rPr>
        <w:t>limitless</w:t>
      </w:r>
      <w:r>
        <w:t xml:space="preserve"> in its reach into the domain of state criminal law. </w:t>
      </w:r>
      <w:r w:rsidRPr="00001E39">
        <w:rPr>
          <w:rStyle w:val="StyleUnderline"/>
        </w:rPr>
        <w:t>It is</w:t>
      </w:r>
      <w:r>
        <w:t xml:space="preserve">, however, </w:t>
      </w:r>
      <w:r w:rsidRPr="00001E39">
        <w:rPr>
          <w:rStyle w:val="StyleUnderline"/>
        </w:rPr>
        <w:t>surprising just how large, sprawling, and inaccessible the resulting collection of statutes</w:t>
      </w:r>
      <w:r>
        <w:t xml:space="preserve"> (which, strictly speaking, is not properly referred to as a “code” at all</w:t>
      </w:r>
      <w:proofErr w:type="gramStart"/>
      <w:r>
        <w:t>)5</w:t>
      </w:r>
      <w:proofErr w:type="gramEnd"/>
      <w:r>
        <w:t xml:space="preserve"> </w:t>
      </w:r>
      <w:r w:rsidRPr="00001E39">
        <w:rPr>
          <w:rStyle w:val="StyleUnderline"/>
        </w:rPr>
        <w:t>has become after more than a century of statute-by-statute accumulation</w:t>
      </w:r>
      <w:r>
        <w:t xml:space="preserve">. </w:t>
      </w:r>
      <w:r w:rsidRPr="00001E39">
        <w:rPr>
          <w:rStyle w:val="StyleUnderline"/>
        </w:rPr>
        <w:t xml:space="preserve">It is surprising but true that </w:t>
      </w:r>
      <w:r w:rsidRPr="005446A0">
        <w:rPr>
          <w:rStyle w:val="StyleUnderline"/>
          <w:highlight w:val="yellow"/>
        </w:rPr>
        <w:t>no one</w:t>
      </w:r>
      <w:r w:rsidRPr="005446A0">
        <w:rPr>
          <w:highlight w:val="yellow"/>
        </w:rPr>
        <w:t>—</w:t>
      </w:r>
      <w:r w:rsidRPr="005446A0">
        <w:rPr>
          <w:rStyle w:val="StyleUnderline"/>
          <w:highlight w:val="yellow"/>
        </w:rPr>
        <w:t>not the Department of Justice, scholars</w:t>
      </w:r>
      <w:r w:rsidRPr="00001E39">
        <w:rPr>
          <w:rStyle w:val="StyleUnderline"/>
        </w:rPr>
        <w:t xml:space="preserve"> in the field, </w:t>
      </w:r>
      <w:r w:rsidRPr="005446A0">
        <w:rPr>
          <w:rStyle w:val="StyleUnderline"/>
          <w:highlight w:val="yellow"/>
        </w:rPr>
        <w:t>nor blue-ribbon task forces that spent years studying the subject</w:t>
      </w:r>
      <w:r w:rsidRPr="005446A0">
        <w:rPr>
          <w:highlight w:val="yellow"/>
        </w:rPr>
        <w:t xml:space="preserve">— </w:t>
      </w:r>
      <w:r w:rsidRPr="005446A0">
        <w:rPr>
          <w:rStyle w:val="StyleUnderline"/>
          <w:highlight w:val="yellow"/>
        </w:rPr>
        <w:t>has even a rough idea of how many federal criminal laws there are</w:t>
      </w:r>
      <w:r>
        <w:t xml:space="preserve">. </w:t>
      </w:r>
      <w:r w:rsidRPr="00001E39">
        <w:rPr>
          <w:rStyle w:val="StyleUnderline"/>
        </w:rPr>
        <w:t xml:space="preserve">The American Bar Association’s Task Force on Federalization, for instance, abandoned its own years-long counting effort as futile given how “large … </w:t>
      </w:r>
      <w:r w:rsidRPr="005446A0">
        <w:rPr>
          <w:rStyle w:val="Emphasis"/>
        </w:rPr>
        <w:t xml:space="preserve">the present body of </w:t>
      </w:r>
      <w:r w:rsidRPr="005446A0">
        <w:rPr>
          <w:rStyle w:val="Emphasis"/>
          <w:highlight w:val="yellow"/>
        </w:rPr>
        <w:t>federal criminal law [is</w:t>
      </w:r>
      <w:r w:rsidRPr="00001E39">
        <w:rPr>
          <w:rStyle w:val="StyleUnderline"/>
        </w:rPr>
        <w:t>]</w:t>
      </w:r>
      <w:r>
        <w:t xml:space="preserve">.”6 Even defenders of the federalization of criminal law concede that </w:t>
      </w:r>
      <w:r w:rsidRPr="00001E39">
        <w:rPr>
          <w:rStyle w:val="StyleUnderline"/>
        </w:rPr>
        <w:t xml:space="preserve">its scope is </w:t>
      </w:r>
      <w:r w:rsidRPr="00264059">
        <w:t>“</w:t>
      </w:r>
      <w:r w:rsidRPr="005446A0">
        <w:rPr>
          <w:rStyle w:val="Emphasis"/>
          <w:highlight w:val="yellow"/>
        </w:rPr>
        <w:t>potentially infinite</w:t>
      </w:r>
      <w:r w:rsidRPr="005446A0">
        <w:rPr>
          <w:highlight w:val="yellow"/>
        </w:rPr>
        <w:t>”:</w:t>
      </w:r>
      <w:r w:rsidRPr="00264059">
        <w:t xml:space="preserve"> “</w:t>
      </w:r>
      <w:r>
        <w:t>Current federal criminal law is set forth in forty-eight titles of the United States Code, encompassing roughly 27,000 pages of printed text, as interpreted in judicial opinions found in over 2,800 volumes, containing approximately 4,000,000 printed pages.”7</w:t>
      </w:r>
    </w:p>
    <w:p w:rsidR="0065538F" w:rsidRDefault="0065538F" w:rsidP="0065538F"/>
    <w:p w:rsidR="0065538F" w:rsidRDefault="0065538F" w:rsidP="0065538F">
      <w:pPr>
        <w:pStyle w:val="Heading4"/>
      </w:pPr>
      <w:r>
        <w:t xml:space="preserve">Federal crimes are unlimited and unidentifiable—there are hundreds of thousands of potential </w:t>
      </w:r>
      <w:proofErr w:type="spellStart"/>
      <w:r>
        <w:t>affs</w:t>
      </w:r>
      <w:proofErr w:type="spellEnd"/>
    </w:p>
    <w:p w:rsidR="0065538F" w:rsidRDefault="0065538F" w:rsidP="0065538F">
      <w:r w:rsidRPr="00755CF4">
        <w:rPr>
          <w:rStyle w:val="Style13ptBold"/>
        </w:rPr>
        <w:t>O’Sullivan 6</w:t>
      </w:r>
      <w:r>
        <w:t xml:space="preserve"> Julie R. O'Sullivan Georgetown University Law Center 2006 The Federal Criminal "Code" is a Disgrace: Obstruction Statutes as Case Study, https://scholarship.law.georgetown.edu/cgi/viewcontent.cgi?article=1899&amp;context=facpub</w:t>
      </w:r>
    </w:p>
    <w:p w:rsidR="0065538F" w:rsidRDefault="0065538F" w:rsidP="0065538F">
      <w:pPr>
        <w:rPr>
          <w:sz w:val="16"/>
        </w:rPr>
      </w:pPr>
      <w:r w:rsidRPr="00755CF4">
        <w:rPr>
          <w:sz w:val="16"/>
        </w:rPr>
        <w:t xml:space="preserve">At the most basic level, the above-described attributes of an effective and fair code presuppose that we should be able to identify the penal laws of the United States. It is a shocking fact, however, that </w:t>
      </w:r>
      <w:r w:rsidRPr="00755CF4">
        <w:rPr>
          <w:rStyle w:val="StyleUnderline"/>
          <w:highlight w:val="yellow"/>
        </w:rPr>
        <w:t>the federal "code" contains a profusion of laws so complex and sprawling that the laws susceptible to criminal sanction cannot even be counted</w:t>
      </w:r>
      <w:r w:rsidRPr="00755CF4">
        <w:rPr>
          <w:sz w:val="16"/>
        </w:rPr>
        <w:t xml:space="preserve">.21 While a count of 3,000 federal crimes was made in about 1989,22 an ABA Task Force on the Federalization of Criminal Law chaired by former Attorney General Edwin Meese found this number outmoded by 1998.23 The Task Force tried to come up with a systematic count and finally was forced to give up the effort, concluding instead that "[s]o large is the present body of federal criminal law that there is no conveniently accessible, complete list of federal crimes.",24 This conclusion was endorsed in 2002 by the Heritage Foundation and, reportedly, the Congressional Research Service (a research arm of Congress).25 A Federalist Society study estimated in 2003 that there are more than 4,000 federal crimes, some 1,200 of which are jumbled together in Title 18, with the remainder scattered throughout the remaining 49 titles of the United States Code.27 This number, however, excludes federal regulations that may be criminally enforced. The ABA Task Force projected that, as of 1998, if regulations were included, the number of criminal offense would top 10,000. 2 1 Other </w:t>
      </w:r>
      <w:r w:rsidRPr="00755CF4">
        <w:rPr>
          <w:rStyle w:val="StyleUnderline"/>
        </w:rPr>
        <w:t>sources</w:t>
      </w:r>
      <w:r w:rsidRPr="00755CF4">
        <w:rPr>
          <w:sz w:val="16"/>
        </w:rPr>
        <w:t xml:space="preserve">, however, </w:t>
      </w:r>
      <w:r w:rsidRPr="00755CF4">
        <w:rPr>
          <w:rStyle w:val="StyleUnderline"/>
        </w:rPr>
        <w:t>estimated</w:t>
      </w:r>
      <w:r w:rsidRPr="00755CF4">
        <w:rPr>
          <w:sz w:val="16"/>
        </w:rPr>
        <w:t xml:space="preserve"> in the mid-1990's that </w:t>
      </w:r>
      <w:r w:rsidRPr="00755CF4">
        <w:rPr>
          <w:rStyle w:val="StyleUnderline"/>
          <w:highlight w:val="yellow"/>
        </w:rPr>
        <w:t>there were 300,000 such regulations on the books</w:t>
      </w:r>
      <w:r w:rsidRPr="00755CF4">
        <w:rPr>
          <w:sz w:val="16"/>
        </w:rPr>
        <w:t xml:space="preserve">.29 As may be obvious from the above, </w:t>
      </w:r>
      <w:r w:rsidRPr="00755CF4">
        <w:rPr>
          <w:rStyle w:val="StyleUnderline"/>
        </w:rPr>
        <w:t>the code is disorganized and incoherent</w:t>
      </w:r>
      <w:r w:rsidRPr="00755CF4">
        <w:rPr>
          <w:sz w:val="16"/>
        </w:rPr>
        <w:t>. And it is not a compulsion for tidiness that underlies the screaming need for organization of federal penal statutes. Rather, as Roscoe Pound said, "a satisfactory administration of criminal justice must rest ultimately on a satisfactory criminal law."30 Without a system of offenses, it is impossible to make a collection of random laws work together 31 to serve the purposes of punishment identified by Congress: just deserts, crime control, and (where incarceration is not an option) rehabilitation.32 One cannot weed out the archaic sections or winnow the code to that which truly deserves incarceration. Thus</w:t>
      </w:r>
      <w:r w:rsidRPr="00755CF4">
        <w:rPr>
          <w:rStyle w:val="StyleUnderline"/>
          <w:highlight w:val="yellow"/>
        </w:rPr>
        <w:t xml:space="preserve">, criminal prohibitions on knowing transportation of water hyacinths or use of aircraft to hunt wild burros remain </w:t>
      </w:r>
      <w:r w:rsidRPr="00755CF4">
        <w:rPr>
          <w:rStyle w:val="StyleUnderline"/>
        </w:rPr>
        <w:t xml:space="preserve">cheek by jowl </w:t>
      </w:r>
      <w:r w:rsidRPr="00755CF4">
        <w:rPr>
          <w:rStyle w:val="StyleUnderline"/>
          <w:highlight w:val="yellow"/>
        </w:rPr>
        <w:t>with federal laws punishing arson and assault</w:t>
      </w:r>
      <w:r w:rsidRPr="00755CF4">
        <w:rPr>
          <w:sz w:val="16"/>
        </w:rPr>
        <w:t>.33 One cannot identify internal inconsistencies, gaps, or redundancies in coverage-and we shall see just how important that can be in examining the obstruction statutes, infra. For present purposes it may be sufficient to note that so chaotic was the code that no one noticed that the assassination of a President was not a federal offense until President Kennedy was killed.34 Perhaps more shocking, Congress neglected to specify the purposes of criminal punishment now reflected in 18 U.S.C. § 3553 until 1984.</w:t>
      </w:r>
    </w:p>
    <w:p w:rsidR="0065538F" w:rsidRDefault="0065538F" w:rsidP="0065538F"/>
    <w:p w:rsidR="0065538F" w:rsidRDefault="0065538F" w:rsidP="0065538F">
      <w:pPr>
        <w:pStyle w:val="Heading4"/>
      </w:pPr>
      <w:r>
        <w:t xml:space="preserve">Single agency </w:t>
      </w:r>
      <w:proofErr w:type="spellStart"/>
      <w:r>
        <w:t>affs</w:t>
      </w:r>
      <w:proofErr w:type="spellEnd"/>
      <w:r>
        <w:t xml:space="preserve"> massively explode the topic there are 65 different federal policing agencies</w:t>
      </w:r>
    </w:p>
    <w:p w:rsidR="0065538F" w:rsidRDefault="0065538F" w:rsidP="0065538F">
      <w:r w:rsidRPr="00563B2F">
        <w:rPr>
          <w:rStyle w:val="Style13ptBold"/>
        </w:rPr>
        <w:t>IACP 18</w:t>
      </w:r>
      <w:r>
        <w:t xml:space="preserve"> International Association of Chiefs of Police, U.S. Federal Law Enforcement Agencies, https://www.discoverpolicing.org/explore-the-field/types-of-law-enforcement-agencies/#:~:text=U.S.%20Federal%20Law%20Enforcement%20Agencies,make%20arrests%20and%20carry%20firearms.</w:t>
      </w:r>
    </w:p>
    <w:p w:rsidR="0065538F" w:rsidRDefault="0065538F" w:rsidP="0065538F">
      <w:pPr>
        <w:rPr>
          <w:sz w:val="16"/>
        </w:rPr>
      </w:pPr>
      <w:r w:rsidRPr="00563B2F">
        <w:rPr>
          <w:rStyle w:val="StyleUnderline"/>
          <w:highlight w:val="yellow"/>
        </w:rPr>
        <w:t>There are 65 U.S. federal agencies and 27 offices of inspector general that employ full time personnel authorized to make arrests and carry firearms</w:t>
      </w:r>
      <w:r w:rsidRPr="00563B2F">
        <w:rPr>
          <w:sz w:val="16"/>
        </w:rPr>
        <w:t>. According to the Bureau of Justice Statistics, in 2008 the largest employers of federally employed officers were U.S. Customs and Border Protection, Federal Bureau of Prisons, the FBI, and U.S. Immigration and Customs Enforcement, each with over 15,000 full-time law enforcement. Federal officers’ duties include police response and patrol, criminal investigation and enforcement, inspections, security and protection, court operations, and corrections.</w:t>
      </w:r>
    </w:p>
    <w:p w:rsidR="0065538F" w:rsidRDefault="0065538F" w:rsidP="0065538F">
      <w:pPr>
        <w:rPr>
          <w:sz w:val="16"/>
        </w:rPr>
      </w:pPr>
    </w:p>
    <w:p w:rsidR="0065538F" w:rsidRDefault="0065538F" w:rsidP="0065538F">
      <w:pPr>
        <w:pStyle w:val="Heading4"/>
      </w:pPr>
      <w:r>
        <w:t>The areas are critical to limit the topic—Criminal Justice Reform includes 100s of potential controversies—Limits are critical</w:t>
      </w:r>
    </w:p>
    <w:p w:rsidR="0065538F" w:rsidRDefault="0065538F" w:rsidP="0065538F">
      <w:r w:rsidRPr="006A3D70">
        <w:rPr>
          <w:rStyle w:val="Style13ptBold"/>
        </w:rPr>
        <w:t>Payne 19</w:t>
      </w:r>
      <w:r>
        <w:t xml:space="preserve"> Brian K. Payne Professor in the Department of Sociology and Criminal Justice Old Dominion University, and the chair of the Hampton Roads Cybersecurity Education, Workforce, and Economic Development Alliance. He is a former editor of the American Journal of Criminal Justice, past president of the Academy of Criminal Justice Sciences and past president of the Southern Criminal Justice Association. Introduction to Criminal Justice, https://www.sagepub.com/sites/default/files/upm-binaries/90113_Chapter_1_Introduction_to_Criminal_Justice.pdf</w:t>
      </w:r>
    </w:p>
    <w:p w:rsidR="0065538F" w:rsidRPr="00C115CF" w:rsidRDefault="0065538F" w:rsidP="0065538F">
      <w:pPr>
        <w:rPr>
          <w:sz w:val="16"/>
        </w:rPr>
      </w:pPr>
      <w:r w:rsidRPr="00C115CF">
        <w:rPr>
          <w:sz w:val="16"/>
        </w:rPr>
        <w:t xml:space="preserve">Criminal justice as a Setting for Controversial Issues </w:t>
      </w:r>
      <w:r w:rsidRPr="0065538F">
        <w:rPr>
          <w:rStyle w:val="StyleUnderline"/>
          <w:highlight w:val="yellow"/>
        </w:rPr>
        <w:t>Criminal justice is at the center of many controversial issues</w:t>
      </w:r>
      <w:r w:rsidRPr="00C115CF">
        <w:rPr>
          <w:sz w:val="16"/>
        </w:rPr>
        <w:t xml:space="preserve">. These issues are frequently depicted on television shows and in the press. </w:t>
      </w:r>
      <w:r w:rsidRPr="0027636F">
        <w:rPr>
          <w:rStyle w:val="StyleUnderline"/>
        </w:rPr>
        <w:t xml:space="preserve">Issues </w:t>
      </w:r>
      <w:r w:rsidRPr="0065538F">
        <w:rPr>
          <w:rStyle w:val="StyleUnderline"/>
          <w:highlight w:val="yellow"/>
        </w:rPr>
        <w:t>such as the death penalty</w:t>
      </w:r>
      <w:r w:rsidRPr="0027636F">
        <w:rPr>
          <w:rStyle w:val="StyleUnderline"/>
        </w:rPr>
        <w:t>,</w:t>
      </w:r>
      <w:r w:rsidRPr="00C115CF">
        <w:rPr>
          <w:sz w:val="16"/>
        </w:rPr>
        <w:t xml:space="preserve"> appropriate handling of </w:t>
      </w:r>
      <w:r w:rsidRPr="0065538F">
        <w:rPr>
          <w:rStyle w:val="StyleUnderline"/>
          <w:highlight w:val="yellow"/>
        </w:rPr>
        <w:t>sex offenders</w:t>
      </w:r>
      <w:r w:rsidRPr="0027636F">
        <w:rPr>
          <w:rStyle w:val="StyleUnderline"/>
        </w:rPr>
        <w:t xml:space="preserve">, </w:t>
      </w:r>
      <w:r w:rsidRPr="0065538F">
        <w:rPr>
          <w:rStyle w:val="StyleUnderline"/>
          <w:highlight w:val="yellow"/>
        </w:rPr>
        <w:t>police corruption, racial profiling, drug legalization, prostitution</w:t>
      </w:r>
      <w:r w:rsidRPr="00C115CF">
        <w:rPr>
          <w:sz w:val="16"/>
        </w:rPr>
        <w:t xml:space="preserve">, whether </w:t>
      </w:r>
      <w:r w:rsidRPr="0065538F">
        <w:rPr>
          <w:rStyle w:val="StyleUnderline"/>
          <w:highlight w:val="yellow"/>
        </w:rPr>
        <w:t>abortion</w:t>
      </w:r>
      <w:r w:rsidRPr="00C115CF">
        <w:rPr>
          <w:sz w:val="16"/>
        </w:rPr>
        <w:t xml:space="preserve"> is tied to the crime rate, </w:t>
      </w:r>
      <w:r w:rsidRPr="0065538F">
        <w:rPr>
          <w:rStyle w:val="StyleUnderline"/>
          <w:highlight w:val="yellow"/>
        </w:rPr>
        <w:t xml:space="preserve">torture, prison overcrowding, and drunk driving are just a handful of the </w:t>
      </w:r>
      <w:r w:rsidRPr="0065538F">
        <w:rPr>
          <w:rStyle w:val="Emphasis"/>
          <w:highlight w:val="yellow"/>
        </w:rPr>
        <w:t>hundreds of types of controversial issues</w:t>
      </w:r>
      <w:r w:rsidRPr="0065538F">
        <w:rPr>
          <w:rStyle w:val="StyleUnderline"/>
          <w:highlight w:val="yellow"/>
        </w:rPr>
        <w:t xml:space="preserve"> that arise in discussions about criminal justice</w:t>
      </w:r>
      <w:r w:rsidRPr="00C115CF">
        <w:rPr>
          <w:sz w:val="16"/>
        </w:rPr>
        <w:t>. Let's review four controversial criminal justice cases to demonstrate the complexity of these issues.</w:t>
      </w:r>
    </w:p>
    <w:p w:rsidR="0065538F" w:rsidRDefault="0065538F" w:rsidP="0065538F"/>
    <w:p w:rsidR="0065538F" w:rsidRDefault="0065538F" w:rsidP="0065538F">
      <w:pPr>
        <w:pStyle w:val="Heading3"/>
      </w:pPr>
    </w:p>
    <w:p w:rsidR="00A82BFF" w:rsidRDefault="00A82BFF" w:rsidP="00A82BFF">
      <w:pPr>
        <w:pStyle w:val="Heading2"/>
      </w:pPr>
      <w:r>
        <w:t>USFG</w:t>
      </w:r>
    </w:p>
    <w:p w:rsidR="0036662B" w:rsidRDefault="0036662B" w:rsidP="0036662B">
      <w:pPr>
        <w:pStyle w:val="paragraph"/>
        <w:spacing w:before="0" w:beforeAutospacing="0" w:after="0" w:afterAutospacing="0"/>
        <w:textAlignment w:val="baseline"/>
        <w:rPr>
          <w:rFonts w:ascii="Segoe UI" w:hAnsi="Segoe UI" w:cs="Segoe UI"/>
          <w:b/>
          <w:bCs/>
          <w:sz w:val="18"/>
          <w:szCs w:val="18"/>
        </w:rPr>
      </w:pPr>
      <w:r>
        <w:rPr>
          <w:rStyle w:val="normaltextrun"/>
          <w:rFonts w:eastAsiaTheme="majorEastAsia"/>
          <w:b/>
          <w:bCs/>
        </w:rPr>
        <w:t>USFG means any of the three branches</w:t>
      </w:r>
      <w:r>
        <w:rPr>
          <w:rStyle w:val="eop"/>
          <w:b/>
          <w:bCs/>
        </w:rPr>
        <w:t> </w:t>
      </w:r>
    </w:p>
    <w:p w:rsidR="0036662B" w:rsidRDefault="0036662B" w:rsidP="0036662B">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b/>
          <w:bCs/>
        </w:rPr>
        <w:t>US Code 88</w:t>
      </w:r>
      <w:r>
        <w:rPr>
          <w:rStyle w:val="normaltextrun"/>
          <w:rFonts w:eastAsiaTheme="majorEastAsia"/>
          <w:sz w:val="16"/>
          <w:szCs w:val="16"/>
        </w:rPr>
        <w:t> - 42 U.S. Code § 4914.Development of low-noise-emission products, </w:t>
      </w:r>
      <w:hyperlink r:id="rId38" w:tgtFrame="_blank" w:history="1">
        <w:r>
          <w:rPr>
            <w:rStyle w:val="normaltextrun"/>
            <w:rFonts w:eastAsiaTheme="majorEastAsia"/>
            <w:sz w:val="16"/>
            <w:szCs w:val="16"/>
          </w:rPr>
          <w:t>https://www.law.cornell.edu/uscode/text/42/4914</w:t>
        </w:r>
      </w:hyperlink>
      <w:r>
        <w:rPr>
          <w:rStyle w:val="eop"/>
          <w:sz w:val="16"/>
          <w:szCs w:val="16"/>
        </w:rPr>
        <w:t> </w:t>
      </w:r>
    </w:p>
    <w:p w:rsidR="0036662B" w:rsidRDefault="0036662B" w:rsidP="0036662B">
      <w:pPr>
        <w:pStyle w:val="paragraph"/>
        <w:spacing w:before="0" w:beforeAutospacing="0" w:after="0" w:afterAutospacing="0"/>
        <w:textAlignment w:val="baseline"/>
        <w:rPr>
          <w:rFonts w:ascii="Segoe UI" w:hAnsi="Segoe UI" w:cs="Segoe UI"/>
          <w:sz w:val="18"/>
          <w:szCs w:val="18"/>
        </w:rPr>
      </w:pPr>
      <w:r>
        <w:rPr>
          <w:rStyle w:val="eop"/>
          <w:sz w:val="16"/>
          <w:szCs w:val="16"/>
        </w:rPr>
        <w:t> </w:t>
      </w:r>
    </w:p>
    <w:p w:rsidR="0036662B" w:rsidRDefault="0036662B" w:rsidP="0036662B">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16"/>
          <w:szCs w:val="16"/>
        </w:rPr>
        <w:t>(2)</w:t>
      </w:r>
      <w:r>
        <w:rPr>
          <w:rStyle w:val="normaltextrun"/>
          <w:rFonts w:eastAsiaTheme="majorEastAsia"/>
          <w:sz w:val="22"/>
          <w:szCs w:val="22"/>
          <w:u w:val="single"/>
        </w:rPr>
        <w:t>The term “Federal Government” includes the </w:t>
      </w:r>
      <w:r>
        <w:rPr>
          <w:rStyle w:val="normaltextrun"/>
          <w:rFonts w:eastAsiaTheme="majorEastAsia"/>
          <w:b/>
          <w:bCs/>
          <w:sz w:val="22"/>
          <w:szCs w:val="22"/>
          <w:u w:val="single"/>
        </w:rPr>
        <w:t>legislative, executive, and judicial branches</w:t>
      </w:r>
      <w:r>
        <w:rPr>
          <w:rStyle w:val="normaltextrun"/>
          <w:rFonts w:eastAsiaTheme="majorEastAsia"/>
          <w:sz w:val="22"/>
          <w:szCs w:val="22"/>
          <w:u w:val="single"/>
        </w:rPr>
        <w:t> of the Government</w:t>
      </w:r>
      <w:r>
        <w:rPr>
          <w:rStyle w:val="normaltextrun"/>
          <w:rFonts w:eastAsiaTheme="majorEastAsia"/>
          <w:sz w:val="16"/>
          <w:szCs w:val="16"/>
        </w:rPr>
        <w:t> of the United States, and the government of the District of Columbia.</w:t>
      </w:r>
      <w:r>
        <w:rPr>
          <w:rStyle w:val="eop"/>
          <w:sz w:val="16"/>
          <w:szCs w:val="16"/>
        </w:rPr>
        <w:t> </w:t>
      </w:r>
    </w:p>
    <w:p w:rsidR="00A82BFF" w:rsidRDefault="00A82BFF" w:rsidP="00A82BFF"/>
    <w:p w:rsidR="000A2C45" w:rsidRDefault="000A2C45" w:rsidP="00A82BFF"/>
    <w:p w:rsidR="000A2C45" w:rsidRDefault="000A2C45" w:rsidP="000A2C45">
      <w:pPr>
        <w:pStyle w:val="paragraph"/>
        <w:spacing w:before="0" w:beforeAutospacing="0" w:after="0" w:afterAutospacing="0"/>
        <w:textAlignment w:val="baseline"/>
        <w:rPr>
          <w:rFonts w:ascii="Segoe UI" w:hAnsi="Segoe UI" w:cs="Segoe UI"/>
          <w:b/>
          <w:bCs/>
          <w:sz w:val="18"/>
          <w:szCs w:val="18"/>
        </w:rPr>
      </w:pPr>
      <w:r>
        <w:rPr>
          <w:rStyle w:val="normaltextrun"/>
          <w:rFonts w:ascii="Georgia" w:eastAsiaTheme="majorEastAsia" w:hAnsi="Georgia" w:cs="Segoe UI"/>
          <w:b/>
          <w:bCs/>
          <w:szCs w:val="26"/>
        </w:rPr>
        <w:t>Federal Government could be any actor within the government</w:t>
      </w:r>
      <w:r>
        <w:rPr>
          <w:rStyle w:val="eop"/>
          <w:rFonts w:ascii="Georgia" w:hAnsi="Georgia" w:cs="Segoe UI"/>
          <w:b/>
          <w:bCs/>
          <w:sz w:val="26"/>
          <w:szCs w:val="26"/>
        </w:rPr>
        <w:t> </w:t>
      </w:r>
    </w:p>
    <w:p w:rsidR="000A2C45" w:rsidRDefault="000A2C45" w:rsidP="000A2C45">
      <w:pPr>
        <w:pStyle w:val="paragraph"/>
        <w:spacing w:before="0" w:beforeAutospacing="0" w:after="0" w:afterAutospacing="0"/>
        <w:textAlignment w:val="baseline"/>
        <w:rPr>
          <w:rFonts w:ascii="Segoe UI" w:hAnsi="Segoe UI" w:cs="Segoe UI"/>
          <w:sz w:val="18"/>
          <w:szCs w:val="18"/>
        </w:rPr>
      </w:pPr>
      <w:r>
        <w:rPr>
          <w:rStyle w:val="normaltextrun"/>
          <w:rFonts w:ascii="Georgia" w:eastAsiaTheme="majorEastAsia" w:hAnsi="Georgia" w:cs="Segoe UI"/>
          <w:b/>
          <w:bCs/>
          <w:szCs w:val="26"/>
        </w:rPr>
        <w:t>US Code 8</w:t>
      </w:r>
      <w:r>
        <w:rPr>
          <w:rStyle w:val="eop"/>
          <w:rFonts w:ascii="Georgia" w:hAnsi="Georgia" w:cs="Segoe UI"/>
          <w:sz w:val="26"/>
          <w:szCs w:val="26"/>
        </w:rPr>
        <w:t> </w:t>
      </w:r>
    </w:p>
    <w:p w:rsidR="000A2C45" w:rsidRDefault="000A2C45" w:rsidP="000A2C45">
      <w:pPr>
        <w:pStyle w:val="paragraph"/>
        <w:spacing w:before="0" w:beforeAutospacing="0" w:after="0" w:afterAutospacing="0"/>
        <w:textAlignment w:val="baseline"/>
        <w:rPr>
          <w:rFonts w:ascii="Segoe UI" w:hAnsi="Segoe UI" w:cs="Segoe UI"/>
          <w:sz w:val="18"/>
          <w:szCs w:val="18"/>
        </w:rPr>
      </w:pPr>
      <w:r>
        <w:rPr>
          <w:rStyle w:val="normaltextrun"/>
          <w:rFonts w:ascii="Georgia" w:eastAsiaTheme="majorEastAsia" w:hAnsi="Georgia" w:cs="Segoe UI"/>
          <w:color w:val="000000"/>
          <w:sz w:val="16"/>
          <w:szCs w:val="16"/>
        </w:rPr>
        <w:t>(47 USCS § 224, Lexis)</w:t>
      </w:r>
      <w:r>
        <w:rPr>
          <w:rStyle w:val="eop"/>
          <w:rFonts w:ascii="Georgia" w:hAnsi="Georgia" w:cs="Segoe UI"/>
          <w:sz w:val="16"/>
          <w:szCs w:val="16"/>
        </w:rPr>
        <w:t> </w:t>
      </w:r>
    </w:p>
    <w:p w:rsidR="000A2C45" w:rsidRDefault="000A2C45" w:rsidP="000A2C45">
      <w:pPr>
        <w:pStyle w:val="paragraph"/>
        <w:spacing w:before="0" w:beforeAutospacing="0" w:after="0" w:afterAutospacing="0"/>
        <w:ind w:left="285" w:right="285"/>
        <w:textAlignment w:val="baseline"/>
        <w:rPr>
          <w:rFonts w:ascii="Segoe UI" w:hAnsi="Segoe UI" w:cs="Segoe UI"/>
          <w:sz w:val="18"/>
          <w:szCs w:val="18"/>
        </w:rPr>
      </w:pPr>
      <w:r>
        <w:rPr>
          <w:rStyle w:val="normaltextrun"/>
          <w:rFonts w:eastAsiaTheme="majorEastAsia"/>
          <w:sz w:val="16"/>
          <w:szCs w:val="16"/>
        </w:rPr>
        <w:t>(a) </w:t>
      </w:r>
      <w:r>
        <w:rPr>
          <w:rStyle w:val="normaltextrun"/>
          <w:rFonts w:ascii="Georgia" w:eastAsiaTheme="majorEastAsia" w:hAnsi="Georgia" w:cs="Segoe UI"/>
          <w:b/>
          <w:bCs/>
          <w:sz w:val="22"/>
          <w:szCs w:val="22"/>
          <w:u w:val="single"/>
        </w:rPr>
        <w:t>Definitions</w:t>
      </w:r>
      <w:r>
        <w:rPr>
          <w:rStyle w:val="normaltextrun"/>
          <w:rFonts w:eastAsiaTheme="majorEastAsia"/>
          <w:sz w:val="16"/>
          <w:szCs w:val="16"/>
        </w:rPr>
        <w:t>. As used in this section:</w:t>
      </w:r>
      <w:r>
        <w:rPr>
          <w:rStyle w:val="eop"/>
          <w:sz w:val="16"/>
          <w:szCs w:val="16"/>
        </w:rPr>
        <w:t> </w:t>
      </w:r>
    </w:p>
    <w:p w:rsidR="000A2C45" w:rsidRDefault="000A2C45" w:rsidP="000A2C45">
      <w:pPr>
        <w:pStyle w:val="paragraph"/>
        <w:spacing w:before="0" w:beforeAutospacing="0" w:after="0" w:afterAutospacing="0"/>
        <w:ind w:left="285" w:right="285"/>
        <w:textAlignment w:val="baseline"/>
        <w:rPr>
          <w:rFonts w:ascii="Segoe UI" w:hAnsi="Segoe UI" w:cs="Segoe UI"/>
          <w:sz w:val="18"/>
          <w:szCs w:val="18"/>
        </w:rPr>
      </w:pPr>
      <w:r>
        <w:rPr>
          <w:rStyle w:val="normaltextrun"/>
          <w:rFonts w:eastAsiaTheme="majorEastAsia"/>
          <w:sz w:val="16"/>
          <w:szCs w:val="16"/>
        </w:rPr>
        <w:t>   (1) The term "utility" means any person who is a local exchange carrier or an electric, gas, water, steam, or other public utility, and who owns or controls poles, ducts, conduits, or rights-of-way used, in whole or in part, for any wire communications. Such term does not include any railroad, any person who is cooperatively organized, or any person owned by the Federal Government or any State.</w:t>
      </w:r>
      <w:r>
        <w:rPr>
          <w:rStyle w:val="eop"/>
          <w:sz w:val="16"/>
          <w:szCs w:val="16"/>
        </w:rPr>
        <w:t> </w:t>
      </w:r>
    </w:p>
    <w:p w:rsidR="000A2C45" w:rsidRDefault="000A2C45" w:rsidP="000A2C45">
      <w:pPr>
        <w:pStyle w:val="paragraph"/>
        <w:spacing w:before="0" w:beforeAutospacing="0" w:after="0" w:afterAutospacing="0"/>
        <w:ind w:left="285" w:right="285"/>
        <w:textAlignment w:val="baseline"/>
        <w:rPr>
          <w:rFonts w:ascii="Segoe UI" w:hAnsi="Segoe UI" w:cs="Segoe UI"/>
          <w:sz w:val="18"/>
          <w:szCs w:val="18"/>
        </w:rPr>
      </w:pPr>
      <w:r>
        <w:rPr>
          <w:rStyle w:val="normaltextrun"/>
          <w:rFonts w:eastAsiaTheme="majorEastAsia"/>
          <w:sz w:val="16"/>
          <w:szCs w:val="16"/>
        </w:rPr>
        <w:t>   (2) </w:t>
      </w:r>
      <w:r>
        <w:rPr>
          <w:rStyle w:val="normaltextrun"/>
          <w:rFonts w:eastAsiaTheme="majorEastAsia"/>
          <w:sz w:val="22"/>
          <w:szCs w:val="22"/>
          <w:u w:val="single"/>
        </w:rPr>
        <w:t>The term "Federal Government" means the Government of the United States or any agency or instrumentality thereof.</w:t>
      </w:r>
      <w:r>
        <w:rPr>
          <w:rStyle w:val="eop"/>
          <w:szCs w:val="22"/>
        </w:rPr>
        <w:t> </w:t>
      </w:r>
    </w:p>
    <w:p w:rsidR="000A2C45" w:rsidRDefault="000A2C45" w:rsidP="00A82BFF"/>
    <w:p w:rsidR="00DD0CA4" w:rsidRDefault="00DD0CA4" w:rsidP="00DD0CA4">
      <w:pPr>
        <w:pStyle w:val="Heading4"/>
      </w:pPr>
      <w:r>
        <w:t>USFG is the government in Washington DC</w:t>
      </w:r>
    </w:p>
    <w:p w:rsidR="00DD0CA4" w:rsidRDefault="00DD0CA4" w:rsidP="00DD0CA4">
      <w:pPr>
        <w:pStyle w:val="paragraph"/>
        <w:spacing w:before="0" w:beforeAutospacing="0" w:after="0" w:afterAutospacing="0"/>
        <w:textAlignment w:val="baseline"/>
        <w:rPr>
          <w:rFonts w:ascii="Segoe UI" w:hAnsi="Segoe UI" w:cs="Segoe UI"/>
          <w:sz w:val="18"/>
          <w:szCs w:val="18"/>
        </w:rPr>
      </w:pPr>
      <w:r>
        <w:rPr>
          <w:rStyle w:val="normaltextrun"/>
          <w:rFonts w:ascii="Georgia" w:eastAsiaTheme="majorEastAsia" w:hAnsi="Georgia" w:cs="Segoe UI"/>
          <w:b/>
          <w:bCs/>
          <w:sz w:val="22"/>
          <w:szCs w:val="22"/>
        </w:rPr>
        <w:t>Federal government is in Washington, D.C.</w:t>
      </w:r>
      <w:r>
        <w:rPr>
          <w:rStyle w:val="eop"/>
          <w:rFonts w:ascii="Georgia" w:hAnsi="Georgia" w:cs="Segoe UI"/>
          <w:szCs w:val="22"/>
        </w:rPr>
        <w:t> </w:t>
      </w:r>
    </w:p>
    <w:p w:rsidR="00DD0CA4" w:rsidRDefault="00DD0CA4" w:rsidP="00DD0CA4">
      <w:pPr>
        <w:pStyle w:val="paragraph"/>
        <w:spacing w:before="0" w:beforeAutospacing="0" w:after="0" w:afterAutospacing="0"/>
        <w:textAlignment w:val="baseline"/>
        <w:rPr>
          <w:rFonts w:ascii="Segoe UI" w:hAnsi="Segoe UI" w:cs="Segoe UI"/>
          <w:sz w:val="18"/>
          <w:szCs w:val="18"/>
        </w:rPr>
      </w:pPr>
      <w:r>
        <w:rPr>
          <w:rStyle w:val="normaltextrun"/>
          <w:rFonts w:ascii="Georgia" w:eastAsiaTheme="majorEastAsia" w:hAnsi="Georgia" w:cs="Segoe UI"/>
          <w:b/>
          <w:bCs/>
          <w:color w:val="0D0D0D"/>
          <w:sz w:val="22"/>
          <w:szCs w:val="22"/>
        </w:rPr>
        <w:t>WEST'S LEGAL THESAURUS/DICTIONARY, 1985</w:t>
      </w:r>
      <w:r>
        <w:rPr>
          <w:rStyle w:val="normaltextrun"/>
          <w:rFonts w:ascii="Georgia" w:eastAsiaTheme="majorEastAsia" w:hAnsi="Georgia" w:cs="Segoe UI"/>
          <w:color w:val="0D0D0D"/>
          <w:sz w:val="22"/>
          <w:szCs w:val="22"/>
        </w:rPr>
        <w:t>, p. 744. </w:t>
      </w:r>
      <w:r>
        <w:rPr>
          <w:rStyle w:val="eop"/>
          <w:rFonts w:ascii="Georgia" w:hAnsi="Georgia" w:cs="Segoe UI"/>
          <w:szCs w:val="22"/>
        </w:rPr>
        <w:t> </w:t>
      </w:r>
    </w:p>
    <w:p w:rsidR="00DD0CA4" w:rsidRDefault="00DD0CA4" w:rsidP="00DD0CA4">
      <w:pPr>
        <w:pStyle w:val="paragraph"/>
        <w:spacing w:before="0" w:beforeAutospacing="0" w:after="0" w:afterAutospacing="0"/>
        <w:textAlignment w:val="baseline"/>
        <w:rPr>
          <w:rFonts w:ascii="Segoe UI" w:hAnsi="Segoe UI" w:cs="Segoe UI"/>
          <w:sz w:val="18"/>
          <w:szCs w:val="18"/>
        </w:rPr>
      </w:pPr>
      <w:r>
        <w:rPr>
          <w:rStyle w:val="normaltextrun"/>
          <w:rFonts w:ascii="Georgia" w:eastAsiaTheme="majorEastAsia" w:hAnsi="Georgia" w:cs="Segoe UI"/>
          <w:color w:val="0D0D0D"/>
          <w:sz w:val="22"/>
          <w:szCs w:val="22"/>
        </w:rPr>
        <w:t>United States: Usually means the federal government centered in Washington, D.C.</w:t>
      </w:r>
      <w:r>
        <w:rPr>
          <w:rStyle w:val="eop"/>
          <w:rFonts w:ascii="Georgia" w:hAnsi="Georgia" w:cs="Segoe UI"/>
          <w:szCs w:val="22"/>
        </w:rPr>
        <w:t> </w:t>
      </w:r>
    </w:p>
    <w:p w:rsidR="00DD0CA4" w:rsidRDefault="00DD0CA4" w:rsidP="00DD0CA4"/>
    <w:p w:rsidR="00DD0CA4" w:rsidRDefault="00DD0CA4" w:rsidP="00DD0CA4"/>
    <w:p w:rsidR="00DD0CA4" w:rsidRDefault="00DD0CA4" w:rsidP="00DD0CA4">
      <w:pPr>
        <w:pStyle w:val="Heading4"/>
      </w:pPr>
      <w:r>
        <w:t>The Central government</w:t>
      </w:r>
    </w:p>
    <w:p w:rsidR="00DD0CA4" w:rsidRDefault="00DD0CA4" w:rsidP="00DD0CA4">
      <w:pPr>
        <w:pStyle w:val="paragraph"/>
        <w:spacing w:before="0" w:beforeAutospacing="0" w:after="0" w:afterAutospacing="0"/>
        <w:textAlignment w:val="baseline"/>
        <w:rPr>
          <w:rFonts w:ascii="Segoe UI" w:hAnsi="Segoe UI" w:cs="Segoe UI"/>
          <w:sz w:val="18"/>
          <w:szCs w:val="18"/>
        </w:rPr>
      </w:pPr>
      <w:r>
        <w:rPr>
          <w:rStyle w:val="normaltextrun"/>
          <w:rFonts w:ascii="Georgia" w:eastAsiaTheme="majorEastAsia" w:hAnsi="Georgia" w:cs="Segoe UI"/>
          <w:b/>
          <w:bCs/>
          <w:color w:val="0D0D0D"/>
          <w:u w:val="single"/>
        </w:rPr>
        <w:t>Black’s Law</w:t>
      </w:r>
      <w:r>
        <w:rPr>
          <w:rStyle w:val="normaltextrun"/>
          <w:rFonts w:ascii="Georgia" w:eastAsiaTheme="majorEastAsia" w:hAnsi="Georgia" w:cs="Segoe UI"/>
          <w:color w:val="0D0D0D"/>
        </w:rPr>
        <w:t> Dictionary, 8</w:t>
      </w:r>
      <w:r>
        <w:rPr>
          <w:rStyle w:val="normaltextrun"/>
          <w:rFonts w:ascii="Georgia" w:eastAsiaTheme="majorEastAsia" w:hAnsi="Georgia" w:cs="Segoe UI"/>
          <w:color w:val="0D0D0D"/>
          <w:sz w:val="19"/>
          <w:szCs w:val="19"/>
          <w:vertAlign w:val="superscript"/>
        </w:rPr>
        <w:t>th</w:t>
      </w:r>
      <w:r>
        <w:rPr>
          <w:rStyle w:val="normaltextrun"/>
          <w:rFonts w:ascii="Georgia" w:eastAsiaTheme="majorEastAsia" w:hAnsi="Georgia" w:cs="Segoe UI"/>
          <w:color w:val="0D0D0D"/>
        </w:rPr>
        <w:t> Edition, June 1, 20</w:t>
      </w:r>
      <w:r>
        <w:rPr>
          <w:rStyle w:val="normaltextrun"/>
          <w:rFonts w:ascii="Georgia" w:eastAsiaTheme="majorEastAsia" w:hAnsi="Georgia" w:cs="Segoe UI"/>
          <w:b/>
          <w:bCs/>
          <w:color w:val="0D0D0D"/>
          <w:u w:val="single"/>
        </w:rPr>
        <w:t>04</w:t>
      </w:r>
      <w:r>
        <w:rPr>
          <w:rStyle w:val="normaltextrun"/>
          <w:rFonts w:ascii="Georgia" w:eastAsiaTheme="majorEastAsia" w:hAnsi="Georgia" w:cs="Segoe UI"/>
          <w:color w:val="0D0D0D"/>
        </w:rPr>
        <w:t>, pg.716.</w:t>
      </w:r>
      <w:r>
        <w:rPr>
          <w:rStyle w:val="eop"/>
          <w:rFonts w:ascii="Georgia" w:hAnsi="Georgia" w:cs="Segoe UI"/>
        </w:rPr>
        <w:t> </w:t>
      </w:r>
    </w:p>
    <w:p w:rsidR="00DD0CA4" w:rsidRDefault="00DD0CA4" w:rsidP="00DD0CA4">
      <w:pPr>
        <w:pStyle w:val="paragraph"/>
        <w:spacing w:before="0" w:beforeAutospacing="0" w:after="0" w:afterAutospacing="0"/>
        <w:textAlignment w:val="baseline"/>
        <w:rPr>
          <w:rFonts w:ascii="Segoe UI" w:hAnsi="Segoe UI" w:cs="Segoe UI"/>
          <w:sz w:val="18"/>
          <w:szCs w:val="18"/>
        </w:rPr>
      </w:pPr>
      <w:r>
        <w:rPr>
          <w:rStyle w:val="normaltextrun"/>
          <w:rFonts w:ascii="Georgia" w:eastAsiaTheme="majorEastAsia" w:hAnsi="Georgia" w:cs="Segoe UI"/>
          <w:i/>
          <w:iCs/>
          <w:color w:val="0D0D0D"/>
          <w:u w:val="single"/>
        </w:rPr>
        <w:t>Federal government. </w:t>
      </w:r>
      <w:r>
        <w:rPr>
          <w:rStyle w:val="normaltextrun"/>
          <w:rFonts w:ascii="Georgia" w:eastAsiaTheme="majorEastAsia" w:hAnsi="Georgia" w:cs="Segoe UI"/>
          <w:color w:val="0D0D0D"/>
          <w:u w:val="single"/>
        </w:rPr>
        <w:t>1.</w:t>
      </w:r>
      <w:r>
        <w:rPr>
          <w:rStyle w:val="normaltextrun"/>
          <w:rFonts w:ascii="Georgia" w:eastAsiaTheme="majorEastAsia" w:hAnsi="Georgia" w:cs="Segoe UI"/>
          <w:b/>
          <w:bCs/>
          <w:color w:val="0D0D0D"/>
          <w:u w:val="single"/>
        </w:rPr>
        <w:t> </w:t>
      </w:r>
      <w:r>
        <w:rPr>
          <w:rStyle w:val="normaltextrun"/>
          <w:rFonts w:ascii="Georgia" w:eastAsiaTheme="majorEastAsia" w:hAnsi="Georgia" w:cs="Segoe UI"/>
          <w:color w:val="0D0D0D"/>
          <w:u w:val="single"/>
        </w:rPr>
        <w:t>A national government that exercises some degree of control over smaller political units that have surrendered some degree of power in exchange for the right to participate in national politics matters – Also termed (in federal states) central government. 2.</w:t>
      </w:r>
      <w:r>
        <w:rPr>
          <w:rStyle w:val="normaltextrun"/>
          <w:rFonts w:ascii="Georgia" w:eastAsiaTheme="majorEastAsia" w:hAnsi="Georgia" w:cs="Segoe UI"/>
          <w:b/>
          <w:bCs/>
          <w:color w:val="0D0D0D"/>
          <w:u w:val="single"/>
        </w:rPr>
        <w:t> </w:t>
      </w:r>
      <w:r>
        <w:rPr>
          <w:rStyle w:val="normaltextrun"/>
          <w:rFonts w:ascii="Georgia" w:eastAsiaTheme="majorEastAsia" w:hAnsi="Georgia" w:cs="Segoe UI"/>
          <w:color w:val="0D0D0D"/>
          <w:u w:val="single"/>
        </w:rPr>
        <w:t> </w:t>
      </w:r>
      <w:proofErr w:type="gramStart"/>
      <w:r>
        <w:rPr>
          <w:rStyle w:val="normaltextrun"/>
          <w:rFonts w:ascii="Georgia" w:eastAsiaTheme="majorEastAsia" w:hAnsi="Georgia" w:cs="Segoe UI"/>
          <w:color w:val="0D0D0D"/>
          <w:u w:val="single"/>
        </w:rPr>
        <w:t>the</w:t>
      </w:r>
      <w:proofErr w:type="gramEnd"/>
      <w:r>
        <w:rPr>
          <w:rStyle w:val="normaltextrun"/>
          <w:rFonts w:ascii="Georgia" w:eastAsiaTheme="majorEastAsia" w:hAnsi="Georgia" w:cs="Segoe UI"/>
          <w:color w:val="0D0D0D"/>
          <w:u w:val="single"/>
        </w:rPr>
        <w:t xml:space="preserve"> U.S. government</w:t>
      </w:r>
      <w:r>
        <w:rPr>
          <w:rStyle w:val="normaltextrun"/>
          <w:rFonts w:ascii="Georgia" w:eastAsiaTheme="majorEastAsia" w:hAnsi="Georgia" w:cs="Segoe UI"/>
          <w:color w:val="0D0D0D"/>
        </w:rPr>
        <w:t> – Also termed national government. [Cases: United States -1 C.J.S. </w:t>
      </w:r>
      <w:r>
        <w:rPr>
          <w:rStyle w:val="normaltextrun"/>
          <w:rFonts w:ascii="Georgia" w:eastAsiaTheme="majorEastAsia" w:hAnsi="Georgia" w:cs="Segoe UI"/>
          <w:i/>
          <w:iCs/>
          <w:color w:val="0D0D0D"/>
        </w:rPr>
        <w:t>United States</w:t>
      </w:r>
      <w:r>
        <w:rPr>
          <w:rStyle w:val="normaltextrun"/>
          <w:rFonts w:ascii="Georgia" w:eastAsiaTheme="majorEastAsia" w:hAnsi="Georgia" w:cs="Segoe UI"/>
          <w:color w:val="0D0D0D"/>
        </w:rPr>
        <w:t> - - 2-3]</w:t>
      </w:r>
      <w:r>
        <w:rPr>
          <w:rStyle w:val="eop"/>
          <w:rFonts w:ascii="Georgia" w:hAnsi="Georgia" w:cs="Segoe UI"/>
        </w:rPr>
        <w:t> </w:t>
      </w:r>
    </w:p>
    <w:p w:rsidR="00DD0CA4" w:rsidRPr="00DD0CA4" w:rsidRDefault="00DD0CA4" w:rsidP="00DD0CA4"/>
    <w:p w:rsidR="00A82BFF" w:rsidRDefault="00A82BFF" w:rsidP="00A82BFF"/>
    <w:p w:rsidR="00A82BFF" w:rsidRDefault="00A82BFF" w:rsidP="00A82BFF">
      <w:pPr>
        <w:pStyle w:val="Heading2"/>
      </w:pPr>
      <w:r>
        <w:t>Should</w:t>
      </w:r>
    </w:p>
    <w:p w:rsidR="00A82BFF" w:rsidRDefault="00A82BFF" w:rsidP="00A82BFF"/>
    <w:p w:rsidR="0036662B" w:rsidRDefault="0036662B" w:rsidP="0036662B">
      <w:pPr>
        <w:pStyle w:val="paragraph"/>
        <w:spacing w:before="0" w:beforeAutospacing="0" w:after="0" w:afterAutospacing="0"/>
        <w:textAlignment w:val="baseline"/>
        <w:rPr>
          <w:rFonts w:ascii="Segoe UI" w:hAnsi="Segoe UI" w:cs="Segoe UI"/>
          <w:b/>
          <w:bCs/>
          <w:sz w:val="18"/>
          <w:szCs w:val="18"/>
        </w:rPr>
      </w:pPr>
      <w:r>
        <w:rPr>
          <w:rStyle w:val="normaltextrun"/>
          <w:rFonts w:eastAsiaTheme="majorEastAsia"/>
          <w:b/>
          <w:bCs/>
        </w:rPr>
        <w:t>Should requires </w:t>
      </w:r>
      <w:r>
        <w:rPr>
          <w:rStyle w:val="normaltextrun"/>
          <w:rFonts w:eastAsiaTheme="majorEastAsia"/>
          <w:b/>
          <w:bCs/>
          <w:u w:val="single"/>
        </w:rPr>
        <w:t>action</w:t>
      </w:r>
      <w:r>
        <w:rPr>
          <w:rStyle w:val="eop"/>
          <w:b/>
          <w:bCs/>
        </w:rPr>
        <w:t> </w:t>
      </w:r>
    </w:p>
    <w:p w:rsidR="0036662B" w:rsidRDefault="0036662B" w:rsidP="0036662B">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b/>
          <w:bCs/>
        </w:rPr>
        <w:t>AHD 2k</w:t>
      </w:r>
      <w:r>
        <w:rPr>
          <w:rStyle w:val="eop"/>
        </w:rPr>
        <w:t> </w:t>
      </w:r>
    </w:p>
    <w:p w:rsidR="0036662B" w:rsidRDefault="0036662B" w:rsidP="0036662B">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16"/>
          <w:szCs w:val="16"/>
        </w:rPr>
        <w:t>(American Heritage Dictionary 2000 (Dictionary.com))</w:t>
      </w:r>
      <w:r>
        <w:rPr>
          <w:rStyle w:val="eop"/>
          <w:sz w:val="16"/>
          <w:szCs w:val="16"/>
        </w:rPr>
        <w:t> </w:t>
      </w:r>
    </w:p>
    <w:p w:rsidR="0036662B" w:rsidRDefault="0036662B" w:rsidP="0036662B">
      <w:pPr>
        <w:pStyle w:val="paragraph"/>
        <w:spacing w:before="0" w:beforeAutospacing="0" w:after="0" w:afterAutospacing="0"/>
        <w:textAlignment w:val="baseline"/>
        <w:rPr>
          <w:rFonts w:ascii="Segoe UI" w:hAnsi="Segoe UI" w:cs="Segoe UI"/>
          <w:sz w:val="18"/>
          <w:szCs w:val="18"/>
        </w:rPr>
      </w:pPr>
      <w:proofErr w:type="gramStart"/>
      <w:r>
        <w:rPr>
          <w:rStyle w:val="normaltextrun"/>
          <w:rFonts w:eastAsiaTheme="majorEastAsia"/>
          <w:sz w:val="22"/>
          <w:szCs w:val="22"/>
          <w:u w:val="single"/>
          <w:shd w:val="clear" w:color="auto" w:fill="00FFFF"/>
        </w:rPr>
        <w:t>should</w:t>
      </w:r>
      <w:proofErr w:type="gramEnd"/>
      <w:r>
        <w:rPr>
          <w:rStyle w:val="normaltextrun"/>
          <w:rFonts w:eastAsiaTheme="majorEastAsia"/>
          <w:sz w:val="16"/>
          <w:szCs w:val="16"/>
        </w:rPr>
        <w:t>. </w:t>
      </w:r>
      <w:r>
        <w:rPr>
          <w:rStyle w:val="normaltextrun"/>
          <w:rFonts w:eastAsiaTheme="majorEastAsia"/>
          <w:sz w:val="22"/>
          <w:szCs w:val="22"/>
          <w:u w:val="single"/>
          <w:shd w:val="clear" w:color="auto" w:fill="00FFFF"/>
        </w:rPr>
        <w:t>The will </w:t>
      </w:r>
      <w:r>
        <w:rPr>
          <w:rStyle w:val="normaltextrun"/>
          <w:rFonts w:eastAsiaTheme="majorEastAsia"/>
          <w:sz w:val="16"/>
          <w:szCs w:val="16"/>
        </w:rPr>
        <w:t>to do something or</w:t>
      </w:r>
      <w:r>
        <w:rPr>
          <w:rStyle w:val="normaltextrun"/>
          <w:rFonts w:eastAsiaTheme="majorEastAsia"/>
          <w:sz w:val="22"/>
          <w:szCs w:val="22"/>
          <w:u w:val="single"/>
          <w:shd w:val="clear" w:color="auto" w:fill="00FFFF"/>
        </w:rPr>
        <w:t> have something take place</w:t>
      </w:r>
      <w:r>
        <w:rPr>
          <w:rStyle w:val="normaltextrun"/>
          <w:rFonts w:eastAsiaTheme="majorEastAsia"/>
          <w:sz w:val="16"/>
          <w:szCs w:val="16"/>
        </w:rPr>
        <w:t>: I shall go out if I feel like it.  </w:t>
      </w:r>
      <w:r>
        <w:rPr>
          <w:rStyle w:val="eop"/>
          <w:sz w:val="16"/>
          <w:szCs w:val="16"/>
        </w:rPr>
        <w:t> </w:t>
      </w:r>
    </w:p>
    <w:p w:rsidR="00A82BFF" w:rsidRDefault="00A82BFF" w:rsidP="00A82BFF"/>
    <w:p w:rsidR="00DD0CA4" w:rsidRDefault="00DD0CA4" w:rsidP="00DD0CA4">
      <w:pPr>
        <w:pStyle w:val="Heading4"/>
      </w:pPr>
      <w:r>
        <w:t>Should is future tense</w:t>
      </w:r>
    </w:p>
    <w:p w:rsidR="00DD0CA4" w:rsidRPr="00195C7A" w:rsidRDefault="00DD0CA4" w:rsidP="00DD0CA4">
      <w:pPr>
        <w:pStyle w:val="Heading4"/>
      </w:pPr>
      <w:r w:rsidRPr="00195C7A">
        <w:t>Should is future oriented – context is key</w:t>
      </w:r>
    </w:p>
    <w:p w:rsidR="00DD0CA4" w:rsidRPr="00195C7A" w:rsidRDefault="00DD0CA4" w:rsidP="00DD0CA4">
      <w:pPr>
        <w:rPr>
          <w:rFonts w:asciiTheme="minorHAnsi" w:hAnsiTheme="minorHAnsi"/>
        </w:rPr>
      </w:pPr>
      <w:r w:rsidRPr="00195C7A">
        <w:rPr>
          <w:rFonts w:asciiTheme="minorHAnsi" w:hAnsiTheme="minorHAnsi"/>
          <w:b/>
        </w:rPr>
        <w:t xml:space="preserve">Russell, 8 – </w:t>
      </w:r>
      <w:r w:rsidRPr="00195C7A">
        <w:rPr>
          <w:rFonts w:asciiTheme="minorHAnsi" w:hAnsiTheme="minorHAnsi"/>
        </w:rPr>
        <w:t>Appellate Judge for the State of Iowa (Douglas, IN THE MATTER OF THE ESTATE OF CLYDE L. GUTHRIE, Deceased, JAMES GUTHRIE, CLARA LUTZ, AND DORIS DAUBER, Plaintiffs-Appellees, vs. KAITLYN BUSCH, a minor, AND BROCK BUSCH, Defendants-Appellants. No. 8-093 / 07-1427 COURT OF APPEALS OF IOWA 2008 Iowa App. LEXIS 287 May 14, 2008, Filed, lexis)</w:t>
      </w:r>
    </w:p>
    <w:p w:rsidR="00DD0CA4" w:rsidRPr="00BD25D4" w:rsidRDefault="00DD0CA4" w:rsidP="00DD0CA4">
      <w:pPr>
        <w:rPr>
          <w:rFonts w:asciiTheme="minorHAnsi" w:hAnsiTheme="minorHAnsi"/>
          <w:sz w:val="16"/>
          <w:szCs w:val="20"/>
        </w:rPr>
      </w:pPr>
      <w:r w:rsidRPr="00BD25D4">
        <w:rPr>
          <w:rFonts w:asciiTheme="minorHAnsi" w:hAnsiTheme="minorHAnsi"/>
          <w:sz w:val="16"/>
          <w:szCs w:val="20"/>
        </w:rPr>
        <w:t>Clyde's will provides, "in the event any of my children should predecease me leaving issue who survive me, then the share of such predeceased child shall go in equal shares to his or her issue who survive me, per stirpes." We find no error in the district court's conclusion</w:t>
      </w:r>
      <w:r w:rsidR="00BD25D4" w:rsidRPr="00BD25D4">
        <w:rPr>
          <w:rFonts w:asciiTheme="minorHAnsi" w:hAnsiTheme="minorHAnsi"/>
          <w:sz w:val="16"/>
          <w:szCs w:val="20"/>
        </w:rPr>
        <w:t xml:space="preserve"> </w:t>
      </w:r>
      <w:r w:rsidRPr="00BD25D4">
        <w:rPr>
          <w:rFonts w:asciiTheme="minorHAnsi" w:hAnsiTheme="minorHAnsi"/>
          <w:sz w:val="16"/>
          <w:szCs w:val="20"/>
        </w:rPr>
        <w:t>[*6]</w:t>
      </w:r>
      <w:r w:rsidR="00BD25D4" w:rsidRPr="00BD25D4">
        <w:rPr>
          <w:rFonts w:asciiTheme="minorHAnsi" w:hAnsiTheme="minorHAnsi"/>
          <w:sz w:val="16"/>
          <w:szCs w:val="20"/>
        </w:rPr>
        <w:t xml:space="preserve"> </w:t>
      </w:r>
      <w:r w:rsidRPr="00BD25D4">
        <w:rPr>
          <w:rFonts w:asciiTheme="minorHAnsi" w:hAnsiTheme="minorHAnsi"/>
          <w:sz w:val="16"/>
          <w:szCs w:val="20"/>
        </w:rPr>
        <w:t xml:space="preserve">that an intent to avoid the application of the </w:t>
      </w:r>
      <w:proofErr w:type="spellStart"/>
      <w:r w:rsidRPr="00BD25D4">
        <w:rPr>
          <w:rFonts w:asciiTheme="minorHAnsi" w:hAnsiTheme="minorHAnsi"/>
          <w:sz w:val="16"/>
          <w:szCs w:val="20"/>
        </w:rPr>
        <w:t>antilapse</w:t>
      </w:r>
      <w:proofErr w:type="spellEnd"/>
      <w:r w:rsidRPr="00BD25D4">
        <w:rPr>
          <w:rFonts w:asciiTheme="minorHAnsi" w:hAnsiTheme="minorHAnsi"/>
          <w:sz w:val="16"/>
          <w:szCs w:val="20"/>
        </w:rPr>
        <w:t xml:space="preserve"> statute is not "clear and explicit" from the terms of the will. The will states "in the event" Clyde was predeceased by a child, when in fact Clyde had been predeceased by two of his children at the time the will was written. If the will was referring to the children who had already predeceased Clyde, there would be no need to say "in the event." By stating "in the event" it is clear Clyde was looking ahead to possible future events, when one of his children who were alive when the will was written might predecease him.</w:t>
      </w:r>
      <w:r w:rsidR="00BD25D4" w:rsidRPr="00BD25D4">
        <w:rPr>
          <w:rFonts w:asciiTheme="minorHAnsi" w:hAnsiTheme="minorHAnsi"/>
          <w:sz w:val="16"/>
          <w:szCs w:val="20"/>
        </w:rPr>
        <w:t xml:space="preserve"> </w:t>
      </w:r>
      <w:r w:rsidRPr="00195C7A">
        <w:rPr>
          <w:rFonts w:asciiTheme="minorHAnsi" w:hAnsiTheme="minorHAnsi"/>
          <w:szCs w:val="20"/>
          <w:u w:val="single"/>
        </w:rPr>
        <w:t>Brock and Kaitlyn look to the word "should</w:t>
      </w:r>
      <w:r w:rsidRPr="00BD25D4">
        <w:rPr>
          <w:rFonts w:asciiTheme="minorHAnsi" w:hAnsiTheme="minorHAnsi"/>
          <w:sz w:val="16"/>
          <w:szCs w:val="20"/>
        </w:rPr>
        <w:t xml:space="preserve">" in the phrase "in the event any of my children should predecease me" </w:t>
      </w:r>
      <w:r w:rsidRPr="00195C7A">
        <w:rPr>
          <w:rFonts w:asciiTheme="minorHAnsi" w:hAnsiTheme="minorHAnsi"/>
          <w:szCs w:val="20"/>
          <w:u w:val="single"/>
        </w:rPr>
        <w:t>and claim the district court improperly found the word looked to the future.</w:t>
      </w:r>
      <w:r w:rsidRPr="00BD25D4">
        <w:rPr>
          <w:rFonts w:asciiTheme="minorHAnsi" w:hAnsiTheme="minorHAnsi"/>
          <w:sz w:val="16"/>
          <w:szCs w:val="20"/>
        </w:rPr>
        <w:t xml:space="preserve"> </w:t>
      </w:r>
      <w:r w:rsidRPr="00195C7A">
        <w:rPr>
          <w:rFonts w:asciiTheme="minorHAnsi" w:hAnsiTheme="minorHAnsi"/>
          <w:szCs w:val="20"/>
          <w:u w:val="single"/>
        </w:rPr>
        <w:t>They claim the word should be interpreted as the</w:t>
      </w:r>
      <w:r w:rsidR="00BD25D4">
        <w:rPr>
          <w:rFonts w:asciiTheme="minorHAnsi" w:hAnsiTheme="minorHAnsi"/>
          <w:szCs w:val="20"/>
          <w:u w:val="single"/>
        </w:rPr>
        <w:t xml:space="preserve"> </w:t>
      </w:r>
      <w:r w:rsidRPr="00195C7A">
        <w:rPr>
          <w:rFonts w:asciiTheme="minorHAnsi" w:hAnsiTheme="minorHAnsi"/>
          <w:bCs/>
          <w:szCs w:val="20"/>
          <w:u w:val="single"/>
        </w:rPr>
        <w:t>past tense of "shall</w:t>
      </w:r>
      <w:r w:rsidRPr="00195C7A">
        <w:rPr>
          <w:rFonts w:asciiTheme="minorHAnsi" w:hAnsiTheme="minorHAnsi"/>
          <w:szCs w:val="20"/>
          <w:u w:val="single"/>
        </w:rPr>
        <w:t>"</w:t>
      </w:r>
      <w:r w:rsidRPr="00BD25D4">
        <w:rPr>
          <w:rFonts w:asciiTheme="minorHAnsi" w:hAnsiTheme="minorHAnsi"/>
          <w:sz w:val="16"/>
          <w:szCs w:val="20"/>
        </w:rPr>
        <w:t xml:space="preserve"> to imply a duty or obligation.</w:t>
      </w:r>
      <w:r w:rsidR="00BD25D4" w:rsidRPr="00BD25D4">
        <w:rPr>
          <w:rFonts w:asciiTheme="minorHAnsi" w:hAnsiTheme="minorHAnsi"/>
          <w:sz w:val="16"/>
          <w:szCs w:val="20"/>
        </w:rPr>
        <w:t xml:space="preserve"> </w:t>
      </w:r>
      <w:r w:rsidRPr="00BD25D4">
        <w:rPr>
          <w:rFonts w:asciiTheme="minorHAnsi" w:hAnsiTheme="minorHAnsi"/>
          <w:iCs/>
          <w:sz w:val="16"/>
          <w:szCs w:val="20"/>
        </w:rPr>
        <w:t>See</w:t>
      </w:r>
      <w:r w:rsidR="00BD25D4" w:rsidRPr="00BD25D4">
        <w:rPr>
          <w:rFonts w:asciiTheme="minorHAnsi" w:hAnsiTheme="minorHAnsi"/>
          <w:sz w:val="16"/>
          <w:szCs w:val="20"/>
        </w:rPr>
        <w:t xml:space="preserve"> </w:t>
      </w:r>
      <w:r w:rsidRPr="00BD25D4">
        <w:rPr>
          <w:rFonts w:asciiTheme="minorHAnsi" w:hAnsiTheme="minorHAnsi"/>
          <w:sz w:val="16"/>
          <w:szCs w:val="20"/>
        </w:rPr>
        <w:t xml:space="preserve">Black's Law Dictionary 1379 (6th ed. 1990). </w:t>
      </w:r>
      <w:r w:rsidRPr="00195C7A">
        <w:rPr>
          <w:rFonts w:asciiTheme="minorHAnsi" w:hAnsiTheme="minorHAnsi"/>
          <w:szCs w:val="20"/>
          <w:u w:val="single"/>
        </w:rPr>
        <w:t xml:space="preserve">Looking at the </w:t>
      </w:r>
      <w:r w:rsidRPr="00195C7A">
        <w:rPr>
          <w:rStyle w:val="Emphasis"/>
          <w:rFonts w:asciiTheme="minorHAnsi" w:hAnsiTheme="minorHAnsi"/>
        </w:rPr>
        <w:t>phrase as a whole</w:t>
      </w:r>
      <w:r w:rsidRPr="00195C7A">
        <w:rPr>
          <w:rFonts w:asciiTheme="minorHAnsi" w:hAnsiTheme="minorHAnsi"/>
          <w:szCs w:val="20"/>
          <w:u w:val="single"/>
        </w:rPr>
        <w:t>, however, rather than at a single word, we determine the phrase is considering possible future events</w:t>
      </w:r>
      <w:r w:rsidRPr="00BD25D4">
        <w:rPr>
          <w:rFonts w:asciiTheme="minorHAnsi" w:hAnsiTheme="minorHAnsi"/>
          <w:sz w:val="16"/>
          <w:szCs w:val="20"/>
        </w:rPr>
        <w:t>.</w:t>
      </w:r>
      <w:r w:rsidR="00BD25D4" w:rsidRPr="00BD25D4">
        <w:rPr>
          <w:rFonts w:asciiTheme="minorHAnsi" w:hAnsiTheme="minorHAnsi"/>
          <w:sz w:val="16"/>
          <w:szCs w:val="20"/>
        </w:rPr>
        <w:t xml:space="preserve"> </w:t>
      </w:r>
      <w:r w:rsidRPr="00BD25D4">
        <w:rPr>
          <w:rFonts w:asciiTheme="minorHAnsi" w:hAnsiTheme="minorHAnsi"/>
          <w:iCs/>
          <w:sz w:val="16"/>
          <w:szCs w:val="20"/>
        </w:rPr>
        <w:t>See</w:t>
      </w:r>
      <w:r w:rsidR="00BD25D4" w:rsidRPr="00BD25D4">
        <w:rPr>
          <w:rFonts w:asciiTheme="minorHAnsi" w:hAnsiTheme="minorHAnsi"/>
          <w:iCs/>
          <w:sz w:val="16"/>
          <w:szCs w:val="20"/>
        </w:rPr>
        <w:t xml:space="preserve"> </w:t>
      </w:r>
      <w:r w:rsidRPr="00BD25D4">
        <w:rPr>
          <w:rFonts w:asciiTheme="minorHAnsi" w:hAnsiTheme="minorHAnsi"/>
          <w:iCs/>
          <w:color w:val="000000"/>
          <w:sz w:val="16"/>
          <w:szCs w:val="20"/>
        </w:rPr>
        <w:t xml:space="preserve">In re Estate of </w:t>
      </w:r>
      <w:proofErr w:type="spellStart"/>
      <w:r w:rsidRPr="00BD25D4">
        <w:rPr>
          <w:rFonts w:asciiTheme="minorHAnsi" w:hAnsiTheme="minorHAnsi"/>
          <w:iCs/>
          <w:color w:val="000000"/>
          <w:sz w:val="16"/>
          <w:szCs w:val="20"/>
        </w:rPr>
        <w:t>Grulke</w:t>
      </w:r>
      <w:proofErr w:type="spellEnd"/>
      <w:r w:rsidRPr="00BD25D4">
        <w:rPr>
          <w:rFonts w:asciiTheme="minorHAnsi" w:hAnsiTheme="minorHAnsi"/>
          <w:color w:val="000000"/>
          <w:sz w:val="16"/>
          <w:szCs w:val="20"/>
        </w:rPr>
        <w:t>, 546 N.W.2d 626, 627 (Iowa Ct. App. 1996)</w:t>
      </w:r>
      <w:r w:rsidR="00BD25D4" w:rsidRPr="00BD25D4">
        <w:rPr>
          <w:rFonts w:asciiTheme="minorHAnsi" w:hAnsiTheme="minorHAnsi"/>
          <w:sz w:val="16"/>
          <w:szCs w:val="20"/>
        </w:rPr>
        <w:t xml:space="preserve"> </w:t>
      </w:r>
      <w:r w:rsidRPr="00BD25D4">
        <w:rPr>
          <w:rFonts w:asciiTheme="minorHAnsi" w:hAnsiTheme="minorHAnsi"/>
          <w:sz w:val="16"/>
          <w:szCs w:val="20"/>
        </w:rPr>
        <w:t>(noting</w:t>
      </w:r>
      <w:r w:rsidR="00BD25D4" w:rsidRPr="00BD25D4">
        <w:rPr>
          <w:rFonts w:asciiTheme="minorHAnsi" w:hAnsiTheme="minorHAnsi"/>
          <w:sz w:val="16"/>
          <w:szCs w:val="20"/>
        </w:rPr>
        <w:t xml:space="preserve"> </w:t>
      </w:r>
      <w:r w:rsidRPr="00BD25D4">
        <w:rPr>
          <w:rFonts w:asciiTheme="minorHAnsi" w:hAnsiTheme="minorHAnsi"/>
          <w:b/>
          <w:bCs/>
          <w:iCs/>
          <w:color w:val="000000"/>
          <w:sz w:val="16"/>
          <w:szCs w:val="20"/>
          <w:vertAlign w:val="superscript"/>
        </w:rPr>
        <w:t>HN6</w:t>
      </w:r>
      <w:r w:rsidRPr="00BD25D4">
        <w:rPr>
          <w:rFonts w:asciiTheme="minorHAnsi" w:hAnsiTheme="minorHAnsi"/>
          <w:noProof/>
          <w:color w:val="000000"/>
          <w:sz w:val="16"/>
          <w:szCs w:val="20"/>
        </w:rPr>
        <mc:AlternateContent>
          <mc:Choice Requires="wps">
            <w:drawing>
              <wp:inline distT="0" distB="0" distL="0" distR="0" wp14:anchorId="1BDB2634" wp14:editId="415562D8">
                <wp:extent cx="103505" cy="112395"/>
                <wp:effectExtent l="0" t="0" r="0" b="0"/>
                <wp:docPr id="37" name="Rectangle 37" descr="Go to this Headnote in the cas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3505" cy="112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BFC4DA" id="Rectangle 37" o:spid="_x0000_s1026" alt="Go to this Headnote in the case." style="width:8.15pt;height:8.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" filled="f" stroked="f">
                <o:lock v:ext="edit" aspectratio="t"/>
                <w10:anchorlock/>
              </v:rect>
            </w:pict>
          </mc:Fallback>
        </mc:AlternateContent>
      </w:r>
      <w:r w:rsidRPr="00BD25D4">
        <w:rPr>
          <w:rFonts w:asciiTheme="minorHAnsi" w:hAnsiTheme="minorHAnsi"/>
          <w:sz w:val="16"/>
          <w:szCs w:val="20"/>
        </w:rPr>
        <w:t>we must ascertain a testator's intent from the entire will).</w:t>
      </w:r>
    </w:p>
    <w:p w:rsidR="00DD0CA4" w:rsidRPr="00DD0CA4" w:rsidRDefault="00DD0CA4" w:rsidP="00DD0CA4"/>
    <w:p w:rsidR="009842A9" w:rsidRDefault="009842A9" w:rsidP="009842A9">
      <w:pPr>
        <w:pStyle w:val="paragraph"/>
        <w:spacing w:before="0" w:beforeAutospacing="0" w:after="0" w:afterAutospacing="0"/>
        <w:textAlignment w:val="baseline"/>
        <w:rPr>
          <w:rFonts w:ascii="Segoe UI" w:hAnsi="Segoe UI" w:cs="Segoe UI"/>
          <w:b/>
          <w:bCs/>
          <w:sz w:val="18"/>
          <w:szCs w:val="18"/>
        </w:rPr>
      </w:pPr>
      <w:r>
        <w:rPr>
          <w:rStyle w:val="normaltextrun"/>
          <w:rFonts w:ascii="Georgia" w:eastAsiaTheme="majorEastAsia" w:hAnsi="Georgia" w:cs="Segoe UI"/>
          <w:b/>
          <w:bCs/>
          <w:szCs w:val="26"/>
        </w:rPr>
        <w:t>“Should” means “must” and requires immediate legal effect</w:t>
      </w:r>
      <w:r>
        <w:rPr>
          <w:rStyle w:val="eop"/>
          <w:rFonts w:ascii="Georgia" w:hAnsi="Georgia" w:cs="Segoe UI"/>
          <w:b/>
          <w:bCs/>
          <w:sz w:val="26"/>
          <w:szCs w:val="26"/>
        </w:rPr>
        <w:t> </w:t>
      </w:r>
    </w:p>
    <w:p w:rsidR="009842A9" w:rsidRDefault="009842A9" w:rsidP="009842A9">
      <w:pPr>
        <w:pStyle w:val="paragraph"/>
        <w:spacing w:before="0" w:beforeAutospacing="0" w:after="0" w:afterAutospacing="0"/>
        <w:textAlignment w:val="baseline"/>
        <w:rPr>
          <w:rFonts w:ascii="Segoe UI" w:hAnsi="Segoe UI" w:cs="Segoe UI"/>
          <w:sz w:val="18"/>
          <w:szCs w:val="18"/>
        </w:rPr>
      </w:pPr>
      <w:r>
        <w:rPr>
          <w:rStyle w:val="normaltextrun"/>
          <w:rFonts w:ascii="Georgia" w:eastAsiaTheme="majorEastAsia" w:hAnsi="Georgia" w:cs="Segoe UI"/>
          <w:b/>
          <w:bCs/>
          <w:szCs w:val="26"/>
        </w:rPr>
        <w:t>Summers 94 </w:t>
      </w:r>
      <w:r>
        <w:rPr>
          <w:rStyle w:val="eop"/>
          <w:rFonts w:ascii="Georgia" w:hAnsi="Georgia" w:cs="Segoe UI"/>
          <w:sz w:val="26"/>
          <w:szCs w:val="26"/>
        </w:rPr>
        <w:t> </w:t>
      </w:r>
    </w:p>
    <w:p w:rsidR="009842A9" w:rsidRDefault="009842A9" w:rsidP="009842A9">
      <w:pPr>
        <w:pStyle w:val="paragraph"/>
        <w:spacing w:before="0" w:beforeAutospacing="0" w:after="0" w:afterAutospacing="0"/>
        <w:textAlignment w:val="baseline"/>
        <w:rPr>
          <w:rFonts w:ascii="Segoe UI" w:hAnsi="Segoe UI" w:cs="Segoe UI"/>
          <w:sz w:val="18"/>
          <w:szCs w:val="18"/>
        </w:rPr>
      </w:pPr>
      <w:r>
        <w:rPr>
          <w:rStyle w:val="normaltextrun"/>
          <w:rFonts w:ascii="Georgia" w:eastAsiaTheme="majorEastAsia" w:hAnsi="Georgia" w:cs="Segoe UI"/>
          <w:sz w:val="16"/>
          <w:szCs w:val="16"/>
        </w:rPr>
        <w:t>(Justice – Oklahoma Supreme Court, “Kelsey v. </w:t>
      </w:r>
      <w:proofErr w:type="spellStart"/>
      <w:r>
        <w:rPr>
          <w:rStyle w:val="spellingerror"/>
          <w:rFonts w:ascii="Georgia" w:hAnsi="Georgia" w:cs="Segoe UI"/>
          <w:sz w:val="16"/>
          <w:szCs w:val="16"/>
        </w:rPr>
        <w:t>Dollarsaver</w:t>
      </w:r>
      <w:proofErr w:type="spellEnd"/>
      <w:r>
        <w:rPr>
          <w:rStyle w:val="normaltextrun"/>
          <w:rFonts w:ascii="Georgia" w:eastAsiaTheme="majorEastAsia" w:hAnsi="Georgia" w:cs="Segoe UI"/>
          <w:sz w:val="16"/>
          <w:szCs w:val="16"/>
        </w:rPr>
        <w:t> Food Warehouse of Durant”, 1994 OK 123, 11-8, http://www.oscn.net/applications/oscn/DeliverDocument.asp?CiteID=20287#marker3fn13)</w:t>
      </w:r>
      <w:r>
        <w:rPr>
          <w:rStyle w:val="eop"/>
          <w:rFonts w:ascii="Georgia" w:hAnsi="Georgia" w:cs="Segoe UI"/>
          <w:sz w:val="16"/>
          <w:szCs w:val="16"/>
        </w:rPr>
        <w:t> </w:t>
      </w:r>
    </w:p>
    <w:p w:rsidR="009842A9" w:rsidRDefault="009842A9" w:rsidP="009842A9">
      <w:pPr>
        <w:pStyle w:val="paragraph"/>
        <w:spacing w:before="0" w:beforeAutospacing="0" w:after="0" w:afterAutospacing="0"/>
        <w:textAlignment w:val="baseline"/>
        <w:rPr>
          <w:rFonts w:ascii="Segoe UI" w:hAnsi="Segoe UI" w:cs="Segoe UI"/>
          <w:sz w:val="18"/>
          <w:szCs w:val="18"/>
        </w:rPr>
      </w:pPr>
      <w:r>
        <w:rPr>
          <w:rStyle w:val="normaltextrun"/>
          <w:rFonts w:ascii="Georgia" w:eastAsiaTheme="majorEastAsia" w:hAnsi="Georgia" w:cs="Segoe UI"/>
          <w:sz w:val="16"/>
          <w:szCs w:val="16"/>
        </w:rPr>
        <w:t>4 </w:t>
      </w:r>
      <w:r>
        <w:rPr>
          <w:rStyle w:val="normaltextrun"/>
          <w:rFonts w:ascii="Georgia" w:eastAsiaTheme="majorEastAsia" w:hAnsi="Georgia" w:cs="Segoe UI"/>
          <w:sz w:val="22"/>
          <w:szCs w:val="22"/>
          <w:u w:val="single"/>
        </w:rPr>
        <w:t>The legal question to be resolved by the court is whether the word "should"</w:t>
      </w:r>
      <w:r>
        <w:rPr>
          <w:rStyle w:val="normaltextrun"/>
          <w:rFonts w:ascii="Georgia" w:eastAsiaTheme="majorEastAsia" w:hAnsi="Georgia" w:cs="Segoe UI"/>
          <w:color w:val="000000"/>
          <w:sz w:val="16"/>
          <w:szCs w:val="16"/>
          <w:shd w:val="clear" w:color="auto" w:fill="E1E3E6"/>
        </w:rPr>
        <w:t>13</w:t>
      </w:r>
      <w:r>
        <w:rPr>
          <w:rStyle w:val="normaltextrun"/>
          <w:rFonts w:ascii="Georgia" w:eastAsiaTheme="majorEastAsia" w:hAnsi="Georgia" w:cs="Segoe UI"/>
          <w:sz w:val="16"/>
          <w:szCs w:val="16"/>
        </w:rPr>
        <w:t> in the May 18 order connotes futurity or </w:t>
      </w:r>
      <w:r>
        <w:rPr>
          <w:rStyle w:val="normaltextrun"/>
          <w:rFonts w:ascii="Georgia" w:eastAsiaTheme="majorEastAsia" w:hAnsi="Georgia" w:cs="Segoe UI"/>
          <w:sz w:val="22"/>
          <w:szCs w:val="22"/>
          <w:u w:val="single"/>
        </w:rPr>
        <w:t>may be deemed a ruling in praesenti</w:t>
      </w:r>
      <w:r>
        <w:rPr>
          <w:rStyle w:val="normaltextrun"/>
          <w:rFonts w:ascii="Georgia" w:eastAsiaTheme="majorEastAsia" w:hAnsi="Georgia" w:cs="Segoe UI"/>
          <w:sz w:val="16"/>
          <w:szCs w:val="16"/>
        </w:rPr>
        <w:t>.</w:t>
      </w:r>
      <w:r>
        <w:rPr>
          <w:rStyle w:val="normaltextrun"/>
          <w:rFonts w:ascii="Georgia" w:eastAsiaTheme="majorEastAsia" w:hAnsi="Georgia" w:cs="Segoe UI"/>
          <w:color w:val="000000"/>
          <w:sz w:val="16"/>
          <w:szCs w:val="16"/>
          <w:shd w:val="clear" w:color="auto" w:fill="E1E3E6"/>
        </w:rPr>
        <w:t>14</w:t>
      </w:r>
      <w:r>
        <w:rPr>
          <w:rStyle w:val="normaltextrun"/>
          <w:rFonts w:ascii="Georgia" w:eastAsiaTheme="majorEastAsia" w:hAnsi="Georgia" w:cs="Segoe UI"/>
          <w:sz w:val="16"/>
          <w:szCs w:val="16"/>
        </w:rPr>
        <w:t> The answer to this query is not to be divined from rules of grammar</w:t>
      </w:r>
      <w:proofErr w:type="gramStart"/>
      <w:r>
        <w:rPr>
          <w:rStyle w:val="normaltextrun"/>
          <w:rFonts w:ascii="Georgia" w:eastAsiaTheme="majorEastAsia" w:hAnsi="Georgia" w:cs="Segoe UI"/>
          <w:sz w:val="16"/>
          <w:szCs w:val="16"/>
        </w:rPr>
        <w:t>;</w:t>
      </w:r>
      <w:r>
        <w:rPr>
          <w:rStyle w:val="normaltextrun"/>
          <w:rFonts w:ascii="Georgia" w:eastAsiaTheme="majorEastAsia" w:hAnsi="Georgia" w:cs="Segoe UI"/>
          <w:color w:val="000000"/>
          <w:sz w:val="16"/>
          <w:szCs w:val="16"/>
          <w:shd w:val="clear" w:color="auto" w:fill="E1E3E6"/>
        </w:rPr>
        <w:t>15</w:t>
      </w:r>
      <w:proofErr w:type="gramEnd"/>
      <w:r>
        <w:rPr>
          <w:rStyle w:val="normaltextrun"/>
          <w:rFonts w:ascii="Georgia" w:eastAsiaTheme="majorEastAsia" w:hAnsi="Georgia" w:cs="Segoe UI"/>
          <w:sz w:val="16"/>
          <w:szCs w:val="16"/>
        </w:rPr>
        <w:t> it must be governed by the age-old practice culture of legal professionals and its immemorial language usage. To determine if the omission (from the critical May 18 entry) of the turgid phrase, "and the same hereby is", (1) makes it an in </w:t>
      </w:r>
      <w:proofErr w:type="spellStart"/>
      <w:r>
        <w:rPr>
          <w:rStyle w:val="spellingerror"/>
          <w:rFonts w:ascii="Georgia" w:hAnsi="Georgia" w:cs="Segoe UI"/>
          <w:sz w:val="16"/>
          <w:szCs w:val="16"/>
        </w:rPr>
        <w:t>futuro</w:t>
      </w:r>
      <w:proofErr w:type="spellEnd"/>
      <w:r>
        <w:rPr>
          <w:rStyle w:val="normaltextrun"/>
          <w:rFonts w:ascii="Georgia" w:eastAsiaTheme="majorEastAsia" w:hAnsi="Georgia" w:cs="Segoe UI"/>
          <w:sz w:val="16"/>
          <w:szCs w:val="16"/>
        </w:rPr>
        <w:t> ruling - i.e., an expression of what the judge will or would do at a later stage - or (2) constitutes an in in </w:t>
      </w:r>
      <w:proofErr w:type="spellStart"/>
      <w:r>
        <w:rPr>
          <w:rStyle w:val="normaltextrun"/>
          <w:rFonts w:ascii="Georgia" w:eastAsiaTheme="majorEastAsia" w:hAnsi="Georgia" w:cs="Segoe UI"/>
          <w:sz w:val="16"/>
          <w:szCs w:val="16"/>
        </w:rPr>
        <w:t>praesenti</w:t>
      </w:r>
      <w:proofErr w:type="spellEnd"/>
      <w:r>
        <w:rPr>
          <w:rStyle w:val="normaltextrun"/>
          <w:rFonts w:ascii="Georgia" w:eastAsiaTheme="majorEastAsia" w:hAnsi="Georgia" w:cs="Segoe UI"/>
          <w:sz w:val="16"/>
          <w:szCs w:val="16"/>
        </w:rPr>
        <w:t> resolution of a disputed law issue, the trial judge's intent must be garnered from the four corners of the entire record.</w:t>
      </w:r>
      <w:r>
        <w:rPr>
          <w:rStyle w:val="normaltextrun"/>
          <w:rFonts w:ascii="Georgia" w:eastAsiaTheme="majorEastAsia" w:hAnsi="Georgia" w:cs="Segoe UI"/>
          <w:color w:val="000000"/>
          <w:sz w:val="16"/>
          <w:szCs w:val="16"/>
          <w:shd w:val="clear" w:color="auto" w:fill="E1E3E6"/>
        </w:rPr>
        <w:t>16 </w:t>
      </w:r>
      <w:r>
        <w:rPr>
          <w:rStyle w:val="eop"/>
          <w:rFonts w:ascii="Georgia" w:hAnsi="Georgia" w:cs="Segoe UI"/>
          <w:sz w:val="16"/>
          <w:szCs w:val="16"/>
        </w:rPr>
        <w:t> </w:t>
      </w:r>
    </w:p>
    <w:p w:rsidR="009842A9" w:rsidRDefault="009842A9" w:rsidP="009842A9">
      <w:pPr>
        <w:pStyle w:val="paragraph"/>
        <w:spacing w:before="0" w:beforeAutospacing="0" w:after="0" w:afterAutospacing="0"/>
        <w:ind w:left="285" w:right="285"/>
        <w:textAlignment w:val="baseline"/>
        <w:rPr>
          <w:rFonts w:ascii="Segoe UI" w:hAnsi="Segoe UI" w:cs="Segoe UI"/>
          <w:sz w:val="18"/>
          <w:szCs w:val="18"/>
        </w:rPr>
      </w:pPr>
      <w:r>
        <w:rPr>
          <w:rStyle w:val="normaltextrun"/>
          <w:rFonts w:eastAsiaTheme="majorEastAsia"/>
          <w:sz w:val="16"/>
          <w:szCs w:val="16"/>
        </w:rPr>
        <w:t>[CONTINUES – TO FOOTNOTE]</w:t>
      </w:r>
      <w:r>
        <w:rPr>
          <w:rStyle w:val="eop"/>
          <w:sz w:val="16"/>
          <w:szCs w:val="16"/>
        </w:rPr>
        <w:t> </w:t>
      </w:r>
    </w:p>
    <w:p w:rsidR="009842A9" w:rsidRDefault="009842A9" w:rsidP="009842A9">
      <w:pPr>
        <w:pStyle w:val="paragraph"/>
        <w:spacing w:before="0" w:beforeAutospacing="0" w:after="0" w:afterAutospacing="0"/>
        <w:textAlignment w:val="baseline"/>
        <w:rPr>
          <w:rFonts w:ascii="Segoe UI" w:hAnsi="Segoe UI" w:cs="Segoe UI"/>
          <w:sz w:val="18"/>
          <w:szCs w:val="18"/>
        </w:rPr>
      </w:pPr>
      <w:hyperlink r:id="rId39" w:anchor="marker2fn13" w:tgtFrame="_blank" w:history="1">
        <w:r>
          <w:rPr>
            <w:rStyle w:val="normaltextrun"/>
            <w:rFonts w:ascii="Georgia" w:eastAsiaTheme="majorEastAsia" w:hAnsi="Georgia" w:cs="Segoe UI"/>
            <w:color w:val="0000FF"/>
            <w:sz w:val="16"/>
            <w:szCs w:val="16"/>
          </w:rPr>
          <w:t>13</w:t>
        </w:r>
      </w:hyperlink>
      <w:r>
        <w:rPr>
          <w:rStyle w:val="normaltextrun"/>
          <w:rFonts w:ascii="Georgia" w:eastAsiaTheme="majorEastAsia" w:hAnsi="Georgia" w:cs="Segoe UI"/>
          <w:sz w:val="16"/>
          <w:szCs w:val="16"/>
        </w:rPr>
        <w:t> "</w:t>
      </w:r>
      <w:r>
        <w:rPr>
          <w:rStyle w:val="normaltextrun"/>
          <w:rFonts w:ascii="Georgia" w:eastAsiaTheme="majorEastAsia" w:hAnsi="Georgia" w:cs="Segoe UI"/>
          <w:i/>
          <w:iCs/>
          <w:sz w:val="16"/>
          <w:szCs w:val="16"/>
        </w:rPr>
        <w:t>Should</w:t>
      </w:r>
      <w:r>
        <w:rPr>
          <w:rStyle w:val="normaltextrun"/>
          <w:rFonts w:ascii="Georgia" w:eastAsiaTheme="majorEastAsia" w:hAnsi="Georgia" w:cs="Segoe UI"/>
          <w:sz w:val="16"/>
          <w:szCs w:val="16"/>
        </w:rPr>
        <w:t>" not only is used as a "present indicative" synonymous with </w:t>
      </w:r>
      <w:r>
        <w:rPr>
          <w:rStyle w:val="normaltextrun"/>
          <w:rFonts w:ascii="Georgia" w:eastAsiaTheme="majorEastAsia" w:hAnsi="Georgia" w:cs="Segoe UI"/>
          <w:i/>
          <w:iCs/>
          <w:sz w:val="16"/>
          <w:szCs w:val="16"/>
        </w:rPr>
        <w:t>ought</w:t>
      </w:r>
      <w:r>
        <w:rPr>
          <w:rStyle w:val="normaltextrun"/>
          <w:rFonts w:ascii="Georgia" w:eastAsiaTheme="majorEastAsia" w:hAnsi="Georgia" w:cs="Segoe UI"/>
          <w:sz w:val="16"/>
          <w:szCs w:val="16"/>
        </w:rPr>
        <w:t> but also is the past tense of "shall" with various shades of meaning not always easy to analyze. See 57 C.J. Shall § 9, Judgments § 121 (1932). O. JESPERSEN, GROWTH AND STRUCTURE OF THE ENGLISH LANGUAGE (1984); St. Louis &amp; S.F.R. Co. v. Brown, 45 </w:t>
      </w:r>
      <w:proofErr w:type="spellStart"/>
      <w:r>
        <w:rPr>
          <w:rStyle w:val="spellingerror"/>
          <w:rFonts w:ascii="Georgia" w:hAnsi="Georgia" w:cs="Segoe UI"/>
          <w:sz w:val="16"/>
          <w:szCs w:val="16"/>
        </w:rPr>
        <w:t>Okl</w:t>
      </w:r>
      <w:proofErr w:type="spellEnd"/>
      <w:r>
        <w:rPr>
          <w:rStyle w:val="normaltextrun"/>
          <w:rFonts w:ascii="Georgia" w:eastAsiaTheme="majorEastAsia" w:hAnsi="Georgia" w:cs="Segoe UI"/>
          <w:sz w:val="16"/>
          <w:szCs w:val="16"/>
        </w:rPr>
        <w:t>. 143, 144 P. 1075, 1080-81 (1914). For a more detailed explanation, see the Partridge quotation infra note 15. </w:t>
      </w:r>
      <w:r>
        <w:rPr>
          <w:rStyle w:val="normaltextrun"/>
          <w:rFonts w:ascii="Georgia" w:eastAsiaTheme="majorEastAsia" w:hAnsi="Georgia" w:cs="Segoe UI"/>
          <w:sz w:val="22"/>
          <w:szCs w:val="22"/>
          <w:u w:val="single"/>
        </w:rPr>
        <w:t>Certain contexts mandate a construction of the term "should" as more than merely indicating preference or desirability</w:t>
      </w:r>
      <w:r>
        <w:rPr>
          <w:rStyle w:val="normaltextrun"/>
          <w:rFonts w:ascii="Georgia" w:eastAsiaTheme="majorEastAsia" w:hAnsi="Georgia" w:cs="Segoe UI"/>
          <w:sz w:val="16"/>
          <w:szCs w:val="16"/>
        </w:rPr>
        <w:t>. Brown, supra at 1080-81 (jury instructions stating that jurors "should" reduce the amount of damages in proportion to the amount of contributory negligence of the plaintiff was held to imply an </w:t>
      </w:r>
      <w:r>
        <w:rPr>
          <w:rStyle w:val="normaltextrun"/>
          <w:rFonts w:ascii="Georgia" w:eastAsiaTheme="majorEastAsia" w:hAnsi="Georgia" w:cs="Segoe UI"/>
          <w:i/>
          <w:iCs/>
          <w:sz w:val="16"/>
          <w:szCs w:val="16"/>
        </w:rPr>
        <w:t>obligation</w:t>
      </w:r>
      <w:r>
        <w:rPr>
          <w:rStyle w:val="normaltextrun"/>
          <w:rFonts w:ascii="Georgia" w:eastAsiaTheme="majorEastAsia" w:hAnsi="Georgia" w:cs="Segoe UI"/>
          <w:sz w:val="16"/>
          <w:szCs w:val="16"/>
        </w:rPr>
        <w:t> </w:t>
      </w:r>
      <w:r>
        <w:rPr>
          <w:rStyle w:val="normaltextrun"/>
          <w:rFonts w:ascii="Georgia" w:eastAsiaTheme="majorEastAsia" w:hAnsi="Georgia" w:cs="Segoe UI"/>
          <w:i/>
          <w:iCs/>
          <w:sz w:val="16"/>
          <w:szCs w:val="16"/>
        </w:rPr>
        <w:t>and to be more than advisory</w:t>
      </w:r>
      <w:r>
        <w:rPr>
          <w:rStyle w:val="normaltextrun"/>
          <w:rFonts w:ascii="Georgia" w:eastAsiaTheme="majorEastAsia" w:hAnsi="Georgia" w:cs="Segoe UI"/>
          <w:sz w:val="16"/>
          <w:szCs w:val="16"/>
        </w:rPr>
        <w:t>); </w:t>
      </w:r>
      <w:proofErr w:type="spellStart"/>
      <w:r>
        <w:rPr>
          <w:rStyle w:val="normaltextrun"/>
          <w:rFonts w:ascii="Georgia" w:eastAsiaTheme="majorEastAsia" w:hAnsi="Georgia" w:cs="Segoe UI"/>
          <w:sz w:val="16"/>
          <w:szCs w:val="16"/>
        </w:rPr>
        <w:t>Carrigan</w:t>
      </w:r>
      <w:proofErr w:type="spellEnd"/>
      <w:r>
        <w:rPr>
          <w:rStyle w:val="normaltextrun"/>
          <w:rFonts w:ascii="Georgia" w:eastAsiaTheme="majorEastAsia" w:hAnsi="Georgia" w:cs="Segoe UI"/>
          <w:sz w:val="16"/>
          <w:szCs w:val="16"/>
        </w:rPr>
        <w:t> v. California Horse Racing Board, 60 Wash. App. 79, </w:t>
      </w:r>
      <w:hyperlink r:id="rId40" w:tgtFrame="_blank" w:history="1">
        <w:r>
          <w:rPr>
            <w:rStyle w:val="normaltextrun"/>
            <w:rFonts w:ascii="Georgia" w:eastAsiaTheme="majorEastAsia" w:hAnsi="Georgia" w:cs="Segoe UI"/>
            <w:color w:val="0000FF"/>
            <w:sz w:val="16"/>
            <w:szCs w:val="16"/>
          </w:rPr>
          <w:t>802 P.2d 813</w:t>
        </w:r>
      </w:hyperlink>
      <w:r>
        <w:rPr>
          <w:rStyle w:val="normaltextrun"/>
          <w:rFonts w:ascii="Georgia" w:eastAsiaTheme="majorEastAsia" w:hAnsi="Georgia" w:cs="Segoe UI"/>
          <w:sz w:val="16"/>
          <w:szCs w:val="16"/>
        </w:rPr>
        <w:t> (1990) (one of the Rules of Appellate Procedure requiring that a party "should devote a section of the brief to the request for the fee or expenses" was interpreted to mean that a party is under an </w:t>
      </w:r>
      <w:r>
        <w:rPr>
          <w:rStyle w:val="normaltextrun"/>
          <w:rFonts w:ascii="Georgia" w:eastAsiaTheme="majorEastAsia" w:hAnsi="Georgia" w:cs="Segoe UI"/>
          <w:i/>
          <w:iCs/>
          <w:sz w:val="16"/>
          <w:szCs w:val="16"/>
        </w:rPr>
        <w:t>obligation</w:t>
      </w:r>
      <w:r>
        <w:rPr>
          <w:rStyle w:val="normaltextrun"/>
          <w:rFonts w:ascii="Georgia" w:eastAsiaTheme="majorEastAsia" w:hAnsi="Georgia" w:cs="Segoe UI"/>
          <w:sz w:val="16"/>
          <w:szCs w:val="16"/>
        </w:rPr>
        <w:t> to include the requested segment); State v. Rack, 318 S.W.2d 211, 215 (Mo. 1958) </w:t>
      </w:r>
      <w:r>
        <w:rPr>
          <w:rStyle w:val="normaltextrun"/>
          <w:rFonts w:eastAsiaTheme="majorEastAsia" w:cs="Calibri"/>
          <w:sz w:val="16"/>
          <w:szCs w:val="16"/>
        </w:rPr>
        <w:t>("</w:t>
      </w:r>
      <w:r>
        <w:rPr>
          <w:rStyle w:val="normaltextrun"/>
          <w:rFonts w:ascii="Georgia" w:eastAsiaTheme="majorEastAsia" w:hAnsi="Georgia" w:cs="Segoe UI"/>
          <w:sz w:val="22"/>
          <w:szCs w:val="22"/>
          <w:u w:val="single"/>
        </w:rPr>
        <w:t>should" would mean the same as "shall" or "must"</w:t>
      </w:r>
      <w:r>
        <w:rPr>
          <w:rStyle w:val="normaltextrun"/>
          <w:rFonts w:ascii="Georgia" w:eastAsiaTheme="majorEastAsia" w:hAnsi="Georgia" w:cs="Segoe UI"/>
          <w:sz w:val="16"/>
          <w:szCs w:val="16"/>
          <w:u w:val="single"/>
        </w:rPr>
        <w:t> </w:t>
      </w:r>
      <w:r>
        <w:rPr>
          <w:rStyle w:val="normaltextrun"/>
          <w:rFonts w:ascii="Georgia" w:eastAsiaTheme="majorEastAsia" w:hAnsi="Georgia" w:cs="Segoe UI"/>
          <w:sz w:val="16"/>
          <w:szCs w:val="16"/>
        </w:rPr>
        <w:t>when used in an instruction to the jury which tells the triers they "should disregard false testimony"). </w:t>
      </w:r>
      <w:hyperlink r:id="rId41" w:anchor="marker2fn14" w:tgtFrame="_blank" w:history="1">
        <w:r>
          <w:rPr>
            <w:rStyle w:val="normaltextrun"/>
            <w:rFonts w:ascii="Georgia" w:eastAsiaTheme="majorEastAsia" w:hAnsi="Georgia" w:cs="Segoe UI"/>
            <w:color w:val="0000FF"/>
            <w:sz w:val="16"/>
            <w:szCs w:val="16"/>
          </w:rPr>
          <w:t>14</w:t>
        </w:r>
      </w:hyperlink>
      <w:r>
        <w:rPr>
          <w:rStyle w:val="normaltextrun"/>
          <w:rFonts w:ascii="Georgia" w:eastAsiaTheme="majorEastAsia" w:hAnsi="Georgia" w:cs="Segoe UI"/>
          <w:sz w:val="16"/>
          <w:szCs w:val="16"/>
        </w:rPr>
        <w:t> </w:t>
      </w:r>
      <w:r>
        <w:rPr>
          <w:rStyle w:val="normaltextrun"/>
          <w:rFonts w:ascii="Georgia" w:eastAsiaTheme="majorEastAsia" w:hAnsi="Georgia" w:cs="Segoe UI"/>
          <w:b/>
          <w:bCs/>
          <w:sz w:val="22"/>
          <w:szCs w:val="22"/>
          <w:u w:val="single"/>
        </w:rPr>
        <w:t>In </w:t>
      </w:r>
      <w:proofErr w:type="spellStart"/>
      <w:r>
        <w:rPr>
          <w:rStyle w:val="normaltextrun"/>
          <w:rFonts w:ascii="Georgia" w:eastAsiaTheme="majorEastAsia" w:hAnsi="Georgia" w:cs="Segoe UI"/>
          <w:b/>
          <w:bCs/>
          <w:sz w:val="22"/>
          <w:szCs w:val="22"/>
          <w:u w:val="single"/>
        </w:rPr>
        <w:t>praesenti</w:t>
      </w:r>
      <w:proofErr w:type="spellEnd"/>
      <w:r>
        <w:rPr>
          <w:rStyle w:val="normaltextrun"/>
          <w:rFonts w:ascii="Georgia" w:eastAsiaTheme="majorEastAsia" w:hAnsi="Georgia" w:cs="Segoe UI"/>
          <w:sz w:val="22"/>
          <w:szCs w:val="22"/>
          <w:u w:val="single"/>
        </w:rPr>
        <w:t> means literally "</w:t>
      </w:r>
      <w:r>
        <w:rPr>
          <w:rStyle w:val="normaltextrun"/>
          <w:rFonts w:ascii="Georgia" w:eastAsiaTheme="majorEastAsia" w:hAnsi="Georgia" w:cs="Segoe UI"/>
          <w:b/>
          <w:bCs/>
          <w:sz w:val="22"/>
          <w:szCs w:val="22"/>
          <w:u w:val="single"/>
        </w:rPr>
        <w:t>at the present time</w:t>
      </w:r>
      <w:r>
        <w:rPr>
          <w:rStyle w:val="normaltextrun"/>
          <w:rFonts w:eastAsiaTheme="majorEastAsia" w:cs="Calibri"/>
          <w:sz w:val="22"/>
          <w:szCs w:val="22"/>
          <w:u w:val="single"/>
        </w:rPr>
        <w:t>."</w:t>
      </w:r>
      <w:r>
        <w:rPr>
          <w:rStyle w:val="normaltextrun"/>
          <w:rFonts w:ascii="Georgia" w:eastAsiaTheme="majorEastAsia" w:hAnsi="Georgia" w:cs="Segoe UI"/>
          <w:sz w:val="22"/>
          <w:szCs w:val="22"/>
          <w:u w:val="single"/>
        </w:rPr>
        <w:t> BLACK'S LAW DICTIONARY 792 (6th Ed. 1990). In legal parlance the phrase denotes that which in law is presently or </w:t>
      </w:r>
      <w:r>
        <w:rPr>
          <w:rStyle w:val="normaltextrun"/>
          <w:rFonts w:ascii="Georgia" w:eastAsiaTheme="majorEastAsia" w:hAnsi="Georgia" w:cs="Segoe UI"/>
          <w:b/>
          <w:bCs/>
          <w:sz w:val="22"/>
          <w:szCs w:val="22"/>
          <w:u w:val="single"/>
        </w:rPr>
        <w:t>immediately effective</w:t>
      </w:r>
      <w:r>
        <w:rPr>
          <w:rStyle w:val="normaltextrun"/>
          <w:rFonts w:ascii="Georgia" w:eastAsiaTheme="majorEastAsia" w:hAnsi="Georgia" w:cs="Segoe UI"/>
          <w:sz w:val="22"/>
          <w:szCs w:val="22"/>
          <w:u w:val="single"/>
        </w:rPr>
        <w:t>, as opposed to something that will or would become effective in the future </w:t>
      </w:r>
      <w:r>
        <w:rPr>
          <w:rStyle w:val="normaltextrun"/>
          <w:rFonts w:ascii="Georgia" w:eastAsiaTheme="majorEastAsia" w:hAnsi="Georgia" w:cs="Segoe UI"/>
          <w:i/>
          <w:iCs/>
          <w:sz w:val="16"/>
          <w:szCs w:val="16"/>
        </w:rPr>
        <w:t>[in </w:t>
      </w:r>
      <w:proofErr w:type="spellStart"/>
      <w:r>
        <w:rPr>
          <w:rStyle w:val="spellingerror"/>
          <w:rFonts w:ascii="Georgia" w:hAnsi="Georgia" w:cs="Segoe UI"/>
          <w:i/>
          <w:iCs/>
          <w:sz w:val="16"/>
          <w:szCs w:val="16"/>
        </w:rPr>
        <w:t>futurol</w:t>
      </w:r>
      <w:proofErr w:type="spellEnd"/>
      <w:r>
        <w:rPr>
          <w:rStyle w:val="normaltextrun"/>
          <w:rFonts w:ascii="Georgia" w:eastAsiaTheme="majorEastAsia" w:hAnsi="Georgia" w:cs="Segoe UI"/>
          <w:sz w:val="16"/>
          <w:szCs w:val="16"/>
        </w:rPr>
        <w:t>]. See Van </w:t>
      </w:r>
      <w:proofErr w:type="spellStart"/>
      <w:r>
        <w:rPr>
          <w:rStyle w:val="spellingerror"/>
          <w:rFonts w:ascii="Georgia" w:hAnsi="Georgia" w:cs="Segoe UI"/>
          <w:sz w:val="16"/>
          <w:szCs w:val="16"/>
        </w:rPr>
        <w:t>Wyck</w:t>
      </w:r>
      <w:proofErr w:type="spellEnd"/>
      <w:r>
        <w:rPr>
          <w:rStyle w:val="normaltextrun"/>
          <w:rFonts w:ascii="Georgia" w:eastAsiaTheme="majorEastAsia" w:hAnsi="Georgia" w:cs="Segoe UI"/>
          <w:sz w:val="16"/>
          <w:szCs w:val="16"/>
        </w:rPr>
        <w:t> v. </w:t>
      </w:r>
      <w:proofErr w:type="spellStart"/>
      <w:r>
        <w:rPr>
          <w:rStyle w:val="spellingerror"/>
          <w:rFonts w:ascii="Georgia" w:hAnsi="Georgia" w:cs="Segoe UI"/>
          <w:sz w:val="16"/>
          <w:szCs w:val="16"/>
        </w:rPr>
        <w:t>Knevals</w:t>
      </w:r>
      <w:proofErr w:type="spellEnd"/>
      <w:r>
        <w:rPr>
          <w:rStyle w:val="normaltextrun"/>
          <w:rFonts w:ascii="Georgia" w:eastAsiaTheme="majorEastAsia" w:hAnsi="Georgia" w:cs="Segoe UI"/>
          <w:sz w:val="16"/>
          <w:szCs w:val="16"/>
        </w:rPr>
        <w:t>, </w:t>
      </w:r>
      <w:hyperlink r:id="rId42" w:tgtFrame="_blank" w:history="1">
        <w:r>
          <w:rPr>
            <w:rStyle w:val="normaltextrun"/>
            <w:rFonts w:ascii="Georgia" w:eastAsiaTheme="majorEastAsia" w:hAnsi="Georgia" w:cs="Segoe UI"/>
            <w:color w:val="0000FF"/>
            <w:sz w:val="16"/>
            <w:szCs w:val="16"/>
          </w:rPr>
          <w:t>106 U.S. 360</w:t>
        </w:r>
      </w:hyperlink>
      <w:r>
        <w:rPr>
          <w:rStyle w:val="normaltextrun"/>
          <w:rFonts w:ascii="Georgia" w:eastAsiaTheme="majorEastAsia" w:hAnsi="Georgia" w:cs="Segoe UI"/>
          <w:sz w:val="16"/>
          <w:szCs w:val="16"/>
        </w:rPr>
        <w:t>, 365, 1 </w:t>
      </w:r>
      <w:proofErr w:type="spellStart"/>
      <w:r>
        <w:rPr>
          <w:rStyle w:val="spellingerror"/>
          <w:rFonts w:ascii="Georgia" w:hAnsi="Georgia" w:cs="Segoe UI"/>
          <w:sz w:val="16"/>
          <w:szCs w:val="16"/>
        </w:rPr>
        <w:t>S.Ct</w:t>
      </w:r>
      <w:proofErr w:type="spellEnd"/>
      <w:r>
        <w:rPr>
          <w:rStyle w:val="normaltextrun"/>
          <w:rFonts w:ascii="Georgia" w:eastAsiaTheme="majorEastAsia" w:hAnsi="Georgia" w:cs="Segoe UI"/>
          <w:sz w:val="16"/>
          <w:szCs w:val="16"/>
        </w:rPr>
        <w:t>. 336, 337, 27 </w:t>
      </w:r>
      <w:proofErr w:type="spellStart"/>
      <w:r>
        <w:rPr>
          <w:rStyle w:val="spellingerror"/>
          <w:rFonts w:ascii="Georgia" w:hAnsi="Georgia" w:cs="Segoe UI"/>
          <w:sz w:val="16"/>
          <w:szCs w:val="16"/>
        </w:rPr>
        <w:t>L.Ed</w:t>
      </w:r>
      <w:proofErr w:type="spellEnd"/>
      <w:r>
        <w:rPr>
          <w:rStyle w:val="normaltextrun"/>
          <w:rFonts w:ascii="Georgia" w:eastAsiaTheme="majorEastAsia" w:hAnsi="Georgia" w:cs="Segoe UI"/>
          <w:sz w:val="16"/>
          <w:szCs w:val="16"/>
        </w:rPr>
        <w:t>. 201 (1882).</w:t>
      </w:r>
      <w:r>
        <w:rPr>
          <w:rStyle w:val="eop"/>
          <w:rFonts w:ascii="Georgia" w:hAnsi="Georgia" w:cs="Segoe UI"/>
          <w:sz w:val="16"/>
          <w:szCs w:val="16"/>
        </w:rPr>
        <w:t> </w:t>
      </w:r>
    </w:p>
    <w:p w:rsidR="009842A9" w:rsidRDefault="009842A9" w:rsidP="009842A9">
      <w:pPr>
        <w:pStyle w:val="paragraph"/>
        <w:spacing w:before="0" w:beforeAutospacing="0" w:after="0" w:afterAutospacing="0"/>
        <w:textAlignment w:val="baseline"/>
        <w:rPr>
          <w:rStyle w:val="normaltextrun"/>
          <w:rFonts w:ascii="Georgia" w:eastAsiaTheme="majorEastAsia" w:hAnsi="Georgia" w:cs="Segoe UI"/>
          <w:b/>
          <w:bCs/>
          <w:szCs w:val="26"/>
        </w:rPr>
      </w:pPr>
    </w:p>
    <w:p w:rsidR="009842A9" w:rsidRDefault="009842A9" w:rsidP="009842A9">
      <w:pPr>
        <w:pStyle w:val="paragraph"/>
        <w:spacing w:before="0" w:beforeAutospacing="0" w:after="0" w:afterAutospacing="0"/>
        <w:textAlignment w:val="baseline"/>
        <w:rPr>
          <w:rFonts w:ascii="Segoe UI" w:hAnsi="Segoe UI" w:cs="Segoe UI"/>
          <w:b/>
          <w:bCs/>
          <w:sz w:val="18"/>
          <w:szCs w:val="18"/>
        </w:rPr>
      </w:pPr>
      <w:r>
        <w:rPr>
          <w:rStyle w:val="normaltextrun"/>
          <w:rFonts w:ascii="Georgia" w:eastAsiaTheme="majorEastAsia" w:hAnsi="Georgia" w:cs="Segoe UI"/>
          <w:b/>
          <w:bCs/>
          <w:szCs w:val="26"/>
        </w:rPr>
        <w:t>Should implies obligation</w:t>
      </w:r>
      <w:r>
        <w:rPr>
          <w:rStyle w:val="eop"/>
          <w:rFonts w:ascii="Georgia" w:hAnsi="Georgia" w:cs="Segoe UI"/>
          <w:b/>
          <w:bCs/>
          <w:sz w:val="26"/>
          <w:szCs w:val="26"/>
        </w:rPr>
        <w:t> </w:t>
      </w:r>
    </w:p>
    <w:p w:rsidR="009842A9" w:rsidRDefault="009842A9" w:rsidP="009842A9">
      <w:pPr>
        <w:pStyle w:val="paragraph"/>
        <w:spacing w:before="0" w:beforeAutospacing="0" w:after="0" w:afterAutospacing="0"/>
        <w:textAlignment w:val="baseline"/>
        <w:rPr>
          <w:rFonts w:ascii="Segoe UI" w:hAnsi="Segoe UI" w:cs="Segoe UI"/>
          <w:sz w:val="18"/>
          <w:szCs w:val="18"/>
        </w:rPr>
      </w:pPr>
      <w:r>
        <w:rPr>
          <w:rStyle w:val="normaltextrun"/>
          <w:rFonts w:ascii="Georgia" w:eastAsiaTheme="majorEastAsia" w:hAnsi="Georgia" w:cs="Segoe UI"/>
          <w:b/>
          <w:bCs/>
          <w:szCs w:val="26"/>
        </w:rPr>
        <w:t>American Heritage Dictionary 9 </w:t>
      </w:r>
      <w:r>
        <w:rPr>
          <w:rStyle w:val="eop"/>
          <w:rFonts w:ascii="Georgia" w:hAnsi="Georgia" w:cs="Segoe UI"/>
          <w:sz w:val="26"/>
          <w:szCs w:val="26"/>
        </w:rPr>
        <w:t> </w:t>
      </w:r>
    </w:p>
    <w:p w:rsidR="009842A9" w:rsidRDefault="009842A9" w:rsidP="009842A9">
      <w:pPr>
        <w:pStyle w:val="paragraph"/>
        <w:spacing w:before="0" w:beforeAutospacing="0" w:after="0" w:afterAutospacing="0"/>
        <w:textAlignment w:val="baseline"/>
        <w:rPr>
          <w:rFonts w:ascii="Segoe UI" w:hAnsi="Segoe UI" w:cs="Segoe UI"/>
          <w:sz w:val="18"/>
          <w:szCs w:val="18"/>
        </w:rPr>
      </w:pPr>
      <w:r>
        <w:rPr>
          <w:rStyle w:val="normaltextrun"/>
          <w:rFonts w:ascii="Georgia" w:eastAsiaTheme="majorEastAsia" w:hAnsi="Georgia" w:cs="Segoe UI"/>
          <w:sz w:val="16"/>
          <w:szCs w:val="16"/>
        </w:rPr>
        <w:t>(theFreeDictionary.com, “Should,” http://www.thefreedictionary.com/should)</w:t>
      </w:r>
      <w:r>
        <w:rPr>
          <w:rStyle w:val="eop"/>
          <w:rFonts w:ascii="Georgia" w:hAnsi="Georgia" w:cs="Segoe UI"/>
          <w:sz w:val="16"/>
          <w:szCs w:val="16"/>
        </w:rPr>
        <w:t> </w:t>
      </w:r>
    </w:p>
    <w:p w:rsidR="009842A9" w:rsidRDefault="009842A9" w:rsidP="009842A9">
      <w:pPr>
        <w:pStyle w:val="paragraph"/>
        <w:spacing w:before="0" w:beforeAutospacing="0" w:after="0" w:afterAutospacing="0"/>
        <w:textAlignment w:val="baseline"/>
        <w:rPr>
          <w:rFonts w:ascii="Segoe UI" w:hAnsi="Segoe UI" w:cs="Segoe UI"/>
          <w:sz w:val="18"/>
          <w:szCs w:val="18"/>
        </w:rPr>
      </w:pPr>
      <w:proofErr w:type="gramStart"/>
      <w:r>
        <w:rPr>
          <w:rStyle w:val="normaltextrun"/>
          <w:rFonts w:ascii="Georgia" w:eastAsiaTheme="majorEastAsia" w:hAnsi="Georgia" w:cs="Segoe UI"/>
          <w:sz w:val="22"/>
          <w:szCs w:val="22"/>
          <w:u w:val="single"/>
        </w:rPr>
        <w:t>should</w:t>
      </w:r>
      <w:proofErr w:type="gramEnd"/>
      <w:r>
        <w:rPr>
          <w:rStyle w:val="normaltextrun"/>
          <w:rFonts w:ascii="Georgia" w:eastAsiaTheme="majorEastAsia" w:hAnsi="Georgia" w:cs="Segoe UI"/>
          <w:sz w:val="16"/>
          <w:szCs w:val="16"/>
        </w:rPr>
        <w:t> (</w:t>
      </w:r>
      <w:proofErr w:type="spellStart"/>
      <w:r>
        <w:rPr>
          <w:rStyle w:val="spellingerror"/>
          <w:rFonts w:ascii="Georgia" w:hAnsi="Georgia" w:cs="Segoe UI"/>
          <w:sz w:val="16"/>
          <w:szCs w:val="16"/>
        </w:rPr>
        <w:t>shd</w:t>
      </w:r>
      <w:proofErr w:type="spellEnd"/>
      <w:r>
        <w:rPr>
          <w:rStyle w:val="normaltextrun"/>
          <w:rFonts w:ascii="Georgia" w:eastAsiaTheme="majorEastAsia" w:hAnsi="Georgia" w:cs="Segoe UI"/>
          <w:sz w:val="16"/>
          <w:szCs w:val="16"/>
        </w:rPr>
        <w:t>)</w:t>
      </w:r>
      <w:r>
        <w:rPr>
          <w:rStyle w:val="eop"/>
          <w:rFonts w:ascii="Georgia" w:hAnsi="Georgia" w:cs="Segoe UI"/>
          <w:sz w:val="16"/>
          <w:szCs w:val="16"/>
        </w:rPr>
        <w:t> </w:t>
      </w:r>
    </w:p>
    <w:p w:rsidR="009842A9" w:rsidRDefault="009842A9" w:rsidP="009842A9">
      <w:pPr>
        <w:pStyle w:val="paragraph"/>
        <w:spacing w:before="0" w:beforeAutospacing="0" w:after="0" w:afterAutospacing="0"/>
        <w:textAlignment w:val="baseline"/>
        <w:rPr>
          <w:rFonts w:ascii="Segoe UI" w:hAnsi="Segoe UI" w:cs="Segoe UI"/>
          <w:sz w:val="18"/>
          <w:szCs w:val="18"/>
        </w:rPr>
      </w:pPr>
      <w:proofErr w:type="spellStart"/>
      <w:proofErr w:type="gramStart"/>
      <w:r>
        <w:rPr>
          <w:rStyle w:val="spellingerror"/>
          <w:rFonts w:ascii="Georgia" w:hAnsi="Georgia" w:cs="Segoe UI"/>
          <w:sz w:val="16"/>
          <w:szCs w:val="16"/>
        </w:rPr>
        <w:t>aux.v</w:t>
      </w:r>
      <w:proofErr w:type="spellEnd"/>
      <w:proofErr w:type="gramEnd"/>
      <w:r>
        <w:rPr>
          <w:rStyle w:val="normaltextrun"/>
          <w:rFonts w:ascii="Georgia" w:eastAsiaTheme="majorEastAsia" w:hAnsi="Georgia" w:cs="Segoe UI"/>
          <w:sz w:val="16"/>
          <w:szCs w:val="16"/>
        </w:rPr>
        <w:t>. Past tense of shall </w:t>
      </w:r>
      <w:r>
        <w:rPr>
          <w:rStyle w:val="eop"/>
          <w:rFonts w:ascii="Georgia" w:hAnsi="Georgia" w:cs="Segoe UI"/>
          <w:sz w:val="16"/>
          <w:szCs w:val="16"/>
        </w:rPr>
        <w:t> </w:t>
      </w:r>
    </w:p>
    <w:p w:rsidR="009842A9" w:rsidRDefault="009842A9" w:rsidP="009842A9">
      <w:pPr>
        <w:pStyle w:val="paragraph"/>
        <w:spacing w:before="0" w:beforeAutospacing="0" w:after="0" w:afterAutospacing="0"/>
        <w:textAlignment w:val="baseline"/>
        <w:rPr>
          <w:rFonts w:ascii="Segoe UI" w:hAnsi="Segoe UI" w:cs="Segoe UI"/>
          <w:sz w:val="18"/>
          <w:szCs w:val="18"/>
        </w:rPr>
      </w:pPr>
      <w:r>
        <w:rPr>
          <w:rStyle w:val="normaltextrun"/>
          <w:rFonts w:ascii="Georgia" w:eastAsiaTheme="majorEastAsia" w:hAnsi="Georgia" w:cs="Segoe UI"/>
          <w:sz w:val="22"/>
          <w:szCs w:val="22"/>
          <w:u w:val="single"/>
        </w:rPr>
        <w:t>1. Used to express obligation or duty: You should send her a note.</w:t>
      </w:r>
      <w:r>
        <w:rPr>
          <w:rStyle w:val="eop"/>
          <w:rFonts w:ascii="Georgia" w:hAnsi="Georgia" w:cs="Segoe UI"/>
          <w:szCs w:val="22"/>
        </w:rPr>
        <w:t> </w:t>
      </w:r>
    </w:p>
    <w:p w:rsidR="009842A9" w:rsidRDefault="009842A9" w:rsidP="009842A9">
      <w:pPr>
        <w:pStyle w:val="paragraph"/>
        <w:spacing w:before="0" w:beforeAutospacing="0" w:after="0" w:afterAutospacing="0"/>
        <w:textAlignment w:val="baseline"/>
        <w:rPr>
          <w:rStyle w:val="normaltextrun"/>
          <w:rFonts w:ascii="Georgia" w:eastAsiaTheme="majorEastAsia" w:hAnsi="Georgia" w:cs="Segoe UI"/>
          <w:b/>
          <w:bCs/>
          <w:szCs w:val="26"/>
        </w:rPr>
      </w:pPr>
    </w:p>
    <w:p w:rsidR="009842A9" w:rsidRDefault="009842A9" w:rsidP="009842A9">
      <w:pPr>
        <w:pStyle w:val="paragraph"/>
        <w:spacing w:before="0" w:beforeAutospacing="0" w:after="0" w:afterAutospacing="0"/>
        <w:textAlignment w:val="baseline"/>
        <w:rPr>
          <w:rStyle w:val="normaltextrun"/>
          <w:rFonts w:ascii="Georgia" w:eastAsiaTheme="majorEastAsia" w:hAnsi="Georgia" w:cs="Segoe UI"/>
          <w:b/>
          <w:bCs/>
          <w:szCs w:val="26"/>
        </w:rPr>
      </w:pPr>
    </w:p>
    <w:p w:rsidR="009842A9" w:rsidRDefault="009842A9" w:rsidP="009842A9">
      <w:pPr>
        <w:pStyle w:val="paragraph"/>
        <w:spacing w:before="0" w:beforeAutospacing="0" w:after="0" w:afterAutospacing="0"/>
        <w:textAlignment w:val="baseline"/>
        <w:rPr>
          <w:rFonts w:ascii="Segoe UI" w:hAnsi="Segoe UI" w:cs="Segoe UI"/>
          <w:b/>
          <w:bCs/>
          <w:sz w:val="18"/>
          <w:szCs w:val="18"/>
        </w:rPr>
      </w:pPr>
      <w:r>
        <w:rPr>
          <w:rStyle w:val="normaltextrun"/>
          <w:rFonts w:ascii="Georgia" w:eastAsiaTheme="majorEastAsia" w:hAnsi="Georgia" w:cs="Segoe UI"/>
          <w:b/>
          <w:bCs/>
          <w:szCs w:val="26"/>
        </w:rPr>
        <w:t>“</w:t>
      </w:r>
      <w:proofErr w:type="gramStart"/>
      <w:r>
        <w:rPr>
          <w:rStyle w:val="normaltextrun"/>
          <w:rFonts w:ascii="Georgia" w:eastAsiaTheme="majorEastAsia" w:hAnsi="Georgia" w:cs="Segoe UI"/>
          <w:b/>
          <w:bCs/>
          <w:szCs w:val="26"/>
        </w:rPr>
        <w:t>should</w:t>
      </w:r>
      <w:proofErr w:type="gramEnd"/>
      <w:r>
        <w:rPr>
          <w:rStyle w:val="normaltextrun"/>
          <w:rFonts w:ascii="Georgia" w:eastAsiaTheme="majorEastAsia" w:hAnsi="Georgia" w:cs="Segoe UI"/>
          <w:b/>
          <w:bCs/>
          <w:szCs w:val="26"/>
        </w:rPr>
        <w:t>” expresses duty, obligation, or necessity</w:t>
      </w:r>
      <w:r>
        <w:rPr>
          <w:rStyle w:val="eop"/>
          <w:rFonts w:ascii="Georgia" w:hAnsi="Georgia" w:cs="Segoe UI"/>
          <w:b/>
          <w:bCs/>
          <w:sz w:val="26"/>
          <w:szCs w:val="26"/>
        </w:rPr>
        <w:t> </w:t>
      </w:r>
    </w:p>
    <w:p w:rsidR="009842A9" w:rsidRDefault="009842A9" w:rsidP="009842A9">
      <w:pPr>
        <w:pStyle w:val="paragraph"/>
        <w:spacing w:before="0" w:beforeAutospacing="0" w:after="0" w:afterAutospacing="0"/>
        <w:textAlignment w:val="baseline"/>
        <w:rPr>
          <w:rFonts w:ascii="Segoe UI" w:hAnsi="Segoe UI" w:cs="Segoe UI"/>
          <w:sz w:val="18"/>
          <w:szCs w:val="18"/>
        </w:rPr>
      </w:pPr>
      <w:r>
        <w:rPr>
          <w:rStyle w:val="normaltextrun"/>
          <w:rFonts w:ascii="Georgia" w:eastAsiaTheme="majorEastAsia" w:hAnsi="Georgia" w:cs="Segoe UI"/>
          <w:b/>
          <w:bCs/>
          <w:szCs w:val="26"/>
        </w:rPr>
        <w:t>Webster’s 61</w:t>
      </w:r>
      <w:r>
        <w:rPr>
          <w:rStyle w:val="eop"/>
          <w:rFonts w:ascii="Georgia" w:hAnsi="Georgia" w:cs="Segoe UI"/>
          <w:sz w:val="26"/>
          <w:szCs w:val="26"/>
        </w:rPr>
        <w:t> </w:t>
      </w:r>
    </w:p>
    <w:p w:rsidR="009842A9" w:rsidRDefault="009842A9" w:rsidP="009842A9">
      <w:pPr>
        <w:pStyle w:val="paragraph"/>
        <w:spacing w:before="0" w:beforeAutospacing="0" w:after="0" w:afterAutospacing="0"/>
        <w:textAlignment w:val="baseline"/>
        <w:rPr>
          <w:rFonts w:ascii="Segoe UI" w:hAnsi="Segoe UI" w:cs="Segoe UI"/>
          <w:sz w:val="18"/>
          <w:szCs w:val="18"/>
        </w:rPr>
      </w:pPr>
      <w:r>
        <w:rPr>
          <w:rStyle w:val="normaltextrun"/>
          <w:rFonts w:ascii="Georgia" w:eastAsiaTheme="majorEastAsia" w:hAnsi="Georgia" w:cs="Segoe UI"/>
          <w:sz w:val="16"/>
          <w:szCs w:val="16"/>
        </w:rPr>
        <w:t>(Webster’s Third New International Dictionary 1961 p. 2104)</w:t>
      </w:r>
      <w:r>
        <w:rPr>
          <w:rStyle w:val="eop"/>
          <w:rFonts w:ascii="Georgia" w:hAnsi="Georgia" w:cs="Segoe UI"/>
          <w:sz w:val="16"/>
          <w:szCs w:val="16"/>
        </w:rPr>
        <w:t> </w:t>
      </w:r>
    </w:p>
    <w:p w:rsidR="009842A9" w:rsidRDefault="009842A9" w:rsidP="009842A9">
      <w:pPr>
        <w:pStyle w:val="paragraph"/>
        <w:spacing w:before="0" w:beforeAutospacing="0" w:after="0" w:afterAutospacing="0"/>
        <w:textAlignment w:val="baseline"/>
        <w:rPr>
          <w:rFonts w:ascii="Segoe UI" w:hAnsi="Segoe UI" w:cs="Segoe UI"/>
          <w:sz w:val="18"/>
          <w:szCs w:val="18"/>
        </w:rPr>
      </w:pPr>
      <w:r>
        <w:rPr>
          <w:rStyle w:val="normaltextrun"/>
          <w:rFonts w:ascii="Georgia" w:eastAsiaTheme="majorEastAsia" w:hAnsi="Georgia" w:cs="Segoe UI"/>
          <w:sz w:val="22"/>
          <w:szCs w:val="22"/>
          <w:u w:val="single"/>
        </w:rPr>
        <w:t>Used in auxiliary function to express duty, obligation, necessity</w:t>
      </w:r>
      <w:r>
        <w:rPr>
          <w:rStyle w:val="normaltextrun"/>
          <w:rFonts w:ascii="Georgia" w:eastAsiaTheme="majorEastAsia" w:hAnsi="Georgia" w:cs="Segoe UI"/>
          <w:sz w:val="16"/>
          <w:szCs w:val="16"/>
        </w:rPr>
        <w:t>, propriety, or </w:t>
      </w:r>
      <w:r>
        <w:rPr>
          <w:rStyle w:val="normaltextrun"/>
          <w:rFonts w:ascii="Georgia" w:eastAsiaTheme="majorEastAsia" w:hAnsi="Georgia" w:cs="Segoe UI"/>
          <w:sz w:val="22"/>
          <w:szCs w:val="22"/>
          <w:u w:val="single"/>
        </w:rPr>
        <w:t>expediency</w:t>
      </w:r>
      <w:r>
        <w:rPr>
          <w:rStyle w:val="eop"/>
          <w:rFonts w:ascii="Georgia" w:hAnsi="Georgia" w:cs="Segoe UI"/>
          <w:szCs w:val="22"/>
        </w:rPr>
        <w:t> </w:t>
      </w:r>
    </w:p>
    <w:p w:rsidR="00A82BFF" w:rsidRDefault="00A82BFF" w:rsidP="00A82BFF"/>
    <w:p w:rsidR="00A82BFF" w:rsidRPr="00A82BFF" w:rsidRDefault="00A82BFF" w:rsidP="00A82BFF">
      <w:pPr>
        <w:pStyle w:val="Heading2"/>
      </w:pPr>
      <w:r>
        <w:t>Resolved</w:t>
      </w:r>
    </w:p>
    <w:p w:rsidR="003E6D25" w:rsidRDefault="003E6D25" w:rsidP="003E6D25">
      <w:pPr>
        <w:pStyle w:val="paragraph"/>
        <w:spacing w:before="0" w:beforeAutospacing="0" w:after="0" w:afterAutospacing="0"/>
        <w:textAlignment w:val="baseline"/>
        <w:rPr>
          <w:rFonts w:ascii="Segoe UI" w:hAnsi="Segoe UI" w:cs="Segoe UI"/>
          <w:b/>
          <w:bCs/>
          <w:sz w:val="18"/>
          <w:szCs w:val="18"/>
        </w:rPr>
      </w:pPr>
      <w:r>
        <w:rPr>
          <w:rStyle w:val="normaltextrun"/>
          <w:rFonts w:eastAsiaTheme="majorEastAsia"/>
          <w:b/>
          <w:bCs/>
        </w:rPr>
        <w:t xml:space="preserve">Resolved </w:t>
      </w:r>
      <w:r w:rsidR="0036662B">
        <w:rPr>
          <w:rStyle w:val="normaltextrun"/>
          <w:rFonts w:eastAsiaTheme="majorEastAsia"/>
          <w:b/>
          <w:bCs/>
        </w:rPr>
        <w:t>means establish by law</w:t>
      </w:r>
      <w:r>
        <w:rPr>
          <w:rStyle w:val="eop"/>
          <w:b/>
          <w:bCs/>
        </w:rPr>
        <w:t> </w:t>
      </w:r>
    </w:p>
    <w:p w:rsidR="003E6D25" w:rsidRDefault="003E6D25" w:rsidP="003E6D25">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b/>
          <w:bCs/>
        </w:rPr>
        <w:t>Words and Phrases 64</w:t>
      </w:r>
      <w:r>
        <w:rPr>
          <w:rStyle w:val="normaltextrun"/>
          <w:rFonts w:eastAsiaTheme="majorEastAsia"/>
          <w:sz w:val="16"/>
          <w:szCs w:val="16"/>
        </w:rPr>
        <w:t> (Permanent Edition)</w:t>
      </w:r>
      <w:r>
        <w:rPr>
          <w:rStyle w:val="eop"/>
          <w:sz w:val="16"/>
          <w:szCs w:val="16"/>
        </w:rPr>
        <w:t> </w:t>
      </w:r>
    </w:p>
    <w:p w:rsidR="003E6D25" w:rsidRDefault="003E6D25" w:rsidP="003E6D25">
      <w:pPr>
        <w:pStyle w:val="paragraph"/>
        <w:spacing w:before="0" w:beforeAutospacing="0" w:after="0" w:afterAutospacing="0"/>
        <w:textAlignment w:val="baseline"/>
        <w:rPr>
          <w:rFonts w:ascii="Segoe UI" w:hAnsi="Segoe UI" w:cs="Segoe UI"/>
          <w:sz w:val="18"/>
          <w:szCs w:val="18"/>
        </w:rPr>
      </w:pPr>
      <w:r>
        <w:rPr>
          <w:rStyle w:val="eop"/>
          <w:sz w:val="16"/>
          <w:szCs w:val="16"/>
        </w:rPr>
        <w:t> </w:t>
      </w:r>
    </w:p>
    <w:p w:rsidR="003E6D25" w:rsidRPr="00EE5E96" w:rsidRDefault="003E6D25" w:rsidP="00EE5E96">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22"/>
          <w:szCs w:val="22"/>
          <w:u w:val="single"/>
        </w:rPr>
        <w:t>Definition of </w:t>
      </w:r>
      <w:r>
        <w:rPr>
          <w:rStyle w:val="normaltextrun"/>
          <w:rFonts w:eastAsiaTheme="majorEastAsia"/>
          <w:sz w:val="22"/>
          <w:szCs w:val="22"/>
          <w:u w:val="single"/>
          <w:shd w:val="clear" w:color="auto" w:fill="FFFF00"/>
        </w:rPr>
        <w:t>the word “resolve,</w:t>
      </w:r>
      <w:r>
        <w:rPr>
          <w:rStyle w:val="normaltextrun"/>
          <w:rFonts w:eastAsiaTheme="majorEastAsia"/>
          <w:sz w:val="16"/>
          <w:szCs w:val="16"/>
          <w:shd w:val="clear" w:color="auto" w:fill="FFFF00"/>
        </w:rPr>
        <w:t>”</w:t>
      </w:r>
      <w:r>
        <w:rPr>
          <w:rStyle w:val="normaltextrun"/>
          <w:rFonts w:eastAsiaTheme="majorEastAsia"/>
          <w:sz w:val="16"/>
          <w:szCs w:val="16"/>
        </w:rPr>
        <w:t> given by Webster </w:t>
      </w:r>
      <w:r>
        <w:rPr>
          <w:rStyle w:val="normaltextrun"/>
          <w:rFonts w:eastAsiaTheme="majorEastAsia"/>
          <w:sz w:val="22"/>
          <w:szCs w:val="22"/>
          <w:u w:val="single"/>
          <w:shd w:val="clear" w:color="auto" w:fill="FFFF00"/>
        </w:rPr>
        <w:t>is “to express</w:t>
      </w:r>
      <w:r>
        <w:rPr>
          <w:rStyle w:val="normaltextrun"/>
          <w:rFonts w:eastAsiaTheme="majorEastAsia"/>
          <w:sz w:val="22"/>
          <w:szCs w:val="22"/>
          <w:u w:val="single"/>
        </w:rPr>
        <w:t> an opinion or </w:t>
      </w:r>
      <w:r>
        <w:rPr>
          <w:rStyle w:val="normaltextrun"/>
          <w:rFonts w:eastAsiaTheme="majorEastAsia"/>
          <w:sz w:val="22"/>
          <w:szCs w:val="22"/>
          <w:u w:val="single"/>
          <w:shd w:val="clear" w:color="auto" w:fill="FFFF00"/>
        </w:rPr>
        <w:t>determination</w:t>
      </w:r>
      <w:r>
        <w:rPr>
          <w:rStyle w:val="normaltextrun"/>
          <w:rFonts w:eastAsiaTheme="majorEastAsia"/>
          <w:sz w:val="22"/>
          <w:szCs w:val="22"/>
          <w:u w:val="single"/>
        </w:rPr>
        <w:t> </w:t>
      </w:r>
      <w:r>
        <w:rPr>
          <w:rStyle w:val="normaltextrun"/>
          <w:rFonts w:eastAsiaTheme="majorEastAsia"/>
          <w:sz w:val="22"/>
          <w:szCs w:val="22"/>
          <w:u w:val="single"/>
          <w:shd w:val="clear" w:color="auto" w:fill="FFFF00"/>
        </w:rPr>
        <w:t>by resolution or vote</w:t>
      </w:r>
      <w:r>
        <w:rPr>
          <w:rStyle w:val="normaltextrun"/>
          <w:rFonts w:eastAsiaTheme="majorEastAsia"/>
          <w:sz w:val="22"/>
          <w:szCs w:val="22"/>
          <w:u w:val="single"/>
        </w:rPr>
        <w:t>; as ‘it was resolved </w:t>
      </w:r>
      <w:r>
        <w:rPr>
          <w:rStyle w:val="normaltextrun"/>
          <w:rFonts w:eastAsiaTheme="majorEastAsia"/>
          <w:sz w:val="22"/>
          <w:szCs w:val="22"/>
          <w:u w:val="single"/>
          <w:shd w:val="clear" w:color="auto" w:fill="FFFF00"/>
        </w:rPr>
        <w:t>by the legislature;” It is of similar force to</w:t>
      </w:r>
      <w:r>
        <w:rPr>
          <w:rStyle w:val="normaltextrun"/>
          <w:rFonts w:eastAsiaTheme="majorEastAsia"/>
          <w:sz w:val="22"/>
          <w:szCs w:val="22"/>
          <w:u w:val="single"/>
        </w:rPr>
        <w:t> the word “</w:t>
      </w:r>
      <w:r>
        <w:rPr>
          <w:rStyle w:val="normaltextrun"/>
          <w:rFonts w:eastAsiaTheme="majorEastAsia"/>
          <w:sz w:val="22"/>
          <w:szCs w:val="22"/>
          <w:u w:val="single"/>
          <w:shd w:val="clear" w:color="auto" w:fill="FFFF00"/>
        </w:rPr>
        <w:t>enact,” which is defined</w:t>
      </w:r>
      <w:r>
        <w:rPr>
          <w:rStyle w:val="normaltextrun"/>
          <w:rFonts w:eastAsiaTheme="majorEastAsia"/>
          <w:sz w:val="16"/>
          <w:szCs w:val="16"/>
        </w:rPr>
        <w:t> by </w:t>
      </w:r>
      <w:proofErr w:type="spellStart"/>
      <w:r>
        <w:rPr>
          <w:rStyle w:val="normaltextrun"/>
          <w:rFonts w:eastAsiaTheme="majorEastAsia"/>
          <w:sz w:val="16"/>
          <w:szCs w:val="16"/>
        </w:rPr>
        <w:t>Bouvier</w:t>
      </w:r>
      <w:proofErr w:type="spellEnd"/>
      <w:r>
        <w:rPr>
          <w:rStyle w:val="normaltextrun"/>
          <w:rFonts w:eastAsiaTheme="majorEastAsia"/>
          <w:sz w:val="16"/>
          <w:szCs w:val="16"/>
        </w:rPr>
        <w:t> </w:t>
      </w:r>
      <w:r>
        <w:rPr>
          <w:rStyle w:val="normaltextrun"/>
          <w:rFonts w:eastAsiaTheme="majorEastAsia"/>
          <w:sz w:val="22"/>
          <w:szCs w:val="22"/>
          <w:u w:val="single"/>
          <w:shd w:val="clear" w:color="auto" w:fill="FFFF00"/>
        </w:rPr>
        <w:t>as</w:t>
      </w:r>
      <w:r>
        <w:rPr>
          <w:rStyle w:val="normaltextrun"/>
          <w:rFonts w:eastAsiaTheme="majorEastAsia"/>
          <w:sz w:val="22"/>
          <w:szCs w:val="22"/>
          <w:u w:val="single"/>
        </w:rPr>
        <w:t> meaning “to </w:t>
      </w:r>
      <w:r>
        <w:rPr>
          <w:rStyle w:val="normaltextrun"/>
          <w:rFonts w:eastAsiaTheme="majorEastAsia"/>
          <w:sz w:val="22"/>
          <w:szCs w:val="22"/>
          <w:u w:val="single"/>
          <w:shd w:val="clear" w:color="auto" w:fill="FFFF00"/>
        </w:rPr>
        <w:t>establish by law</w:t>
      </w:r>
      <w:r>
        <w:rPr>
          <w:rStyle w:val="normaltextrun"/>
          <w:rFonts w:eastAsiaTheme="majorEastAsia"/>
          <w:sz w:val="22"/>
          <w:szCs w:val="22"/>
          <w:u w:val="single"/>
        </w:rPr>
        <w:t>”</w:t>
      </w:r>
      <w:r>
        <w:rPr>
          <w:rStyle w:val="normaltextrun"/>
          <w:rFonts w:eastAsiaTheme="majorEastAsia"/>
          <w:sz w:val="16"/>
          <w:szCs w:val="16"/>
        </w:rPr>
        <w:t>.  </w:t>
      </w:r>
      <w:r>
        <w:rPr>
          <w:rStyle w:val="eop"/>
          <w:sz w:val="16"/>
          <w:szCs w:val="16"/>
        </w:rPr>
        <w:t> </w:t>
      </w:r>
    </w:p>
    <w:p w:rsidR="0036662B" w:rsidRDefault="0036662B" w:rsidP="0036662B">
      <w:pPr>
        <w:pStyle w:val="paragraph"/>
        <w:spacing w:before="0" w:beforeAutospacing="0" w:after="0" w:afterAutospacing="0"/>
        <w:textAlignment w:val="baseline"/>
        <w:rPr>
          <w:rFonts w:ascii="Segoe UI" w:hAnsi="Segoe UI" w:cs="Segoe UI"/>
          <w:b/>
          <w:bCs/>
          <w:sz w:val="18"/>
          <w:szCs w:val="18"/>
        </w:rPr>
      </w:pPr>
      <w:r>
        <w:rPr>
          <w:rStyle w:val="normaltextrun"/>
          <w:rFonts w:eastAsiaTheme="majorEastAsia"/>
          <w:b/>
          <w:bCs/>
        </w:rPr>
        <w:t>Resolved means a </w:t>
      </w:r>
      <w:r>
        <w:rPr>
          <w:rStyle w:val="normaltextrun"/>
          <w:rFonts w:eastAsiaTheme="majorEastAsia"/>
          <w:b/>
          <w:bCs/>
          <w:u w:val="single"/>
        </w:rPr>
        <w:t>policy</w:t>
      </w:r>
      <w:r>
        <w:rPr>
          <w:rStyle w:val="normaltextrun"/>
          <w:rFonts w:eastAsiaTheme="majorEastAsia"/>
          <w:b/>
          <w:bCs/>
        </w:rPr>
        <w:t> </w:t>
      </w:r>
      <w:r>
        <w:rPr>
          <w:rStyle w:val="eop"/>
          <w:b/>
          <w:bCs/>
        </w:rPr>
        <w:t> </w:t>
      </w:r>
    </w:p>
    <w:p w:rsidR="0036662B" w:rsidRDefault="0036662B" w:rsidP="0036662B">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b/>
          <w:bCs/>
        </w:rPr>
        <w:t>Louisiana House 5</w:t>
      </w:r>
      <w:r>
        <w:rPr>
          <w:rStyle w:val="eop"/>
        </w:rPr>
        <w:t> </w:t>
      </w:r>
    </w:p>
    <w:p w:rsidR="0036662B" w:rsidRDefault="0036662B" w:rsidP="0036662B">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16"/>
          <w:szCs w:val="16"/>
        </w:rPr>
        <w:t>(</w:t>
      </w:r>
      <w:hyperlink r:id="rId43" w:tgtFrame="_blank" w:history="1">
        <w:r>
          <w:rPr>
            <w:rStyle w:val="normaltextrun"/>
            <w:rFonts w:eastAsiaTheme="majorEastAsia"/>
            <w:color w:val="0000FF"/>
            <w:sz w:val="16"/>
            <w:szCs w:val="16"/>
          </w:rPr>
          <w:t>http://house.louisiana.gov/house-glossary.htm</w:t>
        </w:r>
      </w:hyperlink>
      <w:r>
        <w:rPr>
          <w:rStyle w:val="normaltextrun"/>
          <w:rFonts w:eastAsiaTheme="majorEastAsia"/>
          <w:sz w:val="16"/>
          <w:szCs w:val="16"/>
        </w:rPr>
        <w:t>)</w:t>
      </w:r>
      <w:r>
        <w:rPr>
          <w:rStyle w:val="eop"/>
          <w:sz w:val="16"/>
          <w:szCs w:val="16"/>
        </w:rPr>
        <w:t> </w:t>
      </w:r>
    </w:p>
    <w:p w:rsidR="003E6D25" w:rsidRPr="00EE5E96" w:rsidRDefault="0036662B" w:rsidP="00EE5E96">
      <w:pPr>
        <w:pStyle w:val="paragraph"/>
        <w:spacing w:before="0" w:beforeAutospacing="0" w:after="0" w:afterAutospacing="0"/>
        <w:textAlignment w:val="baseline"/>
        <w:rPr>
          <w:rFonts w:ascii="Segoe UI" w:hAnsi="Segoe UI" w:cs="Segoe UI"/>
          <w:sz w:val="18"/>
          <w:szCs w:val="18"/>
        </w:rPr>
      </w:pPr>
      <w:r>
        <w:rPr>
          <w:rStyle w:val="contextualspellingandgrammarerror"/>
          <w:sz w:val="22"/>
          <w:szCs w:val="22"/>
          <w:u w:val="single"/>
          <w:shd w:val="clear" w:color="auto" w:fill="00FFFF"/>
        </w:rPr>
        <w:t>Resolution</w:t>
      </w:r>
      <w:proofErr w:type="gramStart"/>
      <w:r>
        <w:rPr>
          <w:rStyle w:val="contextualspellingandgrammarerror"/>
          <w:sz w:val="22"/>
          <w:szCs w:val="22"/>
          <w:u w:val="single"/>
          <w:shd w:val="clear" w:color="auto" w:fill="00FFFF"/>
        </w:rPr>
        <w:t>  A</w:t>
      </w:r>
      <w:proofErr w:type="gramEnd"/>
      <w:r>
        <w:rPr>
          <w:rStyle w:val="normaltextrun"/>
          <w:rFonts w:eastAsiaTheme="majorEastAsia"/>
          <w:sz w:val="22"/>
          <w:szCs w:val="22"/>
          <w:u w:val="single"/>
          <w:shd w:val="clear" w:color="auto" w:fill="00FFFF"/>
        </w:rPr>
        <w:t> </w:t>
      </w:r>
      <w:r>
        <w:rPr>
          <w:rStyle w:val="normaltextrun"/>
          <w:rFonts w:eastAsiaTheme="majorEastAsia"/>
          <w:b/>
          <w:bCs/>
          <w:sz w:val="22"/>
          <w:szCs w:val="22"/>
          <w:u w:val="single"/>
          <w:shd w:val="clear" w:color="auto" w:fill="00FFFF"/>
        </w:rPr>
        <w:t>legislative</w:t>
      </w:r>
      <w:r>
        <w:rPr>
          <w:rStyle w:val="normaltextrun"/>
          <w:rFonts w:eastAsiaTheme="majorEastAsia"/>
          <w:sz w:val="22"/>
          <w:szCs w:val="22"/>
          <w:u w:val="single"/>
          <w:shd w:val="clear" w:color="auto" w:fill="00FFFF"/>
        </w:rPr>
        <w:t> instrument</w:t>
      </w:r>
      <w:r>
        <w:rPr>
          <w:rStyle w:val="normaltextrun"/>
          <w:rFonts w:eastAsiaTheme="majorEastAsia"/>
          <w:u w:val="single"/>
        </w:rPr>
        <w:t> </w:t>
      </w:r>
      <w:r>
        <w:rPr>
          <w:rStyle w:val="normaltextrun"/>
          <w:rFonts w:eastAsiaTheme="majorEastAsia"/>
          <w:sz w:val="16"/>
          <w:szCs w:val="16"/>
        </w:rPr>
        <w:t>that generally is </w:t>
      </w:r>
      <w:r>
        <w:rPr>
          <w:rStyle w:val="normaltextrun"/>
          <w:rFonts w:eastAsiaTheme="majorEastAsia"/>
          <w:sz w:val="22"/>
          <w:szCs w:val="22"/>
          <w:u w:val="single"/>
        </w:rPr>
        <w:t>used </w:t>
      </w:r>
      <w:r>
        <w:rPr>
          <w:rStyle w:val="normaltextrun"/>
          <w:rFonts w:eastAsiaTheme="majorEastAsia"/>
          <w:sz w:val="22"/>
          <w:szCs w:val="22"/>
          <w:u w:val="single"/>
          <w:shd w:val="clear" w:color="auto" w:fill="00FFFF"/>
        </w:rPr>
        <w:t>for</w:t>
      </w:r>
      <w:r>
        <w:rPr>
          <w:rStyle w:val="normaltextrun"/>
          <w:rFonts w:eastAsiaTheme="majorEastAsia"/>
          <w:sz w:val="16"/>
          <w:szCs w:val="16"/>
        </w:rPr>
        <w:t> making declarations,  </w:t>
      </w:r>
      <w:r>
        <w:rPr>
          <w:rStyle w:val="normaltextrun"/>
          <w:rFonts w:eastAsiaTheme="majorEastAsia"/>
          <w:sz w:val="22"/>
          <w:szCs w:val="22"/>
          <w:u w:val="single"/>
        </w:rPr>
        <w:t>stating </w:t>
      </w:r>
      <w:r>
        <w:rPr>
          <w:rStyle w:val="normaltextrun"/>
          <w:rFonts w:eastAsiaTheme="majorEastAsia"/>
          <w:b/>
          <w:bCs/>
          <w:sz w:val="22"/>
          <w:szCs w:val="22"/>
          <w:u w:val="single"/>
          <w:shd w:val="clear" w:color="auto" w:fill="00FFFF"/>
        </w:rPr>
        <w:t>policies</w:t>
      </w:r>
      <w:r>
        <w:rPr>
          <w:rStyle w:val="normaltextrun"/>
          <w:rFonts w:eastAsiaTheme="majorEastAsia"/>
          <w:sz w:val="16"/>
          <w:szCs w:val="16"/>
        </w:rPr>
        <w:t>, and making decisions where some other form is not  required. A bill includes the constitutionally required enacting clause; </w:t>
      </w:r>
      <w:r>
        <w:rPr>
          <w:rStyle w:val="contextualspellingandgrammarerror"/>
          <w:sz w:val="22"/>
          <w:szCs w:val="22"/>
          <w:u w:val="single"/>
        </w:rPr>
        <w:t>a</w:t>
      </w:r>
      <w:proofErr w:type="gramStart"/>
      <w:r>
        <w:rPr>
          <w:rStyle w:val="contextualspellingandgrammarerror"/>
          <w:sz w:val="22"/>
          <w:szCs w:val="22"/>
          <w:u w:val="single"/>
        </w:rPr>
        <w:t>  resolution</w:t>
      </w:r>
      <w:proofErr w:type="gramEnd"/>
      <w:r>
        <w:rPr>
          <w:rStyle w:val="normaltextrun"/>
          <w:rFonts w:eastAsiaTheme="majorEastAsia"/>
          <w:sz w:val="22"/>
          <w:szCs w:val="22"/>
          <w:u w:val="single"/>
        </w:rPr>
        <w:t> uses the term "resolved". </w:t>
      </w:r>
      <w:r>
        <w:rPr>
          <w:rStyle w:val="normaltextrun"/>
          <w:rFonts w:eastAsiaTheme="majorEastAsia"/>
          <w:sz w:val="16"/>
          <w:szCs w:val="16"/>
        </w:rPr>
        <w:t>Not subject to a time limit </w:t>
      </w:r>
      <w:r>
        <w:rPr>
          <w:rStyle w:val="contextualspellingandgrammarerror"/>
          <w:sz w:val="16"/>
          <w:szCs w:val="16"/>
        </w:rPr>
        <w:t>for</w:t>
      </w:r>
      <w:proofErr w:type="gramStart"/>
      <w:r>
        <w:rPr>
          <w:rStyle w:val="contextualspellingandgrammarerror"/>
          <w:sz w:val="16"/>
          <w:szCs w:val="16"/>
        </w:rPr>
        <w:t>  introduction</w:t>
      </w:r>
      <w:proofErr w:type="gramEnd"/>
      <w:r>
        <w:rPr>
          <w:rStyle w:val="normaltextrun"/>
          <w:rFonts w:eastAsiaTheme="majorEastAsia"/>
          <w:sz w:val="16"/>
          <w:szCs w:val="16"/>
        </w:rPr>
        <w:t> nor to governor's veto. </w:t>
      </w:r>
      <w:proofErr w:type="gramStart"/>
      <w:r>
        <w:rPr>
          <w:rStyle w:val="normaltextrun"/>
          <w:rFonts w:eastAsiaTheme="majorEastAsia"/>
          <w:sz w:val="16"/>
          <w:szCs w:val="16"/>
        </w:rPr>
        <w:t>( Const</w:t>
      </w:r>
      <w:proofErr w:type="gramEnd"/>
      <w:r>
        <w:rPr>
          <w:rStyle w:val="normaltextrun"/>
          <w:rFonts w:eastAsiaTheme="majorEastAsia"/>
          <w:sz w:val="16"/>
          <w:szCs w:val="16"/>
        </w:rPr>
        <w:t>. Art. III, §17(B) and House</w:t>
      </w:r>
      <w:proofErr w:type="gramStart"/>
      <w:r>
        <w:rPr>
          <w:rStyle w:val="normaltextrun"/>
          <w:rFonts w:eastAsiaTheme="majorEastAsia"/>
          <w:sz w:val="16"/>
          <w:szCs w:val="16"/>
        </w:rPr>
        <w:t>  Rules</w:t>
      </w:r>
      <w:proofErr w:type="gramEnd"/>
      <w:r>
        <w:rPr>
          <w:rStyle w:val="normaltextrun"/>
          <w:rFonts w:eastAsiaTheme="majorEastAsia"/>
          <w:sz w:val="16"/>
          <w:szCs w:val="16"/>
        </w:rPr>
        <w:t> 8.11 , 13.1 , 6.8 , and 7.4)</w:t>
      </w:r>
      <w:r>
        <w:rPr>
          <w:rStyle w:val="eop"/>
          <w:sz w:val="16"/>
          <w:szCs w:val="16"/>
        </w:rPr>
        <w:t> </w:t>
      </w:r>
    </w:p>
    <w:p w:rsidR="0036662B" w:rsidRDefault="0036662B" w:rsidP="0036662B">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b/>
          <w:bCs/>
          <w:szCs w:val="26"/>
        </w:rPr>
        <w:t>“Resolved” before a colon reflects a legislative forum</w:t>
      </w:r>
      <w:r>
        <w:rPr>
          <w:rStyle w:val="eop"/>
          <w:sz w:val="26"/>
          <w:szCs w:val="26"/>
        </w:rPr>
        <w:t> </w:t>
      </w:r>
    </w:p>
    <w:p w:rsidR="0036662B" w:rsidRDefault="0036662B" w:rsidP="0036662B">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b/>
          <w:bCs/>
          <w:szCs w:val="26"/>
        </w:rPr>
        <w:t>Army Officer School ‘04</w:t>
      </w:r>
      <w:r>
        <w:rPr>
          <w:rStyle w:val="eop"/>
          <w:sz w:val="26"/>
          <w:szCs w:val="26"/>
        </w:rPr>
        <w:t> </w:t>
      </w:r>
    </w:p>
    <w:p w:rsidR="0036662B" w:rsidRDefault="0036662B" w:rsidP="0036662B">
      <w:pPr>
        <w:pStyle w:val="paragraph"/>
        <w:spacing w:before="0" w:beforeAutospacing="0" w:after="0" w:afterAutospacing="0"/>
        <w:ind w:firstLine="720"/>
        <w:textAlignment w:val="baseline"/>
        <w:rPr>
          <w:rFonts w:ascii="Segoe UI" w:hAnsi="Segoe UI" w:cs="Segoe UI"/>
          <w:sz w:val="18"/>
          <w:szCs w:val="18"/>
        </w:rPr>
      </w:pPr>
      <w:r>
        <w:rPr>
          <w:rStyle w:val="normaltextrun"/>
          <w:rFonts w:eastAsiaTheme="majorEastAsia"/>
          <w:sz w:val="16"/>
          <w:szCs w:val="16"/>
        </w:rPr>
        <w:t>(5-12, “# 12, Punctuation – The Colon and Semicolon”, http://usawocc.army.mil/IMI/wg12.htm)</w:t>
      </w:r>
      <w:r>
        <w:rPr>
          <w:rStyle w:val="eop"/>
          <w:sz w:val="16"/>
          <w:szCs w:val="16"/>
        </w:rPr>
        <w:t> </w:t>
      </w:r>
    </w:p>
    <w:p w:rsidR="0036662B" w:rsidRDefault="0036662B" w:rsidP="0036662B">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22"/>
          <w:szCs w:val="22"/>
          <w:u w:val="single"/>
          <w:shd w:val="clear" w:color="auto" w:fill="00FFFF"/>
        </w:rPr>
        <w:t>The colon introduces</w:t>
      </w:r>
      <w:r>
        <w:rPr>
          <w:rStyle w:val="normaltextrun"/>
          <w:rFonts w:eastAsiaTheme="majorEastAsia"/>
          <w:sz w:val="16"/>
          <w:szCs w:val="16"/>
        </w:rPr>
        <w:t xml:space="preserve"> the following: a.  A list, but only after "as follows," "the following," or a noun for which the list is an appositive: Each scout will carry the following: (colon) meals for three days, a survival knife, and his sleeping bag. The company had four new officers: (colon) Bill Smith, Frank Tucker, Peter Fillmore, and Oliver Lewis. b.  </w:t>
      </w:r>
      <w:proofErr w:type="gramStart"/>
      <w:r>
        <w:rPr>
          <w:rStyle w:val="normaltextrun"/>
          <w:rFonts w:eastAsiaTheme="majorEastAsia"/>
          <w:sz w:val="16"/>
          <w:szCs w:val="16"/>
        </w:rPr>
        <w:t>A</w:t>
      </w:r>
      <w:proofErr w:type="gramEnd"/>
      <w:r>
        <w:rPr>
          <w:rStyle w:val="normaltextrun"/>
          <w:rFonts w:eastAsiaTheme="majorEastAsia"/>
          <w:sz w:val="16"/>
          <w:szCs w:val="16"/>
        </w:rPr>
        <w:t> long quotation (one or more paragraphs): In The Killer Angels Michael </w:t>
      </w:r>
      <w:proofErr w:type="spellStart"/>
      <w:r>
        <w:rPr>
          <w:rStyle w:val="spellingerror"/>
          <w:sz w:val="16"/>
          <w:szCs w:val="16"/>
        </w:rPr>
        <w:t>Shaara</w:t>
      </w:r>
      <w:proofErr w:type="spellEnd"/>
      <w:r>
        <w:rPr>
          <w:rStyle w:val="normaltextrun"/>
          <w:rFonts w:eastAsiaTheme="majorEastAsia"/>
          <w:sz w:val="16"/>
          <w:szCs w:val="16"/>
        </w:rPr>
        <w:t xml:space="preserve"> wrote: (colon) You may find it a different story from the one you learned in school. There have been many versions of that battle [Gettysburg] and that war [the Civil War]. (The quote continues for two more paragraphs.) c.  </w:t>
      </w:r>
      <w:proofErr w:type="gramStart"/>
      <w:r>
        <w:rPr>
          <w:rStyle w:val="normaltextrun"/>
          <w:rFonts w:eastAsiaTheme="majorEastAsia"/>
          <w:sz w:val="16"/>
          <w:szCs w:val="16"/>
        </w:rPr>
        <w:t>A</w:t>
      </w:r>
      <w:proofErr w:type="gramEnd"/>
      <w:r>
        <w:rPr>
          <w:rStyle w:val="normaltextrun"/>
          <w:rFonts w:eastAsiaTheme="majorEastAsia"/>
          <w:sz w:val="16"/>
          <w:szCs w:val="16"/>
        </w:rPr>
        <w:t xml:space="preserve"> formal quotation or question: The President declared: (colon) "The only thing we have to fear is fear itself."  The question is: (colon) what can we do about it? d.  </w:t>
      </w:r>
      <w:proofErr w:type="gramStart"/>
      <w:r>
        <w:rPr>
          <w:rStyle w:val="normaltextrun"/>
          <w:rFonts w:eastAsiaTheme="majorEastAsia"/>
          <w:sz w:val="16"/>
          <w:szCs w:val="16"/>
        </w:rPr>
        <w:t>A</w:t>
      </w:r>
      <w:proofErr w:type="gramEnd"/>
      <w:r>
        <w:rPr>
          <w:rStyle w:val="normaltextrun"/>
          <w:rFonts w:eastAsiaTheme="majorEastAsia"/>
          <w:sz w:val="16"/>
          <w:szCs w:val="16"/>
        </w:rPr>
        <w:t xml:space="preserve"> second independent clause which explains the first: Potter's motive is clear: (colon) he wants the assignment. e.  </w:t>
      </w:r>
      <w:proofErr w:type="gramStart"/>
      <w:r>
        <w:rPr>
          <w:rStyle w:val="normaltextrun"/>
          <w:rFonts w:eastAsiaTheme="majorEastAsia"/>
          <w:sz w:val="16"/>
          <w:szCs w:val="16"/>
        </w:rPr>
        <w:t>After</w:t>
      </w:r>
      <w:proofErr w:type="gramEnd"/>
      <w:r>
        <w:rPr>
          <w:rStyle w:val="normaltextrun"/>
          <w:rFonts w:eastAsiaTheme="majorEastAsia"/>
          <w:sz w:val="16"/>
          <w:szCs w:val="16"/>
        </w:rPr>
        <w:t> the introduction of a business letter: Dear Sirs: (colon) Dear Madam: (colon) f.  The details following an announcement </w:t>
      </w:r>
      <w:r>
        <w:rPr>
          <w:rStyle w:val="contextualspellingandgrammarerror"/>
          <w:sz w:val="16"/>
          <w:szCs w:val="16"/>
        </w:rPr>
        <w:t>For</w:t>
      </w:r>
      <w:r>
        <w:rPr>
          <w:rStyle w:val="normaltextrun"/>
          <w:rFonts w:eastAsiaTheme="majorEastAsia"/>
          <w:sz w:val="16"/>
          <w:szCs w:val="16"/>
        </w:rPr>
        <w:t> sale: (colon) large lakeside cabin with dock g.  </w:t>
      </w:r>
      <w:r>
        <w:rPr>
          <w:rStyle w:val="normaltextrun"/>
          <w:rFonts w:eastAsiaTheme="majorEastAsia"/>
          <w:sz w:val="22"/>
          <w:szCs w:val="22"/>
          <w:u w:val="single"/>
          <w:shd w:val="clear" w:color="auto" w:fill="00FFFF"/>
        </w:rPr>
        <w:t>A </w:t>
      </w:r>
      <w:r>
        <w:rPr>
          <w:rStyle w:val="normaltextrun"/>
          <w:rFonts w:eastAsiaTheme="majorEastAsia"/>
          <w:b/>
          <w:bCs/>
          <w:sz w:val="22"/>
          <w:szCs w:val="22"/>
          <w:u w:val="single"/>
          <w:shd w:val="clear" w:color="auto" w:fill="00FFFF"/>
        </w:rPr>
        <w:t>formal resolution</w:t>
      </w:r>
      <w:r>
        <w:rPr>
          <w:rStyle w:val="normaltextrun"/>
          <w:rFonts w:eastAsiaTheme="majorEastAsia"/>
          <w:sz w:val="22"/>
          <w:szCs w:val="22"/>
          <w:u w:val="single"/>
          <w:shd w:val="clear" w:color="auto" w:fill="00FFFF"/>
        </w:rPr>
        <w:t>, after the word "</w:t>
      </w:r>
      <w:r>
        <w:rPr>
          <w:rStyle w:val="normaltextrun"/>
          <w:rFonts w:eastAsiaTheme="majorEastAsia"/>
          <w:b/>
          <w:bCs/>
          <w:sz w:val="22"/>
          <w:szCs w:val="22"/>
          <w:u w:val="single"/>
          <w:shd w:val="clear" w:color="auto" w:fill="00FFFF"/>
        </w:rPr>
        <w:t>resolved</w:t>
      </w:r>
      <w:r>
        <w:rPr>
          <w:rStyle w:val="normaltextrun"/>
          <w:rFonts w:eastAsiaTheme="majorEastAsia"/>
          <w:sz w:val="22"/>
          <w:szCs w:val="22"/>
          <w:u w:val="single"/>
          <w:shd w:val="clear" w:color="auto" w:fill="00FFFF"/>
        </w:rPr>
        <w:t>:"</w:t>
      </w:r>
      <w:r>
        <w:rPr>
          <w:rStyle w:val="eop"/>
          <w:szCs w:val="22"/>
        </w:rPr>
        <w:t> </w:t>
      </w:r>
    </w:p>
    <w:p w:rsidR="0036662B" w:rsidRDefault="0036662B" w:rsidP="0036662B">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22"/>
          <w:szCs w:val="22"/>
          <w:u w:val="single"/>
          <w:shd w:val="clear" w:color="auto" w:fill="00FFFF"/>
        </w:rPr>
        <w:t>Resolved: (colon)</w:t>
      </w:r>
      <w:r>
        <w:rPr>
          <w:rStyle w:val="normaltextrun"/>
          <w:rFonts w:eastAsiaTheme="majorEastAsia"/>
          <w:sz w:val="22"/>
          <w:szCs w:val="22"/>
          <w:u w:val="single"/>
        </w:rPr>
        <w:t> </w:t>
      </w:r>
      <w:proofErr w:type="gramStart"/>
      <w:r>
        <w:rPr>
          <w:rStyle w:val="normaltextrun"/>
          <w:rFonts w:eastAsiaTheme="majorEastAsia"/>
          <w:sz w:val="22"/>
          <w:szCs w:val="22"/>
          <w:u w:val="single"/>
        </w:rPr>
        <w:t>That</w:t>
      </w:r>
      <w:proofErr w:type="gramEnd"/>
      <w:r>
        <w:rPr>
          <w:rStyle w:val="normaltextrun"/>
          <w:rFonts w:eastAsiaTheme="majorEastAsia"/>
          <w:sz w:val="22"/>
          <w:szCs w:val="22"/>
          <w:u w:val="single"/>
        </w:rPr>
        <w:t> </w:t>
      </w:r>
      <w:r>
        <w:rPr>
          <w:rStyle w:val="normaltextrun"/>
          <w:rFonts w:eastAsiaTheme="majorEastAsia"/>
          <w:sz w:val="22"/>
          <w:szCs w:val="22"/>
          <w:u w:val="single"/>
          <w:shd w:val="clear" w:color="auto" w:fill="00FFFF"/>
        </w:rPr>
        <w:t>this council petition the mayor.</w:t>
      </w:r>
      <w:r>
        <w:rPr>
          <w:rStyle w:val="eop"/>
          <w:szCs w:val="22"/>
        </w:rPr>
        <w:t> </w:t>
      </w:r>
    </w:p>
    <w:p w:rsidR="0036662B" w:rsidRPr="0036662B" w:rsidRDefault="0036662B" w:rsidP="0036662B"/>
    <w:p w:rsidR="00DD0CA4" w:rsidRDefault="00DD0CA4" w:rsidP="00DD0CA4">
      <w:pPr>
        <w:pStyle w:val="paragraph"/>
        <w:spacing w:before="0" w:beforeAutospacing="0" w:after="0" w:afterAutospacing="0"/>
        <w:textAlignment w:val="baseline"/>
        <w:rPr>
          <w:rFonts w:ascii="Segoe UI" w:hAnsi="Segoe UI" w:cs="Segoe UI"/>
          <w:sz w:val="18"/>
          <w:szCs w:val="18"/>
        </w:rPr>
      </w:pPr>
      <w:r>
        <w:rPr>
          <w:rStyle w:val="normaltextrun"/>
          <w:rFonts w:ascii="Georgia" w:eastAsiaTheme="majorEastAsia" w:hAnsi="Georgia" w:cs="Segoe UI"/>
          <w:b/>
          <w:bCs/>
          <w:sz w:val="22"/>
          <w:szCs w:val="22"/>
        </w:rPr>
        <w:t>Resolved means a formal vote</w:t>
      </w:r>
    </w:p>
    <w:p w:rsidR="00DD0CA4" w:rsidRDefault="00DD0CA4" w:rsidP="00DD0CA4">
      <w:pPr>
        <w:pStyle w:val="paragraph"/>
        <w:spacing w:before="0" w:beforeAutospacing="0" w:after="0" w:afterAutospacing="0"/>
        <w:textAlignment w:val="baseline"/>
        <w:rPr>
          <w:rFonts w:ascii="Segoe UI" w:hAnsi="Segoe UI" w:cs="Segoe UI"/>
          <w:sz w:val="18"/>
          <w:szCs w:val="18"/>
        </w:rPr>
      </w:pPr>
      <w:r>
        <w:rPr>
          <w:rStyle w:val="normaltextrun"/>
          <w:rFonts w:ascii="Georgia" w:eastAsiaTheme="majorEastAsia" w:hAnsi="Georgia" w:cs="Segoe UI"/>
          <w:b/>
          <w:bCs/>
          <w:color w:val="0D0D0D"/>
          <w:sz w:val="22"/>
          <w:szCs w:val="22"/>
        </w:rPr>
        <w:t>Webster’s Revised Unabridged Dictionary, 1998</w:t>
      </w:r>
      <w:proofErr w:type="gramStart"/>
      <w:r>
        <w:rPr>
          <w:rStyle w:val="normaltextrun"/>
          <w:rFonts w:ascii="Georgia" w:eastAsiaTheme="majorEastAsia" w:hAnsi="Georgia" w:cs="Segoe UI"/>
          <w:color w:val="0D0D0D"/>
          <w:sz w:val="22"/>
          <w:szCs w:val="22"/>
        </w:rPr>
        <w:t>  (</w:t>
      </w:r>
      <w:proofErr w:type="gramEnd"/>
      <w:r>
        <w:rPr>
          <w:rStyle w:val="normaltextrun"/>
          <w:rFonts w:ascii="Georgia" w:eastAsiaTheme="majorEastAsia" w:hAnsi="Georgia" w:cs="Segoe UI"/>
          <w:color w:val="0D0D0D"/>
          <w:sz w:val="22"/>
          <w:szCs w:val="22"/>
        </w:rPr>
        <w:t>dictionary.com)</w:t>
      </w:r>
      <w:r>
        <w:rPr>
          <w:rStyle w:val="eop"/>
          <w:rFonts w:ascii="Georgia" w:hAnsi="Georgia" w:cs="Segoe UI"/>
          <w:szCs w:val="22"/>
        </w:rPr>
        <w:t> </w:t>
      </w:r>
    </w:p>
    <w:p w:rsidR="00DD0CA4" w:rsidRDefault="00DD0CA4" w:rsidP="00DD0CA4">
      <w:pPr>
        <w:pStyle w:val="paragraph"/>
        <w:spacing w:before="0" w:beforeAutospacing="0" w:after="0" w:afterAutospacing="0"/>
        <w:textAlignment w:val="baseline"/>
        <w:rPr>
          <w:rFonts w:ascii="Segoe UI" w:hAnsi="Segoe UI" w:cs="Segoe UI"/>
          <w:sz w:val="18"/>
          <w:szCs w:val="18"/>
        </w:rPr>
      </w:pPr>
      <w:r>
        <w:rPr>
          <w:rStyle w:val="normaltextrun"/>
          <w:rFonts w:ascii="Georgia" w:eastAsiaTheme="majorEastAsia" w:hAnsi="Georgia" w:cs="Segoe UI"/>
          <w:b/>
          <w:bCs/>
          <w:color w:val="0D0D0D"/>
          <w:sz w:val="22"/>
          <w:szCs w:val="22"/>
        </w:rPr>
        <w:t>Resolved:</w:t>
      </w:r>
      <w:r>
        <w:rPr>
          <w:rStyle w:val="eop"/>
          <w:rFonts w:ascii="Georgia" w:hAnsi="Georgia" w:cs="Segoe UI"/>
          <w:szCs w:val="22"/>
        </w:rPr>
        <w:t> </w:t>
      </w:r>
    </w:p>
    <w:p w:rsidR="00DD0CA4" w:rsidRDefault="00DD0CA4" w:rsidP="00DD0CA4">
      <w:pPr>
        <w:pStyle w:val="paragraph"/>
        <w:spacing w:before="0" w:beforeAutospacing="0" w:after="0" w:afterAutospacing="0"/>
        <w:textAlignment w:val="baseline"/>
        <w:rPr>
          <w:rFonts w:ascii="Segoe UI" w:hAnsi="Segoe UI" w:cs="Segoe UI"/>
          <w:sz w:val="18"/>
          <w:szCs w:val="18"/>
        </w:rPr>
      </w:pPr>
      <w:r>
        <w:rPr>
          <w:rStyle w:val="normaltextrun"/>
          <w:rFonts w:ascii="Georgia" w:eastAsiaTheme="majorEastAsia" w:hAnsi="Georgia" w:cs="Segoe UI"/>
          <w:color w:val="0D0D0D"/>
          <w:sz w:val="22"/>
          <w:szCs w:val="22"/>
        </w:rPr>
        <w:t>5. </w:t>
      </w:r>
      <w:r>
        <w:rPr>
          <w:rStyle w:val="normaltextrun"/>
          <w:rFonts w:ascii="Georgia" w:eastAsiaTheme="majorEastAsia" w:hAnsi="Georgia" w:cs="Segoe UI"/>
          <w:color w:val="0D0D0D"/>
          <w:sz w:val="22"/>
          <w:szCs w:val="22"/>
          <w:u w:val="single"/>
        </w:rPr>
        <w:t>To express, as an opinion or determination, by resolution and vote; to declare or decide by a formal vote; -- followed by a clause</w:t>
      </w:r>
      <w:r>
        <w:rPr>
          <w:rStyle w:val="normaltextrun"/>
          <w:rFonts w:ascii="Georgia" w:eastAsiaTheme="majorEastAsia" w:hAnsi="Georgia" w:cs="Segoe UI"/>
          <w:color w:val="0D0D0D"/>
          <w:sz w:val="22"/>
          <w:szCs w:val="22"/>
        </w:rPr>
        <w:t>; as, the house resolved (or, it was resolved by the house) that no money should be </w:t>
      </w:r>
      <w:proofErr w:type="spellStart"/>
      <w:r>
        <w:rPr>
          <w:rStyle w:val="spellingerror"/>
          <w:rFonts w:ascii="Georgia" w:hAnsi="Georgia" w:cs="Segoe UI"/>
          <w:color w:val="0D0D0D"/>
          <w:sz w:val="22"/>
          <w:szCs w:val="22"/>
        </w:rPr>
        <w:t>apropriated</w:t>
      </w:r>
      <w:proofErr w:type="spellEnd"/>
      <w:r>
        <w:rPr>
          <w:rStyle w:val="normaltextrun"/>
          <w:rFonts w:ascii="Georgia" w:eastAsiaTheme="majorEastAsia" w:hAnsi="Georgia" w:cs="Segoe UI"/>
          <w:color w:val="0D0D0D"/>
          <w:sz w:val="22"/>
          <w:szCs w:val="22"/>
        </w:rPr>
        <w:t> (or, to appropriate no money).</w:t>
      </w:r>
      <w:r>
        <w:rPr>
          <w:rStyle w:val="eop"/>
          <w:rFonts w:ascii="Georgia" w:hAnsi="Georgia" w:cs="Segoe UI"/>
          <w:szCs w:val="22"/>
        </w:rPr>
        <w:t> </w:t>
      </w:r>
    </w:p>
    <w:p w:rsidR="00DD0CA4" w:rsidRDefault="00DD0CA4" w:rsidP="00DD0CA4">
      <w:pPr>
        <w:pStyle w:val="paragraph"/>
        <w:spacing w:before="0" w:beforeAutospacing="0" w:after="0" w:afterAutospacing="0"/>
        <w:textAlignment w:val="baseline"/>
        <w:rPr>
          <w:rFonts w:ascii="Segoe UI" w:hAnsi="Segoe UI" w:cs="Segoe UI"/>
          <w:sz w:val="18"/>
          <w:szCs w:val="18"/>
        </w:rPr>
      </w:pPr>
      <w:r>
        <w:rPr>
          <w:rStyle w:val="eop"/>
          <w:rFonts w:ascii="Georgia" w:hAnsi="Georgia" w:cs="Segoe UI"/>
          <w:szCs w:val="22"/>
        </w:rPr>
        <w:t> </w:t>
      </w:r>
    </w:p>
    <w:p w:rsidR="003E6D25" w:rsidRDefault="003E6D25" w:rsidP="003E6D25">
      <w:pPr>
        <w:pStyle w:val="Heading4"/>
      </w:pPr>
      <w:r>
        <w:t xml:space="preserve">Resolve means analyze </w:t>
      </w:r>
    </w:p>
    <w:p w:rsidR="003E6D25" w:rsidRDefault="003E6D25" w:rsidP="003E6D25">
      <w:pPr>
        <w:rPr>
          <w:sz w:val="16"/>
        </w:rPr>
      </w:pPr>
      <w:r w:rsidRPr="00A25C74">
        <w:rPr>
          <w:rStyle w:val="Style13ptBold"/>
        </w:rPr>
        <w:t>The Century Dictionary and Cyclopedia 6</w:t>
      </w:r>
      <w:r>
        <w:rPr>
          <w:rStyle w:val="Style13ptBold"/>
        </w:rPr>
        <w:t xml:space="preserve"> </w:t>
      </w:r>
      <w:r>
        <w:rPr>
          <w:sz w:val="16"/>
        </w:rPr>
        <w:t>https://www.wordnik.com/words/resolve</w:t>
      </w:r>
    </w:p>
    <w:p w:rsidR="003E6D25" w:rsidRPr="00A25C74" w:rsidRDefault="003E6D25" w:rsidP="003E6D25">
      <w:pPr>
        <w:rPr>
          <w:sz w:val="16"/>
        </w:rPr>
      </w:pPr>
      <w:r>
        <w:rPr>
          <w:rStyle w:val="StyleUnderline"/>
          <w:highlight w:val="yellow"/>
        </w:rPr>
        <w:t xml:space="preserve">Resolve: </w:t>
      </w:r>
      <w:r w:rsidRPr="00A25C74">
        <w:rPr>
          <w:rStyle w:val="StyleUnderline"/>
          <w:highlight w:val="yellow"/>
        </w:rPr>
        <w:t>To analyze; reduce by mental analysis</w:t>
      </w:r>
      <w:r>
        <w:rPr>
          <w:sz w:val="16"/>
        </w:rPr>
        <w:t>.</w:t>
      </w:r>
    </w:p>
    <w:p w:rsidR="003E6D25" w:rsidRDefault="003E6D25" w:rsidP="003E6D25">
      <w:pPr>
        <w:pStyle w:val="Heading4"/>
      </w:pPr>
      <w:r>
        <w:t>It can include choosing not to do</w:t>
      </w:r>
    </w:p>
    <w:p w:rsidR="003E6D25" w:rsidRDefault="003E6D25" w:rsidP="003E6D25">
      <w:r w:rsidRPr="00AD7BDC">
        <w:rPr>
          <w:rStyle w:val="Style13ptBold"/>
        </w:rPr>
        <w:t>Carmarthenshire Planning Committee 16</w:t>
      </w:r>
      <w:r>
        <w:rPr>
          <w:rStyle w:val="Style13ptBold"/>
        </w:rPr>
        <w:t xml:space="preserve"> </w:t>
      </w:r>
      <w:r>
        <w:t>http://democracy.carmarthenshire.gov.wales/documents/s4707/Summary.pdf</w:t>
      </w:r>
    </w:p>
    <w:p w:rsidR="003E6D25" w:rsidRPr="00062E07" w:rsidRDefault="003E6D25" w:rsidP="003E6D25">
      <w:pPr>
        <w:rPr>
          <w:rStyle w:val="Style13ptBold"/>
          <w:b w:val="0"/>
          <w:bCs w:val="0"/>
          <w:sz w:val="16"/>
        </w:rPr>
      </w:pPr>
      <w:r w:rsidRPr="00A25C74">
        <w:rPr>
          <w:sz w:val="16"/>
        </w:rPr>
        <w:t>The National target of resolving a case within 12 weeks remains, and will be reported to Planning Committees as previous .</w:t>
      </w:r>
      <w:r w:rsidRPr="00AD7BDC">
        <w:rPr>
          <w:rStyle w:val="StyleUnderline"/>
          <w:highlight w:val="yellow"/>
        </w:rPr>
        <w:t>Resolved is defined as</w:t>
      </w:r>
      <w:r w:rsidRPr="00A25C74">
        <w:rPr>
          <w:sz w:val="16"/>
        </w:rPr>
        <w:t xml:space="preserve">: </w:t>
      </w:r>
      <w:proofErr w:type="spellStart"/>
      <w:r w:rsidRPr="00A25C74">
        <w:rPr>
          <w:sz w:val="16"/>
        </w:rPr>
        <w:t>i</w:t>
      </w:r>
      <w:proofErr w:type="spellEnd"/>
      <w:r w:rsidRPr="00A25C74">
        <w:rPr>
          <w:sz w:val="16"/>
        </w:rPr>
        <w:t xml:space="preserve">) No breach found ii) </w:t>
      </w:r>
      <w:r w:rsidRPr="00AD7BDC">
        <w:rPr>
          <w:rStyle w:val="StyleUnderline"/>
          <w:highlight w:val="yellow"/>
        </w:rPr>
        <w:t>Not expedient to take action</w:t>
      </w:r>
      <w:r w:rsidRPr="00A25C74">
        <w:rPr>
          <w:sz w:val="16"/>
        </w:rPr>
        <w:t xml:space="preserve"> iii) Breach ceased iv) Retrospective planning application received v) Relevant notice served</w:t>
      </w:r>
    </w:p>
    <w:p w:rsidR="003E6D25" w:rsidRPr="003E6D25" w:rsidRDefault="003E6D25" w:rsidP="003E6D25">
      <w:pPr>
        <w:pStyle w:val="Heading4"/>
      </w:pPr>
      <w:r w:rsidRPr="003E6D25">
        <w:t>Resolved means to make a decision about</w:t>
      </w:r>
    </w:p>
    <w:p w:rsidR="003E6D25" w:rsidRDefault="003E6D25" w:rsidP="003E6D25">
      <w:proofErr w:type="spellStart"/>
      <w:r w:rsidRPr="00E35018">
        <w:rPr>
          <w:rStyle w:val="Style13ptBold"/>
        </w:rPr>
        <w:t>Sentelle</w:t>
      </w:r>
      <w:proofErr w:type="spellEnd"/>
      <w:r w:rsidRPr="00E35018">
        <w:rPr>
          <w:rStyle w:val="Style13ptBold"/>
        </w:rPr>
        <w:t xml:space="preserve"> 7</w:t>
      </w:r>
      <w:r>
        <w:rPr>
          <w:rStyle w:val="Style13ptBold"/>
        </w:rPr>
        <w:t xml:space="preserve"> </w:t>
      </w:r>
      <w:r>
        <w:t>Judge D.C. Circuit Court of Appeals, United States Court of Appeals FOR THE DISTRICT OF COLUMBIA CIRCUIT Argued September 24, 2007 Decided October 26, 2007 No. 06-1354 ASSOCIATION OF CIVILIAN TECHNICIANS, NEW YORK STATE COUNCIL, PETITIONER v. FEDERAL LABOR RELATIONS AUTHORITY, RESPONDENT On Petition for Review of an Order of the Federal Labor Relations Authority, https://www.cadc.uscourts.gov/internet/opinions.nsf/9EEEF30A6E4F20AE852574400046EC60/$file/06-1354a.pdf</w:t>
      </w:r>
    </w:p>
    <w:p w:rsidR="003E6D25" w:rsidRDefault="003E6D25" w:rsidP="003E6D25">
      <w:pPr>
        <w:rPr>
          <w:sz w:val="16"/>
        </w:rPr>
      </w:pPr>
      <w:r w:rsidRPr="00E35018">
        <w:rPr>
          <w:sz w:val="16"/>
        </w:rPr>
        <w:t>The union reads the statute correctly. “</w:t>
      </w:r>
      <w:r w:rsidRPr="00E35018">
        <w:rPr>
          <w:rStyle w:val="StyleUnderline"/>
          <w:highlight w:val="yellow"/>
        </w:rPr>
        <w:t>Resolve” means “to reach a decision about</w:t>
      </w:r>
      <w:r w:rsidRPr="00E35018">
        <w:rPr>
          <w:sz w:val="16"/>
        </w:rPr>
        <w:t>” or “settle.” Webster’s Third New International Dictionary 1933 (1993). Under the Authority’s “no obligation” rule, however, the grievance process may end without deciding a union’s unfair labor practice claim or settling it in any meaningful sense. The claim can simply evaporate.</w:t>
      </w:r>
    </w:p>
    <w:p w:rsidR="003E6D25" w:rsidRDefault="003E6D25" w:rsidP="003E6D25">
      <w:pPr>
        <w:pStyle w:val="Heading4"/>
        <w:rPr>
          <w:rFonts w:cs="Calibri"/>
          <w:color w:val="002060"/>
        </w:rPr>
      </w:pPr>
    </w:p>
    <w:p w:rsidR="00A82BFF" w:rsidRPr="00A82BFF" w:rsidRDefault="00A82BFF" w:rsidP="00A82BFF"/>
    <w:p w:rsidR="00655249" w:rsidRDefault="00655249" w:rsidP="00655249"/>
    <w:p w:rsidR="00655249" w:rsidRDefault="00655249" w:rsidP="009907A0">
      <w:pPr>
        <w:pStyle w:val="Heading1"/>
      </w:pPr>
      <w:r>
        <w:t>Affirmative Specific Evidence</w:t>
      </w:r>
    </w:p>
    <w:p w:rsidR="009907A0" w:rsidRDefault="009907A0" w:rsidP="009907A0"/>
    <w:p w:rsidR="009907A0" w:rsidRDefault="009907A0" w:rsidP="009907A0"/>
    <w:p w:rsidR="009907A0" w:rsidRDefault="009907A0" w:rsidP="009907A0">
      <w:pPr>
        <w:pStyle w:val="Heading2"/>
      </w:pPr>
      <w:r>
        <w:t>Bi Directional—</w:t>
      </w:r>
      <w:proofErr w:type="gramStart"/>
      <w:r>
        <w:t>Can</w:t>
      </w:r>
      <w:proofErr w:type="gramEnd"/>
      <w:r>
        <w:t xml:space="preserve"> increase punishment</w:t>
      </w:r>
    </w:p>
    <w:p w:rsidR="009907A0" w:rsidRDefault="009907A0" w:rsidP="009907A0"/>
    <w:p w:rsidR="00FF5D2F" w:rsidRDefault="00FF5D2F" w:rsidP="00FF5D2F">
      <w:pPr>
        <w:pStyle w:val="Heading4"/>
      </w:pPr>
      <w:r>
        <w:t>Sentencing reform includes increasing penalties</w:t>
      </w:r>
    </w:p>
    <w:p w:rsidR="00FF5D2F" w:rsidRDefault="00FF5D2F" w:rsidP="00FF5D2F">
      <w:proofErr w:type="spellStart"/>
      <w:r w:rsidRPr="00A95AC8">
        <w:rPr>
          <w:rStyle w:val="Style13ptBold"/>
        </w:rPr>
        <w:t>Tonry</w:t>
      </w:r>
      <w:proofErr w:type="spellEnd"/>
      <w:r w:rsidRPr="00A95AC8">
        <w:rPr>
          <w:rStyle w:val="Style13ptBold"/>
        </w:rPr>
        <w:t xml:space="preserve"> 5</w:t>
      </w:r>
      <w:r>
        <w:t xml:space="preserve"> Michael </w:t>
      </w:r>
      <w:proofErr w:type="spellStart"/>
      <w:r>
        <w:t>Tonry</w:t>
      </w:r>
      <w:proofErr w:type="spellEnd"/>
      <w:r>
        <w:t xml:space="preserve">, </w:t>
      </w:r>
      <w:proofErr w:type="spellStart"/>
      <w:r>
        <w:t>Sonosky</w:t>
      </w:r>
      <w:proofErr w:type="spellEnd"/>
      <w:r>
        <w:t xml:space="preserve"> Professor of Law and Public Policy and Director, Institute on Crime and Public Policy, University of Minnesota Law School; Senior Fellow, Netherlands Institute for the Study of Crime and Law Enforcement THE FUNCTIONS OF SENTENCING AND SENTENCING REFORM, TONRY FUNCTIONS OF SENTENCING REFORM 58 STAN. L. REV. 37 10/28/2005 http://www.stanfordlawreview.org/wp-content/uploads/sites/3/2010/04/Tonry.pdf</w:t>
      </w:r>
    </w:p>
    <w:p w:rsidR="00FF5D2F" w:rsidRPr="00B92C0A" w:rsidRDefault="00FF5D2F" w:rsidP="00FF5D2F">
      <w:pPr>
        <w:rPr>
          <w:sz w:val="16"/>
        </w:rPr>
      </w:pPr>
      <w:r w:rsidRPr="00B92C0A">
        <w:rPr>
          <w:sz w:val="16"/>
        </w:rPr>
        <w:t xml:space="preserve">When the U.S. Sentencing Commission began its work, Frankel’s aims for the Commission (political insulation and specialist expertise) and for the Guidelines (procedural fairness and reduced disparities) were no longer in vogue. Instead, </w:t>
      </w:r>
      <w:r w:rsidRPr="00AB1373">
        <w:rPr>
          <w:rStyle w:val="StyleUnderline"/>
          <w:highlight w:val="yellow"/>
        </w:rPr>
        <w:t>the Sentencing Reform Act contained numerous provisions calling for harsher penalties</w:t>
      </w:r>
      <w:proofErr w:type="gramStart"/>
      <w:r w:rsidRPr="00B92C0A">
        <w:rPr>
          <w:sz w:val="16"/>
        </w:rPr>
        <w:t>,14</w:t>
      </w:r>
      <w:proofErr w:type="gramEnd"/>
      <w:r w:rsidRPr="00B92C0A">
        <w:rPr>
          <w:sz w:val="16"/>
        </w:rPr>
        <w:t xml:space="preserve"> and the Commission made no serious effort to insulate itself from political influence. In enacting the Anti-Drug Abuse Act of 1986, creating a slew of mandatory minimum sentences for drug crimes, the Congress undermined the Commission’s autonomy and authority even before the initial Guidelines were promulgated.15</w:t>
      </w:r>
    </w:p>
    <w:p w:rsidR="00FF5D2F" w:rsidRDefault="00FF5D2F" w:rsidP="00FF5D2F"/>
    <w:p w:rsidR="00FF5D2F" w:rsidRDefault="00FF5D2F" w:rsidP="009907A0"/>
    <w:p w:rsidR="009907A0" w:rsidRDefault="009907A0" w:rsidP="009907A0">
      <w:pPr>
        <w:pStyle w:val="Heading4"/>
      </w:pPr>
      <w:r>
        <w:t>CJR can include increasing sentences</w:t>
      </w:r>
    </w:p>
    <w:p w:rsidR="009907A0" w:rsidRDefault="009907A0" w:rsidP="009907A0">
      <w:proofErr w:type="spellStart"/>
      <w:r w:rsidRPr="00950442">
        <w:rPr>
          <w:rStyle w:val="Style13ptBold"/>
        </w:rPr>
        <w:t>Rizer</w:t>
      </w:r>
      <w:proofErr w:type="spellEnd"/>
      <w:r w:rsidRPr="00950442">
        <w:rPr>
          <w:rStyle w:val="Style13ptBold"/>
        </w:rPr>
        <w:t xml:space="preserve"> 16</w:t>
      </w:r>
      <w:r>
        <w:t xml:space="preserve"> Arthur </w:t>
      </w:r>
      <w:proofErr w:type="spellStart"/>
      <w:r>
        <w:t>Rizer</w:t>
      </w:r>
      <w:proofErr w:type="spellEnd"/>
      <w:r>
        <w:t xml:space="preserve"> Director, Criminal Justice &amp; Civil Liberties; Resident Senior Fellow, Criminal justice reform doesn’t have to mean ‘soft on crime’, Sept 16, 2016 </w:t>
      </w:r>
      <w:hyperlink r:id="rId44" w:history="1">
        <w:r w:rsidRPr="00A7141D">
          <w:rPr>
            <w:rStyle w:val="Hyperlink"/>
          </w:rPr>
          <w:t>https://www.rstreet.org/2016/09/16/criminal-justice-reform-doesnt-have-to-mean-soft-on-crime/</w:t>
        </w:r>
      </w:hyperlink>
    </w:p>
    <w:p w:rsidR="009907A0" w:rsidRDefault="009907A0" w:rsidP="009907A0">
      <w:pPr>
        <w:rPr>
          <w:sz w:val="16"/>
        </w:rPr>
      </w:pPr>
      <w:r w:rsidRPr="00950442">
        <w:rPr>
          <w:rStyle w:val="StyleUnderline"/>
        </w:rPr>
        <w:t>The phrase “</w:t>
      </w:r>
      <w:r w:rsidRPr="009907A0">
        <w:rPr>
          <w:rStyle w:val="StyleUnderline"/>
          <w:highlight w:val="yellow"/>
        </w:rPr>
        <w:t>criminal justice reform</w:t>
      </w:r>
      <w:r w:rsidRPr="00950442">
        <w:rPr>
          <w:sz w:val="16"/>
        </w:rPr>
        <w:t xml:space="preserve">” is loaded with emotional impact. To some, the words translate to “soft on crime,” which has been a political mantra and damning epithet for more than 30 years. To others, it represents subjugation of the poor and minorities. Laws passed during the 1980s under the label of “reform” created vast sentencing disparities between powder and crack cocaine offenses, with crack crimes receiving sentences up to 100 times longer than those associated with powder cocaine crimes. It was not missed that crack addicts were largely economically bereft, disproportionately black, and living in the inner cities of America. That sentiment will no doubt come to the fore as the U.S. House of Representatives plans to take up </w:t>
      </w:r>
      <w:r w:rsidRPr="00950442">
        <w:rPr>
          <w:rStyle w:val="StyleUnderline"/>
        </w:rPr>
        <w:t>a legislative package</w:t>
      </w:r>
      <w:r w:rsidRPr="00950442">
        <w:rPr>
          <w:sz w:val="16"/>
        </w:rPr>
        <w:t xml:space="preserve"> this coming month that </w:t>
      </w:r>
      <w:r w:rsidRPr="00950442">
        <w:rPr>
          <w:rStyle w:val="StyleUnderline"/>
        </w:rPr>
        <w:t>takes a balanced approach to criminal justice reform</w:t>
      </w:r>
      <w:r w:rsidRPr="00950442">
        <w:rPr>
          <w:sz w:val="16"/>
        </w:rPr>
        <w:t xml:space="preserve">. Some fear these changes, believing we are on the cusp of a nationwide crime wave. In fact, on the national level, crime continues to go down. But more importantly, conservatives should welcome these reforms as long-overdue efforts to preserve fairness, protect taxpayers and reinstate the cherished values of federalism. The statistics most often-cited as support for the belief that a crime wave is looming deal with a recent rise of violent crime in some of the nation’s biggest cities. Perhaps most alarmingly, Chicago suffered 2,988 shootings in 2015 and has seen 2,739 through Aug. 25, 2016. But it bears noting that even in Chicago, where fears about the violent crime wave certainly are legitimate, the crimes are concentrated in a few neighborhoods on the city’s South and West sides. These are areas that have struggled with crime and poverty for generations. It would be inappropriate for Congress to view its current criminal-justice-reform package – which include bills that range from raising the standard of proof needed in civil asset forfeiture cases to </w:t>
      </w:r>
      <w:proofErr w:type="spellStart"/>
      <w:r w:rsidRPr="00950442">
        <w:rPr>
          <w:sz w:val="16"/>
        </w:rPr>
        <w:t>mens</w:t>
      </w:r>
      <w:proofErr w:type="spellEnd"/>
      <w:r w:rsidRPr="00950442">
        <w:rPr>
          <w:sz w:val="16"/>
        </w:rPr>
        <w:t xml:space="preserve"> rea reform to reducing mandatory minimum sentences for drug offenses – only through the myopic lens of violent crimes in a few major cities and in a few neighborhoods of those cities. This is particularly true when one considers that these crimes are almost solely within state and local jurisdiction and would not be affected by the federal reforms currently under consideration. Congress’ ability to micromanage criminal sentencing is limited. Most convictions are imposed at the local levels, while federal laws are more of a “meat cleaver” tool than a precision instrument. Moreover, </w:t>
      </w:r>
      <w:r w:rsidRPr="00950442">
        <w:rPr>
          <w:rStyle w:val="StyleUnderline"/>
        </w:rPr>
        <w:t>the</w:t>
      </w:r>
      <w:r w:rsidRPr="00950442">
        <w:rPr>
          <w:sz w:val="16"/>
        </w:rPr>
        <w:t xml:space="preserve"> modest </w:t>
      </w:r>
      <w:r w:rsidRPr="009907A0">
        <w:rPr>
          <w:rStyle w:val="StyleUnderline"/>
          <w:highlight w:val="yellow"/>
        </w:rPr>
        <w:t>reforms before Congress</w:t>
      </w:r>
      <w:r w:rsidRPr="00950442">
        <w:rPr>
          <w:sz w:val="16"/>
        </w:rPr>
        <w:t xml:space="preserve"> can hardly be accused of being “soft.” Not only will they save taxpayers money, but they also will help ensure at the federal level that those with violent convictions stay where they belong – behind bars. Indeed, H.R. 3713 – the measure targeted for perhaps the most criticism for allegedly being “soft on crime” – specifically excludes anyone with state or federal violent felony convictions from its mandatory minimum relief. The legislation also </w:t>
      </w:r>
      <w:r w:rsidRPr="009907A0">
        <w:rPr>
          <w:rStyle w:val="StyleUnderline"/>
          <w:highlight w:val="yellow"/>
        </w:rPr>
        <w:t>increases punishment for crimes involving firearms, as well as those drug-trafficking offenses involving fentanyl or heroin</w:t>
      </w:r>
      <w:r w:rsidRPr="00950442">
        <w:rPr>
          <w:sz w:val="16"/>
        </w:rPr>
        <w:t>, an attempt to stem the opiate epidemic seen in many parts of the United States. In short, the current criminal justice package before Congress takes a scalpel to make modest reforms that will save money and refocus attention on those who deserve to be punished.</w:t>
      </w:r>
    </w:p>
    <w:p w:rsidR="009907A0" w:rsidRDefault="009907A0" w:rsidP="009907A0"/>
    <w:p w:rsidR="009907A0" w:rsidRDefault="009907A0" w:rsidP="009907A0"/>
    <w:p w:rsidR="009907A0" w:rsidRDefault="009907A0" w:rsidP="009907A0">
      <w:pPr>
        <w:pStyle w:val="Heading4"/>
      </w:pPr>
      <w:r>
        <w:t xml:space="preserve">Common person </w:t>
      </w:r>
      <w:proofErr w:type="spellStart"/>
      <w:r>
        <w:t>definitons</w:t>
      </w:r>
      <w:proofErr w:type="spellEnd"/>
      <w:r>
        <w:t xml:space="preserve"> of CJR incudes increasing sentences</w:t>
      </w:r>
    </w:p>
    <w:p w:rsidR="009907A0" w:rsidRDefault="009907A0" w:rsidP="009907A0">
      <w:proofErr w:type="spellStart"/>
      <w:r w:rsidRPr="00EA0633">
        <w:rPr>
          <w:rStyle w:val="Style13ptBold"/>
        </w:rPr>
        <w:t>Halpin</w:t>
      </w:r>
      <w:proofErr w:type="spellEnd"/>
      <w:r w:rsidRPr="00EA0633">
        <w:rPr>
          <w:rStyle w:val="Style13ptBold"/>
        </w:rPr>
        <w:t xml:space="preserve"> et al 19</w:t>
      </w:r>
      <w:r>
        <w:t xml:space="preserve"> John </w:t>
      </w:r>
      <w:proofErr w:type="spellStart"/>
      <w:r>
        <w:t>Halpin</w:t>
      </w:r>
      <w:proofErr w:type="spellEnd"/>
      <w:r>
        <w:t xml:space="preserve"> Senior Fellow; Co-Director, Politics and Elections Center for American Progress, Ed Chung Vice President, Criminal Justice Reform Center for American Progress, Karl </w:t>
      </w:r>
      <w:proofErr w:type="spellStart"/>
      <w:r>
        <w:t>Agne</w:t>
      </w:r>
      <w:proofErr w:type="spellEnd"/>
      <w:r>
        <w:t xml:space="preserve"> is a founding partner and principal at GBAO, and Lea Hunter Lea Hunter is a research associate for Criminal Justice Reform at American Progress, September 10, 2019, 25 Years After the 1994 Crime Bill, Voters Back Criminal Justice Reforms, https://www.americanprogressaction.org/issues/criminal-justice/reports/2019/09/10/174927/25-years-1994-crime-bill-voters-back-criminal-justice-reforms/</w:t>
      </w:r>
    </w:p>
    <w:p w:rsidR="009907A0" w:rsidRPr="004135C0" w:rsidRDefault="009907A0" w:rsidP="009907A0">
      <w:pPr>
        <w:rPr>
          <w:sz w:val="16"/>
        </w:rPr>
      </w:pPr>
      <w:r w:rsidRPr="004135C0">
        <w:rPr>
          <w:sz w:val="16"/>
        </w:rPr>
        <w:t xml:space="preserve">As voters and political leaders debate these issues ahead of the 2020 presidential election, the Center for American Progress Action Fund and its partners at GBAO, a public opinion research firm, set out to get a clearer picture of how voters today think about crime, punishment, prevention, and potential bias in the criminal justice system. </w:t>
      </w:r>
      <w:r w:rsidRPr="004135C0">
        <w:rPr>
          <w:rStyle w:val="StyleUnderline"/>
          <w:highlight w:val="yellow"/>
        </w:rPr>
        <w:t>The authors of this study designed a national survey of 1,000 registered voters</w:t>
      </w:r>
      <w:r w:rsidRPr="004135C0">
        <w:rPr>
          <w:sz w:val="16"/>
        </w:rPr>
        <w:t>—plus an oversample of 400 self-identified Democrats, which allows for a deeper examination of potential primary voters—to explore basic values and beliefs about the criminal justice system and to measure support or opposition for a range of potential reform ideas. The survey was conducted online from July 8 to July 15, 2019, and is weighted to reflect national demographic patterns among registered voters. The full results of the survey are on file with the authors.</w:t>
      </w:r>
    </w:p>
    <w:p w:rsidR="009907A0" w:rsidRDefault="009907A0" w:rsidP="009907A0">
      <w:r>
        <w:t>…</w:t>
      </w:r>
    </w:p>
    <w:p w:rsidR="009907A0" w:rsidRPr="004135C0" w:rsidRDefault="009907A0" w:rsidP="009907A0">
      <w:pPr>
        <w:rPr>
          <w:sz w:val="16"/>
        </w:rPr>
      </w:pPr>
      <w:r w:rsidRPr="004135C0">
        <w:rPr>
          <w:rStyle w:val="StyleUnderline"/>
          <w:highlight w:val="yellow"/>
        </w:rPr>
        <w:t>The confusing nature of the term “criminal justice reform”</w:t>
      </w:r>
      <w:r w:rsidRPr="004135C0">
        <w:rPr>
          <w:sz w:val="16"/>
        </w:rPr>
        <w:t xml:space="preserve"> also contributes to how voters rank this issue compared with other more commonly understood priorities</w:t>
      </w:r>
      <w:r w:rsidRPr="004135C0">
        <w:rPr>
          <w:rStyle w:val="StyleUnderline"/>
          <w:highlight w:val="yellow"/>
        </w:rPr>
        <w:t>. The survey asked respondents to describe</w:t>
      </w:r>
      <w:r w:rsidRPr="004135C0">
        <w:rPr>
          <w:sz w:val="16"/>
        </w:rPr>
        <w:t xml:space="preserve"> in a few words </w:t>
      </w:r>
      <w:r w:rsidRPr="004135C0">
        <w:rPr>
          <w:rStyle w:val="StyleUnderline"/>
          <w:highlight w:val="yellow"/>
        </w:rPr>
        <w:t>what the term itself means to them. Responses varied widely</w:t>
      </w:r>
      <w:r w:rsidRPr="004135C0">
        <w:rPr>
          <w:sz w:val="16"/>
        </w:rPr>
        <w:t xml:space="preserve">, from ideas about sentencing reform and the drug war to more abstract discussions about justice and fairness </w:t>
      </w:r>
      <w:r w:rsidRPr="004135C0">
        <w:rPr>
          <w:rStyle w:val="StyleUnderline"/>
          <w:highlight w:val="yellow"/>
        </w:rPr>
        <w:t>to</w:t>
      </w:r>
      <w:r w:rsidRPr="004135C0">
        <w:rPr>
          <w:sz w:val="16"/>
        </w:rPr>
        <w:t xml:space="preserve"> more counterintuitive </w:t>
      </w:r>
      <w:r w:rsidRPr="004135C0">
        <w:rPr>
          <w:rStyle w:val="StyleUnderline"/>
          <w:highlight w:val="yellow"/>
        </w:rPr>
        <w:t>opinions that the term meant increasing punishment and jail time for offenders</w:t>
      </w:r>
      <w:r w:rsidRPr="004135C0">
        <w:rPr>
          <w:sz w:val="16"/>
        </w:rPr>
        <w:t>.</w:t>
      </w:r>
    </w:p>
    <w:p w:rsidR="009907A0" w:rsidRDefault="009907A0" w:rsidP="009907A0"/>
    <w:p w:rsidR="009907A0" w:rsidRDefault="009907A0" w:rsidP="009907A0"/>
    <w:p w:rsidR="009907A0" w:rsidRDefault="009907A0" w:rsidP="009907A0"/>
    <w:p w:rsidR="009907A0" w:rsidRDefault="009907A0" w:rsidP="009907A0">
      <w:pPr>
        <w:pStyle w:val="Heading4"/>
      </w:pPr>
      <w:r>
        <w:t>CJR includes reforms to help victims not just alleged offenders</w:t>
      </w:r>
    </w:p>
    <w:p w:rsidR="009907A0" w:rsidRDefault="009907A0" w:rsidP="009907A0">
      <w:r w:rsidRPr="004135C0">
        <w:rPr>
          <w:rStyle w:val="Style13ptBold"/>
        </w:rPr>
        <w:t>Hicks 19</w:t>
      </w:r>
      <w:r>
        <w:t xml:space="preserve"> Chris Hicks district attorney for Washoe County NV</w:t>
      </w:r>
      <w:proofErr w:type="gramStart"/>
      <w:r>
        <w:t>,  Reno</w:t>
      </w:r>
      <w:proofErr w:type="gramEnd"/>
      <w:r>
        <w:t xml:space="preserve"> Gazette, Don't forget victims in criminal justice reform, 4/9/19, https://www.rgj.com/story/opinion/voices/2019/04/09/dont-forget-victims-criminal-justice-reform-hicks/3411807002/</w:t>
      </w:r>
    </w:p>
    <w:p w:rsidR="009907A0" w:rsidRDefault="009907A0" w:rsidP="009907A0">
      <w:pPr>
        <w:rPr>
          <w:sz w:val="16"/>
        </w:rPr>
      </w:pPr>
      <w:r w:rsidRPr="006D66A1">
        <w:rPr>
          <w:sz w:val="16"/>
        </w:rPr>
        <w:t xml:space="preserve">The term “criminal justice reform” is an often heard phrase nowadays, especially while our Nevada Legislature is in session. But </w:t>
      </w:r>
      <w:r w:rsidRPr="004135C0">
        <w:rPr>
          <w:rStyle w:val="StyleUnderline"/>
          <w:highlight w:val="yellow"/>
        </w:rPr>
        <w:t>what does criminal justice reform mean? The verb "reform" is defined as “to put or change into an improved form or condition</w:t>
      </w:r>
      <w:r w:rsidRPr="006D66A1">
        <w:rPr>
          <w:sz w:val="16"/>
        </w:rPr>
        <w:t xml:space="preserve">.” </w:t>
      </w:r>
      <w:r w:rsidRPr="006D66A1">
        <w:rPr>
          <w:rStyle w:val="StyleUnderline"/>
          <w:highlight w:val="yellow"/>
        </w:rPr>
        <w:t>An important question to ask is, improved for who?</w:t>
      </w:r>
      <w:r w:rsidRPr="006D66A1">
        <w:rPr>
          <w:rStyle w:val="StyleUnderline"/>
        </w:rPr>
        <w:t xml:space="preserve"> </w:t>
      </w:r>
      <w:r w:rsidRPr="006D66A1">
        <w:rPr>
          <w:sz w:val="16"/>
        </w:rPr>
        <w:t xml:space="preserve">Who would these changes benefit? </w:t>
      </w:r>
      <w:r w:rsidRPr="006D66A1">
        <w:rPr>
          <w:rStyle w:val="StyleUnderline"/>
          <w:highlight w:val="yellow"/>
        </w:rPr>
        <w:t>Would it be victims of crime</w:t>
      </w:r>
      <w:r w:rsidRPr="006D66A1">
        <w:rPr>
          <w:sz w:val="16"/>
        </w:rPr>
        <w:t xml:space="preserve">, our community; or do criminals stand to gain the most if these bills become law? Consider some national crime statistics from 2017: 5.6 million U.S. residents reported being victimized by violent crime. There were more than 17,000 murders, more than 300,000 robberies, and more than 1.4 million burglaries. U.S. households experienced 13.3 million property crimes with estimated losses at $15.3 billion. Impaired driving crashes killed 10,874 people. These unfortunate statistics lend some context to the volume of victims of crime in our society. Clearly, crime victims — those who were wronged — should be a top priority in the criminal justice reform movement. Unfortunately, they are sometimes overlooked. April 7-13 is National Crime Victims’ Rights Week, an annual observance dedicated to informing the public about victimization, as well as the effect crime has on individuals, families, friends and the community. Simply, it is a week to honor victims of crime. Think about these sweeping criminal justice reform measures that are currently bills in Carson City when considering who's benefiting from this reform: Rendering the criminal repeat offender statute unusable Making possession of large quantities, even pounds, of the most deadly drugs a mere misdemeanor Allowing geriatric release from prison of pedophiles and violent criminals who are as young as 60 years old with no demonstrable medical need Prohibiting a judge from revoking a violator from the privilege of probation for using illicit drugs, failing to follow a treatment program, failing to seek and maintain employment, or failing to pay any required fines or fees Elimination of a victim’s opportunity to be heard when bail is decided Reducing the penalties for burglaries to as low as a gross misdemeanor Without a doubt, examining our criminal justice system for effectiveness, equality and efficiency is imperative. When issues are found, commonsense changes should be pursued diligently. Seeking smarter pathways to rehabilitating our offenders is meaningful and my office supports these efforts daily. However, </w:t>
      </w:r>
      <w:r w:rsidRPr="006D66A1">
        <w:rPr>
          <w:rStyle w:val="StyleUnderline"/>
        </w:rPr>
        <w:t xml:space="preserve">wholesale </w:t>
      </w:r>
      <w:r w:rsidRPr="006D66A1">
        <w:rPr>
          <w:rStyle w:val="StyleUnderline"/>
          <w:highlight w:val="yellow"/>
        </w:rPr>
        <w:t>criminal justice reform that only “improves the form or condition” of the system for criminals</w:t>
      </w:r>
      <w:r w:rsidRPr="006D66A1">
        <w:rPr>
          <w:rStyle w:val="StyleUnderline"/>
        </w:rPr>
        <w:t xml:space="preserve"> sacrifices</w:t>
      </w:r>
      <w:r w:rsidRPr="006D66A1">
        <w:rPr>
          <w:sz w:val="16"/>
        </w:rPr>
        <w:t xml:space="preserve"> safety for all of us, </w:t>
      </w:r>
      <w:r w:rsidRPr="006D66A1">
        <w:rPr>
          <w:rStyle w:val="StyleUnderline"/>
        </w:rPr>
        <w:t xml:space="preserve">and </w:t>
      </w:r>
      <w:r w:rsidRPr="006D66A1">
        <w:rPr>
          <w:rStyle w:val="StyleUnderline"/>
          <w:highlight w:val="yellow"/>
        </w:rPr>
        <w:t>erodes the public’s confidence in law enforcement and the criminal justice system</w:t>
      </w:r>
      <w:r w:rsidRPr="006D66A1">
        <w:rPr>
          <w:sz w:val="16"/>
        </w:rPr>
        <w:t>. Most importantly</w:t>
      </w:r>
      <w:r w:rsidRPr="006D66A1">
        <w:rPr>
          <w:rStyle w:val="StyleUnderline"/>
          <w:highlight w:val="yellow"/>
        </w:rPr>
        <w:t>, it serves as an affront to past and future crime victims everywhere</w:t>
      </w:r>
      <w:r w:rsidRPr="006D66A1">
        <w:rPr>
          <w:sz w:val="16"/>
        </w:rPr>
        <w:t xml:space="preserve">. This week, remember that </w:t>
      </w:r>
      <w:r w:rsidRPr="006D66A1">
        <w:rPr>
          <w:rStyle w:val="StyleUnderline"/>
          <w:highlight w:val="yellow"/>
        </w:rPr>
        <w:t>crime victims cannot be forgotten in the criminal justice reform movement</w:t>
      </w:r>
      <w:r w:rsidRPr="006D66A1">
        <w:rPr>
          <w:sz w:val="16"/>
        </w:rPr>
        <w:t>.</w:t>
      </w:r>
    </w:p>
    <w:p w:rsidR="009907A0" w:rsidRDefault="009907A0" w:rsidP="009907A0"/>
    <w:p w:rsidR="009907A0" w:rsidRDefault="009907A0" w:rsidP="009907A0"/>
    <w:p w:rsidR="009907A0" w:rsidRDefault="009907A0" w:rsidP="009907A0"/>
    <w:p w:rsidR="009907A0" w:rsidRDefault="009907A0" w:rsidP="009907A0">
      <w:pPr>
        <w:pStyle w:val="Heading4"/>
      </w:pPr>
      <w:r>
        <w:t>CJR includes reforms that increase enforcement</w:t>
      </w:r>
    </w:p>
    <w:p w:rsidR="009907A0" w:rsidRDefault="009907A0" w:rsidP="009907A0">
      <w:r w:rsidRPr="006D66A1">
        <w:rPr>
          <w:rStyle w:val="Style13ptBold"/>
        </w:rPr>
        <w:t>Levin 16</w:t>
      </w:r>
      <w:r>
        <w:t xml:space="preserve"> Marc A. Levin is Vice President of Criminal Justice Policy at the Texas Public Policy Foundation. Right on Crime Statement on Law Enforcement and GOP Embrace of Conservative Criminal Justice Reform July 19, 2016, </w:t>
      </w:r>
      <w:hyperlink r:id="rId45" w:history="1">
        <w:r w:rsidRPr="00A7141D">
          <w:rPr>
            <w:rStyle w:val="Hyperlink"/>
          </w:rPr>
          <w:t>http://rightoncrime.com/2016/07/right-on-crime-statement-on-law-enforcement-and-gop-embrace-of-conservative-criminal-justice-reform/</w:t>
        </w:r>
      </w:hyperlink>
    </w:p>
    <w:p w:rsidR="009907A0" w:rsidRDefault="009907A0" w:rsidP="009907A0">
      <w:pPr>
        <w:rPr>
          <w:sz w:val="14"/>
        </w:rPr>
      </w:pPr>
      <w:r w:rsidRPr="00461588">
        <w:rPr>
          <w:sz w:val="14"/>
        </w:rPr>
        <w:t xml:space="preserve">It should be noted that </w:t>
      </w:r>
      <w:r w:rsidRPr="006D66A1">
        <w:rPr>
          <w:rStyle w:val="StyleUnderline"/>
          <w:highlight w:val="yellow"/>
        </w:rPr>
        <w:t>the term “criminal justice reform” is used by different groups that have a disparate interpretation of that term.</w:t>
      </w:r>
      <w:r w:rsidRPr="00461588">
        <w:rPr>
          <w:sz w:val="14"/>
        </w:rPr>
        <w:t xml:space="preserve"> </w:t>
      </w:r>
      <w:r w:rsidRPr="006D66A1">
        <w:rPr>
          <w:rStyle w:val="StyleUnderline"/>
          <w:highlight w:val="yellow"/>
        </w:rPr>
        <w:t>Conservatives support reforms that enhance public safety, prioritize victims and protect taxpayers</w:t>
      </w:r>
      <w:r w:rsidRPr="00461588">
        <w:rPr>
          <w:sz w:val="14"/>
        </w:rPr>
        <w:t xml:space="preserve">. With conservative governors leading the way, </w:t>
      </w:r>
      <w:r w:rsidRPr="00461588">
        <w:rPr>
          <w:rStyle w:val="StyleUnderline"/>
          <w:highlight w:val="yellow"/>
        </w:rPr>
        <w:t>dozens of states have adopted reforms that</w:t>
      </w:r>
      <w:r w:rsidRPr="00461588">
        <w:rPr>
          <w:sz w:val="14"/>
        </w:rPr>
        <w:t xml:space="preserve"> ensure we incarcerate those we are afraid of, not those we are simply mad at. In “red states” like Texas and South Carolina that have closed prisons and expanded alternatives like drug courts, crime has gone down more sharply than in the nation as a whole. For example, the Texas crime rate fell 29% from 2005 to 2014 at the same time the incarceration rate dropped 14%. Indeed, some 30 states have adopted justice reinvestment plans and in states like Oregon and Alaska these packages have </w:t>
      </w:r>
      <w:r w:rsidRPr="00461588">
        <w:rPr>
          <w:rStyle w:val="StyleUnderline"/>
          <w:highlight w:val="yellow"/>
        </w:rPr>
        <w:t>included</w:t>
      </w:r>
      <w:r w:rsidRPr="00461588">
        <w:rPr>
          <w:rStyle w:val="StyleUnderline"/>
        </w:rPr>
        <w:t xml:space="preserve"> </w:t>
      </w:r>
      <w:r w:rsidRPr="00461588">
        <w:rPr>
          <w:sz w:val="14"/>
        </w:rPr>
        <w:t xml:space="preserve">reinvesting savings into </w:t>
      </w:r>
      <w:r w:rsidRPr="00461588">
        <w:rPr>
          <w:rStyle w:val="StyleUnderline"/>
          <w:highlight w:val="yellow"/>
        </w:rPr>
        <w:t>stronger law enforcement</w:t>
      </w:r>
      <w:r w:rsidRPr="00461588">
        <w:rPr>
          <w:sz w:val="14"/>
        </w:rPr>
        <w:t>. These state-based reforms are also making progress in ensuring those with addiction and mental illness are effectively treated rather than simply warehoused, and that when people are released from prison they are less of a threat than when they arrived and are properly supervised.</w:t>
      </w:r>
    </w:p>
    <w:p w:rsidR="009907A0" w:rsidRDefault="009907A0" w:rsidP="009907A0"/>
    <w:p w:rsidR="009907A0" w:rsidRDefault="009907A0" w:rsidP="009907A0">
      <w:pPr>
        <w:pStyle w:val="Heading4"/>
      </w:pPr>
      <w:r>
        <w:t>Sentencing reform includes increasing sentences</w:t>
      </w:r>
    </w:p>
    <w:p w:rsidR="009907A0" w:rsidRDefault="009907A0" w:rsidP="009907A0">
      <w:r w:rsidRPr="009012AA">
        <w:rPr>
          <w:rStyle w:val="Style13ptBold"/>
        </w:rPr>
        <w:t>Reitz 11</w:t>
      </w:r>
      <w:r>
        <w:t xml:space="preserve"> Kevin R. Reitz is a Professor of Law at the University of Minnesota and the James Annenberg La </w:t>
      </w:r>
      <w:proofErr w:type="spellStart"/>
      <w:r>
        <w:t>Vea</w:t>
      </w:r>
      <w:proofErr w:type="spellEnd"/>
      <w:r>
        <w:t xml:space="preserve"> Land Grant Chair in Criminal Procedure Law THE POLITICS OF SENTENCING REFORM, Google Books edited by James Q. Wilson, Joan </w:t>
      </w:r>
      <w:proofErr w:type="spellStart"/>
      <w:r>
        <w:t>Petersilia</w:t>
      </w:r>
      <w:proofErr w:type="spellEnd"/>
    </w:p>
    <w:p w:rsidR="009907A0" w:rsidRPr="009012AA" w:rsidRDefault="009907A0" w:rsidP="009907A0">
      <w:pPr>
        <w:rPr>
          <w:sz w:val="16"/>
        </w:rPr>
      </w:pPr>
      <w:r w:rsidRPr="009012AA">
        <w:rPr>
          <w:sz w:val="16"/>
        </w:rPr>
        <w:t>In current parlance, sentencing reform means wholesale change in a jurisdiction's sentencing system away from the traditional model of indeterminacy. Hopefully this can result in better institutional arrangements, better legal structures for sentencing decisions, better process, better information, and better policy implementation. The substantive use to which a new sentencing system will be put, however, is very much a separate question. "</w:t>
      </w:r>
      <w:r w:rsidRPr="009012AA">
        <w:rPr>
          <w:rStyle w:val="StyleUnderline"/>
          <w:highlight w:val="yellow"/>
        </w:rPr>
        <w:t xml:space="preserve">Reformed" sentencing guidelines systems in America have been used to further policies of </w:t>
      </w:r>
      <w:r w:rsidRPr="009012AA">
        <w:rPr>
          <w:rStyle w:val="Emphasis"/>
          <w:highlight w:val="yellow"/>
        </w:rPr>
        <w:t>greater severity in punishment</w:t>
      </w:r>
      <w:r w:rsidRPr="009012AA">
        <w:rPr>
          <w:sz w:val="16"/>
        </w:rPr>
        <w:t>--in some places at some times-</w:t>
      </w:r>
      <w:r w:rsidRPr="009012AA">
        <w:rPr>
          <w:rStyle w:val="StyleUnderline"/>
          <w:highlight w:val="yellow"/>
        </w:rPr>
        <w:t>as well as policies of increased lenity</w:t>
      </w:r>
      <w:r w:rsidRPr="009012AA">
        <w:rPr>
          <w:sz w:val="16"/>
        </w:rPr>
        <w:t xml:space="preserve"> (</w:t>
      </w:r>
      <w:proofErr w:type="spellStart"/>
      <w:r w:rsidRPr="009012AA">
        <w:rPr>
          <w:sz w:val="16"/>
        </w:rPr>
        <w:t>Tonry</w:t>
      </w:r>
      <w:proofErr w:type="spellEnd"/>
      <w:r w:rsidRPr="009012AA">
        <w:rPr>
          <w:sz w:val="16"/>
        </w:rPr>
        <w:t xml:space="preserve"> 1996; American Law institute 2007 ). </w:t>
      </w:r>
      <w:r w:rsidRPr="009012AA">
        <w:rPr>
          <w:rStyle w:val="StyleUnderline"/>
          <w:highlight w:val="yellow"/>
        </w:rPr>
        <w:t>In this sense, sentencing reform is ideologically neutral</w:t>
      </w:r>
      <w:r w:rsidRPr="009012AA">
        <w:rPr>
          <w:sz w:val="16"/>
        </w:rPr>
        <w:t>. Even so, the pathways toward achieving systemic reform are highly political. Large institutional changes affect the professional lives of many stakeholders in the criminal justice system, and the perceived interests of important constituencies vary from place to place. For example, notwithstanding the wide belief that prosecutors' powers are multiplied in a sentencing guidelines system, prosecutors' organizations have been formidable opponents of guidelines reform in many states, including Colorado, Texas, Massachusetts, and California. In other states, like Washington and Oregon, prosecutors have led the call for reform. Judges, too, have staked out different positions across jurisdictions: Judicial leadership was key to the adoption of guidelines systems in Minnesota, Delaware, North Carolina, Missouri, and the District of Columbia (and ongoing attempted reforms in Massachusetts). In other places, judges have been unsupportive or hostile to reform efforts, such as Colorado, New York, Georgia, and the federal system.</w:t>
      </w:r>
    </w:p>
    <w:p w:rsidR="009907A0" w:rsidRPr="009012AA" w:rsidRDefault="009907A0" w:rsidP="009907A0"/>
    <w:p w:rsidR="009907A0" w:rsidRDefault="009907A0" w:rsidP="009907A0">
      <w:pPr>
        <w:pStyle w:val="Heading4"/>
      </w:pPr>
      <w:r>
        <w:t>Sentencing reform includes increased penalties</w:t>
      </w:r>
    </w:p>
    <w:p w:rsidR="009907A0" w:rsidRDefault="009907A0" w:rsidP="009907A0">
      <w:r w:rsidRPr="00C4292F">
        <w:rPr>
          <w:rStyle w:val="Style13ptBold"/>
        </w:rPr>
        <w:t>Fits News 17</w:t>
      </w:r>
      <w:r>
        <w:t xml:space="preserve"> SC Prisons: Wheat </w:t>
      </w:r>
      <w:proofErr w:type="gramStart"/>
      <w:r>
        <w:t>From</w:t>
      </w:r>
      <w:proofErr w:type="gramEnd"/>
      <w:r>
        <w:t xml:space="preserve"> Chaff, Nov 14, 2017, https://www.fitsnews.com/2017/11/14/sc-prisons-wheat-from-chaff/</w:t>
      </w:r>
    </w:p>
    <w:p w:rsidR="009907A0" w:rsidRDefault="009907A0" w:rsidP="009907A0">
      <w:pPr>
        <w:rPr>
          <w:sz w:val="16"/>
        </w:rPr>
      </w:pPr>
      <w:r w:rsidRPr="00C4292F">
        <w:rPr>
          <w:sz w:val="16"/>
        </w:rPr>
        <w:t xml:space="preserve">Let’s get something straight right off the bat: We’re not talking about showing leniency toward violent offenders.  Because there’s been way too much of that in South Carolina.  In fact, </w:t>
      </w:r>
      <w:r w:rsidRPr="00C4292F">
        <w:rPr>
          <w:rStyle w:val="StyleUnderline"/>
          <w:highlight w:val="yellow"/>
        </w:rPr>
        <w:t>our definition of “sentencing reform” includes hard core anti-crime measures like bringing back the death penalty</w:t>
      </w:r>
      <w:r w:rsidRPr="00C4292F">
        <w:rPr>
          <w:sz w:val="16"/>
        </w:rPr>
        <w:t xml:space="preserve"> – which has been essentially banned by courts in this country.</w:t>
      </w:r>
    </w:p>
    <w:p w:rsidR="009907A0" w:rsidRDefault="009907A0" w:rsidP="009907A0"/>
    <w:p w:rsidR="009907A0" w:rsidRDefault="00FF5D2F" w:rsidP="00FF5D2F">
      <w:pPr>
        <w:pStyle w:val="Heading2"/>
      </w:pPr>
      <w:r>
        <w:t xml:space="preserve">Death Penalty </w:t>
      </w:r>
      <w:proofErr w:type="spellStart"/>
      <w:r>
        <w:t>Aff</w:t>
      </w:r>
      <w:proofErr w:type="spellEnd"/>
    </w:p>
    <w:p w:rsidR="00FF5D2F" w:rsidRDefault="00FF5D2F" w:rsidP="00FF5D2F"/>
    <w:p w:rsidR="00FF5D2F" w:rsidRDefault="00FF5D2F" w:rsidP="00FF5D2F">
      <w:pPr>
        <w:pStyle w:val="Heading4"/>
      </w:pPr>
      <w:r>
        <w:t>Stopping the death penalty is sentencing reform and court decisions are sentencing reform</w:t>
      </w:r>
    </w:p>
    <w:p w:rsidR="00FF5D2F" w:rsidRPr="008914C9" w:rsidRDefault="00FF5D2F" w:rsidP="00FF5D2F">
      <w:pPr>
        <w:rPr>
          <w:sz w:val="16"/>
        </w:rPr>
      </w:pPr>
      <w:proofErr w:type="spellStart"/>
      <w:r w:rsidRPr="008914C9">
        <w:rPr>
          <w:rStyle w:val="Style13ptBold"/>
          <w:sz w:val="16"/>
        </w:rPr>
        <w:t>Zimring</w:t>
      </w:r>
      <w:proofErr w:type="spellEnd"/>
      <w:r w:rsidRPr="008914C9">
        <w:rPr>
          <w:rStyle w:val="Style13ptBold"/>
          <w:sz w:val="16"/>
        </w:rPr>
        <w:t xml:space="preserve"> 14</w:t>
      </w:r>
      <w:r w:rsidRPr="008914C9">
        <w:rPr>
          <w:sz w:val="16"/>
        </w:rPr>
        <w:t xml:space="preserve"> Franklin E. </w:t>
      </w:r>
      <w:proofErr w:type="spellStart"/>
      <w:r w:rsidRPr="008914C9">
        <w:rPr>
          <w:sz w:val="16"/>
        </w:rPr>
        <w:t>Zimring</w:t>
      </w:r>
      <w:proofErr w:type="spellEnd"/>
      <w:r w:rsidRPr="008914C9">
        <w:rPr>
          <w:sz w:val="16"/>
        </w:rPr>
        <w:t xml:space="preserve"> is the William G. Simon Professor of Law at the University of California, Berkeley, Substance and Procedure in the Reform of Criminal Sentencing, </w:t>
      </w:r>
      <w:hyperlink r:id="rId46" w:history="1">
        <w:r w:rsidRPr="008914C9">
          <w:rPr>
            <w:rStyle w:val="Hyperlink"/>
            <w:sz w:val="16"/>
          </w:rPr>
          <w:t>https://www.mcgeorge.edu/documents/Publications/2Vol464Zimring.pdf</w:t>
        </w:r>
      </w:hyperlink>
      <w:r w:rsidRPr="008914C9">
        <w:rPr>
          <w:sz w:val="16"/>
        </w:rPr>
        <w:t xml:space="preserve"> I. </w:t>
      </w:r>
      <w:r w:rsidRPr="008914C9">
        <w:rPr>
          <w:rStyle w:val="StyleUnderline"/>
          <w:highlight w:val="yellow"/>
        </w:rPr>
        <w:t>Definitions and Categories in</w:t>
      </w:r>
      <w:r>
        <w:rPr>
          <w:rStyle w:val="StyleUnderline"/>
          <w:highlight w:val="yellow"/>
        </w:rPr>
        <w:t xml:space="preserve"> </w:t>
      </w:r>
      <w:r w:rsidRPr="008914C9">
        <w:rPr>
          <w:rStyle w:val="StyleUnderline"/>
          <w:highlight w:val="yellow"/>
        </w:rPr>
        <w:t>Sentencing Reform</w:t>
      </w:r>
      <w:r>
        <w:rPr>
          <w:rStyle w:val="StyleUnderline"/>
        </w:rPr>
        <w:t xml:space="preserve"> </w:t>
      </w:r>
      <w:r w:rsidRPr="008914C9">
        <w:rPr>
          <w:sz w:val="16"/>
        </w:rPr>
        <w:t xml:space="preserve">The key terms in this essay are substance and procedure in criminal sentencing. The substantive content of a criminal sentencing scheme are the types and amounts of punishment the system attaches to criminal convictions. 10 The procedures of sentencing concern how punishment decisions are made and reviewed.11 </w:t>
      </w:r>
      <w:proofErr w:type="gramStart"/>
      <w:r w:rsidRPr="008914C9">
        <w:rPr>
          <w:sz w:val="16"/>
        </w:rPr>
        <w:t>One</w:t>
      </w:r>
      <w:proofErr w:type="gramEnd"/>
      <w:r w:rsidRPr="008914C9">
        <w:rPr>
          <w:sz w:val="16"/>
        </w:rPr>
        <w:t xml:space="preserve"> important threshold question is whether the distinction between substance and procedure is simply a repetition of the earlier distinction between the ends and the means of sentencing reform. Are not procedures simply the means used to produce punishment decisions rather than legal arrangements with independent substantive value? 12 The correct answer to this question is no, because often the choice of procedures is a matter of importance to judgments about justice in punishment and also frequently procedures are a central target of reform efforts.13 If better or less arbitrary procedures are frequent objectives of reform, then procedural features of punishment policy are often both the means and the ends of the reform. </w:t>
      </w:r>
      <w:r w:rsidRPr="008914C9">
        <w:rPr>
          <w:rStyle w:val="StyleUnderline"/>
          <w:highlight w:val="yellow"/>
        </w:rPr>
        <w:t>There are</w:t>
      </w:r>
      <w:r w:rsidRPr="008914C9">
        <w:rPr>
          <w:sz w:val="16"/>
        </w:rPr>
        <w:t xml:space="preserve"> also a large number of </w:t>
      </w:r>
      <w:r w:rsidRPr="008914C9">
        <w:rPr>
          <w:rStyle w:val="StyleUnderline"/>
          <w:highlight w:val="yellow"/>
        </w:rPr>
        <w:t>cases in which a</w:t>
      </w:r>
      <w:r>
        <w:rPr>
          <w:rStyle w:val="StyleUnderline"/>
          <w:highlight w:val="yellow"/>
        </w:rPr>
        <w:t xml:space="preserve"> </w:t>
      </w:r>
      <w:r w:rsidRPr="008914C9">
        <w:rPr>
          <w:rStyle w:val="StyleUnderline"/>
          <w:highlight w:val="yellow"/>
        </w:rPr>
        <w:t>substantive legal change is the means selected to achieve a substantive reform</w:t>
      </w:r>
      <w:r w:rsidRPr="008914C9">
        <w:rPr>
          <w:sz w:val="16"/>
        </w:rPr>
        <w:t xml:space="preserve">.14 </w:t>
      </w:r>
      <w:r w:rsidRPr="008914C9">
        <w:rPr>
          <w:rStyle w:val="StyleUnderline"/>
          <w:highlight w:val="yellow"/>
        </w:rPr>
        <w:t>The method used to end the death penalty, for example, is simply to remove state</w:t>
      </w:r>
      <w:r>
        <w:rPr>
          <w:rStyle w:val="StyleUnderline"/>
          <w:highlight w:val="yellow"/>
        </w:rPr>
        <w:t xml:space="preserve"> </w:t>
      </w:r>
      <w:r w:rsidRPr="008914C9">
        <w:rPr>
          <w:rStyle w:val="StyleUnderline"/>
          <w:highlight w:val="yellow"/>
        </w:rPr>
        <w:t>killing from the list of authorized legal punishments</w:t>
      </w:r>
      <w:r w:rsidRPr="008914C9">
        <w:rPr>
          <w:sz w:val="16"/>
        </w:rPr>
        <w:t xml:space="preserve">.15 The four varieties of sentencing reforms differ in the type of method for reform and the type of objective. Type 1 is the use of procedural methods of reform to produce a procedural objective of reform. The federal sentencing commission which was established in the 1980s to reduce disparate sentences produced when individual federal district court judges sentenced offenders convicted in their courts is a prominent recent example of Type 1 reform.16 Type 2 reform changes the procedures of sentencing with the objective of altering the distribution of punishments that the system will generate. One example is requiring a unanimous jury verdict of death in a penalty trial, or judge and jury concurrence, or both, before a death sentence can be imposed.17 This procedural shift is usually an attempt to reduce the number and proportion of death sentences.18 A second example of Type 2 reform is so-called “truth in sentencing” provisions, which require a minimum proportion of a nominal sentence to be served before the prisoner can be released through parole power.19 The usual objective here is to lengthen the imprisonment term served by the offenders who are targets of these provisions.20 There are also a large number of what I call </w:t>
      </w:r>
      <w:r w:rsidRPr="008914C9">
        <w:rPr>
          <w:rStyle w:val="StyleUnderline"/>
          <w:highlight w:val="yellow"/>
        </w:rPr>
        <w:t>Type 4 reforms in</w:t>
      </w:r>
      <w:r w:rsidRPr="008914C9">
        <w:rPr>
          <w:sz w:val="16"/>
        </w:rPr>
        <w:t xml:space="preserve"> the history of </w:t>
      </w:r>
      <w:r w:rsidRPr="008914C9">
        <w:rPr>
          <w:rStyle w:val="StyleUnderline"/>
          <w:highlight w:val="yellow"/>
        </w:rPr>
        <w:t>sentencing reform</w:t>
      </w:r>
      <w:r w:rsidRPr="008914C9">
        <w:rPr>
          <w:sz w:val="16"/>
        </w:rPr>
        <w:t xml:space="preserve">.21 </w:t>
      </w:r>
      <w:r w:rsidRPr="008914C9">
        <w:rPr>
          <w:rStyle w:val="StyleUnderline"/>
          <w:highlight w:val="yellow"/>
        </w:rPr>
        <w:t>The removal of particular forms of punishment regarded as</w:t>
      </w:r>
      <w:r>
        <w:rPr>
          <w:rStyle w:val="StyleUnderline"/>
          <w:highlight w:val="yellow"/>
        </w:rPr>
        <w:t xml:space="preserve"> </w:t>
      </w:r>
      <w:r w:rsidRPr="008914C9">
        <w:rPr>
          <w:rStyle w:val="StyleUnderline"/>
          <w:highlight w:val="yellow"/>
        </w:rPr>
        <w:t>too harsh—death, whipping, life without possibility of parole—are one group of</w:t>
      </w:r>
      <w:r>
        <w:rPr>
          <w:rStyle w:val="StyleUnderline"/>
          <w:highlight w:val="yellow"/>
        </w:rPr>
        <w:t xml:space="preserve"> </w:t>
      </w:r>
      <w:r w:rsidRPr="008914C9">
        <w:rPr>
          <w:rStyle w:val="StyleUnderline"/>
          <w:highlight w:val="yellow"/>
        </w:rPr>
        <w:t>Type 4 reforms.</w:t>
      </w:r>
      <w:r w:rsidRPr="008914C9">
        <w:rPr>
          <w:sz w:val="16"/>
        </w:rPr>
        <w:t xml:space="preserve"> Type 4 reforms also include requiring punishments that are not grossly disproportionate to the offender’s culpability. But are there real-world examples of </w:t>
      </w:r>
      <w:r w:rsidRPr="008914C9">
        <w:rPr>
          <w:rStyle w:val="StyleUnderline"/>
          <w:highlight w:val="yellow"/>
        </w:rPr>
        <w:t>Type 3 reforms,</w:t>
      </w:r>
      <w:r w:rsidRPr="008914C9">
        <w:rPr>
          <w:sz w:val="16"/>
        </w:rPr>
        <w:t xml:space="preserve"> where a substantive change in the punishments available in the law is the method of reform and yet the objective of the reform is procedural? Probably yes. </w:t>
      </w:r>
      <w:r w:rsidRPr="008914C9">
        <w:rPr>
          <w:rStyle w:val="StyleUnderline"/>
          <w:highlight w:val="yellow"/>
        </w:rPr>
        <w:t>The U.S. Supreme Court</w:t>
      </w:r>
      <w:r>
        <w:rPr>
          <w:rStyle w:val="StyleUnderline"/>
          <w:highlight w:val="yellow"/>
        </w:rPr>
        <w:t xml:space="preserve"> </w:t>
      </w:r>
      <w:r w:rsidRPr="008914C9">
        <w:rPr>
          <w:rStyle w:val="StyleUnderline"/>
          <w:highlight w:val="yellow"/>
        </w:rPr>
        <w:t>decision in Furman v. Georgia prohibited death sentences in 35 states</w:t>
      </w:r>
      <w:r w:rsidRPr="008914C9">
        <w:rPr>
          <w:sz w:val="16"/>
        </w:rPr>
        <w:t xml:space="preserve"> that gave the power to juries without standards to govern the choice.22 To remove the problematic procedures, the possibility of the death sentence was eliminated.23 If this characterization of Furman rationale is accepted, then the majority rule would constitute a Type 3 reform.24 But if the real motive of those who joined the majority was eliminating the death penalty, then both the means and the ends of decision would be substantive and Furman would be a Type 4 reform.25 A similar issue was generated by the condemned prisoner’s argument before the Supreme Court in </w:t>
      </w:r>
      <w:proofErr w:type="spellStart"/>
      <w:r w:rsidRPr="008914C9">
        <w:rPr>
          <w:sz w:val="16"/>
        </w:rPr>
        <w:t>McGautha</w:t>
      </w:r>
      <w:proofErr w:type="spellEnd"/>
      <w:r w:rsidRPr="008914C9">
        <w:rPr>
          <w:sz w:val="16"/>
        </w:rPr>
        <w:t xml:space="preserve"> v. California in 1970.26 The prisoner argued that jury discretion to choose between prison and death was fundamentally lawless, and sought to remedy the procedural problem by eliminating the possible choice of death.27 But t</w:t>
      </w:r>
      <w:r w:rsidRPr="008914C9">
        <w:rPr>
          <w:rStyle w:val="StyleUnderline"/>
          <w:highlight w:val="yellow"/>
        </w:rPr>
        <w:t>he clear motive of those pressing the argument was eliminating</w:t>
      </w:r>
      <w:r>
        <w:rPr>
          <w:rStyle w:val="StyleUnderline"/>
          <w:highlight w:val="yellow"/>
        </w:rPr>
        <w:t xml:space="preserve"> </w:t>
      </w:r>
      <w:r w:rsidRPr="008914C9">
        <w:rPr>
          <w:rStyle w:val="StyleUnderline"/>
          <w:highlight w:val="yellow"/>
        </w:rPr>
        <w:t>the death penalty</w:t>
      </w:r>
      <w:r w:rsidRPr="008914C9">
        <w:rPr>
          <w:sz w:val="16"/>
        </w:rPr>
        <w:t>, so from their perspective</w:t>
      </w:r>
      <w:r w:rsidRPr="008914C9">
        <w:rPr>
          <w:rStyle w:val="StyleUnderline"/>
          <w:highlight w:val="yellow"/>
        </w:rPr>
        <w:t>, the attempt was a Type 4 reform</w:t>
      </w:r>
      <w:r w:rsidRPr="008914C9">
        <w:rPr>
          <w:sz w:val="16"/>
        </w:rPr>
        <w:t>.28</w:t>
      </w:r>
    </w:p>
    <w:p w:rsidR="00C115CF" w:rsidRDefault="00C115CF" w:rsidP="00C115CF">
      <w:pPr>
        <w:pStyle w:val="Heading2"/>
      </w:pPr>
      <w:r>
        <w:t xml:space="preserve">Qualified Immunity </w:t>
      </w:r>
      <w:proofErr w:type="spellStart"/>
      <w:r>
        <w:t>Aff</w:t>
      </w:r>
      <w:proofErr w:type="spellEnd"/>
    </w:p>
    <w:p w:rsidR="00C115CF" w:rsidRDefault="00C115CF" w:rsidP="00C115CF"/>
    <w:p w:rsidR="00C115CF" w:rsidRDefault="00C115CF" w:rsidP="00C115CF"/>
    <w:p w:rsidR="00C115CF" w:rsidRDefault="00C115CF" w:rsidP="00C115CF">
      <w:pPr>
        <w:pStyle w:val="Heading4"/>
      </w:pPr>
      <w:r>
        <w:t>Qualified Immunity is criminal justice reform</w:t>
      </w:r>
    </w:p>
    <w:p w:rsidR="00C115CF" w:rsidRDefault="00C115CF" w:rsidP="00C115CF">
      <w:r w:rsidRPr="009E55D6">
        <w:rPr>
          <w:rStyle w:val="Style13ptBold"/>
        </w:rPr>
        <w:t xml:space="preserve">Demand Justice </w:t>
      </w:r>
      <w:proofErr w:type="gramStart"/>
      <w:r w:rsidRPr="009E55D6">
        <w:rPr>
          <w:rStyle w:val="Style13ptBold"/>
        </w:rPr>
        <w:t xml:space="preserve">19 </w:t>
      </w:r>
      <w:r>
        <w:rPr>
          <w:rStyle w:val="Style13ptBold"/>
        </w:rPr>
        <w:t xml:space="preserve"> </w:t>
      </w:r>
      <w:r>
        <w:t>June</w:t>
      </w:r>
      <w:proofErr w:type="gramEnd"/>
      <w:r>
        <w:t xml:space="preserve"> 10, 2019 https://demandjustice.org/press-release-demand-justice-launching-push-to-end-qualified-immunity-announces-bilingual-ads-praising-julian-castro-as-first-2020-contender-to-confront-issue/</w:t>
      </w:r>
    </w:p>
    <w:p w:rsidR="00C115CF" w:rsidRPr="009E55D6" w:rsidRDefault="00C115CF" w:rsidP="00C115CF">
      <w:pPr>
        <w:rPr>
          <w:sz w:val="16"/>
        </w:rPr>
      </w:pPr>
      <w:r w:rsidRPr="009E55D6">
        <w:rPr>
          <w:sz w:val="16"/>
        </w:rPr>
        <w:t xml:space="preserve">“Qualified immunity may be the most outrageous invention of the Supreme Court that most voters have never heard of,” said Demand Justice Executive Director Brian Fallon. “Under John Roberts, the Court is preventing victims of police brutality from getting access to justice. We believe if we can increase awareness of the Court’s role in shielding law enforcement from accountability, the public will be outraged by it. Julián Castro deserves tremendous credit for calling out this problem, and we want to pressure other 2020 candidates to address this issue as well. Democrats running for president should be united about the need to end qualified immunity as we know it.” </w:t>
      </w:r>
      <w:r w:rsidRPr="009E55D6">
        <w:rPr>
          <w:rStyle w:val="StyleUnderline"/>
          <w:highlight w:val="yellow"/>
        </w:rPr>
        <w:t>Qualified immunity</w:t>
      </w:r>
      <w:r w:rsidRPr="009E55D6">
        <w:rPr>
          <w:sz w:val="16"/>
        </w:rPr>
        <w:t xml:space="preserve"> has attracted concern from both the left and right. In recent years, groups as ideologically diverse as the Cato Institute and the ACLU have joined forces to mutually urge the Supreme Court to reconsider the doctrine. But the issue has gained little notice from elected officials until now. This week, </w:t>
      </w:r>
      <w:r w:rsidRPr="009E55D6">
        <w:rPr>
          <w:rStyle w:val="StyleUnderline"/>
          <w:highlight w:val="yellow"/>
        </w:rPr>
        <w:t>Castro</w:t>
      </w:r>
      <w:r w:rsidRPr="009E55D6">
        <w:rPr>
          <w:sz w:val="16"/>
        </w:rPr>
        <w:t xml:space="preserve"> became the first 2020 candidate to meaningfully address the issue when he </w:t>
      </w:r>
      <w:r w:rsidRPr="009E55D6">
        <w:rPr>
          <w:rStyle w:val="StyleUnderline"/>
          <w:highlight w:val="yellow"/>
        </w:rPr>
        <w:t>called for reforming it as part of his</w:t>
      </w:r>
      <w:r w:rsidRPr="009E55D6">
        <w:rPr>
          <w:sz w:val="16"/>
        </w:rPr>
        <w:t xml:space="preserve"> newly released </w:t>
      </w:r>
      <w:r w:rsidRPr="009E55D6">
        <w:rPr>
          <w:rStyle w:val="Emphasis"/>
          <w:highlight w:val="yellow"/>
        </w:rPr>
        <w:t>criminal justice reform</w:t>
      </w:r>
      <w:r w:rsidRPr="009E55D6">
        <w:rPr>
          <w:rStyle w:val="StyleUnderline"/>
          <w:highlight w:val="yellow"/>
        </w:rPr>
        <w:t xml:space="preserve"> plan</w:t>
      </w:r>
      <w:r w:rsidRPr="009E55D6">
        <w:rPr>
          <w:sz w:val="16"/>
        </w:rPr>
        <w:t>.</w:t>
      </w:r>
    </w:p>
    <w:p w:rsidR="00C115CF" w:rsidRDefault="00C115CF" w:rsidP="00C115CF"/>
    <w:p w:rsidR="00C115CF" w:rsidRDefault="00C115CF" w:rsidP="00C115CF">
      <w:pPr>
        <w:pStyle w:val="Heading4"/>
      </w:pPr>
      <w:r>
        <w:t>Qualified Immunity is contextually criminal justice reform in policing</w:t>
      </w:r>
    </w:p>
    <w:p w:rsidR="00C115CF" w:rsidRDefault="00C115CF" w:rsidP="00C115CF">
      <w:proofErr w:type="spellStart"/>
      <w:r w:rsidRPr="00ED6A76">
        <w:rPr>
          <w:rStyle w:val="Style13ptBold"/>
        </w:rPr>
        <w:t>Millhiser</w:t>
      </w:r>
      <w:proofErr w:type="spellEnd"/>
      <w:r w:rsidRPr="00ED6A76">
        <w:rPr>
          <w:rStyle w:val="Style13ptBold"/>
        </w:rPr>
        <w:t xml:space="preserve"> 6/9</w:t>
      </w:r>
      <w:r>
        <w:t xml:space="preserve">/20 Ian </w:t>
      </w:r>
      <w:proofErr w:type="spellStart"/>
      <w:r>
        <w:t>Millhiser</w:t>
      </w:r>
      <w:proofErr w:type="spellEnd"/>
      <w:r>
        <w:t xml:space="preserve"> is a JD from Duke, he clerked for Judge Eric L. Clay of the United States Court of Appeals for the Sixth Circuit and is a senior correspondent at </w:t>
      </w:r>
      <w:proofErr w:type="spellStart"/>
      <w:r>
        <w:t>Vox</w:t>
      </w:r>
      <w:proofErr w:type="spellEnd"/>
      <w:r>
        <w:t>, A highly technical doctrine protecting cops from lawsuits is finally receiving national attention. https://www.vox.com/2020/6/9/21284270/qualified-immunity-rogue-cops-justin-amash-8-cant-wait-supreme-court-justice-in-policing</w:t>
      </w:r>
    </w:p>
    <w:p w:rsidR="00C115CF" w:rsidRPr="00ED6A76" w:rsidRDefault="00C115CF" w:rsidP="00C115CF">
      <w:pPr>
        <w:rPr>
          <w:sz w:val="16"/>
        </w:rPr>
      </w:pPr>
      <w:r w:rsidRPr="00ED6A76">
        <w:rPr>
          <w:sz w:val="16"/>
        </w:rPr>
        <w:t xml:space="preserve">Amid a national outcry over police brutality, qualified immunity, a once-obscure doctrine protecting government officials from being sued in federal court, is having a moment of infamy. Qualified immunity is supposed to shield public officials from suits involving novel legal claims. But it can also protect police officers faced with rather shocking allegations of misconduct. There are now two separate proposals in Congress and a raft of court cases hoping to alter or abolish qualified immunity. Though the full implications of these efforts to limit the doctrine vary, all of them would leave police with much less legal protection when officers violate the Constitution. After two weeks of protests catalyzed by the death of George Floyd during an encounter with Minneapolis police officers, one of whom has been charged with his murder and three of whom have been charged as accomplices to murder, House Democrats united around a proposal to end qualified immunity for police officers. On Monday, House Speaker Nancy Pelosi (D-CA) and several other top </w:t>
      </w:r>
      <w:r w:rsidRPr="00ED6A76">
        <w:rPr>
          <w:rStyle w:val="StyleUnderline"/>
          <w:highlight w:val="yellow"/>
        </w:rPr>
        <w:t xml:space="preserve">Democrats unveiled a detailed </w:t>
      </w:r>
      <w:r w:rsidRPr="00602855">
        <w:rPr>
          <w:rStyle w:val="Emphasis"/>
          <w:highlight w:val="yellow"/>
        </w:rPr>
        <w:t>criminal justice reform</w:t>
      </w:r>
      <w:r w:rsidRPr="00ED6A76">
        <w:rPr>
          <w:rStyle w:val="StyleUnderline"/>
          <w:highlight w:val="yellow"/>
        </w:rPr>
        <w:t xml:space="preserve"> bill called the “Justice </w:t>
      </w:r>
      <w:r w:rsidRPr="00602855">
        <w:rPr>
          <w:rStyle w:val="Emphasis"/>
          <w:highlight w:val="yellow"/>
        </w:rPr>
        <w:t>in Policing</w:t>
      </w:r>
      <w:r w:rsidRPr="00ED6A76">
        <w:rPr>
          <w:rStyle w:val="StyleUnderline"/>
          <w:highlight w:val="yellow"/>
        </w:rPr>
        <w:t xml:space="preserve"> Act</w:t>
      </w:r>
      <w:r w:rsidRPr="00ED6A76">
        <w:rPr>
          <w:sz w:val="16"/>
        </w:rPr>
        <w:t xml:space="preserve">.” Among other things, </w:t>
      </w:r>
      <w:r w:rsidRPr="00ED6A76">
        <w:rPr>
          <w:rStyle w:val="StyleUnderline"/>
          <w:highlight w:val="yellow"/>
        </w:rPr>
        <w:t>this bill would prevent</w:t>
      </w:r>
      <w:r w:rsidRPr="00ED6A76">
        <w:rPr>
          <w:sz w:val="16"/>
        </w:rPr>
        <w:t xml:space="preserve"> state and local </w:t>
      </w:r>
      <w:r w:rsidRPr="00ED6A76">
        <w:rPr>
          <w:rStyle w:val="StyleUnderline"/>
          <w:highlight w:val="yellow"/>
        </w:rPr>
        <w:t>law enforcement</w:t>
      </w:r>
      <w:r w:rsidRPr="00ED6A76">
        <w:rPr>
          <w:sz w:val="16"/>
        </w:rPr>
        <w:t xml:space="preserve"> and correctional </w:t>
      </w:r>
      <w:r w:rsidRPr="00ED6A76">
        <w:rPr>
          <w:rStyle w:val="StyleUnderline"/>
          <w:highlight w:val="yellow"/>
        </w:rPr>
        <w:t>officers from raising a qualified immunity defense</w:t>
      </w:r>
      <w:r w:rsidRPr="00ED6A76">
        <w:rPr>
          <w:sz w:val="16"/>
        </w:rPr>
        <w:t xml:space="preserve"> in civil rights suits.</w:t>
      </w:r>
    </w:p>
    <w:p w:rsidR="00C115CF" w:rsidRDefault="00C115CF" w:rsidP="00C115CF"/>
    <w:p w:rsidR="00C115CF" w:rsidRDefault="00C115CF" w:rsidP="00C115CF">
      <w:pPr>
        <w:pStyle w:val="Heading4"/>
      </w:pPr>
      <w:r>
        <w:t>It is contextually CJR</w:t>
      </w:r>
    </w:p>
    <w:p w:rsidR="00C115CF" w:rsidRDefault="00C115CF" w:rsidP="00C115CF">
      <w:r w:rsidRPr="00602855">
        <w:rPr>
          <w:rStyle w:val="Style13ptBold"/>
        </w:rPr>
        <w:t>Baker</w:t>
      </w:r>
      <w:r>
        <w:t xml:space="preserve"> 6/15/</w:t>
      </w:r>
      <w:r w:rsidRPr="00602855">
        <w:rPr>
          <w:rStyle w:val="Style13ptBold"/>
        </w:rPr>
        <w:t>20</w:t>
      </w:r>
      <w:r>
        <w:t xml:space="preserve"> Christina Baker Reporter at Penn State University, , Penn State criminal justice experts weigh in on police reform The Daily Collegian Jun 15, 2020, https://www.collegian.psu.edu/news/campus/article_76b74ebe-ae98-11ea-bccc-93db918e0647.html</w:t>
      </w:r>
    </w:p>
    <w:p w:rsidR="00C115CF" w:rsidRPr="00602855" w:rsidRDefault="00C115CF" w:rsidP="00C115CF">
      <w:pPr>
        <w:rPr>
          <w:sz w:val="16"/>
        </w:rPr>
      </w:pPr>
      <w:r w:rsidRPr="00602855">
        <w:rPr>
          <w:sz w:val="16"/>
        </w:rPr>
        <w:t xml:space="preserve">“If you have qualified immunity, even if you violate my constitutional rights, the standard is, ‘Were the constitutional rights that were violated… clearly established constitutional rights of which a reasonable officer would have known?’” </w:t>
      </w:r>
      <w:proofErr w:type="spellStart"/>
      <w:r w:rsidRPr="00602855">
        <w:rPr>
          <w:sz w:val="16"/>
        </w:rPr>
        <w:t>Kinports</w:t>
      </w:r>
      <w:proofErr w:type="spellEnd"/>
      <w:r w:rsidRPr="00602855">
        <w:rPr>
          <w:sz w:val="16"/>
        </w:rPr>
        <w:t xml:space="preserve"> said. Therefore, according to </w:t>
      </w:r>
      <w:proofErr w:type="spellStart"/>
      <w:r w:rsidRPr="00602855">
        <w:rPr>
          <w:sz w:val="16"/>
        </w:rPr>
        <w:t>Kinports</w:t>
      </w:r>
      <w:proofErr w:type="spellEnd"/>
      <w:r w:rsidRPr="00602855">
        <w:rPr>
          <w:sz w:val="16"/>
        </w:rPr>
        <w:t xml:space="preserve">, even if an officer uses excessive force — unless it was clear at the time that the amount of force used was excessive — the officer cannot be sued, and the case is dismissed before trial. </w:t>
      </w:r>
      <w:r w:rsidRPr="00602855">
        <w:rPr>
          <w:rStyle w:val="StyleUnderline"/>
          <w:highlight w:val="yellow"/>
        </w:rPr>
        <w:t xml:space="preserve">Qualified immunity has come under renewed scrutiny in the current push for </w:t>
      </w:r>
      <w:r w:rsidRPr="00602855">
        <w:rPr>
          <w:rStyle w:val="Emphasis"/>
          <w:highlight w:val="yellow"/>
        </w:rPr>
        <w:t>criminal justice reform</w:t>
      </w:r>
      <w:r w:rsidRPr="00602855">
        <w:rPr>
          <w:sz w:val="16"/>
        </w:rPr>
        <w:t xml:space="preserve">, and there is currently a congressional proposal to eliminate qualified immunity, although </w:t>
      </w:r>
      <w:proofErr w:type="spellStart"/>
      <w:r w:rsidRPr="00602855">
        <w:rPr>
          <w:sz w:val="16"/>
        </w:rPr>
        <w:t>Kinports</w:t>
      </w:r>
      <w:proofErr w:type="spellEnd"/>
      <w:r w:rsidRPr="00602855">
        <w:rPr>
          <w:sz w:val="16"/>
        </w:rPr>
        <w:t xml:space="preserve"> said she doubts it will actually pass.</w:t>
      </w:r>
    </w:p>
    <w:p w:rsidR="00C115CF" w:rsidRDefault="00C115CF" w:rsidP="00C115CF"/>
    <w:p w:rsidR="00C115CF" w:rsidRDefault="00C115CF" w:rsidP="00C115CF"/>
    <w:p w:rsidR="00C115CF" w:rsidRDefault="00C115CF" w:rsidP="00C115CF">
      <w:pPr>
        <w:pStyle w:val="Heading4"/>
      </w:pPr>
      <w:r>
        <w:t>The literature includes it as criminal justice reform</w:t>
      </w:r>
    </w:p>
    <w:p w:rsidR="00C115CF" w:rsidRDefault="00C115CF" w:rsidP="00C115CF">
      <w:proofErr w:type="spellStart"/>
      <w:r w:rsidRPr="00ED6A76">
        <w:rPr>
          <w:rStyle w:val="Style13ptBold"/>
        </w:rPr>
        <w:t>D’Onforio</w:t>
      </w:r>
      <w:proofErr w:type="spellEnd"/>
      <w:r>
        <w:t xml:space="preserve"> 6/2/</w:t>
      </w:r>
      <w:r w:rsidRPr="00ED6A76">
        <w:rPr>
          <w:rStyle w:val="Style13ptBold"/>
        </w:rPr>
        <w:t xml:space="preserve">20 </w:t>
      </w:r>
      <w:r>
        <w:rPr>
          <w:rStyle w:val="Style13ptBold"/>
        </w:rPr>
        <w:t xml:space="preserve">Michael </w:t>
      </w:r>
      <w:proofErr w:type="spellStart"/>
      <w:r>
        <w:rPr>
          <w:rStyle w:val="Style13ptBold"/>
        </w:rPr>
        <w:t>D'Onofrio</w:t>
      </w:r>
      <w:proofErr w:type="spellEnd"/>
      <w:r>
        <w:rPr>
          <w:rStyle w:val="Style13ptBold"/>
        </w:rPr>
        <w:t xml:space="preserve"> Tribune Staff Writer, </w:t>
      </w:r>
      <w:r>
        <w:t xml:space="preserve">Tribune Exclusive: Biden calls for criminal justice reforms, including changes to qualified immunity Jun 2, 2020, </w:t>
      </w:r>
      <w:hyperlink r:id="rId47" w:history="1">
        <w:r w:rsidRPr="00980ECE">
          <w:rPr>
            <w:rStyle w:val="Hyperlink"/>
          </w:rPr>
          <w:t>https://www.phillytrib.com/news/tribune-exclusive-biden-calls-for-criminal-justice-reforms-including-changes-to-qualified-immunity/article_8a40b174-a53c-11ea-8b65-cb0dd79fd1d2.html</w:t>
        </w:r>
      </w:hyperlink>
    </w:p>
    <w:p w:rsidR="00C115CF" w:rsidRDefault="00C115CF" w:rsidP="00C115CF">
      <w:pPr>
        <w:rPr>
          <w:sz w:val="16"/>
        </w:rPr>
      </w:pPr>
      <w:r w:rsidRPr="00602855">
        <w:rPr>
          <w:sz w:val="16"/>
        </w:rPr>
        <w:t xml:space="preserve">Joe </w:t>
      </w:r>
      <w:r w:rsidRPr="00602855">
        <w:rPr>
          <w:rStyle w:val="StyleUnderline"/>
          <w:highlight w:val="yellow"/>
        </w:rPr>
        <w:t>Biden called for criminal justice reforms</w:t>
      </w:r>
      <w:r w:rsidRPr="00602855">
        <w:rPr>
          <w:sz w:val="16"/>
        </w:rPr>
        <w:t xml:space="preserve"> as protests and civic unrest continued to roil the nation on Tuesday following the police killing of George Floyd, an unarmed Black man. Biden, the presumptive Democratic nominee for president, said America was a place where “too often, just the color of your skin puts your life at risk” while speaking in Philadelphia from the Mayor’s Reception Room in City Hall. Biden said Floyd’s last words — “I can’t breathe” — did not die with him but continued to echo throughout the nation. He called on Congress to act now on legislation that would place a federal ban on police using choke holds. In a brief telephone interview with The Philadelphia Tribune later Tuesday, the former vice president also called for reforms to hold police more accountable when they are accused of abuse and wrong doing, </w:t>
      </w:r>
      <w:r w:rsidRPr="00602855">
        <w:rPr>
          <w:rStyle w:val="StyleUnderline"/>
          <w:highlight w:val="yellow"/>
        </w:rPr>
        <w:t>including seeking to reform qualified immunity</w:t>
      </w:r>
      <w:r w:rsidRPr="00602855">
        <w:rPr>
          <w:sz w:val="16"/>
        </w:rPr>
        <w:t>.</w:t>
      </w:r>
    </w:p>
    <w:p w:rsidR="00C115CF" w:rsidRDefault="00C115CF" w:rsidP="00C115CF"/>
    <w:p w:rsidR="00C115CF" w:rsidRDefault="00C115CF" w:rsidP="00C115CF">
      <w:pPr>
        <w:pStyle w:val="Heading4"/>
      </w:pPr>
      <w:r>
        <w:t>Tort reform is a component of criminal justice reform</w:t>
      </w:r>
    </w:p>
    <w:p w:rsidR="00C115CF" w:rsidRDefault="00C115CF" w:rsidP="00C115CF">
      <w:r w:rsidRPr="00027C82">
        <w:rPr>
          <w:rStyle w:val="Style13ptBold"/>
        </w:rPr>
        <w:t>Stern 19</w:t>
      </w:r>
      <w:r>
        <w:t xml:space="preserve"> Paul D. Stern currently serves as a Trial Attorney with the United States Department of Justice, Tort Justice Reform, 52 U. MICH. J. L. REFORM 649 (2019). </w:t>
      </w:r>
      <w:hyperlink r:id="rId48" w:history="1">
        <w:r w:rsidRPr="00980ECE">
          <w:rPr>
            <w:rStyle w:val="Hyperlink"/>
          </w:rPr>
          <w:t>https://repository.law.umich.edu/mjlr/vol52/iss3/4</w:t>
        </w:r>
      </w:hyperlink>
      <w:r>
        <w:t xml:space="preserve"> </w:t>
      </w:r>
    </w:p>
    <w:p w:rsidR="00C115CF" w:rsidRPr="00B767F2" w:rsidRDefault="00C115CF" w:rsidP="00C115CF">
      <w:pPr>
        <w:rPr>
          <w:sz w:val="16"/>
        </w:rPr>
      </w:pPr>
      <w:r w:rsidRPr="00B767F2">
        <w:rPr>
          <w:sz w:val="16"/>
        </w:rPr>
        <w:t xml:space="preserve">This Article calls for a comprehensive reform of public tort law with respect to law enforcement conduct. It articulates an effective and equitable remedial regime that reconciles the aspirational goals of public tort law with the practical realities of devising payment and disciplinary procedures that are responsive to tort settlements and judgments. This proposed statutory scheme seeks to deter law enforcement misconduct without </w:t>
      </w:r>
      <w:proofErr w:type="spellStart"/>
      <w:r w:rsidRPr="00B767F2">
        <w:rPr>
          <w:sz w:val="16"/>
        </w:rPr>
        <w:t>disincentivizing</w:t>
      </w:r>
      <w:proofErr w:type="spellEnd"/>
      <w:r w:rsidRPr="00B767F2">
        <w:rPr>
          <w:sz w:val="16"/>
        </w:rPr>
        <w:t xml:space="preserve"> prudent officers from performing their duties or overburdening them with extensive litigation. Rather than lamenting the dissolution of </w:t>
      </w:r>
      <w:proofErr w:type="spellStart"/>
      <w:r w:rsidRPr="00B767F2">
        <w:rPr>
          <w:sz w:val="16"/>
        </w:rPr>
        <w:t>Bivens</w:t>
      </w:r>
      <w:proofErr w:type="spellEnd"/>
      <w:r w:rsidRPr="00B767F2">
        <w:rPr>
          <w:sz w:val="16"/>
        </w:rPr>
        <w:t xml:space="preserve"> v. Six Unknown Named Agents of Federal Bureau of </w:t>
      </w:r>
      <w:r w:rsidRPr="009E55D6">
        <w:rPr>
          <w:sz w:val="16"/>
        </w:rPr>
        <w:t xml:space="preserve">Narcotics or the </w:t>
      </w:r>
      <w:proofErr w:type="spellStart"/>
      <w:r w:rsidRPr="009E55D6">
        <w:rPr>
          <w:sz w:val="16"/>
        </w:rPr>
        <w:t>insurmountablility</w:t>
      </w:r>
      <w:proofErr w:type="spellEnd"/>
      <w:r w:rsidRPr="009E55D6">
        <w:rPr>
          <w:sz w:val="16"/>
        </w:rPr>
        <w:t xml:space="preserve"> of </w:t>
      </w:r>
      <w:r w:rsidRPr="009E55D6">
        <w:rPr>
          <w:rStyle w:val="StyleUnderline"/>
        </w:rPr>
        <w:t>qualified immunity, reform advocates should acknowledge that the very distinction between constitutional and common-law torts is arbitrary for purposes of individual officer deterrence and accountability</w:t>
      </w:r>
      <w:r w:rsidRPr="009E55D6">
        <w:rPr>
          <w:sz w:val="16"/>
        </w:rPr>
        <w:t>. By examining the relationship between Fourth Amendment excessive force jurisprudence and the common-law torts of assault, battery, and negligence, this Article highlights that the analytical distinction</w:t>
      </w:r>
      <w:r w:rsidRPr="00B767F2">
        <w:rPr>
          <w:sz w:val="16"/>
        </w:rPr>
        <w:t xml:space="preserve"> between those legal doctrines imposes an improper demarcation for civil liability. If law enforcement agencies concern themselves solely with the constitutionality of their employees’ conduct, training concentrates on the instant moment in which deadly force is used without substantial reflection on the conduct, including antecedent </w:t>
      </w:r>
      <w:proofErr w:type="gramStart"/>
      <w:r w:rsidRPr="00B767F2">
        <w:rPr>
          <w:sz w:val="16"/>
        </w:rPr>
        <w:t>negligence, that</w:t>
      </w:r>
      <w:proofErr w:type="gramEnd"/>
      <w:r w:rsidRPr="00B767F2">
        <w:rPr>
          <w:sz w:val="16"/>
        </w:rPr>
        <w:t xml:space="preserve"> led to the confrontation. At the same time, whether an officer can be held personally accountable should not be based on the intentionality of the conduct; rather, the </w:t>
      </w:r>
      <w:proofErr w:type="spellStart"/>
      <w:r w:rsidRPr="00B767F2">
        <w:rPr>
          <w:sz w:val="16"/>
        </w:rPr>
        <w:t>reprehensibleness</w:t>
      </w:r>
      <w:proofErr w:type="spellEnd"/>
      <w:r w:rsidRPr="00B767F2">
        <w:rPr>
          <w:sz w:val="16"/>
        </w:rPr>
        <w:t xml:space="preserve"> of the conduct is a more appropriate benchmark for individual liability. By acknowledging that tort law addresses various types of law enforcement activity that do not necessarily rise to the level of constitutional or criminal infractions</w:t>
      </w:r>
      <w:r w:rsidRPr="00B767F2">
        <w:rPr>
          <w:sz w:val="16"/>
          <w:highlight w:val="yellow"/>
        </w:rPr>
        <w:t xml:space="preserve">, </w:t>
      </w:r>
      <w:r w:rsidRPr="00B767F2">
        <w:rPr>
          <w:rStyle w:val="StyleUnderline"/>
          <w:highlight w:val="yellow"/>
        </w:rPr>
        <w:t>legislative bodies can begin conceptualizing public tort law</w:t>
      </w:r>
      <w:r w:rsidRPr="00027C82">
        <w:rPr>
          <w:rStyle w:val="StyleUnderline"/>
        </w:rPr>
        <w:t xml:space="preserve"> </w:t>
      </w:r>
      <w:r w:rsidRPr="00B767F2">
        <w:rPr>
          <w:rStyle w:val="Emphasis"/>
          <w:highlight w:val="yellow"/>
        </w:rPr>
        <w:t>as an important component of criminal justice reform</w:t>
      </w:r>
      <w:r w:rsidRPr="00B767F2">
        <w:rPr>
          <w:sz w:val="16"/>
        </w:rPr>
        <w:t>. But to do so, we need tort justice reform.</w:t>
      </w:r>
    </w:p>
    <w:p w:rsidR="00C115CF" w:rsidRDefault="00C115CF" w:rsidP="00C115CF"/>
    <w:p w:rsidR="00C115CF" w:rsidRDefault="00D6296B" w:rsidP="00D6296B">
      <w:pPr>
        <w:pStyle w:val="Heading1"/>
      </w:pPr>
      <w:r>
        <w:t>Sample Violations</w:t>
      </w:r>
    </w:p>
    <w:p w:rsidR="00D6296B" w:rsidRDefault="00D6296B" w:rsidP="00D6296B"/>
    <w:p w:rsidR="00D6296B" w:rsidRDefault="00D6296B" w:rsidP="00D6296B">
      <w:pPr>
        <w:pStyle w:val="Heading2"/>
      </w:pPr>
      <w:r>
        <w:t>Comprehensive Topicality</w:t>
      </w:r>
    </w:p>
    <w:p w:rsidR="00D6296B" w:rsidRDefault="00D6296B" w:rsidP="00D6296B"/>
    <w:p w:rsidR="00D6296B" w:rsidRPr="00D6296B" w:rsidRDefault="00D6296B" w:rsidP="00D6296B">
      <w:pPr>
        <w:pStyle w:val="Heading3"/>
      </w:pPr>
      <w:r>
        <w:t>Sentencing Version</w:t>
      </w:r>
    </w:p>
    <w:p w:rsidR="00D6296B" w:rsidRDefault="00D6296B" w:rsidP="00D6296B"/>
    <w:p w:rsidR="00D6296B" w:rsidRDefault="00D6296B" w:rsidP="00D6296B">
      <w:pPr>
        <w:pStyle w:val="Heading4"/>
        <w:numPr>
          <w:ilvl w:val="0"/>
          <w:numId w:val="11"/>
        </w:numPr>
      </w:pPr>
      <w:r>
        <w:t>Interpretation—</w:t>
      </w:r>
      <w:proofErr w:type="gramStart"/>
      <w:r>
        <w:t>The</w:t>
      </w:r>
      <w:proofErr w:type="gramEnd"/>
      <w:r>
        <w:t xml:space="preserve"> topic requires the </w:t>
      </w:r>
      <w:proofErr w:type="spellStart"/>
      <w:r>
        <w:t>aff</w:t>
      </w:r>
      <w:proofErr w:type="spellEnd"/>
      <w:r>
        <w:t xml:space="preserve"> to make </w:t>
      </w:r>
      <w:r w:rsidR="001A5D3D">
        <w:t xml:space="preserve">broad </w:t>
      </w:r>
      <w:r>
        <w:t xml:space="preserve">sweeping reform in one of the 3 areas </w:t>
      </w:r>
    </w:p>
    <w:p w:rsidR="00D6296B" w:rsidRDefault="00D6296B" w:rsidP="00D6296B">
      <w:pPr>
        <w:pStyle w:val="Heading4"/>
      </w:pPr>
      <w:r>
        <w:t>Definitions</w:t>
      </w:r>
    </w:p>
    <w:p w:rsidR="00D6296B" w:rsidRDefault="00D6296B" w:rsidP="00D6296B">
      <w:pPr>
        <w:pStyle w:val="Heading4"/>
      </w:pPr>
      <w:r>
        <w:t>Substantial--</w:t>
      </w:r>
      <w:r w:rsidRPr="00D6296B">
        <w:t xml:space="preserve"> </w:t>
      </w:r>
      <w:r>
        <w:t>When substantial modifies reform it refers to the scope of the reforms—</w:t>
      </w:r>
      <w:proofErr w:type="gramStart"/>
      <w:r>
        <w:t>A</w:t>
      </w:r>
      <w:proofErr w:type="gramEnd"/>
      <w:r>
        <w:t xml:space="preserve"> substantial reform must affect the whole country and be at least 20%, anything smaller is a minor reform</w:t>
      </w:r>
    </w:p>
    <w:p w:rsidR="00D6296B" w:rsidRDefault="00D6296B" w:rsidP="00D6296B">
      <w:proofErr w:type="spellStart"/>
      <w:r w:rsidRPr="00333AE0">
        <w:rPr>
          <w:rStyle w:val="Style13ptBold"/>
        </w:rPr>
        <w:t>Bedock</w:t>
      </w:r>
      <w:proofErr w:type="spellEnd"/>
      <w:r w:rsidRPr="00333AE0">
        <w:rPr>
          <w:rStyle w:val="Style13ptBold"/>
        </w:rPr>
        <w:t xml:space="preserve"> 17</w:t>
      </w:r>
      <w:r>
        <w:t xml:space="preserve"> Camille </w:t>
      </w:r>
      <w:proofErr w:type="spellStart"/>
      <w:r>
        <w:t>Bedock</w:t>
      </w:r>
      <w:proofErr w:type="spellEnd"/>
      <w:r>
        <w:t xml:space="preserve"> PhD in Political Science and currently works at the Centre Emile </w:t>
      </w:r>
      <w:proofErr w:type="spellStart"/>
      <w:r>
        <w:t>Durkhaim</w:t>
      </w:r>
      <w:proofErr w:type="spellEnd"/>
      <w:r>
        <w:t xml:space="preserve"> in Sciences </w:t>
      </w:r>
      <w:proofErr w:type="spellStart"/>
      <w:r>
        <w:t>po</w:t>
      </w:r>
      <w:proofErr w:type="spellEnd"/>
      <w:r>
        <w:t xml:space="preserve"> Bordeaux</w:t>
      </w:r>
    </w:p>
    <w:p w:rsidR="00D6296B" w:rsidRDefault="00D6296B" w:rsidP="00D6296B">
      <w:r>
        <w:t>Reforming Democracy: Institutional Engineering in Western Europe, pp 67-8</w:t>
      </w:r>
    </w:p>
    <w:p w:rsidR="00D6296B" w:rsidRPr="00333AE0" w:rsidRDefault="00D6296B" w:rsidP="00D6296B">
      <w:pPr>
        <w:rPr>
          <w:sz w:val="16"/>
        </w:rPr>
      </w:pPr>
      <w:proofErr w:type="gramStart"/>
      <w:r w:rsidRPr="00333AE0">
        <w:rPr>
          <w:sz w:val="16"/>
        </w:rPr>
        <w:t>a )</w:t>
      </w:r>
      <w:proofErr w:type="gramEnd"/>
      <w:r w:rsidRPr="00333AE0">
        <w:rPr>
          <w:sz w:val="16"/>
        </w:rPr>
        <w:t xml:space="preserve"> </w:t>
      </w:r>
      <w:r w:rsidRPr="00333AE0">
        <w:rPr>
          <w:rStyle w:val="StyleUnderline"/>
          <w:highlight w:val="yellow"/>
        </w:rPr>
        <w:t>Scope of "reforms</w:t>
      </w:r>
      <w:r w:rsidRPr="00333AE0">
        <w:rPr>
          <w:sz w:val="16"/>
        </w:rPr>
        <w:t xml:space="preserve">.” Evaluating the scope of reforms across six dimensions inevitably leads to the determination of some form of arbitrary threshold. I have chosen to speak about </w:t>
      </w:r>
      <w:r w:rsidRPr="00333AE0">
        <w:rPr>
          <w:rStyle w:val="StyleUnderline"/>
          <w:highlight w:val="yellow"/>
        </w:rPr>
        <w:t>substantial vs. minor reforms</w:t>
      </w:r>
      <w:r w:rsidRPr="00333AE0">
        <w:rPr>
          <w:sz w:val="16"/>
        </w:rPr>
        <w:t xml:space="preserve">. </w:t>
      </w:r>
      <w:r w:rsidRPr="00333AE0">
        <w:rPr>
          <w:rStyle w:val="StyleUnderline"/>
          <w:highlight w:val="yellow"/>
        </w:rPr>
        <w:t>A substantial</w:t>
      </w:r>
      <w:r>
        <w:rPr>
          <w:rStyle w:val="StyleUnderline"/>
          <w:highlight w:val="yellow"/>
        </w:rPr>
        <w:t xml:space="preserve"> </w:t>
      </w:r>
      <w:r w:rsidRPr="00333AE0">
        <w:rPr>
          <w:rStyle w:val="StyleUnderline"/>
          <w:highlight w:val="yellow"/>
        </w:rPr>
        <w:t>reform is: a reform that substantially alters the balance of power and the</w:t>
      </w:r>
      <w:r>
        <w:rPr>
          <w:rStyle w:val="StyleUnderline"/>
          <w:highlight w:val="yellow"/>
        </w:rPr>
        <w:t xml:space="preserve"> </w:t>
      </w:r>
      <w:r w:rsidRPr="00333AE0">
        <w:rPr>
          <w:rStyle w:val="StyleUnderline"/>
          <w:highlight w:val="yellow"/>
        </w:rPr>
        <w:t>relationship between parties</w:t>
      </w:r>
      <w:r w:rsidRPr="00333AE0">
        <w:rPr>
          <w:sz w:val="16"/>
        </w:rPr>
        <w:t xml:space="preserve">, the executive and the legislative powers, or between citizens and the political system. The notion of a 'substantial' </w:t>
      </w:r>
      <w:proofErr w:type="spellStart"/>
      <w:r w:rsidRPr="00333AE0">
        <w:rPr>
          <w:sz w:val="16"/>
        </w:rPr>
        <w:t>insti</w:t>
      </w:r>
      <w:proofErr w:type="spellEnd"/>
      <w:r w:rsidRPr="00333AE0">
        <w:rPr>
          <w:sz w:val="16"/>
        </w:rPr>
        <w:t xml:space="preserve">- </w:t>
      </w:r>
      <w:proofErr w:type="spellStart"/>
      <w:r w:rsidRPr="00333AE0">
        <w:rPr>
          <w:sz w:val="16"/>
        </w:rPr>
        <w:t>tutional</w:t>
      </w:r>
      <w:proofErr w:type="spellEnd"/>
      <w:r w:rsidRPr="00333AE0">
        <w:rPr>
          <w:sz w:val="16"/>
        </w:rPr>
        <w:t xml:space="preserve"> reform is necessarily partly subjective, as it is possible to evaluate the scope of a reform based on two factors: its objective content. </w:t>
      </w:r>
      <w:proofErr w:type="gramStart"/>
      <w:r w:rsidRPr="00333AE0">
        <w:rPr>
          <w:sz w:val="16"/>
        </w:rPr>
        <w:t>and</w:t>
      </w:r>
      <w:proofErr w:type="gramEnd"/>
      <w:r w:rsidRPr="00333AE0">
        <w:rPr>
          <w:sz w:val="16"/>
        </w:rPr>
        <w:t xml:space="preserve"> its impact. </w:t>
      </w:r>
      <w:r w:rsidRPr="00333AE0">
        <w:rPr>
          <w:rStyle w:val="StyleUnderline"/>
          <w:highlight w:val="yellow"/>
        </w:rPr>
        <w:t>Defining a substantial reform by assessing its impact is</w:t>
      </w:r>
      <w:r w:rsidRPr="00333AE0">
        <w:rPr>
          <w:sz w:val="16"/>
        </w:rPr>
        <w:t xml:space="preserve"> quite </w:t>
      </w:r>
      <w:r w:rsidRPr="00333AE0">
        <w:rPr>
          <w:rStyle w:val="StyleUnderline"/>
          <w:highlight w:val="yellow"/>
        </w:rPr>
        <w:t>problematic.</w:t>
      </w:r>
      <w:r w:rsidRPr="00333AE0">
        <w:rPr>
          <w:sz w:val="16"/>
        </w:rPr>
        <w:t xml:space="preserve"> Apparently small institutional reforms can have enduring consequences, major reforms can have delayed effects or be largely neutralized by actors' </w:t>
      </w:r>
      <w:proofErr w:type="spellStart"/>
      <w:r w:rsidRPr="00333AE0">
        <w:rPr>
          <w:sz w:val="16"/>
        </w:rPr>
        <w:t>behaviour</w:t>
      </w:r>
      <w:proofErr w:type="spellEnd"/>
      <w:r w:rsidRPr="00333AE0">
        <w:rPr>
          <w:sz w:val="16"/>
        </w:rPr>
        <w:t>, while identical reforms can have extremely different effects in different settings (</w:t>
      </w:r>
      <w:proofErr w:type="spellStart"/>
      <w:r w:rsidRPr="00333AE0">
        <w:rPr>
          <w:sz w:val="16"/>
        </w:rPr>
        <w:t>Grofman</w:t>
      </w:r>
      <w:proofErr w:type="spellEnd"/>
      <w:r w:rsidRPr="00333AE0">
        <w:rPr>
          <w:sz w:val="16"/>
        </w:rPr>
        <w:t xml:space="preserve"> 1999). It would also require extensive knowledge of each of the cases included in the database. In order to be able to classify such a large range of reforms according to their scope, it was necessary to develop precise, ex ante (regardless of the importance of the consequences of a given reform) criteria for each of the dimensions that would be cross- comparable with a variety of countries. </w:t>
      </w:r>
      <w:r w:rsidRPr="00333AE0">
        <w:rPr>
          <w:rStyle w:val="StyleUnderline"/>
          <w:highlight w:val="yellow"/>
        </w:rPr>
        <w:t>In order to avoid subjectivity</w:t>
      </w:r>
      <w:r w:rsidRPr="00333AE0">
        <w:rPr>
          <w:sz w:val="16"/>
        </w:rPr>
        <w:t xml:space="preserve"> in the classification, as far as possible, a variety of </w:t>
      </w:r>
      <w:r w:rsidRPr="00333AE0">
        <w:rPr>
          <w:rStyle w:val="StyleUnderline"/>
          <w:highlight w:val="yellow"/>
        </w:rPr>
        <w:t>criteria were developed</w:t>
      </w:r>
      <w:r w:rsidRPr="00333AE0">
        <w:rPr>
          <w:sz w:val="16"/>
        </w:rPr>
        <w:t xml:space="preserve"> for each of the dimensions included in the database using criteria developed by specialized secondary sources (such as Jacobs and </w:t>
      </w:r>
      <w:proofErr w:type="spellStart"/>
      <w:r w:rsidRPr="00333AE0">
        <w:rPr>
          <w:sz w:val="16"/>
        </w:rPr>
        <w:t>Leyenaar</w:t>
      </w:r>
      <w:proofErr w:type="spellEnd"/>
      <w:r w:rsidRPr="00333AE0">
        <w:rPr>
          <w:sz w:val="16"/>
        </w:rPr>
        <w:t xml:space="preserve"> 2011l; </w:t>
      </w:r>
      <w:proofErr w:type="spellStart"/>
      <w:r w:rsidRPr="00333AE0">
        <w:rPr>
          <w:sz w:val="16"/>
        </w:rPr>
        <w:t>Hooghe</w:t>
      </w:r>
      <w:proofErr w:type="spellEnd"/>
      <w:r w:rsidRPr="00333AE0">
        <w:rPr>
          <w:sz w:val="16"/>
        </w:rPr>
        <w:t xml:space="preserve">, Marks, and </w:t>
      </w:r>
      <w:proofErr w:type="spellStart"/>
      <w:r w:rsidRPr="00333AE0">
        <w:rPr>
          <w:sz w:val="16"/>
        </w:rPr>
        <w:t>Schakel</w:t>
      </w:r>
      <w:proofErr w:type="spellEnd"/>
      <w:r w:rsidRPr="00333AE0">
        <w:rPr>
          <w:sz w:val="16"/>
        </w:rPr>
        <w:t xml:space="preserve"> 2010) whenever possible. In cases when the content of a given institutional reform could be described through quantifiable set-off points (such as distinct magnitude, the number of seats in parliament, the number of citizens entitled to vote, and so on), a threshold of 20 percent was used to determine the scope of the reform, as proposed by </w:t>
      </w:r>
      <w:proofErr w:type="spellStart"/>
      <w:r w:rsidRPr="00333AE0">
        <w:rPr>
          <w:sz w:val="16"/>
        </w:rPr>
        <w:t>Lijphart</w:t>
      </w:r>
      <w:proofErr w:type="spellEnd"/>
      <w:r w:rsidRPr="00333AE0">
        <w:rPr>
          <w:sz w:val="16"/>
        </w:rPr>
        <w:t xml:space="preserve"> in his dealings with electoral reforms (1984). </w:t>
      </w:r>
      <w:r w:rsidRPr="00333AE0">
        <w:rPr>
          <w:rStyle w:val="StyleUnderline"/>
          <w:highlight w:val="yellow"/>
        </w:rPr>
        <w:t>Overall, reforms are classified as substantial when they affect</w:t>
      </w:r>
      <w:r w:rsidRPr="00333AE0">
        <w:rPr>
          <w:sz w:val="16"/>
        </w:rPr>
        <w:t xml:space="preserve"> the national level (</w:t>
      </w:r>
      <w:r w:rsidRPr="00333AE0">
        <w:rPr>
          <w:rStyle w:val="StyleUnderline"/>
          <w:highlight w:val="yellow"/>
        </w:rPr>
        <w:t>the whole country</w:t>
      </w:r>
      <w:r w:rsidRPr="00333AE0">
        <w:rPr>
          <w:sz w:val="16"/>
        </w:rPr>
        <w:t xml:space="preserve">), have a direct impact on the relationship between the citizenry and the political system, and between the actors within the political system, </w:t>
      </w:r>
      <w:r w:rsidRPr="00333AE0">
        <w:rPr>
          <w:rStyle w:val="StyleUnderline"/>
          <w:highlight w:val="yellow"/>
        </w:rPr>
        <w:t>and when their quantifiable dimensions meet the 20 per cent threshold</w:t>
      </w:r>
      <w:r w:rsidRPr="00333AE0">
        <w:rPr>
          <w:sz w:val="16"/>
        </w:rPr>
        <w:t xml:space="preserve"> (Appendix 2).</w:t>
      </w:r>
    </w:p>
    <w:p w:rsidR="00D6296B" w:rsidRDefault="00D6296B" w:rsidP="00D6296B">
      <w:pPr>
        <w:pStyle w:val="Heading4"/>
      </w:pPr>
      <w:r>
        <w:t xml:space="preserve"> </w:t>
      </w:r>
    </w:p>
    <w:p w:rsidR="00D6296B" w:rsidRDefault="00D6296B" w:rsidP="00D6296B">
      <w:pPr>
        <w:pStyle w:val="Heading4"/>
      </w:pPr>
      <w:r>
        <w:t xml:space="preserve">Sentencing reform means wholesale </w:t>
      </w:r>
      <w:r w:rsidR="00403431">
        <w:t xml:space="preserve">institutional </w:t>
      </w:r>
      <w:r>
        <w:t xml:space="preserve">change in the entire process of sentencing </w:t>
      </w:r>
    </w:p>
    <w:p w:rsidR="00D6296B" w:rsidRDefault="00D6296B" w:rsidP="00D6296B">
      <w:r w:rsidRPr="009012AA">
        <w:rPr>
          <w:rStyle w:val="Style13ptBold"/>
        </w:rPr>
        <w:t>Reitz 11</w:t>
      </w:r>
      <w:r>
        <w:t xml:space="preserve"> Kevin R. Reitz is a Professor of Law at the University of Minnesota and the James Annenberg La </w:t>
      </w:r>
      <w:proofErr w:type="spellStart"/>
      <w:r>
        <w:t>Vea</w:t>
      </w:r>
      <w:proofErr w:type="spellEnd"/>
      <w:r>
        <w:t xml:space="preserve"> Land Grant Chair in Criminal Procedure Law THE POLITICS OF SENTENCING REFORM, Google Books edited by James Q. Wilson, Joan </w:t>
      </w:r>
      <w:proofErr w:type="spellStart"/>
      <w:r>
        <w:t>Petersilia</w:t>
      </w:r>
      <w:proofErr w:type="spellEnd"/>
    </w:p>
    <w:p w:rsidR="00D6296B" w:rsidRPr="009012AA" w:rsidRDefault="00D6296B" w:rsidP="00D6296B">
      <w:pPr>
        <w:rPr>
          <w:sz w:val="16"/>
        </w:rPr>
      </w:pPr>
      <w:r w:rsidRPr="009012AA">
        <w:rPr>
          <w:sz w:val="16"/>
        </w:rPr>
        <w:t xml:space="preserve">In current parlance, </w:t>
      </w:r>
      <w:r w:rsidRPr="009012AA">
        <w:rPr>
          <w:rStyle w:val="StyleUnderline"/>
          <w:highlight w:val="yellow"/>
        </w:rPr>
        <w:t>sentencing reform means wholesale change in a</w:t>
      </w:r>
      <w:r>
        <w:rPr>
          <w:rStyle w:val="StyleUnderline"/>
          <w:highlight w:val="yellow"/>
        </w:rPr>
        <w:t xml:space="preserve"> </w:t>
      </w:r>
      <w:r w:rsidRPr="009012AA">
        <w:rPr>
          <w:rStyle w:val="StyleUnderline"/>
          <w:highlight w:val="yellow"/>
        </w:rPr>
        <w:t>jurisdiction's sentencing system</w:t>
      </w:r>
      <w:r w:rsidRPr="009012AA">
        <w:rPr>
          <w:rStyle w:val="StyleUnderline"/>
        </w:rPr>
        <w:t xml:space="preserve"> </w:t>
      </w:r>
      <w:r w:rsidRPr="009012AA">
        <w:rPr>
          <w:sz w:val="16"/>
        </w:rPr>
        <w:t xml:space="preserve">away from the traditional model of indeterminacy. Hopefully this can result in better institutional arrangements, </w:t>
      </w:r>
      <w:r w:rsidRPr="009012AA">
        <w:rPr>
          <w:rStyle w:val="StyleUnderline"/>
          <w:highlight w:val="yellow"/>
        </w:rPr>
        <w:t>better legal structures for sentencing decisions, better process, better</w:t>
      </w:r>
      <w:r>
        <w:rPr>
          <w:rStyle w:val="StyleUnderline"/>
          <w:highlight w:val="yellow"/>
        </w:rPr>
        <w:t xml:space="preserve"> </w:t>
      </w:r>
      <w:r w:rsidRPr="009012AA">
        <w:rPr>
          <w:rStyle w:val="StyleUnderline"/>
          <w:highlight w:val="yellow"/>
        </w:rPr>
        <w:t>information, and better policy implementation. The substantive use to which a</w:t>
      </w:r>
      <w:r>
        <w:rPr>
          <w:rStyle w:val="StyleUnderline"/>
        </w:rPr>
        <w:t xml:space="preserve"> </w:t>
      </w:r>
      <w:r w:rsidRPr="009012AA">
        <w:rPr>
          <w:sz w:val="16"/>
        </w:rPr>
        <w:t xml:space="preserve">new </w:t>
      </w:r>
      <w:r w:rsidRPr="009012AA">
        <w:rPr>
          <w:rStyle w:val="StyleUnderline"/>
          <w:highlight w:val="yellow"/>
        </w:rPr>
        <w:t>sentencing system will be put, however, is</w:t>
      </w:r>
      <w:r w:rsidRPr="009012AA">
        <w:rPr>
          <w:sz w:val="16"/>
        </w:rPr>
        <w:t xml:space="preserve"> very </w:t>
      </w:r>
      <w:r w:rsidRPr="009012AA">
        <w:rPr>
          <w:rStyle w:val="StyleUnderline"/>
          <w:highlight w:val="yellow"/>
        </w:rPr>
        <w:t>much a separate</w:t>
      </w:r>
      <w:r>
        <w:rPr>
          <w:rStyle w:val="StyleUnderline"/>
          <w:highlight w:val="yellow"/>
        </w:rPr>
        <w:t xml:space="preserve"> </w:t>
      </w:r>
      <w:r w:rsidRPr="009012AA">
        <w:rPr>
          <w:rStyle w:val="StyleUnderline"/>
          <w:highlight w:val="yellow"/>
        </w:rPr>
        <w:t>question</w:t>
      </w:r>
      <w:r w:rsidRPr="009012AA">
        <w:rPr>
          <w:sz w:val="16"/>
        </w:rPr>
        <w:t>. "Reformed" sentencing guidelines systems in America have been used to further policies of greater severity in punishment--in some places at some times-as well as policies of increased lenity (</w:t>
      </w:r>
      <w:proofErr w:type="spellStart"/>
      <w:r w:rsidRPr="009012AA">
        <w:rPr>
          <w:sz w:val="16"/>
        </w:rPr>
        <w:t>Tonry</w:t>
      </w:r>
      <w:proofErr w:type="spellEnd"/>
      <w:r w:rsidRPr="009012AA">
        <w:rPr>
          <w:sz w:val="16"/>
        </w:rPr>
        <w:t xml:space="preserve"> 1996; American Law institute 2007 ). In this sense, sentencing reform is ideologically neutral. Even so, the pathways toward achieving systemic reform are highly political. </w:t>
      </w:r>
      <w:r w:rsidRPr="009012AA">
        <w:rPr>
          <w:rStyle w:val="StyleUnderline"/>
          <w:highlight w:val="yellow"/>
        </w:rPr>
        <w:t>Large institutional changes affect the professional lives of many</w:t>
      </w:r>
      <w:r>
        <w:rPr>
          <w:rStyle w:val="StyleUnderline"/>
          <w:highlight w:val="yellow"/>
        </w:rPr>
        <w:t xml:space="preserve"> </w:t>
      </w:r>
      <w:r w:rsidRPr="009012AA">
        <w:rPr>
          <w:rStyle w:val="StyleUnderline"/>
          <w:highlight w:val="yellow"/>
        </w:rPr>
        <w:t>stakeholders in the criminal justice system</w:t>
      </w:r>
      <w:r w:rsidRPr="009012AA">
        <w:rPr>
          <w:sz w:val="16"/>
        </w:rPr>
        <w:t>, and the perceived interests of important constituencies vary from place to place. For example, notwithstanding the wide belief that prosecutors' powers are multiplied in a sentencing guidelines system, prosecutors' organizations have been formidable opponents of guidelines reform in many states, including Colorado, Texas, Massachusetts, and California. In other states, like Washington and Oregon, prosecutors have led the call for reform. Judges, too, have staked out different positions across jurisdictions: Judicial leadership was key to the adoption of guidelines systems in Minnesota, Delaware, North Carolina, Missouri, and the District of Columbia (and ongoing attempted reforms in Massachusetts). In other places, judges have been unsupportive or hostile to reform efforts, such as Colorado, New York, Georgia, and the federal system.</w:t>
      </w:r>
    </w:p>
    <w:p w:rsidR="00D6296B" w:rsidRPr="00D6296B" w:rsidRDefault="00D6296B" w:rsidP="00D6296B"/>
    <w:p w:rsidR="00403431" w:rsidRDefault="00403431" w:rsidP="00403431">
      <w:pPr>
        <w:pStyle w:val="Heading4"/>
      </w:pPr>
      <w:r>
        <w:t xml:space="preserve">In means throughout </w:t>
      </w:r>
    </w:p>
    <w:p w:rsidR="00403431" w:rsidRDefault="00403431" w:rsidP="00403431">
      <w:r w:rsidRPr="0098058F">
        <w:rPr>
          <w:rStyle w:val="Style13ptBold"/>
        </w:rPr>
        <w:t>Words and Phrases 2008</w:t>
      </w:r>
      <w:r>
        <w:t xml:space="preserve"> Judicial and Statutory Definitions of Words and Phrases, Volume 4</w:t>
      </w:r>
      <w:proofErr w:type="gramStart"/>
      <w:r>
        <w:t>,  Google</w:t>
      </w:r>
      <w:proofErr w:type="gramEnd"/>
      <w:r>
        <w:t xml:space="preserve"> Books</w:t>
      </w:r>
    </w:p>
    <w:p w:rsidR="00403431" w:rsidRPr="0098058F" w:rsidRDefault="00403431" w:rsidP="00403431">
      <w:r>
        <w:t xml:space="preserve">In the Act of 1861 providing that justices of the peace shall have jurisdiction “in” their respective counties to hear and determine all complaints, </w:t>
      </w:r>
      <w:r w:rsidRPr="0098058F">
        <w:rPr>
          <w:rStyle w:val="StyleUnderline"/>
          <w:highlight w:val="yellow"/>
        </w:rPr>
        <w:t>the word “in” should be construed to mean “throughout”</w:t>
      </w:r>
      <w:r>
        <w:t xml:space="preserve"> such counties. Reynolds v. Larkin, 14, p. 114, 117, 10 Colo. 126.</w:t>
      </w:r>
    </w:p>
    <w:p w:rsidR="00403431" w:rsidRDefault="00403431" w:rsidP="00403431">
      <w:pPr>
        <w:pStyle w:val="Heading4"/>
      </w:pPr>
    </w:p>
    <w:p w:rsidR="00403431" w:rsidRDefault="00403431" w:rsidP="00403431">
      <w:pPr>
        <w:pStyle w:val="Heading4"/>
        <w:numPr>
          <w:ilvl w:val="0"/>
          <w:numId w:val="11"/>
        </w:numPr>
      </w:pPr>
      <w:r>
        <w:t xml:space="preserve">The </w:t>
      </w:r>
      <w:proofErr w:type="spellStart"/>
      <w:r>
        <w:t>aff</w:t>
      </w:r>
      <w:proofErr w:type="spellEnd"/>
      <w:r>
        <w:t xml:space="preserve"> violates—</w:t>
      </w:r>
      <w:proofErr w:type="gramStart"/>
      <w:r>
        <w:t>They</w:t>
      </w:r>
      <w:proofErr w:type="gramEnd"/>
      <w:r>
        <w:t xml:space="preserve"> change a piecemeal change of a single category of crime (or a single penalty)</w:t>
      </w:r>
    </w:p>
    <w:p w:rsidR="00403431" w:rsidRDefault="00403431" w:rsidP="00403431"/>
    <w:p w:rsidR="00403431" w:rsidRDefault="00403431" w:rsidP="00403431">
      <w:pPr>
        <w:pStyle w:val="Heading4"/>
        <w:numPr>
          <w:ilvl w:val="0"/>
          <w:numId w:val="11"/>
        </w:numPr>
      </w:pPr>
      <w:r>
        <w:t>Our interpretation is better</w:t>
      </w:r>
    </w:p>
    <w:p w:rsidR="00403431" w:rsidRPr="00007039" w:rsidRDefault="00403431" w:rsidP="00403431">
      <w:pPr>
        <w:pStyle w:val="Heading4"/>
        <w:numPr>
          <w:ilvl w:val="0"/>
          <w:numId w:val="12"/>
        </w:numPr>
      </w:pPr>
      <w:proofErr w:type="spellStart"/>
      <w:r>
        <w:t>Unlimits</w:t>
      </w:r>
      <w:proofErr w:type="spellEnd"/>
      <w:r>
        <w:t>—If you can change penalties for a single federal crime the topic is unlimited—You could remove penalties from any federal crime-</w:t>
      </w:r>
      <w:r>
        <w:t xml:space="preserve">Allowing the </w:t>
      </w:r>
      <w:proofErr w:type="spellStart"/>
      <w:r>
        <w:t>aff</w:t>
      </w:r>
      <w:proofErr w:type="spellEnd"/>
      <w:r>
        <w:t xml:space="preserve"> to change individual federal crimes literally </w:t>
      </w:r>
      <w:proofErr w:type="spellStart"/>
      <w:r>
        <w:t>unlimits</w:t>
      </w:r>
      <w:proofErr w:type="spellEnd"/>
    </w:p>
    <w:p w:rsidR="00403431" w:rsidRPr="00007039" w:rsidRDefault="00403431" w:rsidP="00403431">
      <w:r w:rsidRPr="00857DA7">
        <w:rPr>
          <w:rStyle w:val="Style13ptBold"/>
        </w:rPr>
        <w:t>Smith 17</w:t>
      </w:r>
      <w:r>
        <w:t xml:space="preserve"> </w:t>
      </w:r>
      <w:r>
        <w:t>–</w:t>
      </w:r>
      <w:r>
        <w:t xml:space="preserve"> </w:t>
      </w:r>
      <w:r>
        <w:t xml:space="preserve">Stephen Smith is a </w:t>
      </w:r>
      <w:r>
        <w:t>Professor of Law, Uni</w:t>
      </w:r>
      <w:r>
        <w:t>versity of Notre Dame (</w:t>
      </w:r>
      <w:r>
        <w:t>“R</w:t>
      </w:r>
      <w:r>
        <w:t>eforming Criminal Justice,”</w:t>
      </w:r>
      <w:r>
        <w:t>)</w:t>
      </w:r>
      <w:r>
        <w:t xml:space="preserve"> Chapter 4</w:t>
      </w:r>
    </w:p>
    <w:p w:rsidR="00403431" w:rsidRPr="00403431" w:rsidRDefault="00403431" w:rsidP="00403431">
      <w:pPr>
        <w:rPr>
          <w:sz w:val="16"/>
        </w:rPr>
      </w:pPr>
      <w:r w:rsidRPr="00403431">
        <w:rPr>
          <w:sz w:val="16"/>
        </w:rPr>
        <w:t xml:space="preserve">Those days, of course, are long gone. With Congress having cast off the shackles of federalism and self-restraint in recent generations, it comes as no surprise that </w:t>
      </w:r>
      <w:r w:rsidRPr="00001E39">
        <w:rPr>
          <w:rStyle w:val="StyleUnderline"/>
        </w:rPr>
        <w:t>the loose collection of statutes known as “</w:t>
      </w:r>
      <w:r w:rsidRPr="005446A0">
        <w:rPr>
          <w:rStyle w:val="StyleUnderline"/>
          <w:highlight w:val="yellow"/>
        </w:rPr>
        <w:t>federal criminal law” is</w:t>
      </w:r>
      <w:r w:rsidRPr="00001E39">
        <w:rPr>
          <w:rStyle w:val="StyleUnderline"/>
        </w:rPr>
        <w:t xml:space="preserve"> sprawling and </w:t>
      </w:r>
      <w:r w:rsidRPr="005446A0">
        <w:rPr>
          <w:rStyle w:val="StyleUnderline"/>
          <w:highlight w:val="yellow"/>
        </w:rPr>
        <w:t xml:space="preserve">virtually </w:t>
      </w:r>
      <w:r w:rsidRPr="005446A0">
        <w:rPr>
          <w:rStyle w:val="Emphasis"/>
          <w:highlight w:val="yellow"/>
        </w:rPr>
        <w:t>limitless</w:t>
      </w:r>
      <w:r w:rsidRPr="00403431">
        <w:rPr>
          <w:sz w:val="16"/>
        </w:rPr>
        <w:t xml:space="preserve"> in its reach into the domain of state criminal law. </w:t>
      </w:r>
      <w:r w:rsidRPr="00001E39">
        <w:rPr>
          <w:rStyle w:val="StyleUnderline"/>
        </w:rPr>
        <w:t>It is</w:t>
      </w:r>
      <w:r w:rsidRPr="00403431">
        <w:rPr>
          <w:sz w:val="16"/>
        </w:rPr>
        <w:t xml:space="preserve">, however, </w:t>
      </w:r>
      <w:r w:rsidRPr="00001E39">
        <w:rPr>
          <w:rStyle w:val="StyleUnderline"/>
        </w:rPr>
        <w:t>surprising just how large, sprawling, and inaccessible the resulting collection of statutes</w:t>
      </w:r>
      <w:r w:rsidRPr="00403431">
        <w:rPr>
          <w:sz w:val="16"/>
        </w:rPr>
        <w:t xml:space="preserve"> (which, strictly speaking, is not properly referred to as a “code” at all</w:t>
      </w:r>
      <w:proofErr w:type="gramStart"/>
      <w:r w:rsidRPr="00403431">
        <w:rPr>
          <w:sz w:val="16"/>
        </w:rPr>
        <w:t>)5</w:t>
      </w:r>
      <w:proofErr w:type="gramEnd"/>
      <w:r w:rsidRPr="00403431">
        <w:rPr>
          <w:sz w:val="16"/>
        </w:rPr>
        <w:t xml:space="preserve"> </w:t>
      </w:r>
      <w:r w:rsidRPr="00001E39">
        <w:rPr>
          <w:rStyle w:val="StyleUnderline"/>
        </w:rPr>
        <w:t>has become after more than a century of statute-by-statute accumulation</w:t>
      </w:r>
      <w:r w:rsidRPr="00403431">
        <w:rPr>
          <w:sz w:val="16"/>
        </w:rPr>
        <w:t xml:space="preserve">. </w:t>
      </w:r>
      <w:r w:rsidRPr="00001E39">
        <w:rPr>
          <w:rStyle w:val="StyleUnderline"/>
        </w:rPr>
        <w:t xml:space="preserve">It is surprising but true that </w:t>
      </w:r>
      <w:r w:rsidRPr="005446A0">
        <w:rPr>
          <w:rStyle w:val="StyleUnderline"/>
          <w:highlight w:val="yellow"/>
        </w:rPr>
        <w:t>no one</w:t>
      </w:r>
      <w:r w:rsidRPr="00403431">
        <w:rPr>
          <w:sz w:val="16"/>
          <w:highlight w:val="yellow"/>
        </w:rPr>
        <w:t>—</w:t>
      </w:r>
      <w:r w:rsidRPr="005446A0">
        <w:rPr>
          <w:rStyle w:val="StyleUnderline"/>
          <w:highlight w:val="yellow"/>
        </w:rPr>
        <w:t>not the Department of Justice, scholars</w:t>
      </w:r>
      <w:r w:rsidRPr="00001E39">
        <w:rPr>
          <w:rStyle w:val="StyleUnderline"/>
        </w:rPr>
        <w:t xml:space="preserve"> in the field, </w:t>
      </w:r>
      <w:r w:rsidRPr="005446A0">
        <w:rPr>
          <w:rStyle w:val="StyleUnderline"/>
          <w:highlight w:val="yellow"/>
        </w:rPr>
        <w:t>nor blue-ribbon task forces that spent years studying the subject</w:t>
      </w:r>
      <w:r w:rsidRPr="00403431">
        <w:rPr>
          <w:sz w:val="16"/>
          <w:highlight w:val="yellow"/>
        </w:rPr>
        <w:t xml:space="preserve">— </w:t>
      </w:r>
      <w:r w:rsidRPr="005446A0">
        <w:rPr>
          <w:rStyle w:val="StyleUnderline"/>
          <w:highlight w:val="yellow"/>
        </w:rPr>
        <w:t>has even a rough idea of how many federal criminal laws there are</w:t>
      </w:r>
      <w:r w:rsidRPr="00403431">
        <w:rPr>
          <w:sz w:val="16"/>
        </w:rPr>
        <w:t xml:space="preserve">. </w:t>
      </w:r>
      <w:r w:rsidRPr="00001E39">
        <w:rPr>
          <w:rStyle w:val="StyleUnderline"/>
        </w:rPr>
        <w:t xml:space="preserve">The American Bar Association’s Task Force on Federalization, for instance, abandoned its own years-long counting effort as futile given how “large … </w:t>
      </w:r>
      <w:r w:rsidRPr="005446A0">
        <w:rPr>
          <w:rStyle w:val="Emphasis"/>
        </w:rPr>
        <w:t xml:space="preserve">the present body of </w:t>
      </w:r>
      <w:r w:rsidRPr="005446A0">
        <w:rPr>
          <w:rStyle w:val="Emphasis"/>
          <w:highlight w:val="yellow"/>
        </w:rPr>
        <w:t>federal criminal law [is</w:t>
      </w:r>
      <w:r w:rsidRPr="00001E39">
        <w:rPr>
          <w:rStyle w:val="StyleUnderline"/>
        </w:rPr>
        <w:t>]</w:t>
      </w:r>
      <w:r w:rsidRPr="00403431">
        <w:rPr>
          <w:sz w:val="16"/>
        </w:rPr>
        <w:t xml:space="preserve">.”6 Even defenders of the federalization of criminal law concede that </w:t>
      </w:r>
      <w:r w:rsidRPr="00001E39">
        <w:rPr>
          <w:rStyle w:val="StyleUnderline"/>
        </w:rPr>
        <w:t xml:space="preserve">its scope is </w:t>
      </w:r>
      <w:r w:rsidRPr="00403431">
        <w:rPr>
          <w:sz w:val="16"/>
        </w:rPr>
        <w:t>“</w:t>
      </w:r>
      <w:r w:rsidRPr="005446A0">
        <w:rPr>
          <w:rStyle w:val="Emphasis"/>
          <w:highlight w:val="yellow"/>
        </w:rPr>
        <w:t>potentially infinite</w:t>
      </w:r>
      <w:r w:rsidRPr="00403431">
        <w:rPr>
          <w:sz w:val="16"/>
          <w:highlight w:val="yellow"/>
        </w:rPr>
        <w:t>”:</w:t>
      </w:r>
      <w:r w:rsidRPr="00403431">
        <w:rPr>
          <w:sz w:val="16"/>
        </w:rPr>
        <w:t xml:space="preserve"> “Current federal criminal law is set forth in forty-eight titles of the United States Code, encompassing roughly 27,000 pages of printed text, as interpreted in judicial opinions found in over 2,800 volumes, containing approximately 4,000,000 printed pages.”7</w:t>
      </w:r>
    </w:p>
    <w:p w:rsidR="00403431" w:rsidRDefault="00403431" w:rsidP="00403431"/>
    <w:p w:rsidR="00403431" w:rsidRDefault="00403431" w:rsidP="00403431">
      <w:pPr>
        <w:pStyle w:val="Heading4"/>
        <w:numPr>
          <w:ilvl w:val="0"/>
          <w:numId w:val="12"/>
        </w:numPr>
      </w:pPr>
      <w:r>
        <w:t>It destroys ground—Changes in individual penalties happen all the time making all Das not unique—</w:t>
      </w:r>
      <w:proofErr w:type="gramStart"/>
      <w:r w:rsidR="001F4ECA">
        <w:t>Forcing</w:t>
      </w:r>
      <w:proofErr w:type="gramEnd"/>
      <w:r>
        <w:t xml:space="preserve"> the </w:t>
      </w:r>
      <w:proofErr w:type="spellStart"/>
      <w:r>
        <w:t>aff</w:t>
      </w:r>
      <w:proofErr w:type="spellEnd"/>
      <w:r>
        <w:t xml:space="preserve"> to defend controversial comprehensive reforms better preserves ground.</w:t>
      </w:r>
    </w:p>
    <w:p w:rsidR="00403431" w:rsidRDefault="00403431" w:rsidP="00403431"/>
    <w:p w:rsidR="00403431" w:rsidRDefault="00403431" w:rsidP="00403431">
      <w:pPr>
        <w:pStyle w:val="Heading4"/>
        <w:numPr>
          <w:ilvl w:val="0"/>
          <w:numId w:val="11"/>
        </w:numPr>
      </w:pPr>
      <w:r>
        <w:t>Topicality is a voting issue for reasons of better debate, education and competition.</w:t>
      </w:r>
    </w:p>
    <w:p w:rsidR="00403431" w:rsidRDefault="00403431" w:rsidP="00403431"/>
    <w:p w:rsidR="001F4ECA" w:rsidRDefault="001F4ECA" w:rsidP="00403431"/>
    <w:p w:rsidR="001F4ECA" w:rsidRDefault="001F4ECA" w:rsidP="001F4ECA">
      <w:pPr>
        <w:pStyle w:val="Heading3"/>
      </w:pPr>
      <w:r>
        <w:t>Policing version</w:t>
      </w:r>
    </w:p>
    <w:p w:rsidR="001F4ECA" w:rsidRDefault="001F4ECA" w:rsidP="001F4ECA"/>
    <w:p w:rsidR="001F4ECA" w:rsidRDefault="001F4ECA" w:rsidP="001F4ECA">
      <w:pPr>
        <w:pStyle w:val="Heading4"/>
        <w:numPr>
          <w:ilvl w:val="0"/>
          <w:numId w:val="20"/>
        </w:numPr>
      </w:pPr>
      <w:r>
        <w:t>Interpretation—</w:t>
      </w:r>
      <w:proofErr w:type="gramStart"/>
      <w:r>
        <w:t>The</w:t>
      </w:r>
      <w:proofErr w:type="gramEnd"/>
      <w:r>
        <w:t xml:space="preserve"> topic requires the </w:t>
      </w:r>
      <w:proofErr w:type="spellStart"/>
      <w:r>
        <w:t>aff</w:t>
      </w:r>
      <w:proofErr w:type="spellEnd"/>
      <w:r>
        <w:t xml:space="preserve"> to make broad sweeping reform in one of the 3 areas </w:t>
      </w:r>
    </w:p>
    <w:p w:rsidR="001F4ECA" w:rsidRDefault="001F4ECA" w:rsidP="001F4ECA">
      <w:pPr>
        <w:pStyle w:val="Heading4"/>
      </w:pPr>
      <w:r>
        <w:t>Definitions</w:t>
      </w:r>
    </w:p>
    <w:p w:rsidR="001F4ECA" w:rsidRDefault="001F4ECA" w:rsidP="001F4ECA">
      <w:pPr>
        <w:pStyle w:val="Heading4"/>
      </w:pPr>
      <w:r>
        <w:t>Substantial--</w:t>
      </w:r>
      <w:r w:rsidRPr="00D6296B">
        <w:t xml:space="preserve"> </w:t>
      </w:r>
      <w:r>
        <w:t>When substantial modifies reform it refers to the scope of the reforms—</w:t>
      </w:r>
      <w:proofErr w:type="gramStart"/>
      <w:r>
        <w:t>A</w:t>
      </w:r>
      <w:proofErr w:type="gramEnd"/>
      <w:r>
        <w:t xml:space="preserve"> substantial reform must affect the whole country and be at least 20%, anything smaller is a minor reform</w:t>
      </w:r>
    </w:p>
    <w:p w:rsidR="001F4ECA" w:rsidRDefault="001F4ECA" w:rsidP="001F4ECA">
      <w:proofErr w:type="spellStart"/>
      <w:r w:rsidRPr="00333AE0">
        <w:rPr>
          <w:rStyle w:val="Style13ptBold"/>
        </w:rPr>
        <w:t>Bedock</w:t>
      </w:r>
      <w:proofErr w:type="spellEnd"/>
      <w:r w:rsidRPr="00333AE0">
        <w:rPr>
          <w:rStyle w:val="Style13ptBold"/>
        </w:rPr>
        <w:t xml:space="preserve"> 17</w:t>
      </w:r>
      <w:r>
        <w:t xml:space="preserve"> Camille </w:t>
      </w:r>
      <w:proofErr w:type="spellStart"/>
      <w:r>
        <w:t>Bedock</w:t>
      </w:r>
      <w:proofErr w:type="spellEnd"/>
      <w:r>
        <w:t xml:space="preserve"> PhD in Political Science and currently works at the Centre Emile </w:t>
      </w:r>
      <w:proofErr w:type="spellStart"/>
      <w:r>
        <w:t>Durkhaim</w:t>
      </w:r>
      <w:proofErr w:type="spellEnd"/>
      <w:r>
        <w:t xml:space="preserve"> in Sciences </w:t>
      </w:r>
      <w:proofErr w:type="spellStart"/>
      <w:r>
        <w:t>po</w:t>
      </w:r>
      <w:proofErr w:type="spellEnd"/>
      <w:r>
        <w:t xml:space="preserve"> Bordeaux</w:t>
      </w:r>
    </w:p>
    <w:p w:rsidR="001F4ECA" w:rsidRDefault="001F4ECA" w:rsidP="001F4ECA">
      <w:r>
        <w:t>Reforming Democracy: Institutional Engineering in Western Europe, pp 67-8</w:t>
      </w:r>
    </w:p>
    <w:p w:rsidR="001F4ECA" w:rsidRDefault="001F4ECA" w:rsidP="001F4ECA">
      <w:proofErr w:type="gramStart"/>
      <w:r w:rsidRPr="00333AE0">
        <w:rPr>
          <w:sz w:val="16"/>
        </w:rPr>
        <w:t>a )</w:t>
      </w:r>
      <w:proofErr w:type="gramEnd"/>
      <w:r w:rsidRPr="00333AE0">
        <w:rPr>
          <w:sz w:val="16"/>
        </w:rPr>
        <w:t xml:space="preserve"> </w:t>
      </w:r>
      <w:r w:rsidRPr="00333AE0">
        <w:rPr>
          <w:rStyle w:val="StyleUnderline"/>
          <w:highlight w:val="yellow"/>
        </w:rPr>
        <w:t>Scope of "reforms</w:t>
      </w:r>
      <w:r w:rsidRPr="00333AE0">
        <w:rPr>
          <w:sz w:val="16"/>
        </w:rPr>
        <w:t xml:space="preserve">.” Evaluating the scope of reforms across six dimensions inevitably leads to the determination of some form of arbitrary threshold. I have chosen to speak about </w:t>
      </w:r>
      <w:r w:rsidRPr="00333AE0">
        <w:rPr>
          <w:rStyle w:val="StyleUnderline"/>
          <w:highlight w:val="yellow"/>
        </w:rPr>
        <w:t>substantial vs. minor reforms</w:t>
      </w:r>
      <w:r w:rsidRPr="00333AE0">
        <w:rPr>
          <w:sz w:val="16"/>
        </w:rPr>
        <w:t xml:space="preserve">. </w:t>
      </w:r>
      <w:r w:rsidRPr="00333AE0">
        <w:rPr>
          <w:rStyle w:val="StyleUnderline"/>
          <w:highlight w:val="yellow"/>
        </w:rPr>
        <w:t>A substantial</w:t>
      </w:r>
      <w:r>
        <w:rPr>
          <w:rStyle w:val="StyleUnderline"/>
          <w:highlight w:val="yellow"/>
        </w:rPr>
        <w:t xml:space="preserve"> </w:t>
      </w:r>
      <w:r w:rsidRPr="00333AE0">
        <w:rPr>
          <w:rStyle w:val="StyleUnderline"/>
          <w:highlight w:val="yellow"/>
        </w:rPr>
        <w:t>reform is: a reform that substantially alters the balance of power and the</w:t>
      </w:r>
      <w:r>
        <w:rPr>
          <w:rStyle w:val="StyleUnderline"/>
          <w:highlight w:val="yellow"/>
        </w:rPr>
        <w:t xml:space="preserve"> </w:t>
      </w:r>
      <w:r w:rsidRPr="00333AE0">
        <w:rPr>
          <w:rStyle w:val="StyleUnderline"/>
          <w:highlight w:val="yellow"/>
        </w:rPr>
        <w:t>relationship between parties</w:t>
      </w:r>
      <w:r w:rsidRPr="00333AE0">
        <w:rPr>
          <w:sz w:val="16"/>
        </w:rPr>
        <w:t xml:space="preserve">, the executive and the legislative powers, or between citizens and the political system. The notion of a 'substantial' </w:t>
      </w:r>
      <w:proofErr w:type="spellStart"/>
      <w:r w:rsidRPr="00333AE0">
        <w:rPr>
          <w:sz w:val="16"/>
        </w:rPr>
        <w:t>insti</w:t>
      </w:r>
      <w:proofErr w:type="spellEnd"/>
      <w:r w:rsidRPr="00333AE0">
        <w:rPr>
          <w:sz w:val="16"/>
        </w:rPr>
        <w:t xml:space="preserve">- </w:t>
      </w:r>
      <w:proofErr w:type="spellStart"/>
      <w:r w:rsidRPr="00333AE0">
        <w:rPr>
          <w:sz w:val="16"/>
        </w:rPr>
        <w:t>tutional</w:t>
      </w:r>
      <w:proofErr w:type="spellEnd"/>
      <w:r w:rsidRPr="00333AE0">
        <w:rPr>
          <w:sz w:val="16"/>
        </w:rPr>
        <w:t xml:space="preserve"> reform is necessarily partly subjective, as it is possible to evaluate the scope of a reform based on two factors: its objective content. </w:t>
      </w:r>
      <w:proofErr w:type="gramStart"/>
      <w:r w:rsidRPr="00333AE0">
        <w:rPr>
          <w:sz w:val="16"/>
        </w:rPr>
        <w:t>and</w:t>
      </w:r>
      <w:proofErr w:type="gramEnd"/>
      <w:r w:rsidRPr="00333AE0">
        <w:rPr>
          <w:sz w:val="16"/>
        </w:rPr>
        <w:t xml:space="preserve"> its impact. </w:t>
      </w:r>
      <w:r w:rsidRPr="00333AE0">
        <w:rPr>
          <w:rStyle w:val="StyleUnderline"/>
          <w:highlight w:val="yellow"/>
        </w:rPr>
        <w:t>Defining a substantial reform by assessing its impact is</w:t>
      </w:r>
      <w:r w:rsidRPr="00333AE0">
        <w:rPr>
          <w:sz w:val="16"/>
        </w:rPr>
        <w:t xml:space="preserve"> quite </w:t>
      </w:r>
      <w:r w:rsidRPr="00333AE0">
        <w:rPr>
          <w:rStyle w:val="StyleUnderline"/>
          <w:highlight w:val="yellow"/>
        </w:rPr>
        <w:t>problematic.</w:t>
      </w:r>
      <w:r w:rsidRPr="00333AE0">
        <w:rPr>
          <w:sz w:val="16"/>
        </w:rPr>
        <w:t xml:space="preserve"> Apparently small institutional reforms can have enduring consequences, major reforms can have delayed effects or be largely neutralized by actors' </w:t>
      </w:r>
      <w:proofErr w:type="spellStart"/>
      <w:r w:rsidRPr="00333AE0">
        <w:rPr>
          <w:sz w:val="16"/>
        </w:rPr>
        <w:t>behaviour</w:t>
      </w:r>
      <w:proofErr w:type="spellEnd"/>
      <w:r w:rsidRPr="00333AE0">
        <w:rPr>
          <w:sz w:val="16"/>
        </w:rPr>
        <w:t>, while identical reforms can have extremely different effects in different settings (</w:t>
      </w:r>
      <w:proofErr w:type="spellStart"/>
      <w:r w:rsidRPr="00333AE0">
        <w:rPr>
          <w:sz w:val="16"/>
        </w:rPr>
        <w:t>Grofman</w:t>
      </w:r>
      <w:proofErr w:type="spellEnd"/>
      <w:r w:rsidRPr="00333AE0">
        <w:rPr>
          <w:sz w:val="16"/>
        </w:rPr>
        <w:t xml:space="preserve"> 1999). It would also require extensive knowledge of each of the cases included in the database. In order to be able to classify such a large range of reforms according to their scope, it was necessary to develop precise, ex ante (regardless of the importance of the consequences of a given reform) criteria for each of the dimensions that would be cross- comparable with a variety of countries. </w:t>
      </w:r>
      <w:r w:rsidRPr="00333AE0">
        <w:rPr>
          <w:rStyle w:val="StyleUnderline"/>
          <w:highlight w:val="yellow"/>
        </w:rPr>
        <w:t>In order to avoid subjectivity</w:t>
      </w:r>
      <w:r w:rsidRPr="00333AE0">
        <w:rPr>
          <w:sz w:val="16"/>
        </w:rPr>
        <w:t xml:space="preserve"> in the classification, as far as possible, a variety of </w:t>
      </w:r>
      <w:r w:rsidRPr="00333AE0">
        <w:rPr>
          <w:rStyle w:val="StyleUnderline"/>
          <w:highlight w:val="yellow"/>
        </w:rPr>
        <w:t>criteria were developed</w:t>
      </w:r>
      <w:r w:rsidRPr="00333AE0">
        <w:rPr>
          <w:sz w:val="16"/>
        </w:rPr>
        <w:t xml:space="preserve"> for each of the dimensions included in the database using criteria developed by specialized secondary sources (such as Jacobs and </w:t>
      </w:r>
      <w:proofErr w:type="spellStart"/>
      <w:r w:rsidRPr="00333AE0">
        <w:rPr>
          <w:sz w:val="16"/>
        </w:rPr>
        <w:t>Leyenaar</w:t>
      </w:r>
      <w:proofErr w:type="spellEnd"/>
      <w:r w:rsidRPr="00333AE0">
        <w:rPr>
          <w:sz w:val="16"/>
        </w:rPr>
        <w:t xml:space="preserve"> 2011l; </w:t>
      </w:r>
      <w:proofErr w:type="spellStart"/>
      <w:r w:rsidRPr="00333AE0">
        <w:rPr>
          <w:sz w:val="16"/>
        </w:rPr>
        <w:t>Hooghe</w:t>
      </w:r>
      <w:proofErr w:type="spellEnd"/>
      <w:r w:rsidRPr="00333AE0">
        <w:rPr>
          <w:sz w:val="16"/>
        </w:rPr>
        <w:t xml:space="preserve">, Marks, and </w:t>
      </w:r>
      <w:proofErr w:type="spellStart"/>
      <w:r w:rsidRPr="00333AE0">
        <w:rPr>
          <w:sz w:val="16"/>
        </w:rPr>
        <w:t>Schakel</w:t>
      </w:r>
      <w:proofErr w:type="spellEnd"/>
      <w:r w:rsidRPr="00333AE0">
        <w:rPr>
          <w:sz w:val="16"/>
        </w:rPr>
        <w:t xml:space="preserve"> 2010) whenever possible. In cases when the content of a given institutional reform could be described through quantifiable set-off points (such as distinct magnitude, the number of seats in parliament, the number of citizens entitled to vote, and so on), a threshold of 20 percent was used to determine the scope of the reform, as proposed by </w:t>
      </w:r>
      <w:proofErr w:type="spellStart"/>
      <w:r w:rsidRPr="00333AE0">
        <w:rPr>
          <w:sz w:val="16"/>
        </w:rPr>
        <w:t>Lijphart</w:t>
      </w:r>
      <w:proofErr w:type="spellEnd"/>
      <w:r w:rsidRPr="00333AE0">
        <w:rPr>
          <w:sz w:val="16"/>
        </w:rPr>
        <w:t xml:space="preserve"> in his dealings with electoral reforms (1984). </w:t>
      </w:r>
      <w:r w:rsidRPr="00333AE0">
        <w:rPr>
          <w:rStyle w:val="StyleUnderline"/>
          <w:highlight w:val="yellow"/>
        </w:rPr>
        <w:t>Overall, reforms are classified as substantial when they affect</w:t>
      </w:r>
      <w:r w:rsidRPr="00333AE0">
        <w:rPr>
          <w:sz w:val="16"/>
        </w:rPr>
        <w:t xml:space="preserve"> the national level (</w:t>
      </w:r>
      <w:r w:rsidRPr="00333AE0">
        <w:rPr>
          <w:rStyle w:val="StyleUnderline"/>
          <w:highlight w:val="yellow"/>
        </w:rPr>
        <w:t>the whole country</w:t>
      </w:r>
      <w:r w:rsidRPr="00333AE0">
        <w:rPr>
          <w:sz w:val="16"/>
        </w:rPr>
        <w:t xml:space="preserve">), have a direct impact on the relationship between the citizenry and the political system, and between the actors within the political system, </w:t>
      </w:r>
      <w:r w:rsidRPr="00333AE0">
        <w:rPr>
          <w:rStyle w:val="StyleUnderline"/>
          <w:highlight w:val="yellow"/>
        </w:rPr>
        <w:t>and when their quantifiable dimensions meet the 20 per cent threshold</w:t>
      </w:r>
      <w:r w:rsidRPr="00333AE0">
        <w:rPr>
          <w:sz w:val="16"/>
        </w:rPr>
        <w:t xml:space="preserve"> (Appendix 2)</w:t>
      </w:r>
      <w:r>
        <w:t xml:space="preserve"> </w:t>
      </w:r>
    </w:p>
    <w:p w:rsidR="001F4ECA" w:rsidRDefault="001F4ECA" w:rsidP="001F4ECA"/>
    <w:p w:rsidR="001F4ECA" w:rsidRDefault="001F4ECA" w:rsidP="001F4ECA">
      <w:pPr>
        <w:pStyle w:val="Heading4"/>
      </w:pPr>
      <w:r>
        <w:t>Policing is a mass noun</w:t>
      </w:r>
    </w:p>
    <w:p w:rsidR="001F4ECA" w:rsidRDefault="001F4ECA" w:rsidP="001F4ECA">
      <w:r>
        <w:rPr>
          <w:rStyle w:val="Style13ptBold"/>
        </w:rPr>
        <w:t xml:space="preserve">Oxford Dictionary at </w:t>
      </w:r>
      <w:proofErr w:type="spellStart"/>
      <w:r>
        <w:rPr>
          <w:rStyle w:val="Style13ptBold"/>
        </w:rPr>
        <w:t>Lexico</w:t>
      </w:r>
      <w:proofErr w:type="spellEnd"/>
      <w:r>
        <w:t xml:space="preserve"> https://www.lexico.com/definition/policing</w:t>
      </w:r>
    </w:p>
    <w:p w:rsidR="001F4ECA" w:rsidRDefault="001F4ECA" w:rsidP="001F4ECA">
      <w:r w:rsidRPr="008256F8">
        <w:rPr>
          <w:rStyle w:val="StyleUnderline"/>
          <w:highlight w:val="yellow"/>
        </w:rPr>
        <w:t>Policing</w:t>
      </w:r>
      <w:r>
        <w:t xml:space="preserve"> NOUN </w:t>
      </w:r>
      <w:r w:rsidRPr="008256F8">
        <w:rPr>
          <w:rStyle w:val="StyleUnderline"/>
          <w:highlight w:val="yellow"/>
        </w:rPr>
        <w:t>mass noun</w:t>
      </w:r>
      <w:r>
        <w:t xml:space="preserve"> 1The maintenance of law and order by a police force.</w:t>
      </w:r>
    </w:p>
    <w:p w:rsidR="001F4ECA" w:rsidRDefault="001F4ECA" w:rsidP="001F4ECA"/>
    <w:p w:rsidR="001F4ECA" w:rsidRDefault="001F4ECA" w:rsidP="001F4ECA">
      <w:pPr>
        <w:pStyle w:val="Heading4"/>
      </w:pPr>
      <w:r>
        <w:t>Mass nouns require treating the noun as a whole without reference to specific parts</w:t>
      </w:r>
    </w:p>
    <w:p w:rsidR="001F4ECA" w:rsidRDefault="001F4ECA" w:rsidP="001F4ECA">
      <w:proofErr w:type="spellStart"/>
      <w:r w:rsidRPr="0053712F">
        <w:rPr>
          <w:rStyle w:val="Style13ptBold"/>
        </w:rPr>
        <w:t>Gillon</w:t>
      </w:r>
      <w:proofErr w:type="spellEnd"/>
      <w:r w:rsidRPr="0053712F">
        <w:rPr>
          <w:rStyle w:val="Style13ptBold"/>
        </w:rPr>
        <w:t xml:space="preserve"> </w:t>
      </w:r>
      <w:proofErr w:type="gramStart"/>
      <w:r w:rsidRPr="0053712F">
        <w:rPr>
          <w:rStyle w:val="Style13ptBold"/>
        </w:rPr>
        <w:t>4</w:t>
      </w:r>
      <w:r>
        <w:rPr>
          <w:rStyle w:val="Style13ptBold"/>
        </w:rPr>
        <w:t xml:space="preserve">  </w:t>
      </w:r>
      <w:r>
        <w:t>Brendan</w:t>
      </w:r>
      <w:proofErr w:type="gramEnd"/>
      <w:r>
        <w:t xml:space="preserve"> S. </w:t>
      </w:r>
      <w:proofErr w:type="spellStart"/>
      <w:r>
        <w:t>Gillon</w:t>
      </w:r>
      <w:proofErr w:type="spellEnd"/>
      <w:r>
        <w:t xml:space="preserve"> Professor. Department of Linguistics McGill University, TOWARDS A COMMON SEMANTICS FOR ENGLISH COUNT AND MASS NOUNS, </w:t>
      </w:r>
      <w:proofErr w:type="gramStart"/>
      <w:r>
        <w:t>In</w:t>
      </w:r>
      <w:proofErr w:type="gramEnd"/>
      <w:r>
        <w:t xml:space="preserve"> Semantics: A Reader edited by Steven Davis, Brendan S. </w:t>
      </w:r>
      <w:proofErr w:type="spellStart"/>
      <w:r>
        <w:t>Gillon</w:t>
      </w:r>
      <w:proofErr w:type="spellEnd"/>
      <w:r>
        <w:t xml:space="preserve"> p. 395</w:t>
      </w:r>
    </w:p>
    <w:p w:rsidR="001F4ECA" w:rsidRPr="0053712F" w:rsidRDefault="001F4ECA" w:rsidP="001F4ECA">
      <w:pPr>
        <w:rPr>
          <w:sz w:val="16"/>
        </w:rPr>
      </w:pPr>
      <w:r w:rsidRPr="0053712F">
        <w:rPr>
          <w:sz w:val="16"/>
        </w:rPr>
        <w:t>Bunt (1985. pp. 45-46) goes on to claim that "</w:t>
      </w:r>
      <w:r w:rsidRPr="00EB001F">
        <w:rPr>
          <w:rStyle w:val="StyleUnderline"/>
          <w:highlight w:val="yellow"/>
        </w:rPr>
        <w:t>mass nouns provide the possibility of talking about things as if they do not consist of discrete parts</w:t>
      </w:r>
      <w:r w:rsidRPr="0053712F">
        <w:rPr>
          <w:sz w:val="16"/>
        </w:rPr>
        <w:t xml:space="preserve">" and that "a linguistic semantic theory should take into account that the use of </w:t>
      </w:r>
      <w:r w:rsidRPr="00EB001F">
        <w:rPr>
          <w:rStyle w:val="StyleUnderline"/>
          <w:highlight w:val="yellow"/>
        </w:rPr>
        <w:t>a mass noun is a way of talking about things as if they were homogeneous masses. i.e</w:t>
      </w:r>
      <w:proofErr w:type="gramStart"/>
      <w:r w:rsidRPr="00EB001F">
        <w:rPr>
          <w:sz w:val="16"/>
          <w:highlight w:val="yellow"/>
        </w:rPr>
        <w:t>..</w:t>
      </w:r>
      <w:proofErr w:type="gramEnd"/>
      <w:r w:rsidRPr="0053712F">
        <w:rPr>
          <w:sz w:val="16"/>
        </w:rPr>
        <w:t xml:space="preserve"> </w:t>
      </w:r>
      <w:proofErr w:type="gramStart"/>
      <w:r w:rsidRPr="0053712F">
        <w:rPr>
          <w:sz w:val="16"/>
        </w:rPr>
        <w:t>as</w:t>
      </w:r>
      <w:proofErr w:type="gramEnd"/>
      <w:r w:rsidRPr="0053712F">
        <w:rPr>
          <w:sz w:val="16"/>
        </w:rPr>
        <w:t xml:space="preserve"> having some part-whole structure but </w:t>
      </w:r>
      <w:r w:rsidRPr="00EB001F">
        <w:rPr>
          <w:rStyle w:val="StyleUnderline"/>
          <w:highlight w:val="yellow"/>
        </w:rPr>
        <w:t>without singling out any particular parts</w:t>
      </w:r>
      <w:r w:rsidRPr="0053712F">
        <w:rPr>
          <w:sz w:val="16"/>
        </w:rPr>
        <w:t xml:space="preserve"> and without any commitments concerning the existence of minimal parts." He calls this the homogeneous reference hypothesis and </w:t>
      </w:r>
      <w:proofErr w:type="spellStart"/>
      <w:r w:rsidRPr="0053712F">
        <w:rPr>
          <w:sz w:val="16"/>
        </w:rPr>
        <w:t>restatcs</w:t>
      </w:r>
      <w:proofErr w:type="spellEnd"/>
      <w:r w:rsidRPr="0053712F">
        <w:rPr>
          <w:sz w:val="16"/>
        </w:rPr>
        <w:t xml:space="preserve"> it as follows: "</w:t>
      </w:r>
      <w:r w:rsidRPr="0053712F">
        <w:rPr>
          <w:rStyle w:val="StyleUnderline"/>
        </w:rPr>
        <w:t>Mass nouns refer to entities as having a part-whole structure without singling out any particular parts</w:t>
      </w:r>
      <w:r w:rsidRPr="0053712F">
        <w:rPr>
          <w:sz w:val="16"/>
        </w:rPr>
        <w:t xml:space="preserve"> and without making any commitments concerning the existence of minimal parts" (Bunt 1985. p. 46: see also Bunt 1979. pp. 255-256).</w:t>
      </w:r>
    </w:p>
    <w:p w:rsidR="001F4ECA" w:rsidRPr="001F4ECA" w:rsidRDefault="001F4ECA" w:rsidP="001F4ECA">
      <w:pPr>
        <w:rPr>
          <w:sz w:val="16"/>
        </w:rPr>
      </w:pPr>
    </w:p>
    <w:p w:rsidR="001F4ECA" w:rsidRDefault="001F4ECA" w:rsidP="001F4ECA">
      <w:pPr>
        <w:pStyle w:val="Heading4"/>
        <w:numPr>
          <w:ilvl w:val="0"/>
          <w:numId w:val="20"/>
        </w:numPr>
      </w:pPr>
      <w:r>
        <w:t xml:space="preserve">The </w:t>
      </w:r>
      <w:proofErr w:type="spellStart"/>
      <w:r>
        <w:t>aff</w:t>
      </w:r>
      <w:proofErr w:type="spellEnd"/>
      <w:r>
        <w:t xml:space="preserve"> violates—</w:t>
      </w:r>
      <w:proofErr w:type="gramStart"/>
      <w:r>
        <w:t>They</w:t>
      </w:r>
      <w:proofErr w:type="gramEnd"/>
      <w:r>
        <w:t xml:space="preserve"> change a piecemeal change of a single category of </w:t>
      </w:r>
      <w:r>
        <w:t>policing</w:t>
      </w:r>
    </w:p>
    <w:p w:rsidR="001F4ECA" w:rsidRDefault="001F4ECA" w:rsidP="001F4ECA"/>
    <w:p w:rsidR="001F4ECA" w:rsidRDefault="001F4ECA" w:rsidP="001F4ECA">
      <w:pPr>
        <w:pStyle w:val="Heading4"/>
        <w:numPr>
          <w:ilvl w:val="0"/>
          <w:numId w:val="20"/>
        </w:numPr>
      </w:pPr>
      <w:r>
        <w:t>Our interpretation is better</w:t>
      </w:r>
    </w:p>
    <w:p w:rsidR="001F4ECA" w:rsidRDefault="001F4ECA" w:rsidP="001F4ECA">
      <w:pPr>
        <w:pStyle w:val="Heading4"/>
        <w:numPr>
          <w:ilvl w:val="0"/>
          <w:numId w:val="23"/>
        </w:numPr>
      </w:pPr>
      <w:proofErr w:type="spellStart"/>
      <w:r>
        <w:t>Gramatically</w:t>
      </w:r>
      <w:proofErr w:type="spellEnd"/>
      <w:r>
        <w:t xml:space="preserve"> correct—policing is a mass noun</w:t>
      </w:r>
    </w:p>
    <w:p w:rsidR="001F4ECA" w:rsidRPr="001F4ECA" w:rsidRDefault="001F4ECA" w:rsidP="001F4ECA">
      <w:pPr>
        <w:pStyle w:val="Heading4"/>
        <w:numPr>
          <w:ilvl w:val="0"/>
          <w:numId w:val="23"/>
        </w:numPr>
      </w:pPr>
      <w:r>
        <w:t xml:space="preserve">Limits—If you can change a small aspect of policing the topic explodes—There are 65 different federal </w:t>
      </w:r>
      <w:proofErr w:type="spellStart"/>
      <w:r>
        <w:t>agensies</w:t>
      </w:r>
      <w:proofErr w:type="spellEnd"/>
      <w:r>
        <w:t xml:space="preserve"> who do policing and you could change any aspect of policing</w:t>
      </w:r>
    </w:p>
    <w:p w:rsidR="001F4ECA" w:rsidRDefault="001F4ECA" w:rsidP="001F4ECA">
      <w:pPr>
        <w:pStyle w:val="Heading4"/>
        <w:numPr>
          <w:ilvl w:val="0"/>
          <w:numId w:val="23"/>
        </w:numPr>
      </w:pPr>
      <w:r>
        <w:t>It destroys ground—</w:t>
      </w:r>
      <w:proofErr w:type="gramStart"/>
      <w:r>
        <w:t>Forcing</w:t>
      </w:r>
      <w:proofErr w:type="gramEnd"/>
      <w:r>
        <w:t xml:space="preserve"> the </w:t>
      </w:r>
      <w:proofErr w:type="spellStart"/>
      <w:r>
        <w:t>aff</w:t>
      </w:r>
      <w:proofErr w:type="spellEnd"/>
      <w:r>
        <w:t xml:space="preserve"> to defend controversial comprehensive reforms better preserves ground.</w:t>
      </w:r>
    </w:p>
    <w:p w:rsidR="001F4ECA" w:rsidRDefault="001F4ECA" w:rsidP="001F4ECA"/>
    <w:p w:rsidR="001F4ECA" w:rsidRDefault="001F4ECA" w:rsidP="001F4ECA">
      <w:pPr>
        <w:pStyle w:val="Heading4"/>
        <w:numPr>
          <w:ilvl w:val="0"/>
          <w:numId w:val="20"/>
        </w:numPr>
      </w:pPr>
      <w:bookmarkStart w:id="0" w:name="_GoBack"/>
      <w:bookmarkEnd w:id="0"/>
      <w:r>
        <w:t>Topicality is a voting issue for reasons of better debate, education and competition.</w:t>
      </w:r>
    </w:p>
    <w:p w:rsidR="001F4ECA" w:rsidRPr="001F4ECA" w:rsidRDefault="001F4ECA" w:rsidP="001F4ECA"/>
    <w:p w:rsidR="00403431" w:rsidRDefault="001A5D3D" w:rsidP="001A5D3D">
      <w:pPr>
        <w:pStyle w:val="Heading2"/>
      </w:pPr>
      <w:r>
        <w:t>Tort Liability</w:t>
      </w:r>
    </w:p>
    <w:p w:rsidR="001A5D3D" w:rsidRDefault="001A5D3D" w:rsidP="001A5D3D"/>
    <w:p w:rsidR="001A5D3D" w:rsidRDefault="001A5D3D" w:rsidP="001A5D3D">
      <w:pPr>
        <w:pStyle w:val="Heading4"/>
        <w:numPr>
          <w:ilvl w:val="0"/>
          <w:numId w:val="15"/>
        </w:numPr>
      </w:pPr>
      <w:r>
        <w:t>Interpretation—</w:t>
      </w:r>
      <w:proofErr w:type="gramStart"/>
      <w:r>
        <w:t>The</w:t>
      </w:r>
      <w:proofErr w:type="gramEnd"/>
      <w:r>
        <w:t xml:space="preserve"> affirmative Policing reform must be exclusively a criminal justice reform</w:t>
      </w:r>
    </w:p>
    <w:p w:rsidR="001A5D3D" w:rsidRDefault="001A5D3D" w:rsidP="001A5D3D">
      <w:pPr>
        <w:pStyle w:val="Heading4"/>
      </w:pPr>
      <w:r>
        <w:t>The civil justice system and the criminal justice system are distinct places for reform</w:t>
      </w:r>
    </w:p>
    <w:p w:rsidR="001A5D3D" w:rsidRDefault="001A5D3D" w:rsidP="001A5D3D">
      <w:r w:rsidRPr="002D32E8">
        <w:rPr>
          <w:rStyle w:val="Style13ptBold"/>
        </w:rPr>
        <w:t>Root &amp; Buchanan 19</w:t>
      </w:r>
      <w:r>
        <w:rPr>
          <w:rStyle w:val="Style13ptBold"/>
        </w:rPr>
        <w:t xml:space="preserve"> </w:t>
      </w:r>
      <w:r w:rsidRPr="002D32E8">
        <w:t>Danielle Root is the associate director of voting rights and access to justice on the Democracy and Government Reform team at the Center for American Progress. Maggie Jo Buchanan is the director of Legal Progress at the Center for American Progress.</w:t>
      </w:r>
      <w:r>
        <w:t xml:space="preserve"> </w:t>
      </w:r>
      <w:r w:rsidRPr="002D32E8">
        <w:t>5 Principles for Civil Justice Reform</w:t>
      </w:r>
      <w:r>
        <w:t xml:space="preserve"> </w:t>
      </w:r>
      <w:r w:rsidRPr="002D32E8">
        <w:t>December 19, 2019, https://www.americanprogress</w:t>
      </w:r>
      <w:r>
        <w:t>.org/issues/courts/news/2019/12/19/478875/5-principles-civil-justice-reform/</w:t>
      </w:r>
    </w:p>
    <w:p w:rsidR="001A5D3D" w:rsidRPr="00670089" w:rsidRDefault="001A5D3D" w:rsidP="001A5D3D">
      <w:pPr>
        <w:rPr>
          <w:sz w:val="16"/>
        </w:rPr>
      </w:pPr>
      <w:r w:rsidRPr="00670089">
        <w:rPr>
          <w:sz w:val="16"/>
        </w:rPr>
        <w:t xml:space="preserve">Each year, </w:t>
      </w:r>
      <w:r w:rsidRPr="00670089">
        <w:rPr>
          <w:rStyle w:val="StyleUnderline"/>
          <w:highlight w:val="yellow"/>
        </w:rPr>
        <w:t>millions of civil cases are filed in courts</w:t>
      </w:r>
      <w:r w:rsidRPr="00670089">
        <w:rPr>
          <w:sz w:val="16"/>
        </w:rPr>
        <w:t xml:space="preserve"> across the United States </w:t>
      </w:r>
      <w:r w:rsidRPr="00670089">
        <w:rPr>
          <w:rStyle w:val="StyleUnderline"/>
          <w:highlight w:val="yellow"/>
        </w:rPr>
        <w:t>concerning everything from family law and domestic violence matters to issues of housing and consumer debt</w:t>
      </w:r>
      <w:r w:rsidRPr="00670089">
        <w:rPr>
          <w:sz w:val="16"/>
        </w:rPr>
        <w:t xml:space="preserve">. Unfortunately, deficiencies in the civil justice system perpetuate power imbalances; those who can hire private attorneys are much more likely to prevail in court or avoid court altogether. These power imbalances prevent people—mostly low- and middle-income people and disproportionately people of color—from prevailing in their cases, resulting in miscarriages of justice. For parties involved, the stakes of civil proceedings are extraordinarily high. Child custody; orders of protection against a violent stalker; foreclosure of and eviction from a home; and falling prey to predatory debt collectors are all matters handled by civil courts. For some, winning or losing in court can mean the difference between life and death. Over the years, advocates and </w:t>
      </w:r>
      <w:r w:rsidRPr="009E55D6">
        <w:rPr>
          <w:rStyle w:val="StyleUnderline"/>
          <w:highlight w:val="yellow"/>
        </w:rPr>
        <w:t xml:space="preserve">policymakers have suggested a range of approaches to </w:t>
      </w:r>
      <w:r w:rsidRPr="00670089">
        <w:rPr>
          <w:rStyle w:val="Emphasis"/>
          <w:highlight w:val="yellow"/>
        </w:rPr>
        <w:t>reforming the civil justice system</w:t>
      </w:r>
      <w:r w:rsidRPr="00670089">
        <w:rPr>
          <w:rStyle w:val="Emphasis"/>
        </w:rPr>
        <w:t>,</w:t>
      </w:r>
      <w:r w:rsidRPr="00670089">
        <w:rPr>
          <w:sz w:val="16"/>
        </w:rPr>
        <w:t xml:space="preserve"> including guaranteeing legal representation in certain additional classes of civil cases; lifting restrictions on providers of civil legal aid—which includes a broad range of civil legal services—who receive public funding; and expanding opportunities for law students, attorneys, advocates, and paralegals to provide pro-bono services and representation to clients in need. Several jurisdictions have adopted some of these ideas, including New York City, which now provides a right to counsel for low-income tenants facing eviction in housing court. Some states such as Utah use a licensed paralegal </w:t>
      </w:r>
      <w:proofErr w:type="gramStart"/>
      <w:r w:rsidRPr="00670089">
        <w:rPr>
          <w:sz w:val="16"/>
        </w:rPr>
        <w:t>practitioners</w:t>
      </w:r>
      <w:proofErr w:type="gramEnd"/>
      <w:r w:rsidRPr="00670089">
        <w:rPr>
          <w:sz w:val="16"/>
        </w:rPr>
        <w:t xml:space="preserve"> model that allows highly trained paralegals to provide more affordable legal assistance. Despite these important efforts, </w:t>
      </w:r>
      <w:r w:rsidRPr="009E55D6">
        <w:rPr>
          <w:rStyle w:val="StyleUnderline"/>
          <w:highlight w:val="yellow"/>
        </w:rPr>
        <w:t xml:space="preserve">the need for </w:t>
      </w:r>
      <w:r w:rsidRPr="00670089">
        <w:rPr>
          <w:rStyle w:val="Emphasis"/>
          <w:highlight w:val="yellow"/>
        </w:rPr>
        <w:t>civil justice reform</w:t>
      </w:r>
      <w:r w:rsidRPr="009E55D6">
        <w:rPr>
          <w:rStyle w:val="StyleUnderline"/>
          <w:highlight w:val="yellow"/>
        </w:rPr>
        <w:t xml:space="preserve"> remains lesser known than</w:t>
      </w:r>
      <w:r w:rsidRPr="00670089">
        <w:rPr>
          <w:sz w:val="16"/>
        </w:rPr>
        <w:t xml:space="preserve"> the vital </w:t>
      </w:r>
      <w:r w:rsidRPr="00670089">
        <w:rPr>
          <w:rStyle w:val="Emphasis"/>
          <w:highlight w:val="yellow"/>
        </w:rPr>
        <w:t>criminal justice reform</w:t>
      </w:r>
      <w:r w:rsidRPr="00670089">
        <w:rPr>
          <w:sz w:val="16"/>
        </w:rPr>
        <w:t xml:space="preserve"> work being done today.</w:t>
      </w:r>
    </w:p>
    <w:p w:rsidR="001A5D3D" w:rsidRDefault="001A5D3D" w:rsidP="001A5D3D"/>
    <w:p w:rsidR="00966907" w:rsidRDefault="00966907" w:rsidP="00966907">
      <w:pPr>
        <w:pStyle w:val="Heading4"/>
      </w:pPr>
      <w:r>
        <w:t>“In” means “in and only in”</w:t>
      </w:r>
    </w:p>
    <w:p w:rsidR="00966907" w:rsidRDefault="00966907" w:rsidP="00966907">
      <w:r w:rsidRPr="005B490C">
        <w:rPr>
          <w:rStyle w:val="Style13ptBold"/>
        </w:rPr>
        <w:t>U.S. District Court</w:t>
      </w:r>
      <w:r>
        <w:t xml:space="preserve"> For the Eastern District </w:t>
      </w:r>
      <w:r w:rsidRPr="005B490C">
        <w:rPr>
          <w:rStyle w:val="Style13ptBold"/>
        </w:rPr>
        <w:t>3</w:t>
      </w:r>
      <w:r>
        <w:t xml:space="preserve"> IN THE UNITED STATES DISTRICT COURT FOR THE EASTERN DISTRICT OF PENNSYLVANIA ASTRAZENECA AB, et al. : CIVIL ACTION : v. : : MUTUAL PHARMACEUTICAL CO., INC. : 00-4731, https://www.paed.uscourts.gov/documents/opinions/03D0106P.pdf</w:t>
      </w:r>
    </w:p>
    <w:p w:rsidR="00966907" w:rsidRPr="005B490C" w:rsidRDefault="00966907" w:rsidP="00966907">
      <w:pPr>
        <w:rPr>
          <w:sz w:val="16"/>
        </w:rPr>
      </w:pPr>
      <w:r w:rsidRPr="005B490C">
        <w:rPr>
          <w:sz w:val="16"/>
        </w:rPr>
        <w:t xml:space="preserve">Now, following Judge Reed’s claim construction, in response to Plaintiff’s motion for summary judgment, Defendant raises a new issue of claim interpretation, concerning the following phrase within claim 1 of the patent: “a solution or dispersion of an effective amount of the active compound in a semi-solid or liquid nonionic </w:t>
      </w:r>
      <w:proofErr w:type="spellStart"/>
      <w:r w:rsidRPr="005B490C">
        <w:rPr>
          <w:sz w:val="16"/>
        </w:rPr>
        <w:t>solubilizer</w:t>
      </w:r>
      <w:proofErr w:type="spellEnd"/>
      <w:r w:rsidRPr="005B490C">
        <w:rPr>
          <w:sz w:val="16"/>
        </w:rPr>
        <w:t xml:space="preserve">.” Defendant’s new position is that </w:t>
      </w:r>
      <w:r w:rsidRPr="005B490C">
        <w:rPr>
          <w:rStyle w:val="StyleUnderline"/>
          <w:highlight w:val="yellow"/>
        </w:rPr>
        <w:t>the word “in” should be construed to mean “in and only in</w:t>
      </w:r>
      <w:r w:rsidRPr="005B490C">
        <w:rPr>
          <w:rStyle w:val="StyleUnderline"/>
        </w:rPr>
        <w:t>.”</w:t>
      </w:r>
      <w:r w:rsidRPr="005B490C">
        <w:rPr>
          <w:sz w:val="16"/>
        </w:rPr>
        <w:t xml:space="preserve"> Defendant’s Memorandum in Opposition to Plaintiff’s Motion for Summary Judgment (“Def. Brief”) at 6. Defendant contends that, under the proper interpretation of “in,” the patent is limited to a solution in which an effective amount of the active compound is dissolved in and only in the </w:t>
      </w:r>
      <w:proofErr w:type="spellStart"/>
      <w:r w:rsidRPr="005B490C">
        <w:rPr>
          <w:sz w:val="16"/>
        </w:rPr>
        <w:t>solubilizer</w:t>
      </w:r>
      <w:proofErr w:type="spellEnd"/>
      <w:r w:rsidRPr="005B490C">
        <w:rPr>
          <w:sz w:val="16"/>
        </w:rPr>
        <w:t xml:space="preserve">, and in 4 Plaintiff asserts that it is too late for Defendant to raise new arguments concerning claim construction. However, because a complete and proper understanding of the patent claims is necessary in order for this Court to determine whether Defendant has infringed those claims, this Court will consider Defendant’s new arguments. </w:t>
      </w:r>
      <w:proofErr w:type="gramStart"/>
      <w:r w:rsidRPr="005B490C">
        <w:rPr>
          <w:sz w:val="16"/>
        </w:rPr>
        <w:t>nothing</w:t>
      </w:r>
      <w:proofErr w:type="gramEnd"/>
      <w:r w:rsidRPr="005B490C">
        <w:rPr>
          <w:sz w:val="16"/>
        </w:rPr>
        <w:t xml:space="preserve"> else.4</w:t>
      </w:r>
    </w:p>
    <w:p w:rsidR="00966907" w:rsidRDefault="00966907" w:rsidP="001A5D3D"/>
    <w:p w:rsidR="00966907" w:rsidRDefault="00966907" w:rsidP="00966907">
      <w:pPr>
        <w:pStyle w:val="Heading4"/>
        <w:numPr>
          <w:ilvl w:val="0"/>
          <w:numId w:val="15"/>
        </w:numPr>
      </w:pPr>
      <w:r>
        <w:t>Violation—</w:t>
      </w:r>
      <w:proofErr w:type="gramStart"/>
      <w:r>
        <w:t>The</w:t>
      </w:r>
      <w:proofErr w:type="gramEnd"/>
      <w:r>
        <w:t xml:space="preserve"> affirmative is a Civil Justice Reform—Qualified immunity is a tort standard that allows people to sue the police in civil court—The plan is civil justice reform--</w:t>
      </w:r>
      <w:r>
        <w:t>Reforming tort liability is separate from criminal justice reform</w:t>
      </w:r>
    </w:p>
    <w:p w:rsidR="00966907" w:rsidRDefault="00966907" w:rsidP="00966907">
      <w:r w:rsidRPr="00027C82">
        <w:rPr>
          <w:rStyle w:val="Style13ptBold"/>
        </w:rPr>
        <w:t>Stern 19</w:t>
      </w:r>
      <w:r>
        <w:t xml:space="preserve"> Paul D. Stern currently serves as a Trial Attorney with the United States Department of Justice, Tort Justice Reform, 52 U. MICH. J. L. REFORM 649 (2019). </w:t>
      </w:r>
      <w:hyperlink r:id="rId49" w:history="1">
        <w:r w:rsidRPr="00980ECE">
          <w:rPr>
            <w:rStyle w:val="Hyperlink"/>
          </w:rPr>
          <w:t>https://repository.law.umich.edu/mjlr/vol52/iss3/4</w:t>
        </w:r>
      </w:hyperlink>
      <w:r>
        <w:t xml:space="preserve"> </w:t>
      </w:r>
    </w:p>
    <w:p w:rsidR="00966907" w:rsidRPr="00B767F2" w:rsidRDefault="00966907" w:rsidP="00966907">
      <w:pPr>
        <w:rPr>
          <w:sz w:val="16"/>
        </w:rPr>
      </w:pPr>
      <w:r w:rsidRPr="00B767F2">
        <w:rPr>
          <w:rStyle w:val="StyleUnderline"/>
          <w:highlight w:val="yellow"/>
        </w:rPr>
        <w:t xml:space="preserve">Law enforcement accountability cannot be addressed solely </w:t>
      </w:r>
      <w:r w:rsidRPr="00B767F2">
        <w:rPr>
          <w:rStyle w:val="Emphasis"/>
          <w:highlight w:val="yellow"/>
        </w:rPr>
        <w:t>through the criminal justice system</w:t>
      </w:r>
      <w:r w:rsidRPr="00B767F2">
        <w:rPr>
          <w:sz w:val="16"/>
        </w:rPr>
        <w:t xml:space="preserve">. Remedial measures in the criminal arena, whether excluding unconstitutionally obtained evidence or prosecuting malicious police officers, center on establishing sufficient deterrent and punitive mechanisms to guard against public actor’s misconduct. Since law enforcement officials are bestowed with unique privileges when performing their duties, these criminal safeguards are necessary countermeasures to such extraordinary authority. Yet, </w:t>
      </w:r>
      <w:r w:rsidRPr="00B767F2">
        <w:rPr>
          <w:rStyle w:val="StyleUnderline"/>
          <w:highlight w:val="yellow"/>
        </w:rPr>
        <w:t xml:space="preserve">while many scholars </w:t>
      </w:r>
      <w:r w:rsidRPr="00B767F2">
        <w:rPr>
          <w:rStyle w:val="Emphasis"/>
          <w:highlight w:val="yellow"/>
        </w:rPr>
        <w:t>call for reform in the criminal justice system</w:t>
      </w:r>
      <w:r w:rsidRPr="00B767F2">
        <w:rPr>
          <w:rStyle w:val="StyleUnderline"/>
          <w:highlight w:val="yellow"/>
        </w:rPr>
        <w:t xml:space="preserve"> aimed at bolstering police accountability</w:t>
      </w:r>
      <w:proofErr w:type="gramStart"/>
      <w:r w:rsidRPr="00B767F2">
        <w:rPr>
          <w:sz w:val="16"/>
        </w:rPr>
        <w:t>,1</w:t>
      </w:r>
      <w:proofErr w:type="gramEnd"/>
      <w:r w:rsidRPr="00B767F2">
        <w:rPr>
          <w:sz w:val="16"/>
        </w:rPr>
        <w:t xml:space="preserve"> fostering institutional advancement and </w:t>
      </w:r>
      <w:r w:rsidRPr="00B767F2">
        <w:rPr>
          <w:rStyle w:val="StyleUnderline"/>
          <w:highlight w:val="yellow"/>
        </w:rPr>
        <w:t>incentivizing better decision making cannot derive</w:t>
      </w:r>
      <w:r w:rsidRPr="00B767F2">
        <w:rPr>
          <w:rStyle w:val="StyleUnderline"/>
        </w:rPr>
        <w:t xml:space="preserve"> merely </w:t>
      </w:r>
      <w:r w:rsidRPr="00B767F2">
        <w:rPr>
          <w:rStyle w:val="StyleUnderline"/>
          <w:highlight w:val="yellow"/>
        </w:rPr>
        <w:t>from the threat of prosecution</w:t>
      </w:r>
      <w:r w:rsidRPr="00B767F2">
        <w:rPr>
          <w:sz w:val="16"/>
        </w:rPr>
        <w:t>. And, when officer misconduct does not involve the requisite criminal intent to initiate criminal proceedings</w:t>
      </w:r>
      <w:proofErr w:type="gramStart"/>
      <w:r w:rsidRPr="00B767F2">
        <w:rPr>
          <w:sz w:val="16"/>
        </w:rPr>
        <w:t>,2</w:t>
      </w:r>
      <w:proofErr w:type="gramEnd"/>
      <w:r w:rsidRPr="00B767F2">
        <w:rPr>
          <w:sz w:val="16"/>
        </w:rPr>
        <w:t xml:space="preserve"> their missteps can nevertheless result in catastrophic damages, including wrongful death. In such circumstances, </w:t>
      </w:r>
      <w:r w:rsidRPr="00B767F2">
        <w:rPr>
          <w:rStyle w:val="StyleUnderline"/>
          <w:highlight w:val="yellow"/>
        </w:rPr>
        <w:t>the responsibility to</w:t>
      </w:r>
      <w:r w:rsidRPr="00B767F2">
        <w:rPr>
          <w:rStyle w:val="StyleUnderline"/>
        </w:rPr>
        <w:t xml:space="preserve"> </w:t>
      </w:r>
      <w:r w:rsidRPr="00B767F2">
        <w:rPr>
          <w:sz w:val="16"/>
        </w:rPr>
        <w:t xml:space="preserve">compensate victims, </w:t>
      </w:r>
      <w:r w:rsidRPr="00B767F2">
        <w:rPr>
          <w:rStyle w:val="StyleUnderline"/>
          <w:highlight w:val="yellow"/>
        </w:rPr>
        <w:t>deter future misconduct</w:t>
      </w:r>
      <w:r w:rsidRPr="00B767F2">
        <w:rPr>
          <w:sz w:val="16"/>
        </w:rPr>
        <w:t xml:space="preserve">, and hold public officials accountable </w:t>
      </w:r>
      <w:r w:rsidRPr="00B767F2">
        <w:rPr>
          <w:rStyle w:val="StyleUnderline"/>
          <w:highlight w:val="yellow"/>
        </w:rPr>
        <w:t>falls upon public tort law</w:t>
      </w:r>
      <w:r w:rsidRPr="00B767F2">
        <w:rPr>
          <w:sz w:val="16"/>
        </w:rPr>
        <w:t xml:space="preserve">. Tort jurisprudence has traditionally functioned as a form of public law, granting private citizens the ability to identify wrongful conduct and seek redress for their injuries. Like criminal law, tort law can serve a regulatory function by retroactively condemning injurious behavior. Indeed, tort law has a long history of fostering institutional and societal reform, from the emergence of seatbelts3 to warning labels on cigarette packs.4 </w:t>
      </w:r>
      <w:proofErr w:type="gramStart"/>
      <w:r w:rsidRPr="00B767F2">
        <w:rPr>
          <w:sz w:val="16"/>
        </w:rPr>
        <w:t>One</w:t>
      </w:r>
      <w:proofErr w:type="gramEnd"/>
      <w:r w:rsidRPr="00B767F2">
        <w:rPr>
          <w:sz w:val="16"/>
        </w:rPr>
        <w:t xml:space="preserve"> famous metaphor described tort law as an “ombudsman” that functions as a “weapon of social progress.”5 When prosecutors are unable or unwilling to bring criminal indictments against public officials, tort law can empower ordinary citizens to serve as “private attorneys general.”6 The call to reform public tort law is not merely victim advocacy. Remedial regimes must recognize that not all wrongful conduct should be treated equally. Law enforcement officials err, sometimes negligently, sometimes intentionally, and sometimes nefariously. Public tort law should reflect this reality. Officials should not be forced to pay large judgments out of pocket because they were poorly trained or acted in good faith on reasonable, but ultimately mistaken, facts. Moreover, good-natured officers should not have to persevere through the burdens and stresses of litigation in order to clear their names. Even when government employees are represented by their agencies, the litigation can have an emotional toll, as well as affect an officer’s ability to secure home mortgages, obtain insurance, and fulfill other financial obligations. </w:t>
      </w:r>
      <w:r w:rsidRPr="00B767F2">
        <w:rPr>
          <w:rStyle w:val="StyleUnderline"/>
          <w:highlight w:val="yellow"/>
        </w:rPr>
        <w:t>The doctrine of qualified immunity</w:t>
      </w:r>
      <w:r w:rsidRPr="00B767F2">
        <w:rPr>
          <w:sz w:val="16"/>
        </w:rPr>
        <w:t xml:space="preserve"> recognizes that a remedial scheme cannot be so burdensome that it creates a disincentive for officers to properly perform their difficult, and often dangerous, duties. Public tort law should ensure accountability but not at the risk of punishing earnest civil servants. In </w:t>
      </w:r>
      <w:proofErr w:type="spellStart"/>
      <w:r w:rsidRPr="00B767F2">
        <w:rPr>
          <w:sz w:val="16"/>
        </w:rPr>
        <w:t>Bivens</w:t>
      </w:r>
      <w:proofErr w:type="spellEnd"/>
      <w:r w:rsidRPr="00B767F2">
        <w:rPr>
          <w:sz w:val="16"/>
        </w:rPr>
        <w:t xml:space="preserve"> v. Six Unknown Named Agents of Federal Bureau of Narcotics and its progeny, the United States Supreme Court attempted to bolster law enforcement accountability by finding implied causes of action for constitutional wrongs committed by federal actors. Upon recognizing that no adequate remedy existed outside the exclusionary rule for Fourth Amendment infractions by federal agents, the Court found that compensatory measures were a necessary remedial avenue. In the immediate years following </w:t>
      </w:r>
      <w:proofErr w:type="spellStart"/>
      <w:r w:rsidRPr="00B767F2">
        <w:rPr>
          <w:sz w:val="16"/>
        </w:rPr>
        <w:t>Bivens</w:t>
      </w:r>
      <w:proofErr w:type="spellEnd"/>
      <w:r w:rsidRPr="00B767F2">
        <w:rPr>
          <w:sz w:val="16"/>
        </w:rPr>
        <w:t xml:space="preserve">, the Court made clear that the intent of such implied actions is not merely to compensate, but to ensure accountability and deter misconduct of federal actors. In so doing, the Court opined that remedies must be aimed at the individual actor in order to actualize the perceived benefits of constitutional tort law. Notwithstanding the laudable goals of the </w:t>
      </w:r>
      <w:proofErr w:type="spellStart"/>
      <w:r w:rsidRPr="00B767F2">
        <w:rPr>
          <w:sz w:val="16"/>
        </w:rPr>
        <w:t>Bivens</w:t>
      </w:r>
      <w:proofErr w:type="spellEnd"/>
      <w:r w:rsidRPr="00B767F2">
        <w:rPr>
          <w:sz w:val="16"/>
        </w:rPr>
        <w:t xml:space="preserve"> remedy, it has never fulfilled its promise. As the Court began to disfavor implied causes of action for constitutional wrongs, its case law placed tremendous strains on the ability of constitutional tort law to provide meaningful compensation, deterrence, and accountability. Two recent Supreme Court decisions represent the zenith of efforts to curtail </w:t>
      </w:r>
      <w:proofErr w:type="spellStart"/>
      <w:r w:rsidRPr="00B767F2">
        <w:rPr>
          <w:sz w:val="16"/>
        </w:rPr>
        <w:t>Bivens</w:t>
      </w:r>
      <w:proofErr w:type="spellEnd"/>
      <w:r w:rsidRPr="00B767F2">
        <w:rPr>
          <w:sz w:val="16"/>
        </w:rPr>
        <w:t xml:space="preserve">’ remedy. In </w:t>
      </w:r>
      <w:proofErr w:type="spellStart"/>
      <w:r w:rsidRPr="00B767F2">
        <w:rPr>
          <w:sz w:val="16"/>
        </w:rPr>
        <w:t>Ziglar</w:t>
      </w:r>
      <w:proofErr w:type="spellEnd"/>
      <w:r w:rsidRPr="00B767F2">
        <w:rPr>
          <w:sz w:val="16"/>
        </w:rPr>
        <w:t xml:space="preserve"> v. </w:t>
      </w:r>
      <w:proofErr w:type="spellStart"/>
      <w:r w:rsidRPr="00B767F2">
        <w:rPr>
          <w:sz w:val="16"/>
        </w:rPr>
        <w:t>Abbasi</w:t>
      </w:r>
      <w:proofErr w:type="spellEnd"/>
      <w:r w:rsidRPr="00B767F2">
        <w:rPr>
          <w:sz w:val="16"/>
        </w:rPr>
        <w:t>, the Supreme Court relied on a long line of post-</w:t>
      </w:r>
      <w:proofErr w:type="spellStart"/>
      <w:r w:rsidRPr="00B767F2">
        <w:rPr>
          <w:sz w:val="16"/>
        </w:rPr>
        <w:t>Bivens</w:t>
      </w:r>
      <w:proofErr w:type="spellEnd"/>
      <w:r w:rsidRPr="00B767F2">
        <w:rPr>
          <w:sz w:val="16"/>
        </w:rPr>
        <w:t xml:space="preserve"> cases that disfavored the judicially created remedy to conclude that the slightest factual distinction from Court precedent constituted a new context. Absent substantial justification, such new contexts do not warrant finding an implied cause of action. While the separation-of-powers concerns surrounding the </w:t>
      </w:r>
      <w:proofErr w:type="spellStart"/>
      <w:r w:rsidRPr="00B767F2">
        <w:rPr>
          <w:sz w:val="16"/>
        </w:rPr>
        <w:t>Bivens</w:t>
      </w:r>
      <w:proofErr w:type="spellEnd"/>
      <w:r w:rsidRPr="00B767F2">
        <w:rPr>
          <w:sz w:val="16"/>
        </w:rPr>
        <w:t xml:space="preserve"> remedy are debatable, it is undeniable that the modern restriction on the remedial measure leaves parties that have been injured by constitutional violations without a remedy. Even where an implied cause of action exists, the doctrine of qualified immunity creates intractable barriers to compensation and accountability. The </w:t>
      </w:r>
      <w:proofErr w:type="spellStart"/>
      <w:r w:rsidRPr="00B767F2">
        <w:rPr>
          <w:sz w:val="16"/>
        </w:rPr>
        <w:t>Abbasi</w:t>
      </w:r>
      <w:proofErr w:type="spellEnd"/>
      <w:r w:rsidRPr="00B767F2">
        <w:rPr>
          <w:sz w:val="16"/>
        </w:rPr>
        <w:t xml:space="preserve"> Court reiterated that implied actions remain cognizable for Fourth Amendment infractions by federal law enforcement officers. Yet, in District of Columbia v. </w:t>
      </w:r>
      <w:proofErr w:type="spellStart"/>
      <w:r w:rsidRPr="00B767F2">
        <w:rPr>
          <w:sz w:val="16"/>
        </w:rPr>
        <w:t>Wesby</w:t>
      </w:r>
      <w:proofErr w:type="spellEnd"/>
      <w:r w:rsidRPr="00B767F2">
        <w:rPr>
          <w:sz w:val="16"/>
        </w:rPr>
        <w:t xml:space="preserve">, the Court cited the rationale supporting the </w:t>
      </w:r>
      <w:proofErr w:type="spellStart"/>
      <w:r w:rsidRPr="00B767F2">
        <w:rPr>
          <w:sz w:val="16"/>
        </w:rPr>
        <w:t>Abbasi</w:t>
      </w:r>
      <w:proofErr w:type="spellEnd"/>
      <w:r w:rsidRPr="00B767F2">
        <w:rPr>
          <w:sz w:val="16"/>
        </w:rPr>
        <w:t xml:space="preserve"> decision to find that the law enforcement officers in that case were entitled to qualified immunity when entering a home without a warrant—the exact sort of Fourth Amendment violation the </w:t>
      </w:r>
      <w:proofErr w:type="spellStart"/>
      <w:r w:rsidRPr="00B767F2">
        <w:rPr>
          <w:sz w:val="16"/>
        </w:rPr>
        <w:t>Bivens</w:t>
      </w:r>
      <w:proofErr w:type="spellEnd"/>
      <w:r w:rsidRPr="00B767F2">
        <w:rPr>
          <w:sz w:val="16"/>
        </w:rPr>
        <w:t xml:space="preserve"> remedy was meant to correct.7 In the wake of </w:t>
      </w:r>
      <w:proofErr w:type="spellStart"/>
      <w:r w:rsidRPr="00B767F2">
        <w:rPr>
          <w:sz w:val="16"/>
        </w:rPr>
        <w:t>Abbasi</w:t>
      </w:r>
      <w:proofErr w:type="spellEnd"/>
      <w:r w:rsidRPr="00B767F2">
        <w:rPr>
          <w:sz w:val="16"/>
        </w:rPr>
        <w:t xml:space="preserve"> and </w:t>
      </w:r>
      <w:proofErr w:type="spellStart"/>
      <w:r w:rsidRPr="00B767F2">
        <w:rPr>
          <w:sz w:val="16"/>
        </w:rPr>
        <w:t>Wesby</w:t>
      </w:r>
      <w:proofErr w:type="spellEnd"/>
      <w:r w:rsidRPr="00B767F2">
        <w:rPr>
          <w:sz w:val="16"/>
        </w:rPr>
        <w:t xml:space="preserve">, it is difficult to conceive of </w:t>
      </w:r>
      <w:proofErr w:type="spellStart"/>
      <w:r w:rsidRPr="00B767F2">
        <w:rPr>
          <w:sz w:val="16"/>
        </w:rPr>
        <w:t>Bivens</w:t>
      </w:r>
      <w:proofErr w:type="spellEnd"/>
      <w:r w:rsidRPr="00B767F2">
        <w:rPr>
          <w:sz w:val="16"/>
        </w:rPr>
        <w:t xml:space="preserve"> as an effective safeguard against federal law enforcement misconduct. Many scholars have lamented the </w:t>
      </w:r>
      <w:proofErr w:type="spellStart"/>
      <w:r w:rsidRPr="00B767F2">
        <w:rPr>
          <w:sz w:val="16"/>
        </w:rPr>
        <w:t>Abbasi</w:t>
      </w:r>
      <w:proofErr w:type="spellEnd"/>
      <w:r w:rsidRPr="00B767F2">
        <w:rPr>
          <w:sz w:val="16"/>
        </w:rPr>
        <w:t xml:space="preserve"> decision.8 </w:t>
      </w:r>
      <w:proofErr w:type="gramStart"/>
      <w:r w:rsidRPr="00B767F2">
        <w:rPr>
          <w:sz w:val="16"/>
        </w:rPr>
        <w:t>Others</w:t>
      </w:r>
      <w:proofErr w:type="gramEnd"/>
      <w:r w:rsidRPr="00B767F2">
        <w:rPr>
          <w:sz w:val="16"/>
        </w:rPr>
        <w:t xml:space="preserve"> have railed against the doctrine of qualified immunity.9 Rather than eulogize </w:t>
      </w:r>
      <w:proofErr w:type="spellStart"/>
      <w:r w:rsidRPr="00B767F2">
        <w:rPr>
          <w:sz w:val="16"/>
        </w:rPr>
        <w:t>Bivens</w:t>
      </w:r>
      <w:proofErr w:type="spellEnd"/>
      <w:r w:rsidRPr="00B767F2">
        <w:rPr>
          <w:sz w:val="16"/>
        </w:rPr>
        <w:t xml:space="preserve"> or advocate for the elimination of qualified immunity, this Article continues by questioning the very premise undergirding the </w:t>
      </w:r>
      <w:proofErr w:type="spellStart"/>
      <w:r w:rsidRPr="00B767F2">
        <w:rPr>
          <w:sz w:val="16"/>
        </w:rPr>
        <w:t>Bivens</w:t>
      </w:r>
      <w:proofErr w:type="spellEnd"/>
      <w:r w:rsidRPr="00B767F2">
        <w:rPr>
          <w:sz w:val="16"/>
        </w:rPr>
        <w:t xml:space="preserve"> decision—namely, </w:t>
      </w:r>
      <w:r w:rsidRPr="00B767F2">
        <w:rPr>
          <w:rStyle w:val="StyleUnderline"/>
          <w:highlight w:val="yellow"/>
        </w:rPr>
        <w:t>constitutional torts require a separate</w:t>
      </w:r>
      <w:r w:rsidRPr="00B767F2">
        <w:rPr>
          <w:sz w:val="16"/>
        </w:rPr>
        <w:t xml:space="preserve"> and implied </w:t>
      </w:r>
      <w:r w:rsidRPr="00B767F2">
        <w:rPr>
          <w:rStyle w:val="StyleUnderline"/>
          <w:highlight w:val="yellow"/>
        </w:rPr>
        <w:t>remedy in the law enforcement realm</w:t>
      </w:r>
      <w:r w:rsidRPr="00B767F2">
        <w:rPr>
          <w:sz w:val="16"/>
        </w:rPr>
        <w:t xml:space="preserve">. By examining the relationship between Fourth Amendment excessive force jurisprudence and the common-law torts of assault, battery, and negligence, this Article highlights the limited nature of the </w:t>
      </w:r>
      <w:proofErr w:type="spellStart"/>
      <w:r w:rsidRPr="00B767F2">
        <w:rPr>
          <w:sz w:val="16"/>
        </w:rPr>
        <w:t>Bivens</w:t>
      </w:r>
      <w:proofErr w:type="spellEnd"/>
      <w:r w:rsidRPr="00B767F2">
        <w:rPr>
          <w:sz w:val="16"/>
        </w:rPr>
        <w:t xml:space="preserve"> remedy and argues that </w:t>
      </w:r>
      <w:r w:rsidRPr="00B767F2">
        <w:rPr>
          <w:rStyle w:val="StyleUnderline"/>
          <w:highlight w:val="yellow"/>
        </w:rPr>
        <w:t>bolstering the common-law tort regime provides a more fruitful avenue for reform</w:t>
      </w:r>
      <w:r w:rsidRPr="00B767F2">
        <w:rPr>
          <w:sz w:val="16"/>
        </w:rPr>
        <w:t>.</w:t>
      </w:r>
    </w:p>
    <w:p w:rsidR="00966907" w:rsidRDefault="00966907" w:rsidP="00966907"/>
    <w:p w:rsidR="00966907" w:rsidRDefault="00966907" w:rsidP="00966907">
      <w:pPr>
        <w:pStyle w:val="Heading4"/>
        <w:numPr>
          <w:ilvl w:val="0"/>
          <w:numId w:val="15"/>
        </w:numPr>
      </w:pPr>
      <w:r>
        <w:t>Our interpretation is better</w:t>
      </w:r>
    </w:p>
    <w:p w:rsidR="00966907" w:rsidRDefault="00966907" w:rsidP="00966907">
      <w:pPr>
        <w:pStyle w:val="Heading4"/>
        <w:numPr>
          <w:ilvl w:val="0"/>
          <w:numId w:val="16"/>
        </w:numPr>
      </w:pPr>
      <w:r>
        <w:t xml:space="preserve">Better limits—Allowing the </w:t>
      </w:r>
      <w:proofErr w:type="spellStart"/>
      <w:r>
        <w:t>aff</w:t>
      </w:r>
      <w:proofErr w:type="spellEnd"/>
      <w:r>
        <w:t xml:space="preserve"> to make it easier to sue in civil court would explode the topic—You could expand tort liability for any category of federal law creating thousands of additional </w:t>
      </w:r>
      <w:proofErr w:type="spellStart"/>
      <w:r>
        <w:t>affs</w:t>
      </w:r>
      <w:proofErr w:type="spellEnd"/>
      <w:r>
        <w:t xml:space="preserve"> and adding an entire 4</w:t>
      </w:r>
      <w:r w:rsidRPr="00966907">
        <w:rPr>
          <w:vertAlign w:val="superscript"/>
        </w:rPr>
        <w:t>th</w:t>
      </w:r>
      <w:r>
        <w:t xml:space="preserve"> category of criminal justice reform.</w:t>
      </w:r>
    </w:p>
    <w:p w:rsidR="00966907" w:rsidRDefault="00966907" w:rsidP="00966907"/>
    <w:p w:rsidR="00966907" w:rsidRDefault="00966907" w:rsidP="00966907">
      <w:pPr>
        <w:pStyle w:val="Heading4"/>
        <w:numPr>
          <w:ilvl w:val="0"/>
          <w:numId w:val="16"/>
        </w:numPr>
      </w:pPr>
      <w:r>
        <w:t>Ground—Civil liability standards are fluid and don’t link to core negative ground—</w:t>
      </w:r>
      <w:proofErr w:type="gramStart"/>
      <w:r>
        <w:t>The</w:t>
      </w:r>
      <w:proofErr w:type="gramEnd"/>
      <w:r>
        <w:t xml:space="preserve"> </w:t>
      </w:r>
      <w:proofErr w:type="spellStart"/>
      <w:r>
        <w:t>neg</w:t>
      </w:r>
      <w:proofErr w:type="spellEnd"/>
      <w:r>
        <w:t xml:space="preserve"> gets specific ground from the area of criminalization.</w:t>
      </w:r>
    </w:p>
    <w:p w:rsidR="00966907" w:rsidRPr="00966907" w:rsidRDefault="00966907" w:rsidP="00966907"/>
    <w:p w:rsidR="00966907" w:rsidRDefault="00966907" w:rsidP="00966907">
      <w:pPr>
        <w:pStyle w:val="Heading4"/>
        <w:numPr>
          <w:ilvl w:val="0"/>
          <w:numId w:val="16"/>
        </w:numPr>
      </w:pPr>
      <w:r>
        <w:t>TVA—</w:t>
      </w:r>
      <w:proofErr w:type="gramStart"/>
      <w:r>
        <w:t>The</w:t>
      </w:r>
      <w:proofErr w:type="gramEnd"/>
      <w:r>
        <w:t xml:space="preserve"> topical version of the </w:t>
      </w:r>
      <w:proofErr w:type="spellStart"/>
      <w:r>
        <w:t>aff</w:t>
      </w:r>
      <w:proofErr w:type="spellEnd"/>
      <w:r>
        <w:t xml:space="preserve"> is to expand criminal liability for police misconduct and make it easier to convict them in criminal court.</w:t>
      </w:r>
    </w:p>
    <w:p w:rsidR="00966907" w:rsidRDefault="00966907" w:rsidP="00966907">
      <w:pPr>
        <w:pStyle w:val="Heading4"/>
        <w:numPr>
          <w:ilvl w:val="0"/>
          <w:numId w:val="15"/>
        </w:numPr>
      </w:pPr>
      <w:r>
        <w:t>Topicality is a voting issue for better debate, ground and education.</w:t>
      </w:r>
    </w:p>
    <w:p w:rsidR="00966907" w:rsidRDefault="00966907" w:rsidP="00966907"/>
    <w:p w:rsidR="00966907" w:rsidRDefault="00966907" w:rsidP="00966907"/>
    <w:p w:rsidR="00966907" w:rsidRDefault="00966907" w:rsidP="00966907"/>
    <w:p w:rsidR="00966907" w:rsidRDefault="00966907" w:rsidP="00966907">
      <w:pPr>
        <w:pStyle w:val="Heading2"/>
      </w:pPr>
      <w:r>
        <w:t xml:space="preserve">Court </w:t>
      </w:r>
      <w:proofErr w:type="spellStart"/>
      <w:r>
        <w:t>Affs</w:t>
      </w:r>
      <w:proofErr w:type="spellEnd"/>
      <w:r>
        <w:t xml:space="preserve"> Not Topical</w:t>
      </w:r>
    </w:p>
    <w:p w:rsidR="00966907" w:rsidRDefault="00966907" w:rsidP="00966907"/>
    <w:p w:rsidR="00966907" w:rsidRDefault="00966907" w:rsidP="00966907">
      <w:pPr>
        <w:pStyle w:val="Heading4"/>
        <w:numPr>
          <w:ilvl w:val="0"/>
          <w:numId w:val="18"/>
        </w:numPr>
      </w:pPr>
      <w:r>
        <w:t>Interpretation—</w:t>
      </w:r>
      <w:proofErr w:type="gramStart"/>
      <w:r>
        <w:t>The</w:t>
      </w:r>
      <w:proofErr w:type="gramEnd"/>
      <w:r>
        <w:t xml:space="preserve"> topic requires the </w:t>
      </w:r>
      <w:proofErr w:type="spellStart"/>
      <w:r>
        <w:t>aff</w:t>
      </w:r>
      <w:proofErr w:type="spellEnd"/>
      <w:r>
        <w:t xml:space="preserve"> to make legislative change.</w:t>
      </w:r>
    </w:p>
    <w:p w:rsidR="004422D6" w:rsidRDefault="004422D6" w:rsidP="004422D6">
      <w:pPr>
        <w:pStyle w:val="Heading4"/>
      </w:pPr>
      <w:r>
        <w:t>Enact is a term of art in policy debates explicitly meaning passed by Congress and signed by the President</w:t>
      </w:r>
    </w:p>
    <w:p w:rsidR="004422D6" w:rsidRDefault="004422D6" w:rsidP="004422D6">
      <w:pPr>
        <w:pStyle w:val="Heading4"/>
      </w:pPr>
      <w:r>
        <w:t>Enact means passed by Congress with a Presidential signature</w:t>
      </w:r>
    </w:p>
    <w:p w:rsidR="004422D6" w:rsidRPr="002836A1" w:rsidRDefault="004422D6" w:rsidP="004422D6">
      <w:r w:rsidRPr="00DC2782">
        <w:rPr>
          <w:rStyle w:val="Style13ptBold"/>
        </w:rPr>
        <w:t>Danielson, 83</w:t>
      </w:r>
      <w:r w:rsidRPr="00DC2782">
        <w:t xml:space="preserve"> – </w:t>
      </w:r>
      <w:r>
        <w:t xml:space="preserve">George Danielson </w:t>
      </w:r>
      <w:r w:rsidRPr="00DC2782">
        <w:t>Justice, California Court of Appeals (Regulatory Reform Act: Hearing Before the Subcommittee on Administrative Law and Governmental Regulation</w:t>
      </w:r>
      <w:r>
        <w:t>s, June, p. 542, google books</w:t>
      </w:r>
    </w:p>
    <w:p w:rsidR="004422D6" w:rsidRPr="002836A1" w:rsidRDefault="004422D6" w:rsidP="004422D6">
      <w:pPr>
        <w:rPr>
          <w:sz w:val="16"/>
        </w:rPr>
      </w:pPr>
      <w:r w:rsidRPr="002836A1">
        <w:rPr>
          <w:sz w:val="16"/>
        </w:rPr>
        <w:t>But as I recall the word "</w:t>
      </w:r>
      <w:r w:rsidRPr="004422D6">
        <w:rPr>
          <w:rStyle w:val="StyleUnderline"/>
          <w:highlight w:val="yellow"/>
        </w:rPr>
        <w:t>enact</w:t>
      </w:r>
      <w:r w:rsidRPr="002836A1">
        <w:rPr>
          <w:sz w:val="16"/>
        </w:rPr>
        <w:t xml:space="preserve">," this </w:t>
      </w:r>
      <w:r w:rsidRPr="004422D6">
        <w:rPr>
          <w:rStyle w:val="StyleUnderline"/>
          <w:highlight w:val="yellow"/>
        </w:rPr>
        <w:t>is a word of art, and</w:t>
      </w:r>
      <w:r w:rsidRPr="002836A1">
        <w:rPr>
          <w:sz w:val="16"/>
        </w:rPr>
        <w:t xml:space="preserve"> if I recall it correctly, "enact" </w:t>
      </w:r>
      <w:r w:rsidRPr="004422D6">
        <w:rPr>
          <w:rStyle w:val="StyleUnderline"/>
          <w:highlight w:val="yellow"/>
        </w:rPr>
        <w:t>means that both Houses pass and the President signs</w:t>
      </w:r>
      <w:r w:rsidRPr="002836A1">
        <w:rPr>
          <w:sz w:val="16"/>
        </w:rPr>
        <w:t>. If that's the case, I would have no quarrel with your legislative veto provision. But I suspect that that's not what's intended by that part of the bill.</w:t>
      </w:r>
    </w:p>
    <w:p w:rsidR="00966907" w:rsidRDefault="00966907" w:rsidP="00966907"/>
    <w:p w:rsidR="004422D6" w:rsidRDefault="004422D6" w:rsidP="004422D6">
      <w:pPr>
        <w:pStyle w:val="Heading4"/>
        <w:numPr>
          <w:ilvl w:val="0"/>
          <w:numId w:val="18"/>
        </w:numPr>
      </w:pPr>
      <w:r>
        <w:t>Violation—</w:t>
      </w:r>
      <w:proofErr w:type="gramStart"/>
      <w:r>
        <w:t>The</w:t>
      </w:r>
      <w:proofErr w:type="gramEnd"/>
      <w:r>
        <w:t xml:space="preserve"> </w:t>
      </w:r>
      <w:proofErr w:type="spellStart"/>
      <w:r>
        <w:t>aff</w:t>
      </w:r>
      <w:proofErr w:type="spellEnd"/>
      <w:r>
        <w:t xml:space="preserve"> makes change through the court—</w:t>
      </w:r>
    </w:p>
    <w:p w:rsidR="004422D6" w:rsidRPr="005446A0" w:rsidRDefault="004422D6" w:rsidP="004422D6">
      <w:pPr>
        <w:pStyle w:val="Heading4"/>
      </w:pPr>
      <w:r>
        <w:t>Court action violates enact</w:t>
      </w:r>
    </w:p>
    <w:p w:rsidR="004422D6" w:rsidRPr="003752AF" w:rsidRDefault="004422D6" w:rsidP="004422D6">
      <w:r w:rsidRPr="005446A0">
        <w:rPr>
          <w:rStyle w:val="Style13ptBold"/>
        </w:rPr>
        <w:t>Desha 12</w:t>
      </w:r>
      <w:r>
        <w:t xml:space="preserve"> – Larry Desha is a JD in California (2012 WL 3526013 (Cal.) (Appellate Brief) Supreme Court of California. In Re Sergio C. GARCIA on Admission. No. </w:t>
      </w:r>
      <w:proofErr w:type="gramStart"/>
      <w:r>
        <w:t>S202512.,</w:t>
      </w:r>
      <w:proofErr w:type="gramEnd"/>
      <w:r>
        <w:t xml:space="preserve"> </w:t>
      </w:r>
      <w:proofErr w:type="spellStart"/>
      <w:r>
        <w:t>WestLaw</w:t>
      </w:r>
      <w:proofErr w:type="spellEnd"/>
      <w:r>
        <w:t>)</w:t>
      </w:r>
    </w:p>
    <w:p w:rsidR="004422D6" w:rsidRPr="004422D6" w:rsidRDefault="004422D6" w:rsidP="004422D6">
      <w:pPr>
        <w:rPr>
          <w:sz w:val="16"/>
        </w:rPr>
      </w:pPr>
      <w:r w:rsidRPr="004422D6">
        <w:rPr>
          <w:sz w:val="16"/>
        </w:rPr>
        <w:t xml:space="preserve">*15 B. Is There Any State Legislation That Provides - As Specifically Authorized By 8 U.S.C. Section 1621, Subdivision (d) - That Undocumented Immigrants Are Eligible for Professional Licenses In Fields Such As Law, Medicine, Or Other Professions? The Committee concludes that no such legislation has been enacted. (COB, pp. 16-17.) </w:t>
      </w:r>
      <w:r w:rsidRPr="004422D6">
        <w:rPr>
          <w:rStyle w:val="StyleUnderline"/>
          <w:highlight w:val="yellow"/>
        </w:rPr>
        <w:t>The Committee</w:t>
      </w:r>
      <w:r w:rsidRPr="004422D6">
        <w:rPr>
          <w:sz w:val="16"/>
        </w:rPr>
        <w:t xml:space="preserve"> then </w:t>
      </w:r>
      <w:r w:rsidRPr="004422D6">
        <w:rPr>
          <w:rStyle w:val="StyleUnderline"/>
          <w:highlight w:val="yellow"/>
        </w:rPr>
        <w:t>erroneously argues that the Court could</w:t>
      </w:r>
      <w:r w:rsidRPr="004422D6">
        <w:rPr>
          <w:sz w:val="16"/>
        </w:rPr>
        <w:t xml:space="preserve"> “invoke... section 1621(d), and, in its quasi-legislative authority, in </w:t>
      </w:r>
      <w:r w:rsidRPr="00AF65E6">
        <w:rPr>
          <w:rStyle w:val="StyleUnderline"/>
        </w:rPr>
        <w:t xml:space="preserve">effect </w:t>
      </w:r>
      <w:r w:rsidRPr="004422D6">
        <w:rPr>
          <w:rStyle w:val="StyleUnderline"/>
          <w:highlight w:val="yellow"/>
        </w:rPr>
        <w:t>enact a law</w:t>
      </w:r>
      <w:r w:rsidRPr="00AF65E6">
        <w:rPr>
          <w:rStyle w:val="StyleUnderline"/>
        </w:rPr>
        <w:t xml:space="preserve"> (i.e., a rule of court)</w:t>
      </w:r>
      <w:r w:rsidRPr="004422D6">
        <w:rPr>
          <w:sz w:val="16"/>
        </w:rPr>
        <w:t xml:space="preserve"> expressly providing that undocumented immigrants are eligible for law licensure.” (COB, p. 18, fn. 11.) </w:t>
      </w:r>
      <w:r w:rsidRPr="004422D6">
        <w:rPr>
          <w:rStyle w:val="StyleUnderline"/>
          <w:highlight w:val="yellow"/>
        </w:rPr>
        <w:t xml:space="preserve">This is an </w:t>
      </w:r>
      <w:r w:rsidRPr="004422D6">
        <w:rPr>
          <w:rStyle w:val="Emphasis"/>
          <w:highlight w:val="yellow"/>
        </w:rPr>
        <w:t>invitation to error</w:t>
      </w:r>
      <w:r w:rsidRPr="004422D6">
        <w:rPr>
          <w:rStyle w:val="StyleUnderline"/>
          <w:highlight w:val="yellow"/>
        </w:rPr>
        <w:t xml:space="preserve"> which completely overlooks the fact that the Court </w:t>
      </w:r>
      <w:r w:rsidRPr="004422D6">
        <w:rPr>
          <w:rStyle w:val="Emphasis"/>
          <w:highlight w:val="yellow"/>
        </w:rPr>
        <w:t>does not</w:t>
      </w:r>
      <w:r w:rsidRPr="004422D6">
        <w:rPr>
          <w:rStyle w:val="StyleUnderline"/>
          <w:highlight w:val="yellow"/>
        </w:rPr>
        <w:t xml:space="preserve"> “enact” law</w:t>
      </w:r>
      <w:r w:rsidRPr="00AF65E6">
        <w:rPr>
          <w:rStyle w:val="StyleUnderline"/>
        </w:rPr>
        <w:t>s,</w:t>
      </w:r>
      <w:r w:rsidRPr="004422D6">
        <w:rPr>
          <w:sz w:val="16"/>
        </w:rPr>
        <w:t xml:space="preserve"> which “enactment of a State Law” is explicitly required by 8 U.S.C. § 1621(d) for the permitted opting out of § 1621(c). In the case of attorney admissions and practice, the Court “adopts” pertinent California Rules of Court, which start with rule 9.1. (See rule, 9.2, California Rules of Court.)</w:t>
      </w:r>
    </w:p>
    <w:p w:rsidR="004422D6" w:rsidRDefault="004422D6" w:rsidP="004422D6"/>
    <w:p w:rsidR="004422D6" w:rsidRDefault="004422D6" w:rsidP="004422D6">
      <w:pPr>
        <w:pStyle w:val="Heading4"/>
        <w:numPr>
          <w:ilvl w:val="0"/>
          <w:numId w:val="18"/>
        </w:numPr>
      </w:pPr>
      <w:r>
        <w:t>Our interpretation is better for debate</w:t>
      </w:r>
    </w:p>
    <w:p w:rsidR="004422D6" w:rsidRDefault="004422D6" w:rsidP="004422D6"/>
    <w:p w:rsidR="004422D6" w:rsidRDefault="004422D6" w:rsidP="004422D6">
      <w:pPr>
        <w:pStyle w:val="Heading4"/>
        <w:numPr>
          <w:ilvl w:val="0"/>
          <w:numId w:val="19"/>
        </w:numPr>
      </w:pPr>
      <w:r>
        <w:t>Limits--They double the topic—</w:t>
      </w:r>
      <w:proofErr w:type="gramStart"/>
      <w:r>
        <w:t>Allowing</w:t>
      </w:r>
      <w:proofErr w:type="gramEnd"/>
      <w:r>
        <w:t xml:space="preserve"> the </w:t>
      </w:r>
      <w:proofErr w:type="spellStart"/>
      <w:r>
        <w:t>aff</w:t>
      </w:r>
      <w:proofErr w:type="spellEnd"/>
      <w:r>
        <w:t xml:space="preserve"> to act through Congress or the courts doubles the size of the topic since courts could change any legal standard or order any reform.</w:t>
      </w:r>
    </w:p>
    <w:p w:rsidR="004422D6" w:rsidRDefault="004422D6" w:rsidP="004422D6"/>
    <w:p w:rsidR="004422D6" w:rsidRDefault="004422D6" w:rsidP="004422D6">
      <w:pPr>
        <w:pStyle w:val="Heading4"/>
        <w:numPr>
          <w:ilvl w:val="0"/>
          <w:numId w:val="19"/>
        </w:numPr>
      </w:pPr>
      <w:r>
        <w:t xml:space="preserve">Ground—Court </w:t>
      </w:r>
      <w:proofErr w:type="spellStart"/>
      <w:r>
        <w:t>disads</w:t>
      </w:r>
      <w:proofErr w:type="spellEnd"/>
      <w:r>
        <w:t xml:space="preserve"> are terrible and have no uniqueness—</w:t>
      </w:r>
      <w:proofErr w:type="gramStart"/>
      <w:r>
        <w:t>They</w:t>
      </w:r>
      <w:proofErr w:type="gramEnd"/>
      <w:r>
        <w:t xml:space="preserve"> destroy all of the </w:t>
      </w:r>
      <w:proofErr w:type="spellStart"/>
      <w:r>
        <w:t>neg</w:t>
      </w:r>
      <w:proofErr w:type="spellEnd"/>
      <w:r>
        <w:t xml:space="preserve"> ground based on the political legislative process.</w:t>
      </w:r>
    </w:p>
    <w:p w:rsidR="004422D6" w:rsidRDefault="004422D6" w:rsidP="004422D6"/>
    <w:p w:rsidR="004422D6" w:rsidRDefault="004422D6" w:rsidP="004422D6">
      <w:pPr>
        <w:pStyle w:val="Heading4"/>
        <w:numPr>
          <w:ilvl w:val="0"/>
          <w:numId w:val="19"/>
        </w:numPr>
      </w:pPr>
      <w:r>
        <w:t>The TVA is to remove qualified immunity through Congress—</w:t>
      </w:r>
      <w:proofErr w:type="gramStart"/>
      <w:r>
        <w:t>There</w:t>
      </w:r>
      <w:proofErr w:type="gramEnd"/>
      <w:r>
        <w:t xml:space="preserve"> is no ground loss for the </w:t>
      </w:r>
      <w:proofErr w:type="spellStart"/>
      <w:r>
        <w:t>aff</w:t>
      </w:r>
      <w:proofErr w:type="spellEnd"/>
      <w:r>
        <w:t xml:space="preserve"> but makes for a more balanced debate.</w:t>
      </w:r>
    </w:p>
    <w:p w:rsidR="004422D6" w:rsidRDefault="004422D6" w:rsidP="004422D6"/>
    <w:p w:rsidR="004422D6" w:rsidRPr="004422D6" w:rsidRDefault="004422D6" w:rsidP="004422D6">
      <w:pPr>
        <w:pStyle w:val="Heading4"/>
        <w:numPr>
          <w:ilvl w:val="0"/>
          <w:numId w:val="18"/>
        </w:numPr>
      </w:pPr>
      <w:r>
        <w:t>Topicality is a voting issue for better debate, ground and education.</w:t>
      </w:r>
    </w:p>
    <w:p w:rsidR="004422D6" w:rsidRDefault="004422D6" w:rsidP="004422D6"/>
    <w:p w:rsidR="004422D6" w:rsidRPr="004422D6" w:rsidRDefault="004422D6" w:rsidP="004422D6"/>
    <w:sectPr w:rsidR="004422D6" w:rsidRPr="004422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013967"/>
    <w:multiLevelType w:val="hybridMultilevel"/>
    <w:tmpl w:val="AA72550A"/>
    <w:lvl w:ilvl="0" w:tplc="8460E03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08C63577"/>
    <w:multiLevelType w:val="hybridMultilevel"/>
    <w:tmpl w:val="DC84350C"/>
    <w:lvl w:ilvl="0" w:tplc="D5A00A00">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E127E2"/>
    <w:multiLevelType w:val="hybridMultilevel"/>
    <w:tmpl w:val="85AA35A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B60187C"/>
    <w:multiLevelType w:val="hybridMultilevel"/>
    <w:tmpl w:val="21C4E8B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E9E6FAF"/>
    <w:multiLevelType w:val="hybridMultilevel"/>
    <w:tmpl w:val="29FE64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1D966ED"/>
    <w:multiLevelType w:val="hybridMultilevel"/>
    <w:tmpl w:val="1712508A"/>
    <w:lvl w:ilvl="0" w:tplc="A10838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7D12911"/>
    <w:multiLevelType w:val="hybridMultilevel"/>
    <w:tmpl w:val="2B968A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AB22A2B"/>
    <w:multiLevelType w:val="hybridMultilevel"/>
    <w:tmpl w:val="E572ED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5BC3A02"/>
    <w:multiLevelType w:val="hybridMultilevel"/>
    <w:tmpl w:val="79B804A6"/>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8FC5922"/>
    <w:multiLevelType w:val="hybridMultilevel"/>
    <w:tmpl w:val="803E63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AE05CC4"/>
    <w:multiLevelType w:val="hybridMultilevel"/>
    <w:tmpl w:val="2DBCEF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75A7DF6"/>
    <w:multiLevelType w:val="hybridMultilevel"/>
    <w:tmpl w:val="EDCE82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F6237C2"/>
    <w:multiLevelType w:val="hybridMultilevel"/>
    <w:tmpl w:val="C156A8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9"/>
  </w:num>
  <w:num w:numId="13">
    <w:abstractNumId w:val="18"/>
  </w:num>
  <w:num w:numId="14">
    <w:abstractNumId w:val="17"/>
  </w:num>
  <w:num w:numId="15">
    <w:abstractNumId w:val="14"/>
  </w:num>
  <w:num w:numId="16">
    <w:abstractNumId w:val="22"/>
  </w:num>
  <w:num w:numId="17">
    <w:abstractNumId w:val="11"/>
  </w:num>
  <w:num w:numId="18">
    <w:abstractNumId w:val="12"/>
  </w:num>
  <w:num w:numId="19">
    <w:abstractNumId w:val="16"/>
  </w:num>
  <w:num w:numId="20">
    <w:abstractNumId w:val="10"/>
  </w:num>
  <w:num w:numId="21">
    <w:abstractNumId w:val="20"/>
  </w:num>
  <w:num w:numId="22">
    <w:abstractNumId w:val="21"/>
  </w:num>
  <w:num w:numId="2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655249"/>
    <w:rsid w:val="000139A3"/>
    <w:rsid w:val="00082862"/>
    <w:rsid w:val="000A2C45"/>
    <w:rsid w:val="000C551F"/>
    <w:rsid w:val="00100833"/>
    <w:rsid w:val="00104529"/>
    <w:rsid w:val="00105942"/>
    <w:rsid w:val="00107396"/>
    <w:rsid w:val="00144A4C"/>
    <w:rsid w:val="00176AB0"/>
    <w:rsid w:val="00177B7D"/>
    <w:rsid w:val="0018322D"/>
    <w:rsid w:val="00183F00"/>
    <w:rsid w:val="001A5D3D"/>
    <w:rsid w:val="001B5776"/>
    <w:rsid w:val="001E527A"/>
    <w:rsid w:val="001F4ECA"/>
    <w:rsid w:val="001F78CE"/>
    <w:rsid w:val="00210800"/>
    <w:rsid w:val="00251FC7"/>
    <w:rsid w:val="00266837"/>
    <w:rsid w:val="002836A1"/>
    <w:rsid w:val="002855A7"/>
    <w:rsid w:val="002A6A5D"/>
    <w:rsid w:val="002B146A"/>
    <w:rsid w:val="002B5E17"/>
    <w:rsid w:val="00315690"/>
    <w:rsid w:val="00316B75"/>
    <w:rsid w:val="00325646"/>
    <w:rsid w:val="00333AE0"/>
    <w:rsid w:val="00344506"/>
    <w:rsid w:val="003460F2"/>
    <w:rsid w:val="0036662B"/>
    <w:rsid w:val="0038158C"/>
    <w:rsid w:val="003902BA"/>
    <w:rsid w:val="003A09E2"/>
    <w:rsid w:val="003E6D25"/>
    <w:rsid w:val="00403431"/>
    <w:rsid w:val="00407037"/>
    <w:rsid w:val="004422D6"/>
    <w:rsid w:val="004605D6"/>
    <w:rsid w:val="004C60E8"/>
    <w:rsid w:val="004E3579"/>
    <w:rsid w:val="004E728B"/>
    <w:rsid w:val="004F39E0"/>
    <w:rsid w:val="00537BD5"/>
    <w:rsid w:val="005446A0"/>
    <w:rsid w:val="0057268A"/>
    <w:rsid w:val="005A30FD"/>
    <w:rsid w:val="005D07D1"/>
    <w:rsid w:val="005D2912"/>
    <w:rsid w:val="005F3576"/>
    <w:rsid w:val="006065BD"/>
    <w:rsid w:val="00645FA9"/>
    <w:rsid w:val="00647866"/>
    <w:rsid w:val="00655249"/>
    <w:rsid w:val="0065538F"/>
    <w:rsid w:val="00665003"/>
    <w:rsid w:val="00671A23"/>
    <w:rsid w:val="006A2AD0"/>
    <w:rsid w:val="006B35DA"/>
    <w:rsid w:val="006C2375"/>
    <w:rsid w:val="006D4ECC"/>
    <w:rsid w:val="006E6AAD"/>
    <w:rsid w:val="00722258"/>
    <w:rsid w:val="007243E5"/>
    <w:rsid w:val="0073451D"/>
    <w:rsid w:val="00766EA0"/>
    <w:rsid w:val="00790C84"/>
    <w:rsid w:val="007A2226"/>
    <w:rsid w:val="007A39EB"/>
    <w:rsid w:val="007D03E2"/>
    <w:rsid w:val="007F5B66"/>
    <w:rsid w:val="00823A1C"/>
    <w:rsid w:val="008256F8"/>
    <w:rsid w:val="00845B9D"/>
    <w:rsid w:val="00860984"/>
    <w:rsid w:val="008B3ECB"/>
    <w:rsid w:val="008B4E85"/>
    <w:rsid w:val="008C1B2E"/>
    <w:rsid w:val="0091627E"/>
    <w:rsid w:val="00966907"/>
    <w:rsid w:val="0097032B"/>
    <w:rsid w:val="009842A9"/>
    <w:rsid w:val="009907A0"/>
    <w:rsid w:val="009D2EAD"/>
    <w:rsid w:val="009D54B2"/>
    <w:rsid w:val="009E1922"/>
    <w:rsid w:val="009F7ED2"/>
    <w:rsid w:val="00A37C5D"/>
    <w:rsid w:val="00A82BFF"/>
    <w:rsid w:val="00A82F6C"/>
    <w:rsid w:val="00A93661"/>
    <w:rsid w:val="00A95652"/>
    <w:rsid w:val="00AC0AB8"/>
    <w:rsid w:val="00AE7673"/>
    <w:rsid w:val="00B33C6D"/>
    <w:rsid w:val="00B4508F"/>
    <w:rsid w:val="00B55AD5"/>
    <w:rsid w:val="00B8057C"/>
    <w:rsid w:val="00BD0089"/>
    <w:rsid w:val="00BD25D4"/>
    <w:rsid w:val="00BD6238"/>
    <w:rsid w:val="00BF1A17"/>
    <w:rsid w:val="00BF593B"/>
    <w:rsid w:val="00BF773A"/>
    <w:rsid w:val="00BF7E81"/>
    <w:rsid w:val="00C115CF"/>
    <w:rsid w:val="00C13773"/>
    <w:rsid w:val="00C17CC8"/>
    <w:rsid w:val="00C83417"/>
    <w:rsid w:val="00C94716"/>
    <w:rsid w:val="00C9604F"/>
    <w:rsid w:val="00CA19AA"/>
    <w:rsid w:val="00CC5298"/>
    <w:rsid w:val="00CD736E"/>
    <w:rsid w:val="00CD798D"/>
    <w:rsid w:val="00CE161E"/>
    <w:rsid w:val="00CF59A8"/>
    <w:rsid w:val="00D325A9"/>
    <w:rsid w:val="00D36A8A"/>
    <w:rsid w:val="00D61409"/>
    <w:rsid w:val="00D6296B"/>
    <w:rsid w:val="00D6691E"/>
    <w:rsid w:val="00D71170"/>
    <w:rsid w:val="00DA1C92"/>
    <w:rsid w:val="00DA25D4"/>
    <w:rsid w:val="00DA6538"/>
    <w:rsid w:val="00DC06DB"/>
    <w:rsid w:val="00DD0CA4"/>
    <w:rsid w:val="00DE4FD3"/>
    <w:rsid w:val="00E15E75"/>
    <w:rsid w:val="00E5262C"/>
    <w:rsid w:val="00E74CF7"/>
    <w:rsid w:val="00EC7DC4"/>
    <w:rsid w:val="00ED30CF"/>
    <w:rsid w:val="00EE5E96"/>
    <w:rsid w:val="00F176EF"/>
    <w:rsid w:val="00F42977"/>
    <w:rsid w:val="00F45E10"/>
    <w:rsid w:val="00F6364A"/>
    <w:rsid w:val="00F9113A"/>
    <w:rsid w:val="00FE2546"/>
    <w:rsid w:val="00FF3963"/>
    <w:rsid w:val="00FF53A6"/>
    <w:rsid w:val="00FF5D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8DAB7"/>
  <w15:chartTrackingRefBased/>
  <w15:docId w15:val="{BED6231E-AD09-4F3B-8BFD-C235C11CD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655249"/>
    <w:rPr>
      <w:rFonts w:ascii="Calibri" w:hAnsi="Calibri" w:cs="Calibri"/>
    </w:rPr>
  </w:style>
  <w:style w:type="paragraph" w:styleId="Heading1">
    <w:name w:val="heading 1"/>
    <w:aliases w:val="Pocket"/>
    <w:basedOn w:val="Normal"/>
    <w:next w:val="Normal"/>
    <w:link w:val="Heading1Char"/>
    <w:qFormat/>
    <w:rsid w:val="0065524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5524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65524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No Spacing1111,ta,No Spacing112,No Spacing1121,T,t,Tag1,Ta"/>
    <w:basedOn w:val="Normal"/>
    <w:next w:val="Normal"/>
    <w:link w:val="Heading4Char"/>
    <w:uiPriority w:val="3"/>
    <w:unhideWhenUsed/>
    <w:qFormat/>
    <w:rsid w:val="0065524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5524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55249"/>
  </w:style>
  <w:style w:type="character" w:customStyle="1" w:styleId="Heading1Char">
    <w:name w:val="Heading 1 Char"/>
    <w:aliases w:val="Pocket Char"/>
    <w:basedOn w:val="DefaultParagraphFont"/>
    <w:link w:val="Heading1"/>
    <w:rsid w:val="0065524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5524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55249"/>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ta Char"/>
    <w:basedOn w:val="DefaultParagraphFont"/>
    <w:link w:val="Heading4"/>
    <w:uiPriority w:val="3"/>
    <w:rsid w:val="00655249"/>
    <w:rPr>
      <w:rFonts w:ascii="Calibri" w:eastAsiaTheme="majorEastAsia" w:hAnsi="Calibri" w:cstheme="majorBidi"/>
      <w:b/>
      <w:iCs/>
      <w:sz w:val="26"/>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7"/>
    <w:qFormat/>
    <w:rsid w:val="00655249"/>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655249"/>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Underline Ch,c,Bo"/>
    <w:basedOn w:val="DefaultParagraphFont"/>
    <w:uiPriority w:val="6"/>
    <w:qFormat/>
    <w:rsid w:val="00655249"/>
    <w:rPr>
      <w:b w:val="0"/>
      <w:sz w:val="22"/>
      <w:u w:val="single"/>
    </w:rPr>
  </w:style>
  <w:style w:type="character" w:styleId="Hyperlink">
    <w:name w:val="Hyperlink"/>
    <w:aliases w:val="Heading 4 Char1,Tag Char1,body Char1,Big card Char1,Normal Tag Char1,heading 2 Char1,Ch Char1,no read Char1,Heading 2 Char2 Char Char1,Heading 2 Char1 Char Char Char1,small text Char1,heading 1 (block title),Card Text,Important,Read,Char Char1"/>
    <w:basedOn w:val="DefaultParagraphFont"/>
    <w:uiPriority w:val="99"/>
    <w:unhideWhenUsed/>
    <w:rsid w:val="00655249"/>
    <w:rPr>
      <w:color w:val="auto"/>
      <w:u w:val="none"/>
    </w:rPr>
  </w:style>
  <w:style w:type="character" w:styleId="FollowedHyperlink">
    <w:name w:val="FollowedHyperlink"/>
    <w:basedOn w:val="DefaultParagraphFont"/>
    <w:uiPriority w:val="99"/>
    <w:semiHidden/>
    <w:unhideWhenUsed/>
    <w:rsid w:val="00655249"/>
    <w:rPr>
      <w:color w:val="auto"/>
      <w:u w:val="none"/>
    </w:rPr>
  </w:style>
  <w:style w:type="paragraph" w:styleId="NormalWeb">
    <w:name w:val="Normal (Web)"/>
    <w:basedOn w:val="Normal"/>
    <w:uiPriority w:val="99"/>
    <w:semiHidden/>
    <w:unhideWhenUsed/>
    <w:rsid w:val="007A39E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bold">
    <w:name w:val="text bold"/>
    <w:basedOn w:val="Normal"/>
    <w:link w:val="Emphasis"/>
    <w:uiPriority w:val="7"/>
    <w:qFormat/>
    <w:rsid w:val="0073451D"/>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rPr>
  </w:style>
  <w:style w:type="paragraph" w:customStyle="1" w:styleId="paragraph">
    <w:name w:val="paragraph"/>
    <w:basedOn w:val="Normal"/>
    <w:rsid w:val="003E6D2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3E6D25"/>
  </w:style>
  <w:style w:type="character" w:customStyle="1" w:styleId="eop">
    <w:name w:val="eop"/>
    <w:basedOn w:val="DefaultParagraphFont"/>
    <w:rsid w:val="003E6D25"/>
  </w:style>
  <w:style w:type="character" w:customStyle="1" w:styleId="contextualspellingandgrammarerror">
    <w:name w:val="contextualspellingandgrammarerror"/>
    <w:basedOn w:val="DefaultParagraphFont"/>
    <w:rsid w:val="0036662B"/>
  </w:style>
  <w:style w:type="character" w:customStyle="1" w:styleId="spellingerror">
    <w:name w:val="spellingerror"/>
    <w:basedOn w:val="DefaultParagraphFont"/>
    <w:rsid w:val="0036662B"/>
  </w:style>
  <w:style w:type="paragraph" w:styleId="ListParagraph">
    <w:name w:val="List Paragraph"/>
    <w:basedOn w:val="Normal"/>
    <w:uiPriority w:val="99"/>
    <w:unhideWhenUsed/>
    <w:qFormat/>
    <w:rsid w:val="001F4EC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5169809">
      <w:bodyDiv w:val="1"/>
      <w:marLeft w:val="0"/>
      <w:marRight w:val="0"/>
      <w:marTop w:val="0"/>
      <w:marBottom w:val="0"/>
      <w:divBdr>
        <w:top w:val="none" w:sz="0" w:space="0" w:color="auto"/>
        <w:left w:val="none" w:sz="0" w:space="0" w:color="auto"/>
        <w:bottom w:val="none" w:sz="0" w:space="0" w:color="auto"/>
        <w:right w:val="none" w:sz="0" w:space="0" w:color="auto"/>
      </w:divBdr>
      <w:divsChild>
        <w:div w:id="1599561770">
          <w:marLeft w:val="0"/>
          <w:marRight w:val="0"/>
          <w:marTop w:val="0"/>
          <w:marBottom w:val="0"/>
          <w:divBdr>
            <w:top w:val="none" w:sz="0" w:space="0" w:color="auto"/>
            <w:left w:val="none" w:sz="0" w:space="0" w:color="auto"/>
            <w:bottom w:val="none" w:sz="0" w:space="0" w:color="auto"/>
            <w:right w:val="none" w:sz="0" w:space="0" w:color="auto"/>
          </w:divBdr>
        </w:div>
        <w:div w:id="1220946089">
          <w:marLeft w:val="0"/>
          <w:marRight w:val="0"/>
          <w:marTop w:val="0"/>
          <w:marBottom w:val="0"/>
          <w:divBdr>
            <w:top w:val="none" w:sz="0" w:space="0" w:color="auto"/>
            <w:left w:val="none" w:sz="0" w:space="0" w:color="auto"/>
            <w:bottom w:val="none" w:sz="0" w:space="0" w:color="auto"/>
            <w:right w:val="none" w:sz="0" w:space="0" w:color="auto"/>
          </w:divBdr>
        </w:div>
        <w:div w:id="1851866604">
          <w:marLeft w:val="0"/>
          <w:marRight w:val="0"/>
          <w:marTop w:val="0"/>
          <w:marBottom w:val="0"/>
          <w:divBdr>
            <w:top w:val="none" w:sz="0" w:space="0" w:color="auto"/>
            <w:left w:val="none" w:sz="0" w:space="0" w:color="auto"/>
            <w:bottom w:val="none" w:sz="0" w:space="0" w:color="auto"/>
            <w:right w:val="none" w:sz="0" w:space="0" w:color="auto"/>
          </w:divBdr>
        </w:div>
        <w:div w:id="447748409">
          <w:marLeft w:val="0"/>
          <w:marRight w:val="0"/>
          <w:marTop w:val="0"/>
          <w:marBottom w:val="0"/>
          <w:divBdr>
            <w:top w:val="none" w:sz="0" w:space="0" w:color="auto"/>
            <w:left w:val="none" w:sz="0" w:space="0" w:color="auto"/>
            <w:bottom w:val="none" w:sz="0" w:space="0" w:color="auto"/>
            <w:right w:val="none" w:sz="0" w:space="0" w:color="auto"/>
          </w:divBdr>
        </w:div>
        <w:div w:id="989753198">
          <w:marLeft w:val="0"/>
          <w:marRight w:val="0"/>
          <w:marTop w:val="0"/>
          <w:marBottom w:val="0"/>
          <w:divBdr>
            <w:top w:val="none" w:sz="0" w:space="0" w:color="auto"/>
            <w:left w:val="none" w:sz="0" w:space="0" w:color="auto"/>
            <w:bottom w:val="none" w:sz="0" w:space="0" w:color="auto"/>
            <w:right w:val="none" w:sz="0" w:space="0" w:color="auto"/>
          </w:divBdr>
        </w:div>
      </w:divsChild>
    </w:div>
    <w:div w:id="358091217">
      <w:bodyDiv w:val="1"/>
      <w:marLeft w:val="0"/>
      <w:marRight w:val="0"/>
      <w:marTop w:val="0"/>
      <w:marBottom w:val="0"/>
      <w:divBdr>
        <w:top w:val="none" w:sz="0" w:space="0" w:color="auto"/>
        <w:left w:val="none" w:sz="0" w:space="0" w:color="auto"/>
        <w:bottom w:val="none" w:sz="0" w:space="0" w:color="auto"/>
        <w:right w:val="none" w:sz="0" w:space="0" w:color="auto"/>
      </w:divBdr>
      <w:divsChild>
        <w:div w:id="1380670281">
          <w:marLeft w:val="0"/>
          <w:marRight w:val="0"/>
          <w:marTop w:val="0"/>
          <w:marBottom w:val="0"/>
          <w:divBdr>
            <w:top w:val="none" w:sz="0" w:space="0" w:color="auto"/>
            <w:left w:val="none" w:sz="0" w:space="0" w:color="auto"/>
            <w:bottom w:val="none" w:sz="0" w:space="0" w:color="auto"/>
            <w:right w:val="none" w:sz="0" w:space="0" w:color="auto"/>
          </w:divBdr>
        </w:div>
        <w:div w:id="756823030">
          <w:marLeft w:val="0"/>
          <w:marRight w:val="0"/>
          <w:marTop w:val="0"/>
          <w:marBottom w:val="0"/>
          <w:divBdr>
            <w:top w:val="none" w:sz="0" w:space="0" w:color="auto"/>
            <w:left w:val="none" w:sz="0" w:space="0" w:color="auto"/>
            <w:bottom w:val="none" w:sz="0" w:space="0" w:color="auto"/>
            <w:right w:val="none" w:sz="0" w:space="0" w:color="auto"/>
          </w:divBdr>
        </w:div>
        <w:div w:id="1925919531">
          <w:marLeft w:val="0"/>
          <w:marRight w:val="0"/>
          <w:marTop w:val="0"/>
          <w:marBottom w:val="0"/>
          <w:divBdr>
            <w:top w:val="none" w:sz="0" w:space="0" w:color="auto"/>
            <w:left w:val="none" w:sz="0" w:space="0" w:color="auto"/>
            <w:bottom w:val="none" w:sz="0" w:space="0" w:color="auto"/>
            <w:right w:val="none" w:sz="0" w:space="0" w:color="auto"/>
          </w:divBdr>
        </w:div>
      </w:divsChild>
    </w:div>
    <w:div w:id="460655156">
      <w:bodyDiv w:val="1"/>
      <w:marLeft w:val="0"/>
      <w:marRight w:val="0"/>
      <w:marTop w:val="0"/>
      <w:marBottom w:val="0"/>
      <w:divBdr>
        <w:top w:val="none" w:sz="0" w:space="0" w:color="auto"/>
        <w:left w:val="none" w:sz="0" w:space="0" w:color="auto"/>
        <w:bottom w:val="none" w:sz="0" w:space="0" w:color="auto"/>
        <w:right w:val="none" w:sz="0" w:space="0" w:color="auto"/>
      </w:divBdr>
      <w:divsChild>
        <w:div w:id="2134864756">
          <w:marLeft w:val="0"/>
          <w:marRight w:val="0"/>
          <w:marTop w:val="0"/>
          <w:marBottom w:val="0"/>
          <w:divBdr>
            <w:top w:val="none" w:sz="0" w:space="0" w:color="auto"/>
            <w:left w:val="none" w:sz="0" w:space="0" w:color="auto"/>
            <w:bottom w:val="none" w:sz="0" w:space="0" w:color="auto"/>
            <w:right w:val="none" w:sz="0" w:space="0" w:color="auto"/>
          </w:divBdr>
        </w:div>
        <w:div w:id="1369380687">
          <w:marLeft w:val="0"/>
          <w:marRight w:val="0"/>
          <w:marTop w:val="0"/>
          <w:marBottom w:val="0"/>
          <w:divBdr>
            <w:top w:val="none" w:sz="0" w:space="0" w:color="auto"/>
            <w:left w:val="none" w:sz="0" w:space="0" w:color="auto"/>
            <w:bottom w:val="none" w:sz="0" w:space="0" w:color="auto"/>
            <w:right w:val="none" w:sz="0" w:space="0" w:color="auto"/>
          </w:divBdr>
        </w:div>
        <w:div w:id="1264731318">
          <w:marLeft w:val="0"/>
          <w:marRight w:val="0"/>
          <w:marTop w:val="0"/>
          <w:marBottom w:val="0"/>
          <w:divBdr>
            <w:top w:val="none" w:sz="0" w:space="0" w:color="auto"/>
            <w:left w:val="none" w:sz="0" w:space="0" w:color="auto"/>
            <w:bottom w:val="none" w:sz="0" w:space="0" w:color="auto"/>
            <w:right w:val="none" w:sz="0" w:space="0" w:color="auto"/>
          </w:divBdr>
        </w:div>
        <w:div w:id="470437767">
          <w:marLeft w:val="0"/>
          <w:marRight w:val="0"/>
          <w:marTop w:val="0"/>
          <w:marBottom w:val="0"/>
          <w:divBdr>
            <w:top w:val="none" w:sz="0" w:space="0" w:color="auto"/>
            <w:left w:val="none" w:sz="0" w:space="0" w:color="auto"/>
            <w:bottom w:val="none" w:sz="0" w:space="0" w:color="auto"/>
            <w:right w:val="none" w:sz="0" w:space="0" w:color="auto"/>
          </w:divBdr>
        </w:div>
        <w:div w:id="193856050">
          <w:marLeft w:val="0"/>
          <w:marRight w:val="0"/>
          <w:marTop w:val="0"/>
          <w:marBottom w:val="0"/>
          <w:divBdr>
            <w:top w:val="none" w:sz="0" w:space="0" w:color="auto"/>
            <w:left w:val="none" w:sz="0" w:space="0" w:color="auto"/>
            <w:bottom w:val="none" w:sz="0" w:space="0" w:color="auto"/>
            <w:right w:val="none" w:sz="0" w:space="0" w:color="auto"/>
          </w:divBdr>
        </w:div>
        <w:div w:id="1007369317">
          <w:marLeft w:val="0"/>
          <w:marRight w:val="0"/>
          <w:marTop w:val="0"/>
          <w:marBottom w:val="0"/>
          <w:divBdr>
            <w:top w:val="none" w:sz="0" w:space="0" w:color="auto"/>
            <w:left w:val="none" w:sz="0" w:space="0" w:color="auto"/>
            <w:bottom w:val="none" w:sz="0" w:space="0" w:color="auto"/>
            <w:right w:val="none" w:sz="0" w:space="0" w:color="auto"/>
          </w:divBdr>
        </w:div>
      </w:divsChild>
    </w:div>
    <w:div w:id="650212201">
      <w:bodyDiv w:val="1"/>
      <w:marLeft w:val="0"/>
      <w:marRight w:val="0"/>
      <w:marTop w:val="0"/>
      <w:marBottom w:val="0"/>
      <w:divBdr>
        <w:top w:val="none" w:sz="0" w:space="0" w:color="auto"/>
        <w:left w:val="none" w:sz="0" w:space="0" w:color="auto"/>
        <w:bottom w:val="none" w:sz="0" w:space="0" w:color="auto"/>
        <w:right w:val="none" w:sz="0" w:space="0" w:color="auto"/>
      </w:divBdr>
      <w:divsChild>
        <w:div w:id="1533956603">
          <w:marLeft w:val="0"/>
          <w:marRight w:val="0"/>
          <w:marTop w:val="0"/>
          <w:marBottom w:val="0"/>
          <w:divBdr>
            <w:top w:val="none" w:sz="0" w:space="0" w:color="auto"/>
            <w:left w:val="none" w:sz="0" w:space="0" w:color="auto"/>
            <w:bottom w:val="none" w:sz="0" w:space="0" w:color="auto"/>
            <w:right w:val="none" w:sz="0" w:space="0" w:color="auto"/>
          </w:divBdr>
        </w:div>
        <w:div w:id="506210179">
          <w:marLeft w:val="0"/>
          <w:marRight w:val="0"/>
          <w:marTop w:val="0"/>
          <w:marBottom w:val="0"/>
          <w:divBdr>
            <w:top w:val="none" w:sz="0" w:space="0" w:color="auto"/>
            <w:left w:val="none" w:sz="0" w:space="0" w:color="auto"/>
            <w:bottom w:val="none" w:sz="0" w:space="0" w:color="auto"/>
            <w:right w:val="none" w:sz="0" w:space="0" w:color="auto"/>
          </w:divBdr>
        </w:div>
        <w:div w:id="1375885813">
          <w:marLeft w:val="0"/>
          <w:marRight w:val="0"/>
          <w:marTop w:val="0"/>
          <w:marBottom w:val="0"/>
          <w:divBdr>
            <w:top w:val="none" w:sz="0" w:space="0" w:color="auto"/>
            <w:left w:val="none" w:sz="0" w:space="0" w:color="auto"/>
            <w:bottom w:val="none" w:sz="0" w:space="0" w:color="auto"/>
            <w:right w:val="none" w:sz="0" w:space="0" w:color="auto"/>
          </w:divBdr>
        </w:div>
      </w:divsChild>
    </w:div>
    <w:div w:id="819923883">
      <w:bodyDiv w:val="1"/>
      <w:marLeft w:val="0"/>
      <w:marRight w:val="0"/>
      <w:marTop w:val="0"/>
      <w:marBottom w:val="0"/>
      <w:divBdr>
        <w:top w:val="none" w:sz="0" w:space="0" w:color="auto"/>
        <w:left w:val="none" w:sz="0" w:space="0" w:color="auto"/>
        <w:bottom w:val="none" w:sz="0" w:space="0" w:color="auto"/>
        <w:right w:val="none" w:sz="0" w:space="0" w:color="auto"/>
      </w:divBdr>
      <w:divsChild>
        <w:div w:id="825123435">
          <w:marLeft w:val="0"/>
          <w:marRight w:val="0"/>
          <w:marTop w:val="0"/>
          <w:marBottom w:val="0"/>
          <w:divBdr>
            <w:top w:val="none" w:sz="0" w:space="0" w:color="auto"/>
            <w:left w:val="none" w:sz="0" w:space="0" w:color="auto"/>
            <w:bottom w:val="none" w:sz="0" w:space="0" w:color="auto"/>
            <w:right w:val="none" w:sz="0" w:space="0" w:color="auto"/>
          </w:divBdr>
        </w:div>
        <w:div w:id="1461995326">
          <w:marLeft w:val="0"/>
          <w:marRight w:val="0"/>
          <w:marTop w:val="0"/>
          <w:marBottom w:val="0"/>
          <w:divBdr>
            <w:top w:val="none" w:sz="0" w:space="0" w:color="auto"/>
            <w:left w:val="none" w:sz="0" w:space="0" w:color="auto"/>
            <w:bottom w:val="none" w:sz="0" w:space="0" w:color="auto"/>
            <w:right w:val="none" w:sz="0" w:space="0" w:color="auto"/>
          </w:divBdr>
        </w:div>
        <w:div w:id="1041706706">
          <w:marLeft w:val="0"/>
          <w:marRight w:val="0"/>
          <w:marTop w:val="0"/>
          <w:marBottom w:val="0"/>
          <w:divBdr>
            <w:top w:val="none" w:sz="0" w:space="0" w:color="auto"/>
            <w:left w:val="none" w:sz="0" w:space="0" w:color="auto"/>
            <w:bottom w:val="none" w:sz="0" w:space="0" w:color="auto"/>
            <w:right w:val="none" w:sz="0" w:space="0" w:color="auto"/>
          </w:divBdr>
        </w:div>
        <w:div w:id="1189024584">
          <w:marLeft w:val="0"/>
          <w:marRight w:val="0"/>
          <w:marTop w:val="0"/>
          <w:marBottom w:val="0"/>
          <w:divBdr>
            <w:top w:val="none" w:sz="0" w:space="0" w:color="auto"/>
            <w:left w:val="none" w:sz="0" w:space="0" w:color="auto"/>
            <w:bottom w:val="none" w:sz="0" w:space="0" w:color="auto"/>
            <w:right w:val="none" w:sz="0" w:space="0" w:color="auto"/>
          </w:divBdr>
        </w:div>
      </w:divsChild>
    </w:div>
    <w:div w:id="1154179301">
      <w:bodyDiv w:val="1"/>
      <w:marLeft w:val="0"/>
      <w:marRight w:val="0"/>
      <w:marTop w:val="0"/>
      <w:marBottom w:val="0"/>
      <w:divBdr>
        <w:top w:val="none" w:sz="0" w:space="0" w:color="auto"/>
        <w:left w:val="none" w:sz="0" w:space="0" w:color="auto"/>
        <w:bottom w:val="none" w:sz="0" w:space="0" w:color="auto"/>
        <w:right w:val="none" w:sz="0" w:space="0" w:color="auto"/>
      </w:divBdr>
      <w:divsChild>
        <w:div w:id="1062364905">
          <w:marLeft w:val="0"/>
          <w:marRight w:val="0"/>
          <w:marTop w:val="0"/>
          <w:marBottom w:val="0"/>
          <w:divBdr>
            <w:top w:val="none" w:sz="0" w:space="0" w:color="auto"/>
            <w:left w:val="none" w:sz="0" w:space="0" w:color="auto"/>
            <w:bottom w:val="none" w:sz="0" w:space="0" w:color="auto"/>
            <w:right w:val="none" w:sz="0" w:space="0" w:color="auto"/>
          </w:divBdr>
        </w:div>
        <w:div w:id="436145544">
          <w:marLeft w:val="0"/>
          <w:marRight w:val="0"/>
          <w:marTop w:val="0"/>
          <w:marBottom w:val="0"/>
          <w:divBdr>
            <w:top w:val="none" w:sz="0" w:space="0" w:color="auto"/>
            <w:left w:val="none" w:sz="0" w:space="0" w:color="auto"/>
            <w:bottom w:val="none" w:sz="0" w:space="0" w:color="auto"/>
            <w:right w:val="none" w:sz="0" w:space="0" w:color="auto"/>
          </w:divBdr>
        </w:div>
        <w:div w:id="710110340">
          <w:marLeft w:val="0"/>
          <w:marRight w:val="0"/>
          <w:marTop w:val="0"/>
          <w:marBottom w:val="0"/>
          <w:divBdr>
            <w:top w:val="none" w:sz="0" w:space="0" w:color="auto"/>
            <w:left w:val="none" w:sz="0" w:space="0" w:color="auto"/>
            <w:bottom w:val="none" w:sz="0" w:space="0" w:color="auto"/>
            <w:right w:val="none" w:sz="0" w:space="0" w:color="auto"/>
          </w:divBdr>
        </w:div>
        <w:div w:id="465900362">
          <w:marLeft w:val="0"/>
          <w:marRight w:val="0"/>
          <w:marTop w:val="0"/>
          <w:marBottom w:val="0"/>
          <w:divBdr>
            <w:top w:val="none" w:sz="0" w:space="0" w:color="auto"/>
            <w:left w:val="none" w:sz="0" w:space="0" w:color="auto"/>
            <w:bottom w:val="none" w:sz="0" w:space="0" w:color="auto"/>
            <w:right w:val="none" w:sz="0" w:space="0" w:color="auto"/>
          </w:divBdr>
        </w:div>
        <w:div w:id="101145671">
          <w:marLeft w:val="0"/>
          <w:marRight w:val="0"/>
          <w:marTop w:val="0"/>
          <w:marBottom w:val="0"/>
          <w:divBdr>
            <w:top w:val="none" w:sz="0" w:space="0" w:color="auto"/>
            <w:left w:val="none" w:sz="0" w:space="0" w:color="auto"/>
            <w:bottom w:val="none" w:sz="0" w:space="0" w:color="auto"/>
            <w:right w:val="none" w:sz="0" w:space="0" w:color="auto"/>
          </w:divBdr>
        </w:div>
        <w:div w:id="882524873">
          <w:marLeft w:val="0"/>
          <w:marRight w:val="0"/>
          <w:marTop w:val="0"/>
          <w:marBottom w:val="0"/>
          <w:divBdr>
            <w:top w:val="none" w:sz="0" w:space="0" w:color="auto"/>
            <w:left w:val="none" w:sz="0" w:space="0" w:color="auto"/>
            <w:bottom w:val="none" w:sz="0" w:space="0" w:color="auto"/>
            <w:right w:val="none" w:sz="0" w:space="0" w:color="auto"/>
          </w:divBdr>
        </w:div>
        <w:div w:id="745809022">
          <w:marLeft w:val="0"/>
          <w:marRight w:val="0"/>
          <w:marTop w:val="0"/>
          <w:marBottom w:val="0"/>
          <w:divBdr>
            <w:top w:val="none" w:sz="0" w:space="0" w:color="auto"/>
            <w:left w:val="none" w:sz="0" w:space="0" w:color="auto"/>
            <w:bottom w:val="none" w:sz="0" w:space="0" w:color="auto"/>
            <w:right w:val="none" w:sz="0" w:space="0" w:color="auto"/>
          </w:divBdr>
        </w:div>
        <w:div w:id="269747876">
          <w:marLeft w:val="0"/>
          <w:marRight w:val="0"/>
          <w:marTop w:val="0"/>
          <w:marBottom w:val="0"/>
          <w:divBdr>
            <w:top w:val="none" w:sz="0" w:space="0" w:color="auto"/>
            <w:left w:val="none" w:sz="0" w:space="0" w:color="auto"/>
            <w:bottom w:val="none" w:sz="0" w:space="0" w:color="auto"/>
            <w:right w:val="none" w:sz="0" w:space="0" w:color="auto"/>
          </w:divBdr>
        </w:div>
      </w:divsChild>
    </w:div>
    <w:div w:id="1424957141">
      <w:bodyDiv w:val="1"/>
      <w:marLeft w:val="0"/>
      <w:marRight w:val="0"/>
      <w:marTop w:val="0"/>
      <w:marBottom w:val="0"/>
      <w:divBdr>
        <w:top w:val="none" w:sz="0" w:space="0" w:color="auto"/>
        <w:left w:val="none" w:sz="0" w:space="0" w:color="auto"/>
        <w:bottom w:val="none" w:sz="0" w:space="0" w:color="auto"/>
        <w:right w:val="none" w:sz="0" w:space="0" w:color="auto"/>
      </w:divBdr>
      <w:divsChild>
        <w:div w:id="1138257141">
          <w:marLeft w:val="0"/>
          <w:marRight w:val="0"/>
          <w:marTop w:val="0"/>
          <w:marBottom w:val="0"/>
          <w:divBdr>
            <w:top w:val="none" w:sz="0" w:space="0" w:color="auto"/>
            <w:left w:val="none" w:sz="0" w:space="0" w:color="auto"/>
            <w:bottom w:val="none" w:sz="0" w:space="0" w:color="auto"/>
            <w:right w:val="none" w:sz="0" w:space="0" w:color="auto"/>
          </w:divBdr>
        </w:div>
        <w:div w:id="664551996">
          <w:marLeft w:val="0"/>
          <w:marRight w:val="0"/>
          <w:marTop w:val="0"/>
          <w:marBottom w:val="0"/>
          <w:divBdr>
            <w:top w:val="none" w:sz="0" w:space="0" w:color="auto"/>
            <w:left w:val="none" w:sz="0" w:space="0" w:color="auto"/>
            <w:bottom w:val="none" w:sz="0" w:space="0" w:color="auto"/>
            <w:right w:val="none" w:sz="0" w:space="0" w:color="auto"/>
          </w:divBdr>
        </w:div>
        <w:div w:id="341512172">
          <w:marLeft w:val="0"/>
          <w:marRight w:val="0"/>
          <w:marTop w:val="0"/>
          <w:marBottom w:val="0"/>
          <w:divBdr>
            <w:top w:val="none" w:sz="0" w:space="0" w:color="auto"/>
            <w:left w:val="none" w:sz="0" w:space="0" w:color="auto"/>
            <w:bottom w:val="none" w:sz="0" w:space="0" w:color="auto"/>
            <w:right w:val="none" w:sz="0" w:space="0" w:color="auto"/>
          </w:divBdr>
        </w:div>
        <w:div w:id="1410735432">
          <w:marLeft w:val="0"/>
          <w:marRight w:val="0"/>
          <w:marTop w:val="0"/>
          <w:marBottom w:val="0"/>
          <w:divBdr>
            <w:top w:val="none" w:sz="0" w:space="0" w:color="auto"/>
            <w:left w:val="none" w:sz="0" w:space="0" w:color="auto"/>
            <w:bottom w:val="none" w:sz="0" w:space="0" w:color="auto"/>
            <w:right w:val="none" w:sz="0" w:space="0" w:color="auto"/>
          </w:divBdr>
        </w:div>
      </w:divsChild>
    </w:div>
    <w:div w:id="1453554360">
      <w:bodyDiv w:val="1"/>
      <w:marLeft w:val="0"/>
      <w:marRight w:val="0"/>
      <w:marTop w:val="0"/>
      <w:marBottom w:val="0"/>
      <w:divBdr>
        <w:top w:val="none" w:sz="0" w:space="0" w:color="auto"/>
        <w:left w:val="none" w:sz="0" w:space="0" w:color="auto"/>
        <w:bottom w:val="none" w:sz="0" w:space="0" w:color="auto"/>
        <w:right w:val="none" w:sz="0" w:space="0" w:color="auto"/>
      </w:divBdr>
      <w:divsChild>
        <w:div w:id="931352619">
          <w:marLeft w:val="0"/>
          <w:marRight w:val="0"/>
          <w:marTop w:val="0"/>
          <w:marBottom w:val="0"/>
          <w:divBdr>
            <w:top w:val="none" w:sz="0" w:space="0" w:color="auto"/>
            <w:left w:val="none" w:sz="0" w:space="0" w:color="auto"/>
            <w:bottom w:val="none" w:sz="0" w:space="0" w:color="auto"/>
            <w:right w:val="none" w:sz="0" w:space="0" w:color="auto"/>
          </w:divBdr>
        </w:div>
        <w:div w:id="305597349">
          <w:marLeft w:val="0"/>
          <w:marRight w:val="0"/>
          <w:marTop w:val="0"/>
          <w:marBottom w:val="0"/>
          <w:divBdr>
            <w:top w:val="none" w:sz="0" w:space="0" w:color="auto"/>
            <w:left w:val="none" w:sz="0" w:space="0" w:color="auto"/>
            <w:bottom w:val="none" w:sz="0" w:space="0" w:color="auto"/>
            <w:right w:val="none" w:sz="0" w:space="0" w:color="auto"/>
          </w:divBdr>
        </w:div>
        <w:div w:id="1023090698">
          <w:marLeft w:val="0"/>
          <w:marRight w:val="0"/>
          <w:marTop w:val="0"/>
          <w:marBottom w:val="0"/>
          <w:divBdr>
            <w:top w:val="none" w:sz="0" w:space="0" w:color="auto"/>
            <w:left w:val="none" w:sz="0" w:space="0" w:color="auto"/>
            <w:bottom w:val="none" w:sz="0" w:space="0" w:color="auto"/>
            <w:right w:val="none" w:sz="0" w:space="0" w:color="auto"/>
          </w:divBdr>
        </w:div>
        <w:div w:id="1032996257">
          <w:marLeft w:val="0"/>
          <w:marRight w:val="0"/>
          <w:marTop w:val="0"/>
          <w:marBottom w:val="0"/>
          <w:divBdr>
            <w:top w:val="none" w:sz="0" w:space="0" w:color="auto"/>
            <w:left w:val="none" w:sz="0" w:space="0" w:color="auto"/>
            <w:bottom w:val="none" w:sz="0" w:space="0" w:color="auto"/>
            <w:right w:val="none" w:sz="0" w:space="0" w:color="auto"/>
          </w:divBdr>
        </w:div>
      </w:divsChild>
    </w:div>
    <w:div w:id="1561748346">
      <w:bodyDiv w:val="1"/>
      <w:marLeft w:val="0"/>
      <w:marRight w:val="0"/>
      <w:marTop w:val="0"/>
      <w:marBottom w:val="0"/>
      <w:divBdr>
        <w:top w:val="none" w:sz="0" w:space="0" w:color="auto"/>
        <w:left w:val="none" w:sz="0" w:space="0" w:color="auto"/>
        <w:bottom w:val="none" w:sz="0" w:space="0" w:color="auto"/>
        <w:right w:val="none" w:sz="0" w:space="0" w:color="auto"/>
      </w:divBdr>
      <w:divsChild>
        <w:div w:id="20788974">
          <w:marLeft w:val="0"/>
          <w:marRight w:val="0"/>
          <w:marTop w:val="0"/>
          <w:marBottom w:val="0"/>
          <w:divBdr>
            <w:top w:val="none" w:sz="0" w:space="0" w:color="auto"/>
            <w:left w:val="none" w:sz="0" w:space="0" w:color="auto"/>
            <w:bottom w:val="none" w:sz="0" w:space="0" w:color="auto"/>
            <w:right w:val="none" w:sz="0" w:space="0" w:color="auto"/>
          </w:divBdr>
        </w:div>
        <w:div w:id="1928727805">
          <w:marLeft w:val="0"/>
          <w:marRight w:val="0"/>
          <w:marTop w:val="0"/>
          <w:marBottom w:val="0"/>
          <w:divBdr>
            <w:top w:val="none" w:sz="0" w:space="0" w:color="auto"/>
            <w:left w:val="none" w:sz="0" w:space="0" w:color="auto"/>
            <w:bottom w:val="none" w:sz="0" w:space="0" w:color="auto"/>
            <w:right w:val="none" w:sz="0" w:space="0" w:color="auto"/>
          </w:divBdr>
        </w:div>
        <w:div w:id="1662658370">
          <w:marLeft w:val="0"/>
          <w:marRight w:val="0"/>
          <w:marTop w:val="0"/>
          <w:marBottom w:val="0"/>
          <w:divBdr>
            <w:top w:val="none" w:sz="0" w:space="0" w:color="auto"/>
            <w:left w:val="none" w:sz="0" w:space="0" w:color="auto"/>
            <w:bottom w:val="none" w:sz="0" w:space="0" w:color="auto"/>
            <w:right w:val="none" w:sz="0" w:space="0" w:color="auto"/>
          </w:divBdr>
        </w:div>
        <w:div w:id="781416115">
          <w:marLeft w:val="0"/>
          <w:marRight w:val="0"/>
          <w:marTop w:val="0"/>
          <w:marBottom w:val="0"/>
          <w:divBdr>
            <w:top w:val="none" w:sz="0" w:space="0" w:color="auto"/>
            <w:left w:val="none" w:sz="0" w:space="0" w:color="auto"/>
            <w:bottom w:val="none" w:sz="0" w:space="0" w:color="auto"/>
            <w:right w:val="none" w:sz="0" w:space="0" w:color="auto"/>
          </w:divBdr>
        </w:div>
      </w:divsChild>
    </w:div>
    <w:div w:id="1978949645">
      <w:bodyDiv w:val="1"/>
      <w:marLeft w:val="0"/>
      <w:marRight w:val="0"/>
      <w:marTop w:val="0"/>
      <w:marBottom w:val="0"/>
      <w:divBdr>
        <w:top w:val="none" w:sz="0" w:space="0" w:color="auto"/>
        <w:left w:val="none" w:sz="0" w:space="0" w:color="auto"/>
        <w:bottom w:val="none" w:sz="0" w:space="0" w:color="auto"/>
        <w:right w:val="none" w:sz="0" w:space="0" w:color="auto"/>
      </w:divBdr>
      <w:divsChild>
        <w:div w:id="2001884072">
          <w:marLeft w:val="0"/>
          <w:marRight w:val="0"/>
          <w:marTop w:val="0"/>
          <w:marBottom w:val="0"/>
          <w:divBdr>
            <w:top w:val="none" w:sz="0" w:space="0" w:color="auto"/>
            <w:left w:val="none" w:sz="0" w:space="0" w:color="auto"/>
            <w:bottom w:val="none" w:sz="0" w:space="0" w:color="auto"/>
            <w:right w:val="none" w:sz="0" w:space="0" w:color="auto"/>
          </w:divBdr>
        </w:div>
        <w:div w:id="2099280875">
          <w:marLeft w:val="0"/>
          <w:marRight w:val="0"/>
          <w:marTop w:val="0"/>
          <w:marBottom w:val="0"/>
          <w:divBdr>
            <w:top w:val="none" w:sz="0" w:space="0" w:color="auto"/>
            <w:left w:val="none" w:sz="0" w:space="0" w:color="auto"/>
            <w:bottom w:val="none" w:sz="0" w:space="0" w:color="auto"/>
            <w:right w:val="none" w:sz="0" w:space="0" w:color="auto"/>
          </w:divBdr>
        </w:div>
        <w:div w:id="454520339">
          <w:marLeft w:val="0"/>
          <w:marRight w:val="0"/>
          <w:marTop w:val="0"/>
          <w:marBottom w:val="0"/>
          <w:divBdr>
            <w:top w:val="none" w:sz="0" w:space="0" w:color="auto"/>
            <w:left w:val="none" w:sz="0" w:space="0" w:color="auto"/>
            <w:bottom w:val="none" w:sz="0" w:space="0" w:color="auto"/>
            <w:right w:val="none" w:sz="0" w:space="0" w:color="auto"/>
          </w:divBdr>
        </w:div>
        <w:div w:id="146867270">
          <w:marLeft w:val="0"/>
          <w:marRight w:val="0"/>
          <w:marTop w:val="0"/>
          <w:marBottom w:val="0"/>
          <w:divBdr>
            <w:top w:val="none" w:sz="0" w:space="0" w:color="auto"/>
            <w:left w:val="none" w:sz="0" w:space="0" w:color="auto"/>
            <w:bottom w:val="none" w:sz="0" w:space="0" w:color="auto"/>
            <w:right w:val="none" w:sz="0" w:space="0" w:color="auto"/>
          </w:divBdr>
        </w:div>
        <w:div w:id="90779146">
          <w:marLeft w:val="0"/>
          <w:marRight w:val="0"/>
          <w:marTop w:val="0"/>
          <w:marBottom w:val="0"/>
          <w:divBdr>
            <w:top w:val="none" w:sz="0" w:space="0" w:color="auto"/>
            <w:left w:val="none" w:sz="0" w:space="0" w:color="auto"/>
            <w:bottom w:val="none" w:sz="0" w:space="0" w:color="auto"/>
            <w:right w:val="none" w:sz="0" w:space="0" w:color="auto"/>
          </w:divBdr>
        </w:div>
        <w:div w:id="1048913419">
          <w:marLeft w:val="0"/>
          <w:marRight w:val="0"/>
          <w:marTop w:val="0"/>
          <w:marBottom w:val="0"/>
          <w:divBdr>
            <w:top w:val="none" w:sz="0" w:space="0" w:color="auto"/>
            <w:left w:val="none" w:sz="0" w:space="0" w:color="auto"/>
            <w:bottom w:val="none" w:sz="0" w:space="0" w:color="auto"/>
            <w:right w:val="none" w:sz="0" w:space="0" w:color="auto"/>
          </w:divBdr>
        </w:div>
      </w:divsChild>
    </w:div>
    <w:div w:id="2047172864">
      <w:bodyDiv w:val="1"/>
      <w:marLeft w:val="0"/>
      <w:marRight w:val="0"/>
      <w:marTop w:val="0"/>
      <w:marBottom w:val="0"/>
      <w:divBdr>
        <w:top w:val="none" w:sz="0" w:space="0" w:color="auto"/>
        <w:left w:val="none" w:sz="0" w:space="0" w:color="auto"/>
        <w:bottom w:val="none" w:sz="0" w:space="0" w:color="auto"/>
        <w:right w:val="none" w:sz="0" w:space="0" w:color="auto"/>
      </w:divBdr>
      <w:divsChild>
        <w:div w:id="518471661">
          <w:marLeft w:val="0"/>
          <w:marRight w:val="0"/>
          <w:marTop w:val="0"/>
          <w:marBottom w:val="0"/>
          <w:divBdr>
            <w:top w:val="none" w:sz="0" w:space="0" w:color="auto"/>
            <w:left w:val="none" w:sz="0" w:space="0" w:color="auto"/>
            <w:bottom w:val="none" w:sz="0" w:space="0" w:color="auto"/>
            <w:right w:val="none" w:sz="0" w:space="0" w:color="auto"/>
          </w:divBdr>
        </w:div>
        <w:div w:id="2004551599">
          <w:marLeft w:val="0"/>
          <w:marRight w:val="0"/>
          <w:marTop w:val="0"/>
          <w:marBottom w:val="0"/>
          <w:divBdr>
            <w:top w:val="none" w:sz="0" w:space="0" w:color="auto"/>
            <w:left w:val="none" w:sz="0" w:space="0" w:color="auto"/>
            <w:bottom w:val="none" w:sz="0" w:space="0" w:color="auto"/>
            <w:right w:val="none" w:sz="0" w:space="0" w:color="auto"/>
          </w:divBdr>
        </w:div>
        <w:div w:id="1149975411">
          <w:marLeft w:val="0"/>
          <w:marRight w:val="0"/>
          <w:marTop w:val="0"/>
          <w:marBottom w:val="0"/>
          <w:divBdr>
            <w:top w:val="none" w:sz="0" w:space="0" w:color="auto"/>
            <w:left w:val="none" w:sz="0" w:space="0" w:color="auto"/>
            <w:bottom w:val="none" w:sz="0" w:space="0" w:color="auto"/>
            <w:right w:val="none" w:sz="0" w:space="0" w:color="auto"/>
          </w:divBdr>
        </w:div>
        <w:div w:id="1405101164">
          <w:marLeft w:val="0"/>
          <w:marRight w:val="0"/>
          <w:marTop w:val="0"/>
          <w:marBottom w:val="0"/>
          <w:divBdr>
            <w:top w:val="none" w:sz="0" w:space="0" w:color="auto"/>
            <w:left w:val="none" w:sz="0" w:space="0" w:color="auto"/>
            <w:bottom w:val="none" w:sz="0" w:space="0" w:color="auto"/>
            <w:right w:val="none" w:sz="0" w:space="0" w:color="auto"/>
          </w:divBdr>
        </w:div>
        <w:div w:id="1664116223">
          <w:marLeft w:val="0"/>
          <w:marRight w:val="0"/>
          <w:marTop w:val="0"/>
          <w:marBottom w:val="0"/>
          <w:divBdr>
            <w:top w:val="none" w:sz="0" w:space="0" w:color="auto"/>
            <w:left w:val="none" w:sz="0" w:space="0" w:color="auto"/>
            <w:bottom w:val="none" w:sz="0" w:space="0" w:color="auto"/>
            <w:right w:val="none" w:sz="0" w:space="0" w:color="auto"/>
          </w:divBdr>
        </w:div>
        <w:div w:id="4022769">
          <w:marLeft w:val="0"/>
          <w:marRight w:val="0"/>
          <w:marTop w:val="0"/>
          <w:marBottom w:val="0"/>
          <w:divBdr>
            <w:top w:val="none" w:sz="0" w:space="0" w:color="auto"/>
            <w:left w:val="none" w:sz="0" w:space="0" w:color="auto"/>
            <w:bottom w:val="none" w:sz="0" w:space="0" w:color="auto"/>
            <w:right w:val="none" w:sz="0" w:space="0" w:color="auto"/>
          </w:divBdr>
        </w:div>
        <w:div w:id="1972588577">
          <w:marLeft w:val="0"/>
          <w:marRight w:val="0"/>
          <w:marTop w:val="0"/>
          <w:marBottom w:val="0"/>
          <w:divBdr>
            <w:top w:val="none" w:sz="0" w:space="0" w:color="auto"/>
            <w:left w:val="none" w:sz="0" w:space="0" w:color="auto"/>
            <w:bottom w:val="none" w:sz="0" w:space="0" w:color="auto"/>
            <w:right w:val="none" w:sz="0" w:space="0" w:color="auto"/>
          </w:divBdr>
        </w:div>
        <w:div w:id="642276850">
          <w:marLeft w:val="0"/>
          <w:marRight w:val="0"/>
          <w:marTop w:val="0"/>
          <w:marBottom w:val="0"/>
          <w:divBdr>
            <w:top w:val="none" w:sz="0" w:space="0" w:color="auto"/>
            <w:left w:val="none" w:sz="0" w:space="0" w:color="auto"/>
            <w:bottom w:val="none" w:sz="0" w:space="0" w:color="auto"/>
            <w:right w:val="none" w:sz="0" w:space="0" w:color="auto"/>
          </w:divBdr>
        </w:div>
        <w:div w:id="660893299">
          <w:marLeft w:val="0"/>
          <w:marRight w:val="0"/>
          <w:marTop w:val="0"/>
          <w:marBottom w:val="0"/>
          <w:divBdr>
            <w:top w:val="none" w:sz="0" w:space="0" w:color="auto"/>
            <w:left w:val="none" w:sz="0" w:space="0" w:color="auto"/>
            <w:bottom w:val="none" w:sz="0" w:space="0" w:color="auto"/>
            <w:right w:val="none" w:sz="0" w:space="0" w:color="auto"/>
          </w:divBdr>
        </w:div>
        <w:div w:id="1354187526">
          <w:marLeft w:val="0"/>
          <w:marRight w:val="0"/>
          <w:marTop w:val="0"/>
          <w:marBottom w:val="0"/>
          <w:divBdr>
            <w:top w:val="none" w:sz="0" w:space="0" w:color="auto"/>
            <w:left w:val="none" w:sz="0" w:space="0" w:color="auto"/>
            <w:bottom w:val="none" w:sz="0" w:space="0" w:color="auto"/>
            <w:right w:val="none" w:sz="0" w:space="0" w:color="auto"/>
          </w:divBdr>
        </w:div>
        <w:div w:id="1345783163">
          <w:marLeft w:val="0"/>
          <w:marRight w:val="0"/>
          <w:marTop w:val="0"/>
          <w:marBottom w:val="0"/>
          <w:divBdr>
            <w:top w:val="none" w:sz="0" w:space="0" w:color="auto"/>
            <w:left w:val="none" w:sz="0" w:space="0" w:color="auto"/>
            <w:bottom w:val="none" w:sz="0" w:space="0" w:color="auto"/>
            <w:right w:val="none" w:sz="0" w:space="0" w:color="auto"/>
          </w:divBdr>
        </w:div>
        <w:div w:id="1329333174">
          <w:marLeft w:val="0"/>
          <w:marRight w:val="0"/>
          <w:marTop w:val="0"/>
          <w:marBottom w:val="0"/>
          <w:divBdr>
            <w:top w:val="none" w:sz="0" w:space="0" w:color="auto"/>
            <w:left w:val="none" w:sz="0" w:space="0" w:color="auto"/>
            <w:bottom w:val="none" w:sz="0" w:space="0" w:color="auto"/>
            <w:right w:val="none" w:sz="0" w:space="0" w:color="auto"/>
          </w:divBdr>
        </w:div>
        <w:div w:id="1890409960">
          <w:marLeft w:val="0"/>
          <w:marRight w:val="0"/>
          <w:marTop w:val="0"/>
          <w:marBottom w:val="0"/>
          <w:divBdr>
            <w:top w:val="none" w:sz="0" w:space="0" w:color="auto"/>
            <w:left w:val="none" w:sz="0" w:space="0" w:color="auto"/>
            <w:bottom w:val="none" w:sz="0" w:space="0" w:color="auto"/>
            <w:right w:val="none" w:sz="0" w:space="0" w:color="auto"/>
          </w:divBdr>
        </w:div>
        <w:div w:id="989944364">
          <w:marLeft w:val="0"/>
          <w:marRight w:val="0"/>
          <w:marTop w:val="0"/>
          <w:marBottom w:val="0"/>
          <w:divBdr>
            <w:top w:val="none" w:sz="0" w:space="0" w:color="auto"/>
            <w:left w:val="none" w:sz="0" w:space="0" w:color="auto"/>
            <w:bottom w:val="none" w:sz="0" w:space="0" w:color="auto"/>
            <w:right w:val="none" w:sz="0" w:space="0" w:color="auto"/>
          </w:divBdr>
        </w:div>
        <w:div w:id="1840777314">
          <w:marLeft w:val="0"/>
          <w:marRight w:val="0"/>
          <w:marTop w:val="0"/>
          <w:marBottom w:val="0"/>
          <w:divBdr>
            <w:top w:val="none" w:sz="0" w:space="0" w:color="auto"/>
            <w:left w:val="none" w:sz="0" w:space="0" w:color="auto"/>
            <w:bottom w:val="none" w:sz="0" w:space="0" w:color="auto"/>
            <w:right w:val="none" w:sz="0" w:space="0" w:color="auto"/>
          </w:divBdr>
        </w:div>
        <w:div w:id="3857620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wes.org/advisor-blog/studying-criminal-justice-in-the-us/" TargetMode="External"/><Relationship Id="rId18" Type="http://schemas.openxmlformats.org/officeDocument/2006/relationships/hyperlink" Target="https://www.justice.gov/olp/forensic-science" TargetMode="External"/><Relationship Id="rId26" Type="http://schemas.openxmlformats.org/officeDocument/2006/relationships/hyperlink" Target="file:///C:/Users/sharris/Downloads/SSRN-id2674028.pdf" TargetMode="External"/><Relationship Id="rId39" Type="http://schemas.openxmlformats.org/officeDocument/2006/relationships/hyperlink" Target="http://www.oscn.net/applications/oscn/DeliverDocument.asp?CiteID=20287" TargetMode="External"/><Relationship Id="rId3" Type="http://schemas.openxmlformats.org/officeDocument/2006/relationships/styles" Target="styles.xml"/><Relationship Id="rId21" Type="http://schemas.openxmlformats.org/officeDocument/2006/relationships/hyperlink" Target="https://criminal-justice.laws.com/forensic-science" TargetMode="External"/><Relationship Id="rId34" Type="http://schemas.openxmlformats.org/officeDocument/2006/relationships/hyperlink" Target="https://johnhoward.ca/wp-content/uploads/2016/12/1987-KE-9355-A73-C33-1987-J.R.-Omer-Archambault.pdf" TargetMode="External"/><Relationship Id="rId42" Type="http://schemas.openxmlformats.org/officeDocument/2006/relationships/hyperlink" Target="http://www.oscn.net/applications/oscn/deliverdocument.asp?box1=106&amp;box2=U.S.&amp;box3=360" TargetMode="External"/><Relationship Id="rId47" Type="http://schemas.openxmlformats.org/officeDocument/2006/relationships/hyperlink" Target="https://www.phillytrib.com/news/tribune-exclusive-biden-calls-for-criminal-justice-reforms-including-changes-to-qualified-immunity/article_8a40b174-a53c-11ea-8b65-cb0dd79fd1d2.html" TargetMode="External"/><Relationship Id="rId50" Type="http://schemas.openxmlformats.org/officeDocument/2006/relationships/fontTable" Target="fontTable.xml"/><Relationship Id="rId7" Type="http://schemas.openxmlformats.org/officeDocument/2006/relationships/hyperlink" Target="https://www.justice.gov/osg/brief/riley-v-kennedy-amicus-merits" TargetMode="External"/><Relationship Id="rId12" Type="http://schemas.openxmlformats.org/officeDocument/2006/relationships/hyperlink" Target="https://www.txccri.org/single-post/2020/02/26/Testimony-Senate-Committee-on-State-Affairs---Personal-Property-Protections" TargetMode="External"/><Relationship Id="rId17" Type="http://schemas.openxmlformats.org/officeDocument/2006/relationships/hyperlink" Target="http://ky.findacase.com/research/wfrmDocViewer.aspx/xq/fac.19521113_0040095.KY.htm/qx" TargetMode="External"/><Relationship Id="rId25" Type="http://schemas.openxmlformats.org/officeDocument/2006/relationships/hyperlink" Target="http://cjpp.law.harvard.edu/forensics" TargetMode="External"/><Relationship Id="rId33" Type="http://schemas.openxmlformats.org/officeDocument/2006/relationships/hyperlink" Target="http://www.ca5.uscourts.gov/opinions/pub/11/11-20622-CR0.wpd.pdf" TargetMode="External"/><Relationship Id="rId38" Type="http://schemas.openxmlformats.org/officeDocument/2006/relationships/hyperlink" Target="https://www.law.cornell.edu/uscode/text/42/4914" TargetMode="External"/><Relationship Id="rId46" Type="http://schemas.openxmlformats.org/officeDocument/2006/relationships/hyperlink" Target="https://www.mcgeorge.edu/documents/Publications/2Vol464Zimring.pdf" TargetMode="External"/><Relationship Id="rId2" Type="http://schemas.openxmlformats.org/officeDocument/2006/relationships/numbering" Target="numbering.xml"/><Relationship Id="rId16" Type="http://schemas.openxmlformats.org/officeDocument/2006/relationships/hyperlink" Target="https://repository.law.umich.edu/mjlr/vol52/iss3/4" TargetMode="External"/><Relationship Id="rId20" Type="http://schemas.openxmlformats.org/officeDocument/2006/relationships/hyperlink" Target="https://nij.ojp.gov/topics/forensics" TargetMode="External"/><Relationship Id="rId29" Type="http://schemas.openxmlformats.org/officeDocument/2006/relationships/hyperlink" Target="https://www.thoughtco.com/why-does-grammar-matter-1691029" TargetMode="External"/><Relationship Id="rId41" Type="http://schemas.openxmlformats.org/officeDocument/2006/relationships/hyperlink" Target="http://www.oscn.net/applications/oscn/DeliverDocument.asp?CiteID=20287" TargetMode="External"/><Relationship Id="rId1" Type="http://schemas.openxmlformats.org/officeDocument/2006/relationships/customXml" Target="../customXml/item1.xml"/><Relationship Id="rId6" Type="http://schemas.openxmlformats.org/officeDocument/2006/relationships/hyperlink" Target="http://www.esjpc.com/_pdf/MontgomeryCounty_v_AnchorInn.pdf" TargetMode="External"/><Relationship Id="rId11" Type="http://schemas.openxmlformats.org/officeDocument/2006/relationships/hyperlink" Target="https://www.gordondefense.com/compassionate-release-3582/" TargetMode="External"/><Relationship Id="rId24" Type="http://schemas.openxmlformats.org/officeDocument/2006/relationships/hyperlink" Target="https://cifsjustice.org/about-cifs/reform-in-forensic-sciences/" TargetMode="External"/><Relationship Id="rId32" Type="http://schemas.openxmlformats.org/officeDocument/2006/relationships/hyperlink" Target="https://www.mlmlegal.com/legal-cases/Colorado_v_Blair.php" TargetMode="External"/><Relationship Id="rId37" Type="http://schemas.openxmlformats.org/officeDocument/2006/relationships/hyperlink" Target="https://thehill.com/opinion/criminal-justice/473659-america-has-too-many-criminal-laws" TargetMode="External"/><Relationship Id="rId40" Type="http://schemas.openxmlformats.org/officeDocument/2006/relationships/hyperlink" Target="http://www.oscn.net/applications/oscn/deliverdocument.asp?box1=802&amp;box2=P.2D&amp;box3=813" TargetMode="External"/><Relationship Id="rId45" Type="http://schemas.openxmlformats.org/officeDocument/2006/relationships/hyperlink" Target="http://rightoncrime.com/2016/07/right-on-crime-statement-on-law-enforcement-and-gop-embrace-of-conservative-criminal-justice-reform/" TargetMode="External"/><Relationship Id="rId5" Type="http://schemas.openxmlformats.org/officeDocument/2006/relationships/webSettings" Target="webSettings.xml"/><Relationship Id="rId15" Type="http://schemas.openxmlformats.org/officeDocument/2006/relationships/hyperlink" Target="http://doras.dcu.ie/24116/1/Mahmalat%20-%20Dissertation%20PhD.pdf" TargetMode="External"/><Relationship Id="rId23" Type="http://schemas.openxmlformats.org/officeDocument/2006/relationships/hyperlink" Target="http://cjpp.law.harvard.edu/forensics" TargetMode="External"/><Relationship Id="rId28" Type="http://schemas.openxmlformats.org/officeDocument/2006/relationships/hyperlink" Target="file:///C:/Users/sharris/Downloads/asiimwe_definiteness_2014.pdf" TargetMode="External"/><Relationship Id="rId36" Type="http://schemas.openxmlformats.org/officeDocument/2006/relationships/hyperlink" Target="http://www.fellegi.hu/files/Essays/SocialEssay_4.pdf" TargetMode="External"/><Relationship Id="rId49" Type="http://schemas.openxmlformats.org/officeDocument/2006/relationships/hyperlink" Target="https://repository.law.umich.edu/mjlr/vol52/iss3/4" TargetMode="External"/><Relationship Id="rId10" Type="http://schemas.openxmlformats.org/officeDocument/2006/relationships/hyperlink" Target="https://patrickgriffinlaw.com/blog/first-step-act/" TargetMode="External"/><Relationship Id="rId19" Type="http://schemas.openxmlformats.org/officeDocument/2006/relationships/hyperlink" Target="https://www.wes.org/advisor-blog/studying-criminal-justice-in-the-us/" TargetMode="External"/><Relationship Id="rId31" Type="http://schemas.openxmlformats.org/officeDocument/2006/relationships/hyperlink" Target="https://www.govinfo.gov/content/pkg/USCOURTS-txsd-4_14-cr-00287/pdf/USCOURTS-txsd-4_14-cr-00287-0.pdf" TargetMode="External"/><Relationship Id="rId44" Type="http://schemas.openxmlformats.org/officeDocument/2006/relationships/hyperlink" Target="https://www.rstreet.org/2016/09/16/criminal-justice-reform-doesnt-have-to-mean-soft-on-crime/" TargetMode="External"/><Relationship Id="rId4" Type="http://schemas.openxmlformats.org/officeDocument/2006/relationships/settings" Target="settings.xml"/><Relationship Id="rId9" Type="http://schemas.openxmlformats.org/officeDocument/2006/relationships/hyperlink" Target="https://www.law.cornell.edu/uscode/text/18/1093" TargetMode="External"/><Relationship Id="rId14" Type="http://schemas.openxmlformats.org/officeDocument/2006/relationships/hyperlink" Target="https://www.researchgate.net/publication/226224347_Theorizing_Criminal_Law_Reform" TargetMode="External"/><Relationship Id="rId22" Type="http://schemas.openxmlformats.org/officeDocument/2006/relationships/hyperlink" Target="https://www.jjay.cuny.edu/about-forensic-science" TargetMode="External"/><Relationship Id="rId27" Type="http://schemas.openxmlformats.org/officeDocument/2006/relationships/hyperlink" Target="https://www.ncjrs.gov/App/Publications/abstract.aspx?ID=205823" TargetMode="External"/><Relationship Id="rId30" Type="http://schemas.openxmlformats.org/officeDocument/2006/relationships/hyperlink" Target="https://definitions.uslegal.com/s/sentencing-reform-act/" TargetMode="External"/><Relationship Id="rId35" Type="http://schemas.openxmlformats.org/officeDocument/2006/relationships/hyperlink" Target="https://books.google.com/books/about/Principles_of_Sentencing.html?id=7NhQAQAAIAAJ" TargetMode="External"/><Relationship Id="rId43" Type="http://schemas.openxmlformats.org/officeDocument/2006/relationships/hyperlink" Target="http://house.louisiana.gov/house-glossary.htm" TargetMode="External"/><Relationship Id="rId48" Type="http://schemas.openxmlformats.org/officeDocument/2006/relationships/hyperlink" Target="https://repository.law.umich.edu/mjlr/vol52/iss3/4" TargetMode="External"/><Relationship Id="rId8" Type="http://schemas.openxmlformats.org/officeDocument/2006/relationships/hyperlink" Target="https://www.otago.ac.nz/law/research/journals/otago036272.pdf" TargetMode="External"/><Relationship Id="rId51"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arri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65E2F5-7EF5-4B49-BC81-C2771BCD53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TotalTime>
  <Pages>1</Pages>
  <Words>39750</Words>
  <Characters>226581</Characters>
  <Application>Microsoft Office Word</Application>
  <DocSecurity>0</DocSecurity>
  <Lines>1888</Lines>
  <Paragraphs>531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 Scott L.</dc:creator>
  <cp:keywords>5.1.1</cp:keywords>
  <dc:description/>
  <cp:lastModifiedBy>Harris, Scott L.</cp:lastModifiedBy>
  <cp:revision>3</cp:revision>
  <dcterms:created xsi:type="dcterms:W3CDTF">2020-06-22T06:02:00Z</dcterms:created>
  <dcterms:modified xsi:type="dcterms:W3CDTF">2020-06-22T06:09:00Z</dcterms:modified>
</cp:coreProperties>
</file>