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42377E" w14:textId="34FDB1AD" w:rsidR="00B87E81" w:rsidRPr="0041399D" w:rsidRDefault="00B87E81" w:rsidP="00927D40">
      <w:pPr>
        <w:pStyle w:val="Heading2"/>
      </w:pPr>
      <w:r w:rsidRPr="0041399D">
        <w:t>Decrim CP</w:t>
      </w:r>
    </w:p>
    <w:p w14:paraId="03960767" w14:textId="3E9142A4" w:rsidR="00B87E81" w:rsidRPr="0041399D" w:rsidRDefault="00B87E81" w:rsidP="00B87E81">
      <w:pPr>
        <w:pStyle w:val="Heading3"/>
      </w:pPr>
      <w:r w:rsidRPr="0041399D">
        <w:lastRenderedPageBreak/>
        <w:t>1NC CP</w:t>
      </w:r>
    </w:p>
    <w:p w14:paraId="65B65728" w14:textId="4E822E16" w:rsidR="008D09AC" w:rsidRPr="0041399D" w:rsidRDefault="008D09AC" w:rsidP="008D09AC">
      <w:pPr>
        <w:pStyle w:val="Heading4"/>
      </w:pPr>
      <w:r w:rsidRPr="0041399D">
        <w:t>Counterplan text: The 50 states and all relevant territories should decriminalize sex work.</w:t>
      </w:r>
    </w:p>
    <w:p w14:paraId="732EF228" w14:textId="77777777" w:rsidR="00546910" w:rsidRPr="0041399D" w:rsidRDefault="00546910" w:rsidP="00546910"/>
    <w:p w14:paraId="6470140D" w14:textId="3321353A" w:rsidR="00B87E81" w:rsidRPr="0041399D" w:rsidRDefault="00B87E81" w:rsidP="00B87E81">
      <w:pPr>
        <w:pStyle w:val="Heading4"/>
      </w:pPr>
      <w:r w:rsidRPr="0041399D">
        <w:t xml:space="preserve">Decriminalization of sex work would protect the workers from assault and abuse </w:t>
      </w:r>
    </w:p>
    <w:p w14:paraId="29A22992" w14:textId="1C2221E1" w:rsidR="00B87E81" w:rsidRPr="0041399D" w:rsidRDefault="00B87E81" w:rsidP="00B87E81">
      <w:pPr>
        <w:spacing w:after="0" w:line="240" w:lineRule="auto"/>
        <w:rPr>
          <w:rFonts w:eastAsia="Times New Roman" w:cs="Times New Roman"/>
          <w:sz w:val="24"/>
        </w:rPr>
      </w:pPr>
      <w:r w:rsidRPr="0041399D">
        <w:rPr>
          <w:b/>
          <w:sz w:val="26"/>
          <w:szCs w:val="26"/>
        </w:rPr>
        <w:t>Human Rights Watch 19</w:t>
      </w:r>
      <w:r w:rsidRPr="0041399D">
        <w:t xml:space="preserve"> (</w:t>
      </w:r>
      <w:r w:rsidRPr="0041399D">
        <w:rPr>
          <w:color w:val="000000" w:themeColor="text1"/>
        </w:rPr>
        <w:t xml:space="preserve">Human Rights Watch, August 7, 2019, “Why Sex Work Should Be Decriminalized,” </w:t>
      </w:r>
      <w:hyperlink r:id="rId6" w:history="1">
        <w:r w:rsidRPr="0041399D">
          <w:rPr>
            <w:rFonts w:eastAsia="Times New Roman" w:cs="Times New Roman"/>
            <w:color w:val="000000" w:themeColor="text1"/>
            <w:u w:val="single"/>
          </w:rPr>
          <w:t>https://www.hrw.org/news/2019/08/07/why-sex-work-should-be-decriminalized#</w:t>
        </w:r>
      </w:hyperlink>
      <w:r w:rsidRPr="0041399D">
        <w:rPr>
          <w:rFonts w:eastAsia="Times New Roman" w:cs="Times New Roman"/>
          <w:color w:val="000000" w:themeColor="text1"/>
        </w:rPr>
        <w:t xml:space="preserve"> //AA)</w:t>
      </w:r>
    </w:p>
    <w:p w14:paraId="4D219371" w14:textId="42BE7AEB" w:rsidR="00B87E81" w:rsidRPr="0041399D" w:rsidRDefault="00B87E81" w:rsidP="00B87E8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cs="Times New Roman"/>
          <w:color w:val="000000" w:themeColor="text1"/>
          <w:sz w:val="14"/>
        </w:rPr>
      </w:pPr>
      <w:r w:rsidRPr="0041399D">
        <w:rPr>
          <w:rFonts w:cs="Times New Roman"/>
          <w:color w:val="000000" w:themeColor="text1"/>
          <w:sz w:val="14"/>
        </w:rPr>
        <w:t>Human Rights Watch has conducted research on sex work around the world, including in </w:t>
      </w:r>
      <w:hyperlink r:id="rId7" w:history="1">
        <w:r w:rsidRPr="0041399D">
          <w:rPr>
            <w:rFonts w:cs="Times New Roman"/>
            <w:color w:val="000000" w:themeColor="text1"/>
            <w:sz w:val="14"/>
            <w:bdr w:val="single" w:sz="2" w:space="0" w:color="auto" w:frame="1"/>
          </w:rPr>
          <w:t>Cambodia</w:t>
        </w:r>
      </w:hyperlink>
      <w:r w:rsidRPr="0041399D">
        <w:rPr>
          <w:rFonts w:cs="Times New Roman"/>
          <w:color w:val="000000" w:themeColor="text1"/>
          <w:sz w:val="14"/>
        </w:rPr>
        <w:t>, </w:t>
      </w:r>
      <w:hyperlink r:id="rId8" w:history="1">
        <w:r w:rsidRPr="0041399D">
          <w:rPr>
            <w:rFonts w:cs="Times New Roman"/>
            <w:color w:val="000000" w:themeColor="text1"/>
            <w:sz w:val="14"/>
            <w:bdr w:val="single" w:sz="2" w:space="0" w:color="auto" w:frame="1"/>
          </w:rPr>
          <w:t>China</w:t>
        </w:r>
      </w:hyperlink>
      <w:r w:rsidRPr="0041399D">
        <w:rPr>
          <w:rFonts w:cs="Times New Roman"/>
          <w:color w:val="000000" w:themeColor="text1"/>
          <w:sz w:val="14"/>
        </w:rPr>
        <w:t>, </w:t>
      </w:r>
      <w:hyperlink r:id="rId9" w:history="1">
        <w:r w:rsidRPr="0041399D">
          <w:rPr>
            <w:rFonts w:cs="Times New Roman"/>
            <w:color w:val="000000" w:themeColor="text1"/>
            <w:sz w:val="14"/>
            <w:bdr w:val="single" w:sz="2" w:space="0" w:color="auto" w:frame="1"/>
          </w:rPr>
          <w:t>Tanzania</w:t>
        </w:r>
      </w:hyperlink>
      <w:r w:rsidRPr="0041399D">
        <w:rPr>
          <w:rFonts w:cs="Times New Roman"/>
          <w:color w:val="000000" w:themeColor="text1"/>
          <w:sz w:val="14"/>
        </w:rPr>
        <w:t>, </w:t>
      </w:r>
      <w:hyperlink r:id="rId10" w:history="1">
        <w:r w:rsidRPr="0041399D">
          <w:rPr>
            <w:rFonts w:cs="Times New Roman"/>
            <w:color w:val="000000" w:themeColor="text1"/>
            <w:sz w:val="14"/>
            <w:bdr w:val="single" w:sz="2" w:space="0" w:color="auto" w:frame="1"/>
          </w:rPr>
          <w:t>the United States</w:t>
        </w:r>
      </w:hyperlink>
      <w:r w:rsidRPr="0041399D">
        <w:rPr>
          <w:rFonts w:cs="Times New Roman"/>
          <w:color w:val="000000" w:themeColor="text1"/>
          <w:sz w:val="14"/>
        </w:rPr>
        <w:t>, and most recently, </w:t>
      </w:r>
      <w:hyperlink r:id="rId11" w:history="1">
        <w:r w:rsidRPr="0041399D">
          <w:rPr>
            <w:rFonts w:cs="Times New Roman"/>
            <w:color w:val="000000" w:themeColor="text1"/>
            <w:sz w:val="14"/>
            <w:bdr w:val="single" w:sz="2" w:space="0" w:color="auto" w:frame="1"/>
          </w:rPr>
          <w:t>South Africa</w:t>
        </w:r>
      </w:hyperlink>
      <w:r w:rsidRPr="0041399D">
        <w:rPr>
          <w:rFonts w:cs="Times New Roman"/>
          <w:color w:val="000000" w:themeColor="text1"/>
          <w:sz w:val="14"/>
        </w:rPr>
        <w:t>. The research, including extensive consultations with sex workers and organizations that work on the issue, has shaped the Human Rights Watch policy on sex work: </w:t>
      </w:r>
      <w:r w:rsidRPr="0041399D">
        <w:rPr>
          <w:rFonts w:cs="Times New Roman"/>
          <w:bCs/>
          <w:color w:val="000000" w:themeColor="text1"/>
          <w:sz w:val="14"/>
          <w:bdr w:val="single" w:sz="2" w:space="0" w:color="auto" w:frame="1"/>
        </w:rPr>
        <w:t>Human Rights Watch supports the full decriminalization of consensual adult sex work.</w:t>
      </w:r>
      <w:r w:rsidRPr="0041399D">
        <w:rPr>
          <w:rFonts w:cs="Times New Roman"/>
          <w:color w:val="000000" w:themeColor="text1"/>
          <w:sz w:val="14"/>
        </w:rPr>
        <w:t xml:space="preserve"> </w:t>
      </w:r>
      <w:r w:rsidRPr="0041399D">
        <w:rPr>
          <w:rFonts w:cs="Times New Roman"/>
          <w:bCs/>
          <w:color w:val="000000" w:themeColor="text1"/>
          <w:sz w:val="14"/>
          <w:bdr w:val="single" w:sz="2" w:space="0" w:color="auto" w:frame="1"/>
        </w:rPr>
        <w:t>Why is criminalization of sex work a human rights issue?</w:t>
      </w:r>
      <w:r w:rsidRPr="0041399D">
        <w:rPr>
          <w:rFonts w:cs="Times New Roman"/>
          <w:color w:val="000000" w:themeColor="text1"/>
          <w:sz w:val="14"/>
        </w:rPr>
        <w:t xml:space="preserve"> </w:t>
      </w:r>
      <w:r w:rsidRPr="0041399D">
        <w:rPr>
          <w:rFonts w:cs="Times New Roman"/>
          <w:color w:val="000000" w:themeColor="text1"/>
          <w:u w:val="single"/>
        </w:rPr>
        <w:t>Criminalizing adult, voluntary, and consensual sex – including the commercial exchange of sexual services – is incompatible with the human right to personal autonomy and privacy</w:t>
      </w:r>
      <w:r w:rsidRPr="0041399D">
        <w:rPr>
          <w:rFonts w:cs="Times New Roman"/>
          <w:color w:val="000000" w:themeColor="text1"/>
          <w:sz w:val="14"/>
        </w:rPr>
        <w:t xml:space="preserve">. In short – </w:t>
      </w:r>
      <w:r w:rsidRPr="0041399D">
        <w:rPr>
          <w:rFonts w:cs="Times New Roman"/>
          <w:color w:val="000000" w:themeColor="text1"/>
          <w:u w:val="single"/>
        </w:rPr>
        <w:t>a government should not be telling consenting adults who they can have sexual relations with and on what terms.</w:t>
      </w:r>
      <w:r w:rsidRPr="0041399D">
        <w:rPr>
          <w:rFonts w:cs="Times New Roman"/>
          <w:color w:val="000000" w:themeColor="text1"/>
          <w:sz w:val="14"/>
        </w:rPr>
        <w:t xml:space="preserve"> </w:t>
      </w:r>
      <w:r w:rsidRPr="0041399D">
        <w:rPr>
          <w:rFonts w:cs="Times New Roman"/>
          <w:color w:val="000000" w:themeColor="text1"/>
          <w:u w:val="single"/>
        </w:rPr>
        <w:t>Criminalization exposes sex workers to abuse and exploitation by law enforcement officials, such as police officers</w:t>
      </w:r>
      <w:r w:rsidRPr="0041399D">
        <w:rPr>
          <w:rFonts w:cs="Times New Roman"/>
          <w:color w:val="000000" w:themeColor="text1"/>
          <w:sz w:val="14"/>
        </w:rPr>
        <w:t xml:space="preserve">. Human Rights Watch has documented that, in criminalized environments, </w:t>
      </w:r>
      <w:r w:rsidRPr="0041399D">
        <w:rPr>
          <w:rFonts w:cs="Times New Roman"/>
          <w:color w:val="000000" w:themeColor="text1"/>
          <w:u w:val="single"/>
        </w:rPr>
        <w:t>police officers harass sex workers, extort bribes, and physically and verbally abuse sex workers, or even rape or coerce sex from them</w:t>
      </w:r>
      <w:r w:rsidRPr="0041399D">
        <w:rPr>
          <w:rFonts w:cs="Times New Roman"/>
          <w:color w:val="000000" w:themeColor="text1"/>
          <w:sz w:val="14"/>
        </w:rPr>
        <w:t xml:space="preserve">. Human Rights Watch has consistently found in research across various countries that </w:t>
      </w:r>
      <w:r w:rsidRPr="0041399D">
        <w:rPr>
          <w:rFonts w:cs="Times New Roman"/>
          <w:color w:val="000000" w:themeColor="text1"/>
          <w:u w:val="single"/>
        </w:rPr>
        <w:t>criminalization makes sex workers more vulnerable to violence</w:t>
      </w:r>
      <w:r w:rsidRPr="0041399D">
        <w:rPr>
          <w:rFonts w:cs="Times New Roman"/>
          <w:color w:val="000000" w:themeColor="text1"/>
          <w:sz w:val="14"/>
        </w:rPr>
        <w:t xml:space="preserve">, including rape, assault, and murder, by </w:t>
      </w:r>
      <w:r w:rsidRPr="0041399D">
        <w:rPr>
          <w:rFonts w:cs="Times New Roman"/>
          <w:color w:val="000000" w:themeColor="text1"/>
          <w:u w:val="single"/>
        </w:rPr>
        <w:t>attackers</w:t>
      </w:r>
      <w:r w:rsidRPr="0041399D">
        <w:rPr>
          <w:rFonts w:cs="Times New Roman"/>
          <w:color w:val="000000" w:themeColor="text1"/>
          <w:sz w:val="14"/>
        </w:rPr>
        <w:t xml:space="preserve"> who </w:t>
      </w:r>
      <w:r w:rsidRPr="0041399D">
        <w:rPr>
          <w:rFonts w:cs="Times New Roman"/>
          <w:color w:val="000000" w:themeColor="text1"/>
          <w:u w:val="single"/>
        </w:rPr>
        <w:t>see sex workers as easy targets because they are stigmatized and unlikely to receive help from the police</w:t>
      </w:r>
      <w:r w:rsidRPr="0041399D">
        <w:rPr>
          <w:rFonts w:cs="Times New Roman"/>
          <w:color w:val="000000" w:themeColor="text1"/>
          <w:sz w:val="14"/>
        </w:rPr>
        <w:t xml:space="preserve">. Criminalization may also force sex workers to work in unsafe locations to avoid the police. </w:t>
      </w:r>
      <w:r w:rsidRPr="0041399D">
        <w:rPr>
          <w:rFonts w:cs="Times New Roman"/>
          <w:color w:val="000000" w:themeColor="text1"/>
          <w:u w:val="single"/>
        </w:rPr>
        <w:t>Criminalization consistently undermines sex workers’ ability to seek justice for crimes against them</w:t>
      </w:r>
      <w:r w:rsidRPr="0041399D">
        <w:rPr>
          <w:rFonts w:cs="Times New Roman"/>
          <w:color w:val="000000" w:themeColor="text1"/>
          <w:sz w:val="14"/>
        </w:rPr>
        <w:t xml:space="preserve">. Sex workers in South Africa, for example, said they did not report armed robbery or rape to the police. They said that </w:t>
      </w:r>
      <w:r w:rsidRPr="0041399D">
        <w:rPr>
          <w:rFonts w:cs="Times New Roman"/>
          <w:color w:val="000000" w:themeColor="text1"/>
          <w:u w:val="single"/>
        </w:rPr>
        <w:t>they are afraid of being arrested because their work is illegal and that their experience with police is of being harassed or profiled and arrested, or laughed at or not taken seriously</w:t>
      </w:r>
      <w:r w:rsidRPr="0041399D">
        <w:rPr>
          <w:rFonts w:cs="Times New Roman"/>
          <w:color w:val="000000" w:themeColor="text1"/>
          <w:sz w:val="14"/>
        </w:rPr>
        <w:t xml:space="preserve">. </w:t>
      </w:r>
      <w:r w:rsidRPr="0041399D">
        <w:rPr>
          <w:rFonts w:cs="Times New Roman"/>
          <w:color w:val="000000" w:themeColor="text1"/>
          <w:u w:val="single"/>
        </w:rPr>
        <w:t xml:space="preserve">Even when they report crimes, sex workers may not be willing to testify in court against their assailants and rapists for fear of facing sanctions or further abuse because of their work and status. </w:t>
      </w:r>
      <w:hyperlink r:id="rId12" w:history="1">
        <w:r w:rsidRPr="0041399D">
          <w:rPr>
            <w:rFonts w:cs="Times New Roman"/>
            <w:color w:val="000000" w:themeColor="text1"/>
            <w:u w:val="single"/>
            <w:bdr w:val="single" w:sz="2" w:space="0" w:color="auto" w:frame="1"/>
          </w:rPr>
          <w:t>UNAIDS</w:t>
        </w:r>
      </w:hyperlink>
      <w:r w:rsidRPr="0041399D">
        <w:rPr>
          <w:rFonts w:cs="Times New Roman"/>
          <w:color w:val="000000" w:themeColor="text1"/>
          <w:sz w:val="14"/>
        </w:rPr>
        <w:t>, </w:t>
      </w:r>
      <w:hyperlink r:id="rId13" w:history="1">
        <w:r w:rsidRPr="0041399D">
          <w:rPr>
            <w:rFonts w:cs="Times New Roman"/>
            <w:color w:val="000000" w:themeColor="text1"/>
            <w:u w:val="single"/>
            <w:bdr w:val="single" w:sz="2" w:space="0" w:color="auto" w:frame="1"/>
          </w:rPr>
          <w:t>public health experts</w:t>
        </w:r>
      </w:hyperlink>
      <w:r w:rsidRPr="0041399D">
        <w:rPr>
          <w:rFonts w:cs="Times New Roman"/>
          <w:color w:val="000000" w:themeColor="text1"/>
          <w:sz w:val="14"/>
        </w:rPr>
        <w:t>, </w:t>
      </w:r>
      <w:hyperlink r:id="rId14" w:history="1">
        <w:r w:rsidRPr="0041399D">
          <w:rPr>
            <w:rFonts w:cs="Times New Roman"/>
            <w:color w:val="000000" w:themeColor="text1"/>
            <w:u w:val="single"/>
            <w:bdr w:val="single" w:sz="2" w:space="0" w:color="auto" w:frame="1"/>
          </w:rPr>
          <w:t>sex worker organizations</w:t>
        </w:r>
      </w:hyperlink>
      <w:r w:rsidRPr="0041399D">
        <w:rPr>
          <w:rFonts w:cs="Times New Roman"/>
          <w:color w:val="000000" w:themeColor="text1"/>
          <w:sz w:val="14"/>
        </w:rPr>
        <w:t xml:space="preserve">, </w:t>
      </w:r>
      <w:r w:rsidRPr="0041399D">
        <w:rPr>
          <w:rFonts w:cs="Times New Roman"/>
          <w:color w:val="000000" w:themeColor="text1"/>
          <w:u w:val="single"/>
        </w:rPr>
        <w:t>and other </w:t>
      </w:r>
      <w:hyperlink r:id="rId15" w:history="1">
        <w:r w:rsidRPr="0041399D">
          <w:rPr>
            <w:rFonts w:cs="Times New Roman"/>
            <w:color w:val="000000" w:themeColor="text1"/>
            <w:u w:val="single"/>
            <w:bdr w:val="single" w:sz="2" w:space="0" w:color="auto" w:frame="1"/>
          </w:rPr>
          <w:t>human rights organizations</w:t>
        </w:r>
      </w:hyperlink>
      <w:r w:rsidRPr="0041399D">
        <w:rPr>
          <w:rFonts w:cs="Times New Roman"/>
          <w:color w:val="000000" w:themeColor="text1"/>
          <w:sz w:val="14"/>
        </w:rPr>
        <w:t> </w:t>
      </w:r>
      <w:r w:rsidRPr="0041399D">
        <w:rPr>
          <w:rFonts w:cs="Times New Roman"/>
          <w:color w:val="000000" w:themeColor="text1"/>
          <w:u w:val="single"/>
        </w:rPr>
        <w:t>have found that criminalization of sex work also has a negative effect on sex workers’ right to health</w:t>
      </w:r>
      <w:r w:rsidRPr="0041399D">
        <w:rPr>
          <w:rFonts w:cs="Times New Roman"/>
          <w:color w:val="000000" w:themeColor="text1"/>
          <w:sz w:val="14"/>
        </w:rPr>
        <w:t>. In one example, Human Rights Watch found in a 2012 report, </w:t>
      </w:r>
      <w:hyperlink r:id="rId16" w:history="1">
        <w:r w:rsidRPr="0041399D">
          <w:rPr>
            <w:rFonts w:cs="Times New Roman"/>
            <w:color w:val="000000" w:themeColor="text1"/>
            <w:sz w:val="14"/>
            <w:bdr w:val="single" w:sz="2" w:space="0" w:color="auto" w:frame="1"/>
          </w:rPr>
          <w:t>“Sex Workers at Risk: Condoms as Evidence of Prostitution in Four US Cities,”</w:t>
        </w:r>
      </w:hyperlink>
      <w:r w:rsidRPr="0041399D">
        <w:rPr>
          <w:rFonts w:cs="Times New Roman"/>
          <w:color w:val="000000" w:themeColor="text1"/>
          <w:sz w:val="14"/>
        </w:rPr>
        <w:t> </w:t>
      </w:r>
      <w:r w:rsidRPr="0041399D">
        <w:rPr>
          <w:rFonts w:cs="Times New Roman"/>
          <w:color w:val="000000" w:themeColor="text1"/>
          <w:u w:val="single"/>
        </w:rPr>
        <w:t>that police and prosecutors used a sex worker’s possession of condoms as evidence to support prostitution charges. The practice left sex workers reluctant to carry condoms for fear of arrest, forcing them to engage in sex without protection and putting them at heightened risk of contracting HIV and other sexually transmitted diseases</w:t>
      </w:r>
      <w:r w:rsidRPr="0041399D">
        <w:rPr>
          <w:rFonts w:cs="Times New Roman"/>
          <w:color w:val="000000" w:themeColor="text1"/>
          <w:sz w:val="14"/>
        </w:rPr>
        <w:t xml:space="preserve">. Criminalization also has a negative effect on other human rights. In countries that ban sex work, sex workers are less likely to be able to organize as workers, advocate for their rights, or to work together to support and protect themselves. </w:t>
      </w:r>
      <w:r w:rsidRPr="0041399D">
        <w:rPr>
          <w:rFonts w:cs="Times New Roman"/>
          <w:bCs/>
          <w:color w:val="000000" w:themeColor="text1"/>
          <w:sz w:val="14"/>
          <w:bdr w:val="single" w:sz="2" w:space="0" w:color="auto" w:frame="1"/>
        </w:rPr>
        <w:t>How does decriminalizing sex work help protect sex workers?</w:t>
      </w:r>
      <w:r w:rsidRPr="0041399D">
        <w:rPr>
          <w:rFonts w:cs="Times New Roman"/>
          <w:color w:val="000000" w:themeColor="text1"/>
          <w:sz w:val="14"/>
        </w:rPr>
        <w:t xml:space="preserve"> </w:t>
      </w:r>
      <w:r w:rsidRPr="0041399D">
        <w:rPr>
          <w:rFonts w:cs="Times New Roman"/>
          <w:color w:val="000000" w:themeColor="text1"/>
          <w:u w:val="single"/>
        </w:rPr>
        <w:t>Decriminalizing sex work maximizes sex workers’ legal protection and their ability to exercise other key rights, including to justice and health care</w:t>
      </w:r>
      <w:r w:rsidRPr="0041399D">
        <w:rPr>
          <w:rFonts w:cs="Times New Roman"/>
          <w:color w:val="000000" w:themeColor="text1"/>
          <w:sz w:val="14"/>
        </w:rPr>
        <w:t xml:space="preserve">. </w:t>
      </w:r>
      <w:r w:rsidRPr="0041399D">
        <w:rPr>
          <w:rFonts w:cs="Times New Roman"/>
          <w:color w:val="000000" w:themeColor="text1"/>
          <w:u w:val="single"/>
        </w:rPr>
        <w:t>Legal recognition of sex workers and their occupation maximizes their protection, dignity, and equality</w:t>
      </w:r>
      <w:r w:rsidRPr="0041399D">
        <w:rPr>
          <w:rFonts w:cs="Times New Roman"/>
          <w:color w:val="000000" w:themeColor="text1"/>
          <w:sz w:val="14"/>
        </w:rPr>
        <w:t xml:space="preserve">. This is an important step toward destigmatizing sex work. </w:t>
      </w:r>
      <w:r w:rsidRPr="0041399D">
        <w:rPr>
          <w:rFonts w:cs="Times New Roman"/>
          <w:bCs/>
          <w:color w:val="000000" w:themeColor="text1"/>
          <w:sz w:val="14"/>
          <w:bdr w:val="single" w:sz="2" w:space="0" w:color="auto" w:frame="1"/>
        </w:rPr>
        <w:t>Does decriminalizing sex work encourage other human rights violations such as human trafficking and sexual exploitation of children?</w:t>
      </w:r>
      <w:r w:rsidRPr="0041399D">
        <w:rPr>
          <w:rFonts w:cs="Times New Roman"/>
          <w:color w:val="000000" w:themeColor="text1"/>
          <w:sz w:val="14"/>
        </w:rPr>
        <w:t xml:space="preserve"> Sex work is the consensual exchange of sex between adults. Human trafficking and sexual exploitation of children are separate issues. They are both serious human rights abuses and crimes and should always be investigated and prosecuted. Laws that clearly distinguish between sex work and crimes like human trafficking and sexual exploitation of children help protect both sex workers and crime victims. </w:t>
      </w:r>
      <w:r w:rsidRPr="0041399D">
        <w:rPr>
          <w:rFonts w:cs="Times New Roman"/>
          <w:color w:val="000000" w:themeColor="text1"/>
          <w:u w:val="single"/>
        </w:rPr>
        <w:t>Sex workers may be in a position to have important information about crimes such as human trafficking and sexual exploitation of children, but unless the work they themselves do is not treated as criminal, they are unlikely to feel safe reporting this information to the police.</w:t>
      </w:r>
      <w:r w:rsidRPr="0041399D">
        <w:rPr>
          <w:rFonts w:cs="Times New Roman"/>
          <w:color w:val="000000" w:themeColor="text1"/>
          <w:sz w:val="14"/>
        </w:rPr>
        <w:t xml:space="preserve"> </w:t>
      </w:r>
      <w:r w:rsidRPr="0041399D">
        <w:rPr>
          <w:rFonts w:cs="Times New Roman"/>
          <w:bCs/>
          <w:color w:val="000000" w:themeColor="text1"/>
          <w:sz w:val="14"/>
          <w:bdr w:val="single" w:sz="2" w:space="0" w:color="auto" w:frame="1"/>
        </w:rPr>
        <w:t>What should governments do?</w:t>
      </w:r>
      <w:r w:rsidRPr="0041399D">
        <w:rPr>
          <w:rFonts w:cs="Times New Roman"/>
          <w:color w:val="000000" w:themeColor="text1"/>
          <w:sz w:val="14"/>
        </w:rPr>
        <w:t xml:space="preserve"> </w:t>
      </w:r>
      <w:r w:rsidRPr="0041399D">
        <w:rPr>
          <w:rFonts w:cs="Times New Roman"/>
          <w:color w:val="000000" w:themeColor="text1"/>
          <w:u w:val="single"/>
        </w:rPr>
        <w:t>Governments should fully decriminalize sex work and ensure that sex workers do not face discrimination in law or practice. They should also strengthen services for sex workers and ensure that they have safe working conditions and access to public benefits and social safety nets.</w:t>
      </w:r>
      <w:r w:rsidRPr="0041399D">
        <w:rPr>
          <w:rFonts w:cs="Times New Roman"/>
          <w:color w:val="000000" w:themeColor="text1"/>
          <w:sz w:val="14"/>
        </w:rPr>
        <w:t xml:space="preserve"> </w:t>
      </w:r>
      <w:r w:rsidRPr="0041399D">
        <w:rPr>
          <w:rFonts w:cs="Times New Roman"/>
          <w:color w:val="000000" w:themeColor="text1"/>
          <w:u w:val="single"/>
        </w:rPr>
        <w:t xml:space="preserve">Moreover, any regulations and controls on sex workers and their activities need </w:t>
      </w:r>
      <w:r w:rsidRPr="0041399D">
        <w:rPr>
          <w:rFonts w:cs="Times New Roman"/>
          <w:color w:val="000000" w:themeColor="text1"/>
          <w:u w:val="single"/>
        </w:rPr>
        <w:lastRenderedPageBreak/>
        <w:t>to be nondiscriminatory and otherwise comply with international human rights law</w:t>
      </w:r>
      <w:r w:rsidRPr="0041399D">
        <w:rPr>
          <w:rFonts w:cs="Times New Roman"/>
          <w:color w:val="000000" w:themeColor="text1"/>
          <w:sz w:val="14"/>
        </w:rPr>
        <w:t xml:space="preserve">. For example, restrictions that would prevent those engaged in sex work from organizing collectively, or working in a safe environment, are not legitimate restrictions. </w:t>
      </w:r>
    </w:p>
    <w:p w14:paraId="207E7040" w14:textId="2DA509CA" w:rsidR="00364A59" w:rsidRPr="0041399D" w:rsidRDefault="00364A59" w:rsidP="00B87E81">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cs="Times New Roman"/>
          <w:color w:val="000000" w:themeColor="text1"/>
          <w:sz w:val="14"/>
        </w:rPr>
      </w:pPr>
    </w:p>
    <w:p w14:paraId="4187DEF0" w14:textId="77777777" w:rsidR="00364A59" w:rsidRPr="0041399D" w:rsidRDefault="00364A59" w:rsidP="00364A59">
      <w:pPr>
        <w:pStyle w:val="Heading4"/>
      </w:pPr>
      <w:r w:rsidRPr="0041399D">
        <w:t>Solves the human trafficking part of the exploitation advantage</w:t>
      </w:r>
    </w:p>
    <w:p w14:paraId="148069FE" w14:textId="27F3D0C4" w:rsidR="00364A59" w:rsidRPr="0041399D" w:rsidRDefault="00364A59" w:rsidP="00364A59">
      <w:pPr>
        <w:rPr>
          <w:rFonts w:eastAsia="Times New Roman" w:cs="Times New Roman"/>
          <w:sz w:val="18"/>
          <w:szCs w:val="18"/>
        </w:rPr>
      </w:pPr>
      <w:r w:rsidRPr="0041399D">
        <w:rPr>
          <w:rFonts w:eastAsia="Times New Roman" w:cs="Times New Roman"/>
          <w:sz w:val="18"/>
          <w:szCs w:val="18"/>
        </w:rPr>
        <w:t>Katie</w:t>
      </w:r>
      <w:r w:rsidRPr="0041399D">
        <w:rPr>
          <w:rFonts w:eastAsia="Times New Roman" w:cs="Times New Roman"/>
          <w:b/>
          <w:sz w:val="28"/>
          <w:szCs w:val="18"/>
        </w:rPr>
        <w:t xml:space="preserve"> Tastrom</w:t>
      </w:r>
      <w:r w:rsidRPr="0041399D">
        <w:rPr>
          <w:rFonts w:eastAsia="Times New Roman" w:cs="Times New Roman"/>
        </w:rPr>
        <w:t xml:space="preserve">, </w:t>
      </w:r>
      <w:r w:rsidRPr="0041399D">
        <w:rPr>
          <w:rFonts w:eastAsia="Times New Roman" w:cs="Times New Roman"/>
          <w:b/>
          <w:sz w:val="28"/>
          <w:szCs w:val="18"/>
        </w:rPr>
        <w:t>19</w:t>
      </w:r>
      <w:r w:rsidRPr="0041399D">
        <w:rPr>
          <w:rFonts w:eastAsia="Times New Roman" w:cs="Times New Roman"/>
          <w:sz w:val="18"/>
          <w:szCs w:val="18"/>
        </w:rPr>
        <w:t xml:space="preserve"> Rewire News</w:t>
      </w:r>
      <w:r w:rsidRPr="0041399D">
        <w:rPr>
          <w:rFonts w:eastAsia="Times New Roman" w:cs="Times New Roman"/>
        </w:rPr>
        <w:t xml:space="preserve">, </w:t>
      </w:r>
      <w:r w:rsidRPr="0041399D">
        <w:rPr>
          <w:rFonts w:eastAsia="Times New Roman" w:cs="Times New Roman"/>
          <w:sz w:val="18"/>
          <w:szCs w:val="18"/>
        </w:rPr>
        <w:t>"Want to Reduce Sex Trafficking? Decriminalize Sex Work. - Rewire.News"</w:t>
      </w:r>
      <w:r w:rsidRPr="0041399D">
        <w:rPr>
          <w:rFonts w:eastAsia="Times New Roman" w:cs="Times New Roman"/>
        </w:rPr>
        <w:t xml:space="preserve">, </w:t>
      </w:r>
      <w:r w:rsidRPr="0041399D">
        <w:rPr>
          <w:rFonts w:eastAsia="Times New Roman" w:cs="Times New Roman"/>
          <w:sz w:val="18"/>
          <w:szCs w:val="18"/>
        </w:rPr>
        <w:t xml:space="preserve">July 18, </w:t>
      </w:r>
      <w:r w:rsidRPr="0041399D">
        <w:rPr>
          <w:rFonts w:eastAsia="Times New Roman" w:cs="Times New Roman"/>
        </w:rPr>
        <w:t xml:space="preserve">, </w:t>
      </w:r>
      <w:hyperlink w:history="1">
        <w:r w:rsidRPr="0041399D">
          <w:rPr>
            <w:rStyle w:val="Hyperlink"/>
            <w:rFonts w:eastAsia="Times New Roman" w:cs="Times New Roman"/>
            <w:sz w:val="18"/>
            <w:szCs w:val="18"/>
          </w:rPr>
          <w:t>https://rewire.news/article/2019/07/18/want-to-reduce-sex-trafficking-decriminalize-sex-work/</w:t>
        </w:r>
      </w:hyperlink>
    </w:p>
    <w:p w14:paraId="2F754940" w14:textId="4A938375" w:rsidR="00364A59" w:rsidRPr="0041399D" w:rsidRDefault="00364A59" w:rsidP="00364A59">
      <w:pPr>
        <w:rPr>
          <w:b/>
          <w:u w:val="single"/>
        </w:rPr>
      </w:pPr>
      <w:r w:rsidRPr="0041399D">
        <w:rPr>
          <w:sz w:val="16"/>
        </w:rPr>
        <w:t>]</w:t>
      </w:r>
      <w:r w:rsidRPr="0041399D">
        <w:rPr>
          <w:u w:val="single"/>
        </w:rPr>
        <w:t xml:space="preserve"> It demonstrated how policing within all criminalisation and regulation frameworks exacerbated existing marginalisation, and how sex workers’ relationships with police, access to justice, and negotiating powers with clients have improved in decriminalised contexts.” In other words, </w:t>
      </w:r>
      <w:r w:rsidRPr="0041399D">
        <w:rPr>
          <w:b/>
          <w:u w:val="single"/>
        </w:rPr>
        <w:t>when the cops are on your back, you have to do things that are sometimes dangerous in order to avoid arrest, and more activities move underground where predators can flourish.</w:t>
      </w:r>
      <w:r w:rsidRPr="0041399D">
        <w:rPr>
          <w:u w:val="single"/>
        </w:rPr>
        <w:t xml:space="preserve"> </w:t>
      </w:r>
      <w:r w:rsidRPr="0041399D">
        <w:t xml:space="preserve">That’s why some human rights organizations are also calling for decriminalization. </w:t>
      </w:r>
      <w:r w:rsidRPr="0041399D">
        <w:rPr>
          <w:b/>
          <w:u w:val="single"/>
        </w:rPr>
        <w:t>In 2016, Amnesty International called for the decriminalization of the sex trade, in part because it’s most effective in reducing sex trafficking</w:t>
      </w:r>
      <w:r w:rsidRPr="0041399D">
        <w:rPr>
          <w:u w:val="single"/>
        </w:rPr>
        <w:t>.</w:t>
      </w:r>
      <w:r w:rsidRPr="0041399D">
        <w:t xml:space="preserve"> </w:t>
      </w:r>
      <w:r w:rsidRPr="0041399D">
        <w:rPr>
          <w:sz w:val="16"/>
        </w:rPr>
        <w:t xml:space="preserve">The World Health Organization also supports decriminalization and has held this stance since 2012. Groups that are organized by and for trafficking survivors support decriminalization too. Freedom Network USA, the largest organization in the United States that works directly with trafficking survivors, publicly supports decriminalization. Other anti-trafficking organizations that support decriminalization include La Strada International and the Global Alliance Against Traffic in Women. We can see the correlation between criminalization and trafficking firsthand. Earlier this year, federal anti sex-work SESTA/FOSTA laws went fully into effect. In San Francisco, those laws have increased reports of trafficking by 170 percent. The further sex work is pushed underground, the more predators can flourish in the shadows. So why is this myth still so rampant? The idea that the interests of sex workers and the interests of trafficking victims do not align is a lie put forth by what some sex workers and activists call the “Anti-Trafficking Industrial Complex.” Instead of using their resources to support trafficking survivors directly or preventing trafficking, NGOs like Polaris—a massive anti-trafficking industry organization—and evangelical groups like the Faith Alliance Against Slavery and Trafficking use a lot of their resources to help increase criminalization of sex workers and trafficking victims. Polaris urged members to contact politicians to push for the passage of SESTA/FOSTA, even though sex workers and trafficking survivors had publicly complained it would make trafficking worse. These groups are rarely led by survivors or people who work directly with them, nor do they usually provide direct services; instead, they typically refer people elsewhere, often to groups that do support decriminalization. Groups like these also work to spread misinformation about the relationship between sex work and sex trafficking by making unsupported claims that sex trafficking is “fueled by the proliferation of pornography.” Their platform treats all prostitution as sexual slavery and does not distinguish between consenting adults and people who are forced into it. They also use their “anti-trafficking” message as an evangelical tool by creating religious school curricula that erase the marginalized people who are actually most targeted by traffickers. Decriminalization is not uncharted territory. New Zealand decriminalized buying and selling sex in 2003. New Zealand lawmakers intentionally centered the voices of those most affected. Since decriminalization, research has shown better health and safety outcomes for sex workers in New Zealand, and better relationships between sex workers and law enforcement. Decriminalization of sex work makes everyone safer. </w:t>
      </w:r>
      <w:r w:rsidRPr="0041399D">
        <w:rPr>
          <w:u w:val="single"/>
        </w:rPr>
        <w:t xml:space="preserve">More than any other kind of system, </w:t>
      </w:r>
      <w:r w:rsidRPr="0041399D">
        <w:rPr>
          <w:b/>
          <w:u w:val="single"/>
        </w:rPr>
        <w:t>decriminalization will help reduce the number of people who are trafficked</w:t>
      </w:r>
      <w:r w:rsidRPr="0041399D">
        <w:rPr>
          <w:u w:val="single"/>
        </w:rPr>
        <w:t xml:space="preserve"> and help those who are victims of trafficking get to safety more easily with fewer negative health and safety consequences. </w:t>
      </w:r>
      <w:r w:rsidRPr="0041399D">
        <w:rPr>
          <w:b/>
          <w:u w:val="single"/>
        </w:rPr>
        <w:t>If you want to reduce trafficking, you must be for decriminalization of the sex trade.</w:t>
      </w:r>
    </w:p>
    <w:p w14:paraId="3943430D" w14:textId="35707E78" w:rsidR="00B87E81" w:rsidRPr="0041399D" w:rsidRDefault="004150D6" w:rsidP="004150D6">
      <w:pPr>
        <w:pStyle w:val="Heading3"/>
      </w:pPr>
      <w:r w:rsidRPr="0041399D">
        <w:lastRenderedPageBreak/>
        <w:t>2NC Solves Case</w:t>
      </w:r>
      <w:r w:rsidR="000C0EBF">
        <w:t>- Abuse</w:t>
      </w:r>
    </w:p>
    <w:p w14:paraId="464DDC19" w14:textId="60CB84B3" w:rsidR="004150D6" w:rsidRPr="0041399D" w:rsidRDefault="004150D6" w:rsidP="00391865">
      <w:pPr>
        <w:pStyle w:val="Heading4"/>
      </w:pPr>
      <w:r w:rsidRPr="0041399D">
        <w:t>FOSTA/SESTA can’t solve—only decrim does</w:t>
      </w:r>
    </w:p>
    <w:p w14:paraId="3995598F" w14:textId="77777777" w:rsidR="004150D6" w:rsidRPr="0041399D" w:rsidRDefault="004150D6" w:rsidP="004150D6">
      <w:r w:rsidRPr="0041399D">
        <w:t xml:space="preserve">VALENTINA </w:t>
      </w:r>
      <w:r w:rsidRPr="0041399D">
        <w:rPr>
          <w:rStyle w:val="Style13ptBold"/>
        </w:rPr>
        <w:t>MIA</w:t>
      </w:r>
      <w:r w:rsidRPr="0041399D">
        <w:t xml:space="preserve"> May </w:t>
      </w:r>
      <w:r w:rsidRPr="0041399D">
        <w:rPr>
          <w:rStyle w:val="Style13ptBold"/>
        </w:rPr>
        <w:t>2020</w:t>
      </w:r>
      <w:r w:rsidRPr="0041399D">
        <w:t xml:space="preserve"> “The Failures of SESTA/FOSTA: A Sex Worker Manifesto” </w:t>
      </w:r>
      <w:hyperlink r:id="rId17" w:history="1">
        <w:r w:rsidRPr="0041399D">
          <w:rPr>
            <w:rStyle w:val="Hyperlink"/>
          </w:rPr>
          <w:t>https://watermark.silverchair.com/237mia.pdf?token=AQECAHi208BE49Ooan9kkhW_Ercy7Dm3ZL_9Cf3qfKAc485ysgAAAncwggJzBgkqhkiG9w0BBwagggJkMIICYAIBADCCAlkGCSqGSIb3DQEHATAeBglghkgBZQMEAS4wEQQMc8_LL4Iu_8XO0LkGAgEQgIICKiVvYlQtMQhybudJbgkGtK1ZfE_O-tQVFD2uBBuzJTwrMmOPL8YLVkb4ArAm03XjDpu08FS2vAtWsIyW328ksY6QVLIqLe6_Mnus1KjrQbtqHCEQdISbebWjwRDbGREnTNXSA_YIOcA6NUCOdPpCFQlVU_wVlnfaFc2ERcS5nzj14X44rKJzj5-JnWqHFwv5ZnvzC6CvNEGkIDdP4Q8UFb5GYN-_hA2VaXK0ulz7YU66ebrSE6M55RDP4dEe8uy863lRdUgbcLN3ZHlM7zbm-3tTIMHqeGQyUIsFutEPCEprjvNuj1J08YKUUziAAviQAGmqR5BuMHTQXB1RkErrlGIIvKExoYbhZn7AsgJo6jpvXMLzo3CtN6Dzaupy3wsTOkuLWUmNC2eo_jGrd6CJED6dT6bn1CoShPC1QTGu4fy7Tia4mMjdn03eYAGMQHE0OFoa0MIE6m6J2-92megCe7nBZoRKjVUPT9Us_4NIIiBddNOeqkA1x3v0MPoC6w23lo7z6fLodjE-LxGLyolKcL_t_a84vJckagpVAZddTKBFmgtQdcoLq9nVP9u_mK_x-NggC1Jgc8vqtZWitnEw2qNkueN4s6ibCPen1HErddb6nN7WDOSfXVdHBNqjflAjINJvSuHc7MoAotaESZTEEr0fBdxZlUnqJ0VjU42bzUqiL_Ad8BCCdOTaOezH304FZrLqeXuVS0puetyzY6IgyrPW4MTBMfFm5eiw</w:t>
        </w:r>
      </w:hyperlink>
    </w:p>
    <w:p w14:paraId="31999AFE" w14:textId="48F7DD83" w:rsidR="004150D6" w:rsidRDefault="004150D6" w:rsidP="004150D6">
      <w:pPr>
        <w:rPr>
          <w:u w:val="single"/>
        </w:rPr>
      </w:pPr>
      <w:r w:rsidRPr="0041399D">
        <w:rPr>
          <w:u w:val="single"/>
        </w:rPr>
        <w:t>The government should not have the authority to make things harder for me,</w:t>
      </w:r>
      <w:r w:rsidRPr="0041399D">
        <w:rPr>
          <w:sz w:val="16"/>
        </w:rPr>
        <w:t xml:space="preserve"> when they are the reason I’m here in the first place because of a lack of legal protections and rights that would allow me to maintain stable employment. </w:t>
      </w:r>
      <w:r w:rsidRPr="0041399D">
        <w:rPr>
          <w:u w:val="single"/>
        </w:rPr>
        <w:t>I am not a victim; I am a survivor, but the state wants to trap me in a cycle of poverty and oppression. Legislation like SESTA/FOSTA, which criminalizes the advertisement of sexual services online in an effort to combat human trafficking, is an 238 TSQ</w:t>
      </w:r>
      <w:r w:rsidRPr="0041399D">
        <w:rPr>
          <w:sz w:val="16"/>
        </w:rPr>
        <w:t xml:space="preserve"> * Transgender Studies Quarterly attempt to further </w:t>
      </w:r>
      <w:r w:rsidRPr="0041399D">
        <w:rPr>
          <w:u w:val="single"/>
        </w:rPr>
        <w:t>subjugate me by taking away a significant source of income for me.</w:t>
      </w:r>
      <w:r w:rsidRPr="0041399D">
        <w:rPr>
          <w:sz w:val="16"/>
        </w:rPr>
        <w:t xml:space="preserve"> The definition of cruelty is hitting someone when they are already down, and this legislation does just that. We are not victims, but policies like this victimize us. Just this week, my PayPal account was shut down. Under its Acceptable Use Policy, PayPal may not be used for certain “sexually oriented” digital goods or services. Next, they’re coming for our bank accounts with the End Banking for Human Traffickers Act, which would pressure banks to close the accounts of traffickers. </w:t>
      </w:r>
      <w:r w:rsidRPr="0041399D">
        <w:rPr>
          <w:u w:val="single"/>
        </w:rPr>
        <w:t xml:space="preserve">This only encourages banks to go on a witch hunt, shutting down those accounts they fear to be under the spell of forced prostitution. The best solution to combatting problems inherent in a system that subjects certain identities to sex work is resisting those who attempt to exert control over our bodies. </w:t>
      </w:r>
      <w:r w:rsidRPr="0041399D">
        <w:rPr>
          <w:rStyle w:val="Emphasis"/>
        </w:rPr>
        <w:t>Decriminalizing prostitution is the only effective means of dismantling that power and reorienting ourselves to new frontiers from which sex work is dealt with as a social issue, not a criminal one</w:t>
      </w:r>
      <w:r w:rsidRPr="0041399D">
        <w:rPr>
          <w:u w:val="single"/>
        </w:rPr>
        <w:t>.</w:t>
      </w:r>
    </w:p>
    <w:p w14:paraId="67F9BBBC" w14:textId="72A410A2" w:rsidR="00D260D3" w:rsidRDefault="00D260D3" w:rsidP="004150D6">
      <w:pPr>
        <w:rPr>
          <w:u w:val="single"/>
        </w:rPr>
      </w:pPr>
    </w:p>
    <w:p w14:paraId="0F99AA4E" w14:textId="77777777" w:rsidR="00D260D3" w:rsidRDefault="00D260D3" w:rsidP="00D260D3">
      <w:pPr>
        <w:pStyle w:val="Heading4"/>
      </w:pPr>
      <w:r>
        <w:t xml:space="preserve">Decriminalization makes it safer and protects sex worker’s legal rights </w:t>
      </w:r>
    </w:p>
    <w:p w14:paraId="15273793" w14:textId="77777777" w:rsidR="00D260D3" w:rsidRPr="00607821" w:rsidRDefault="00D260D3" w:rsidP="00D260D3">
      <w:pPr>
        <w:rPr>
          <w:sz w:val="20"/>
          <w:szCs w:val="20"/>
        </w:rPr>
      </w:pPr>
      <w:r w:rsidRPr="00607821">
        <w:rPr>
          <w:b/>
          <w:sz w:val="26"/>
          <w:szCs w:val="26"/>
        </w:rPr>
        <w:t>HRW 19</w:t>
      </w:r>
      <w:r>
        <w:t xml:space="preserve"> </w:t>
      </w:r>
      <w:r w:rsidRPr="00607821">
        <w:rPr>
          <w:sz w:val="20"/>
          <w:szCs w:val="20"/>
        </w:rPr>
        <w:t>Human Rights Watch investigates and reports on abuses happening in all corners of the world. We are roughly 450 people of 70-plus nationalities who are country experts, lawyers, journalists, and others who work to protect the most at risk, from vulnerable minorities and civilians in wartime, to refugees and children in need. We direct our advocacy towards governments, armed groups and businesses, pushing them to change or enforce their laws, policies and practices, 8/7/19, “Why Sex Work Should Be Decriminalized,” https://www.hrw.org/news/2019/08/07/why-sex-work-should-be-decriminalized</w:t>
      </w:r>
    </w:p>
    <w:p w14:paraId="1C8BAF96" w14:textId="77777777" w:rsidR="00D260D3" w:rsidRPr="00607821" w:rsidRDefault="00D260D3" w:rsidP="00D260D3">
      <w:pPr>
        <w:rPr>
          <w:u w:val="single"/>
        </w:rPr>
      </w:pPr>
      <w:r w:rsidRPr="00607821">
        <w:rPr>
          <w:u w:val="single"/>
        </w:rPr>
        <w:t>Criminalizing adult, voluntary, and consensual sex – including the commercial exchange of sexual services – is incompatible with the human right to personal autonomy and privacy.</w:t>
      </w:r>
      <w:r w:rsidRPr="00607821">
        <w:rPr>
          <w:sz w:val="16"/>
        </w:rPr>
        <w:t xml:space="preserve"> In short – a government should not be telling consenting adults who they can have sexual relations with and on what terms. </w:t>
      </w:r>
      <w:r w:rsidRPr="00607821">
        <w:rPr>
          <w:u w:val="single"/>
        </w:rPr>
        <w:t xml:space="preserve">Criminalization exposes sex workers to abuse and exploitation by law enforcement officials, such as police officers. Human Rights </w:t>
      </w:r>
      <w:r w:rsidRPr="00607821">
        <w:rPr>
          <w:u w:val="single"/>
        </w:rPr>
        <w:lastRenderedPageBreak/>
        <w:t>Watch has documented that, in criminalized environments, police officers harass sex workers, extort bribes, and physically and verbally abuse sex workers, or even rape or coerce sex from them</w:t>
      </w:r>
      <w:r w:rsidRPr="00607821">
        <w:rPr>
          <w:sz w:val="16"/>
        </w:rPr>
        <w:t xml:space="preserve">. Human Rights Watch has consistently found in research across various countries that criminalization makes sex workers more vulnerable to violence, including rape, assault, and murder, by attackers who see sex workers as easy targets because they are stigmatized and unlikely to receive help from the police. Criminalization may also force sex workers to work in unsafe locations to avoid the police. Criminalization consistently undermines sex workers’ ability to seek justice for crimes against them. Sex workers in South Africa, for example, said they did not report armed robbery or rape to the police. They said that they are afraid of being arrested because their work is illegal and that their experience with police is of being harassed or profiled and arrested, or laughed at or not taken seriously. Even when they report crimes, sex workers may not be willing to testify in court against their assailants and rapists for fear of facing sanctions or further abuse because of their work and status. </w:t>
      </w:r>
      <w:r w:rsidRPr="00607821">
        <w:rPr>
          <w:u w:val="single"/>
        </w:rPr>
        <w:t>UNAIDS, public health experts, sex worker organizations, and other human rights organizations have found that criminalization of sex work also has a negative effect on sex workers’ right to health.</w:t>
      </w:r>
      <w:r w:rsidRPr="00607821">
        <w:rPr>
          <w:sz w:val="16"/>
        </w:rPr>
        <w:t xml:space="preserve"> In one example, Human Rights Watch found in a 2012 report, “Sex Workers at Risk: Condoms as Evidence of Prostitution in Four US Cities,” that police and prosecutors used a sex worker’s possession of condoms as evidence to support prostitution charges. The practice left sex workers reluctant to carry condoms for fear of arrest, forcing them to engage in sex without protection and putting them at heightened risk of contracting HIV and other sexually transmitted diseases. Criminalization also has a negative effect on other human rights. In countries that ban sex work, sex workers are less likely to be able to organize as workers, advocate for their rights, or to work together to support and protect themselves</w:t>
      </w:r>
      <w:r w:rsidRPr="00607821">
        <w:rPr>
          <w:b/>
          <w:sz w:val="16"/>
        </w:rPr>
        <w:t xml:space="preserve">. </w:t>
      </w:r>
      <w:r w:rsidRPr="00607821">
        <w:rPr>
          <w:b/>
          <w:u w:val="single"/>
        </w:rPr>
        <w:t xml:space="preserve">Decriminalizing sex work maximizes sex workers’ legal protection and their ability to exercise other key rights, including to justice and health care. Legal recognition of sex workers and their occupation maximizes their protection, dignity, and equality. This is an important step toward destigmatizing sex work. </w:t>
      </w:r>
      <w:r w:rsidRPr="00607821">
        <w:rPr>
          <w:u w:val="single"/>
        </w:rPr>
        <w:t>Sex work is the consensual exchange of sex between adults.</w:t>
      </w:r>
      <w:r w:rsidRPr="00607821">
        <w:rPr>
          <w:sz w:val="16"/>
        </w:rPr>
        <w:t xml:space="preserve"> Human trafficking and sexual exploitation of children are separate issues. They are both serious human rights abuses and crimes and should always be investigated and prosecuted. </w:t>
      </w:r>
      <w:r w:rsidRPr="00607821">
        <w:rPr>
          <w:u w:val="single"/>
        </w:rPr>
        <w:t>Laws that clearly distinguish between sex work and crimes like human trafficking and sexual exploitation of children help protect both sex workers and crime victims</w:t>
      </w:r>
      <w:r w:rsidRPr="00607821">
        <w:rPr>
          <w:sz w:val="16"/>
        </w:rPr>
        <w:t>. Sex workers may be in a position to have important information about crimes such as human trafficking and sexual exploitation of children, but unless the work they themselves do is not treated as criminal, they are unlikely to feel safe reporting this information to the police</w:t>
      </w:r>
      <w:r w:rsidRPr="00607821">
        <w:rPr>
          <w:b/>
          <w:sz w:val="16"/>
        </w:rPr>
        <w:t xml:space="preserve">. </w:t>
      </w:r>
      <w:r w:rsidRPr="00607821">
        <w:rPr>
          <w:b/>
          <w:u w:val="single"/>
        </w:rPr>
        <w:t>Governments should fully decriminalize sex work and ensure that sex workers do not face discrimination in law or practice. They should also strengthen services for sex workers and ensure that they have safe working conditions and access to public benefits and social safety nets.</w:t>
      </w:r>
      <w:r w:rsidRPr="00607821">
        <w:rPr>
          <w:u w:val="single"/>
        </w:rPr>
        <w:t xml:space="preserve"> Moreover, any regulations and controls on sex workers and their activities need to be nondiscriminatory and otherwise comply with international human rights law. For example, restrictions that would prevent those engaged in sex work from organizing collectively, or working in a safe environment, are not legitimate restrictions.</w:t>
      </w:r>
    </w:p>
    <w:p w14:paraId="1B1F01ED" w14:textId="77777777" w:rsidR="00D260D3" w:rsidRDefault="00D260D3" w:rsidP="004150D6">
      <w:pPr>
        <w:rPr>
          <w:u w:val="single"/>
        </w:rPr>
      </w:pPr>
    </w:p>
    <w:p w14:paraId="33E8143D" w14:textId="77777777" w:rsidR="00520451" w:rsidRPr="0014526A" w:rsidRDefault="00520451" w:rsidP="00520451">
      <w:pPr>
        <w:pStyle w:val="Heading4"/>
        <w:rPr>
          <w:color w:val="000000" w:themeColor="text1"/>
        </w:rPr>
      </w:pPr>
      <w:r w:rsidRPr="0014526A">
        <w:rPr>
          <w:color w:val="000000" w:themeColor="text1"/>
        </w:rPr>
        <w:t>Decriminalizing sex work frees sex workers from the marginalization they face in social, political, cultural, and legal environments</w:t>
      </w:r>
    </w:p>
    <w:p w14:paraId="695D3629" w14:textId="77777777" w:rsidR="00520451" w:rsidRPr="00E312FD" w:rsidRDefault="00520451" w:rsidP="00520451">
      <w:pPr>
        <w:pStyle w:val="NormalWeb"/>
        <w:spacing w:before="0" w:beforeAutospacing="0" w:after="0" w:afterAutospacing="0"/>
      </w:pPr>
      <w:r w:rsidRPr="000C3BAE">
        <w:rPr>
          <w:rFonts w:asciiTheme="majorHAnsi" w:eastAsia="Times New Roman" w:hAnsiTheme="majorHAnsi"/>
          <w:b/>
          <w:color w:val="000000" w:themeColor="text1"/>
          <w:sz w:val="26"/>
          <w:szCs w:val="26"/>
        </w:rPr>
        <w:t>Albright</w:t>
      </w:r>
      <w:r>
        <w:rPr>
          <w:rFonts w:asciiTheme="majorHAnsi" w:eastAsia="Times New Roman" w:hAnsiTheme="majorHAnsi"/>
          <w:b/>
          <w:color w:val="000000" w:themeColor="text1"/>
          <w:sz w:val="26"/>
          <w:szCs w:val="26"/>
        </w:rPr>
        <w:t xml:space="preserve"> and</w:t>
      </w:r>
      <w:r w:rsidRPr="000C3BAE">
        <w:rPr>
          <w:rFonts w:asciiTheme="majorHAnsi" w:eastAsia="Times New Roman" w:hAnsiTheme="majorHAnsi"/>
          <w:b/>
          <w:color w:val="000000" w:themeColor="text1"/>
          <w:sz w:val="26"/>
          <w:szCs w:val="26"/>
        </w:rPr>
        <w:t xml:space="preserve"> D'Adamo</w:t>
      </w:r>
      <w:r>
        <w:rPr>
          <w:rFonts w:asciiTheme="majorHAnsi" w:eastAsia="Times New Roman" w:hAnsiTheme="majorHAnsi"/>
          <w:b/>
          <w:color w:val="000000" w:themeColor="text1"/>
          <w:sz w:val="26"/>
          <w:szCs w:val="26"/>
        </w:rPr>
        <w:t xml:space="preserve"> 17 </w:t>
      </w:r>
      <w:r w:rsidRPr="00D748EB">
        <w:rPr>
          <w:rFonts w:asciiTheme="majorHAnsi" w:eastAsia="Times New Roman" w:hAnsiTheme="majorHAnsi"/>
          <w:color w:val="000000" w:themeColor="text1"/>
          <w:sz w:val="20"/>
          <w:szCs w:val="20"/>
        </w:rPr>
        <w:t>(</w:t>
      </w:r>
      <w:r w:rsidRPr="000C3BAE">
        <w:rPr>
          <w:rFonts w:asciiTheme="majorHAnsi" w:eastAsia="Times New Roman" w:hAnsiTheme="majorHAnsi"/>
          <w:color w:val="000000" w:themeColor="text1"/>
          <w:sz w:val="20"/>
          <w:szCs w:val="20"/>
        </w:rPr>
        <w:t>Erin Albright, JD and Kate D'Adamo, MA</w:t>
      </w:r>
      <w:r w:rsidRPr="00D748EB">
        <w:rPr>
          <w:rFonts w:asciiTheme="majorHAnsi" w:eastAsia="Times New Roman" w:hAnsiTheme="majorHAnsi"/>
          <w:color w:val="000000" w:themeColor="text1"/>
          <w:sz w:val="20"/>
          <w:szCs w:val="20"/>
        </w:rPr>
        <w:t xml:space="preserve">, Erin Albright has over 12 years of experience speaking out against anti-trafficking and has worked with service providers, law enforcement, task forces and lawmakers. </w:t>
      </w:r>
      <w:r w:rsidRPr="00D748EB">
        <w:rPr>
          <w:rFonts w:asciiTheme="majorHAnsi" w:eastAsia="Times New Roman" w:hAnsiTheme="majorHAnsi" w:cs="Arial"/>
          <w:color w:val="000000" w:themeColor="text1"/>
          <w:sz w:val="20"/>
          <w:szCs w:val="20"/>
        </w:rPr>
        <w:t>Previously she oversaw a network of service providers throughout New England, providing coordination, training and technical assistance to ensure best practices in working with survivors of human trafficking.  She also worked for two and a half years for the Boston Police Department’s Human Trafficking Unit and Massachusetts Task Force, managing all data and statistics</w:t>
      </w:r>
      <w:r w:rsidRPr="00D748EB">
        <w:rPr>
          <w:rFonts w:asciiTheme="majorHAnsi" w:eastAsia="Times New Roman" w:hAnsiTheme="majorHAnsi"/>
          <w:color w:val="000000" w:themeColor="text1"/>
          <w:sz w:val="20"/>
          <w:szCs w:val="20"/>
        </w:rPr>
        <w:t xml:space="preserve">, </w:t>
      </w:r>
      <w:r w:rsidRPr="00D748EB">
        <w:rPr>
          <w:rFonts w:asciiTheme="majorHAnsi" w:eastAsia="Times New Roman" w:hAnsiTheme="majorHAnsi"/>
          <w:color w:val="000000" w:themeColor="text1"/>
          <w:sz w:val="20"/>
          <w:szCs w:val="20"/>
          <w:shd w:val="clear" w:color="auto" w:fill="FFFFFF"/>
        </w:rPr>
        <w:t xml:space="preserve">Kate D‘Adamo is a long-time sex worker rights advocate with a focus on economic justice, anti-policing and incarceration and public health. Previously, she was the National Policy Advocate at the Sex Workers Project at the Urban Justice Center focusing on laws, policies and advocacy focused on folks who trade sex, including the criminalization of sex work, anti-trafficking policies, and HIV-specific laws. Prior to joining the Sex Workers Project, Kate was a community organizer and advocate with the Sex Workers Outreach Project and Sex Workers Action New York, “Decreasing Human Trafficking Through Sex Work Decriminalization,” </w:t>
      </w:r>
      <w:r w:rsidRPr="00D748EB">
        <w:rPr>
          <w:rFonts w:asciiTheme="majorHAnsi" w:eastAsia="Times New Roman" w:hAnsiTheme="majorHAnsi"/>
          <w:i/>
          <w:iCs/>
          <w:color w:val="000000" w:themeColor="text1"/>
          <w:sz w:val="20"/>
          <w:szCs w:val="20"/>
        </w:rPr>
        <w:t>AMA J Ethics</w:t>
      </w:r>
      <w:r w:rsidRPr="00D748EB">
        <w:rPr>
          <w:rFonts w:asciiTheme="majorHAnsi" w:hAnsiTheme="majorHAnsi"/>
          <w:i/>
          <w:iCs/>
          <w:color w:val="000000" w:themeColor="text1"/>
          <w:sz w:val="20"/>
          <w:szCs w:val="20"/>
        </w:rPr>
        <w:t>.</w:t>
      </w:r>
      <w:r w:rsidRPr="00D748EB">
        <w:rPr>
          <w:rFonts w:asciiTheme="majorHAnsi" w:hAnsiTheme="majorHAnsi"/>
          <w:color w:val="000000" w:themeColor="text1"/>
          <w:sz w:val="20"/>
          <w:szCs w:val="20"/>
        </w:rPr>
        <w:t xml:space="preserve"> 2017;19(1):122-126. doi: 10.1001/journalofethics.2017.19.1.sect2-1701//AA)</w:t>
      </w:r>
    </w:p>
    <w:p w14:paraId="37F3A01B" w14:textId="77777777" w:rsidR="00520451" w:rsidRPr="000C3BAE" w:rsidRDefault="00520451" w:rsidP="00520451">
      <w:pPr>
        <w:spacing w:after="0" w:line="240" w:lineRule="auto"/>
        <w:rPr>
          <w:rFonts w:asciiTheme="majorHAnsi" w:eastAsia="Times New Roman" w:hAnsiTheme="majorHAnsi" w:cs="Times New Roman"/>
          <w:b/>
          <w:color w:val="000000" w:themeColor="text1"/>
          <w:sz w:val="26"/>
          <w:szCs w:val="26"/>
        </w:rPr>
      </w:pPr>
    </w:p>
    <w:p w14:paraId="18520427" w14:textId="77777777" w:rsidR="00520451" w:rsidRPr="0014526A" w:rsidRDefault="00520451" w:rsidP="00520451">
      <w:pPr>
        <w:spacing w:after="0" w:line="240" w:lineRule="auto"/>
        <w:rPr>
          <w:rFonts w:asciiTheme="majorHAnsi" w:eastAsia="Times New Roman" w:hAnsiTheme="majorHAnsi" w:cs="Times New Roman"/>
          <w:color w:val="000000" w:themeColor="text1"/>
          <w:sz w:val="16"/>
          <w:shd w:val="clear" w:color="auto" w:fill="FFFFFF"/>
        </w:rPr>
      </w:pPr>
      <w:r w:rsidRPr="005E1001">
        <w:rPr>
          <w:rFonts w:asciiTheme="majorHAnsi" w:eastAsia="Times New Roman" w:hAnsiTheme="majorHAnsi" w:cs="Times New Roman"/>
          <w:color w:val="000000" w:themeColor="text1"/>
          <w:u w:val="single"/>
          <w:shd w:val="clear" w:color="auto" w:fill="FFFFFF"/>
        </w:rPr>
        <w:lastRenderedPageBreak/>
        <w:t>In order to decrease human trafficking, health care workers should support the full decriminalization of prostitution</w:t>
      </w:r>
      <w:r w:rsidRPr="005E1001">
        <w:rPr>
          <w:rFonts w:asciiTheme="majorHAnsi" w:eastAsia="Times New Roman" w:hAnsiTheme="majorHAnsi" w:cs="Times New Roman"/>
          <w:color w:val="000000" w:themeColor="text1"/>
          <w:sz w:val="16"/>
          <w:shd w:val="clear" w:color="auto" w:fill="FFFFFF"/>
        </w:rPr>
        <w:t xml:space="preserve">. Similar to trafficking in other forms of labor, </w:t>
      </w:r>
      <w:r w:rsidRPr="005E1001">
        <w:rPr>
          <w:rFonts w:asciiTheme="majorHAnsi" w:eastAsia="Times New Roman" w:hAnsiTheme="majorHAnsi" w:cs="Times New Roman"/>
          <w:color w:val="000000" w:themeColor="text1"/>
          <w:u w:val="single"/>
          <w:shd w:val="clear" w:color="auto" w:fill="FFFFFF"/>
        </w:rPr>
        <w:t>preventing trafficking in the sex trade requires addressing the different forms of marginalization that create vulnerable communities</w:t>
      </w:r>
      <w:r w:rsidRPr="005E1001">
        <w:rPr>
          <w:rFonts w:asciiTheme="majorHAnsi" w:eastAsia="Times New Roman" w:hAnsiTheme="majorHAnsi" w:cs="Times New Roman"/>
          <w:color w:val="000000" w:themeColor="text1"/>
          <w:sz w:val="16"/>
          <w:shd w:val="clear" w:color="auto" w:fill="FFFFFF"/>
        </w:rPr>
        <w:t xml:space="preserve">. </w:t>
      </w:r>
      <w:r w:rsidRPr="005E1001">
        <w:rPr>
          <w:rFonts w:asciiTheme="majorHAnsi" w:eastAsia="Times New Roman" w:hAnsiTheme="majorHAnsi" w:cs="Times New Roman"/>
          <w:color w:val="000000" w:themeColor="text1"/>
          <w:u w:val="single"/>
          <w:shd w:val="clear" w:color="auto" w:fill="FFFFFF"/>
        </w:rPr>
        <w:t>By removing punitive laws that prevent reporting of exploitation and abuse, decriminalization allows sex workers to work more safely, thereby reducing marginalization and vulnerability.</w:t>
      </w:r>
      <w:r w:rsidRPr="005E1001">
        <w:rPr>
          <w:rFonts w:asciiTheme="majorHAnsi" w:eastAsia="Times New Roman" w:hAnsiTheme="majorHAnsi" w:cs="Times New Roman"/>
          <w:color w:val="000000" w:themeColor="text1"/>
          <w:sz w:val="16"/>
          <w:shd w:val="clear" w:color="auto" w:fill="FFFFFF"/>
        </w:rPr>
        <w:t xml:space="preserve"> </w:t>
      </w:r>
      <w:r w:rsidRPr="005E1001">
        <w:rPr>
          <w:rFonts w:asciiTheme="majorHAnsi" w:eastAsia="Times New Roman" w:hAnsiTheme="majorHAnsi" w:cs="Times New Roman"/>
          <w:color w:val="000000" w:themeColor="text1"/>
          <w:u w:val="single"/>
          <w:shd w:val="clear" w:color="auto" w:fill="FFFFFF"/>
        </w:rPr>
        <w:t>Decriminalization can also help destigmatize sex work and help resist political, social, and cultural marginalization of sex workers.</w:t>
      </w:r>
      <w:r w:rsidRPr="0014526A">
        <w:rPr>
          <w:rFonts w:asciiTheme="majorHAnsi" w:eastAsia="Times New Roman" w:hAnsiTheme="majorHAnsi" w:cs="Times New Roman"/>
          <w:color w:val="000000" w:themeColor="text1"/>
          <w:sz w:val="16"/>
          <w:shd w:val="clear" w:color="auto" w:fill="FFFFFF"/>
        </w:rPr>
        <w:t xml:space="preserve"> In August 2016, Amnesty International, while </w:t>
      </w:r>
      <w:r w:rsidRPr="0014526A">
        <w:rPr>
          <w:rFonts w:asciiTheme="majorHAnsi" w:eastAsia="Times New Roman" w:hAnsiTheme="majorHAnsi" w:cs="Times New Roman"/>
          <w:color w:val="000000" w:themeColor="text1"/>
          <w:u w:val="single"/>
          <w:shd w:val="clear" w:color="auto" w:fill="FFFFFF"/>
        </w:rPr>
        <w:t>maintaining and reaffirming its strong condemnation of human trafficking</w:t>
      </w:r>
      <w:r w:rsidRPr="0014526A">
        <w:rPr>
          <w:rFonts w:asciiTheme="majorHAnsi" w:eastAsia="Times New Roman" w:hAnsiTheme="majorHAnsi" w:cs="Times New Roman"/>
          <w:color w:val="000000" w:themeColor="text1"/>
          <w:sz w:val="16"/>
          <w:shd w:val="clear" w:color="auto" w:fill="FFFFFF"/>
        </w:rPr>
        <w:t xml:space="preserve">, released a model policy that calls upon countries to decriminalize the sex trade in order to better protect the health and human rights of sex workers [1]. </w:t>
      </w:r>
    </w:p>
    <w:p w14:paraId="7888D97D" w14:textId="77777777" w:rsidR="00E51DC3" w:rsidRDefault="00E51DC3" w:rsidP="00E51DC3">
      <w:pPr>
        <w:pStyle w:val="Heading4"/>
      </w:pPr>
      <w:r>
        <w:t>Decriminalization means better conditions</w:t>
      </w:r>
    </w:p>
    <w:p w14:paraId="350C80F4" w14:textId="77777777" w:rsidR="00E51DC3" w:rsidRPr="002E672D" w:rsidRDefault="00E51DC3" w:rsidP="00E51DC3">
      <w:pPr>
        <w:rPr>
          <w:sz w:val="20"/>
          <w:szCs w:val="20"/>
        </w:rPr>
      </w:pPr>
      <w:r w:rsidRPr="002E672D">
        <w:rPr>
          <w:b/>
          <w:sz w:val="26"/>
          <w:szCs w:val="26"/>
        </w:rPr>
        <w:t>Brown 14</w:t>
      </w:r>
      <w:r>
        <w:t xml:space="preserve"> </w:t>
      </w:r>
      <w:r w:rsidRPr="002E672D">
        <w:rPr>
          <w:sz w:val="20"/>
          <w:szCs w:val="20"/>
        </w:rPr>
        <w:t>Elizabeth Nolan Brown is a staff editor for Reason.com. She blogs often at Reason’s Hit &amp; Run and enjoys covering food issues, gender, Gen Y, reproductive rights, intellectual property and sex work, 7/19/14, “What the Swedish Model Gets Wrong About Prostitution,” https://time.com/3005687/what-the-swedish-model-gets-wrong-about-prostitution/</w:t>
      </w:r>
    </w:p>
    <w:p w14:paraId="3BBBE3E3" w14:textId="77777777" w:rsidR="00E51DC3" w:rsidRPr="002E672D" w:rsidRDefault="00E51DC3" w:rsidP="00E51DC3">
      <w:pPr>
        <w:rPr>
          <w:sz w:val="16"/>
        </w:rPr>
      </w:pPr>
      <w:r w:rsidRPr="002E672D">
        <w:rPr>
          <w:u w:val="single"/>
        </w:rPr>
        <w:t>The Swedish model</w:t>
      </w:r>
      <w:r w:rsidRPr="002E672D">
        <w:rPr>
          <w:sz w:val="16"/>
        </w:rPr>
        <w:t xml:space="preserve"> (also adopted by Iceland and Norway and under consideration in France, Canada and the UK) may seem like a step in the right direction—a progressive step, a feminist step. But it’s not. Conceptually, the system strips women of agency and autonomy. Under the Swedish model, men “are defined as morally superior to the woman,” notes author and former sex worker Maggie McNeill in an essay for the Cato Institute. “He is criminally culpable for his decisions, but she is not.” Adult women are legally unable to give consent, “just as an adolescent girl is in the crime of statutory rape.” From a practical standpoint, criminalizing clients is just the flip side of the same old coin. It </w:t>
      </w:r>
      <w:r w:rsidRPr="002E672D">
        <w:rPr>
          <w:u w:val="single"/>
        </w:rPr>
        <w:t>still focuses law enforcement efforts and siphons tax dollars toward fighting the sex trade. It still means arresting, fining and jailing people over consensual sex. If we really want to try something new—and something that has a real chance at decreasing violence against women—we should decriminalize prostitution altogether.</w:t>
      </w:r>
      <w:r w:rsidRPr="002E672D">
        <w:rPr>
          <w:sz w:val="16"/>
        </w:rPr>
        <w:t xml:space="preserve"> How would this work, exactly? “Decriminalizing” may sound like a less radical step than “legalization,” but it’s actually quite the opposite. </w:t>
      </w:r>
      <w:r w:rsidRPr="002E672D">
        <w:rPr>
          <w:u w:val="single"/>
        </w:rPr>
        <w:t>Decriminalization means the removal of all statutory penalties for prostitution and things related to its facilitation, such as advertising. It does not mean there are no municipal codes about how a sex-work business can be run or that general codes about public behavior do not apply</w:t>
      </w:r>
      <w:r w:rsidRPr="002E672D">
        <w:rPr>
          <w:sz w:val="16"/>
        </w:rPr>
        <w:t>, explains Mistress Matisse, a dominatrix, writer and prominent sex-worker rights advocate. Legalization, on the other hand, is a stricter regime, wherein the state doesn’t prosecute prostitution per se but takes a heavy-handed approach to its regulation. “This is how it works in Nevada, for example, where legal brothels exist, but one may not just be an independent sex worker,” says Matisse. Under both schemes, forcing someone into prostitution (aka sex trafficking) and being involved in the sale or purchase of sex from a minor would obviously remain a crime. But other crimes supposedly associated with the sex trade could be reduced if prostitution were decriminalized. Research has shown incidences of rape to decrease with the availability of prostitution. One recent study of data from Rhode Island—where a loophole allowed legal indoor prostitution in 2003-2009—found the state’s rape rate declined significantly over this period, especially in urban areas. (The gonorrhea rate also went down.) “</w:t>
      </w:r>
      <w:r w:rsidRPr="002E672D">
        <w:rPr>
          <w:u w:val="single"/>
        </w:rPr>
        <w:t>Decriminalization could have potentially large social benefits for the population at large–not just sex market participants</w:t>
      </w:r>
      <w:r w:rsidRPr="002E672D">
        <w:rPr>
          <w:sz w:val="16"/>
        </w:rPr>
        <w:t xml:space="preserve">,” wrote economists Scott Cunningham and Manisha Shah in a working paper about their research. In New Zealand, street prostitution, escort services, pimping and brothels were decriminalized in 2003, and so far sex workers and the New Zealand government have raved about the arrangement. </w:t>
      </w:r>
      <w:r w:rsidRPr="002E672D">
        <w:rPr>
          <w:u w:val="single"/>
        </w:rPr>
        <w:t xml:space="preserve">A government review in 2008 found the overall number of sex workers had not gone up since prostitution became legal, nor had instances of illegal sex-trafficking. </w:t>
      </w:r>
      <w:r w:rsidRPr="002E672D">
        <w:rPr>
          <w:b/>
          <w:u w:val="single"/>
        </w:rPr>
        <w:t>The most significant change was sex workers enjoying safer and better working conditions</w:t>
      </w:r>
      <w:r w:rsidRPr="002E672D">
        <w:rPr>
          <w:sz w:val="16"/>
        </w:rPr>
        <w:t xml:space="preserve">. Researchers also found high levels of condom use and a very low rate of HIV among New Zealand sex workers. </w:t>
      </w:r>
      <w:r w:rsidRPr="002E672D">
        <w:rPr>
          <w:b/>
          <w:u w:val="single"/>
        </w:rPr>
        <w:t>The bottom line on decriminalization is that it is a means of harm reduction</w:t>
      </w:r>
      <w:r w:rsidRPr="002E672D">
        <w:rPr>
          <w:u w:val="single"/>
        </w:rPr>
        <w:t>. Keeping prostitution illegal is done in the name of women, yet it only perpetuates violence against them while expanding the reach of the carceral state. Decriminalization would end the punitive system wherein sex workers—a disproportionately female, minority and transgender group—are being separated from their families,</w:t>
      </w:r>
      <w:r w:rsidRPr="002E672D">
        <w:rPr>
          <w:sz w:val="16"/>
        </w:rPr>
        <w:t xml:space="preserve"> thrown in jail, and saddled with court costs and criminal records over blow-jobs. It would also allow them to take more measures of precaution (like organizing in brothels) and give them access to the legal protections available other workers (like being able to go to the police when they’ve been wronged). Yet for Swedish Model advocates, only the total eradication of the sex trade will “save” women from the violence and exploitation associated with it.</w:t>
      </w:r>
    </w:p>
    <w:p w14:paraId="32224DBD" w14:textId="77777777" w:rsidR="00E51DC3" w:rsidRDefault="00E51DC3" w:rsidP="00E51DC3"/>
    <w:p w14:paraId="690D1011" w14:textId="77777777" w:rsidR="00E51DC3" w:rsidRDefault="00E51DC3" w:rsidP="00E51DC3">
      <w:pPr>
        <w:pStyle w:val="Heading4"/>
      </w:pPr>
      <w:r>
        <w:t>This solves better than the aff</w:t>
      </w:r>
    </w:p>
    <w:p w14:paraId="352E5629" w14:textId="77777777" w:rsidR="00E51DC3" w:rsidRPr="00926DAA" w:rsidRDefault="00E51DC3" w:rsidP="00E51DC3">
      <w:pPr>
        <w:rPr>
          <w:sz w:val="20"/>
          <w:szCs w:val="20"/>
        </w:rPr>
      </w:pPr>
      <w:r w:rsidRPr="00926DAA">
        <w:rPr>
          <w:b/>
          <w:sz w:val="26"/>
          <w:szCs w:val="26"/>
        </w:rPr>
        <w:t>Yue 5/5</w:t>
      </w:r>
      <w:r>
        <w:t xml:space="preserve"> </w:t>
      </w:r>
      <w:r w:rsidRPr="00926DAA">
        <w:rPr>
          <w:sz w:val="20"/>
          <w:szCs w:val="20"/>
        </w:rPr>
        <w:t>Lily Yue has a Master of Science, Data Science for Public Policy Candidate at Georgetown University McCourt School of Public Policy. She is a writer at Georgetown Public Policy review, 5/5/20, “EMPOWERING THAI SEX WORKERS: THE POSITIVE EFFECTS OF DECRIMINALIZING PROSTITUTION,”</w:t>
      </w:r>
      <w:r>
        <w:rPr>
          <w:sz w:val="20"/>
          <w:szCs w:val="20"/>
        </w:rPr>
        <w:t xml:space="preserve"> http://gppreview.com/2020/05/05/empowering-thai-sex-workers-positive-effects-decriminalizing-prostitution/</w:t>
      </w:r>
    </w:p>
    <w:p w14:paraId="4DAC31A5" w14:textId="77777777" w:rsidR="00E51DC3" w:rsidRPr="00926DAA" w:rsidRDefault="00E51DC3" w:rsidP="00E51DC3">
      <w:pPr>
        <w:rPr>
          <w:u w:val="single"/>
        </w:rPr>
      </w:pPr>
      <w:r w:rsidRPr="00926DAA">
        <w:rPr>
          <w:u w:val="single"/>
        </w:rPr>
        <w:t>Many activists, such as the International Labor Organization (ILO), Amnesty International, and Women’s Rights in Development (AWID), advocate decriminalization as a long-term solution to improve the human and labor rights of sex workers</w:t>
      </w:r>
      <w:r w:rsidRPr="00926DAA">
        <w:rPr>
          <w:sz w:val="16"/>
        </w:rPr>
        <w:t xml:space="preserve">. From a labor recognition perspective, the ILO advocates for prostitution legalization and focuses on recognizing the economic and labor value of sex work, which accounts for an estimated 10% of tourism expenditures in Thailand. </w:t>
      </w:r>
      <w:r w:rsidRPr="00926DAA">
        <w:rPr>
          <w:u w:val="single"/>
        </w:rPr>
        <w:t>The concept of decent work involves fair income, workplace security, and the ability to organize</w:t>
      </w:r>
      <w:r w:rsidRPr="00926DAA">
        <w:rPr>
          <w:sz w:val="16"/>
        </w:rPr>
        <w:t xml:space="preserve">. Its protocol is an initiative to a labor regulation approach under the Unacceptable Work Form (UWF) framework that tackles labor exploitation more effectively, according to Amnesty International. </w:t>
      </w:r>
      <w:r w:rsidRPr="00926DAA">
        <w:rPr>
          <w:u w:val="single"/>
        </w:rPr>
        <w:t xml:space="preserve">From a law and justice perspective, Amnesty International argues that legal recognition affirms sex workers’ ability to claim consent and speak up against increasing danger and oppression, associate freely, and bargain collectively. </w:t>
      </w:r>
      <w:r w:rsidRPr="00926DAA">
        <w:rPr>
          <w:sz w:val="16"/>
        </w:rPr>
        <w:t xml:space="preserve">Measures to combat violence and respect the decision to engage in the sex industry could help law enforcement identify nonconsensual sex-trafficking, and provide adequate protection for victims. From a feminist and women’s rights perspective, AWID criticizes existing laws that delegitimize sex work, restrict the activities of women’s rights defenders, heavily stigmatize sex work, and further obstruct the progress of gender equality. </w:t>
      </w:r>
      <w:r w:rsidRPr="00926DAA">
        <w:rPr>
          <w:b/>
          <w:u w:val="single"/>
        </w:rPr>
        <w:t>By promoting social acceptance of sex work, decriminalization helps to ameliorate discrimination, improve formal worker protections, and mitigate development program scarcity. By broadening access to justice, a stronger nondiscrimination framework should be subsequently introduced into the system</w:t>
      </w:r>
      <w:r w:rsidRPr="00926DAA">
        <w:rPr>
          <w:sz w:val="16"/>
        </w:rPr>
        <w:t xml:space="preserve">. At the moment, the incomplete framework is largely supported by local NGOs who built infrastructures such as public health clinics or regional and international compliant mechanism of violations. </w:t>
      </w:r>
      <w:r w:rsidRPr="00926DAA">
        <w:rPr>
          <w:u w:val="single"/>
        </w:rPr>
        <w:t>The sex workers’ movement is a promising component coming into this framework to help the public better understand discrimination and exploitation inside of the industry.</w:t>
      </w:r>
    </w:p>
    <w:p w14:paraId="35D7D3E0" w14:textId="77777777" w:rsidR="00520451" w:rsidRPr="0041399D" w:rsidRDefault="00520451" w:rsidP="004150D6">
      <w:pPr>
        <w:rPr>
          <w:u w:val="single"/>
        </w:rPr>
      </w:pPr>
      <w:bookmarkStart w:id="0" w:name="_GoBack"/>
      <w:bookmarkEnd w:id="0"/>
    </w:p>
    <w:p w14:paraId="4495800A" w14:textId="77777777" w:rsidR="00391865" w:rsidRPr="0041399D" w:rsidRDefault="00391865" w:rsidP="00391865">
      <w:pPr>
        <w:pStyle w:val="Heading4"/>
      </w:pPr>
      <w:r w:rsidRPr="0041399D">
        <w:t>Creates meaningful reforms that solve for sex worker exploitation</w:t>
      </w:r>
    </w:p>
    <w:p w14:paraId="365DE982" w14:textId="77777777" w:rsidR="00391865" w:rsidRPr="0041399D" w:rsidRDefault="00391865" w:rsidP="00391865">
      <w:pPr>
        <w:rPr>
          <w:rFonts w:eastAsia="Times New Roman" w:cs="Times New Roman"/>
        </w:rPr>
      </w:pPr>
      <w:r w:rsidRPr="0041399D">
        <w:rPr>
          <w:rFonts w:eastAsia="Times New Roman" w:cs="Times New Roman"/>
          <w:b/>
          <w:sz w:val="24"/>
          <w:szCs w:val="18"/>
        </w:rPr>
        <w:t>O</w:t>
      </w:r>
      <w:r w:rsidRPr="0041399D">
        <w:rPr>
          <w:rFonts w:eastAsia="Times New Roman" w:cs="Times New Roman"/>
          <w:sz w:val="18"/>
          <w:szCs w:val="18"/>
        </w:rPr>
        <w:t>pen</w:t>
      </w:r>
      <w:r w:rsidRPr="0041399D">
        <w:rPr>
          <w:rFonts w:eastAsia="Times New Roman" w:cs="Times New Roman"/>
          <w:b/>
          <w:sz w:val="28"/>
          <w:szCs w:val="18"/>
        </w:rPr>
        <w:t xml:space="preserve"> S</w:t>
      </w:r>
      <w:r w:rsidRPr="0041399D">
        <w:rPr>
          <w:rFonts w:eastAsia="Times New Roman" w:cs="Times New Roman"/>
          <w:sz w:val="18"/>
          <w:szCs w:val="18"/>
        </w:rPr>
        <w:t xml:space="preserve">ociety </w:t>
      </w:r>
      <w:r w:rsidRPr="0041399D">
        <w:rPr>
          <w:rFonts w:eastAsia="Times New Roman" w:cs="Times New Roman"/>
          <w:b/>
          <w:sz w:val="28"/>
          <w:szCs w:val="18"/>
        </w:rPr>
        <w:t>F</w:t>
      </w:r>
      <w:r w:rsidRPr="0041399D">
        <w:rPr>
          <w:rFonts w:eastAsia="Times New Roman" w:cs="Times New Roman"/>
          <w:sz w:val="18"/>
          <w:szCs w:val="18"/>
        </w:rPr>
        <w:t xml:space="preserve">oundations </w:t>
      </w:r>
      <w:r w:rsidRPr="0041399D">
        <w:rPr>
          <w:rFonts w:eastAsia="Times New Roman" w:cs="Times New Roman"/>
          <w:b/>
          <w:sz w:val="28"/>
          <w:szCs w:val="18"/>
        </w:rPr>
        <w:t>2015</w:t>
      </w:r>
      <w:r w:rsidRPr="0041399D">
        <w:rPr>
          <w:rFonts w:eastAsia="Times New Roman" w:cs="Times New Roman"/>
        </w:rPr>
        <w:t xml:space="preserve">,, </w:t>
      </w:r>
      <w:r w:rsidRPr="0041399D">
        <w:rPr>
          <w:rFonts w:eastAsia="Times New Roman" w:cs="Times New Roman"/>
          <w:sz w:val="18"/>
          <w:szCs w:val="18"/>
        </w:rPr>
        <w:t>"Ten Reasons to Decriminalize Sex Work - Open Society Foundations"</w:t>
      </w:r>
      <w:r w:rsidRPr="0041399D">
        <w:rPr>
          <w:rFonts w:eastAsia="Times New Roman" w:cs="Times New Roman"/>
        </w:rPr>
        <w:t xml:space="preserve">, </w:t>
      </w:r>
      <w:hyperlink w:history="1">
        <w:r w:rsidRPr="0041399D">
          <w:rPr>
            <w:rStyle w:val="Hyperlink"/>
            <w:rFonts w:eastAsia="Times New Roman" w:cs="Times New Roman"/>
            <w:sz w:val="18"/>
            <w:szCs w:val="18"/>
          </w:rPr>
          <w:t>https://www.opensocietyfoundations.org/publications/ten-reasons-decriminalize-sex-work</w:t>
        </w:r>
      </w:hyperlink>
    </w:p>
    <w:p w14:paraId="4BD3ECF4" w14:textId="77777777" w:rsidR="00391865" w:rsidRPr="0041399D" w:rsidRDefault="00391865" w:rsidP="00391865">
      <w:pPr>
        <w:rPr>
          <w:rFonts w:cs="‡‡¯øœÅÿ"/>
          <w:szCs w:val="20"/>
        </w:rPr>
      </w:pPr>
      <w:r w:rsidRPr="0041399D">
        <w:rPr>
          <w:rFonts w:cs="Times New Roman"/>
          <w:szCs w:val="20"/>
        </w:rPr>
        <w:t xml:space="preserve">This document provides ten reasons why decriminalization of sex work is the best policy for promoting the health and human rights of sex workers, their families, and communities. </w:t>
      </w:r>
      <w:r w:rsidRPr="0041399D">
        <w:rPr>
          <w:rFonts w:cs="‡‡¯øœÅÿ"/>
          <w:szCs w:val="20"/>
        </w:rPr>
        <w:t xml:space="preserve">Decriminalization refers to the removal of all criminal and administrative prohibitions and penalties on sex work, including laws targeting clients and brothel owners. </w:t>
      </w:r>
      <w:r w:rsidRPr="0041399D">
        <w:rPr>
          <w:rFonts w:cs="‡‡¯øœÅÿ"/>
          <w:b/>
          <w:szCs w:val="20"/>
          <w:u w:val="single"/>
        </w:rPr>
        <w:t>It differs from legalization</w:t>
      </w:r>
      <w:r w:rsidRPr="0041399D">
        <w:rPr>
          <w:rFonts w:cs="‡‡¯øœÅÿ"/>
          <w:szCs w:val="20"/>
        </w:rPr>
        <w:t xml:space="preserve">, which is a legislative regime characterized by significant regulations—many of </w:t>
      </w:r>
      <w:r w:rsidRPr="0041399D">
        <w:rPr>
          <w:rFonts w:cs="‡‡¯øœÅÿ"/>
          <w:b/>
          <w:sz w:val="24"/>
          <w:szCs w:val="20"/>
          <w:u w:val="single"/>
        </w:rPr>
        <w:t>which can limit rights and protections, create mechanisms for abuse by authorities, and have other negative impacts on sex workers.</w:t>
      </w:r>
      <w:r w:rsidRPr="0041399D">
        <w:rPr>
          <w:rFonts w:cs="‡‡¯øœÅÿ"/>
          <w:szCs w:val="20"/>
        </w:rPr>
        <w:t xml:space="preserve"> </w:t>
      </w:r>
      <w:r w:rsidRPr="0041399D">
        <w:rPr>
          <w:rFonts w:cs="Times New Roman"/>
          <w:szCs w:val="20"/>
        </w:rPr>
        <w:t xml:space="preserve">New Zealand and New South Wales, Australia are two </w:t>
      </w:r>
      <w:r w:rsidRPr="0041399D">
        <w:rPr>
          <w:rFonts w:cs="‡‡¯øœÅÿ"/>
          <w:szCs w:val="20"/>
        </w:rPr>
        <w:t xml:space="preserve">jurisdictions known for their decriminalized sex industries. </w:t>
      </w:r>
      <w:r w:rsidRPr="0041399D">
        <w:rPr>
          <w:rFonts w:cs="‡‡¯øœÅÿ"/>
          <w:b/>
          <w:szCs w:val="20"/>
          <w:u w:val="single"/>
        </w:rPr>
        <w:t>Decriminalization goes hand-in-hand with recognizing sex work as work and protecting the rights of sex workers through labor law, and workplace health and safety regulations. When sex work is decriminalized, sex workers can press for safer working conditions and use the justice system to seek redress for discrimination and abuse.</w:t>
      </w:r>
      <w:r w:rsidRPr="0041399D">
        <w:rPr>
          <w:rFonts w:cs="Times New Roman"/>
          <w:sz w:val="14"/>
          <w:szCs w:val="12"/>
        </w:rPr>
        <w:t xml:space="preserve">4 </w:t>
      </w:r>
      <w:r w:rsidRPr="0041399D">
        <w:rPr>
          <w:rFonts w:cs="‡‡¯øœÅÿ"/>
          <w:szCs w:val="20"/>
        </w:rPr>
        <w:t>Sex workers are more likely to live without stigma, social exclusion, or fear of violence. Even where sex work is decriminalized, the prostitution of minors and human trafficking can and should remain criminal acts.</w:t>
      </w:r>
    </w:p>
    <w:p w14:paraId="50C14A7F" w14:textId="42267506" w:rsidR="00862CAC" w:rsidRPr="0041399D" w:rsidRDefault="00862CAC" w:rsidP="00862CAC">
      <w:pPr>
        <w:pStyle w:val="Heading4"/>
        <w:rPr>
          <w:rFonts w:eastAsia="Times New Roman"/>
        </w:rPr>
      </w:pPr>
      <w:r w:rsidRPr="0041399D">
        <w:rPr>
          <w:rFonts w:eastAsia="Times New Roman"/>
        </w:rPr>
        <w:t>Decriminalizing sex work is better than the plan—increases financial support for sex worker health programs- this key to prevent HIV and STIs</w:t>
      </w:r>
    </w:p>
    <w:p w14:paraId="2253BFC8" w14:textId="77777777" w:rsidR="00862CAC" w:rsidRPr="0041399D" w:rsidRDefault="00862CAC" w:rsidP="00862CAC">
      <w:pPr>
        <w:rPr>
          <w:rFonts w:eastAsia="Times New Roman" w:cs="Times New Roman"/>
        </w:rPr>
      </w:pPr>
      <w:r w:rsidRPr="0041399D">
        <w:rPr>
          <w:rFonts w:eastAsia="Times New Roman" w:cs="Times New Roman"/>
          <w:b/>
          <w:sz w:val="24"/>
          <w:szCs w:val="18"/>
        </w:rPr>
        <w:t>O</w:t>
      </w:r>
      <w:r w:rsidRPr="0041399D">
        <w:rPr>
          <w:rFonts w:eastAsia="Times New Roman" w:cs="Times New Roman"/>
          <w:sz w:val="18"/>
          <w:szCs w:val="18"/>
        </w:rPr>
        <w:t>pen</w:t>
      </w:r>
      <w:r w:rsidRPr="0041399D">
        <w:rPr>
          <w:rFonts w:eastAsia="Times New Roman" w:cs="Times New Roman"/>
          <w:b/>
          <w:sz w:val="28"/>
          <w:szCs w:val="18"/>
        </w:rPr>
        <w:t xml:space="preserve"> S</w:t>
      </w:r>
      <w:r w:rsidRPr="0041399D">
        <w:rPr>
          <w:rFonts w:eastAsia="Times New Roman" w:cs="Times New Roman"/>
          <w:sz w:val="18"/>
          <w:szCs w:val="18"/>
        </w:rPr>
        <w:t xml:space="preserve">ociety </w:t>
      </w:r>
      <w:r w:rsidRPr="0041399D">
        <w:rPr>
          <w:rFonts w:eastAsia="Times New Roman" w:cs="Times New Roman"/>
          <w:b/>
          <w:sz w:val="28"/>
          <w:szCs w:val="18"/>
        </w:rPr>
        <w:t>F</w:t>
      </w:r>
      <w:r w:rsidRPr="0041399D">
        <w:rPr>
          <w:rFonts w:eastAsia="Times New Roman" w:cs="Times New Roman"/>
          <w:sz w:val="18"/>
          <w:szCs w:val="18"/>
        </w:rPr>
        <w:t xml:space="preserve">oundations </w:t>
      </w:r>
      <w:r w:rsidRPr="0041399D">
        <w:rPr>
          <w:rFonts w:eastAsia="Times New Roman" w:cs="Times New Roman"/>
          <w:b/>
          <w:sz w:val="28"/>
          <w:szCs w:val="18"/>
        </w:rPr>
        <w:t>2015</w:t>
      </w:r>
      <w:r w:rsidRPr="0041399D">
        <w:rPr>
          <w:rFonts w:eastAsia="Times New Roman" w:cs="Times New Roman"/>
        </w:rPr>
        <w:t xml:space="preserve">,, </w:t>
      </w:r>
      <w:r w:rsidRPr="0041399D">
        <w:rPr>
          <w:rFonts w:eastAsia="Times New Roman" w:cs="Times New Roman"/>
          <w:sz w:val="18"/>
          <w:szCs w:val="18"/>
        </w:rPr>
        <w:t>"Ten Reasons to Decriminalize Sex Work - Open Society Foundations"</w:t>
      </w:r>
      <w:r w:rsidRPr="0041399D">
        <w:rPr>
          <w:rFonts w:eastAsia="Times New Roman" w:cs="Times New Roman"/>
        </w:rPr>
        <w:t xml:space="preserve">, </w:t>
      </w:r>
      <w:hyperlink w:history="1">
        <w:r w:rsidRPr="0041399D">
          <w:rPr>
            <w:rStyle w:val="Hyperlink"/>
            <w:rFonts w:eastAsia="Times New Roman" w:cs="Times New Roman"/>
            <w:sz w:val="18"/>
            <w:szCs w:val="18"/>
          </w:rPr>
          <w:t>https://www.opensocietyfoundations.org/publications/ten-reasons-decriminalize-sex-work</w:t>
        </w:r>
      </w:hyperlink>
    </w:p>
    <w:p w14:paraId="01F126BD" w14:textId="00DF6A9C" w:rsidR="00862CAC" w:rsidRDefault="00862CAC" w:rsidP="00862CAC">
      <w:r w:rsidRPr="0041399D">
        <w:rPr>
          <w:b/>
          <w:u w:val="single"/>
        </w:rPr>
        <w:t>Decriminalization improves access to health services Decriminalization is associated with the best access by outreach workers to brothels, and the greatest financial support for sex worker health programs</w:t>
      </w:r>
      <w:r w:rsidRPr="0041399D">
        <w:t xml:space="preserve">. Better financial support means greater capacity to conduct health outreach in the evening, an important feature because the evenings are often the busiest times for sex workers.29 Decriminalization has also been shown to increase condom access and rates of use by sex workers. For example, in the state of New South Wales, Australia where sex work is decriminalized, sex workers’ access to and use of condoms is higher than in other Australian jurisdictions that have varying levels of criminalization. In addition, decriminalization enables sex workers to work in collectives in which they can organize appropriate, accessible, and respectful health services for themselves. This offers a powerful alternative to the stigma and discrimination sex workers face in their interactions with many health care providers. The Bar Hostess Empowerment and Support Program in Nairobi, Kenya is a stand out example among groups that have developed health services that are delivered in close collaboration with sex worker communities. Decriminalization reduces risk of HIV and sexually transmitted infections </w:t>
      </w:r>
      <w:r w:rsidRPr="0041399D">
        <w:rPr>
          <w:b/>
          <w:u w:val="single"/>
        </w:rPr>
        <w:lastRenderedPageBreak/>
        <w:t>Decriminalization of sex work could avert up to 46 percent of new HIV infections among female sex workers over the next decade</w:t>
      </w:r>
      <w:r w:rsidRPr="0041399D">
        <w:t xml:space="preserve">.30 </w:t>
      </w:r>
      <w:r w:rsidRPr="0041399D">
        <w:rPr>
          <w:b/>
          <w:u w:val="single"/>
        </w:rPr>
        <w:t>A recent study published in The Lancet concluded that decriminalization of sex work had the single greatest potential to reduce HIV infections in female sex worker communities—even more than increasing access to antiretroviral treatment</w:t>
      </w:r>
      <w:r w:rsidRPr="0041399D">
        <w:t xml:space="preserve">.31 </w:t>
      </w:r>
      <w:r w:rsidRPr="0041399D">
        <w:rPr>
          <w:b/>
          <w:u w:val="single"/>
        </w:rPr>
        <w:t>When sex work is decriminalized, sex workers are empowered to insist on condom use by clients, and are better able to access testing and treatment for HIV and sexually transmitted infections</w:t>
      </w:r>
      <w:r w:rsidRPr="0041399D">
        <w:t xml:space="preserve">. </w:t>
      </w:r>
      <w:r w:rsidRPr="0041399D">
        <w:rPr>
          <w:u w:val="single"/>
        </w:rPr>
        <w:t>In contrast, criminalization harms sex workers’ ability to negotiate condom use with clients.</w:t>
      </w:r>
      <w:r w:rsidRPr="0041399D">
        <w:t>32 Visible condoms and openly negotiating condom use put sex workers at greater risk of arrest. This deters sex workers and clients from condom use, particularly among street-based sex workers who are often at highest risk of HIV infection. In response to this, various police departments around the world have decided to stop using condoms as evidence of prostitution against sex workers.</w:t>
      </w:r>
    </w:p>
    <w:p w14:paraId="08F47FEE" w14:textId="77777777" w:rsidR="00D30B7A" w:rsidRPr="000D435B" w:rsidRDefault="00D30B7A" w:rsidP="00D30B7A">
      <w:pPr>
        <w:pStyle w:val="Heading4"/>
        <w:rPr>
          <w:rFonts w:asciiTheme="majorHAnsi" w:hAnsiTheme="majorHAnsi"/>
        </w:rPr>
      </w:pPr>
      <w:r w:rsidRPr="000D435B">
        <w:rPr>
          <w:rFonts w:asciiTheme="majorHAnsi" w:hAnsiTheme="majorHAnsi"/>
        </w:rPr>
        <w:t>Consensual adult sex work should be decriminalized because it invades the right for people to decide what to do with their bodies. Decriminalization of sex work would protect the workers from assault and abuse as well.</w:t>
      </w:r>
    </w:p>
    <w:p w14:paraId="26DC80E7" w14:textId="77777777" w:rsidR="00D30B7A" w:rsidRDefault="00D30B7A" w:rsidP="00D30B7A">
      <w:pPr>
        <w:spacing w:after="0" w:line="240" w:lineRule="auto"/>
        <w:rPr>
          <w:rFonts w:ascii="Times New Roman" w:eastAsia="Times New Roman" w:hAnsi="Times New Roman" w:cs="Times New Roman"/>
          <w:sz w:val="24"/>
        </w:rPr>
      </w:pPr>
      <w:r w:rsidRPr="000D435B">
        <w:rPr>
          <w:rFonts w:asciiTheme="majorHAnsi" w:hAnsiTheme="majorHAnsi"/>
          <w:b/>
          <w:sz w:val="26"/>
          <w:szCs w:val="26"/>
        </w:rPr>
        <w:t>Human Rights Watch 19</w:t>
      </w:r>
      <w:r>
        <w:t xml:space="preserve"> (</w:t>
      </w:r>
      <w:r w:rsidRPr="0025087C">
        <w:rPr>
          <w:color w:val="000000" w:themeColor="text1"/>
        </w:rPr>
        <w:t xml:space="preserve">Human Rights Watch, August 7, 2019, “Why Sex Work Should Be Decriminalized,” </w:t>
      </w:r>
      <w:hyperlink r:id="rId18" w:history="1">
        <w:r w:rsidRPr="0025087C">
          <w:rPr>
            <w:rFonts w:ascii="Times New Roman" w:eastAsia="Times New Roman" w:hAnsi="Times New Roman" w:cs="Times New Roman"/>
            <w:color w:val="000000" w:themeColor="text1"/>
            <w:u w:val="single"/>
          </w:rPr>
          <w:t>https://www.hrw.org/news/2019/08/07/why-sex-work-should-be-decriminalized#</w:t>
        </w:r>
      </w:hyperlink>
      <w:r w:rsidRPr="0025087C">
        <w:rPr>
          <w:rFonts w:ascii="Times New Roman" w:eastAsia="Times New Roman" w:hAnsi="Times New Roman" w:cs="Times New Roman"/>
          <w:color w:val="000000" w:themeColor="text1"/>
        </w:rPr>
        <w:t xml:space="preserve"> //AA)</w:t>
      </w:r>
    </w:p>
    <w:p w14:paraId="7449D8EC" w14:textId="77777777" w:rsidR="00D30B7A" w:rsidRPr="00510CAF" w:rsidRDefault="00D30B7A" w:rsidP="00D30B7A">
      <w:pPr>
        <w:spacing w:after="0" w:line="240" w:lineRule="auto"/>
        <w:rPr>
          <w:rFonts w:ascii="Times New Roman" w:eastAsia="Times New Roman" w:hAnsi="Times New Roman" w:cs="Times New Roman"/>
          <w:sz w:val="24"/>
        </w:rPr>
      </w:pPr>
    </w:p>
    <w:p w14:paraId="5013C45E" w14:textId="77777777" w:rsidR="00D30B7A" w:rsidRPr="00510CAF" w:rsidRDefault="00D30B7A" w:rsidP="00D30B7A">
      <w:r w:rsidRPr="00A57C67">
        <w:rPr>
          <w:rFonts w:asciiTheme="majorHAnsi" w:hAnsiTheme="majorHAnsi" w:cs="Times New Roman"/>
          <w:color w:val="000000" w:themeColor="text1"/>
          <w:sz w:val="14"/>
        </w:rPr>
        <w:t>Human Rights Watch has conducted research on sex work around the world, including in </w:t>
      </w:r>
      <w:hyperlink r:id="rId19" w:history="1">
        <w:r w:rsidRPr="00A13958">
          <w:rPr>
            <w:rFonts w:asciiTheme="majorHAnsi" w:hAnsiTheme="majorHAnsi" w:cs="Times New Roman"/>
            <w:color w:val="000000" w:themeColor="text1"/>
            <w:sz w:val="14"/>
            <w:bdr w:val="single" w:sz="2" w:space="0" w:color="auto" w:frame="1"/>
          </w:rPr>
          <w:t>Cambodia</w:t>
        </w:r>
      </w:hyperlink>
      <w:r w:rsidRPr="00A57C67">
        <w:rPr>
          <w:rFonts w:asciiTheme="majorHAnsi" w:hAnsiTheme="majorHAnsi" w:cs="Times New Roman"/>
          <w:color w:val="000000" w:themeColor="text1"/>
          <w:sz w:val="14"/>
        </w:rPr>
        <w:t>, </w:t>
      </w:r>
      <w:hyperlink r:id="rId20" w:history="1">
        <w:r w:rsidRPr="00A13958">
          <w:rPr>
            <w:rFonts w:asciiTheme="majorHAnsi" w:hAnsiTheme="majorHAnsi" w:cs="Times New Roman"/>
            <w:color w:val="000000" w:themeColor="text1"/>
            <w:sz w:val="14"/>
            <w:bdr w:val="single" w:sz="2" w:space="0" w:color="auto" w:frame="1"/>
          </w:rPr>
          <w:t>China</w:t>
        </w:r>
      </w:hyperlink>
      <w:r w:rsidRPr="00A57C67">
        <w:rPr>
          <w:rFonts w:asciiTheme="majorHAnsi" w:hAnsiTheme="majorHAnsi" w:cs="Times New Roman"/>
          <w:color w:val="000000" w:themeColor="text1"/>
          <w:sz w:val="14"/>
        </w:rPr>
        <w:t>, </w:t>
      </w:r>
      <w:hyperlink r:id="rId21" w:history="1">
        <w:r w:rsidRPr="00A13958">
          <w:rPr>
            <w:rFonts w:asciiTheme="majorHAnsi" w:hAnsiTheme="majorHAnsi" w:cs="Times New Roman"/>
            <w:color w:val="000000" w:themeColor="text1"/>
            <w:sz w:val="14"/>
            <w:bdr w:val="single" w:sz="2" w:space="0" w:color="auto" w:frame="1"/>
          </w:rPr>
          <w:t>Tanzania</w:t>
        </w:r>
      </w:hyperlink>
      <w:r w:rsidRPr="00A57C67">
        <w:rPr>
          <w:rFonts w:asciiTheme="majorHAnsi" w:hAnsiTheme="majorHAnsi" w:cs="Times New Roman"/>
          <w:color w:val="000000" w:themeColor="text1"/>
          <w:sz w:val="14"/>
        </w:rPr>
        <w:t>, </w:t>
      </w:r>
      <w:hyperlink r:id="rId22" w:history="1">
        <w:r w:rsidRPr="00A13958">
          <w:rPr>
            <w:rFonts w:asciiTheme="majorHAnsi" w:hAnsiTheme="majorHAnsi" w:cs="Times New Roman"/>
            <w:color w:val="000000" w:themeColor="text1"/>
            <w:sz w:val="14"/>
            <w:bdr w:val="single" w:sz="2" w:space="0" w:color="auto" w:frame="1"/>
          </w:rPr>
          <w:t>the United States</w:t>
        </w:r>
      </w:hyperlink>
      <w:r w:rsidRPr="00A57C67">
        <w:rPr>
          <w:rFonts w:asciiTheme="majorHAnsi" w:hAnsiTheme="majorHAnsi" w:cs="Times New Roman"/>
          <w:color w:val="000000" w:themeColor="text1"/>
          <w:sz w:val="14"/>
        </w:rPr>
        <w:t>, and most recently, </w:t>
      </w:r>
      <w:hyperlink r:id="rId23" w:history="1">
        <w:r w:rsidRPr="00A13958">
          <w:rPr>
            <w:rFonts w:asciiTheme="majorHAnsi" w:hAnsiTheme="majorHAnsi" w:cs="Times New Roman"/>
            <w:color w:val="000000" w:themeColor="text1"/>
            <w:sz w:val="14"/>
            <w:bdr w:val="single" w:sz="2" w:space="0" w:color="auto" w:frame="1"/>
          </w:rPr>
          <w:t>South Africa</w:t>
        </w:r>
      </w:hyperlink>
      <w:r w:rsidRPr="00A57C67">
        <w:rPr>
          <w:rFonts w:asciiTheme="majorHAnsi" w:hAnsiTheme="majorHAnsi" w:cs="Times New Roman"/>
          <w:color w:val="000000" w:themeColor="text1"/>
          <w:sz w:val="14"/>
        </w:rPr>
        <w:t>. The research, including extensive consultations with sex workers and organizations that work on the issue, has shaped the Human Rights Watch policy on sex work: </w:t>
      </w:r>
      <w:r w:rsidRPr="00A13958">
        <w:rPr>
          <w:rFonts w:asciiTheme="majorHAnsi" w:hAnsiTheme="majorHAnsi" w:cs="Times New Roman"/>
          <w:bCs/>
          <w:color w:val="000000" w:themeColor="text1"/>
          <w:sz w:val="14"/>
          <w:bdr w:val="single" w:sz="2" w:space="0" w:color="auto" w:frame="1"/>
        </w:rPr>
        <w:t>Human Rights Watch supports the full decriminalization of consensual adult sex work.</w:t>
      </w:r>
      <w:r w:rsidRPr="00A13958">
        <w:rPr>
          <w:rFonts w:asciiTheme="majorHAnsi" w:hAnsiTheme="majorHAnsi" w:cs="Times New Roman"/>
          <w:color w:val="000000" w:themeColor="text1"/>
          <w:sz w:val="14"/>
        </w:rPr>
        <w:t xml:space="preserve"> </w:t>
      </w:r>
      <w:r w:rsidRPr="00A13958">
        <w:rPr>
          <w:rFonts w:asciiTheme="majorHAnsi" w:hAnsiTheme="majorHAnsi" w:cs="Times New Roman"/>
          <w:bCs/>
          <w:color w:val="000000" w:themeColor="text1"/>
          <w:sz w:val="14"/>
          <w:bdr w:val="single" w:sz="2" w:space="0" w:color="auto" w:frame="1"/>
        </w:rPr>
        <w:t>Why is criminalization of sex work a human rights issue?</w:t>
      </w:r>
      <w:r w:rsidRPr="00A13958">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u w:val="single"/>
        </w:rPr>
        <w:t>Criminalizing adult, voluntary, and consensual sex – including the commercial exchange of sexual services – is incompatible with the human right to personal autonomy and privacy</w:t>
      </w:r>
      <w:r w:rsidRPr="00A57C67">
        <w:rPr>
          <w:rFonts w:asciiTheme="majorHAnsi" w:hAnsiTheme="majorHAnsi" w:cs="Times New Roman"/>
          <w:color w:val="000000" w:themeColor="text1"/>
          <w:sz w:val="14"/>
        </w:rPr>
        <w:t xml:space="preserve">. In short – </w:t>
      </w:r>
      <w:r w:rsidRPr="00A57C67">
        <w:rPr>
          <w:rFonts w:asciiTheme="majorHAnsi" w:hAnsiTheme="majorHAnsi" w:cs="Times New Roman"/>
          <w:color w:val="000000" w:themeColor="text1"/>
          <w:u w:val="single"/>
        </w:rPr>
        <w:t>a government should not be telling consenting adults who they can have sexual relations with and on what terms.</w:t>
      </w:r>
      <w:r w:rsidRPr="00A13958">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u w:val="single"/>
        </w:rPr>
        <w:t>Criminalization exposes sex workers to abuse and exploitation by law enforcement officials, such as police officers</w:t>
      </w:r>
      <w:r w:rsidRPr="00A57C67">
        <w:rPr>
          <w:rFonts w:asciiTheme="majorHAnsi" w:hAnsiTheme="majorHAnsi" w:cs="Times New Roman"/>
          <w:color w:val="000000" w:themeColor="text1"/>
          <w:sz w:val="14"/>
        </w:rPr>
        <w:t xml:space="preserve">. Human Rights Watch has documented that, in criminalized environments, </w:t>
      </w:r>
      <w:r w:rsidRPr="00A57C67">
        <w:rPr>
          <w:rFonts w:asciiTheme="majorHAnsi" w:hAnsiTheme="majorHAnsi" w:cs="Times New Roman"/>
          <w:color w:val="000000" w:themeColor="text1"/>
          <w:u w:val="single"/>
        </w:rPr>
        <w:t>police officers harass sex workers, extort bribes, and physically and verbally abuse sex workers, or even rape or coerce sex from them</w:t>
      </w:r>
      <w:r w:rsidRPr="00A57C67">
        <w:rPr>
          <w:rFonts w:asciiTheme="majorHAnsi" w:hAnsiTheme="majorHAnsi" w:cs="Times New Roman"/>
          <w:color w:val="000000" w:themeColor="text1"/>
          <w:sz w:val="14"/>
        </w:rPr>
        <w:t>.</w:t>
      </w:r>
      <w:r w:rsidRPr="00A13958">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sz w:val="14"/>
        </w:rPr>
        <w:t xml:space="preserve">Human Rights Watch has consistently found in research across various countries that </w:t>
      </w:r>
      <w:r w:rsidRPr="00A57C67">
        <w:rPr>
          <w:rFonts w:asciiTheme="majorHAnsi" w:hAnsiTheme="majorHAnsi" w:cs="Times New Roman"/>
          <w:color w:val="000000" w:themeColor="text1"/>
          <w:u w:val="single"/>
        </w:rPr>
        <w:t>criminalization makes sex workers more vulnerable to violence</w:t>
      </w:r>
      <w:r w:rsidRPr="00A57C67">
        <w:rPr>
          <w:rFonts w:asciiTheme="majorHAnsi" w:hAnsiTheme="majorHAnsi" w:cs="Times New Roman"/>
          <w:color w:val="000000" w:themeColor="text1"/>
          <w:sz w:val="14"/>
        </w:rPr>
        <w:t xml:space="preserve">, including rape, assault, and murder, by </w:t>
      </w:r>
      <w:r w:rsidRPr="00A57C67">
        <w:rPr>
          <w:rFonts w:asciiTheme="majorHAnsi" w:hAnsiTheme="majorHAnsi" w:cs="Times New Roman"/>
          <w:color w:val="000000" w:themeColor="text1"/>
          <w:u w:val="single"/>
        </w:rPr>
        <w:t>attackers</w:t>
      </w:r>
      <w:r w:rsidRPr="00A57C67">
        <w:rPr>
          <w:rFonts w:asciiTheme="majorHAnsi" w:hAnsiTheme="majorHAnsi" w:cs="Times New Roman"/>
          <w:color w:val="000000" w:themeColor="text1"/>
          <w:sz w:val="14"/>
        </w:rPr>
        <w:t xml:space="preserve"> who </w:t>
      </w:r>
      <w:r w:rsidRPr="00A57C67">
        <w:rPr>
          <w:rFonts w:asciiTheme="majorHAnsi" w:hAnsiTheme="majorHAnsi" w:cs="Times New Roman"/>
          <w:color w:val="000000" w:themeColor="text1"/>
          <w:u w:val="single"/>
        </w:rPr>
        <w:t>see sex workers as easy targets because they are stigmatized and unlikely to receive help from the police</w:t>
      </w:r>
      <w:r w:rsidRPr="00A57C67">
        <w:rPr>
          <w:rFonts w:asciiTheme="majorHAnsi" w:hAnsiTheme="majorHAnsi" w:cs="Times New Roman"/>
          <w:color w:val="000000" w:themeColor="text1"/>
          <w:sz w:val="14"/>
        </w:rPr>
        <w:t>. Criminalization may also force sex workers to work in unsafe locations to avoid the police.</w:t>
      </w:r>
      <w:r w:rsidRPr="00A13958">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u w:val="single"/>
        </w:rPr>
        <w:t>Criminalization consistently undermines sex workers’ ability to seek justice for crimes against them</w:t>
      </w:r>
      <w:r w:rsidRPr="00A57C67">
        <w:rPr>
          <w:rFonts w:asciiTheme="majorHAnsi" w:hAnsiTheme="majorHAnsi" w:cs="Times New Roman"/>
          <w:color w:val="000000" w:themeColor="text1"/>
          <w:sz w:val="14"/>
        </w:rPr>
        <w:t xml:space="preserve">. Sex workers in South Africa, for example, said they did not report armed robbery or rape to the police. They said that </w:t>
      </w:r>
      <w:r w:rsidRPr="00A57C67">
        <w:rPr>
          <w:rFonts w:asciiTheme="majorHAnsi" w:hAnsiTheme="majorHAnsi" w:cs="Times New Roman"/>
          <w:color w:val="000000" w:themeColor="text1"/>
          <w:u w:val="single"/>
        </w:rPr>
        <w:t>they are afraid of being arrested because their work is illegal and that their experience with police is of being harassed or profiled and arrested, or laughed at or not taken seriously</w:t>
      </w:r>
      <w:r w:rsidRPr="00A57C67">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u w:val="single"/>
        </w:rPr>
        <w:t>Even when they report crimes, sex workers may not be willing to testify in court against their assailants and rapists for fear of facing sanctions or further abuse because of their work and status.</w:t>
      </w:r>
      <w:r w:rsidRPr="00A13958">
        <w:rPr>
          <w:rFonts w:asciiTheme="majorHAnsi" w:hAnsiTheme="majorHAnsi" w:cs="Times New Roman"/>
          <w:color w:val="000000" w:themeColor="text1"/>
          <w:u w:val="single"/>
        </w:rPr>
        <w:t xml:space="preserve"> </w:t>
      </w:r>
      <w:hyperlink r:id="rId24" w:history="1">
        <w:r w:rsidRPr="0025087C">
          <w:rPr>
            <w:rFonts w:asciiTheme="majorHAnsi" w:hAnsiTheme="majorHAnsi" w:cs="Times New Roman"/>
            <w:color w:val="000000" w:themeColor="text1"/>
            <w:u w:val="single"/>
            <w:bdr w:val="single" w:sz="2" w:space="0" w:color="auto" w:frame="1"/>
          </w:rPr>
          <w:t>UNAIDS</w:t>
        </w:r>
      </w:hyperlink>
      <w:r w:rsidRPr="00A57C67">
        <w:rPr>
          <w:rFonts w:asciiTheme="majorHAnsi" w:hAnsiTheme="majorHAnsi" w:cs="Times New Roman"/>
          <w:color w:val="000000" w:themeColor="text1"/>
          <w:sz w:val="14"/>
        </w:rPr>
        <w:t>, </w:t>
      </w:r>
      <w:hyperlink r:id="rId25" w:history="1">
        <w:r w:rsidRPr="0025087C">
          <w:rPr>
            <w:rFonts w:asciiTheme="majorHAnsi" w:hAnsiTheme="majorHAnsi" w:cs="Times New Roman"/>
            <w:color w:val="000000" w:themeColor="text1"/>
            <w:u w:val="single"/>
            <w:bdr w:val="single" w:sz="2" w:space="0" w:color="auto" w:frame="1"/>
          </w:rPr>
          <w:t>public health experts</w:t>
        </w:r>
      </w:hyperlink>
      <w:r w:rsidRPr="00A57C67">
        <w:rPr>
          <w:rFonts w:asciiTheme="majorHAnsi" w:hAnsiTheme="majorHAnsi" w:cs="Times New Roman"/>
          <w:color w:val="000000" w:themeColor="text1"/>
          <w:sz w:val="14"/>
        </w:rPr>
        <w:t>, </w:t>
      </w:r>
      <w:hyperlink r:id="rId26" w:history="1">
        <w:r w:rsidRPr="0025087C">
          <w:rPr>
            <w:rFonts w:asciiTheme="majorHAnsi" w:hAnsiTheme="majorHAnsi" w:cs="Times New Roman"/>
            <w:color w:val="000000" w:themeColor="text1"/>
            <w:u w:val="single"/>
            <w:bdr w:val="single" w:sz="2" w:space="0" w:color="auto" w:frame="1"/>
          </w:rPr>
          <w:t>sex worker organizations</w:t>
        </w:r>
      </w:hyperlink>
      <w:r w:rsidRPr="00A57C67">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u w:val="single"/>
        </w:rPr>
        <w:t>and other </w:t>
      </w:r>
      <w:hyperlink r:id="rId27" w:history="1">
        <w:r w:rsidRPr="0025087C">
          <w:rPr>
            <w:rFonts w:asciiTheme="majorHAnsi" w:hAnsiTheme="majorHAnsi" w:cs="Times New Roman"/>
            <w:color w:val="000000" w:themeColor="text1"/>
            <w:u w:val="single"/>
            <w:bdr w:val="single" w:sz="2" w:space="0" w:color="auto" w:frame="1"/>
          </w:rPr>
          <w:t>human rights organizations</w:t>
        </w:r>
      </w:hyperlink>
      <w:r w:rsidRPr="00A57C67">
        <w:rPr>
          <w:rFonts w:asciiTheme="majorHAnsi" w:hAnsiTheme="majorHAnsi" w:cs="Times New Roman"/>
          <w:color w:val="000000" w:themeColor="text1"/>
          <w:sz w:val="14"/>
        </w:rPr>
        <w:t> </w:t>
      </w:r>
      <w:r w:rsidRPr="00A57C67">
        <w:rPr>
          <w:rFonts w:asciiTheme="majorHAnsi" w:hAnsiTheme="majorHAnsi" w:cs="Times New Roman"/>
          <w:color w:val="000000" w:themeColor="text1"/>
          <w:u w:val="single"/>
        </w:rPr>
        <w:t>have found that criminalization of sex work also has a negative effect on sex workers’ right to health</w:t>
      </w:r>
      <w:r w:rsidRPr="00A57C67">
        <w:rPr>
          <w:rFonts w:asciiTheme="majorHAnsi" w:hAnsiTheme="majorHAnsi" w:cs="Times New Roman"/>
          <w:color w:val="000000" w:themeColor="text1"/>
          <w:sz w:val="14"/>
        </w:rPr>
        <w:t>. In one example, Human Rights Watch found in a 2012 report, </w:t>
      </w:r>
      <w:hyperlink r:id="rId28" w:history="1">
        <w:r w:rsidRPr="00A13958">
          <w:rPr>
            <w:rFonts w:asciiTheme="majorHAnsi" w:hAnsiTheme="majorHAnsi" w:cs="Times New Roman"/>
            <w:color w:val="000000" w:themeColor="text1"/>
            <w:sz w:val="14"/>
            <w:bdr w:val="single" w:sz="2" w:space="0" w:color="auto" w:frame="1"/>
          </w:rPr>
          <w:t>“Sex Workers at Risk: Condoms as Evidence of Prostitution in Four US Cities,”</w:t>
        </w:r>
      </w:hyperlink>
      <w:r w:rsidRPr="00A57C67">
        <w:rPr>
          <w:rFonts w:asciiTheme="majorHAnsi" w:hAnsiTheme="majorHAnsi" w:cs="Times New Roman"/>
          <w:color w:val="000000" w:themeColor="text1"/>
          <w:sz w:val="14"/>
        </w:rPr>
        <w:t> </w:t>
      </w:r>
      <w:r w:rsidRPr="00A57C67">
        <w:rPr>
          <w:rFonts w:asciiTheme="majorHAnsi" w:hAnsiTheme="majorHAnsi" w:cs="Times New Roman"/>
          <w:color w:val="000000" w:themeColor="text1"/>
          <w:u w:val="single"/>
        </w:rPr>
        <w:t>that police and prosecutors used a sex worker’s possession of condoms as evidence to support prostitution charges. The practice left sex workers reluctant to carry condoms for fear of arrest, forcing them to engage in sex without protection and putting them at heightened risk of contracting HIV and other sexually transmitted diseases</w:t>
      </w:r>
      <w:r w:rsidRPr="00A57C67">
        <w:rPr>
          <w:rFonts w:asciiTheme="majorHAnsi" w:hAnsiTheme="majorHAnsi" w:cs="Times New Roman"/>
          <w:color w:val="000000" w:themeColor="text1"/>
          <w:sz w:val="14"/>
        </w:rPr>
        <w:t>.</w:t>
      </w:r>
      <w:r w:rsidRPr="00A13958">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sz w:val="14"/>
        </w:rPr>
        <w:t>Criminalization also has a negative effect on other human rights. In countries that ban sex work, sex workers are less likely to be able to organize as workers, advocate for their rights, or to work together to support and protect themselves.</w:t>
      </w:r>
      <w:r w:rsidRPr="00A13958">
        <w:rPr>
          <w:rFonts w:asciiTheme="majorHAnsi" w:hAnsiTheme="majorHAnsi" w:cs="Times New Roman"/>
          <w:color w:val="000000" w:themeColor="text1"/>
          <w:sz w:val="14"/>
        </w:rPr>
        <w:t xml:space="preserve"> </w:t>
      </w:r>
      <w:r w:rsidRPr="00A13958">
        <w:rPr>
          <w:rFonts w:asciiTheme="majorHAnsi" w:hAnsiTheme="majorHAnsi" w:cs="Times New Roman"/>
          <w:bCs/>
          <w:color w:val="000000" w:themeColor="text1"/>
          <w:sz w:val="14"/>
          <w:bdr w:val="single" w:sz="2" w:space="0" w:color="auto" w:frame="1"/>
        </w:rPr>
        <w:t>How does decriminalizing sex work help protect sex workers?</w:t>
      </w:r>
      <w:r w:rsidRPr="00A13958">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u w:val="single"/>
        </w:rPr>
        <w:t>Decriminalizing sex work maximizes sex workers’ legal protection and their ability to exercise other key rights, including to justice and health care</w:t>
      </w:r>
      <w:r w:rsidRPr="00A57C67">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u w:val="single"/>
        </w:rPr>
        <w:t xml:space="preserve">Legal recognition of sex workers and their occupation </w:t>
      </w:r>
      <w:r w:rsidRPr="00A57C67">
        <w:rPr>
          <w:rFonts w:asciiTheme="majorHAnsi" w:hAnsiTheme="majorHAnsi" w:cs="Times New Roman"/>
          <w:color w:val="000000" w:themeColor="text1"/>
          <w:u w:val="single"/>
        </w:rPr>
        <w:lastRenderedPageBreak/>
        <w:t>maximizes their protection, dignity, and equality</w:t>
      </w:r>
      <w:r w:rsidRPr="00A57C67">
        <w:rPr>
          <w:rFonts w:asciiTheme="majorHAnsi" w:hAnsiTheme="majorHAnsi" w:cs="Times New Roman"/>
          <w:color w:val="000000" w:themeColor="text1"/>
          <w:sz w:val="14"/>
        </w:rPr>
        <w:t>. This is an important step toward destigmatizing sex work.</w:t>
      </w:r>
      <w:r w:rsidRPr="00A13958">
        <w:rPr>
          <w:rFonts w:asciiTheme="majorHAnsi" w:hAnsiTheme="majorHAnsi" w:cs="Times New Roman"/>
          <w:color w:val="000000" w:themeColor="text1"/>
          <w:sz w:val="14"/>
        </w:rPr>
        <w:t xml:space="preserve"> </w:t>
      </w:r>
      <w:r w:rsidRPr="00A13958">
        <w:rPr>
          <w:rFonts w:asciiTheme="majorHAnsi" w:hAnsiTheme="majorHAnsi" w:cs="Times New Roman"/>
          <w:bCs/>
          <w:color w:val="000000" w:themeColor="text1"/>
          <w:sz w:val="14"/>
          <w:bdr w:val="single" w:sz="2" w:space="0" w:color="auto" w:frame="1"/>
        </w:rPr>
        <w:t>Does decriminalizing sex work encourage other human rights violations such as human trafficking and sexual exploitation of children?</w:t>
      </w:r>
      <w:r w:rsidRPr="00A13958">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sz w:val="14"/>
        </w:rPr>
        <w:t>Sex work is the consensual exchange of sex between adults. Human trafficking and sexual exploitation of children are separate issues. They are both serious human rights abuses and crimes and should always be investigated and prosecuted.</w:t>
      </w:r>
      <w:r w:rsidRPr="00A13958">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sz w:val="14"/>
        </w:rPr>
        <w:t xml:space="preserve">Laws that clearly distinguish between sex work and crimes like human trafficking and sexual exploitation of children help protect both sex workers and crime victims. </w:t>
      </w:r>
      <w:r w:rsidRPr="00A57C67">
        <w:rPr>
          <w:rFonts w:asciiTheme="majorHAnsi" w:hAnsiTheme="majorHAnsi" w:cs="Times New Roman"/>
          <w:color w:val="000000" w:themeColor="text1"/>
          <w:u w:val="single"/>
        </w:rPr>
        <w:t>Sex workers may be in a position to have important information about crimes such as human trafficking and sexual exploitation of children, but unless the work they themselves do is not treated as criminal, they are unlikely to feel safe reporting this information to the police.</w:t>
      </w:r>
      <w:r w:rsidRPr="00A13958">
        <w:rPr>
          <w:rFonts w:asciiTheme="majorHAnsi" w:hAnsiTheme="majorHAnsi" w:cs="Times New Roman"/>
          <w:color w:val="000000" w:themeColor="text1"/>
          <w:sz w:val="14"/>
        </w:rPr>
        <w:t xml:space="preserve"> </w:t>
      </w:r>
      <w:r w:rsidRPr="00A13958">
        <w:rPr>
          <w:rFonts w:asciiTheme="majorHAnsi" w:hAnsiTheme="majorHAnsi" w:cs="Times New Roman"/>
          <w:bCs/>
          <w:color w:val="000000" w:themeColor="text1"/>
          <w:sz w:val="14"/>
          <w:bdr w:val="single" w:sz="2" w:space="0" w:color="auto" w:frame="1"/>
        </w:rPr>
        <w:t>What should governments do?</w:t>
      </w:r>
      <w:r w:rsidRPr="00A13958">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u w:val="single"/>
        </w:rPr>
        <w:t>Governments should fully decriminalize sex work and ensure that sex workers do not face discrimination in law or practice. They should also strengthen services for sex workers and ensure that they have safe working conditions and access to public benefits and social safety nets.</w:t>
      </w:r>
      <w:r w:rsidRPr="00A13958">
        <w:rPr>
          <w:rFonts w:asciiTheme="majorHAnsi" w:hAnsiTheme="majorHAnsi" w:cs="Times New Roman"/>
          <w:color w:val="000000" w:themeColor="text1"/>
          <w:sz w:val="14"/>
        </w:rPr>
        <w:t xml:space="preserve"> </w:t>
      </w:r>
      <w:r w:rsidRPr="00A57C67">
        <w:rPr>
          <w:rFonts w:asciiTheme="majorHAnsi" w:hAnsiTheme="majorHAnsi" w:cs="Times New Roman"/>
          <w:color w:val="000000" w:themeColor="text1"/>
          <w:u w:val="single"/>
        </w:rPr>
        <w:t>Moreover, any regulations and controls on sex workers and their activities need to be nondiscriminatory and otherwise comply with international human rights law</w:t>
      </w:r>
      <w:r w:rsidRPr="00A57C67">
        <w:rPr>
          <w:rFonts w:asciiTheme="majorHAnsi" w:hAnsiTheme="majorHAnsi" w:cs="Times New Roman"/>
          <w:color w:val="000000" w:themeColor="text1"/>
          <w:sz w:val="14"/>
        </w:rPr>
        <w:t>. For example, restrictions that would prevent those engaged in sex work from organizing collectively, or working in a safe environment, are not legitimate restrictions.</w:t>
      </w:r>
    </w:p>
    <w:p w14:paraId="1609970D" w14:textId="77777777" w:rsidR="00D30B7A" w:rsidRPr="0041399D" w:rsidRDefault="00D30B7A" w:rsidP="00862CAC"/>
    <w:p w14:paraId="24891272" w14:textId="620F4D44" w:rsidR="004150D6" w:rsidRDefault="000C0EBF" w:rsidP="000C0EBF">
      <w:pPr>
        <w:pStyle w:val="Heading3"/>
      </w:pPr>
      <w:r>
        <w:lastRenderedPageBreak/>
        <w:t>2NC solves Case- Trafficking</w:t>
      </w:r>
    </w:p>
    <w:p w14:paraId="7DAB0EE4" w14:textId="77777777" w:rsidR="00CE6B6D" w:rsidRDefault="00CE6B6D" w:rsidP="00CE6B6D">
      <w:pPr>
        <w:pStyle w:val="Heading4"/>
      </w:pPr>
      <w:r>
        <w:t>Decriminalization reduces sex trafficking- this solves the AFF</w:t>
      </w:r>
    </w:p>
    <w:p w14:paraId="26673B0A" w14:textId="77777777" w:rsidR="00CE6B6D" w:rsidRPr="00607821" w:rsidRDefault="00CE6B6D" w:rsidP="00CE6B6D">
      <w:pPr>
        <w:rPr>
          <w:sz w:val="20"/>
          <w:szCs w:val="20"/>
        </w:rPr>
      </w:pPr>
      <w:r w:rsidRPr="00304A2E">
        <w:rPr>
          <w:b/>
          <w:sz w:val="26"/>
          <w:szCs w:val="26"/>
        </w:rPr>
        <w:t>Tastrom 19</w:t>
      </w:r>
      <w:r>
        <w:t xml:space="preserve"> </w:t>
      </w:r>
      <w:r w:rsidRPr="00607821">
        <w:rPr>
          <w:sz w:val="20"/>
          <w:szCs w:val="20"/>
        </w:rPr>
        <w:t xml:space="preserve">Katie Tastrom (she/her) is a sex worker, attorney, writer, and member of the National Lawyer’s Guild’s sex worker rights working group, a project of the NLG queer caucus. She also serves as co-chair of the NLG Disability Justice Coalition, 7/18/19, “Want to Reduce Sex Trafficking? Decriminalize Sex Work,” </w:t>
      </w:r>
      <w:hyperlink r:id="rId29" w:history="1">
        <w:r w:rsidRPr="00607821">
          <w:rPr>
            <w:rStyle w:val="Hyperlink"/>
            <w:sz w:val="20"/>
            <w:szCs w:val="20"/>
          </w:rPr>
          <w:t>https://rewire.news/article/2019/07/18/want-to-reduce-sex-trafficking-decriminalize-sex-work/</w:t>
        </w:r>
      </w:hyperlink>
    </w:p>
    <w:p w14:paraId="6150ABFF" w14:textId="77777777" w:rsidR="00CE6B6D" w:rsidRDefault="00CE6B6D" w:rsidP="00CE6B6D">
      <w:pPr>
        <w:rPr>
          <w:b/>
          <w:u w:val="single"/>
        </w:rPr>
      </w:pPr>
      <w:r w:rsidRPr="006A2FC0">
        <w:rPr>
          <w:sz w:val="16"/>
        </w:rPr>
        <w:t xml:space="preserve">The New York state legislature introduced a bill in June that would remove criminal penalties for adults who voluntarily buy and sell sex. Right now, selling sex is a class B misdemeanor, punishable by up to 90 days in jail; buying it is a class A misdemeanor punishable by up to a year in jail and/or a $1,000 fine. </w:t>
      </w:r>
      <w:r w:rsidRPr="00304A2E">
        <w:rPr>
          <w:u w:val="single"/>
        </w:rPr>
        <w:t>Decriminalization of sex work would remove those criminal penalties. It’s important to understand that decriminalization—which has also become a topic of conversation among Democratic presidential candidates—is not the same as legalization</w:t>
      </w:r>
      <w:r w:rsidRPr="006A2FC0">
        <w:rPr>
          <w:sz w:val="16"/>
        </w:rPr>
        <w:t>. Legalization does not have nearly the same positive results that decriminalization has, and this misunderstanding could lead to devastating consequences. Full-service sex work is legal in Nevada in licensed brothels in counties with fewer than 400,000 residents, but workers must comply with regulatory frameworks. While this may sound good, it still leaves plenty of room for underground sex trafficking to flourish</w:t>
      </w:r>
      <w:r w:rsidRPr="00304A2E">
        <w:rPr>
          <w:u w:val="single"/>
        </w:rPr>
        <w:t>. Decriminalization, which both sex workers and trafficking survivors are pushing for, removes the prohibition against the sale of consensual sex between adults. The main argument that people have against decriminalization is based on a myth: that decriminalization of the sex trade will increase sex trafficking.</w:t>
      </w:r>
      <w:r w:rsidRPr="006A2FC0">
        <w:rPr>
          <w:sz w:val="16"/>
        </w:rPr>
        <w:t xml:space="preserve"> As a New York-based sex worker, I can promise you that sex workers hate sex trafficking as much as—or more than—the average civilian. Besides the fact that we are regular people who want to keep children and others safe from predators, we are also at high risk of being trafficked ourselves. Sex workers are adults who choose to work in the sex trade. As a general term, “sex worker” includes escorts, adult actors, cammers, and strippers, among others. Like any profession with a low barrier to entry, while some sex workers may have chosen sex work from an array of other possible career paths, others may not feel like they have other options. But being driven by financial circumstances alone is not the same as being trafficked. Trafficking victims, by contrast, are coerced, and/or forced into the sex trade by third parties. </w:t>
      </w:r>
      <w:r w:rsidRPr="00304A2E">
        <w:rPr>
          <w:u w:val="single"/>
        </w:rPr>
        <w:t>There are already existing state and federal laws against trafficking, and these laws would remain intact even if sex work were decriminalized</w:t>
      </w:r>
      <w:r w:rsidRPr="006A2FC0">
        <w:rPr>
          <w:sz w:val="16"/>
        </w:rPr>
        <w:t xml:space="preserve">. </w:t>
      </w:r>
      <w:r w:rsidRPr="00304A2E">
        <w:rPr>
          <w:u w:val="single"/>
        </w:rPr>
        <w:t>Unlike the imagery many anti-trafficking evangelical organizations invoke, trafficking victims are rarely middle-class white kids who are kidnapped by strangers in a parking lot. Instead, traffickers target the most marginalized kids and adults, including people who are homeless, undocumented, disabled, transgender, queer, or in the foster care system.</w:t>
      </w:r>
      <w:r w:rsidRPr="006A2FC0">
        <w:rPr>
          <w:sz w:val="16"/>
        </w:rPr>
        <w:t xml:space="preserve"> These same demographics are also overrepresented in sex work because we have less access to legal work. In fact, far from causing sex trafficking, expert Kimberly Mehlman-Orozco, the author of Hidden in found in her research that decriminalization is necessary to fight it. In 2017, the American Medical Association Journal of Ethics published a paper urging health-care workers to support decriminalization. Last year, public health researchers reviewed 40 quantitative and 94 qualitative studies about the relationship between laws against sex work, and the health and safety of sex workers. </w:t>
      </w:r>
      <w:r w:rsidRPr="006A2FC0">
        <w:rPr>
          <w:u w:val="single"/>
        </w:rPr>
        <w:t xml:space="preserve">They found that the more criminalized sex work was, the more violence and exploitation sex workers faced. </w:t>
      </w:r>
      <w:r w:rsidRPr="006A2FC0">
        <w:rPr>
          <w:sz w:val="16"/>
        </w:rPr>
        <w:t xml:space="preserve">According to the study’s authors, this was because criminalization “disrupted sex workers’ work environments, support networks, safety and risk reduction strategies, and access to health services and justice. It demonstrated how policing within all criminalisation and regulation frameworks exacerbated existing marginalisation, and how sex workers’ relationships with police, access to justice, and negotiating powers with clients have improved in decriminalised contexts.” In other words, when the cops are on your back, you have to do things that are sometimes dangerous in order to avoid arrest, and more activities move underground where predators can flourish. </w:t>
      </w:r>
      <w:r w:rsidRPr="006A2FC0">
        <w:rPr>
          <w:u w:val="single"/>
        </w:rPr>
        <w:t>That’s why some human rights organizations are also calling for decriminalization. In 2016, Amnesty International called for the decriminalization of the sex trade, in part because it’s most effective in reducing sex trafficking. The World Health Organization also supports decriminalization and has held this stance since 2012. Groups that are organized by and for trafficking survivors support decriminalization too. Freedom Network USA, the largest organization in the United States that works directly with trafficking survivors, publicly supports decriminalization.</w:t>
      </w:r>
      <w:r w:rsidRPr="006A2FC0">
        <w:rPr>
          <w:sz w:val="16"/>
        </w:rPr>
        <w:t xml:space="preserve"> Other anti-trafficking organizations that support decriminalization include La Strada International and the Global Alliance Against Traffic in Women. We can see the correlation between criminalization and trafficking firsthand. Earlier this year, federal anti sex-work SESTA/FOSTA laws went fully into effect. In San Francisco, those laws have increased reports of trafficking by 170 percent. The further sex work is pushed underground, the more predators can flourish in the shadows. So why is this myth still so rampant? The idea that the interests of sex workers and the interests of trafficking victims do not align is a lie put forth by what some sex workers and activists call the “Anti-Trafficking Industrial Complex.” Instead of using their resources to support trafficking survivors directly or preventing trafficking, NGOs like Polaris—a massive anti-trafficking industry </w:t>
      </w:r>
      <w:r w:rsidRPr="006A2FC0">
        <w:rPr>
          <w:sz w:val="16"/>
        </w:rPr>
        <w:lastRenderedPageBreak/>
        <w:t>organization—</w:t>
      </w:r>
      <w:r w:rsidRPr="006A2FC0">
        <w:rPr>
          <w:u w:val="single"/>
        </w:rPr>
        <w:t>and evangelical groups like the Faith Alliance Against Slavery and Trafficking use a lot of their resources to help increase criminalization of sex workers and trafficking victims.</w:t>
      </w:r>
      <w:r w:rsidRPr="006A2FC0">
        <w:rPr>
          <w:sz w:val="16"/>
        </w:rPr>
        <w:t xml:space="preserve"> Polaris urged members to contact politicians to push for the passage of SESTA/FOSTA, even though sex workers and trafficking survivors had publicly complained it would make trafficking worse. </w:t>
      </w:r>
      <w:r w:rsidRPr="006A2FC0">
        <w:rPr>
          <w:u w:val="single"/>
        </w:rPr>
        <w:t xml:space="preserve">These groups are rarely led by survivors or people who work directly with them, nor do they usually provide direct services; </w:t>
      </w:r>
      <w:r w:rsidRPr="006A2FC0">
        <w:rPr>
          <w:sz w:val="16"/>
        </w:rPr>
        <w:t xml:space="preserve">instead, they typically refer people elsewhere, often to groups that do support decriminalization. </w:t>
      </w:r>
      <w:r w:rsidRPr="006A2FC0">
        <w:rPr>
          <w:u w:val="single"/>
        </w:rPr>
        <w:t>Groups like these also work to spread misinformation about the relationship between sex work and sex trafficking by making unsupported claims that sex trafficking is “fueled by the proliferation of pornography</w:t>
      </w:r>
      <w:r w:rsidRPr="006A2FC0">
        <w:rPr>
          <w:sz w:val="16"/>
        </w:rPr>
        <w:t xml:space="preserve">.” Their platform treats all prostitution as sexual slavery and does not distinguish between consenting adults and people who are forced into it. They also use their “anti-trafficking” message as an evangelical tool by creating religious school curricula that erase the marginalized people who are actually most targeted by traffickers. Decriminalization is not uncharted territory. New Zealand decriminalized buying and selling sex in 2003. New Zealand lawmakers intentionally centered the voices of those most affected. </w:t>
      </w:r>
      <w:r w:rsidRPr="006A2FC0">
        <w:rPr>
          <w:b/>
          <w:u w:val="single"/>
        </w:rPr>
        <w:t>Since decriminalization, research has shown better health and safety outcomes for sex workers in New Zealand, and better relationships between sex workers and law enforcement.</w:t>
      </w:r>
      <w:r w:rsidRPr="006A2FC0">
        <w:rPr>
          <w:sz w:val="16"/>
        </w:rPr>
        <w:t xml:space="preserve"> </w:t>
      </w:r>
      <w:r w:rsidRPr="006A2FC0">
        <w:rPr>
          <w:b/>
          <w:u w:val="single"/>
        </w:rPr>
        <w:t>Decriminalization of sex work makes everyone safer. More than any other kind of system, decriminalization will help reduce the number of people who are trafficked and help those who are victims of trafficking get to safety more easily with fewer negative health and safety consequences. If you want to reduce trafficking, you must be for decriminalization of the sex</w:t>
      </w:r>
      <w:r w:rsidRPr="006A2FC0">
        <w:rPr>
          <w:b/>
          <w:sz w:val="16"/>
        </w:rPr>
        <w:t xml:space="preserve"> </w:t>
      </w:r>
      <w:r w:rsidRPr="006A2FC0">
        <w:rPr>
          <w:b/>
          <w:u w:val="single"/>
        </w:rPr>
        <w:t>trade.</w:t>
      </w:r>
    </w:p>
    <w:p w14:paraId="001402F2" w14:textId="1AC1BE35" w:rsidR="000C0EBF" w:rsidRDefault="000C0EBF" w:rsidP="000C0EBF"/>
    <w:p w14:paraId="735C2448" w14:textId="77777777" w:rsidR="00D30B7A" w:rsidRDefault="00D30B7A" w:rsidP="00D30B7A">
      <w:pPr>
        <w:pStyle w:val="Heading4"/>
        <w:rPr>
          <w:shd w:val="clear" w:color="auto" w:fill="FFFFFF"/>
        </w:rPr>
      </w:pPr>
      <w:r>
        <w:rPr>
          <w:shd w:val="clear" w:color="auto" w:fill="FFFFFF"/>
        </w:rPr>
        <w:t>The criminalization of sex work erodes the trust between sex work and law enforcement—making it impossible to punish human traffickers</w:t>
      </w:r>
    </w:p>
    <w:p w14:paraId="30E8C70F" w14:textId="77777777" w:rsidR="00D30B7A" w:rsidRPr="005520BB" w:rsidRDefault="00D30B7A" w:rsidP="00D30B7A">
      <w:r w:rsidRPr="000C3BAE">
        <w:rPr>
          <w:rFonts w:asciiTheme="majorHAnsi" w:eastAsia="Times New Roman" w:hAnsiTheme="majorHAnsi" w:cs="Times New Roman"/>
          <w:b/>
          <w:color w:val="000000" w:themeColor="text1"/>
          <w:sz w:val="26"/>
          <w:szCs w:val="26"/>
        </w:rPr>
        <w:t>Albright</w:t>
      </w:r>
      <w:r>
        <w:rPr>
          <w:rFonts w:asciiTheme="majorHAnsi" w:eastAsia="Times New Roman" w:hAnsiTheme="majorHAnsi" w:cs="Times New Roman"/>
          <w:b/>
          <w:color w:val="000000" w:themeColor="text1"/>
          <w:sz w:val="26"/>
          <w:szCs w:val="26"/>
        </w:rPr>
        <w:t xml:space="preserve"> and</w:t>
      </w:r>
      <w:r w:rsidRPr="000C3BAE">
        <w:rPr>
          <w:rFonts w:asciiTheme="majorHAnsi" w:eastAsia="Times New Roman" w:hAnsiTheme="majorHAnsi" w:cs="Times New Roman"/>
          <w:b/>
          <w:color w:val="000000" w:themeColor="text1"/>
          <w:sz w:val="26"/>
          <w:szCs w:val="26"/>
        </w:rPr>
        <w:t xml:space="preserve"> D'Adamo</w:t>
      </w:r>
      <w:r>
        <w:rPr>
          <w:rFonts w:asciiTheme="majorHAnsi" w:eastAsia="Times New Roman" w:hAnsiTheme="majorHAnsi" w:cs="Times New Roman"/>
          <w:b/>
          <w:color w:val="000000" w:themeColor="text1"/>
          <w:sz w:val="26"/>
          <w:szCs w:val="26"/>
        </w:rPr>
        <w:t xml:space="preserve"> </w:t>
      </w:r>
      <w:r>
        <w:rPr>
          <w:rFonts w:asciiTheme="majorHAnsi" w:eastAsia="Times New Roman" w:hAnsiTheme="majorHAnsi"/>
          <w:b/>
          <w:color w:val="000000" w:themeColor="text1"/>
          <w:sz w:val="26"/>
          <w:szCs w:val="26"/>
        </w:rPr>
        <w:t xml:space="preserve">17 </w:t>
      </w:r>
      <w:r w:rsidRPr="00D748EB">
        <w:rPr>
          <w:rFonts w:asciiTheme="majorHAnsi" w:eastAsia="Times New Roman" w:hAnsiTheme="majorHAnsi" w:cs="Times New Roman"/>
          <w:color w:val="000000" w:themeColor="text1"/>
          <w:sz w:val="20"/>
          <w:szCs w:val="20"/>
        </w:rPr>
        <w:t>(</w:t>
      </w:r>
      <w:r w:rsidRPr="000C3BAE">
        <w:rPr>
          <w:rFonts w:asciiTheme="majorHAnsi" w:eastAsia="Times New Roman" w:hAnsiTheme="majorHAnsi" w:cs="Times New Roman"/>
          <w:color w:val="000000" w:themeColor="text1"/>
          <w:sz w:val="20"/>
          <w:szCs w:val="20"/>
        </w:rPr>
        <w:t>Erin Albright, JD and Kate D'Adamo, MA</w:t>
      </w:r>
      <w:r w:rsidRPr="00D748EB">
        <w:rPr>
          <w:rFonts w:asciiTheme="majorHAnsi" w:eastAsia="Times New Roman" w:hAnsiTheme="majorHAnsi" w:cs="Times New Roman"/>
          <w:color w:val="000000" w:themeColor="text1"/>
          <w:sz w:val="20"/>
          <w:szCs w:val="20"/>
        </w:rPr>
        <w:t xml:space="preserve">, Erin Albright has over 12 years of experience speaking out against anti-trafficking and has worked with service providers, law enforcement, task forces and lawmakers. </w:t>
      </w:r>
      <w:r w:rsidRPr="00D748EB">
        <w:rPr>
          <w:rFonts w:asciiTheme="majorHAnsi" w:eastAsia="Times New Roman" w:hAnsiTheme="majorHAnsi" w:cs="Arial"/>
          <w:color w:val="000000" w:themeColor="text1"/>
          <w:sz w:val="20"/>
          <w:szCs w:val="20"/>
        </w:rPr>
        <w:t>Previously she oversaw a network of service providers throughout New England, providing coordination, training and technical assistance to ensure best practices in working with survivors of human trafficking.  She also worked for two and a half years for the Boston Police Department’s Human Trafficking Unit and Massachusetts Task Force, managing all data and statistics</w:t>
      </w:r>
      <w:r w:rsidRPr="00D748EB">
        <w:rPr>
          <w:rFonts w:asciiTheme="majorHAnsi" w:eastAsia="Times New Roman" w:hAnsiTheme="majorHAnsi" w:cs="Times New Roman"/>
          <w:color w:val="000000" w:themeColor="text1"/>
          <w:sz w:val="20"/>
          <w:szCs w:val="20"/>
        </w:rPr>
        <w:t xml:space="preserve">, </w:t>
      </w:r>
      <w:r w:rsidRPr="00D748EB">
        <w:rPr>
          <w:rFonts w:asciiTheme="majorHAnsi" w:eastAsia="Times New Roman" w:hAnsiTheme="majorHAnsi"/>
          <w:color w:val="000000" w:themeColor="text1"/>
          <w:sz w:val="20"/>
          <w:szCs w:val="20"/>
          <w:shd w:val="clear" w:color="auto" w:fill="FFFFFF"/>
        </w:rPr>
        <w:t xml:space="preserve">Kate D‘Adamo is a long-time sex worker rights advocate with a focus on economic justice, anti-policing and incarceration and public health. Previously, she was the National Policy Advocate at the Sex Workers Project at the Urban Justice Center focusing on laws, policies and advocacy focused on folks who trade sex, including the criminalization of sex work, anti-trafficking policies, and HIV-specific laws. Prior to joining the Sex Workers Project, Kate was a community organizer and advocate with the Sex Workers Outreach Project and Sex Workers Action New York, “Decreasing Human Trafficking Through Sex Work Decriminalization,” </w:t>
      </w:r>
      <w:r w:rsidRPr="00D748EB">
        <w:rPr>
          <w:rFonts w:asciiTheme="majorHAnsi" w:eastAsia="Times New Roman" w:hAnsiTheme="majorHAnsi" w:cs="Times New Roman"/>
          <w:i/>
          <w:iCs/>
          <w:color w:val="000000" w:themeColor="text1"/>
          <w:sz w:val="20"/>
          <w:szCs w:val="20"/>
        </w:rPr>
        <w:t>AMA J Ethics</w:t>
      </w:r>
      <w:r w:rsidRPr="00D748EB">
        <w:rPr>
          <w:rFonts w:asciiTheme="majorHAnsi" w:hAnsiTheme="majorHAnsi"/>
          <w:i/>
          <w:iCs/>
          <w:color w:val="000000" w:themeColor="text1"/>
          <w:sz w:val="20"/>
          <w:szCs w:val="20"/>
        </w:rPr>
        <w:t>.</w:t>
      </w:r>
      <w:r w:rsidRPr="00D748EB">
        <w:rPr>
          <w:rFonts w:asciiTheme="majorHAnsi" w:hAnsiTheme="majorHAnsi"/>
          <w:color w:val="000000" w:themeColor="text1"/>
          <w:sz w:val="20"/>
          <w:szCs w:val="20"/>
        </w:rPr>
        <w:t xml:space="preserve"> 2017;19(1):122-126. doi: 10.1001/journalofethics.2017.19.1.sect2-1701//AA)</w:t>
      </w:r>
    </w:p>
    <w:p w14:paraId="6D294950" w14:textId="5D9958FD" w:rsidR="00D30B7A" w:rsidRDefault="00D30B7A" w:rsidP="00D30B7A">
      <w:pPr>
        <w:spacing w:after="0" w:line="240" w:lineRule="auto"/>
        <w:rPr>
          <w:rStyle w:val="Emphasis"/>
          <w:rFonts w:asciiTheme="majorHAnsi" w:hAnsiTheme="majorHAnsi"/>
          <w:color w:val="000000" w:themeColor="text1"/>
        </w:rPr>
      </w:pPr>
      <w:r w:rsidRPr="00D73804">
        <w:rPr>
          <w:rFonts w:asciiTheme="majorHAnsi" w:eastAsia="Times New Roman" w:hAnsiTheme="majorHAnsi" w:cs="Times New Roman"/>
          <w:i/>
          <w:iCs/>
          <w:color w:val="000000" w:themeColor="text1"/>
          <w:sz w:val="16"/>
          <w:shd w:val="clear" w:color="auto" w:fill="FFFFFF"/>
        </w:rPr>
        <w:t>Erosion of trust</w:t>
      </w:r>
      <w:r w:rsidRPr="00D73804">
        <w:rPr>
          <w:rFonts w:asciiTheme="majorHAnsi" w:eastAsia="Times New Roman" w:hAnsiTheme="majorHAnsi" w:cs="Times New Roman"/>
          <w:color w:val="000000" w:themeColor="text1"/>
          <w:sz w:val="16"/>
          <w:shd w:val="clear" w:color="auto" w:fill="FFFFFF"/>
        </w:rPr>
        <w:t xml:space="preserve">. Second, </w:t>
      </w:r>
      <w:r w:rsidRPr="00D73804">
        <w:rPr>
          <w:rFonts w:asciiTheme="majorHAnsi" w:eastAsia="Times New Roman" w:hAnsiTheme="majorHAnsi" w:cs="Times New Roman"/>
          <w:color w:val="000000" w:themeColor="text1"/>
          <w:u w:val="single"/>
          <w:shd w:val="clear" w:color="auto" w:fill="FFFFFF"/>
        </w:rPr>
        <w:t>criminalization </w:t>
      </w:r>
      <w:hyperlink r:id="rId30" w:history="1">
        <w:r w:rsidRPr="00D73804">
          <w:rPr>
            <w:rFonts w:asciiTheme="majorHAnsi" w:eastAsia="Times New Roman" w:hAnsiTheme="majorHAnsi" w:cs="Times New Roman"/>
            <w:color w:val="000000" w:themeColor="text1"/>
            <w:u w:val="single"/>
            <w:shd w:val="clear" w:color="auto" w:fill="FFFFFF"/>
          </w:rPr>
          <w:t>undermines trust</w:t>
        </w:r>
      </w:hyperlink>
      <w:r w:rsidRPr="00D73804">
        <w:rPr>
          <w:rFonts w:asciiTheme="majorHAnsi" w:eastAsia="Times New Roman" w:hAnsiTheme="majorHAnsi" w:cs="Times New Roman"/>
          <w:color w:val="000000" w:themeColor="text1"/>
          <w:u w:val="single"/>
          <w:shd w:val="clear" w:color="auto" w:fill="FFFFFF"/>
        </w:rPr>
        <w:t> in support systems, including health care</w:t>
      </w:r>
      <w:r w:rsidRPr="00D73804">
        <w:rPr>
          <w:rFonts w:asciiTheme="majorHAnsi" w:eastAsia="Times New Roman" w:hAnsiTheme="majorHAnsi" w:cs="Times New Roman"/>
          <w:color w:val="000000" w:themeColor="text1"/>
          <w:sz w:val="16"/>
          <w:shd w:val="clear" w:color="auto" w:fill="FFFFFF"/>
        </w:rPr>
        <w:t xml:space="preserve">. </w:t>
      </w:r>
      <w:r w:rsidRPr="00D73804">
        <w:rPr>
          <w:rStyle w:val="Emphasis"/>
          <w:rFonts w:asciiTheme="majorHAnsi" w:hAnsiTheme="majorHAnsi"/>
          <w:color w:val="000000" w:themeColor="text1"/>
        </w:rPr>
        <w:t>Fear of judgment, discrimination, lower quality of service, and legal consequences inhibit many from disclosing that they are involved in sex work, regardless of whether they are so engaged through choice, circumstance, or coercion</w:t>
      </w:r>
      <w:r w:rsidRPr="00D73804">
        <w:rPr>
          <w:rFonts w:asciiTheme="majorHAnsi" w:eastAsia="Times New Roman" w:hAnsiTheme="majorHAnsi" w:cs="Times New Roman"/>
          <w:color w:val="000000" w:themeColor="text1"/>
          <w:sz w:val="16"/>
          <w:shd w:val="clear" w:color="auto" w:fill="FFFFFF"/>
        </w:rPr>
        <w:t xml:space="preserve"> [9]. One study of 783 sex workers reported that </w:t>
      </w:r>
      <w:r w:rsidRPr="00D73804">
        <w:rPr>
          <w:rFonts w:asciiTheme="majorHAnsi" w:eastAsia="Times New Roman" w:hAnsiTheme="majorHAnsi" w:cs="Times New Roman"/>
          <w:color w:val="000000" w:themeColor="text1"/>
          <w:u w:val="single"/>
          <w:shd w:val="clear" w:color="auto" w:fill="FFFFFF"/>
        </w:rPr>
        <w:t>70 percent had never disclosed the nature of their work to a health care professional</w:t>
      </w:r>
      <w:r w:rsidRPr="00D73804">
        <w:rPr>
          <w:rFonts w:asciiTheme="majorHAnsi" w:eastAsia="Times New Roman" w:hAnsiTheme="majorHAnsi" w:cs="Times New Roman"/>
          <w:color w:val="000000" w:themeColor="text1"/>
          <w:sz w:val="16"/>
          <w:shd w:val="clear" w:color="auto" w:fill="FFFFFF"/>
        </w:rPr>
        <w:t xml:space="preserve"> [10]. In a needs assessment of sex workers who seek clients in public spaces, often referred to as street-based sex work, </w:t>
      </w:r>
      <w:r w:rsidRPr="00D73804">
        <w:rPr>
          <w:rFonts w:asciiTheme="majorHAnsi" w:eastAsia="Times New Roman" w:hAnsiTheme="majorHAnsi" w:cs="Times New Roman"/>
          <w:color w:val="000000" w:themeColor="text1"/>
          <w:u w:val="single"/>
          <w:shd w:val="clear" w:color="auto" w:fill="FFFFFF"/>
        </w:rPr>
        <w:t>one woman explained, “I was raped and was afraid to be judged by the hospital and that they’d call the police”</w:t>
      </w:r>
      <w:r w:rsidRPr="00D73804">
        <w:rPr>
          <w:rFonts w:asciiTheme="majorHAnsi" w:eastAsia="Times New Roman" w:hAnsiTheme="majorHAnsi" w:cs="Times New Roman"/>
          <w:color w:val="000000" w:themeColor="text1"/>
          <w:sz w:val="16"/>
          <w:shd w:val="clear" w:color="auto" w:fill="FFFFFF"/>
        </w:rPr>
        <w:t xml:space="preserve"> [9]. </w:t>
      </w:r>
      <w:r w:rsidRPr="00D73804">
        <w:rPr>
          <w:rFonts w:asciiTheme="majorHAnsi" w:eastAsia="Times New Roman" w:hAnsiTheme="majorHAnsi" w:cs="Times New Roman"/>
          <w:color w:val="000000" w:themeColor="text1"/>
          <w:u w:val="single"/>
          <w:shd w:val="clear" w:color="auto" w:fill="FFFFFF"/>
        </w:rPr>
        <w:t xml:space="preserve">Disrupting the relationship between a health care professional and a sex worker can mean important red flags for exploitation, violence, and trafficking go unreported. </w:t>
      </w:r>
      <w:r w:rsidRPr="00D73804">
        <w:rPr>
          <w:rFonts w:asciiTheme="majorHAnsi" w:eastAsia="Times New Roman" w:hAnsiTheme="majorHAnsi" w:cs="Times New Roman"/>
          <w:i/>
          <w:iCs/>
          <w:color w:val="000000" w:themeColor="text1"/>
          <w:sz w:val="16"/>
          <w:shd w:val="clear" w:color="auto" w:fill="FFFFFF"/>
        </w:rPr>
        <w:t>Increased vulnerability</w:t>
      </w:r>
      <w:r w:rsidRPr="00D73804">
        <w:rPr>
          <w:rFonts w:asciiTheme="majorHAnsi" w:eastAsia="Times New Roman" w:hAnsiTheme="majorHAnsi" w:cs="Times New Roman"/>
          <w:color w:val="000000" w:themeColor="text1"/>
          <w:sz w:val="16"/>
          <w:shd w:val="clear" w:color="auto" w:fill="FFFFFF"/>
        </w:rPr>
        <w:t xml:space="preserve">. Third, involvement in the criminal justice system creates long-lasting consequences, in terms of a person’s health outcomes and vulnerability to trafficking and other forms of exploitation. </w:t>
      </w:r>
      <w:r w:rsidRPr="00D73804">
        <w:rPr>
          <w:rStyle w:val="Emphasis"/>
          <w:rFonts w:asciiTheme="majorHAnsi" w:hAnsiTheme="majorHAnsi"/>
          <w:color w:val="000000" w:themeColor="text1"/>
        </w:rPr>
        <w:t xml:space="preserve">The inability to hide an arrest and conviction for prostitution makes obtaining formal employment, housing, benefits, and community support significantly more difficult. Fines, fees, and costs associated with an arrest exacerbate poverty, which significantly increases a person’s vulnerability to trafficking and other forms of exploitation. </w:t>
      </w:r>
    </w:p>
    <w:p w14:paraId="5EF7BCDF" w14:textId="6115A47B" w:rsidR="00D30B7A" w:rsidRDefault="00D30B7A" w:rsidP="00D30B7A">
      <w:pPr>
        <w:spacing w:after="0" w:line="240" w:lineRule="auto"/>
        <w:rPr>
          <w:rStyle w:val="Emphasis"/>
          <w:rFonts w:asciiTheme="majorHAnsi" w:hAnsiTheme="majorHAnsi"/>
          <w:color w:val="000000" w:themeColor="text1"/>
        </w:rPr>
      </w:pPr>
    </w:p>
    <w:p w14:paraId="20989338" w14:textId="77777777" w:rsidR="00744779" w:rsidRDefault="00744779" w:rsidP="00744779">
      <w:pPr>
        <w:pStyle w:val="Heading4"/>
      </w:pPr>
      <w:r>
        <w:t>For human trafficking to decrease, decriminalization must happen- it’s key</w:t>
      </w:r>
    </w:p>
    <w:p w14:paraId="185494B4" w14:textId="77777777" w:rsidR="00744779" w:rsidRPr="001A2FEB" w:rsidRDefault="00744779" w:rsidP="00744779">
      <w:pPr>
        <w:rPr>
          <w:sz w:val="20"/>
          <w:szCs w:val="20"/>
        </w:rPr>
      </w:pPr>
      <w:r w:rsidRPr="001A2FEB">
        <w:rPr>
          <w:b/>
          <w:sz w:val="26"/>
          <w:szCs w:val="26"/>
        </w:rPr>
        <w:t>Albright &amp; D'Adamo 17</w:t>
      </w:r>
      <w:r>
        <w:t xml:space="preserve"> </w:t>
      </w:r>
      <w:r w:rsidRPr="001A2FEB">
        <w:rPr>
          <w:sz w:val="20"/>
          <w:szCs w:val="20"/>
        </w:rPr>
        <w:t>Erin Albright, JD is the regional program director at Give Way to Freedom, in Boston. She specializes in building organizational capacity and service collaboration through training and consultation with service providers, law enforcement, task forces, and law makers. Kate D'Adamo, MA is a national policy advocate at the Sex Workers Project in New York City, where she works on policy and social advocacy at the state, federal, and cross-regional level on issues impacting those engaged in the sex trade, including human trafficking and HIV.She has also worked on issues including human trafficking, labor rights, international solidarity, and migration at the International Commission for Labor Rights</w:t>
      </w:r>
      <w:r>
        <w:rPr>
          <w:sz w:val="20"/>
          <w:szCs w:val="20"/>
        </w:rPr>
        <w:t xml:space="preserve"> and other organizations, Jan 2017, “Decreasing Human Trafficking through Sex Work Decriminalization,” AMA Journal of Ethics, https://journalofethics.ama-assn.org/article/decreasing-human-trafficking-through-sex-work-decriminalization/2017-01</w:t>
      </w:r>
    </w:p>
    <w:p w14:paraId="7FD96A32" w14:textId="77777777" w:rsidR="00744779" w:rsidRPr="003803AC" w:rsidRDefault="00744779" w:rsidP="00744779">
      <w:pPr>
        <w:rPr>
          <w:u w:val="single"/>
        </w:rPr>
      </w:pPr>
      <w:r w:rsidRPr="001A2FEB">
        <w:rPr>
          <w:u w:val="single"/>
        </w:rPr>
        <w:t>In order to decrease human trafficking, health care workers should support the full decriminalization of prostitution. Similar to trafficking in other forms of labor, preventing trafficking in the sex trade requires addressing the different forms of marginalization that create vulnerable communities. By removing punitive laws that prevent reporting of exploitation and abuse, decriminalization allows sex workers to work more safely, thereby reducing marginalization and vulnerability. Decriminalization can also help destigmatize sex work and help resist political, social, and cultural marginalization of sex workers</w:t>
      </w:r>
      <w:r w:rsidRPr="003803AC">
        <w:rPr>
          <w:sz w:val="16"/>
        </w:rPr>
        <w:t>. In August 2016, Amnesty International, while maintaining and reaffirming its strong condemnation of human trafficking, released a model policy that calls upon countries to decriminalize the sex trade in order to better protect the health and human rights of sex workers. As Amnesty explains in the policy</w:t>
      </w:r>
      <w:r w:rsidRPr="001A2FEB">
        <w:rPr>
          <w:u w:val="single"/>
        </w:rPr>
        <w:t>, decriminalization is the shift from “catch-all offences that criminalize most or all aspects of sex work,”</w:t>
      </w:r>
      <w:r w:rsidRPr="003803AC">
        <w:rPr>
          <w:sz w:val="16"/>
        </w:rPr>
        <w:t xml:space="preserve"> including laws that target noncoercive third parties who purchase or facilitate sex work, to “laws and policies that provide protection for sex workers from acts of exploitation and abuse”. The policy has been supported by the World Health Organization, UNAIDS, the Global Alliance Against Traffic in Women (GAATW), Human Rights Watch, Lambda Legal, the American Civil Liberties Union, Freedom Network USA, and numerous other organizations that focus on vulnerable populations, including victims of human trafficking. Most importantly, it is a policy overwhelmingly supported by those trading sex—the community impacted by these laws and policies. </w:t>
      </w:r>
      <w:r w:rsidRPr="003803AC">
        <w:rPr>
          <w:u w:val="single"/>
        </w:rPr>
        <w:t>In contrast, organizations that view decriminalization as granting permission and impunity to would-be exploiters have criticized the policy, despite its insistence that anti-trafficking and physical and sexual assault laws be maintained or established. These criticisms, however, fail to engage in a nuanced conversation of sex work as it relates to exploitation, poverty, discrimination, worker rights, and human trafficking.</w:t>
      </w:r>
      <w:r w:rsidRPr="003803AC">
        <w:rPr>
          <w:sz w:val="16"/>
        </w:rPr>
        <w:t xml:space="preserve"> More importantly, research shows the opposite to be true—that it is that creates conditions of impunity and enhances sex workers’ vulnerabilities to violence and exploitation, including trafficking. Sex work and sex trafficking are not synonymous. Involvement in the sex trade occurs across a constantly shifting spectrum of choice, circumstance, and coercion. Victims of trafficking are at the far end of this spectrum, involved through force or coercion. While quantifying the number of persons trafficked into the sex trade is difficult, as we discuss below, we do know that criminalization of sex work increases sex workers’ vulnerability to violence, exploitation, and trafficking. So, here, we discuss four reasons why health care professionals should oppose the criminalization of sex work</w:t>
      </w:r>
      <w:r w:rsidRPr="003803AC">
        <w:rPr>
          <w:u w:val="single"/>
        </w:rPr>
        <w:t>.  First, criminalization increases opportunities for violence that’s unreportable; that is, because the work they do is regarded as criminal activity, sex workers are easy targets for abuse and exploitation, including trafficking. Fear of arrest and other consequences means that those engaged in sex work are less likely to report instances of violence or exploitation</w:t>
      </w:r>
      <w:r w:rsidRPr="003803AC">
        <w:rPr>
          <w:b/>
          <w:u w:val="single"/>
        </w:rPr>
        <w:t>, resulting in a “climate of impunity [that] emboldens police, health sector, and non-state groups to abuse sex workers’ rights”.</w:t>
      </w:r>
      <w:r w:rsidRPr="003803AC">
        <w:rPr>
          <w:sz w:val="16"/>
        </w:rPr>
        <w:t xml:space="preserve"> This is true even for so-called “partial criminalization” frameworks, such as those that penalize only the buyers of sex. Although such a strategy appears at first glance to be grounded in the well-being of sex workers, implementation often means policing of the areas where sex workers conduct business. This forces those working into more isolated conditions and locations, increasing their physical vulnerability. It disrupts critical safety strategies and negotiations including harm-reduction techniques—such as the use of condoms—and peer networks. According to a study published in the , partial criminalization “creates harms similar to those of full criminalization by impeding sex workers’ ability to protect their health and safety, and creating an antagonistic relationship with law enforcement resulting in a climate of impunity.” Second, criminalization undermines trust in support systems, including health care. Fear of judgment, discrimination, lower quality of service, and legal consequences inhibit many from disclosing that they are involved in sex work, regardless of whether they are so engaged through choice, circumstance, or coercion. One study of 783 sex workers reported that 70 percent had never disclosed the nature of their work to a health care professional. In a needs assessment of sex workers who seek clients in public </w:t>
      </w:r>
      <w:r w:rsidRPr="003803AC">
        <w:rPr>
          <w:sz w:val="16"/>
        </w:rPr>
        <w:lastRenderedPageBreak/>
        <w:t xml:space="preserve">spaces, often referred to as street-based sex work, one woman explained, “I was raped and was afraid to be judged by the hospital and that they’d call the police”. Disrupting the relationship between a health care professional and a sex worker can mean important red flags for exploitation, violence, and trafficking go unreported. Third, involvement in the criminal justice system creates long-lasting consequences, in terms of a person’s health outcomes and vulnerability to trafficking and other forms of exploitation. The inability to hide an arrest and conviction for prostitution makes obtaining formal employment, housing, benefits, and community support significantly more difficult. Fines, fees, and costs associated with an arrest exacerbate poverty, which significantly increases a person’s vulnerability to trafficking and other forms of exploitation. Finally, criminalization reinforces stigma, which perpetuates sex workers’ marginalization. </w:t>
      </w:r>
      <w:r w:rsidRPr="003803AC">
        <w:rPr>
          <w:u w:val="single"/>
        </w:rPr>
        <w:t>Research supports the fact that sex workers are some of the most marginalized people in the world, subject to widespread human rights violations including homicide, physical and sexual violence, incarceration, harassment from law enforcement, and discrimination in accessing health care and other sources of support</w:t>
      </w:r>
      <w:r w:rsidRPr="003803AC">
        <w:rPr>
          <w:b/>
          <w:u w:val="single"/>
        </w:rPr>
        <w:t>. Socially, culturally, politically, and economically, sex workers are stigmatized, ignored, and actively silenced even in advocacy spaces debating the very policies that influence their lives</w:t>
      </w:r>
      <w:r w:rsidRPr="003803AC">
        <w:rPr>
          <w:sz w:val="16"/>
        </w:rPr>
        <w:t>. Too often, sex workers are spoken for instead of given a platform for speaking themselves, and a result is a lack of recognition and enforcement of their basic human rights</w:t>
      </w:r>
      <w:r w:rsidRPr="003803AC">
        <w:rPr>
          <w:b/>
          <w:sz w:val="16"/>
        </w:rPr>
        <w:t xml:space="preserve">. </w:t>
      </w:r>
      <w:r w:rsidRPr="003803AC">
        <w:rPr>
          <w:b/>
          <w:u w:val="single"/>
        </w:rPr>
        <w:t>Decriminalization can motivate more prominent recognition of sex workers’ human rights and is thus a critical mechanism for decreasing trafficking</w:t>
      </w:r>
      <w:r w:rsidRPr="003803AC">
        <w:rPr>
          <w:u w:val="single"/>
        </w:rPr>
        <w:t>. When we improve the health and human rights of sex workers, we do so for those who are trafficked into sex work as well.</w:t>
      </w:r>
      <w:r w:rsidRPr="003803AC">
        <w:rPr>
          <w:sz w:val="16"/>
        </w:rPr>
        <w:t xml:space="preserve"> Indeed, the United Nations Office of the High Commissioner for Human Rights “Recommended Principles and Guidelines on Human Rights and Trafficking” notes that “violations of human rights are both a cause and a consequence of trafficking in persons,” and therefore it is “essential to place the protection of all human rights at the centre of any measures taken to prevent and end trafficking”. </w:t>
      </w:r>
      <w:r w:rsidRPr="003803AC">
        <w:rPr>
          <w:u w:val="single"/>
        </w:rPr>
        <w:t>By decriminalizing sex work, sex workers who experience violence can seek help from law enforcement, health care workers, or even friends with less fear of consequences to themselves or others. They can engage peer networks and employ harm-reduction techniques that help keep them safer, such that they no longer have to face the consequences of a criminal record for simply trying to survive.</w:t>
      </w:r>
    </w:p>
    <w:p w14:paraId="52CBF1D4" w14:textId="77777777" w:rsidR="00744779" w:rsidRDefault="00744779" w:rsidP="00744779"/>
    <w:p w14:paraId="1653EAFD" w14:textId="77777777" w:rsidR="00D30B7A" w:rsidRPr="00D73804" w:rsidRDefault="00D30B7A" w:rsidP="00D30B7A">
      <w:pPr>
        <w:spacing w:after="0" w:line="240" w:lineRule="auto"/>
        <w:rPr>
          <w:rFonts w:asciiTheme="majorHAnsi" w:eastAsia="Times New Roman" w:hAnsiTheme="majorHAnsi" w:cs="Times New Roman"/>
          <w:color w:val="000000" w:themeColor="text1"/>
          <w:sz w:val="16"/>
          <w:shd w:val="clear" w:color="auto" w:fill="FFFFFF"/>
        </w:rPr>
      </w:pPr>
    </w:p>
    <w:p w14:paraId="1E0A67CF" w14:textId="5113B15A" w:rsidR="00D30B7A" w:rsidRPr="00D30B7A" w:rsidRDefault="00D30B7A" w:rsidP="00D30B7A">
      <w:pPr>
        <w:pStyle w:val="Heading4"/>
        <w:rPr>
          <w:rFonts w:eastAsia="Times New Roman"/>
          <w:shd w:val="clear" w:color="auto" w:fill="FFFFFF"/>
        </w:rPr>
      </w:pPr>
      <w:r>
        <w:rPr>
          <w:rFonts w:eastAsia="Times New Roman"/>
          <w:shd w:val="clear" w:color="auto" w:fill="FFFFFF"/>
        </w:rPr>
        <w:t>Decrim is key to solve exploitation and trafficking</w:t>
      </w:r>
    </w:p>
    <w:p w14:paraId="2C6A9965" w14:textId="77777777" w:rsidR="00D30B7A" w:rsidRPr="00510CAF" w:rsidRDefault="00D30B7A" w:rsidP="00D30B7A">
      <w:r w:rsidRPr="000C3BAE">
        <w:rPr>
          <w:rFonts w:asciiTheme="majorHAnsi" w:eastAsia="Times New Roman" w:hAnsiTheme="majorHAnsi" w:cs="Times New Roman"/>
          <w:b/>
          <w:color w:val="000000" w:themeColor="text1"/>
          <w:sz w:val="26"/>
          <w:szCs w:val="26"/>
        </w:rPr>
        <w:t>Albright</w:t>
      </w:r>
      <w:r>
        <w:rPr>
          <w:rFonts w:asciiTheme="majorHAnsi" w:eastAsia="Times New Roman" w:hAnsiTheme="majorHAnsi" w:cs="Times New Roman"/>
          <w:b/>
          <w:color w:val="000000" w:themeColor="text1"/>
          <w:sz w:val="26"/>
          <w:szCs w:val="26"/>
        </w:rPr>
        <w:t xml:space="preserve"> and</w:t>
      </w:r>
      <w:r w:rsidRPr="000C3BAE">
        <w:rPr>
          <w:rFonts w:asciiTheme="majorHAnsi" w:eastAsia="Times New Roman" w:hAnsiTheme="majorHAnsi" w:cs="Times New Roman"/>
          <w:b/>
          <w:color w:val="000000" w:themeColor="text1"/>
          <w:sz w:val="26"/>
          <w:szCs w:val="26"/>
        </w:rPr>
        <w:t xml:space="preserve"> D'Adamo</w:t>
      </w:r>
      <w:r>
        <w:rPr>
          <w:rFonts w:asciiTheme="majorHAnsi" w:eastAsia="Times New Roman" w:hAnsiTheme="majorHAnsi" w:cs="Times New Roman"/>
          <w:b/>
          <w:color w:val="000000" w:themeColor="text1"/>
          <w:sz w:val="26"/>
          <w:szCs w:val="26"/>
        </w:rPr>
        <w:t xml:space="preserve"> </w:t>
      </w:r>
      <w:r>
        <w:rPr>
          <w:rFonts w:asciiTheme="majorHAnsi" w:eastAsia="Times New Roman" w:hAnsiTheme="majorHAnsi"/>
          <w:b/>
          <w:color w:val="000000" w:themeColor="text1"/>
          <w:sz w:val="26"/>
          <w:szCs w:val="26"/>
        </w:rPr>
        <w:t xml:space="preserve">17 </w:t>
      </w:r>
      <w:r w:rsidRPr="00D748EB">
        <w:rPr>
          <w:rFonts w:asciiTheme="majorHAnsi" w:eastAsia="Times New Roman" w:hAnsiTheme="majorHAnsi" w:cs="Times New Roman"/>
          <w:color w:val="000000" w:themeColor="text1"/>
          <w:sz w:val="20"/>
          <w:szCs w:val="20"/>
        </w:rPr>
        <w:t>(</w:t>
      </w:r>
      <w:r w:rsidRPr="000C3BAE">
        <w:rPr>
          <w:rFonts w:asciiTheme="majorHAnsi" w:eastAsia="Times New Roman" w:hAnsiTheme="majorHAnsi" w:cs="Times New Roman"/>
          <w:color w:val="000000" w:themeColor="text1"/>
          <w:sz w:val="20"/>
          <w:szCs w:val="20"/>
        </w:rPr>
        <w:t>Erin Albright, JD and Kate D'Adamo, MA</w:t>
      </w:r>
      <w:r w:rsidRPr="00D748EB">
        <w:rPr>
          <w:rFonts w:asciiTheme="majorHAnsi" w:eastAsia="Times New Roman" w:hAnsiTheme="majorHAnsi" w:cs="Times New Roman"/>
          <w:color w:val="000000" w:themeColor="text1"/>
          <w:sz w:val="20"/>
          <w:szCs w:val="20"/>
        </w:rPr>
        <w:t xml:space="preserve">, Erin Albright has over 12 years of experience speaking out against anti-trafficking and has worked with service providers, law enforcement, task forces and lawmakers. </w:t>
      </w:r>
      <w:r w:rsidRPr="00D748EB">
        <w:rPr>
          <w:rFonts w:asciiTheme="majorHAnsi" w:eastAsia="Times New Roman" w:hAnsiTheme="majorHAnsi" w:cs="Arial"/>
          <w:color w:val="000000" w:themeColor="text1"/>
          <w:sz w:val="20"/>
          <w:szCs w:val="20"/>
        </w:rPr>
        <w:t>Previously she oversaw a network of service providers throughout New England, providing coordination, training and technical assistance to ensure best practices in working with survivors of human trafficking.  She also worked for two and a half years for the Boston Police Department’s Human Trafficking Unit and Massachusetts Task Force, managing all data and statistics</w:t>
      </w:r>
      <w:r w:rsidRPr="00D748EB">
        <w:rPr>
          <w:rFonts w:asciiTheme="majorHAnsi" w:eastAsia="Times New Roman" w:hAnsiTheme="majorHAnsi" w:cs="Times New Roman"/>
          <w:color w:val="000000" w:themeColor="text1"/>
          <w:sz w:val="20"/>
          <w:szCs w:val="20"/>
        </w:rPr>
        <w:t xml:space="preserve">, </w:t>
      </w:r>
      <w:r w:rsidRPr="00D748EB">
        <w:rPr>
          <w:rFonts w:asciiTheme="majorHAnsi" w:eastAsia="Times New Roman" w:hAnsiTheme="majorHAnsi"/>
          <w:color w:val="000000" w:themeColor="text1"/>
          <w:sz w:val="20"/>
          <w:szCs w:val="20"/>
          <w:shd w:val="clear" w:color="auto" w:fill="FFFFFF"/>
        </w:rPr>
        <w:t xml:space="preserve">Kate D‘Adamo is a long-time sex worker rights advocate with a focus on economic justice, anti-policing and incarceration and public health. Previously, she was the National Policy Advocate at the Sex Workers Project at the Urban Justice Center focusing on laws, policies and advocacy focused on folks who trade sex, including the criminalization of sex work, anti-trafficking policies, and HIV-specific laws. Prior to joining the Sex Workers Project, Kate was a community organizer and advocate with the Sex Workers Outreach Project and Sex Workers Action New York, “Decreasing Human Trafficking Through Sex Work Decriminalization,” </w:t>
      </w:r>
      <w:r w:rsidRPr="00D748EB">
        <w:rPr>
          <w:rFonts w:asciiTheme="majorHAnsi" w:eastAsia="Times New Roman" w:hAnsiTheme="majorHAnsi" w:cs="Times New Roman"/>
          <w:i/>
          <w:iCs/>
          <w:color w:val="000000" w:themeColor="text1"/>
          <w:sz w:val="20"/>
          <w:szCs w:val="20"/>
        </w:rPr>
        <w:t>AMA J Ethics</w:t>
      </w:r>
      <w:r w:rsidRPr="00D748EB">
        <w:rPr>
          <w:rFonts w:asciiTheme="majorHAnsi" w:hAnsiTheme="majorHAnsi"/>
          <w:i/>
          <w:iCs/>
          <w:color w:val="000000" w:themeColor="text1"/>
          <w:sz w:val="20"/>
          <w:szCs w:val="20"/>
        </w:rPr>
        <w:t>.</w:t>
      </w:r>
      <w:r w:rsidRPr="00D748EB">
        <w:rPr>
          <w:rFonts w:asciiTheme="majorHAnsi" w:hAnsiTheme="majorHAnsi"/>
          <w:color w:val="000000" w:themeColor="text1"/>
          <w:sz w:val="20"/>
          <w:szCs w:val="20"/>
        </w:rPr>
        <w:t xml:space="preserve"> 2017;19(1):122-126. doi: 10.1001/journalofethics.2017.19.1.sect2-1701//AA)</w:t>
      </w:r>
    </w:p>
    <w:p w14:paraId="108B74FC" w14:textId="77777777" w:rsidR="00D30B7A" w:rsidRDefault="00D30B7A" w:rsidP="00D30B7A">
      <w:pPr>
        <w:spacing w:after="0" w:line="240" w:lineRule="auto"/>
        <w:rPr>
          <w:rStyle w:val="Emphasis"/>
          <w:rFonts w:asciiTheme="majorHAnsi" w:hAnsiTheme="majorHAnsi"/>
          <w:color w:val="000000" w:themeColor="text1"/>
        </w:rPr>
      </w:pPr>
      <w:r w:rsidRPr="00D73804">
        <w:rPr>
          <w:rFonts w:asciiTheme="majorHAnsi" w:eastAsia="Times New Roman" w:hAnsiTheme="majorHAnsi" w:cs="Times New Roman"/>
          <w:i/>
          <w:iCs/>
          <w:color w:val="000000" w:themeColor="text1"/>
          <w:sz w:val="16"/>
          <w:shd w:val="clear" w:color="auto" w:fill="FFFFFF"/>
        </w:rPr>
        <w:t>Stigma</w:t>
      </w:r>
      <w:r w:rsidRPr="00D73804">
        <w:rPr>
          <w:rFonts w:asciiTheme="majorHAnsi" w:eastAsia="Times New Roman" w:hAnsiTheme="majorHAnsi" w:cs="Times New Roman"/>
          <w:color w:val="000000" w:themeColor="text1"/>
          <w:sz w:val="16"/>
          <w:shd w:val="clear" w:color="auto" w:fill="FFFFFF"/>
        </w:rPr>
        <w:t xml:space="preserve">. Finally, </w:t>
      </w:r>
      <w:r w:rsidRPr="00D73804">
        <w:rPr>
          <w:rFonts w:asciiTheme="majorHAnsi" w:eastAsia="Times New Roman" w:hAnsiTheme="majorHAnsi" w:cs="Times New Roman"/>
          <w:color w:val="000000" w:themeColor="text1"/>
          <w:u w:val="single"/>
          <w:shd w:val="clear" w:color="auto" w:fill="FFFFFF"/>
        </w:rPr>
        <w:t>criminalization reinforces stigma, which perpetuates sex workers’ marginalization</w:t>
      </w:r>
      <w:r w:rsidRPr="00D73804">
        <w:rPr>
          <w:rFonts w:asciiTheme="majorHAnsi" w:eastAsia="Times New Roman" w:hAnsiTheme="majorHAnsi" w:cs="Times New Roman"/>
          <w:color w:val="000000" w:themeColor="text1"/>
          <w:sz w:val="16"/>
          <w:shd w:val="clear" w:color="auto" w:fill="FFFFFF"/>
        </w:rPr>
        <w:t xml:space="preserve">. Research supports the fact that </w:t>
      </w:r>
      <w:r w:rsidRPr="00D73804">
        <w:rPr>
          <w:rStyle w:val="Emphasis"/>
          <w:rFonts w:asciiTheme="majorHAnsi" w:hAnsiTheme="majorHAnsi"/>
          <w:color w:val="000000" w:themeColor="text1"/>
        </w:rPr>
        <w:t>sex workers are some of the most marginalized people in the world, subject to widespread human rights violations including homicide, physical and sexual violence, incarceration, harassment from law enforcement, and discrimination in accessing health care and other sources of support</w:t>
      </w:r>
      <w:r w:rsidRPr="00D73804">
        <w:rPr>
          <w:rFonts w:asciiTheme="majorHAnsi" w:eastAsia="Times New Roman" w:hAnsiTheme="majorHAnsi" w:cs="Times New Roman"/>
          <w:color w:val="000000" w:themeColor="text1"/>
          <w:sz w:val="16"/>
          <w:shd w:val="clear" w:color="auto" w:fill="FFFFFF"/>
        </w:rPr>
        <w:t xml:space="preserve"> [1]. Socially, culturally, politically, and economically, sex workers are stigmatized, ignored, and actively silenced even in advocacy spaces debating the very policies that influence their lives [11]. Too often, sex workers are spoken for instead of given a platform for speaking themselves, and </w:t>
      </w:r>
      <w:r w:rsidRPr="00D73804">
        <w:rPr>
          <w:rStyle w:val="Emphasis"/>
          <w:rFonts w:asciiTheme="majorHAnsi" w:hAnsiTheme="majorHAnsi"/>
          <w:color w:val="000000" w:themeColor="text1"/>
        </w:rPr>
        <w:t>a result is a lack of recognition and enforcement of their basic human rights</w:t>
      </w:r>
      <w:r w:rsidRPr="00D73804">
        <w:rPr>
          <w:rFonts w:asciiTheme="majorHAnsi" w:eastAsia="Times New Roman" w:hAnsiTheme="majorHAnsi" w:cs="Times New Roman"/>
          <w:color w:val="000000" w:themeColor="text1"/>
          <w:sz w:val="16"/>
          <w:shd w:val="clear" w:color="auto" w:fill="FFFFFF"/>
        </w:rPr>
        <w:t xml:space="preserve">. </w:t>
      </w:r>
      <w:r w:rsidRPr="00D73804">
        <w:rPr>
          <w:rStyle w:val="Emphasis"/>
          <w:rFonts w:asciiTheme="majorHAnsi" w:hAnsiTheme="majorHAnsi"/>
          <w:color w:val="000000" w:themeColor="text1"/>
        </w:rPr>
        <w:t>Decriminalization can motivate more prominent recognition of sex workers’ </w:t>
      </w:r>
      <w:hyperlink r:id="rId31" w:history="1">
        <w:r w:rsidRPr="00D73804">
          <w:rPr>
            <w:rStyle w:val="Emphasis"/>
            <w:rFonts w:asciiTheme="majorHAnsi" w:hAnsiTheme="majorHAnsi"/>
            <w:color w:val="000000" w:themeColor="text1"/>
          </w:rPr>
          <w:t>human rights</w:t>
        </w:r>
      </w:hyperlink>
      <w:r w:rsidRPr="00D73804">
        <w:rPr>
          <w:rStyle w:val="Emphasis"/>
          <w:rFonts w:asciiTheme="majorHAnsi" w:hAnsiTheme="majorHAnsi"/>
          <w:color w:val="000000" w:themeColor="text1"/>
        </w:rPr>
        <w:t> and is thus a critical mechanism for decreasing trafficking</w:t>
      </w:r>
      <w:r w:rsidRPr="00D73804">
        <w:rPr>
          <w:rFonts w:asciiTheme="majorHAnsi" w:eastAsia="Times New Roman" w:hAnsiTheme="majorHAnsi" w:cs="Times New Roman"/>
          <w:color w:val="000000" w:themeColor="text1"/>
          <w:sz w:val="16"/>
          <w:shd w:val="clear" w:color="auto" w:fill="FFFFFF"/>
        </w:rPr>
        <w:t xml:space="preserve">. When we improve the health and human rights of sex workers, we do so for those </w:t>
      </w:r>
      <w:r w:rsidRPr="00D73804">
        <w:rPr>
          <w:rFonts w:asciiTheme="majorHAnsi" w:eastAsia="Times New Roman" w:hAnsiTheme="majorHAnsi" w:cs="Times New Roman"/>
          <w:color w:val="000000" w:themeColor="text1"/>
          <w:sz w:val="16"/>
          <w:shd w:val="clear" w:color="auto" w:fill="FFFFFF"/>
        </w:rPr>
        <w:lastRenderedPageBreak/>
        <w:t xml:space="preserve">who are trafficked into sex work as well. Indeed, the United Nations Office of the High Commissioner for Human Rights “Recommended Principles and Guidelines on Human Rights and Trafficking” notes that “violations of human rights are both a cause and a consequence of trafficking in persons,” and therefore </w:t>
      </w:r>
      <w:r w:rsidRPr="00D73804">
        <w:rPr>
          <w:rStyle w:val="Emphasis"/>
          <w:rFonts w:asciiTheme="majorHAnsi" w:hAnsiTheme="majorHAnsi"/>
          <w:color w:val="000000" w:themeColor="text1"/>
        </w:rPr>
        <w:t>it is “essential to place the protection of all human rights at the centre of any measures taken to prevent and end trafficking</w:t>
      </w:r>
      <w:r w:rsidRPr="00D73804">
        <w:rPr>
          <w:rFonts w:asciiTheme="majorHAnsi" w:eastAsia="Times New Roman" w:hAnsiTheme="majorHAnsi" w:cs="Times New Roman"/>
          <w:color w:val="000000" w:themeColor="text1"/>
          <w:sz w:val="16"/>
          <w:shd w:val="clear" w:color="auto" w:fill="FFFFFF"/>
        </w:rPr>
        <w:t xml:space="preserve">” [12]. </w:t>
      </w:r>
      <w:r w:rsidRPr="00D73804">
        <w:rPr>
          <w:rStyle w:val="Emphasis"/>
          <w:rFonts w:asciiTheme="majorHAnsi" w:hAnsiTheme="majorHAnsi"/>
          <w:color w:val="000000" w:themeColor="text1"/>
        </w:rPr>
        <w:t>By decriminalizing sex work, sex workers who experience violence can seek help from law enforcement, health care workers, or even friends with less fear of consequences to themselves or others. They can engage peer networks and employ harm-reduction techniques that help keep them safer, such that they no longer have to face the consequences of a criminal record for simply trying to survive.</w:t>
      </w:r>
    </w:p>
    <w:p w14:paraId="14F03120" w14:textId="77777777" w:rsidR="00D30B7A" w:rsidRPr="00D30B7A" w:rsidRDefault="00D30B7A" w:rsidP="00D30B7A"/>
    <w:p w14:paraId="15AAA4E4" w14:textId="152F019B" w:rsidR="000C0EBF" w:rsidRDefault="00D260D3" w:rsidP="00D260D3">
      <w:pPr>
        <w:pStyle w:val="Heading3"/>
      </w:pPr>
      <w:r>
        <w:lastRenderedPageBreak/>
        <w:t>CP is popular (ie links to politics)</w:t>
      </w:r>
    </w:p>
    <w:p w14:paraId="29DFA3DA" w14:textId="039DAD5A" w:rsidR="00D260D3" w:rsidRDefault="00D260D3" w:rsidP="00D260D3"/>
    <w:p w14:paraId="354C6BAD" w14:textId="77777777" w:rsidR="00D260D3" w:rsidRDefault="00D260D3" w:rsidP="00D260D3">
      <w:pPr>
        <w:pStyle w:val="Heading4"/>
      </w:pPr>
      <w:r>
        <w:t>Current voters support the decriminalization of sex work- Action key</w:t>
      </w:r>
    </w:p>
    <w:p w14:paraId="4FCB96DA" w14:textId="77777777" w:rsidR="00D260D3" w:rsidRPr="00607821" w:rsidRDefault="00D260D3" w:rsidP="00D260D3">
      <w:r w:rsidRPr="003B7196">
        <w:rPr>
          <w:b/>
          <w:sz w:val="26"/>
          <w:szCs w:val="26"/>
        </w:rPr>
        <w:t>Lennard 1/30</w:t>
      </w:r>
      <w:r>
        <w:t xml:space="preserve"> </w:t>
      </w:r>
      <w:r w:rsidRPr="003B7196">
        <w:rPr>
          <w:sz w:val="20"/>
          <w:szCs w:val="20"/>
        </w:rPr>
        <w:t>Natasha Lennard is a columnist for The Intercept. Her work has appeared in The Nation, Bookforum and the New York Times, among others. She teaches critical journalism at the New School for Social Research in New York. She is the author of “Being Numerous: Essays on Non-Fascist Life,” 1/30/20, “The Majority of Voters Now Support Decriminalizing Sex Work. It’s About Time,” https://theintercept.com/2020/01/30/sex-workers-decriminalization-fosta-sesta/</w:t>
      </w:r>
    </w:p>
    <w:p w14:paraId="5066FC37" w14:textId="77777777" w:rsidR="00D260D3" w:rsidRPr="001A2FEB" w:rsidRDefault="00D260D3" w:rsidP="00D260D3">
      <w:pPr>
        <w:rPr>
          <w:sz w:val="16"/>
        </w:rPr>
      </w:pPr>
      <w:r w:rsidRPr="003B7196">
        <w:rPr>
          <w:u w:val="single"/>
        </w:rPr>
        <w:t>Fast forward nearly two years and the Democratic consensus around the criminalization of sex work has, thankfully and finally, seen a most dramatic shift</w:t>
      </w:r>
      <w:r w:rsidRPr="001A2FEB">
        <w:rPr>
          <w:sz w:val="16"/>
        </w:rPr>
        <w:t>. As a report published today by a coalition of organizations, including Data for Progress, the American Civil Liberties Union, Mijente, and the Human Rights Campaign noted, “</w:t>
      </w:r>
      <w:r w:rsidRPr="003B7196">
        <w:rPr>
          <w:u w:val="single"/>
        </w:rPr>
        <w:t>For the first time in presidential primary history, 2020 candidates have competed for a progressive position on the sex trade.”</w:t>
      </w:r>
      <w:r w:rsidRPr="001A2FEB">
        <w:rPr>
          <w:sz w:val="16"/>
        </w:rPr>
        <w:t xml:space="preserve"> While the issue has arisen as more a talking point than a clear policy proposal for the candidates, the positioning away from criminalization is marked. The report, released on Thursday alongside two new national polls, does not just focus on sex work decriminalization as an electoral issue — </w:t>
      </w:r>
      <w:r w:rsidRPr="003B7196">
        <w:rPr>
          <w:u w:val="single"/>
        </w:rPr>
        <w:t>it also surveys and commends a significant shift in public support, especially among young people, for seeing sex work decriminalized. National polling carried out by Data for Progress and YouGov Blue found that two-thirds of voters aged 18 to 44 support the full decriminalization of sex work; two-thirds of Democratic voters of all ages agree, compared to 37 percent of Republicans and 55 percent of independents. “Fully 52 percent of voters somewhat or strongly support decriminalizing sex work,”</w:t>
      </w:r>
      <w:r w:rsidRPr="001A2FEB">
        <w:rPr>
          <w:sz w:val="16"/>
        </w:rPr>
        <w:t xml:space="preserve"> noted the report, authored by Data for Progress fellow Nina Luo, who is also an organizer with Decrim NY, a coalition pushing for decriminalization, the decarceration of sex workers, and the destigmatization of the censured industry. In a similar poll taken just seven month earlier</w:t>
      </w:r>
      <w:r w:rsidRPr="003B7196">
        <w:rPr>
          <w:u w:val="single"/>
        </w:rPr>
        <w:t xml:space="preserve">, 45 percent of overall voters supported decriminalization; support among Democratic voters has increased from 56 to 61 percent. Sex work decriminalization should not be considered a fringe issue. </w:t>
      </w:r>
      <w:r w:rsidRPr="003B7196">
        <w:rPr>
          <w:b/>
          <w:u w:val="single"/>
        </w:rPr>
        <w:t>It intersects many of the most urgent political struggles of our time: the fight to end mass incarceration, racial profiling, and transphobic police violence; the demand for a social safety net; and robust and protections for all workers. To fight for the decriminalization of sex work is to fight for and with society’s most vulnerable and marginalized communities, in particular women of color and of immigrant backgrounds, especially trans women who often rely on sex work when discriminated against in other industries.</w:t>
      </w:r>
      <w:r w:rsidRPr="003B7196">
        <w:rPr>
          <w:u w:val="single"/>
        </w:rPr>
        <w:t xml:space="preserve"> </w:t>
      </w:r>
      <w:r w:rsidRPr="001A2FEB">
        <w:rPr>
          <w:sz w:val="16"/>
        </w:rPr>
        <w:t xml:space="preserve">Black women account for 94 percent of people arrested for the absurd and capacious charge of “loitering for the purposes of prostitution” in the New York City boroughs of Brooklyn and Queens. Thus, to ignore the struggle for sex workers’ rights is de facto to allow their lives not to matter. According to Luo, it is in part the growing recognition of the necessity of these connected struggles that accounts for the increased support for sex work decriminalization. “Living wages haven’t risen and 13 percent of Americans know someone who has died because they couldn’t afford health care,” Luo told me, noting that “people are in economically desperate situations and increasingly understand that people do things for survival, that survival work is work, that sex work is work.” </w:t>
      </w:r>
      <w:r w:rsidRPr="003B7196">
        <w:rPr>
          <w:u w:val="single"/>
        </w:rPr>
        <w:t>Full decriminalization would recognize that as work, sex work is not the business of the police and courts. For many, sex work may not be good work, or always free of exploitation, and it may be resorted to when there are few other options</w:t>
      </w:r>
      <w:r w:rsidRPr="001A2FEB">
        <w:rPr>
          <w:sz w:val="16"/>
        </w:rPr>
        <w:t xml:space="preserve">. But the very same is true of many jobs in which workers are nonetheless deemed worthy of rights and legal protections as workers. </w:t>
      </w:r>
      <w:r w:rsidRPr="003B7196">
        <w:rPr>
          <w:u w:val="single"/>
        </w:rPr>
        <w:t>Luo also attributed the changing views on decriminalization to the sex worker movement’s alignment with a multiracial coalition and “a rising left.”</w:t>
      </w:r>
      <w:r w:rsidRPr="001A2FEB">
        <w:rPr>
          <w:sz w:val="16"/>
        </w:rPr>
        <w:t xml:space="preserve"> There’s little doubt that the infusion of new, decidedly left-wing blood into parts of the Democratic political landscape has pushed the issue to the fore in state houses nationwide. New York and D.C. have introduced bills to decriminalize sex work, and similar efforts are gaining ground in California, Oregon, Illinois, Vermont, Connecticut, and Colorado, the report noted. Progressive politicians like Rep. Ro Khanna, D-Calif., deserve credit for new efforts to repeal FOSTA-SESTA, and left-to-liberal NGOs getting behind the issue are to be commended. But the long overdue shift in political consensus was hard fought by sex worker organizers on the front lines. The report includes testimonies from a number of sex workers and former sex workers attesting to the violences enacted through criminalization. Bianey Garcia, a trans rights organizer with immigrant advocacy group Make the Road, who emigrated from Mexico as a teenager to escape LGBTQ persecution, was fired from her restaurant job in the U.S. when she transitioned on hormones. Having previously been a victim of sex trafficking, Garcia then turned to consensual, independent, survival sex work. “I’ve been arrested four times for </w:t>
      </w:r>
      <w:r w:rsidRPr="001A2FEB">
        <w:rPr>
          <w:sz w:val="16"/>
        </w:rPr>
        <w:lastRenderedPageBreak/>
        <w:t>prostitution,” she notes in the report, “Only once was I actually doing sex work, the other three arrests were just profiling because I’m a trans woman.” Another testimony, from Victoria Walker, who turned to sex work for survival, recalls that each time an aspect of the industry was further criminalized, the work became more dangerous. For example, FOSTA-SESTA led to the shuttering of sites where workers could screen clients and connect to other members of the community. “</w:t>
      </w:r>
      <w:r w:rsidRPr="001A2FEB">
        <w:rPr>
          <w:b/>
          <w:u w:val="single"/>
        </w:rPr>
        <w:t xml:space="preserve">If sex work were decriminalized,” notes Walker, “the sex worker community could find each other again and feel safe by having each others’ backs.” It is only full decriminalization that can lay the ground for sex workers to obtain the rights they well deserve. </w:t>
      </w:r>
      <w:r w:rsidRPr="001A2FEB">
        <w:rPr>
          <w:sz w:val="16"/>
        </w:rPr>
        <w:t xml:space="preserve">The so-called Nordic model, in which only buyers of sex or third parties face criminalization, forces sex workers into the shadows and continues to entrap sex workers and their loved ones in the system of carceral injustice. Examples abound of sex workers being arrested for soliciting under such laws. The new report notes that under the Nordic model, pitched as legislation to protect sex workers, Norway “evicted more than 400 sex workers, primarily migrant women, from their home.” Full decriminalization will not offer economic justice and material safety for the vulnerable people who turn to sex work for survival, but it would remove at least some of the grounds used by the police and state to further oppress these communities. And it is support for full decriminalization that the new polls reflect. Respondents were asked whether they would support sex work following the example of New Zealand, which in 2003 did away with “criminal penalties for adults to sell and pay for consensual sex while also maintaining laws that criminalize violence.” </w:t>
      </w:r>
      <w:r w:rsidRPr="001A2FEB">
        <w:rPr>
          <w:u w:val="single"/>
        </w:rPr>
        <w:t>New Zealand has not seen the sex work industry grow since it was decriminalized, according to the report, but 90 percent of people trading sex said decriminalization gave them employment, legal, and health rights, while 64 percent found it easier to refuse clients. Luo told me that the shift in support for decriminalization, especially among young people,</w:t>
      </w:r>
      <w:r w:rsidRPr="001A2FEB">
        <w:rPr>
          <w:sz w:val="16"/>
        </w:rPr>
        <w:t xml:space="preserve"> is a “momentous” indication of “where the future is for the issue,” but the organizer was clear that barriers to full decriminalization, decarceration, and destigmatization remain steep. She highlighted that beliefs in carceral approaches to ending violence and exploitation, transphobia, fearmongering, and myths about trafficking persist with force, as do reactionary and powerful police unions lobbying for criminalization. She added, though, that “perhaps the greatest barrier of all” is that people who are inoculated from deprivation and discrimination “find it unbelievable that people living at the intersections of marginalization and oppression often trade sex to survive.” As Luo put it, “it gets at the very core of who we are as a society, pretty immediately.” And to reckon with the realities of survival sex work and the added brutality of its criminalization is to understand that this society needs changing at its core.</w:t>
      </w:r>
    </w:p>
    <w:p w14:paraId="5310104A" w14:textId="77777777" w:rsidR="00D260D3" w:rsidRPr="00D260D3" w:rsidRDefault="00D260D3" w:rsidP="00D260D3"/>
    <w:p w14:paraId="77FDE0A9" w14:textId="53B580B2" w:rsidR="00927D40" w:rsidRPr="0041399D" w:rsidRDefault="00B87E81" w:rsidP="00927D40">
      <w:pPr>
        <w:pStyle w:val="Heading2"/>
      </w:pPr>
      <w:r w:rsidRPr="0041399D">
        <w:lastRenderedPageBreak/>
        <w:t>Internet Advantage</w:t>
      </w:r>
    </w:p>
    <w:p w14:paraId="75170D8B" w14:textId="53DCA32F" w:rsidR="005C577A" w:rsidRPr="0041399D" w:rsidRDefault="005C577A" w:rsidP="005C577A">
      <w:pPr>
        <w:pStyle w:val="Heading3"/>
      </w:pPr>
      <w:r w:rsidRPr="0041399D">
        <w:lastRenderedPageBreak/>
        <w:t>1NC Businesses</w:t>
      </w:r>
    </w:p>
    <w:p w14:paraId="41361643" w14:textId="66D506B9" w:rsidR="005C577A" w:rsidRPr="0041399D" w:rsidRDefault="005C577A" w:rsidP="005C577A">
      <w:pPr>
        <w:pStyle w:val="Heading4"/>
      </w:pPr>
      <w:r w:rsidRPr="0041399D">
        <w:t>COVID makes cyber attacks inevitable</w:t>
      </w:r>
    </w:p>
    <w:p w14:paraId="5300EA6C" w14:textId="77777777" w:rsidR="005C577A" w:rsidRPr="0041399D" w:rsidRDefault="005C577A" w:rsidP="005C577A">
      <w:r w:rsidRPr="0041399D">
        <w:rPr>
          <w:sz w:val="18"/>
          <w:szCs w:val="18"/>
        </w:rPr>
        <w:t>Larry</w:t>
      </w:r>
      <w:r w:rsidRPr="0041399D">
        <w:t xml:space="preserve"> </w:t>
      </w:r>
      <w:r w:rsidRPr="0041399D">
        <w:rPr>
          <w:rStyle w:val="Style13ptBold"/>
        </w:rPr>
        <w:t>Jaffee 20</w:t>
      </w:r>
      <w:r w:rsidRPr="0041399D">
        <w:t xml:space="preserve">, </w:t>
      </w:r>
      <w:r w:rsidRPr="0041399D">
        <w:rPr>
          <w:sz w:val="18"/>
          <w:szCs w:val="18"/>
        </w:rPr>
        <w:t>adjunct professor of Media Studies at St. Joseph’s College. "Cyberattackers raising stakes in financial sector, security experts tell House subcommittee," SC Media, 6-17-2020, https://www.scmagazine.com/home/finance/cyberattackers-raising-stakes-in-financial-sector-security-experts-tell-house-subcommittee/, accessed 7-22-2020 //ART</w:t>
      </w:r>
    </w:p>
    <w:p w14:paraId="652E0228" w14:textId="77777777" w:rsidR="005C577A" w:rsidRPr="0041399D" w:rsidRDefault="005C577A" w:rsidP="005C577A">
      <w:pPr>
        <w:rPr>
          <w:sz w:val="10"/>
        </w:rPr>
      </w:pPr>
      <w:r w:rsidRPr="0041399D">
        <w:rPr>
          <w:u w:val="single"/>
        </w:rPr>
        <w:t xml:space="preserve">Cyberattacks on the U.S. financial sector amid COVID-19 rose </w:t>
      </w:r>
      <w:r w:rsidRPr="0041399D">
        <w:rPr>
          <w:rStyle w:val="Emphasis"/>
        </w:rPr>
        <w:t>238 percent</w:t>
      </w:r>
      <w:r w:rsidRPr="0041399D">
        <w:rPr>
          <w:u w:val="single"/>
        </w:rPr>
        <w:t xml:space="preserve"> over the first five months of 2020</w:t>
      </w:r>
      <w:r w:rsidRPr="0041399D">
        <w:rPr>
          <w:sz w:val="10"/>
        </w:rPr>
        <w:t xml:space="preserve">, VMware/Carbon Black told Congress during a House Subcommittee on National Security, International Development and Monetary Policy virtual hearing Tuesday. Four NGOs brought to the attention of the lawmakers of how attackers are raising the stakes with fraudulent schemes and the need for public and private sector vigilance during testimony for the nearly two-hour session entitled “Cybercriminals and Fraudsters: How Bad Actors Are Exploiting the Financial System During the COVID-19 Pandemic.” In his opening statement, </w:t>
      </w:r>
      <w:r w:rsidRPr="0041399D">
        <w:rPr>
          <w:rStyle w:val="StyleUnderline"/>
        </w:rPr>
        <w:t xml:space="preserve">subcommittee Chairman Emanuel Cleaver, D-Mo., cited a </w:t>
      </w:r>
      <w:r w:rsidRPr="0041399D">
        <w:rPr>
          <w:rStyle w:val="Emphasis"/>
        </w:rPr>
        <w:t>148 percent</w:t>
      </w:r>
      <w:r w:rsidRPr="0041399D">
        <w:rPr>
          <w:rStyle w:val="StyleUnderline"/>
        </w:rPr>
        <w:t xml:space="preserve"> spike in cyberattacks in March</w:t>
      </w:r>
      <w:r w:rsidRPr="0041399D">
        <w:rPr>
          <w:sz w:val="10"/>
        </w:rPr>
        <w:t xml:space="preserve"> when compared to February, and that </w:t>
      </w:r>
      <w:r w:rsidRPr="0041399D">
        <w:rPr>
          <w:rStyle w:val="StyleUnderline"/>
        </w:rPr>
        <w:t xml:space="preserve">the financial sector in that period received a 38 percent increase in ransomware attacks. </w:t>
      </w:r>
      <w:r w:rsidRPr="0041399D">
        <w:rPr>
          <w:sz w:val="10"/>
        </w:rPr>
        <w:t xml:space="preserve">Cleaver cited </w:t>
      </w:r>
      <w:r w:rsidRPr="0041399D">
        <w:rPr>
          <w:rStyle w:val="StyleUnderline"/>
        </w:rPr>
        <w:t xml:space="preserve">cybersecurity complaints to the FBI’s Internet Crime Complaint Center </w:t>
      </w:r>
      <w:r w:rsidRPr="0041399D">
        <w:rPr>
          <w:rStyle w:val="Emphasis"/>
        </w:rPr>
        <w:t>quadrupled</w:t>
      </w:r>
      <w:r w:rsidRPr="0041399D">
        <w:rPr>
          <w:rStyle w:val="StyleUnderline"/>
        </w:rPr>
        <w:t xml:space="preserve"> in the past four months from 1,000 daily before the pandemic to as many as </w:t>
      </w:r>
      <w:r w:rsidRPr="0041399D">
        <w:rPr>
          <w:rStyle w:val="Emphasis"/>
        </w:rPr>
        <w:t>4,000 incidents</w:t>
      </w:r>
      <w:r w:rsidRPr="0041399D">
        <w:rPr>
          <w:rStyle w:val="StyleUnderline"/>
        </w:rPr>
        <w:t xml:space="preserve"> in a day. </w:t>
      </w:r>
      <w:r w:rsidRPr="0041399D">
        <w:rPr>
          <w:rStyle w:val="Emphasis"/>
        </w:rPr>
        <w:t>Ninety percent</w:t>
      </w:r>
      <w:r w:rsidRPr="0041399D">
        <w:rPr>
          <w:rStyle w:val="StyleUnderline"/>
        </w:rPr>
        <w:t xml:space="preserve"> of the financial sector’s employees are working from home, making exploitation even </w:t>
      </w:r>
      <w:r w:rsidRPr="0041399D">
        <w:rPr>
          <w:rStyle w:val="Emphasis"/>
        </w:rPr>
        <w:t>more probable</w:t>
      </w:r>
      <w:r w:rsidRPr="0041399D">
        <w:rPr>
          <w:rStyle w:val="StyleUnderline"/>
        </w:rPr>
        <w:t xml:space="preserve"> due to </w:t>
      </w:r>
      <w:r w:rsidRPr="0041399D">
        <w:rPr>
          <w:rStyle w:val="Emphasis"/>
        </w:rPr>
        <w:t>vulnerabilities</w:t>
      </w:r>
      <w:r w:rsidRPr="0041399D">
        <w:rPr>
          <w:rStyle w:val="StyleUnderline"/>
        </w:rPr>
        <w:t xml:space="preserve"> without the parameter defenses found in a corporate environment</w:t>
      </w:r>
      <w:r w:rsidRPr="0041399D">
        <w:rPr>
          <w:sz w:val="10"/>
        </w:rPr>
        <w:t xml:space="preserve">, noted Tom Kellermann, VMWare head of cybersecurity strategy. “CISOs of financial institutions are being marginalized, and their strategies need to be enacted fully,” he testified. </w:t>
      </w:r>
      <w:r w:rsidRPr="0041399D">
        <w:rPr>
          <w:rStyle w:val="StyleUnderline"/>
        </w:rPr>
        <w:t>Financial institutions’ third-party partners and vendors are being increasingly targeted</w:t>
      </w:r>
      <w:r w:rsidRPr="0041399D">
        <w:rPr>
          <w:sz w:val="10"/>
        </w:rPr>
        <w:t>. According to the May 2020 VMware Carbon Black report, “</w:t>
      </w:r>
      <w:r w:rsidRPr="0041399D">
        <w:rPr>
          <w:rStyle w:val="Emphasis"/>
        </w:rPr>
        <w:t>33 percent</w:t>
      </w:r>
      <w:r w:rsidRPr="0041399D">
        <w:rPr>
          <w:rStyle w:val="StyleUnderline"/>
        </w:rPr>
        <w:t xml:space="preserve"> of surveyed financial institutions said they’ve encountered </w:t>
      </w:r>
      <w:r w:rsidRPr="0041399D">
        <w:rPr>
          <w:rStyle w:val="Emphasis"/>
        </w:rPr>
        <w:t>island hopping</w:t>
      </w:r>
      <w:r w:rsidRPr="0041399D">
        <w:rPr>
          <w:rStyle w:val="StyleUnderline"/>
        </w:rPr>
        <w:t xml:space="preserve">, an attack where supply chains and partners are commandeered to target the primary financial institution.” The globe’s elite hackers, composed of organized </w:t>
      </w:r>
      <w:r w:rsidRPr="0041399D">
        <w:rPr>
          <w:rStyle w:val="Emphasis"/>
        </w:rPr>
        <w:t>crime syndicates</w:t>
      </w:r>
      <w:r w:rsidRPr="0041399D">
        <w:rPr>
          <w:rStyle w:val="StyleUnderline"/>
        </w:rPr>
        <w:t xml:space="preserve"> and </w:t>
      </w:r>
      <w:r w:rsidRPr="0041399D">
        <w:rPr>
          <w:rStyle w:val="Emphasis"/>
        </w:rPr>
        <w:t>motivated nation-states</w:t>
      </w:r>
      <w:r w:rsidRPr="0041399D">
        <w:rPr>
          <w:rStyle w:val="StyleUnderline"/>
        </w:rPr>
        <w:t xml:space="preserve">, are </w:t>
      </w:r>
      <w:r w:rsidRPr="0041399D">
        <w:rPr>
          <w:rStyle w:val="Emphasis"/>
        </w:rPr>
        <w:t>well familiar</w:t>
      </w:r>
      <w:r w:rsidRPr="0041399D">
        <w:rPr>
          <w:rStyle w:val="StyleUnderline"/>
        </w:rPr>
        <w:t xml:space="preserve"> with the potential attack landscape</w:t>
      </w:r>
      <w:r w:rsidRPr="0041399D">
        <w:rPr>
          <w:sz w:val="10"/>
        </w:rPr>
        <w:t>, Kellermann noted.</w:t>
      </w:r>
    </w:p>
    <w:p w14:paraId="526D2BCC" w14:textId="156FCD43" w:rsidR="005C577A" w:rsidRPr="0041399D" w:rsidRDefault="005C577A" w:rsidP="005C577A"/>
    <w:p w14:paraId="26E2677A" w14:textId="77777777" w:rsidR="005C577A" w:rsidRPr="0041399D" w:rsidRDefault="005C577A" w:rsidP="005C577A">
      <w:pPr>
        <w:pStyle w:val="Heading4"/>
      </w:pPr>
      <w:r w:rsidRPr="0041399D">
        <w:t>Businesses resilient – they’re increasing defenses</w:t>
      </w:r>
    </w:p>
    <w:p w14:paraId="56A871E2" w14:textId="77777777" w:rsidR="005C577A" w:rsidRPr="0041399D" w:rsidRDefault="005C577A" w:rsidP="005C577A">
      <w:r w:rsidRPr="0041399D">
        <w:rPr>
          <w:sz w:val="18"/>
          <w:szCs w:val="18"/>
        </w:rPr>
        <w:t>L.S.</w:t>
      </w:r>
      <w:r w:rsidRPr="0041399D">
        <w:t xml:space="preserve"> </w:t>
      </w:r>
      <w:r w:rsidRPr="0041399D">
        <w:rPr>
          <w:rStyle w:val="Style13ptBold"/>
        </w:rPr>
        <w:t>Howard 20</w:t>
      </w:r>
      <w:r w:rsidRPr="0041399D">
        <w:t xml:space="preserve">, </w:t>
      </w:r>
      <w:r w:rsidRPr="0041399D">
        <w:rPr>
          <w:sz w:val="18"/>
          <w:szCs w:val="18"/>
        </w:rPr>
        <w:t>international editor for Insurance Journal and Carrier Management. Howard has spent more than 20 years as a financial journalist. "Business Cyber Losses Soar but Firms Fight Back with Extra Security Spending: Study," Insurance Journal, 6-23-2020, https://www.insurancejournal.com/news/international/2020/06/23/573182.htm, accessed 7-22-2020 //ART</w:t>
      </w:r>
    </w:p>
    <w:p w14:paraId="7D2245F3" w14:textId="15C5E908" w:rsidR="005C577A" w:rsidRPr="0041399D" w:rsidRDefault="005C577A" w:rsidP="005C577A">
      <w:pPr>
        <w:rPr>
          <w:sz w:val="10"/>
        </w:rPr>
      </w:pPr>
      <w:r w:rsidRPr="0041399D">
        <w:rPr>
          <w:rStyle w:val="StyleUnderline"/>
        </w:rPr>
        <w:t xml:space="preserve">Cyber losses among businesses have risen nearly </w:t>
      </w:r>
      <w:r w:rsidRPr="0041399D">
        <w:rPr>
          <w:rStyle w:val="Emphasis"/>
        </w:rPr>
        <w:t>six-fold</w:t>
      </w:r>
      <w:r w:rsidRPr="0041399D">
        <w:rPr>
          <w:rStyle w:val="StyleUnderline"/>
        </w:rPr>
        <w:t xml:space="preserve"> during the past year, from a median cost of $</w:t>
      </w:r>
      <w:r w:rsidRPr="0041399D">
        <w:rPr>
          <w:rStyle w:val="Emphasis"/>
        </w:rPr>
        <w:t>10,000</w:t>
      </w:r>
      <w:r w:rsidRPr="0041399D">
        <w:rPr>
          <w:rStyle w:val="StyleUnderline"/>
        </w:rPr>
        <w:t xml:space="preserve"> per firm to </w:t>
      </w:r>
      <w:r w:rsidRPr="0041399D">
        <w:rPr>
          <w:rStyle w:val="Emphasis"/>
        </w:rPr>
        <w:t>$57,000</w:t>
      </w:r>
      <w:r w:rsidRPr="0041399D">
        <w:rPr>
          <w:rStyle w:val="StyleUnderline"/>
        </w:rPr>
        <w:t>,</w:t>
      </w:r>
      <w:r w:rsidRPr="0041399D">
        <w:rPr>
          <w:sz w:val="10"/>
        </w:rPr>
        <w:t xml:space="preserve"> according to an international survey commissioned by insurer Hiscox. </w:t>
      </w:r>
      <w:r w:rsidRPr="0041399D">
        <w:rPr>
          <w:rStyle w:val="StyleUnderline"/>
        </w:rPr>
        <w:t>Total cyber losses</w:t>
      </w:r>
      <w:r w:rsidRPr="0041399D">
        <w:rPr>
          <w:sz w:val="10"/>
        </w:rPr>
        <w:t xml:space="preserve"> among the study group </w:t>
      </w:r>
      <w:r w:rsidRPr="0041399D">
        <w:rPr>
          <w:rStyle w:val="StyleUnderline"/>
        </w:rPr>
        <w:t>rose from $</w:t>
      </w:r>
      <w:r w:rsidRPr="0041399D">
        <w:rPr>
          <w:rStyle w:val="Emphasis"/>
        </w:rPr>
        <w:t>1.2 billion</w:t>
      </w:r>
      <w:r w:rsidRPr="0041399D">
        <w:rPr>
          <w:rStyle w:val="StyleUnderline"/>
        </w:rPr>
        <w:t xml:space="preserve"> to nearly $</w:t>
      </w:r>
      <w:r w:rsidRPr="0041399D">
        <w:rPr>
          <w:rStyle w:val="Emphasis"/>
        </w:rPr>
        <w:t>1.8 billion</w:t>
      </w:r>
      <w:r w:rsidRPr="0041399D">
        <w:rPr>
          <w:rStyle w:val="StyleUnderline"/>
        </w:rPr>
        <w:t xml:space="preserve"> during the same period</w:t>
      </w:r>
      <w:r w:rsidRPr="0041399D">
        <w:rPr>
          <w:sz w:val="10"/>
        </w:rPr>
        <w:t xml:space="preserve">, said the study, titled “Hiscox Cyber Readiness Report 2020.” The highest recorded total loss for any one company over the duration of the year was $87.9 million (a UK financial services firm) while the highest loss from any one event was $15.8 million (a UK professional services firm). </w:t>
      </w:r>
      <w:r w:rsidRPr="0041399D">
        <w:rPr>
          <w:rStyle w:val="StyleUnderline"/>
        </w:rPr>
        <w:t>The most heavily targeted sectors were financial services, manufacturing and technology, media and telecoms</w:t>
      </w:r>
      <w:r w:rsidRPr="0041399D">
        <w:rPr>
          <w:sz w:val="10"/>
        </w:rPr>
        <w:t xml:space="preserve"> (TMT), which Irish firms suffered the highest median costs, at more than $103,000. The one bit of good news cited by the study is that the proportion of firms reporting a cyber security event in the past 12 months is down from 61% to 39%. The report explained that the numbers were strongly influenced by a relatively small contingent of firms that reported 500 or more events. Take-up of standalone cyber cover remains patchy, with more than half of firms surveyed relying on more general cover, said Gareth Wharton, Cyber CEO, Hiscox. “This is a conundrum. Almost certainly, they would all have cover for fire and theft, yet the report suggests they are 15 times more likely to have a cyber incident (30% in UK) compared with a fire or theft (2% in UK).” </w:t>
      </w:r>
      <w:r w:rsidRPr="0041399D">
        <w:rPr>
          <w:rStyle w:val="StyleUnderline"/>
        </w:rPr>
        <w:t>The biggest companies were more likely to be targeted than smaller companies</w:t>
      </w:r>
      <w:r w:rsidRPr="0041399D">
        <w:rPr>
          <w:sz w:val="10"/>
        </w:rPr>
        <w:t>, the report confirmed. “</w:t>
      </w:r>
      <w:r w:rsidRPr="0041399D">
        <w:rPr>
          <w:rStyle w:val="StyleUnderline"/>
        </w:rPr>
        <w:t>More than half of all enterprise firms (51%)</w:t>
      </w:r>
      <w:r w:rsidRPr="0041399D">
        <w:rPr>
          <w:sz w:val="10"/>
        </w:rPr>
        <w:t xml:space="preserve"> – those with 1,000-plus employees – said </w:t>
      </w:r>
      <w:r w:rsidRPr="0041399D">
        <w:rPr>
          <w:rStyle w:val="StyleUnderline"/>
        </w:rPr>
        <w:t>they had at least one cyber incident</w:t>
      </w:r>
      <w:r w:rsidRPr="0041399D">
        <w:rPr>
          <w:sz w:val="10"/>
        </w:rPr>
        <w:t xml:space="preserve">,” it added. “They also reported by far the most cyber incidents (a median 100) and breaches (80).” </w:t>
      </w:r>
      <w:r w:rsidRPr="0041399D">
        <w:rPr>
          <w:rStyle w:val="StyleUnderline"/>
        </w:rPr>
        <w:t xml:space="preserve">While these firms were almost certainly targeted, they may also be </w:t>
      </w:r>
      <w:r w:rsidRPr="0041399D">
        <w:rPr>
          <w:rStyle w:val="Emphasis"/>
        </w:rPr>
        <w:t>better</w:t>
      </w:r>
      <w:r w:rsidRPr="0041399D">
        <w:rPr>
          <w:rStyle w:val="StyleUnderline"/>
        </w:rPr>
        <w:t xml:space="preserve"> at </w:t>
      </w:r>
      <w:r w:rsidRPr="0041399D">
        <w:rPr>
          <w:rStyle w:val="Emphasis"/>
        </w:rPr>
        <w:t>spotting attacks</w:t>
      </w:r>
      <w:r w:rsidRPr="0041399D">
        <w:rPr>
          <w:sz w:val="10"/>
        </w:rPr>
        <w:t xml:space="preserve">, said the study. Further, the report noted, not all super targets are enterprise-scale businesses. “There are super targets in each of our five size brackets. A surprising number are among the smallest.” The reason for this anomaly? The report explained that the majority of micro-firms in many sectors have nobody managing cyber security. “The smallest transport and distribution firms look particularly vulnerable with 59% saying they have no such role, either internal or external.” In addition, the report noted that dependence on a managed service provider could backfire when the MSP is itself attacked. Another explanation for the vulnerability of smaller companies is their lack of effective countermeasures. “Analysis of the data suggests firms with fewer than 12 computers, and where anti-virus or anti-spyware was not deployed consistently across the organization, were particularly likely to be super targets.” </w:t>
      </w:r>
      <w:r w:rsidRPr="0041399D">
        <w:rPr>
          <w:rStyle w:val="StyleUnderline"/>
        </w:rPr>
        <w:t>The report shows a broad-based rise in cyber security spending over the past year</w:t>
      </w:r>
      <w:r w:rsidRPr="0041399D">
        <w:rPr>
          <w:sz w:val="10"/>
        </w:rPr>
        <w:t xml:space="preserve"> – with an average spend among the survey respondents of $2.1 million, up from $1.5 million the previous year, which is a rise of 39%. </w:t>
      </w:r>
      <w:r w:rsidRPr="0041399D">
        <w:rPr>
          <w:rStyle w:val="StyleUnderline"/>
        </w:rPr>
        <w:t>It reflects both an increase in overall IT budgets and a 30% jump in the proportion devoted to cyber (9.9% to 12.9%)</w:t>
      </w:r>
      <w:r w:rsidRPr="0041399D">
        <w:rPr>
          <w:sz w:val="10"/>
        </w:rPr>
        <w:t>, said the report.</w:t>
      </w:r>
      <w:r w:rsidRPr="0041399D">
        <w:rPr>
          <w:rStyle w:val="StyleUnderline"/>
        </w:rPr>
        <w:t xml:space="preserve"> </w:t>
      </w:r>
      <w:r w:rsidRPr="0041399D">
        <w:rPr>
          <w:sz w:val="10"/>
        </w:rPr>
        <w:t xml:space="preserve">Hiscox said that French firms were once again the biggest spenders, lifting their cyber budgets from $2.1 million on average to $3.1 million. Spanish and U.S. firms were close behind with cyber budgets at $2.6 million and $2.4 million, respectively. The UK, which historically has been a laggard in past Hiscox cyber studies, started to catch up, with average spend on cyber of $1.5 million compared with just under $900,000 the previous year. Additional the key findings from the study include: Ransomware. More than 6% of total respondents – or one in six of those attacked – paid a ransom following a malware attack. Their combined losses came to $381 million. Ransomware vs. malware attacks. Whether a ransom was paid or not, the mean losses for all firms subjected to a ransomware attack were nearly twice as much as those that only had to grapple with malware on its own – $927,000 compared with </w:t>
      </w:r>
      <w:r w:rsidRPr="0041399D">
        <w:rPr>
          <w:sz w:val="10"/>
        </w:rPr>
        <w:lastRenderedPageBreak/>
        <w:t xml:space="preserve">$492,000. The highest losses reported by any single company targeted with ransomware – and which could include other cyber events – was $50.6 million. On the other hand, the highest losses reported by any single company targeted with malware, but no ransomware, was $10.1 million. Cyber readiness. </w:t>
      </w:r>
      <w:r w:rsidRPr="0041399D">
        <w:rPr>
          <w:u w:val="single"/>
        </w:rPr>
        <w:t>The number of firms achieving “</w:t>
      </w:r>
      <w:r w:rsidRPr="0041399D">
        <w:rPr>
          <w:rStyle w:val="Emphasis"/>
        </w:rPr>
        <w:t>expert” status</w:t>
      </w:r>
      <w:r w:rsidRPr="0041399D">
        <w:rPr>
          <w:u w:val="single"/>
        </w:rPr>
        <w:t xml:space="preserve"> in Hiscox’s cyber readiness model </w:t>
      </w:r>
      <w:r w:rsidRPr="0041399D">
        <w:rPr>
          <w:rStyle w:val="Emphasis"/>
        </w:rPr>
        <w:t>increased</w:t>
      </w:r>
      <w:r w:rsidRPr="0041399D">
        <w:rPr>
          <w:u w:val="single"/>
        </w:rPr>
        <w:t xml:space="preserve"> from 10% to 18%.</w:t>
      </w:r>
      <w:r w:rsidRPr="0041399D">
        <w:rPr>
          <w:sz w:val="10"/>
        </w:rPr>
        <w:t xml:space="preserve"> This follows two years while progress stalled. U.S. and Irish firms came out best with 24% ranked as experts. France was the biggest improver with 18% of firms ranked as experts, up from 6%. Overall, </w:t>
      </w:r>
      <w:r w:rsidRPr="0041399D">
        <w:rPr>
          <w:rStyle w:val="Emphasis"/>
        </w:rPr>
        <w:t>twice as many firms</w:t>
      </w:r>
      <w:r w:rsidRPr="0041399D">
        <w:rPr>
          <w:u w:val="single"/>
        </w:rPr>
        <w:t xml:space="preserve"> responded to a breach this year by adding </w:t>
      </w:r>
      <w:r w:rsidRPr="0041399D">
        <w:rPr>
          <w:rStyle w:val="Emphasis"/>
        </w:rPr>
        <w:t>new security</w:t>
      </w:r>
      <w:r w:rsidRPr="0041399D">
        <w:rPr>
          <w:u w:val="single"/>
        </w:rPr>
        <w:t xml:space="preserve"> and </w:t>
      </w:r>
      <w:r w:rsidRPr="0041399D">
        <w:rPr>
          <w:rStyle w:val="Emphasis"/>
        </w:rPr>
        <w:t>spending</w:t>
      </w:r>
      <w:r w:rsidRPr="0041399D">
        <w:rPr>
          <w:u w:val="single"/>
        </w:rPr>
        <w:t xml:space="preserve"> more on employee training.</w:t>
      </w:r>
      <w:r w:rsidRPr="0041399D">
        <w:rPr>
          <w:sz w:val="10"/>
        </w:rPr>
        <w:t xml:space="preserve"> Spending buys expertise. Firms that ranked as experts in Hiscox’s cyber readiness model spent an average of $4.2 million over 12 months on cyber security. Those at the other end of the scale – the “novices” – spent an average of $1.3 million. Cyber insurance. </w:t>
      </w:r>
      <w:r w:rsidRPr="0041399D">
        <w:rPr>
          <w:rStyle w:val="StyleUnderline"/>
        </w:rPr>
        <w:t>The proportion of respondents saying they have purchased cyber insurance as a result of a previous cyber event has risen steadily over the past three reports – from 9% to 20%</w:t>
      </w:r>
      <w:r w:rsidRPr="0041399D">
        <w:rPr>
          <w:sz w:val="10"/>
        </w:rPr>
        <w:t xml:space="preserve">. Just over a quarter of firms (26%) said they had a standalone cyber policy while a further 18% said they planned either to purchase standalone cover or add it as coverage to their policies. Firms ranked as experts are ahead of the game with </w:t>
      </w:r>
      <w:r w:rsidRPr="0041399D">
        <w:rPr>
          <w:rStyle w:val="StyleUnderline"/>
        </w:rPr>
        <w:t xml:space="preserve">nearly half (45%) saying they had purchased a standalone cyber policy. </w:t>
      </w:r>
      <w:r w:rsidRPr="0041399D">
        <w:rPr>
          <w:sz w:val="10"/>
        </w:rPr>
        <w:t xml:space="preserve">“Take-up of standalone cyber cover, however, remains patchy, with more than half of firms in our report relying on more general cover,” said Gareth Wharton, Cyber CEO, Hiscox, in a forward to the report. “This is a conundrum. Almost certainly, they would all have cover for fire and theft, yet the report suggests they are 15 times more likely to have a cyber incident (30% in UK) compared with a fire or theft (2% in UK).” Employee Behavior The report highlights the importance of changing employee behavior to build cyber security awareness. “The proportion of respondents planning to increase spending on new cyber security technology has progressively fallen over that time from 57% in 2018 to 46% in 2020 while </w:t>
      </w:r>
      <w:r w:rsidRPr="0041399D">
        <w:rPr>
          <w:rStyle w:val="StyleUnderline"/>
        </w:rPr>
        <w:t xml:space="preserve">the number intending to invest more in employee awareness training has </w:t>
      </w:r>
      <w:r w:rsidRPr="0041399D">
        <w:rPr>
          <w:rStyle w:val="Emphasis"/>
        </w:rPr>
        <w:t>risen</w:t>
      </w:r>
      <w:r w:rsidRPr="0041399D">
        <w:rPr>
          <w:rStyle w:val="StyleUnderline"/>
        </w:rPr>
        <w:t xml:space="preserve"> from 34% </w:t>
      </w:r>
      <w:r w:rsidRPr="0041399D">
        <w:rPr>
          <w:rStyle w:val="Emphasis"/>
        </w:rPr>
        <w:t>to 40%</w:t>
      </w:r>
      <w:r w:rsidRPr="0041399D">
        <w:t>,,”</w:t>
      </w:r>
      <w:r w:rsidRPr="0041399D">
        <w:rPr>
          <w:sz w:val="10"/>
        </w:rPr>
        <w:t xml:space="preserve"> said the study. “</w:t>
      </w:r>
      <w:r w:rsidRPr="0041399D">
        <w:rPr>
          <w:rStyle w:val="StyleUnderline"/>
        </w:rPr>
        <w:t xml:space="preserve">More than a third (35%) plan to </w:t>
      </w:r>
      <w:r w:rsidRPr="0041399D">
        <w:rPr>
          <w:rStyle w:val="Emphasis"/>
        </w:rPr>
        <w:t>increase</w:t>
      </w:r>
      <w:r w:rsidRPr="0041399D">
        <w:rPr>
          <w:rStyle w:val="StyleUnderline"/>
        </w:rPr>
        <w:t xml:space="preserve"> cyber security staffing, up from 26% two years ago.” </w:t>
      </w:r>
      <w:r w:rsidRPr="0041399D">
        <w:rPr>
          <w:sz w:val="10"/>
        </w:rPr>
        <w:t>The Hiscox Cyber Readiness Report, now in its fourth year, was conducted by Forrester Consulting, which surveyed a representative sample of 5,569 private and public sector organizations in the U.S., UK, Belgium, France, Germany, Spain, the Netherlands and Ireland. Respondents completed the online survey between December 2019 and February 2020.</w:t>
      </w:r>
    </w:p>
    <w:p w14:paraId="249A0CCE" w14:textId="7A273BC5" w:rsidR="005C577A" w:rsidRPr="0041399D" w:rsidRDefault="005C577A" w:rsidP="005C577A">
      <w:pPr>
        <w:pStyle w:val="Heading3"/>
      </w:pPr>
      <w:r w:rsidRPr="0041399D">
        <w:lastRenderedPageBreak/>
        <w:t>2NC Businesses—Resilient</w:t>
      </w:r>
    </w:p>
    <w:p w14:paraId="648988C2" w14:textId="77777777" w:rsidR="005C577A" w:rsidRPr="0041399D" w:rsidRDefault="005C577A" w:rsidP="005C577A">
      <w:pPr>
        <w:pStyle w:val="Heading4"/>
      </w:pPr>
      <w:r w:rsidRPr="0041399D">
        <w:t xml:space="preserve">Corporations are </w:t>
      </w:r>
      <w:r w:rsidRPr="0041399D">
        <w:rPr>
          <w:u w:val="single"/>
        </w:rPr>
        <w:t>resilient</w:t>
      </w:r>
      <w:r w:rsidRPr="0041399D">
        <w:t xml:space="preserve"> to cyber attacks – companies are increasingly prioritizing the threat</w:t>
      </w:r>
    </w:p>
    <w:p w14:paraId="0B5064CE" w14:textId="77777777" w:rsidR="005C577A" w:rsidRPr="0041399D" w:rsidRDefault="005C577A" w:rsidP="005C577A">
      <w:r w:rsidRPr="0041399D">
        <w:rPr>
          <w:sz w:val="18"/>
          <w:szCs w:val="18"/>
        </w:rPr>
        <w:t>Teri</w:t>
      </w:r>
      <w:r w:rsidRPr="0041399D">
        <w:t xml:space="preserve"> </w:t>
      </w:r>
      <w:r w:rsidRPr="0041399D">
        <w:rPr>
          <w:rStyle w:val="Style13ptBold"/>
        </w:rPr>
        <w:t>Robinson 20</w:t>
      </w:r>
      <w:r w:rsidRPr="0041399D">
        <w:t xml:space="preserve">, </w:t>
      </w:r>
      <w:r w:rsidRPr="0041399D">
        <w:rPr>
          <w:sz w:val="18"/>
          <w:szCs w:val="18"/>
        </w:rPr>
        <w:t>executive editor at SC Media who reports on politics and information security. "The new cybersecurity resilience," SC Media, 5-1-2020, https://www.scmagazine.com/home/security-news/features/the-new-cybersecurity-resilience/, accessed 7-22-2020 //ART</w:t>
      </w:r>
    </w:p>
    <w:p w14:paraId="2637DCA6" w14:textId="77777777" w:rsidR="005C577A" w:rsidRPr="0041399D" w:rsidRDefault="005C577A" w:rsidP="005C577A">
      <w:pPr>
        <w:rPr>
          <w:sz w:val="10"/>
        </w:rPr>
      </w:pPr>
      <w:r w:rsidRPr="0041399D">
        <w:rPr>
          <w:sz w:val="10"/>
        </w:rPr>
        <w:t xml:space="preserve">Long before the coronavirus made the jump from bat to humans, </w:t>
      </w:r>
      <w:r w:rsidRPr="0041399D">
        <w:rPr>
          <w:u w:val="single"/>
        </w:rPr>
        <w:t xml:space="preserve">most organizations had </w:t>
      </w:r>
      <w:r w:rsidRPr="0041399D">
        <w:rPr>
          <w:rStyle w:val="Emphasis"/>
        </w:rPr>
        <w:t>prioritized</w:t>
      </w:r>
      <w:r w:rsidRPr="0041399D">
        <w:rPr>
          <w:u w:val="single"/>
        </w:rPr>
        <w:t xml:space="preserve"> cybersecurity and operational resilience</w:t>
      </w:r>
      <w:r w:rsidRPr="0041399D">
        <w:rPr>
          <w:sz w:val="10"/>
        </w:rPr>
        <w:t xml:space="preserve">, or at least given it lip service, </w:t>
      </w:r>
      <w:r w:rsidRPr="0041399D">
        <w:rPr>
          <w:u w:val="single"/>
        </w:rPr>
        <w:t xml:space="preserve">recognizing that </w:t>
      </w:r>
      <w:r w:rsidRPr="0041399D">
        <w:rPr>
          <w:sz w:val="10"/>
        </w:rPr>
        <w:t xml:space="preserve">while stopping all threats at the doorstep is impossible, withstanding and </w:t>
      </w:r>
      <w:r w:rsidRPr="0041399D">
        <w:rPr>
          <w:rStyle w:val="StyleUnderline"/>
        </w:rPr>
        <w:t xml:space="preserve">mitigating them is entirely </w:t>
      </w:r>
      <w:r w:rsidRPr="0041399D">
        <w:rPr>
          <w:rStyle w:val="Emphasis"/>
        </w:rPr>
        <w:t>doable</w:t>
      </w:r>
      <w:r w:rsidRPr="0041399D">
        <w:rPr>
          <w:rStyle w:val="StyleUnderline"/>
        </w:rPr>
        <w:t xml:space="preserve"> – and </w:t>
      </w:r>
      <w:r w:rsidRPr="0041399D">
        <w:rPr>
          <w:rStyle w:val="Emphasis"/>
        </w:rPr>
        <w:t>desirable</w:t>
      </w:r>
      <w:r w:rsidRPr="0041399D">
        <w:rPr>
          <w:rStyle w:val="StyleUnderline"/>
        </w:rPr>
        <w:t xml:space="preserve">. </w:t>
      </w:r>
      <w:r w:rsidRPr="0041399D">
        <w:rPr>
          <w:sz w:val="10"/>
        </w:rPr>
        <w:t xml:space="preserve">“The problem with security is that you can’t win – aim for that and you’ll fail,” says Unisys Chief Trust Officer Tom Patterson. “But if you aim for resilience you can absolutely win, you can take a punch but you keep on going.” The quick spread of COVID-19 has lent urgency to that mission and underscored the importance of building resilience. “Cyber, or digital resilience should be considered essential – like water, gas, and telephone/internet. Maintaining essential services that keep the lights on, keep people operating in their roles, and keep the digital world safe from attack is critical,” says RedSeal CEO Ray Rothrock, who penned the book Digital Resilience: Is Your Company Ready for the Next Cyber Threat? Indeed, </w:t>
      </w:r>
      <w:r w:rsidRPr="0041399D">
        <w:rPr>
          <w:rStyle w:val="StyleUnderline"/>
        </w:rPr>
        <w:t xml:space="preserve">security teams daily </w:t>
      </w:r>
      <w:r w:rsidRPr="0041399D">
        <w:rPr>
          <w:rStyle w:val="Emphasis"/>
        </w:rPr>
        <w:t>battle</w:t>
      </w:r>
      <w:r w:rsidRPr="0041399D">
        <w:rPr>
          <w:rStyle w:val="StyleUnderline"/>
        </w:rPr>
        <w:t xml:space="preserve"> a rising tide of challenging cyberattacks. </w:t>
      </w:r>
      <w:r w:rsidRPr="0041399D">
        <w:rPr>
          <w:sz w:val="10"/>
        </w:rPr>
        <w:t>Noting that the “sophistication of cyberattacks blur the line between the digital and the physical realm,” CEO Mickey Bresman points to the “immeasurable damage” inflicted by targeted strikes aimed at taking out industrial control systems, transportation networks as well as hospitals. Ransomware, for example, “has evolved into a multi-billion-dollar industry, and it is far worse than we know – unfortunately, many victims quietly pay off their attackers without ever notifying the authorities,” says Bresman. “If you follow the money, it finances</w:t>
      </w:r>
      <w:r w:rsidRPr="0041399D">
        <w:rPr>
          <w:rFonts w:ascii="Times New Roman" w:hAnsi="Times New Roman" w:cs="Times New Roman"/>
          <w:sz w:val="10"/>
        </w:rPr>
        <w:t> </w:t>
      </w:r>
      <w:r w:rsidRPr="0041399D">
        <w:rPr>
          <w:sz w:val="10"/>
        </w:rPr>
        <w:t>illegal</w:t>
      </w:r>
      <w:r w:rsidRPr="0041399D">
        <w:rPr>
          <w:rFonts w:ascii="Times New Roman" w:hAnsi="Times New Roman" w:cs="Times New Roman"/>
          <w:sz w:val="10"/>
        </w:rPr>
        <w:t> </w:t>
      </w:r>
      <w:r w:rsidRPr="0041399D">
        <w:rPr>
          <w:sz w:val="10"/>
        </w:rPr>
        <w:t xml:space="preserve">narcotics, weapons, terrorism, human trafficking, and child exploitation.” </w:t>
      </w:r>
      <w:r w:rsidRPr="0041399D">
        <w:rPr>
          <w:u w:val="single"/>
        </w:rPr>
        <w:t>Cyber resilience</w:t>
      </w:r>
      <w:r w:rsidRPr="0041399D">
        <w:rPr>
          <w:sz w:val="10"/>
        </w:rPr>
        <w:t xml:space="preserve">, in that respect, </w:t>
      </w:r>
      <w:r w:rsidRPr="0041399D">
        <w:rPr>
          <w:u w:val="single"/>
        </w:rPr>
        <w:t>can serve a greater purpose than protecting just the enterprise</w:t>
      </w:r>
      <w:r w:rsidRPr="0041399D">
        <w:rPr>
          <w:sz w:val="10"/>
        </w:rPr>
        <w:t xml:space="preserve">. “Cyber resilience makes the world a safer place by curbing the funding of evil,” says Bresman. “Because </w:t>
      </w:r>
      <w:r w:rsidRPr="0041399D">
        <w:rPr>
          <w:u w:val="single"/>
        </w:rPr>
        <w:t xml:space="preserve">when organizations can say ‘no’ to ransom and blackmail demands, we’re all safer.” </w:t>
      </w:r>
      <w:r w:rsidRPr="0041399D">
        <w:rPr>
          <w:sz w:val="10"/>
        </w:rPr>
        <w:t xml:space="preserve">If the sheer volume and growing sophistication of attacks and the wicked intent of miscreants aren’t enough to convince organizations to invest in resiliency, the costs that they must somehow absorb or offset as a result of those attacks should. An IBM/Ponemon study pegs the average cost of a data breach in organizations where more than 50,000 records are compromised tops $6.3 million. And a breached U.S. company on average loses $4.13 million in business globally. The National Cyber Security Alliance says 60 percent of SMBs pay the ultimate price, going out of business within six months of an attack. The high costs of mitigating a breach and bringing a company back online might explain why cyber insurance has slowly grown in popularity. Marsh says that </w:t>
      </w:r>
      <w:r w:rsidRPr="0041399D">
        <w:rPr>
          <w:rStyle w:val="Emphasis"/>
        </w:rPr>
        <w:t>42 percent</w:t>
      </w:r>
      <w:r w:rsidRPr="0041399D">
        <w:rPr>
          <w:u w:val="single"/>
        </w:rPr>
        <w:t xml:space="preserve"> of its U.S.-based clients </w:t>
      </w:r>
      <w:r w:rsidRPr="0041399D">
        <w:rPr>
          <w:rStyle w:val="Emphasis"/>
        </w:rPr>
        <w:t>bought cyber insurance</w:t>
      </w:r>
      <w:r w:rsidRPr="0041399D">
        <w:rPr>
          <w:u w:val="single"/>
        </w:rPr>
        <w:t xml:space="preserve"> last year, up from 38 percent the year before. </w:t>
      </w:r>
      <w:r w:rsidRPr="0041399D">
        <w:rPr>
          <w:sz w:val="10"/>
        </w:rPr>
        <w:t xml:space="preserve">Attacks show no sign of easing up but rather will continue to grow in volume and complexity as cybercriminals and nation-state actors, undaunted but rather inspired by a sweeping pandemic, find opportunities to make money, wreak havoc and pilfer valuable information. “Creating resiliency is an investment – a form of insurance – that must be balanced against the risk failure of that system poses to the bigger systems it contributes to,” says Gerrit Lansing, field CTO at Stealthbits. What does resiliency look like? While security teams and experts might have differing metrics for gauging resiliency, they tend to agree on the overarching need and many of the best practices to achieve it. “Resiliency is viewed by some to be the latest buzzword replacing continuity or recovery, but to me it really means placing the appropriate people, processes, and procedures in place to ensure you’re limiting the need for enacting a continuity or recovery plan,” says Shared Assessments Vice President and CISO Tom Garrubba. </w:t>
      </w:r>
      <w:r w:rsidRPr="0041399D">
        <w:rPr>
          <w:rStyle w:val="StyleUnderline"/>
        </w:rPr>
        <w:t>Resilient organizations</w:t>
      </w:r>
      <w:r w:rsidRPr="0041399D">
        <w:rPr>
          <w:sz w:val="10"/>
        </w:rPr>
        <w:t xml:space="preserve"> share numerous traits. According to Accenture they </w:t>
      </w:r>
      <w:r w:rsidRPr="0041399D">
        <w:rPr>
          <w:rStyle w:val="StyleUnderline"/>
        </w:rPr>
        <w:t>place a premium on collaboration</w:t>
      </w:r>
      <w:r w:rsidRPr="0041399D">
        <w:rPr>
          <w:sz w:val="10"/>
        </w:rPr>
        <w:t xml:space="preserve"> – </w:t>
      </w:r>
      <w:r w:rsidRPr="0041399D">
        <w:rPr>
          <w:rStyle w:val="StyleUnderline"/>
        </w:rPr>
        <w:t>79 percent say collaboration will be key to battling cyberattacks and 57 percent collaborate with partners to test resilience</w:t>
      </w:r>
      <w:r w:rsidRPr="0041399D">
        <w:rPr>
          <w:sz w:val="10"/>
        </w:rPr>
        <w:t>. “</w:t>
      </w:r>
      <w:r w:rsidRPr="0041399D">
        <w:rPr>
          <w:rStyle w:val="StyleUnderline"/>
        </w:rPr>
        <w:t>By adopting a realistic, broad-based, collaborative approach to cybersecurity and resilience, government departments, regulators, senior business managers and information security professionals will be better able to understand the true nature of cyber threats and respond quickly, and appropriately</w:t>
      </w:r>
      <w:r w:rsidRPr="0041399D">
        <w:rPr>
          <w:sz w:val="10"/>
        </w:rPr>
        <w:t xml:space="preserve">,” says Steve Durbin, managing director at the Information Security Forum (ISF). </w:t>
      </w:r>
      <w:r w:rsidRPr="0041399D">
        <w:rPr>
          <w:rStyle w:val="StyleUnderline"/>
        </w:rPr>
        <w:t>Their efforts</w:t>
      </w:r>
      <w:r w:rsidRPr="0041399D">
        <w:rPr>
          <w:sz w:val="10"/>
        </w:rPr>
        <w:t xml:space="preserve"> apparently </w:t>
      </w:r>
      <w:r w:rsidRPr="0041399D">
        <w:rPr>
          <w:rStyle w:val="Emphasis"/>
        </w:rPr>
        <w:t>pay off</w:t>
      </w:r>
      <w:r w:rsidRPr="0041399D">
        <w:rPr>
          <w:sz w:val="10"/>
        </w:rPr>
        <w:t xml:space="preserve">. Organizations that place a premium on collaboration have a breach ratio of six percent compared with 13 percent for organizations that don’t prioritize it, Accenture found. Those that lead in resilience also put priority on incident detection – with </w:t>
      </w:r>
      <w:r w:rsidRPr="0041399D">
        <w:rPr>
          <w:rStyle w:val="Emphasis"/>
        </w:rPr>
        <w:t>58 percent</w:t>
      </w:r>
      <w:r w:rsidRPr="0041399D">
        <w:rPr>
          <w:rStyle w:val="StyleUnderline"/>
        </w:rPr>
        <w:t xml:space="preserve"> prioritizing detection speed</w:t>
      </w:r>
      <w:r w:rsidRPr="0041399D">
        <w:rPr>
          <w:sz w:val="10"/>
        </w:rPr>
        <w:t xml:space="preserve"> – and bolster existing capabilities with 39 percent sustaining the capabilities they already have. Just shy of a third – </w:t>
      </w:r>
      <w:r w:rsidRPr="0041399D">
        <w:rPr>
          <w:rStyle w:val="StyleUnderline"/>
        </w:rPr>
        <w:t>30 percent provide training for more than three quarters of their users,</w:t>
      </w:r>
      <w:r w:rsidRPr="0041399D">
        <w:rPr>
          <w:sz w:val="10"/>
        </w:rPr>
        <w:t xml:space="preserve"> Accenture said. And </w:t>
      </w:r>
      <w:r w:rsidRPr="0041399D">
        <w:rPr>
          <w:rStyle w:val="Emphasis"/>
        </w:rPr>
        <w:t>62 percent</w:t>
      </w:r>
      <w:r w:rsidRPr="0041399D">
        <w:rPr>
          <w:rStyle w:val="StyleUnderline"/>
        </w:rPr>
        <w:t xml:space="preserve"> make it a point to hire skilled personnel,</w:t>
      </w:r>
      <w:r w:rsidRPr="0041399D">
        <w:rPr>
          <w:sz w:val="10"/>
        </w:rPr>
        <w:t xml:space="preserve"> Ponemon found. </w:t>
      </w:r>
      <w:r w:rsidRPr="0041399D">
        <w:rPr>
          <w:rStyle w:val="StyleUnderline"/>
        </w:rPr>
        <w:t xml:space="preserve">Those efforts resulted in a 27 percent dip in breaches over the preceding 12-month period with 15 percent of these leader companies having more than 500,000 records exposed in the previous year compared to 44 percent of non-leaders. </w:t>
      </w:r>
      <w:r w:rsidRPr="0041399D">
        <w:rPr>
          <w:sz w:val="10"/>
        </w:rPr>
        <w:t>“</w:t>
      </w:r>
      <w:r w:rsidRPr="0041399D">
        <w:rPr>
          <w:rStyle w:val="Emphasis"/>
        </w:rPr>
        <w:t>History</w:t>
      </w:r>
      <w:r w:rsidRPr="0041399D">
        <w:rPr>
          <w:rStyle w:val="StyleUnderline"/>
        </w:rPr>
        <w:t xml:space="preserve"> has </w:t>
      </w:r>
      <w:r w:rsidRPr="0041399D">
        <w:rPr>
          <w:rStyle w:val="Emphasis"/>
        </w:rPr>
        <w:t>proven</w:t>
      </w:r>
      <w:r w:rsidRPr="0041399D">
        <w:rPr>
          <w:rStyle w:val="StyleUnderline"/>
        </w:rPr>
        <w:t xml:space="preserve"> that businesses which have put a lot of formal thought into </w:t>
      </w:r>
      <w:r w:rsidRPr="0041399D">
        <w:rPr>
          <w:rStyle w:val="Emphasis"/>
        </w:rPr>
        <w:t>surviving</w:t>
      </w:r>
      <w:r w:rsidRPr="0041399D">
        <w:rPr>
          <w:rStyle w:val="StyleUnderline"/>
        </w:rPr>
        <w:t xml:space="preserve"> and responding to </w:t>
      </w:r>
      <w:r w:rsidRPr="0041399D">
        <w:rPr>
          <w:rStyle w:val="Emphasis"/>
        </w:rPr>
        <w:t>all types</w:t>
      </w:r>
      <w:r w:rsidRPr="0041399D">
        <w:rPr>
          <w:rStyle w:val="StyleUnderline"/>
        </w:rPr>
        <w:t xml:space="preserve"> of disasters have been far more likely to survive if they actually occur</w:t>
      </w:r>
      <w:r w:rsidRPr="0041399D">
        <w:rPr>
          <w:sz w:val="10"/>
        </w:rPr>
        <w:t xml:space="preserve">,” says Roger Grimes, data drive defense evangelist at KnowBe4. “After 9/11, I remember reading that most companies directly impacted by 9/11 in downtime Manhattan, of the ones that had resiliency plans, most survived. And the ones that didn’t, most never recovered.” The benefits of building resiliency are clear, yet, despite best intentions, many organizations are falling short and they know it. IBM/Ponemon found that only 42 percent give high marks to their organizations’ ability to minimize or mitigate IT security risk. And on a very basic underpinning of resilience – an incident response plan – the majority, 77 percent, simply don’t have one. Perhaps, they haven’t been motivated. Or their best intentions have been sidelined as they put out everyday cybersecurity fires. Enter the virus. Dystopian conjurings aside, COVID-19 is hardly the deadly Captain Trips from Stephen King’s The Stand, wiping out 98 percent of those in its path, but it has quashed or upended business and security plans – putting both to the test under the most extreme of circumstances and exposing gaps and lapses in glaring relief. Companies quickly found that their VPNs couldn’t handle the strain, that privacy was at risk as workers – and students – flock to teleconferencing platforms like Zoom and Microsoft Teams to stay connected, and that the already thorny issue of patch management just got even more challenging even as the organizations and the data and employees security teams are charged with protecting come under increasing attack. But it’s not too late to bolster resilience by getting the policies and procedures in place. ”To look at the current situation, </w:t>
      </w:r>
      <w:r w:rsidRPr="0041399D">
        <w:rPr>
          <w:rStyle w:val="StyleUnderline"/>
        </w:rPr>
        <w:t xml:space="preserve">many organizations are forced to have employees work-from-home, and while companies like Amazon and Facebook are fully prepared to make this shift </w:t>
      </w:r>
      <w:r w:rsidRPr="0041399D">
        <w:rPr>
          <w:rStyle w:val="Emphasis"/>
        </w:rPr>
        <w:t>quickly</w:t>
      </w:r>
      <w:r w:rsidRPr="0041399D">
        <w:rPr>
          <w:sz w:val="10"/>
        </w:rPr>
        <w:t xml:space="preserve">, many organizations are not prepared to support this new remote workforce,” said Hysolate CEO Marc Gaffan. “These organizations must quickly build a plan to assess the risks involved with enabling remote access and implement security measures quickly to mitigate the increased risk this poses. This includes evaluating the workstations/laptops that employees are using, how their connecting to corporate and sensitive environments, what applications they require access to in order to be productive, etc.” Ultimately, “it comes down to maturity. Was there a thoughtful plan and decisions taken to mitigate the right risks in the right amounts so the company could continue operations without an unreasonable expenditure or business interruption?” says Cerberus Sentinel President Bill Santos. </w:t>
      </w:r>
      <w:r w:rsidRPr="0041399D">
        <w:rPr>
          <w:rStyle w:val="StyleUnderline"/>
        </w:rPr>
        <w:t xml:space="preserve">A solid set of policies and </w:t>
      </w:r>
      <w:r w:rsidRPr="0041399D">
        <w:rPr>
          <w:rStyle w:val="StyleUnderline"/>
        </w:rPr>
        <w:lastRenderedPageBreak/>
        <w:t>procedures</w:t>
      </w:r>
      <w:r w:rsidRPr="0041399D">
        <w:rPr>
          <w:sz w:val="10"/>
        </w:rPr>
        <w:t xml:space="preserve"> “will </w:t>
      </w:r>
      <w:r w:rsidRPr="0041399D">
        <w:rPr>
          <w:rStyle w:val="StyleUnderline"/>
        </w:rPr>
        <w:t xml:space="preserve">help </w:t>
      </w:r>
      <w:r w:rsidRPr="0041399D">
        <w:rPr>
          <w:rStyle w:val="Emphasis"/>
        </w:rPr>
        <w:t>mitigate risk</w:t>
      </w:r>
      <w:r w:rsidRPr="0041399D">
        <w:rPr>
          <w:rStyle w:val="StyleUnderline"/>
        </w:rPr>
        <w:t xml:space="preserve"> during normal operations within the processes and workflows of an organization”</w:t>
      </w:r>
      <w:r w:rsidRPr="0041399D">
        <w:rPr>
          <w:sz w:val="10"/>
        </w:rPr>
        <w:t xml:space="preserve"> as well as aiding security teams in preparing for, responding to and recovering from cyberattacks, says Elan Shapira, head of research at Panorays. Conduct a business impact analysis. Assess and prioritize “all business functions and processes, including their interdependencies, as part of a work flow analysis, is of paramount importance,” says Garrubba. “In fact, it starts there. You cannot know your dependencies without going through this exercise (the who’s, what’s, where’s, when’s, and yes – even the why’s). Once you know these, you’re halfway there!” In particularly “identify, assess and manage the risks associated with network and information systems” across the supply chain, which has taken a particular hit during the COVID-19 crisis. Involve employees and raise awareness. Now, more than ever, it’s important for security teams to remind employees of security policies that they should follow and push out alerts to any particular security incident that might threaten. Be sure to provide employees with a line of communication to ask questions or report possible security incidents, like phishing attempts. Collaborate. As COVID-19 has forced populations and organizations to realize, they’re not in a crisis alone. There is much to be learned – and quicker mitigation – by working in concert with others in the private and public sectors. As noted earlier, </w:t>
      </w:r>
      <w:r w:rsidRPr="0041399D">
        <w:rPr>
          <w:rStyle w:val="StyleUnderline"/>
        </w:rPr>
        <w:t xml:space="preserve">organizations that collaborate see a </w:t>
      </w:r>
      <w:r w:rsidRPr="0041399D">
        <w:rPr>
          <w:rStyle w:val="Emphasis"/>
        </w:rPr>
        <w:t>downtick</w:t>
      </w:r>
      <w:r w:rsidRPr="0041399D">
        <w:rPr>
          <w:rStyle w:val="StyleUnderline"/>
        </w:rPr>
        <w:t xml:space="preserve"> in incidents and a </w:t>
      </w:r>
      <w:r w:rsidRPr="0041399D">
        <w:rPr>
          <w:rStyle w:val="Emphasis"/>
        </w:rPr>
        <w:t>shortening</w:t>
      </w:r>
      <w:r w:rsidRPr="0041399D">
        <w:rPr>
          <w:rStyle w:val="StyleUnderline"/>
        </w:rPr>
        <w:t xml:space="preserve"> of response time</w:t>
      </w:r>
      <w:r w:rsidRPr="0041399D">
        <w:rPr>
          <w:sz w:val="10"/>
        </w:rPr>
        <w:t>.</w:t>
      </w:r>
    </w:p>
    <w:p w14:paraId="48188D6B" w14:textId="77777777" w:rsidR="005C577A" w:rsidRPr="0041399D" w:rsidRDefault="005C577A" w:rsidP="005C577A"/>
    <w:p w14:paraId="2376D061" w14:textId="2024E152" w:rsidR="005C577A" w:rsidRPr="0041399D" w:rsidRDefault="005C577A" w:rsidP="005C577A"/>
    <w:p w14:paraId="41E4D697" w14:textId="77777777" w:rsidR="005C577A" w:rsidRPr="0041399D" w:rsidRDefault="005C577A" w:rsidP="005C577A"/>
    <w:p w14:paraId="61A0BBEA" w14:textId="77777777" w:rsidR="00927D40" w:rsidRPr="0041399D" w:rsidRDefault="00927D40" w:rsidP="00927D40">
      <w:pPr>
        <w:pStyle w:val="Heading3"/>
      </w:pPr>
      <w:r w:rsidRPr="0041399D">
        <w:lastRenderedPageBreak/>
        <w:t>1NC Cyber</w:t>
      </w:r>
    </w:p>
    <w:p w14:paraId="6E55D80C" w14:textId="77777777" w:rsidR="00927D40" w:rsidRPr="0041399D" w:rsidRDefault="00927D40" w:rsidP="00927D40">
      <w:pPr>
        <w:pStyle w:val="Heading4"/>
      </w:pPr>
      <w:r w:rsidRPr="0041399D">
        <w:t>No cyber attacks—it’s all hype</w:t>
      </w:r>
    </w:p>
    <w:p w14:paraId="6E4E2E9B" w14:textId="77777777" w:rsidR="00927D40" w:rsidRPr="0041399D" w:rsidRDefault="00927D40" w:rsidP="00927D40">
      <w:r w:rsidRPr="0041399D">
        <w:rPr>
          <w:rStyle w:val="Style13ptBold"/>
        </w:rPr>
        <w:t>Jensen and Banks 18</w:t>
      </w:r>
      <w:r w:rsidRPr="0041399D">
        <w:t xml:space="preserve"> (Benjamin, dual appointment as a scholar-in-residence at American University, School of International Service and as an associate professor at the Marine Corps University, and David, professorial lecturer at the American University, School of International Service, “Cyber warfare may be less dangerous than we think”; published 5/26/18, accessed 3/17/19; https://www.washingtonpost.com/news/monkey-cage/wp/2018/04/26/what-can-cybergames-teach-us-about-cyberattacks-quite-a-lot-in-fact/?noredirect=on&amp;utm_term=.c28fe3bed14b)</w:t>
      </w:r>
    </w:p>
    <w:p w14:paraId="485EE007" w14:textId="77777777" w:rsidR="00927D40" w:rsidRPr="0041399D" w:rsidRDefault="00927D40" w:rsidP="00927D40">
      <w:pPr>
        <w:rPr>
          <w:sz w:val="16"/>
        </w:rPr>
      </w:pPr>
      <w:r w:rsidRPr="0041399D">
        <w:rPr>
          <w:sz w:val="16"/>
        </w:rPr>
        <w:t xml:space="preserve"> “Frankly, the United States is under attack.” This February 2018 warning to the Senate from Director of National Intelligence Dan Coats included a message that “</w:t>
      </w:r>
      <w:r w:rsidRPr="0041399D">
        <w:rPr>
          <w:u w:val="single"/>
        </w:rPr>
        <w:t>there should be no doubt” that Russia</w:t>
      </w:r>
      <w:r w:rsidRPr="0041399D">
        <w:rPr>
          <w:sz w:val="16"/>
        </w:rPr>
        <w:t xml:space="preserve">, emboldened by its 2016 cyberattacks and informational warfare campaign, </w:t>
      </w:r>
      <w:r w:rsidRPr="0041399D">
        <w:rPr>
          <w:u w:val="single"/>
        </w:rPr>
        <w:t>will target the U.S. midterm elections</w:t>
      </w:r>
      <w:r w:rsidRPr="0041399D">
        <w:rPr>
          <w:sz w:val="16"/>
        </w:rPr>
        <w:t xml:space="preserve"> this year. </w:t>
      </w:r>
      <w:r w:rsidRPr="0041399D">
        <w:rPr>
          <w:u w:val="single"/>
        </w:rPr>
        <w:t>We agree. However, our research suggests that, although states like Russia will continue to engage in cyberattacks against the foundations of democracy</w:t>
      </w:r>
      <w:r w:rsidRPr="0041399D">
        <w:rPr>
          <w:sz w:val="16"/>
        </w:rPr>
        <w:t xml:space="preserve"> (a serious threat indeed), </w:t>
      </w:r>
      <w:r w:rsidRPr="0041399D">
        <w:rPr>
          <w:u w:val="single"/>
        </w:rPr>
        <w:t>states are less likely to engage in destructive “doomsday” attacks against each other in cyberspace.</w:t>
      </w:r>
      <w:r w:rsidRPr="0041399D">
        <w:rPr>
          <w:sz w:val="16"/>
        </w:rPr>
        <w:t xml:space="preserve"> Using a series of war games and survey experiments, we found that </w:t>
      </w:r>
      <w:r w:rsidRPr="0041399D">
        <w:rPr>
          <w:u w:val="single"/>
        </w:rPr>
        <w:t>cyber operations may in fact produce a moderating influence on international crises</w:t>
      </w:r>
      <w:r w:rsidRPr="0041399D">
        <w:rPr>
          <w:sz w:val="16"/>
        </w:rPr>
        <w:t xml:space="preserve">. Here’s why: </w:t>
      </w:r>
      <w:r w:rsidRPr="0041399D">
        <w:rPr>
          <w:u w:val="single"/>
        </w:rPr>
        <w:t>Cyberspace offers states a way to manage escalation in the shadows</w:t>
      </w:r>
      <w:r w:rsidRPr="0041399D">
        <w:rPr>
          <w:sz w:val="16"/>
        </w:rPr>
        <w:t xml:space="preserve">. Thus, </w:t>
      </w:r>
      <w:r w:rsidRPr="0041399D">
        <w:rPr>
          <w:u w:val="single"/>
        </w:rPr>
        <w:t>cyber operations are more akin to the Cold War-era political warfare than a military revolution</w:t>
      </w:r>
      <w:r w:rsidRPr="0041399D">
        <w:rPr>
          <w:sz w:val="16"/>
        </w:rPr>
        <w:t xml:space="preserve">. Would you like to play a game? </w:t>
      </w:r>
      <w:r w:rsidRPr="0041399D">
        <w:rPr>
          <w:u w:val="single"/>
        </w:rPr>
        <w:t>To understand</w:t>
      </w:r>
      <w:r w:rsidRPr="0041399D">
        <w:rPr>
          <w:sz w:val="16"/>
        </w:rPr>
        <w:t xml:space="preserve"> how actors use </w:t>
      </w:r>
      <w:r w:rsidRPr="0041399D">
        <w:rPr>
          <w:u w:val="single"/>
        </w:rPr>
        <w:t>cyber operations</w:t>
      </w:r>
      <w:r w:rsidRPr="0041399D">
        <w:rPr>
          <w:sz w:val="16"/>
        </w:rPr>
        <w:t xml:space="preserve"> to achieve a position of relative advantage, we </w:t>
      </w:r>
      <w:r w:rsidRPr="0041399D">
        <w:rPr>
          <w:u w:val="single"/>
        </w:rPr>
        <w:t>designed a series of analytical war games</w:t>
      </w:r>
      <w:r w:rsidRPr="0041399D">
        <w:rPr>
          <w:sz w:val="16"/>
        </w:rPr>
        <w:t xml:space="preserve">. This methodology </w:t>
      </w:r>
      <w:r w:rsidRPr="0041399D">
        <w:rPr>
          <w:u w:val="single"/>
        </w:rPr>
        <w:t>let</w:t>
      </w:r>
      <w:r w:rsidRPr="0041399D">
        <w:rPr>
          <w:sz w:val="16"/>
        </w:rPr>
        <w:t xml:space="preserve">s </w:t>
      </w:r>
      <w:r w:rsidRPr="0041399D">
        <w:rPr>
          <w:u w:val="single"/>
        </w:rPr>
        <w:t>us assess how multiple factors could combine in a competitive environment, and helps identify recurrent strategic preferences associated with cyber operations.</w:t>
      </w:r>
      <w:r w:rsidRPr="0041399D">
        <w:rPr>
          <w:sz w:val="16"/>
        </w:rPr>
        <w:t xml:space="preserve"> We ran military officers and university students through these war games. Next, </w:t>
      </w:r>
      <w:r w:rsidRPr="0041399D">
        <w:rPr>
          <w:u w:val="single"/>
        </w:rPr>
        <w:t>we turned the war games into survey experiments</w:t>
      </w:r>
      <w:r w:rsidRPr="0041399D">
        <w:rPr>
          <w:sz w:val="16"/>
        </w:rPr>
        <w:t xml:space="preserve"> via Amazon Mechanical Turk (MTurk) — so </w:t>
      </w:r>
      <w:r w:rsidRPr="0041399D">
        <w:rPr>
          <w:u w:val="single"/>
        </w:rPr>
        <w:t>randomized respondents answered questions about how to respond to an international crisis</w:t>
      </w:r>
      <w:r w:rsidRPr="0041399D">
        <w:rPr>
          <w:sz w:val="16"/>
        </w:rPr>
        <w:t xml:space="preserve">. War games offer a time-tested means of assessing the changing character of crisis and competition. Following scripted scenarios, players are assigned to different “teams” and armed with resources to meet their objectives. They earn points based on their choices, with referees guiding the play and military/security analysts interpreting the results. As players seek to win the game, they may choose previously unconsidered options or draw on or combine resources in unexpected ways. By observing these games, recording their results, repeating the plays and redesigning the scenarios, analysts can understand the nature of the complex and highly contingent problems the scenarios represent. And </w:t>
      </w:r>
      <w:r w:rsidRPr="0041399D">
        <w:rPr>
          <w:u w:val="single"/>
        </w:rPr>
        <w:t>political scientists use war games to create survey experiments to test hypotheses about strategic preferences</w:t>
      </w:r>
      <w:r w:rsidRPr="0041399D">
        <w:rPr>
          <w:sz w:val="16"/>
        </w:rPr>
        <w:t xml:space="preserve">. Our study of over 100 military officers and students, for instance, gave players a crisis scenario and a range of response options, all of which included the ability to escalate in cyberspace — as well as more traditional diplomatic, economic and military instruments. </w:t>
      </w:r>
      <w:r w:rsidRPr="0041399D">
        <w:rPr>
          <w:u w:val="single"/>
        </w:rPr>
        <w:t xml:space="preserve">Players could </w:t>
      </w:r>
      <w:r w:rsidRPr="0041399D">
        <w:rPr>
          <w:sz w:val="16"/>
        </w:rPr>
        <w:t xml:space="preserve">also </w:t>
      </w:r>
      <w:r w:rsidRPr="0041399D">
        <w:rPr>
          <w:u w:val="single"/>
        </w:rPr>
        <w:t>choose to de-escalate.</w:t>
      </w:r>
      <w:r w:rsidRPr="0041399D">
        <w:rPr>
          <w:sz w:val="16"/>
        </w:rPr>
        <w:t xml:space="preserve"> </w:t>
      </w:r>
      <w:r w:rsidRPr="0041399D">
        <w:rPr>
          <w:u w:val="single"/>
        </w:rPr>
        <w:t>What would a great power cyber crisis in East Asia look like</w:t>
      </w:r>
      <w:r w:rsidRPr="0041399D">
        <w:rPr>
          <w:sz w:val="16"/>
        </w:rPr>
        <w:t xml:space="preserve">? </w:t>
      </w:r>
      <w:r w:rsidRPr="0041399D">
        <w:rPr>
          <w:u w:val="single"/>
        </w:rPr>
        <w:t>In our first round, “Island Intercept,” we sought to identify whether states escalated using cyber capabilities. Players took on the role of China or the United States in an escalating dispute in the South China Sea</w:t>
      </w:r>
      <w:r w:rsidRPr="0041399D">
        <w:rPr>
          <w:sz w:val="16"/>
        </w:rPr>
        <w:t xml:space="preserve">. Over the course of multiple war games, we found our mix of </w:t>
      </w:r>
      <w:r w:rsidRPr="0041399D">
        <w:rPr>
          <w:u w:val="single"/>
        </w:rPr>
        <w:t>military officers and university students often sought to de-escalate the crisis and rarely used offensive cyber operations.</w:t>
      </w:r>
      <w:r w:rsidRPr="0041399D">
        <w:rPr>
          <w:sz w:val="16"/>
        </w:rPr>
        <w:t xml:space="preserve"> Players assigned to the Chinese side often combined cyber espionage and more traditional intelligence activities to identify the U.S. players’ intentions and capabilities. Players replicating strategic decision-making in </w:t>
      </w:r>
      <w:r w:rsidRPr="0041399D">
        <w:rPr>
          <w:u w:val="single"/>
        </w:rPr>
        <w:t>Beijing seemed to prefer a “wait and see” approach involving increased intelligence and diplomatic lobbying, rather than escalatory offensive cyber operations</w:t>
      </w:r>
      <w:r w:rsidRPr="0041399D">
        <w:rPr>
          <w:sz w:val="16"/>
        </w:rPr>
        <w:t xml:space="preserve">. The broader survey experiment replicated these findings. The 800 MTurk respondents revealed a bias toward not escalating into the cyber domain. Specifically, about 52 percent chose to de-escalate while 30 percent opted for minor escalation in the diplomatic or economic arena. Only 18 percent of respondents preferred escalatory offensive cyber operations. These findings support other studies demonstrating that states do not prefer escalatory responses to cyber intrusions. How will states employ cyber capabilities against their domestic populations? In a second round, </w:t>
      </w:r>
      <w:r w:rsidRPr="0041399D">
        <w:rPr>
          <w:u w:val="single"/>
        </w:rPr>
        <w:t>we shifted to examine intrastate conflicts</w:t>
      </w:r>
      <w:r w:rsidRPr="0041399D">
        <w:rPr>
          <w:sz w:val="16"/>
        </w:rPr>
        <w:t xml:space="preserve">. In our “Netwar” game, </w:t>
      </w:r>
      <w:r w:rsidRPr="0041399D">
        <w:rPr>
          <w:u w:val="single"/>
        </w:rPr>
        <w:t xml:space="preserve">players took on the role of either the government, a paramilitary organization, a multinational company or a transnational group of hackers and activists, all attempting to achieve their interests in a weak and corrupt state. This scenario sought to replicate the complex, often proxy, multiparty </w:t>
      </w:r>
      <w:r w:rsidRPr="0041399D">
        <w:rPr>
          <w:u w:val="single"/>
        </w:rPr>
        <w:lastRenderedPageBreak/>
        <w:t>competition in cyberspace</w:t>
      </w:r>
      <w:r w:rsidRPr="0041399D">
        <w:rPr>
          <w:sz w:val="16"/>
        </w:rPr>
        <w:t xml:space="preserve">. In these games, the results were more mixed. Players replicating the state tended to use offensive cyber operations as a means of targeting domestic opposition groups — while opposition groups used cyber to blackmail the state by leaking sensitive information. In an MTurk survey experiment involving 800 respondents, we found that states still preferred not to jump into the cyber domain, opting about 43 percent of the time to limit escalation. Yet these results appeared to be a function of regime type. When we controlled for regime type in a second round of surveys involving 800 respondents, we found that democracies had a higher than expected count of de-escalatory measures (53 percent). But authoritarian regimes escalated to cyber measures 35 percent of the time, vs. 18 percent for democracies. </w:t>
      </w:r>
      <w:r w:rsidRPr="0041399D">
        <w:rPr>
          <w:u w:val="single"/>
        </w:rPr>
        <w:t xml:space="preserve">Where is the escalation? </w:t>
      </w:r>
      <w:r w:rsidRPr="0041399D">
        <w:rPr>
          <w:sz w:val="16"/>
        </w:rPr>
        <w:t xml:space="preserve">[The Netherlands just revealed its cybercapacity. So what does that mean?] Our findings suggest that </w:t>
      </w:r>
      <w:r w:rsidRPr="0041399D">
        <w:rPr>
          <w:u w:val="single"/>
        </w:rPr>
        <w:t>cyber weapons may be far less destabilizing than many assume</w:t>
      </w:r>
      <w:r w:rsidRPr="0041399D">
        <w:rPr>
          <w:sz w:val="16"/>
        </w:rPr>
        <w:t xml:space="preserve">. First, we found that </w:t>
      </w:r>
      <w:r w:rsidRPr="0041399D">
        <w:rPr>
          <w:u w:val="single"/>
        </w:rPr>
        <w:t>actors in crisis situations were restrained in their use of cyber weapons. Indeed, actors were more likely to use military, economic or diplomatic alternatives before escalating into the cyber domain</w:t>
      </w:r>
      <w:r w:rsidRPr="0041399D">
        <w:rPr>
          <w:sz w:val="16"/>
        </w:rPr>
        <w:t xml:space="preserve">. How might this work in the real world? </w:t>
      </w:r>
      <w:r w:rsidRPr="0041399D">
        <w:rPr>
          <w:u w:val="single"/>
        </w:rPr>
        <w:t>We might interpret the Russian shift to cyber operations to be one of desperation, rather than evidence of a calculated strategy.</w:t>
      </w:r>
      <w:r w:rsidRPr="0041399D">
        <w:rPr>
          <w:sz w:val="16"/>
        </w:rPr>
        <w:t xml:space="preserve"> Our findings suggest that </w:t>
      </w:r>
      <w:r w:rsidRPr="0041399D">
        <w:rPr>
          <w:u w:val="single"/>
        </w:rPr>
        <w:t>actors are uncomfortable in the cyber domain and only operate there when they lack relative influence in other areas — or seek to limit the risk of escalation</w:t>
      </w:r>
      <w:r w:rsidRPr="0041399D">
        <w:rPr>
          <w:sz w:val="16"/>
        </w:rPr>
        <w:t xml:space="preserve">, likely due to attribution issues associated with cyber operations. Second, </w:t>
      </w:r>
      <w:r w:rsidRPr="0041399D">
        <w:rPr>
          <w:u w:val="single"/>
        </w:rPr>
        <w:t>fears of large-scale cyber operations are likely overblown due to cyber’s unique “use it and lose it” character</w:t>
      </w:r>
      <w:r w:rsidRPr="0041399D">
        <w:rPr>
          <w:sz w:val="16"/>
        </w:rPr>
        <w:t xml:space="preserve">. Individual cyberattacks could potentially wreak considerable damage, but any such exploits could — once deployed — be quickly reverse-engineered and the vulnerability in target networks patched. Here’s the catch: Once you convert network access and cyber espionage into an attack payload, you signal your capabilities and lose the ability to conduct similar attacks. There is a unique shadow of the future in cyber statecraft. </w:t>
      </w:r>
      <w:r w:rsidRPr="0041399D">
        <w:rPr>
          <w:u w:val="single"/>
        </w:rPr>
        <w:t>States have to assess whether they want to jeopardize an exploit in the short term — and lose long-term coercive options against rivals</w:t>
      </w:r>
      <w:r w:rsidRPr="0041399D">
        <w:rPr>
          <w:sz w:val="16"/>
        </w:rPr>
        <w:t>.</w:t>
      </w:r>
    </w:p>
    <w:p w14:paraId="7AC53FC9" w14:textId="77777777" w:rsidR="00927D40" w:rsidRPr="0041399D" w:rsidRDefault="00927D40" w:rsidP="00927D40"/>
    <w:p w14:paraId="7C2CFAA7" w14:textId="77777777" w:rsidR="00927D40" w:rsidRPr="0041399D" w:rsidRDefault="00927D40" w:rsidP="00927D40">
      <w:pPr>
        <w:pStyle w:val="Heading3"/>
      </w:pPr>
      <w:r w:rsidRPr="0041399D">
        <w:lastRenderedPageBreak/>
        <w:t>2NC Cyber</w:t>
      </w:r>
    </w:p>
    <w:p w14:paraId="6498C397" w14:textId="77777777" w:rsidR="00927D40" w:rsidRPr="0041399D" w:rsidRDefault="00927D40" w:rsidP="00927D40">
      <w:pPr>
        <w:pStyle w:val="Heading4"/>
      </w:pPr>
      <w:r w:rsidRPr="0041399D">
        <w:t>Cyber attacks don’t escalate</w:t>
      </w:r>
    </w:p>
    <w:p w14:paraId="5394597C" w14:textId="77777777" w:rsidR="00927D40" w:rsidRPr="0041399D" w:rsidRDefault="00927D40" w:rsidP="00927D40">
      <w:r w:rsidRPr="0041399D">
        <w:rPr>
          <w:rStyle w:val="Style13ptBold"/>
        </w:rPr>
        <w:t>Maness &amp; Valeriano, 15</w:t>
      </w:r>
      <w:r w:rsidRPr="0041399D">
        <w:rPr>
          <w:rFonts w:eastAsia="Times New Roman"/>
        </w:rPr>
        <w:t xml:space="preserve"> (Ryan C. Maness, Northeastern University, Department of Political Science, Brandon Valeriano, University of Glasglow, </w:t>
      </w:r>
      <w:r w:rsidRPr="0041399D">
        <w:t>Cyber War versus Cyber Realities: Cyber Conflict in the International System)</w:t>
      </w:r>
    </w:p>
    <w:p w14:paraId="7D39DDE2" w14:textId="5BCAF749" w:rsidR="00927D40" w:rsidRPr="0041399D" w:rsidRDefault="00927D40" w:rsidP="00927D40">
      <w:r w:rsidRPr="0041399D">
        <w:rPr>
          <w:sz w:val="16"/>
          <w:szCs w:val="16"/>
        </w:rPr>
        <w:t>The suggestion has been that cyber methods of international disputes are proliferating and expanding. Kello (2013) argues that</w:t>
      </w:r>
      <w:r w:rsidRPr="0041399D">
        <w:t xml:space="preserve"> </w:t>
      </w:r>
      <w:r w:rsidRPr="0041399D">
        <w:rPr>
          <w:u w:val="single"/>
        </w:rPr>
        <w:t>theories and empirical assessments of cyber conflict in international relations scholarship are lacking or underdeveloped</w:t>
      </w:r>
      <w:r w:rsidRPr="0041399D">
        <w:rPr>
          <w:sz w:val="16"/>
          <w:szCs w:val="16"/>
        </w:rPr>
        <w:t>. He notes that cyber conflict and its dynamics are “expanding the range of possible harm and outcomes between the concepts of war and peace— with important consequences for national and international security” (Kello 2013: 8). We challenge these assertions on both counts:</w:t>
      </w:r>
      <w:r w:rsidRPr="0041399D">
        <w:t xml:space="preserve"> </w:t>
      </w:r>
      <w:r w:rsidRPr="0041399D">
        <w:rPr>
          <w:u w:val="single"/>
        </w:rPr>
        <w:t>international relations scholarship is deeply engaged in the cyber debate; and the cyber threat is not proliferating to the point where the conceptions of war and peace need to be altered and reconstructed.</w:t>
      </w:r>
      <w:r w:rsidRPr="0041399D">
        <w:t xml:space="preserve"> </w:t>
      </w:r>
      <w:r w:rsidRPr="0041399D">
        <w:rPr>
          <w:sz w:val="16"/>
          <w:szCs w:val="16"/>
        </w:rPr>
        <w:t xml:space="preserve">The operations of Stuxnet, Flame, Titan Rain, and Ghost Net are often given as examples of the increased usage of the tactic. The coming future should include and expand to the digital  battlefield (Nye 2011). Each cyber incident is given a catchy name and is repeated breathlessly by the media. In reality, cyber methods appear to be empty and hollow, lacking the impact they are thought to be capable of, given the novelty of the tactic. 7 Here we elucidate a theory of cyber interactions focused on restraint as an operational process. Our ideas about cyber conflict are based on a complete theory of cyber interactions, as states learn to use cyber power as a new tactic. New tactics have a history of being enfranchised early in their life. Airpower, for example, was weaponized early in its history; nuclear weapons, however, were used against Japan, and the normative revulsion to these actions was so complete that usage again is considered unforgivable. Innocuous cyber tactics might be part of what Azar (1972) called the normal relations range for a rivalry. They may function as methods of signaling displeasure or discord to a rival. </w:t>
      </w:r>
      <w:r w:rsidRPr="0041399D">
        <w:rPr>
          <w:u w:val="single"/>
        </w:rPr>
        <w:t>The surprising finding in relation to conventional wisdom could be that rivals will tolerate cyber combat operations if they do not cross a line that leads directly to the massive loss of life</w:t>
      </w:r>
      <w:r w:rsidRPr="0041399D">
        <w:t xml:space="preserve">. </w:t>
      </w:r>
      <w:r w:rsidRPr="0041399D">
        <w:rPr>
          <w:sz w:val="18"/>
          <w:szCs w:val="18"/>
        </w:rPr>
        <w:t>This is why it is so important to account for the severity of the operation in a theoretical frame. Cyber actions are expected to occur and even to be tolerated, as long as total offensive operations are not conducted. By total offensive operations, we mean</w:t>
      </w:r>
      <w:r w:rsidRPr="0041399D">
        <w:t xml:space="preserve"> </w:t>
      </w:r>
      <w:r w:rsidRPr="0041399D">
        <w:rPr>
          <w:u w:val="single"/>
        </w:rPr>
        <w:t xml:space="preserve">direct and malicious incidents that might lead to the destruction of the energy infrastructure of a state, or incidents meant to take control of army units or facilities. These options are off the table for states, since they will lead directly to war, collateral damage, and economic retaliation, which would then escalate the conflict beyond the control of the state leadership. Actors in cyberspace will therefore be restrained in their use of cyber weapons. </w:t>
      </w:r>
      <w:r w:rsidRPr="0041399D">
        <w:rPr>
          <w:sz w:val="16"/>
          <w:szCs w:val="16"/>
        </w:rPr>
        <w:t>As Nye (2011) notes, the vulnerabilities evident in the Internet make the tactic dangerous to utilize since a cyber method can be replicated right back against the initiator. A cyber worm can be examined and reproduced, then used to target the origin location (Farwell and Rohozinski 2011). Cyber weapons are not like conventional weapons; once used, they do not expire. Their life span can be unlimited if the code is altered in slight ways or if they escape the environment for which they were built. Stuxnet was launched in 2010, and in 2013 it was found in a Russian nuclear plant. 8 Methods used in one cyber incident can be developed further for the next incident with little cost to the initiating side. For these reasons, cyber weapons can be more dangerous than conventional weapons, but also for these reasons, cyber weapons are less likely to be utilized. No state wants to show its hand and expose its technology to outside sources. This is the current contention with Stuxnet, as while it was a powerful cyber incident, it also was set out into the wild, and others likely will utilize the weapon for their own ends.</w:t>
      </w:r>
      <w:r w:rsidRPr="0041399D">
        <w:t xml:space="preserve"> </w:t>
      </w:r>
      <w:r w:rsidRPr="0041399D">
        <w:rPr>
          <w:b/>
          <w:u w:val="single"/>
        </w:rPr>
        <w:t>This same problem exists for zero day exploits (security flaws that are unknown) that are used by initiators in cyberspace. These sorts of vulnerabilities</w:t>
      </w:r>
      <w:r w:rsidRPr="0041399D">
        <w:t xml:space="preserve">  </w:t>
      </w:r>
      <w:r w:rsidRPr="0041399D">
        <w:rPr>
          <w:sz w:val="16"/>
          <w:szCs w:val="16"/>
        </w:rPr>
        <w:t>Valeriano, Brandon; Maness, Ryan C. (2015-04-27). Cyber War versus</w:t>
      </w:r>
      <w:r w:rsidRPr="0041399D">
        <w:t xml:space="preserve"> </w:t>
      </w:r>
      <w:r w:rsidRPr="0041399D">
        <w:rPr>
          <w:b/>
          <w:u w:val="single"/>
        </w:rPr>
        <w:t>cease to be weak points once they are used because the program operator now knows how the cyber method works and how to stop</w:t>
      </w:r>
      <w:r w:rsidRPr="0041399D">
        <w:t xml:space="preserve"> </w:t>
      </w:r>
      <w:r w:rsidRPr="0041399D">
        <w:rPr>
          <w:sz w:val="18"/>
          <w:szCs w:val="18"/>
        </w:rPr>
        <w:t>it.</w:t>
      </w:r>
      <w:r w:rsidRPr="0041399D">
        <w:t xml:space="preserve"> </w:t>
      </w:r>
      <w:r w:rsidRPr="0041399D">
        <w:rPr>
          <w:u w:val="single"/>
        </w:rPr>
        <w:t>They are no longer zero day exploits since the vulnerability is usually patched at this point</w:t>
      </w:r>
      <w:r w:rsidRPr="0041399D">
        <w:t xml:space="preserve">. </w:t>
      </w:r>
      <w:r w:rsidRPr="0041399D">
        <w:rPr>
          <w:sz w:val="16"/>
          <w:szCs w:val="16"/>
        </w:rPr>
        <w:t>Another factor contributing to restraint is collateral damage. States are now limited in offensive actions due to functional norms of limited harm against civilians. An example of this logic can be inferred from the 2003 US invasion of Iraq or the 2011 NATO operations against Libya. In 2003, Bush administration officials worried that the effects of cyber combat would not be limited to Iraq, but would instead create worldwide financial havoc, spreading across the Middle East to Europe, and perhaps back to the United States. 9 The United States restrained itself from initiating cyber methods against its rival (Valeriano 2013) during outright war, as the potential fallout of such operations would, through complex networks of interdependence, extend to civilians. In addition, the United States failed to use cyber tactics against Libya during the operation to support the National Transition Coalition forces, due to concerns about the civilian impact. 10 Of course, there could be other reasons that the United States failed to use cyber tactics, but the evidence clearly suggests that civilian harm was the primary concern.</w:t>
      </w:r>
      <w:r w:rsidRPr="0041399D">
        <w:t xml:space="preserve"> </w:t>
      </w:r>
    </w:p>
    <w:p w14:paraId="67BB40E6" w14:textId="77777777" w:rsidR="0024596E" w:rsidRPr="00B50EAB" w:rsidRDefault="0024596E" w:rsidP="0024596E">
      <w:pPr>
        <w:pStyle w:val="Heading3"/>
        <w:rPr>
          <w:rFonts w:ascii="XCharter Roman" w:hAnsi="XCharter Roman"/>
        </w:rPr>
      </w:pPr>
      <w:r w:rsidRPr="00B50EAB">
        <w:rPr>
          <w:rFonts w:ascii="XCharter Roman" w:hAnsi="XCharter Roman"/>
        </w:rPr>
        <w:lastRenderedPageBreak/>
        <w:t>1NC---GVC Resilient</w:t>
      </w:r>
    </w:p>
    <w:p w14:paraId="15B59E36" w14:textId="77777777" w:rsidR="0024596E" w:rsidRPr="00B50EAB" w:rsidRDefault="0024596E" w:rsidP="0024596E">
      <w:pPr>
        <w:pStyle w:val="Heading4"/>
        <w:rPr>
          <w:rFonts w:ascii="XCharter Roman" w:hAnsi="XCharter Roman"/>
        </w:rPr>
      </w:pPr>
      <w:r w:rsidRPr="00B50EAB">
        <w:rPr>
          <w:rFonts w:ascii="XCharter Roman" w:hAnsi="XCharter Roman"/>
        </w:rPr>
        <w:t>GVC’s are resilient—20 years of empirics and past disasters prove</w:t>
      </w:r>
    </w:p>
    <w:p w14:paraId="73832B3F" w14:textId="77777777" w:rsidR="0024596E" w:rsidRPr="00B50EAB" w:rsidRDefault="0024596E" w:rsidP="0024596E">
      <w:pPr>
        <w:rPr>
          <w:rFonts w:ascii="XCharter Roman" w:hAnsi="XCharter Roman"/>
        </w:rPr>
      </w:pPr>
      <w:r w:rsidRPr="00B50EAB">
        <w:rPr>
          <w:rStyle w:val="Style13ptBold"/>
          <w:rFonts w:ascii="XCharter Roman" w:hAnsi="XCharter Roman"/>
        </w:rPr>
        <w:t>1AC Miroudot 20</w:t>
      </w:r>
      <w:r w:rsidRPr="00B50EAB">
        <w:rPr>
          <w:rFonts w:ascii="XCharter Roman" w:hAnsi="XCharter Roman"/>
        </w:rPr>
        <w:t xml:space="preserve"> (Sebastian; Sébastien Miroudot is Senior Trade Policy Analyst at the OECD Trade and Agriculture Directorate. He holds a PhD in International Economics from SciencesPo Paris. Before joining the OECD, he worked for several years at Groupe d’Economie Mondiale as Research Assistant and Lecturer. His research interests include global value chains, the relationship between trade and investment and the role of multinational enterprises in international trade. ; 5-2020; “Resilience versus robustness in global value chains: Some policy implications,”; Centre for Economic Policy Research; https://www.sches.org/wp-content/uploads/2020/05/Covid-19_and_Trade_Policy.pdf#page=128) [EM]</w:t>
      </w:r>
    </w:p>
    <w:p w14:paraId="0A1F017B" w14:textId="596AE994" w:rsidR="0024596E" w:rsidRDefault="0024596E" w:rsidP="0024596E">
      <w:pPr>
        <w:rPr>
          <w:rFonts w:ascii="XCharter Roman" w:hAnsi="XCharter Roman"/>
          <w:sz w:val="14"/>
        </w:rPr>
      </w:pPr>
      <w:r w:rsidRPr="00B50EAB">
        <w:rPr>
          <w:rStyle w:val="StyleUnderline"/>
          <w:rFonts w:ascii="XCharter Roman" w:hAnsi="XCharter Roman"/>
        </w:rPr>
        <w:t xml:space="preserve">Lessons from the </w:t>
      </w:r>
      <w:r w:rsidRPr="00B50EAB">
        <w:rPr>
          <w:rStyle w:val="Emphasis"/>
          <w:rFonts w:ascii="XCharter Roman" w:hAnsi="XCharter Roman"/>
        </w:rPr>
        <w:t>tsunami in Japan and floods in Thailand</w:t>
      </w:r>
      <w:r w:rsidRPr="00B50EAB">
        <w:rPr>
          <w:rStyle w:val="StyleUnderline"/>
          <w:rFonts w:ascii="XCharter Roman" w:hAnsi="XCharter Roman"/>
        </w:rPr>
        <w:t xml:space="preserve"> in 2011: More offshoring The experience with the 2011 tsunami in Japan and floods in Thailand is that </w:t>
      </w:r>
      <w:r w:rsidRPr="00B50EAB">
        <w:rPr>
          <w:rStyle w:val="Emphasis"/>
          <w:rFonts w:ascii="XCharter Roman" w:hAnsi="XCharter Roman"/>
        </w:rPr>
        <w:t>‘complex’ value chains</w:t>
      </w:r>
      <w:r w:rsidRPr="00B50EAB">
        <w:rPr>
          <w:rStyle w:val="StyleUnderline"/>
          <w:rFonts w:ascii="XCharter Roman" w:hAnsi="XCharter Roman"/>
        </w:rPr>
        <w:t xml:space="preserve"> are not always robust and they take the full hit of both the </w:t>
      </w:r>
      <w:r w:rsidRPr="00B50EAB">
        <w:rPr>
          <w:rStyle w:val="Emphasis"/>
          <w:rFonts w:ascii="XCharter Roman" w:hAnsi="XCharter Roman"/>
        </w:rPr>
        <w:t>direct effect of the disaster</w:t>
      </w:r>
      <w:r w:rsidRPr="00B50EAB">
        <w:rPr>
          <w:rStyle w:val="StyleUnderline"/>
          <w:rFonts w:ascii="XCharter Roman" w:hAnsi="XCharter Roman"/>
        </w:rPr>
        <w:t xml:space="preserve"> and indirect contagion effects through their respective supply chains. But </w:t>
      </w:r>
      <w:r w:rsidRPr="00B50EAB">
        <w:rPr>
          <w:rStyle w:val="Emphasis"/>
          <w:rFonts w:ascii="XCharter Roman" w:hAnsi="XCharter Roman"/>
        </w:rPr>
        <w:t>they are quite resilient</w:t>
      </w:r>
      <w:r w:rsidRPr="00B50EAB">
        <w:rPr>
          <w:rStyle w:val="StyleUnderline"/>
          <w:rFonts w:ascii="XCharter Roman" w:hAnsi="XCharter Roman"/>
        </w:rPr>
        <w:t>.</w:t>
      </w:r>
      <w:r w:rsidRPr="00B50EAB">
        <w:rPr>
          <w:rFonts w:ascii="XCharter Roman" w:hAnsi="XCharter Roman"/>
          <w:sz w:val="14"/>
        </w:rPr>
        <w:t xml:space="preserve"> In Japan, most plants that were directly hit by the earthquake restarted all activity within three months (Inoue and Todo 2017). </w:t>
      </w:r>
      <w:r w:rsidRPr="00B50EAB">
        <w:rPr>
          <w:rStyle w:val="StyleUnderline"/>
          <w:rFonts w:ascii="XCharter Roman" w:hAnsi="XCharter Roman"/>
        </w:rPr>
        <w:t>While ‘complex’ supply chains are a source of increased risks, they nevertheless provide a network of trading partners and economic gains that can facilitate recovery.</w:t>
      </w:r>
      <w:r w:rsidRPr="00B50EAB">
        <w:rPr>
          <w:rFonts w:ascii="XCharter Roman" w:hAnsi="XCharter Roman"/>
          <w:sz w:val="14"/>
        </w:rPr>
        <w:t xml:space="preserve"> Looking at firmlevel data, Todo et al. (2015) find that firms with extensive networks of suppliers had a quicker recovery and they conclude that the positive effects of supply chains typically exceed the negative effects. Zhu et al. (2017) highlight that firms in the area affected by the earthquake responded by increasing offshoring activities</w:t>
      </w:r>
      <w:r w:rsidRPr="00B50EAB">
        <w:rPr>
          <w:rStyle w:val="StyleUnderline"/>
          <w:rFonts w:ascii="XCharter Roman" w:hAnsi="XCharter Roman"/>
        </w:rPr>
        <w:t xml:space="preserve">. The experience with the </w:t>
      </w:r>
      <w:r w:rsidRPr="00B50EAB">
        <w:rPr>
          <w:rStyle w:val="Emphasis"/>
          <w:rFonts w:ascii="XCharter Roman" w:hAnsi="XCharter Roman"/>
        </w:rPr>
        <w:t>2011 tsunami in Japan</w:t>
      </w:r>
      <w:r w:rsidRPr="00B50EAB">
        <w:rPr>
          <w:rStyle w:val="StyleUnderline"/>
          <w:rFonts w:ascii="XCharter Roman" w:hAnsi="XCharter Roman"/>
        </w:rPr>
        <w:t xml:space="preserve"> and floods in Thailand is that ‘complex’ value chains are not always robust and they take the full hit of both the </w:t>
      </w:r>
      <w:r w:rsidRPr="00B50EAB">
        <w:rPr>
          <w:rStyle w:val="Emphasis"/>
          <w:rFonts w:ascii="XCharter Roman" w:hAnsi="XCharter Roman"/>
        </w:rPr>
        <w:t>direct effect of the disaster</w:t>
      </w:r>
      <w:r w:rsidRPr="00B50EAB">
        <w:rPr>
          <w:rStyle w:val="StyleUnderline"/>
          <w:rFonts w:ascii="XCharter Roman" w:hAnsi="XCharter Roman"/>
        </w:rPr>
        <w:t xml:space="preserve"> and </w:t>
      </w:r>
      <w:r w:rsidRPr="00B50EAB">
        <w:rPr>
          <w:rStyle w:val="Emphasis"/>
          <w:rFonts w:ascii="XCharter Roman" w:hAnsi="XCharter Roman"/>
        </w:rPr>
        <w:t>indirect contagion</w:t>
      </w:r>
      <w:r w:rsidRPr="00B50EAB">
        <w:rPr>
          <w:rStyle w:val="StyleUnderline"/>
          <w:rFonts w:ascii="XCharter Roman" w:hAnsi="XCharter Roman"/>
        </w:rPr>
        <w:t xml:space="preserve"> effects through their respective supply chains. But they are quite resilient</w:t>
      </w:r>
      <w:r w:rsidRPr="00B50EAB">
        <w:rPr>
          <w:rFonts w:ascii="XCharter Roman" w:hAnsi="XCharter Roman"/>
          <w:sz w:val="14"/>
        </w:rPr>
        <w:t xml:space="preserve">. … </w:t>
      </w:r>
      <w:r w:rsidRPr="00B50EAB">
        <w:rPr>
          <w:rStyle w:val="StyleUnderline"/>
          <w:rFonts w:ascii="XCharter Roman" w:hAnsi="XCharter Roman"/>
        </w:rPr>
        <w:t xml:space="preserve">While many observers were expecting more diversity in the location of production after the </w:t>
      </w:r>
      <w:r w:rsidRPr="00B50EAB">
        <w:rPr>
          <w:rStyle w:val="Emphasis"/>
          <w:rFonts w:ascii="XCharter Roman" w:hAnsi="XCharter Roman"/>
        </w:rPr>
        <w:t>2011 experience</w:t>
      </w:r>
      <w:r w:rsidRPr="00B50EAB">
        <w:rPr>
          <w:rStyle w:val="StyleUnderline"/>
          <w:rFonts w:ascii="XCharter Roman" w:hAnsi="XCharter Roman"/>
        </w:rPr>
        <w:t xml:space="preserve">, Western Digital not only continued to produce in </w:t>
      </w:r>
      <w:r w:rsidRPr="00B50EAB">
        <w:rPr>
          <w:rStyle w:val="Emphasis"/>
          <w:rFonts w:ascii="XCharter Roman" w:hAnsi="XCharter Roman"/>
        </w:rPr>
        <w:t>Thailand</w:t>
      </w:r>
      <w:r w:rsidRPr="00B50EAB">
        <w:rPr>
          <w:rStyle w:val="StyleUnderline"/>
          <w:rFonts w:ascii="XCharter Roman" w:hAnsi="XCharter Roman"/>
        </w:rPr>
        <w:t xml:space="preserve"> but also decided to close a factory in Malaysia in 2017 to concentrate even more its production in Thailand. The Chao Phraya river floods in Thailand the same year were a second major natural disaster, with a deep economic impact on the hard disk drive (HDD) industry for which Thailand was concentrating 43% of the production. The leading firm in the HDD industry, Western Digital, had its factories inundated while its rival, Seagate, had factories in the same place in Thailand but located on elevated grounds (Haraguchi and Lall 2015)</w:t>
      </w:r>
      <w:r w:rsidRPr="00B50EAB">
        <w:rPr>
          <w:rFonts w:ascii="XCharter Roman" w:hAnsi="XCharter Roman"/>
          <w:sz w:val="14"/>
        </w:rPr>
        <w:t xml:space="preserve">. Some of Toshiba’s factories were also inundated, but the company could divert production to the Philippines. However, it took only six months for Western Digital to retake the lead in the market and 2012 was actually a record high for the production of hard disk drives. While many observers were expecting more diversity in the location of production after the 2011 experience, it happens that Western Digital not only continued to produce in Thailand but also decided to close a factory in Malaysia in 2017 to concentrate even more its production in Thailand.9 9 “Western Digital formats hard disk drive factory as demand spins down”, The Register, 17 July 2018. COVID-19 and Trade Policy: Why Turning Inward Won’t Work 126 </w:t>
      </w:r>
      <w:r w:rsidRPr="00B50EAB">
        <w:rPr>
          <w:rStyle w:val="StyleUnderline"/>
          <w:rFonts w:ascii="XCharter Roman" w:hAnsi="XCharter Roman"/>
        </w:rPr>
        <w:t xml:space="preserve">In the midst of the </w:t>
      </w:r>
      <w:r w:rsidRPr="00B50EAB">
        <w:rPr>
          <w:rStyle w:val="Emphasis"/>
          <w:rFonts w:ascii="XCharter Roman" w:hAnsi="XCharter Roman"/>
        </w:rPr>
        <w:t>COVID-19 outbreak</w:t>
      </w:r>
      <w:r w:rsidRPr="00B50EAB">
        <w:rPr>
          <w:rStyle w:val="StyleUnderline"/>
          <w:rFonts w:ascii="XCharter Roman" w:hAnsi="XCharter Roman"/>
        </w:rPr>
        <w:t xml:space="preserve">, countries still rely on GVCs to address shortages in the supply of essential medical goods COVID-19 is a global crisis very different from the localised natural disasters that took place with the earthquake in Japan or the floods in Thailand in 2011. It is too soon to talk about </w:t>
      </w:r>
      <w:r w:rsidRPr="00B50EAB">
        <w:rPr>
          <w:rStyle w:val="Emphasis"/>
          <w:rFonts w:ascii="XCharter Roman" w:hAnsi="XCharter Roman"/>
        </w:rPr>
        <w:t>resilience</w:t>
      </w:r>
      <w:r w:rsidRPr="00B50EAB">
        <w:rPr>
          <w:rStyle w:val="StyleUnderline"/>
          <w:rFonts w:ascii="XCharter Roman" w:hAnsi="XCharter Roman"/>
        </w:rPr>
        <w:t xml:space="preserve"> as we are still in the middle of the crisis. But it </w:t>
      </w:r>
      <w:r w:rsidRPr="00B50EAB">
        <w:rPr>
          <w:rStyle w:val="Emphasis"/>
          <w:rFonts w:ascii="XCharter Roman" w:hAnsi="XCharter Roman"/>
        </w:rPr>
        <w:t>seems that GVCs are rather robust</w:t>
      </w:r>
      <w:r w:rsidRPr="00B50EAB">
        <w:rPr>
          <w:rStyle w:val="StyleUnderline"/>
          <w:rFonts w:ascii="XCharter Roman" w:hAnsi="XCharter Roman"/>
        </w:rPr>
        <w:t xml:space="preserve"> during the pandemic and are even used to address the shortages observed in the supply of essential medical goods. In Korea, a new industry has emerged that exports COVID-19 test kits to more than 100 countries. These tests allow rapid identification of infected people and play a key role in limiting the spread of the coronavirus</w:t>
      </w:r>
      <w:r w:rsidRPr="00B50EAB">
        <w:rPr>
          <w:rFonts w:ascii="XCharter Roman" w:hAnsi="XCharter Roman"/>
          <w:sz w:val="14"/>
        </w:rPr>
        <w:t xml:space="preserve">. There are now about 25 Korean companies that have received the authorisation to export these kits (and soon 40 are expected).10 Seegene, one of the biggest of these companies (with 400 employees): • Started to develop a test for detecting the coronavirus on 16 January 2020 using artificial intelligence and big data systems. • On 5 February 2020, it was ready with an initial test that was approved for use in Korea on 23 February 2020.11 • One month later, the company was producing 1 million test kits per week and by the beginning of April 2020, production was increased to 3 million test kits per week, with 90% available for export. </w:t>
      </w:r>
      <w:r w:rsidRPr="00B50EAB">
        <w:rPr>
          <w:rStyle w:val="StyleUnderline"/>
          <w:rFonts w:ascii="XCharter Roman" w:hAnsi="XCharter Roman"/>
        </w:rPr>
        <w:t xml:space="preserve">Providing the latest generation of COVID-19 test kits to governments all around the world in a few weeks is a feat that would not have been possible without </w:t>
      </w:r>
      <w:r w:rsidRPr="00B50EAB">
        <w:rPr>
          <w:rStyle w:val="Emphasis"/>
          <w:rFonts w:ascii="XCharter Roman" w:hAnsi="XCharter Roman"/>
        </w:rPr>
        <w:t>leveraging GVCs.</w:t>
      </w:r>
      <w:r w:rsidRPr="00B50EAB">
        <w:rPr>
          <w:rStyle w:val="StyleUnderline"/>
          <w:rFonts w:ascii="XCharter Roman" w:hAnsi="XCharter Roman"/>
        </w:rPr>
        <w:t xml:space="preserve"> It happened in Korea because it’s the G20 economy with the most integrated GVCs. The country was already producing in-vitro diagnostics (IVD) products before the crisis, but its </w:t>
      </w:r>
      <w:r w:rsidRPr="00B50EAB">
        <w:rPr>
          <w:rStyle w:val="StyleUnderline"/>
          <w:rFonts w:ascii="XCharter Roman" w:hAnsi="XCharter Roman"/>
        </w:rPr>
        <w:lastRenderedPageBreak/>
        <w:t>main exports of medical goods were ultrasonic imaging devices and dental implants.</w:t>
      </w:r>
      <w:r w:rsidRPr="00B50EAB">
        <w:rPr>
          <w:rFonts w:ascii="XCharter Roman" w:hAnsi="XCharter Roman"/>
          <w:sz w:val="14"/>
        </w:rPr>
        <w:t xml:space="preserve"> Shifting an industry towards new products in such a short time requires international networks, skilled supply chain managers, reactivity, and agility. This type of experience simply does not come from local production and activities shielded from competition.12 10 “Korean-made COVID-19 testing kits demanded by over 100 countries”, Maeil Business News Korea, 9 April 2020. 11 “How this South Korean company created coronavirus test kits in three weeks”, CNN, 13 March 2020. 12 It would be interesting to further study how the impressive scale-up of production in China, in particular for face masks, was enabled by the experience of the country in GVCs as opposed to the leading role of the government and state-owned enterprises in the Chinese economy. Resilience versus robustness in global value chains: Some policy implications Sébastien Miroudot 127 Providing the latest generation of COVID-19 test kits to governments all around the world in a few weeks is a feat that would not have been possible without leveraging GVCs. It happened in Korea because it’s the G20 economy with the most integrated GVCs. Unlike face masks or ventilators where require heavy investments to be produced and where some inputs are not widely available, the production of test kits is accessible to most countries. The US or Europe have a large production capacity in In-Vitro Diagnostics (IVD). Indeed, lead firms there have developed COVID-19 tests and supplied their local markets. The main inputs are chemicals and reagents that are not difficult to manufacture (Korea is relying mostly on domestic supply). Since mass production of these tests needed to be organised in the last three months, one can wonder why the model of local production and re-shoring advocated by some was not followed by others, and why we see Korea exporting millions of test kits to Europe and the US. </w:t>
      </w:r>
      <w:r w:rsidRPr="00B50EAB">
        <w:rPr>
          <w:rStyle w:val="StyleUnderline"/>
          <w:rFonts w:ascii="XCharter Roman" w:hAnsi="XCharter Roman"/>
        </w:rPr>
        <w:t xml:space="preserve">Whether we consider face masks (where countries that can produce them such as France prefer to import billions from China rather than ramping up their national production) or test kits, it seems that GVCs are the preferred way to efficiently supply key COVID-19 goods during the crisis, despite their supposed vulnerability. Whether we consider face masks (where countries that can produce them such as France prefer to import billions from China rather than ramping up their national production) or test kits, it seems that GVCs are the </w:t>
      </w:r>
      <w:r w:rsidRPr="00B50EAB">
        <w:rPr>
          <w:rStyle w:val="Emphasis"/>
          <w:rFonts w:ascii="XCharter Roman" w:hAnsi="XCharter Roman"/>
        </w:rPr>
        <w:t>preferred way to efficiently supply</w:t>
      </w:r>
      <w:r w:rsidRPr="00B50EAB">
        <w:rPr>
          <w:rStyle w:val="StyleUnderline"/>
          <w:rFonts w:ascii="XCharter Roman" w:hAnsi="XCharter Roman"/>
        </w:rPr>
        <w:t xml:space="preserve"> key COVID-19 goods during the crisis, despite their supposed </w:t>
      </w:r>
      <w:r w:rsidRPr="00B50EAB">
        <w:rPr>
          <w:rStyle w:val="Emphasis"/>
          <w:rFonts w:ascii="XCharter Roman" w:hAnsi="XCharter Roman"/>
        </w:rPr>
        <w:t>vulnerability</w:t>
      </w:r>
      <w:r w:rsidRPr="00B50EAB">
        <w:rPr>
          <w:rStyle w:val="StyleUnderline"/>
          <w:rFonts w:ascii="XCharter Roman" w:hAnsi="XCharter Roman"/>
        </w:rPr>
        <w:t>.</w:t>
      </w:r>
      <w:r w:rsidRPr="00B50EAB">
        <w:rPr>
          <w:rFonts w:ascii="XCharter Roman" w:hAnsi="XCharter Roman"/>
          <w:sz w:val="14"/>
        </w:rPr>
        <w:t xml:space="preserve"> This is a matter for further scrutiny post-crisis, and indicates that there are other factors at play – such as innovation, flexibility, reactivity, access to distribution networks, and so on – that accord an advantage to GVCs for the efficient supply of essential goods. Concluding remarks One motivation for introducing the concept of global value chains in policymaking was the need to understand business reality and how companies actually produce and trade goods and services. </w:t>
      </w:r>
      <w:r w:rsidRPr="00B50EAB">
        <w:rPr>
          <w:rStyle w:val="StyleUnderline"/>
          <w:rFonts w:ascii="XCharter Roman" w:hAnsi="XCharter Roman"/>
        </w:rPr>
        <w:t xml:space="preserve">While it is acceptable to </w:t>
      </w:r>
      <w:r w:rsidRPr="00B50EAB">
        <w:rPr>
          <w:rStyle w:val="Emphasis"/>
          <w:rFonts w:ascii="XCharter Roman" w:hAnsi="XCharter Roman"/>
        </w:rPr>
        <w:t>question GVCs in light of the COVID-19</w:t>
      </w:r>
      <w:r w:rsidRPr="00B50EAB">
        <w:rPr>
          <w:rStyle w:val="StyleUnderline"/>
          <w:rFonts w:ascii="XCharter Roman" w:hAnsi="XCharter Roman"/>
        </w:rPr>
        <w:t xml:space="preserve"> crisis, business realities must guide policy deliberations. GVCs have rendered important productivity gains and the main concern for postCOVID-19 scenarios based on the shortening of GVCs and re-shoring of activities is how to deal with a shock on productivity, while finding ways to recover from one of the biggest economic crises in history.</w:t>
      </w:r>
      <w:r w:rsidRPr="00B50EAB">
        <w:rPr>
          <w:rFonts w:ascii="XCharter Roman" w:hAnsi="XCharter Roman"/>
          <w:sz w:val="14"/>
        </w:rPr>
        <w:t xml:space="preserve"> </w:t>
      </w:r>
      <w:r w:rsidRPr="00B50EAB">
        <w:rPr>
          <w:rStyle w:val="StyleUnderline"/>
          <w:rFonts w:ascii="XCharter Roman" w:hAnsi="XCharter Roman"/>
        </w:rPr>
        <w:t>The risk management literature has been COVID-19 and Trade Policy: Why Turning Inward Won’t Work 128</w:t>
      </w:r>
      <w:r w:rsidRPr="00B50EAB">
        <w:rPr>
          <w:rFonts w:ascii="XCharter Roman" w:hAnsi="XCharter Roman"/>
          <w:sz w:val="14"/>
        </w:rPr>
        <w:t xml:space="preserve"> </w:t>
      </w:r>
      <w:r w:rsidRPr="00B50EAB">
        <w:rPr>
          <w:rStyle w:val="StyleUnderline"/>
          <w:rFonts w:ascii="XCharter Roman" w:hAnsi="XCharter Roman"/>
        </w:rPr>
        <w:t xml:space="preserve">looking at the </w:t>
      </w:r>
      <w:r w:rsidRPr="00B50EAB">
        <w:rPr>
          <w:rStyle w:val="Emphasis"/>
          <w:rFonts w:ascii="XCharter Roman" w:hAnsi="XCharter Roman"/>
        </w:rPr>
        <w:t>resilience and robustness of supply chains</w:t>
      </w:r>
      <w:r w:rsidRPr="00B50EAB">
        <w:rPr>
          <w:rStyle w:val="StyleUnderline"/>
          <w:rFonts w:ascii="XCharter Roman" w:hAnsi="XCharter Roman"/>
        </w:rPr>
        <w:t xml:space="preserve"> for more than 20 years</w:t>
      </w:r>
      <w:r w:rsidRPr="00B50EAB">
        <w:rPr>
          <w:rFonts w:ascii="XCharter Roman" w:hAnsi="XCharter Roman"/>
          <w:sz w:val="14"/>
        </w:rPr>
        <w:t xml:space="preserve"> and does not propose that domestic production and short supply chains are the best way of addressing risks. However, it offers some guidance on different strategies, and in particular, highlights that some firms may look for robustness (e.g. medical supplies and medicines) while other may focus on resilience with different types of organisation of supply chains at the end. </w:t>
      </w:r>
      <w:r w:rsidRPr="00B50EAB">
        <w:rPr>
          <w:rStyle w:val="StyleUnderline"/>
          <w:rFonts w:ascii="XCharter Roman" w:hAnsi="XCharter Roman"/>
        </w:rPr>
        <w:t>The risk management literature has been looking at the resilience and robustness of supply chains for more than 20 years. It does not conclude that domestic production or shorter supply chains are the best way of addressing risks</w:t>
      </w:r>
      <w:r w:rsidRPr="00B50EAB">
        <w:rPr>
          <w:rFonts w:ascii="XCharter Roman" w:hAnsi="XCharter Roman"/>
          <w:sz w:val="14"/>
        </w:rPr>
        <w:t xml:space="preserve"> … it offers guidance on different strategies for robustness and resilience. </w:t>
      </w:r>
      <w:r w:rsidRPr="00B50EAB">
        <w:rPr>
          <w:rStyle w:val="StyleUnderline"/>
          <w:rFonts w:ascii="XCharter Roman" w:hAnsi="XCharter Roman"/>
        </w:rPr>
        <w:t xml:space="preserve">The experience with previous crisis and </w:t>
      </w:r>
      <w:r w:rsidRPr="00B50EAB">
        <w:rPr>
          <w:rStyle w:val="Emphasis"/>
          <w:rFonts w:ascii="XCharter Roman" w:hAnsi="XCharter Roman"/>
        </w:rPr>
        <w:t>disasters is that GVCs are rather resilient.</w:t>
      </w:r>
      <w:r w:rsidRPr="00B50EAB">
        <w:rPr>
          <w:rStyle w:val="StyleUnderline"/>
          <w:rFonts w:ascii="XCharter Roman" w:hAnsi="XCharter Roman"/>
        </w:rPr>
        <w:t xml:space="preserve"> Some sectors in the economy will be much more impacted by COVID-19 than the manufacturing industries operating in GVCs.</w:t>
      </w:r>
      <w:r w:rsidRPr="00B50EAB">
        <w:rPr>
          <w:rFonts w:ascii="XCharter Roman" w:hAnsi="XCharter Roman"/>
          <w:sz w:val="14"/>
        </w:rPr>
        <w:t xml:space="preserve"> </w:t>
      </w:r>
      <w:r w:rsidRPr="00B50EAB">
        <w:rPr>
          <w:rStyle w:val="StyleUnderline"/>
          <w:rFonts w:ascii="XCharter Roman" w:hAnsi="XCharter Roman"/>
        </w:rPr>
        <w:t>For example, addressing the crisis in the air transport sector or tourism industry should be a higher priority than re-shoring the computer and electronics industry. When it comes to distribution of essential goods such as medical supplies and medicines (possibly the reason for the current focus on domestic production and re-shoring), two pitfalls need to be avoided in future trade and investment policy discussions.</w:t>
      </w:r>
      <w:r w:rsidRPr="00B50EAB">
        <w:rPr>
          <w:rFonts w:ascii="XCharter Roman" w:hAnsi="XCharter Roman"/>
          <w:sz w:val="14"/>
        </w:rPr>
        <w:t xml:space="preserve"> • The first mistake is to equate self-sufficiency or domestic production with robustness. If the objective is to build more robust supply chains (without promoting a new mercantilist agenda), a combination of international trade and local supply is what works best. That is what Samsung found with its smart phones. And the process of deciding which sourcing strategies are the most adaptable should be driven by firms, since the answer will be different across sectors and even across companies. Policies that introduce new barriers to trade and investment to push firms towards domestic production or re-shoring would raise costs and lead to sourcing patterns driven by policy risks and not by the optimal organisation of production required for addressing other risks. • The second mistake is to focus on the location of production; the overriding imperative during a crisis is to maintain and scale up production. Some governments have been frustrated by the fact that in the middle of the COVID-19 crisis, their countries’ factories were not producing masks or ventilators. But countries with at least some production capacity were often faced with similar shortages in supply, and most of them ended up relying on trade rather than increasing their own production. Resilience versus robustness in global value chains: Some policy implications Sébastien Miroudot 129 </w:t>
      </w:r>
      <w:r w:rsidRPr="00B50EAB">
        <w:rPr>
          <w:rStyle w:val="StyleUnderline"/>
          <w:rFonts w:ascii="XCharter Roman" w:hAnsi="XCharter Roman"/>
        </w:rPr>
        <w:t>When demand is suddenly multiplied by a factor of ten or more, governments and companies are compelled to switch to a different production model of production. In this light, it is unrealistic to think that a country can maintain and sustain an industry with the production capacity required at the time of the crisis.</w:t>
      </w:r>
      <w:r w:rsidRPr="00B50EAB">
        <w:rPr>
          <w:rFonts w:ascii="XCharter Roman" w:hAnsi="XCharter Roman"/>
          <w:sz w:val="14"/>
        </w:rPr>
        <w:t xml:space="preserve"> </w:t>
      </w:r>
    </w:p>
    <w:p w14:paraId="758FBC7D" w14:textId="263EEC91" w:rsidR="00F17995" w:rsidRDefault="00F17995" w:rsidP="0024596E">
      <w:pPr>
        <w:rPr>
          <w:rFonts w:ascii="XCharter Roman" w:hAnsi="XCharter Roman"/>
          <w:sz w:val="14"/>
        </w:rPr>
      </w:pPr>
    </w:p>
    <w:p w14:paraId="5706328B" w14:textId="4BE0EBFB" w:rsidR="00F17995" w:rsidRDefault="00F17995" w:rsidP="00F17995">
      <w:pPr>
        <w:pStyle w:val="Heading3"/>
      </w:pPr>
      <w:r>
        <w:lastRenderedPageBreak/>
        <w:t>2NC--- GVC Resilient</w:t>
      </w:r>
    </w:p>
    <w:p w14:paraId="1912C6B6" w14:textId="77777777" w:rsidR="007E2941" w:rsidRDefault="007E2941" w:rsidP="007E2941">
      <w:pPr>
        <w:pStyle w:val="Heading4"/>
      </w:pPr>
      <w:r>
        <w:t>GVC are resistant</w:t>
      </w:r>
    </w:p>
    <w:p w14:paraId="005DE041" w14:textId="77777777" w:rsidR="007E2941" w:rsidRDefault="007E2941" w:rsidP="007E2941">
      <w:r>
        <w:t xml:space="preserve">Christian </w:t>
      </w:r>
      <w:r w:rsidRPr="00FB245B">
        <w:rPr>
          <w:rStyle w:val="Style13ptBold"/>
        </w:rPr>
        <w:t>Bachheimer</w:t>
      </w:r>
      <w:r>
        <w:t xml:space="preserve"> 7/17/</w:t>
      </w:r>
      <w:r w:rsidRPr="00FB245B">
        <w:rPr>
          <w:rStyle w:val="Style13ptBold"/>
        </w:rPr>
        <w:t>20</w:t>
      </w:r>
      <w:r>
        <w:t xml:space="preserve">, (couldn’t find qualifications on the internet) </w:t>
      </w:r>
      <w:r w:rsidRPr="006D23BD">
        <w:t>https://www.eastasiaforum.org/2020/07/17/global-value-chains-arent-going-anywhere/</w:t>
      </w:r>
    </w:p>
    <w:p w14:paraId="2C70D091" w14:textId="77777777" w:rsidR="007E2941" w:rsidRPr="006D23BD" w:rsidRDefault="007E2941" w:rsidP="007E2941">
      <w:pPr>
        <w:rPr>
          <w:rStyle w:val="StyleUnderline"/>
        </w:rPr>
      </w:pPr>
      <w:r w:rsidRPr="006D23BD">
        <w:t xml:space="preserve">Despite the rhetoric of self-reliance and the </w:t>
      </w:r>
      <w:hyperlink r:id="rId32" w:tgtFrame="_blank" w:history="1">
        <w:r w:rsidRPr="006D23BD">
          <w:rPr>
            <w:rStyle w:val="Hyperlink"/>
          </w:rPr>
          <w:t>return of domestic manufacturing</w:t>
        </w:r>
      </w:hyperlink>
      <w:r w:rsidRPr="006D23BD">
        <w:t xml:space="preserve">, no single country can produce the whole set of activities facilitated by GVCs. </w:t>
      </w:r>
      <w:r w:rsidRPr="006D23BD">
        <w:rPr>
          <w:rStyle w:val="StyleUnderline"/>
        </w:rPr>
        <w:t xml:space="preserve">GVCs and their primary clusters are sticky due to high fixed costs and immense economies of scale that </w:t>
      </w:r>
      <w:r w:rsidRPr="006D23BD">
        <w:rPr>
          <w:rStyle w:val="Emphasis"/>
        </w:rPr>
        <w:t>stubbornly resist decoupling</w:t>
      </w:r>
      <w:r w:rsidRPr="006D23BD">
        <w:rPr>
          <w:rStyle w:val="StyleUnderline"/>
        </w:rPr>
        <w:t xml:space="preserve"> by external forces with competing locations</w:t>
      </w:r>
      <w:r w:rsidRPr="006D23BD">
        <w:t xml:space="preserve">. GVCs depend on infrastructure built by governments to entice and cajole investors. This infrastructure — the foundations of East Asia’s competitiveness — have since matured into </w:t>
      </w:r>
      <w:hyperlink r:id="rId33" w:tgtFrame="_blank" w:history="1">
        <w:r w:rsidRPr="006D23BD">
          <w:rPr>
            <w:rStyle w:val="Hyperlink"/>
          </w:rPr>
          <w:t>resilient manufacturing locations</w:t>
        </w:r>
      </w:hyperlink>
      <w:r w:rsidRPr="006D23BD">
        <w:t xml:space="preserve">. Few governments will be able to afford such groundwork at the scale and speed necessary to duplicate East Asia’s export platforms post-COVID-19. GVCs also rely on private investments geared toward shareholder return and the market’s ‘invisible hand’. China’s industrial FDI stock rose to over </w:t>
      </w:r>
      <w:hyperlink r:id="rId34" w:tgtFrame="_blank" w:history="1">
        <w:r w:rsidRPr="006D23BD">
          <w:rPr>
            <w:rStyle w:val="Hyperlink"/>
          </w:rPr>
          <w:t>US$1.6 trillion in 2019 from US$190 billion in 2000</w:t>
        </w:r>
      </w:hyperlink>
      <w:r w:rsidRPr="006D23BD">
        <w:t xml:space="preserve">. Decoupling would require countries to replicate present supply chains with an equivalent investment level over a much shorter period while offering no meaningful incentive to move away from efficient locations. The US$2.2 billion handed out by the </w:t>
      </w:r>
      <w:hyperlink r:id="rId35" w:tgtFrame="_blank" w:history="1">
        <w:r w:rsidRPr="006D23BD">
          <w:rPr>
            <w:rStyle w:val="Hyperlink"/>
          </w:rPr>
          <w:t>Japanese</w:t>
        </w:r>
      </w:hyperlink>
      <w:r w:rsidRPr="006D23BD">
        <w:t xml:space="preserve"> government pales in contrast to the US$8.8 billion required to build a single </w:t>
      </w:r>
      <w:hyperlink r:id="rId36" w:tgtFrame="_blank" w:history="1">
        <w:r w:rsidRPr="006D23BD">
          <w:rPr>
            <w:rStyle w:val="Hyperlink"/>
          </w:rPr>
          <w:t>Foxconn plant</w:t>
        </w:r>
      </w:hyperlink>
      <w:r w:rsidRPr="006D23BD">
        <w:t xml:space="preserve">, or the US$12 billion for a </w:t>
      </w:r>
      <w:hyperlink r:id="rId37" w:history="1">
        <w:r w:rsidRPr="006D23BD">
          <w:rPr>
            <w:rStyle w:val="Hyperlink"/>
          </w:rPr>
          <w:t>TSMC</w:t>
        </w:r>
      </w:hyperlink>
      <w:r w:rsidRPr="006D23BD">
        <w:t xml:space="preserve"> microchip plant. The mass relocation of GVCs would also require a trained and competitive workforce equivalent to East Asia’s labour pool. China has well over 100 million </w:t>
      </w:r>
      <w:hyperlink r:id="rId38" w:tgtFrame="_blank" w:history="1">
        <w:r w:rsidRPr="006D23BD">
          <w:rPr>
            <w:rStyle w:val="Hyperlink"/>
          </w:rPr>
          <w:t>workers</w:t>
        </w:r>
      </w:hyperlink>
      <w:r w:rsidRPr="006D23BD">
        <w:t xml:space="preserve"> in manufacturing — more than the United States, Germany, Japan, France and Italy combined. The sheer disparity in the size of China’s labour force entrenches GVCs and prevents mass scale decoupling. </w:t>
      </w:r>
      <w:r w:rsidRPr="006D23BD">
        <w:rPr>
          <w:rStyle w:val="StyleUnderline"/>
        </w:rPr>
        <w:t>The resilience of existing GVCs is further cemented by the lack of alternative locations that could host GVCs.</w:t>
      </w:r>
      <w:r w:rsidRPr="006D23BD">
        <w:t xml:space="preserve"> Most score worse on FDI attractiveness — including </w:t>
      </w:r>
      <w:hyperlink r:id="rId39" w:tgtFrame="_blank" w:history="1">
        <w:r w:rsidRPr="006D23BD">
          <w:rPr>
            <w:rStyle w:val="Hyperlink"/>
          </w:rPr>
          <w:t>Mexico</w:t>
        </w:r>
      </w:hyperlink>
      <w:r w:rsidRPr="006D23BD">
        <w:t xml:space="preserve">, </w:t>
      </w:r>
      <w:hyperlink r:id="rId40" w:tgtFrame="_blank" w:history="1">
        <w:r w:rsidRPr="006D23BD">
          <w:rPr>
            <w:rStyle w:val="Hyperlink"/>
          </w:rPr>
          <w:t>Thailand</w:t>
        </w:r>
      </w:hyperlink>
      <w:r w:rsidRPr="006D23BD">
        <w:t xml:space="preserve">, </w:t>
      </w:r>
      <w:hyperlink r:id="rId41" w:tgtFrame="_blank" w:history="1">
        <w:r w:rsidRPr="006D23BD">
          <w:rPr>
            <w:rStyle w:val="Hyperlink"/>
          </w:rPr>
          <w:t>Vietnam</w:t>
        </w:r>
      </w:hyperlink>
      <w:r w:rsidRPr="006D23BD">
        <w:t xml:space="preserve"> and </w:t>
      </w:r>
      <w:hyperlink r:id="rId42" w:tgtFrame="_blank" w:history="1">
        <w:r w:rsidRPr="006D23BD">
          <w:rPr>
            <w:rStyle w:val="Hyperlink"/>
          </w:rPr>
          <w:t>Indonesia</w:t>
        </w:r>
      </w:hyperlink>
      <w:r w:rsidRPr="006D23BD">
        <w:t xml:space="preserve">. Comparatively small </w:t>
      </w:r>
      <w:hyperlink r:id="rId43" w:tgtFrame="_blank" w:history="1">
        <w:r w:rsidRPr="006D23BD">
          <w:rPr>
            <w:rStyle w:val="Hyperlink"/>
          </w:rPr>
          <w:t>Malaysia</w:t>
        </w:r>
      </w:hyperlink>
      <w:r w:rsidRPr="006D23BD">
        <w:t xml:space="preserve"> is an exception. While India could have been a </w:t>
      </w:r>
      <w:hyperlink r:id="rId44" w:history="1">
        <w:r w:rsidRPr="006D23BD">
          <w:rPr>
            <w:rStyle w:val="Hyperlink"/>
          </w:rPr>
          <w:t>potential contender</w:t>
        </w:r>
      </w:hyperlink>
      <w:r w:rsidRPr="006D23BD">
        <w:t xml:space="preserve">, its lack of infrastructure framework, ever changing rules and unaccommodating labour and </w:t>
      </w:r>
      <w:hyperlink r:id="rId45" w:tgtFrame="_blank" w:history="1">
        <w:r w:rsidRPr="006D23BD">
          <w:rPr>
            <w:rStyle w:val="Hyperlink"/>
          </w:rPr>
          <w:t>land regulations</w:t>
        </w:r>
      </w:hyperlink>
      <w:r w:rsidRPr="006D23BD">
        <w:t xml:space="preserve"> are major drawbacks. </w:t>
      </w:r>
      <w:r w:rsidRPr="006D23BD">
        <w:rPr>
          <w:rStyle w:val="StyleUnderline"/>
        </w:rPr>
        <w:t>These hard truths are not changing in the foreseeable future, and international trade must continue</w:t>
      </w:r>
      <w:r w:rsidRPr="006D23BD">
        <w:t xml:space="preserve">. Ever more complex products require critical materials and components that are unevenly distributed across the world — inevitably creating interdependence among countries. For example, 85 per cent of rare earths are controlled by China, the Democratic Republic of the Congo controls 60 per cent of cobalt and Chile boasts 57 per cent of the world’s lithium. </w:t>
      </w:r>
      <w:r w:rsidRPr="006D23BD">
        <w:rPr>
          <w:rStyle w:val="StyleUnderline"/>
        </w:rPr>
        <w:t>Decoupling cannot be fully effective as any relocated clusters would still rely upon vital materials dominated by certain countries.</w:t>
      </w:r>
    </w:p>
    <w:p w14:paraId="0EC9C77D" w14:textId="6DF6CEF0" w:rsidR="00F17995" w:rsidRDefault="00F17995" w:rsidP="00F17995"/>
    <w:p w14:paraId="7E705274" w14:textId="77777777" w:rsidR="00F17995" w:rsidRDefault="00F17995" w:rsidP="00F17995">
      <w:pPr>
        <w:pStyle w:val="Heading4"/>
      </w:pPr>
      <w:r>
        <w:t>Country domestication and reshoring prove that GVC’s are resilient</w:t>
      </w:r>
    </w:p>
    <w:p w14:paraId="36181DE2" w14:textId="77777777" w:rsidR="00F17995" w:rsidRPr="00193093" w:rsidRDefault="00F17995" w:rsidP="00F17995">
      <w:r w:rsidRPr="00193093">
        <w:rPr>
          <w:rStyle w:val="Heading4Char"/>
        </w:rPr>
        <w:t>Bird 20</w:t>
      </w:r>
      <w:r w:rsidRPr="00193093">
        <w:t xml:space="preserve"> (Mike; Mike Bird is a Hong Kong-based reporter covering financial markets across Asia. He previously worked in the Journal's London bureau, where he wrote about markets with a particular focus on currencies. A native of northern England, Mike won the 2016 Harold Wincott Award for young financial journalist of the year.; 4-22-2020; “</w:t>
      </w:r>
      <w:r w:rsidRPr="00193093">
        <w:rPr>
          <w:rStyle w:val="Emphasis"/>
        </w:rPr>
        <w:t>Globalized Commerce Might Prove Resilient to the Pandemic</w:t>
      </w:r>
      <w:r w:rsidRPr="00193093">
        <w:t xml:space="preserve"> ”; WSJ; https://www.wsj.com/articles/globalized-commerce-might-prove-resilient-to-the-pandemic-11587549813) [EM]</w:t>
      </w:r>
    </w:p>
    <w:p w14:paraId="563F36C0" w14:textId="77777777" w:rsidR="00F17995" w:rsidRPr="00193093" w:rsidRDefault="00F17995" w:rsidP="00F17995">
      <w:pPr>
        <w:rPr>
          <w:rStyle w:val="StyleUnderline"/>
        </w:rPr>
      </w:pPr>
      <w:r w:rsidRPr="00193093">
        <w:rPr>
          <w:rStyle w:val="StyleUnderline"/>
        </w:rPr>
        <w:t xml:space="preserve">The first examples of coronavirus-induced supply-chain shifts are under way. This week, Japanese consumer-products manufacturer Iris Ohyama announced it would take government subsidies to </w:t>
      </w:r>
      <w:r w:rsidRPr="00193093">
        <w:rPr>
          <w:rStyle w:val="Emphasis"/>
        </w:rPr>
        <w:lastRenderedPageBreak/>
        <w:t>expand the production of masks domestically</w:t>
      </w:r>
      <w:r w:rsidRPr="00193093">
        <w:rPr>
          <w:rStyle w:val="StyleUnderline"/>
        </w:rPr>
        <w:t>, adding to its existing production in China, the first company to do so. Bringing</w:t>
      </w:r>
      <w:r w:rsidRPr="00DF3904">
        <w:rPr>
          <w:sz w:val="14"/>
        </w:rPr>
        <w:t xml:space="preserve"> some manufacturing home for medical or security purposes might make sense. But those expecting large-scale deglobalization and the return of domestic production for many goods might be disappointed. </w:t>
      </w:r>
      <w:r w:rsidRPr="00193093">
        <w:rPr>
          <w:rStyle w:val="StyleUnderline"/>
        </w:rPr>
        <w:t xml:space="preserve">Amid the U.S.-China trade war, </w:t>
      </w:r>
      <w:r w:rsidRPr="00193093">
        <w:rPr>
          <w:rStyle w:val="Emphasis"/>
        </w:rPr>
        <w:t>reshoring</w:t>
      </w:r>
      <w:r w:rsidRPr="00193093">
        <w:rPr>
          <w:rStyle w:val="StyleUnderline"/>
        </w:rPr>
        <w:t xml:space="preserve"> was already a major issue of discussion before the </w:t>
      </w:r>
      <w:r w:rsidRPr="00193093">
        <w:rPr>
          <w:rStyle w:val="Emphasis"/>
        </w:rPr>
        <w:t>coronavirus arrived</w:t>
      </w:r>
      <w:r w:rsidRPr="00193093">
        <w:rPr>
          <w:rStyle w:val="StyleUnderline"/>
        </w:rPr>
        <w:t>. In its annual assessment of the state of reshoring, consulting firm A.T. Kearney found that American imports of Asian-made goods as a percentage of domestic manufacturing output dropped in 2019, falling from a record high to the lowest level in five years.</w:t>
      </w:r>
      <w:r w:rsidRPr="00DF3904">
        <w:rPr>
          <w:sz w:val="14"/>
        </w:rPr>
        <w:t xml:space="preserve"> But that decline was down to a sharp fall in Chinese imports. Imports from the rest of low-income Asia actually rose, and U.S. manufacturing output was roughly flat. This isn't exactly deglobalization. </w:t>
      </w:r>
      <w:r w:rsidRPr="00193093">
        <w:rPr>
          <w:rStyle w:val="Emphasis"/>
        </w:rPr>
        <w:t>Manufacturing shifting from one country</w:t>
      </w:r>
      <w:r w:rsidRPr="00193093">
        <w:rPr>
          <w:rStyle w:val="StyleUnderline"/>
        </w:rPr>
        <w:t xml:space="preserve"> to another as countries grow richer and pivot to higher-value manufacturing isn't new. Just as China took a greater share of manufacturing once done in South Korea and Japan, Bangladesh and Vietnam are well placed to take a portion of manufacturing that, for now, is done in China.</w:t>
      </w:r>
      <w:r w:rsidRPr="00DF3904">
        <w:rPr>
          <w:sz w:val="14"/>
        </w:rPr>
        <w:t xml:space="preserve"> It would be inefficient for wealthy countries to attempt to resume much low-value production currently done abroad. Even in high-value sectors, a lack of knowledge, experience and competitiveness in niche areas would prove difficult to surmount. </w:t>
      </w:r>
      <w:r w:rsidRPr="00193093">
        <w:rPr>
          <w:rStyle w:val="StyleUnderline"/>
        </w:rPr>
        <w:t xml:space="preserve">A test case came in July , when Japan restricted exports of smartphone screen components to South Korea. Despite Korea's dominant position in electronics, these components are largely produced in Japan, and major manufacturers such as Samsung and LG were left hanging. </w:t>
      </w:r>
      <w:r w:rsidRPr="00DF3904">
        <w:rPr>
          <w:sz w:val="14"/>
        </w:rPr>
        <w:t>Korea managed to reduce its Japanese photoresist imports modestly, from 92% of the total in the first half of 2020 to 85% of in the second half, by massively expanding exports from the U.S., Belgium and Germany, along with considerable efforts to boost domestic production. Japan eventually loosened but didn't completely remove the restrictions late last year.</w:t>
      </w:r>
      <w:r w:rsidRPr="00193093">
        <w:rPr>
          <w:rStyle w:val="StyleUnderline"/>
        </w:rPr>
        <w:t xml:space="preserve"> It's difficult to imagine how countries without similar expertise in the right industries would manage to reshore far more ambitious elements of the manufacturing process.</w:t>
      </w:r>
      <w:r w:rsidRPr="00DF3904">
        <w:rPr>
          <w:sz w:val="14"/>
        </w:rPr>
        <w:t xml:space="preserve"> </w:t>
      </w:r>
      <w:r w:rsidRPr="00193093">
        <w:rPr>
          <w:rStyle w:val="StyleUnderline"/>
        </w:rPr>
        <w:t xml:space="preserve">It's also often presumed that pulling down trade barriers is the main factor that </w:t>
      </w:r>
      <w:r w:rsidRPr="00193093">
        <w:rPr>
          <w:rStyle w:val="Emphasis"/>
        </w:rPr>
        <w:t>allowed global value chains to grow</w:t>
      </w:r>
      <w:r w:rsidRPr="00193093">
        <w:rPr>
          <w:rStyle w:val="StyleUnderline"/>
        </w:rPr>
        <w:t xml:space="preserve"> in the first place</w:t>
      </w:r>
      <w:r w:rsidRPr="00DF3904">
        <w:rPr>
          <w:sz w:val="14"/>
        </w:rPr>
        <w:t xml:space="preserve">. The truth might be the reverse: Anti-dumping measures and other trade restrictions might have been rolled back as a response to growing commercial globalization, with increasingly international firms no longer wanting protection, some economists have suggested . Ideological commitment to globalization didn't drive the growth of major value chains in the first place, and its decreased popularity is unlikely to unwind them even with the current pandemic. </w:t>
      </w:r>
      <w:r w:rsidRPr="00193093">
        <w:rPr>
          <w:rStyle w:val="StyleUnderline"/>
        </w:rPr>
        <w:t xml:space="preserve">Without gargantuan subsidies or even more punitive trade restrictions, the seemingly </w:t>
      </w:r>
      <w:r w:rsidRPr="00193093">
        <w:rPr>
          <w:rStyle w:val="Emphasis"/>
        </w:rPr>
        <w:t>fragile spider's web</w:t>
      </w:r>
      <w:r w:rsidRPr="00193093">
        <w:rPr>
          <w:rStyle w:val="StyleUnderline"/>
        </w:rPr>
        <w:t xml:space="preserve"> of </w:t>
      </w:r>
      <w:r w:rsidRPr="00193093">
        <w:rPr>
          <w:rStyle w:val="Emphasis"/>
        </w:rPr>
        <w:t>global commerce</w:t>
      </w:r>
      <w:r w:rsidRPr="00193093">
        <w:rPr>
          <w:rStyle w:val="StyleUnderline"/>
        </w:rPr>
        <w:t xml:space="preserve"> may remain </w:t>
      </w:r>
      <w:r w:rsidRPr="00193093">
        <w:rPr>
          <w:rStyle w:val="Emphasis"/>
        </w:rPr>
        <w:t>surprisingly resilient</w:t>
      </w:r>
      <w:r w:rsidRPr="00193093">
        <w:rPr>
          <w:rStyle w:val="StyleUnderline"/>
        </w:rPr>
        <w:t>.</w:t>
      </w:r>
    </w:p>
    <w:p w14:paraId="1A7DDBEC" w14:textId="77777777" w:rsidR="003E2646" w:rsidRDefault="003E2646" w:rsidP="003E2646">
      <w:pPr>
        <w:pStyle w:val="Heading4"/>
      </w:pPr>
      <w:r>
        <w:t xml:space="preserve">Countries are diversifying the GVC post COVID </w:t>
      </w:r>
    </w:p>
    <w:p w14:paraId="696AAFF1" w14:textId="77777777" w:rsidR="003E2646" w:rsidRDefault="003E2646" w:rsidP="003E2646">
      <w:r w:rsidRPr="0094127E">
        <w:rPr>
          <w:rStyle w:val="Heading4Char"/>
        </w:rPr>
        <w:t>Urata 20</w:t>
      </w:r>
      <w:r w:rsidRPr="0094127E">
        <w:t xml:space="preserve"> (Shujiro;</w:t>
      </w:r>
      <w:r>
        <w:t xml:space="preserve"> </w:t>
      </w:r>
      <w:r w:rsidRPr="0094127E">
        <w:t>Shujiro Urata received his PhD in Economics from Standford University in 1978. Before joining ERIA as a senior research advisor, he was affiliated with Waseda University wherein he served as professor since 1988. His focus of research is in international and development economics.; 7-2-2020; “Reimagining global value chains after COVID-19 ”; East Asia Forum; https://www.eastasiaforum.org/2020/07/02/reimagining-global-value-chains-after-covid-19/) [EM]</w:t>
      </w:r>
    </w:p>
    <w:p w14:paraId="3CECAE22" w14:textId="77777777" w:rsidR="003E2646" w:rsidRPr="00635C11" w:rsidRDefault="003E2646" w:rsidP="003E2646">
      <w:pPr>
        <w:rPr>
          <w:sz w:val="14"/>
        </w:rPr>
      </w:pPr>
      <w:r w:rsidRPr="00D33CE8">
        <w:rPr>
          <w:rStyle w:val="StyleUnderline"/>
        </w:rPr>
        <w:t xml:space="preserve">COVID-19 is exposing </w:t>
      </w:r>
      <w:r w:rsidRPr="00893661">
        <w:rPr>
          <w:rStyle w:val="Emphasis"/>
        </w:rPr>
        <w:t>the vulnerability</w:t>
      </w:r>
      <w:r w:rsidRPr="00D33CE8">
        <w:rPr>
          <w:rStyle w:val="StyleUnderline"/>
        </w:rPr>
        <w:t xml:space="preserve"> of global value chains (GVCs). </w:t>
      </w:r>
      <w:r w:rsidRPr="00893661">
        <w:rPr>
          <w:rStyle w:val="Emphasis"/>
        </w:rPr>
        <w:t>GVCs contribute to rapid</w:t>
      </w:r>
      <w:r w:rsidRPr="00D33CE8">
        <w:rPr>
          <w:rStyle w:val="StyleUnderline"/>
        </w:rPr>
        <w:t xml:space="preserve"> economic </w:t>
      </w:r>
      <w:r w:rsidRPr="00893661">
        <w:rPr>
          <w:rStyle w:val="Emphasis"/>
        </w:rPr>
        <w:t>growth</w:t>
      </w:r>
      <w:r w:rsidRPr="00D33CE8">
        <w:rPr>
          <w:rStyle w:val="StyleUnderline"/>
        </w:rPr>
        <w:t xml:space="preserve"> by enabling multinational corporations to increase their efficiency through fragmented, task-based specialisation.</w:t>
      </w:r>
      <w:r w:rsidRPr="00635C11">
        <w:rPr>
          <w:sz w:val="14"/>
        </w:rPr>
        <w:t xml:space="preserve"> </w:t>
      </w:r>
      <w:r w:rsidRPr="00893661">
        <w:rPr>
          <w:rStyle w:val="StyleUnderline"/>
        </w:rPr>
        <w:t>But they are now quickly spreading the negative economic impacts of COVID-19 from China to many other countries</w:t>
      </w:r>
      <w:r w:rsidRPr="00635C11">
        <w:rPr>
          <w:sz w:val="14"/>
        </w:rPr>
        <w:t xml:space="preserve">. An employee wearing a protective face mask and face guard works on the automobile assembly line as the maker ramps up car production with new security and health measures as a step to resume full operations, during the outbreak of COVID-19 at Kawasaki factory of Mitsubishi Fuso Truck and Bus Corp, in Kawasaki, south of Tokyo, Japan, 18 May 2020 (Photo: Reuters/Issei Kato). A case in point is the Japanese automobile industry. </w:t>
      </w:r>
      <w:r w:rsidRPr="002B1134">
        <w:rPr>
          <w:rStyle w:val="StyleUnderline"/>
        </w:rPr>
        <w:t xml:space="preserve">When Wuhan went into lockdown in late January, factories supplying auto parts also </w:t>
      </w:r>
      <w:r w:rsidRPr="002B1134">
        <w:rPr>
          <w:rStyle w:val="Emphasis"/>
        </w:rPr>
        <w:t>shut down</w:t>
      </w:r>
      <w:r w:rsidRPr="002B1134">
        <w:rPr>
          <w:rStyle w:val="StyleUnderline"/>
        </w:rPr>
        <w:t xml:space="preserve">. The shortfall suspended the operations of Japanese automobile assemblers in China, Japan and other parts of the world. This led to a </w:t>
      </w:r>
      <w:r w:rsidRPr="002B1134">
        <w:rPr>
          <w:rStyle w:val="Emphasis"/>
        </w:rPr>
        <w:t>substantial reduction</w:t>
      </w:r>
      <w:r w:rsidRPr="002B1134">
        <w:rPr>
          <w:rStyle w:val="StyleUnderline"/>
        </w:rPr>
        <w:t xml:space="preserve"> in automobile manufacturing, as the industry runs on a ‘just-in-time’ delivery system to be efficient and competitive.</w:t>
      </w:r>
      <w:r w:rsidRPr="00635C11">
        <w:rPr>
          <w:sz w:val="14"/>
        </w:rPr>
        <w:t xml:space="preserve"> Vehicle production in Japan declined by 10 per cent in February from the same month a year ago. While Chinese manufacturing began to recover in March and April thanks to the successful containment of COVID-19 in China, the virus was still spreading in Japan. Factories were shut down because workers had to stay home, causing production to drop by approximately 45 per cent in April compared to last year. </w:t>
      </w:r>
      <w:r w:rsidRPr="002B1134">
        <w:rPr>
          <w:rStyle w:val="StyleUnderline"/>
        </w:rPr>
        <w:t xml:space="preserve">The immediate response of Japanese automobile assemblers was to run down inventories and procure parts from suppliers in Japan and other parts of the world using existing </w:t>
      </w:r>
      <w:r w:rsidRPr="002B1134">
        <w:rPr>
          <w:rStyle w:val="Emphasis"/>
        </w:rPr>
        <w:t>GVCs</w:t>
      </w:r>
      <w:r w:rsidRPr="002B1134">
        <w:rPr>
          <w:rStyle w:val="StyleUnderline"/>
        </w:rPr>
        <w:t>.</w:t>
      </w:r>
      <w:r w:rsidRPr="00635C11">
        <w:rPr>
          <w:sz w:val="14"/>
        </w:rPr>
        <w:t xml:space="preserve"> </w:t>
      </w:r>
      <w:r w:rsidRPr="002B1134">
        <w:rPr>
          <w:rStyle w:val="StyleUnderline"/>
        </w:rPr>
        <w:t xml:space="preserve">Though supply chains made a quick recovery, the pandemic is arousing interest in </w:t>
      </w:r>
      <w:r w:rsidRPr="002B1134">
        <w:rPr>
          <w:rStyle w:val="Emphasis"/>
        </w:rPr>
        <w:t>diversifying GVCs</w:t>
      </w:r>
      <w:r w:rsidRPr="002B1134">
        <w:rPr>
          <w:rStyle w:val="StyleUnderline"/>
        </w:rPr>
        <w:t xml:space="preserve"> </w:t>
      </w:r>
      <w:r w:rsidRPr="002B1134">
        <w:rPr>
          <w:rStyle w:val="StyleUnderline"/>
        </w:rPr>
        <w:lastRenderedPageBreak/>
        <w:t>among Japanese companies</w:t>
      </w:r>
      <w:r w:rsidRPr="00635C11">
        <w:rPr>
          <w:sz w:val="14"/>
        </w:rPr>
        <w:t xml:space="preserve">. </w:t>
      </w:r>
      <w:r w:rsidRPr="002B1134">
        <w:rPr>
          <w:rStyle w:val="StyleUnderline"/>
        </w:rPr>
        <w:t xml:space="preserve">One obvious reason for this is </w:t>
      </w:r>
      <w:r w:rsidRPr="002B1134">
        <w:rPr>
          <w:rStyle w:val="Emphasis"/>
        </w:rPr>
        <w:t>increased concern</w:t>
      </w:r>
      <w:r w:rsidRPr="002B1134">
        <w:rPr>
          <w:rStyle w:val="StyleUnderline"/>
        </w:rPr>
        <w:t xml:space="preserve"> about a prolonged presence of COVID-19 and the </w:t>
      </w:r>
      <w:r w:rsidRPr="002B1134">
        <w:rPr>
          <w:rStyle w:val="Emphasis"/>
        </w:rPr>
        <w:t>possible emergence</w:t>
      </w:r>
      <w:r w:rsidRPr="002B1134">
        <w:rPr>
          <w:rStyle w:val="StyleUnderline"/>
        </w:rPr>
        <w:t xml:space="preserve"> of </w:t>
      </w:r>
      <w:r w:rsidRPr="002B1134">
        <w:rPr>
          <w:rStyle w:val="Emphasis"/>
        </w:rPr>
        <w:t>new viruses</w:t>
      </w:r>
      <w:r w:rsidRPr="00635C11">
        <w:rPr>
          <w:sz w:val="14"/>
        </w:rPr>
        <w:t xml:space="preserve">. Japanese firms heavily rely on China for the supply of many goods — including electronics, medical equipment and health products. </w:t>
      </w:r>
      <w:r w:rsidRPr="002B1134">
        <w:rPr>
          <w:rStyle w:val="StyleUnderline"/>
        </w:rPr>
        <w:t>In recent years, these supply chains have been affected by the US–China trade war and the technology race, as China tries to covertly obtain technology from Japanese and other foreign companies</w:t>
      </w:r>
      <w:r w:rsidRPr="00635C11">
        <w:rPr>
          <w:sz w:val="14"/>
        </w:rPr>
        <w:t xml:space="preserve">. </w:t>
      </w:r>
      <w:r w:rsidRPr="002B1134">
        <w:rPr>
          <w:rStyle w:val="Emphasis"/>
        </w:rPr>
        <w:t>Diversifying GVCs</w:t>
      </w:r>
      <w:r w:rsidRPr="002B1134">
        <w:rPr>
          <w:rStyle w:val="StyleUnderline"/>
        </w:rPr>
        <w:t xml:space="preserve"> could involve </w:t>
      </w:r>
      <w:r w:rsidRPr="002B1134">
        <w:rPr>
          <w:rStyle w:val="Emphasis"/>
        </w:rPr>
        <w:t>shortening networks</w:t>
      </w:r>
      <w:r w:rsidRPr="002B1134">
        <w:rPr>
          <w:rStyle w:val="StyleUnderline"/>
        </w:rPr>
        <w:t xml:space="preserve"> by reducing the number of links in the chain, or by redesigning products to make their components less specific</w:t>
      </w:r>
      <w:r w:rsidRPr="00635C11">
        <w:rPr>
          <w:sz w:val="14"/>
        </w:rPr>
        <w:t xml:space="preserve">. But these changes are costly which discourages diversification. </w:t>
      </w:r>
      <w:r w:rsidRPr="002B1134">
        <w:rPr>
          <w:rStyle w:val="StyleUnderline"/>
        </w:rPr>
        <w:t xml:space="preserve">That is why the Japanese government recently introduced a subsidy program to support Japanese companies in their efforts to </w:t>
      </w:r>
      <w:r w:rsidRPr="002B1134">
        <w:rPr>
          <w:rStyle w:val="Emphasis"/>
        </w:rPr>
        <w:t>diversify GVCs</w:t>
      </w:r>
      <w:r w:rsidRPr="002B1134">
        <w:rPr>
          <w:rStyle w:val="StyleUnderline"/>
        </w:rPr>
        <w:t xml:space="preserve">. The program has </w:t>
      </w:r>
      <w:r w:rsidRPr="002B1134">
        <w:rPr>
          <w:rStyle w:val="Emphasis"/>
        </w:rPr>
        <w:t>two components</w:t>
      </w:r>
      <w:r w:rsidRPr="002B1134">
        <w:rPr>
          <w:rStyle w:val="StyleUnderline"/>
        </w:rPr>
        <w:t xml:space="preserve">. One is to promote </w:t>
      </w:r>
      <w:r w:rsidRPr="002B1134">
        <w:rPr>
          <w:rStyle w:val="Emphasis"/>
        </w:rPr>
        <w:t>domestic investment</w:t>
      </w:r>
      <w:r w:rsidRPr="002B1134">
        <w:rPr>
          <w:rStyle w:val="StyleUnderline"/>
        </w:rPr>
        <w:t xml:space="preserve"> by relocating overseas production bases back to Japan. The other is to construct </w:t>
      </w:r>
      <w:r w:rsidRPr="002B1134">
        <w:rPr>
          <w:rStyle w:val="Emphasis"/>
        </w:rPr>
        <w:t>strong supply chains involving ASEAN member</w:t>
      </w:r>
      <w:r w:rsidRPr="002B1134">
        <w:rPr>
          <w:rStyle w:val="StyleUnderline"/>
        </w:rPr>
        <w:t xml:space="preserve"> countries to encourage Japanese firms to transfer their production bases there.</w:t>
      </w:r>
      <w:r w:rsidRPr="00635C11">
        <w:rPr>
          <w:sz w:val="14"/>
        </w:rPr>
        <w:t xml:space="preserve"> The budget allocated to the first and second components are 220 billion yen (US$2 billion) and 23.5 billion yen (US$200 million) respectively. The money can be used to construct buildings, install machinery and conduct feasibility studies. The program will cover half to three-quarters of the costs depending on the contents of the project and the size of the firms, with higher subsidy rates for small and medium-sized enterprises. </w:t>
      </w:r>
      <w:r w:rsidRPr="002B1134">
        <w:rPr>
          <w:rStyle w:val="StyleUnderline"/>
        </w:rPr>
        <w:t xml:space="preserve">This program is sure to contribute to the </w:t>
      </w:r>
      <w:r w:rsidRPr="002B1134">
        <w:rPr>
          <w:rStyle w:val="Emphasis"/>
        </w:rPr>
        <w:t>diversification of GVCs by Japanese companies</w:t>
      </w:r>
      <w:r w:rsidRPr="002B1134">
        <w:rPr>
          <w:rStyle w:val="StyleUnderline"/>
        </w:rPr>
        <w:t xml:space="preserve">, but it is just one of many factors that will influence a company’s decision. Firms will also consider the costs and </w:t>
      </w:r>
      <w:r w:rsidRPr="002B1134">
        <w:rPr>
          <w:rStyle w:val="Emphasis"/>
        </w:rPr>
        <w:t>benefits of diversification</w:t>
      </w:r>
      <w:r w:rsidRPr="002B1134">
        <w:rPr>
          <w:rStyle w:val="StyleUnderline"/>
        </w:rPr>
        <w:t xml:space="preserve"> — including market size, labour cost, quality of infrastructure, trade and investment policy, and political and social stability in potential investment locations.</w:t>
      </w:r>
      <w:r w:rsidRPr="00635C11">
        <w:rPr>
          <w:sz w:val="14"/>
        </w:rPr>
        <w:t xml:space="preserve"> International economic policies can also play an important role in promoting GVC diversification. For example, economic cooperation policy, or provision of economic assistance, can contribute to building and improving the quality of soft and hard infrastructure in developing countries. Improved infrastructure in ASEAN will provide an incentive for firms to set up production bases there. </w:t>
      </w:r>
      <w:r w:rsidRPr="002B1134">
        <w:rPr>
          <w:rStyle w:val="StyleUnderline"/>
        </w:rPr>
        <w:t xml:space="preserve">Public health experts warn of a high probability that COVID-19 will persist, and a high possibility of </w:t>
      </w:r>
      <w:r w:rsidRPr="002B1134">
        <w:rPr>
          <w:rStyle w:val="Emphasis"/>
        </w:rPr>
        <w:t>new infectious viruses</w:t>
      </w:r>
      <w:r w:rsidRPr="002B1134">
        <w:rPr>
          <w:rStyle w:val="StyleUnderline"/>
        </w:rPr>
        <w:t xml:space="preserve"> emerging in the future. These warnings are prompting companies to </w:t>
      </w:r>
      <w:r w:rsidRPr="002B1134">
        <w:rPr>
          <w:rStyle w:val="Emphasis"/>
        </w:rPr>
        <w:t>formulate new international strategies on GVCs</w:t>
      </w:r>
      <w:r w:rsidRPr="002B1134">
        <w:rPr>
          <w:rStyle w:val="StyleUnderline"/>
        </w:rPr>
        <w:t xml:space="preserve"> with an assumption that the mobility of people and goods is likely to be disrupted again.</w:t>
      </w:r>
      <w:r w:rsidRPr="00635C11">
        <w:rPr>
          <w:sz w:val="14"/>
        </w:rPr>
        <w:t xml:space="preserve"> One effective strategy is to use advanced information technology — such as 3D printing — to substitute for the physical transfer of goods and people. A company could send products such as auto parts to its customers in the form of data, which are turned into products using 3D printing. Factory shutdowns may be avoided if robots can substitute for workers and these robots can be operated by AI. The trend towards developing such a system is already beginning. While the business sector is leading this initiative, the government needs to play a supporting part. </w:t>
      </w:r>
      <w:r w:rsidRPr="002B1134">
        <w:rPr>
          <w:rStyle w:val="StyleUnderline"/>
        </w:rPr>
        <w:t xml:space="preserve">One of the most important roles that governments can play is establishing a rules-based, open international system to ensure the </w:t>
      </w:r>
      <w:r w:rsidRPr="002B1134">
        <w:rPr>
          <w:rStyle w:val="Emphasis"/>
        </w:rPr>
        <w:t>free flow of data</w:t>
      </w:r>
      <w:r w:rsidRPr="00635C11">
        <w:rPr>
          <w:sz w:val="14"/>
        </w:rPr>
        <w:t xml:space="preserve">. Rules on cross-border data flow have been established in various regional and bilateral frameworks, which can be used as building blocks for an agreement under the World Trade Organization (WTO). These frameworks include the Comprehensive and Progressive Agreement for Trans-Pacific Partnership, the EU–Japan Economic Partnership Agreement, the United States–Mexico–Canada Agreement, and the US–Japan Digital Trade Agreement. At the 2019 G20 Summit in Osaka, Japanese Prime Minister Shinzo Abe launched the ‘Osaka Track’ framework to promote discussions on establishing rules on digital trade at the WTO. </w:t>
      </w:r>
      <w:r w:rsidRPr="002B1134">
        <w:rPr>
          <w:rStyle w:val="StyleUnderline"/>
        </w:rPr>
        <w:t xml:space="preserve">A contentious issue in cross-border data flow is the balance between free flow and regulation motivated by </w:t>
      </w:r>
      <w:r w:rsidRPr="002B1134">
        <w:rPr>
          <w:rStyle w:val="Emphasis"/>
        </w:rPr>
        <w:t>cybersecurity</w:t>
      </w:r>
      <w:r w:rsidRPr="002B1134">
        <w:rPr>
          <w:rStyle w:val="StyleUnderline"/>
        </w:rPr>
        <w:t>, privacy, consumer rights, regulatory oversight and digital industrial policy.</w:t>
      </w:r>
      <w:r w:rsidRPr="00635C11">
        <w:rPr>
          <w:sz w:val="14"/>
        </w:rPr>
        <w:t xml:space="preserve"> Recognising the importance of cross-border data flow is important not only for the establishment of efficient GVCs, but also to promote innovation and economic growth.</w:t>
      </w:r>
    </w:p>
    <w:p w14:paraId="306DC6CC" w14:textId="77777777" w:rsidR="00F17995" w:rsidRPr="00F17995" w:rsidRDefault="00F17995" w:rsidP="00F17995"/>
    <w:p w14:paraId="2E9F166A" w14:textId="77777777" w:rsidR="0024596E" w:rsidRDefault="0024596E" w:rsidP="0024596E">
      <w:pPr>
        <w:pStyle w:val="Heading3"/>
        <w:rPr>
          <w:rFonts w:ascii="XCharter Roman" w:hAnsi="XCharter Roman"/>
        </w:rPr>
      </w:pPr>
      <w:r w:rsidRPr="00B50EAB">
        <w:rPr>
          <w:rFonts w:ascii="XCharter Roman" w:hAnsi="XCharter Roman"/>
        </w:rPr>
        <w:lastRenderedPageBreak/>
        <w:t>1NC</w:t>
      </w:r>
      <w:r>
        <w:rPr>
          <w:rFonts w:ascii="XCharter Roman" w:hAnsi="XCharter Roman"/>
        </w:rPr>
        <w:t>—Covid thumps GVC</w:t>
      </w:r>
    </w:p>
    <w:p w14:paraId="282BBFBE" w14:textId="77777777" w:rsidR="0024596E" w:rsidRPr="00B50EAB" w:rsidRDefault="0024596E" w:rsidP="0024596E">
      <w:pPr>
        <w:pStyle w:val="Heading4"/>
      </w:pPr>
      <w:r>
        <w:t>COVID has outlined key issues in the GVC—causing intended consequences</w:t>
      </w:r>
    </w:p>
    <w:p w14:paraId="3167B0B2" w14:textId="77777777" w:rsidR="0024596E" w:rsidRPr="00B50EAB" w:rsidRDefault="0024596E" w:rsidP="0024596E">
      <w:pPr>
        <w:rPr>
          <w:rFonts w:ascii="XCharter Roman" w:hAnsi="XCharter Roman"/>
        </w:rPr>
      </w:pPr>
      <w:r w:rsidRPr="00B50EAB">
        <w:rPr>
          <w:rStyle w:val="Heading4Char"/>
          <w:rFonts w:ascii="XCharter Roman" w:hAnsi="XCharter Roman"/>
        </w:rPr>
        <w:t xml:space="preserve">Silverthorne </w:t>
      </w:r>
      <w:r>
        <w:rPr>
          <w:rStyle w:val="Heading4Char"/>
          <w:rFonts w:ascii="XCharter Roman" w:hAnsi="XCharter Roman"/>
        </w:rPr>
        <w:t>6/8</w:t>
      </w:r>
      <w:r w:rsidRPr="00B50EAB">
        <w:rPr>
          <w:rFonts w:ascii="XCharter Roman" w:hAnsi="XCharter Roman"/>
        </w:rPr>
        <w:t xml:space="preserve"> (Sean;</w:t>
      </w:r>
      <w:r>
        <w:rPr>
          <w:rFonts w:ascii="XCharter Roman" w:hAnsi="XCharter Roman"/>
        </w:rPr>
        <w:t xml:space="preserve"> </w:t>
      </w:r>
      <w:r w:rsidRPr="00B50EAB">
        <w:rPr>
          <w:rFonts w:ascii="XCharter Roman" w:hAnsi="XCharter Roman"/>
        </w:rPr>
        <w:t>Sean Silverthorne. Sean is the editor-in-chief of Working Knowledge at Harvard Business School.; 6-8-2020; “Has COVID-19 Broken The Global Value Chain?”; Forbes; https://www.forbes.com/sites/hbsworkingknowledge/2020/06/08/has-covid-19-broken-the-global-value-chain/#2f79f7cb4429) [EM]</w:t>
      </w:r>
    </w:p>
    <w:p w14:paraId="71F259E1" w14:textId="77777777" w:rsidR="0024596E" w:rsidRDefault="0024596E" w:rsidP="0024596E">
      <w:pPr>
        <w:rPr>
          <w:rFonts w:ascii="XCharter Roman" w:hAnsi="XCharter Roman"/>
          <w:sz w:val="14"/>
        </w:rPr>
      </w:pPr>
      <w:r w:rsidRPr="00FF32AE">
        <w:rPr>
          <w:rStyle w:val="Emphasis"/>
        </w:rPr>
        <w:t>The coronavirus pandemic</w:t>
      </w:r>
      <w:r w:rsidRPr="00B50EAB">
        <w:rPr>
          <w:rStyle w:val="StyleUnderline"/>
        </w:rPr>
        <w:t xml:space="preserve"> has not only disrupted lives and businesses, it has illuminated </w:t>
      </w:r>
      <w:r w:rsidRPr="00B50EAB">
        <w:rPr>
          <w:rStyle w:val="Emphasis"/>
        </w:rPr>
        <w:t>underlying fragilities</w:t>
      </w:r>
      <w:r w:rsidRPr="00B50EAB">
        <w:rPr>
          <w:rStyle w:val="StyleUnderline"/>
        </w:rPr>
        <w:t xml:space="preserve"> in the </w:t>
      </w:r>
      <w:r w:rsidRPr="00B50EAB">
        <w:rPr>
          <w:rStyle w:val="Emphasis"/>
        </w:rPr>
        <w:t>global value chain (GVC</w:t>
      </w:r>
      <w:r w:rsidRPr="00B50EAB">
        <w:rPr>
          <w:rStyle w:val="StyleUnderline"/>
        </w:rPr>
        <w:t>) that drives economies around the world. The smartphone you use many times daily is a product of a global value chain, designed by a company in one country, manufactured by another firm elsewhere, and distributed by dealers everywhere—all underwritten by global cash flows.</w:t>
      </w:r>
      <w:r w:rsidRPr="00FF32AE">
        <w:rPr>
          <w:rFonts w:ascii="XCharter Roman" w:hAnsi="XCharter Roman"/>
          <w:sz w:val="14"/>
        </w:rPr>
        <w:t xml:space="preserve"> Often these networks are established without much redundancy planning or other risk-mitigation factors to counter extraordinary shocks, like this one. In a new paper, Laura Alfaro and Ester Faia explore the unraveling of GVCs and related disruptions to money flows caused by the coronavirus. Their paper is titled Pandemics Fragilities: The Double-Coincidence of a Halt in Hyper-specialized GVC and the Big-Dollar-Hunger (pdf). Alfaro is the Warren Alpert Professor of Business Administration at Harvard Business School and a Faculty Research Associate at the National Bureau of Economic Research. Faia is a professor at Goethe University Frankfurt and a Research Fellow at the Center for Economic and At Harvard Due To Immigration Rules Sean Silverthorne: What has been the impact of the pandemic so far on the global value chain, and what more might we expect? Laura Alfaro and Ester Faia: In 2012, a survey by the World Economic Forum and [the consulting firm] Accenture, devoted to assess the risk of a disruption in the global supply chain, had included a “pandemic" among the 18 categories of risk considered plausible. </w:t>
      </w:r>
      <w:r w:rsidRPr="00B50EAB">
        <w:rPr>
          <w:rStyle w:val="StyleUnderline"/>
        </w:rPr>
        <w:t xml:space="preserve">It assigned a probability of 11 percent to such a pandemic (against, for instance, a 19 percent assigned to global energy shortage or a 17 percent assigned to shortage of labor), making it not really that rare an event. And here we are with a pandemic. The prevailing economic paradigm behind global value chains, generally a production network, suggests that </w:t>
      </w:r>
      <w:r w:rsidRPr="00B50EAB">
        <w:rPr>
          <w:rStyle w:val="Emphasis"/>
        </w:rPr>
        <w:t>firms should outsource</w:t>
      </w:r>
      <w:r w:rsidRPr="00B50EAB">
        <w:rPr>
          <w:rStyle w:val="StyleUnderline"/>
        </w:rPr>
        <w:t xml:space="preserve"> to the countries with the lowest overall costs.</w:t>
      </w:r>
      <w:r w:rsidRPr="00FF32AE">
        <w:rPr>
          <w:rFonts w:ascii="XCharter Roman" w:hAnsi="XCharter Roman"/>
          <w:sz w:val="14"/>
        </w:rPr>
        <w:t xml:space="preserve"> (Firms could potentially source particular intermediate inputs from only one country.) Outsourcing, the fragmentation of production and lengthening of value chains, has allowed for a finer division of labor and greater gains from specialization—hyper-specialization—across countries. </w:t>
      </w:r>
      <w:r w:rsidRPr="00B50EAB">
        <w:rPr>
          <w:rStyle w:val="StyleUnderline"/>
        </w:rPr>
        <w:t xml:space="preserve">Just-in-time management practices also dictate holding minimal inventories to improve profits. These outcomes are efficient assuming sourcing from a particular country </w:t>
      </w:r>
      <w:r w:rsidRPr="00B50EAB">
        <w:rPr>
          <w:rStyle w:val="Emphasis"/>
        </w:rPr>
        <w:t>involves zero risk</w:t>
      </w:r>
      <w:r w:rsidRPr="00B50EAB">
        <w:rPr>
          <w:rStyle w:val="StyleUnderline"/>
        </w:rPr>
        <w:t xml:space="preserve">. There is, however, a growing list of events that are overlooked by </w:t>
      </w:r>
      <w:r w:rsidRPr="00B50EAB">
        <w:rPr>
          <w:rStyle w:val="Emphasis"/>
        </w:rPr>
        <w:t>risk managers</w:t>
      </w:r>
      <w:r w:rsidRPr="00B50EAB">
        <w:rPr>
          <w:rStyle w:val="StyleUnderline"/>
        </w:rPr>
        <w:t xml:space="preserve">, ranging from </w:t>
      </w:r>
      <w:r w:rsidRPr="00B50EAB">
        <w:rPr>
          <w:rStyle w:val="Emphasis"/>
        </w:rPr>
        <w:t>natural disasters</w:t>
      </w:r>
      <w:r w:rsidRPr="00B50EAB">
        <w:rPr>
          <w:rStyle w:val="StyleUnderline"/>
        </w:rPr>
        <w:t xml:space="preserve">, to </w:t>
      </w:r>
      <w:r w:rsidRPr="00B50EAB">
        <w:rPr>
          <w:rStyle w:val="Emphasis"/>
        </w:rPr>
        <w:t>geopolitical</w:t>
      </w:r>
      <w:r w:rsidRPr="00B50EAB">
        <w:rPr>
          <w:rStyle w:val="StyleUnderline"/>
        </w:rPr>
        <w:t xml:space="preserve">, </w:t>
      </w:r>
      <w:r w:rsidRPr="00B50EAB">
        <w:rPr>
          <w:rStyle w:val="Emphasis"/>
        </w:rPr>
        <w:t>technological</w:t>
      </w:r>
      <w:r w:rsidRPr="00B50EAB">
        <w:rPr>
          <w:rStyle w:val="StyleUnderline"/>
        </w:rPr>
        <w:t xml:space="preserve">, </w:t>
      </w:r>
      <w:r w:rsidRPr="00B50EAB">
        <w:rPr>
          <w:rStyle w:val="Emphasis"/>
        </w:rPr>
        <w:t>contractual</w:t>
      </w:r>
      <w:r w:rsidRPr="00B50EAB">
        <w:rPr>
          <w:rStyle w:val="StyleUnderline"/>
        </w:rPr>
        <w:t xml:space="preserve">, or </w:t>
      </w:r>
      <w:r w:rsidRPr="00B50EAB">
        <w:rPr>
          <w:rStyle w:val="Emphasis"/>
        </w:rPr>
        <w:t>demand factors</w:t>
      </w:r>
      <w:r w:rsidRPr="00B50EAB">
        <w:rPr>
          <w:rStyle w:val="StyleUnderline"/>
        </w:rPr>
        <w:t xml:space="preserve">. A first warning emerging from the unprecedented economic shock caused by the pandemic is that a specialized global value chain </w:t>
      </w:r>
      <w:r w:rsidRPr="00B50EAB">
        <w:rPr>
          <w:rStyle w:val="Emphasis"/>
        </w:rPr>
        <w:t>GVC represents a "trade fragility</w:t>
      </w:r>
      <w:r w:rsidRPr="00B50EAB">
        <w:rPr>
          <w:rStyle w:val="StyleUnderline"/>
        </w:rPr>
        <w:t xml:space="preserve">" and that the paradigm behind the </w:t>
      </w:r>
      <w:r w:rsidRPr="00B50EAB">
        <w:rPr>
          <w:rStyle w:val="Emphasis"/>
        </w:rPr>
        <w:t>GVC needs to be re-assessed</w:t>
      </w:r>
      <w:r w:rsidRPr="00FF32AE">
        <w:rPr>
          <w:rFonts w:ascii="XCharter Roman" w:hAnsi="XCharter Roman"/>
          <w:sz w:val="14"/>
        </w:rPr>
        <w:t xml:space="preserve">. </w:t>
      </w:r>
      <w:r w:rsidRPr="00B50EAB">
        <w:rPr>
          <w:rStyle w:val="StyleUnderline"/>
        </w:rPr>
        <w:t xml:space="preserve">Production networks shall become more diversified, rather than clustered. Also, the network should rely on trusted nodes. Third, there </w:t>
      </w:r>
      <w:r w:rsidRPr="00B50EAB">
        <w:rPr>
          <w:rStyle w:val="Emphasis"/>
        </w:rPr>
        <w:t>should be higher transparency</w:t>
      </w:r>
      <w:r w:rsidRPr="00B50EAB">
        <w:rPr>
          <w:rStyle w:val="StyleUnderline"/>
        </w:rPr>
        <w:t xml:space="preserve"> through data sharing in order to better track the chain of subcontractors</w:t>
      </w:r>
      <w:r w:rsidRPr="00FF32AE">
        <w:rPr>
          <w:rFonts w:ascii="XCharter Roman" w:hAnsi="XCharter Roman"/>
          <w:sz w:val="14"/>
        </w:rPr>
        <w:t xml:space="preserve">. Question: How has the coronavirus affected financial flows? Answer: </w:t>
      </w:r>
      <w:r w:rsidRPr="00B50EAB">
        <w:rPr>
          <w:rStyle w:val="StyleUnderline"/>
        </w:rPr>
        <w:t xml:space="preserve">The </w:t>
      </w:r>
      <w:r w:rsidRPr="00B50EAB">
        <w:rPr>
          <w:rStyle w:val="Emphasis"/>
        </w:rPr>
        <w:t>halt of the GVC</w:t>
      </w:r>
      <w:r w:rsidRPr="00B50EAB">
        <w:rPr>
          <w:rStyle w:val="StyleUnderline"/>
        </w:rPr>
        <w:t xml:space="preserve"> resulted in </w:t>
      </w:r>
      <w:r w:rsidRPr="00B50EAB">
        <w:rPr>
          <w:rStyle w:val="Emphasis"/>
        </w:rPr>
        <w:t>unintended consequences</w:t>
      </w:r>
      <w:r w:rsidRPr="00B50EAB">
        <w:rPr>
          <w:rStyle w:val="StyleUnderline"/>
        </w:rPr>
        <w:t xml:space="preserve"> and fragilities on the monetary side. The appetite for dollar, which is already high after crises, is growing these days at unprecedented levels. During sustained </w:t>
      </w:r>
      <w:r w:rsidRPr="00B50EAB">
        <w:rPr>
          <w:rStyle w:val="Emphasis"/>
        </w:rPr>
        <w:t>interruptions of the GVC</w:t>
      </w:r>
      <w:r w:rsidRPr="00B50EAB">
        <w:rPr>
          <w:rStyle w:val="StyleUnderline"/>
        </w:rPr>
        <w:t>, like after the outbreak of the COVID-19 in China, many firms servicing the network stopped receiving payments in dollars (or perceived that payments would be interrupted).</w:t>
      </w:r>
      <w:r w:rsidRPr="00FF32AE">
        <w:rPr>
          <w:rFonts w:ascii="XCharter Roman" w:hAnsi="XCharter Roman"/>
          <w:sz w:val="14"/>
        </w:rPr>
        <w:t xml:space="preserve"> Firms operating in the commodity markets also saw their revenues shrinking, and struggled to meet obligations in (dollar) debt. As a result, most of them turn to banks to obtain loans. The banks then turn to their central banks to obtain dollar funding. To satisfy this big demand the Federal Reserve on March 19 announced establishment of temporary US dollar swap lines with an expanded list of central banks, including a handful of economies (EMEs), Australia, Brazil, Denmark, Korea, México, Norway, New Zealand, Singapore, and Sweden. Many of the countries newly admitted in the swap line are pivotal in the global supply chain, either for Advanced Manufacturing and Services (South Korea, Brazil, Mexico) or for Innovative Manufacturing Activities, according to data from WEF in 2012. Other countries contribute commodities. Question: For the general business practitioner, what are the major takeaways from your observations? How will their businesses be affected, and are there things they should be doing now to prepare or react? Answer: </w:t>
      </w:r>
      <w:r w:rsidRPr="00EE620A">
        <w:rPr>
          <w:rStyle w:val="StyleUnderline"/>
        </w:rPr>
        <w:t xml:space="preserve">The pandemic has made more evident trade fragilities and the potential exacerbation of </w:t>
      </w:r>
      <w:r w:rsidRPr="00EE620A">
        <w:rPr>
          <w:rStyle w:val="Emphasis"/>
        </w:rPr>
        <w:t>monetary fragilities</w:t>
      </w:r>
      <w:r w:rsidRPr="00EE620A">
        <w:rPr>
          <w:rStyle w:val="StyleUnderline"/>
        </w:rPr>
        <w:t xml:space="preserve">. The occurrence of a number of events that were considered rare is growing. This implies that business managers, particularly those of companies operating in the GVC, shall now </w:t>
      </w:r>
      <w:r w:rsidRPr="00EE620A">
        <w:rPr>
          <w:rStyle w:val="Emphasis"/>
        </w:rPr>
        <w:t>devote more efforts</w:t>
      </w:r>
      <w:r w:rsidRPr="00EE620A">
        <w:rPr>
          <w:rStyle w:val="StyleUnderline"/>
        </w:rPr>
        <w:t xml:space="preserve"> and resources </w:t>
      </w:r>
      <w:r w:rsidRPr="00EE620A">
        <w:rPr>
          <w:rStyle w:val="Emphasis"/>
        </w:rPr>
        <w:t>to risk management</w:t>
      </w:r>
      <w:r w:rsidRPr="00EE620A">
        <w:rPr>
          <w:rStyle w:val="StyleUnderline"/>
        </w:rPr>
        <w:t xml:space="preserve"> practices and inventory management</w:t>
      </w:r>
      <w:r w:rsidRPr="00FF32AE">
        <w:rPr>
          <w:rFonts w:ascii="XCharter Roman" w:hAnsi="XCharter Roman"/>
          <w:sz w:val="14"/>
        </w:rPr>
        <w:t xml:space="preserve">. </w:t>
      </w:r>
    </w:p>
    <w:p w14:paraId="6B5B16EA" w14:textId="77777777" w:rsidR="00B87E81" w:rsidRPr="0041399D" w:rsidRDefault="00B87E81" w:rsidP="00B87E81"/>
    <w:p w14:paraId="06910303" w14:textId="0E3A5147" w:rsidR="00B87E81" w:rsidRPr="0041399D" w:rsidRDefault="00B87E81" w:rsidP="00B87E81">
      <w:pPr>
        <w:pStyle w:val="Heading2"/>
      </w:pPr>
      <w:r w:rsidRPr="0041399D">
        <w:lastRenderedPageBreak/>
        <w:t>Court Clog Advantage</w:t>
      </w:r>
    </w:p>
    <w:p w14:paraId="6E4CD56D" w14:textId="1B70525E" w:rsidR="0041399D" w:rsidRPr="0041399D" w:rsidRDefault="0041399D" w:rsidP="0041399D">
      <w:pPr>
        <w:pStyle w:val="Heading3"/>
      </w:pPr>
      <w:r w:rsidRPr="0041399D">
        <w:lastRenderedPageBreak/>
        <w:t>1NC Alt Causes</w:t>
      </w:r>
    </w:p>
    <w:p w14:paraId="360538EC" w14:textId="77777777" w:rsidR="0041399D" w:rsidRPr="0041399D" w:rsidRDefault="0041399D" w:rsidP="0041399D">
      <w:pPr>
        <w:pStyle w:val="Heading4"/>
      </w:pPr>
      <w:r w:rsidRPr="0041399D">
        <w:t xml:space="preserve">COVID is increasing the backlog now – takes decades to clear </w:t>
      </w:r>
    </w:p>
    <w:p w14:paraId="01657E45" w14:textId="77777777" w:rsidR="0041399D" w:rsidRPr="0041399D" w:rsidRDefault="0041399D" w:rsidP="0041399D">
      <w:pPr>
        <w:rPr>
          <w:rFonts w:cstheme="majorHAnsi"/>
          <w:sz w:val="26"/>
          <w:szCs w:val="26"/>
        </w:rPr>
      </w:pPr>
      <w:r w:rsidRPr="0041399D">
        <w:rPr>
          <w:rStyle w:val="Style13ptBold"/>
          <w:rFonts w:cstheme="majorHAnsi"/>
          <w:szCs w:val="26"/>
        </w:rPr>
        <w:t>Bowcott 6-30</w:t>
      </w:r>
      <w:r w:rsidRPr="0041399D">
        <w:rPr>
          <w:rFonts w:cstheme="majorHAnsi"/>
          <w:sz w:val="26"/>
          <w:szCs w:val="26"/>
        </w:rPr>
        <w:t>(</w:t>
      </w:r>
      <w:r w:rsidRPr="0041399D">
        <w:rPr>
          <w:rFonts w:cstheme="majorHAnsi"/>
          <w:sz w:val="24"/>
        </w:rPr>
        <w:t>owen -- Legal affair correspondent published:6-30-2020 wall-e DOA:7-13-2020 "Criminal cases backlog could take a decade to clear, watchdog warns," Guardian, https://www.theguardian.com/law/2020/jun/30/criminal-cases-backlog-could-take-a-decade-to-clear-watchdog-warns</w:t>
      </w:r>
    </w:p>
    <w:p w14:paraId="2DA9C9F3" w14:textId="77777777" w:rsidR="0041399D" w:rsidRPr="0041399D" w:rsidRDefault="0041399D" w:rsidP="0041399D">
      <w:pPr>
        <w:rPr>
          <w:rFonts w:cstheme="majorHAnsi"/>
          <w:sz w:val="26"/>
          <w:szCs w:val="26"/>
          <w:u w:val="single"/>
        </w:rPr>
      </w:pPr>
      <w:r w:rsidRPr="0041399D">
        <w:rPr>
          <w:rFonts w:cstheme="majorHAnsi"/>
          <w:sz w:val="26"/>
          <w:szCs w:val="26"/>
          <w:u w:val="single"/>
        </w:rPr>
        <w:t>The backlog of untried cases in the criminal justice system – which has ballooned during lockdown – could take a decade to clear, an official watchdog has warned. The</w:t>
      </w:r>
      <w:r w:rsidRPr="0041399D">
        <w:rPr>
          <w:rFonts w:cstheme="majorHAnsi"/>
          <w:sz w:val="16"/>
          <w:szCs w:val="26"/>
        </w:rPr>
        <w:t xml:space="preserve"> inspectorate that monitors the Crown Prosecution Service cautions that </w:t>
      </w:r>
      <w:r w:rsidRPr="0041399D">
        <w:rPr>
          <w:rFonts w:cstheme="majorHAnsi"/>
          <w:sz w:val="26"/>
          <w:szCs w:val="26"/>
          <w:u w:val="single"/>
        </w:rPr>
        <w:t>delays are likely to be “highly detrimental to justice</w:t>
      </w:r>
      <w:r w:rsidRPr="0041399D">
        <w:rPr>
          <w:rFonts w:cstheme="majorHAnsi"/>
          <w:sz w:val="16"/>
          <w:szCs w:val="26"/>
        </w:rPr>
        <w:t xml:space="preserve">”, will require “radical solutions” and that the problem could prove to be “more complex than dealing with the immediate crisis”. The report is published as the justice secretary, </w:t>
      </w:r>
      <w:r w:rsidRPr="0041399D">
        <w:rPr>
          <w:rFonts w:cstheme="majorHAnsi"/>
          <w:sz w:val="26"/>
          <w:szCs w:val="26"/>
          <w:u w:val="single"/>
        </w:rPr>
        <w:t xml:space="preserve">Robert Buckland, is preparing emergency legislation for some trials to be conducted temporarily without juries to get around problems of social distancing in courtrooms. </w:t>
      </w:r>
      <w:r w:rsidRPr="0041399D">
        <w:rPr>
          <w:rFonts w:cstheme="majorHAnsi"/>
          <w:sz w:val="16"/>
          <w:szCs w:val="26"/>
        </w:rPr>
        <w:t xml:space="preserve">His proposals have provoked strong opposition in defence of the traditional jury system among criminal barristers in England and Wales who would prefer larger, alternative venues to be hired as emergency “Nightingale courts” where jurors can be more easily accommodated. Kevin McGinty, chief inspector of HM Crown Prosecution Service, says in the report: </w:t>
      </w:r>
      <w:r w:rsidRPr="0041399D">
        <w:rPr>
          <w:rFonts w:cstheme="majorHAnsi"/>
          <w:sz w:val="26"/>
          <w:szCs w:val="26"/>
          <w:u w:val="single"/>
        </w:rPr>
        <w:t xml:space="preserve">“The backlog of cases in the system is increasing daily. Cases that do come to court are taking hours or days longer than they would under normal circumstances. The challenges of social distancing and protecting those in the court environment cannot be underestimated. </w:t>
      </w:r>
      <w:r w:rsidRPr="0041399D">
        <w:rPr>
          <w:rFonts w:cstheme="majorHAnsi"/>
          <w:sz w:val="16"/>
          <w:szCs w:val="26"/>
        </w:rPr>
        <w:t xml:space="preserve">“Court sittings and courtroom capacity with social distancing requirements will not allow for reduction of the existing backlog. Some estimates show that </w:t>
      </w:r>
      <w:r w:rsidRPr="0041399D">
        <w:rPr>
          <w:rFonts w:cstheme="majorHAnsi"/>
          <w:sz w:val="26"/>
          <w:szCs w:val="26"/>
          <w:u w:val="single"/>
        </w:rPr>
        <w:t xml:space="preserve">the current scale of increase in the backlog would take 10 years to clear at </w:t>
      </w:r>
      <w:r w:rsidRPr="0041399D">
        <w:rPr>
          <w:rFonts w:cstheme="majorHAnsi"/>
          <w:b/>
          <w:bCs/>
          <w:sz w:val="26"/>
          <w:szCs w:val="26"/>
          <w:u w:val="single"/>
        </w:rPr>
        <w:t>pre-pandemic rates</w:t>
      </w:r>
      <w:r w:rsidRPr="0041399D">
        <w:rPr>
          <w:rFonts w:cstheme="majorHAnsi"/>
          <w:b/>
          <w:bCs/>
          <w:sz w:val="16"/>
          <w:szCs w:val="26"/>
        </w:rPr>
        <w:t>.</w:t>
      </w:r>
      <w:r w:rsidRPr="0041399D">
        <w:rPr>
          <w:rFonts w:cstheme="majorHAnsi"/>
          <w:sz w:val="16"/>
          <w:szCs w:val="26"/>
        </w:rPr>
        <w:t xml:space="preserve"> Any major increase in the time taken to hear cases is likely to be highly detrimental to justice.” The HM Crown Prosecution Service Inspectorate (HMCPSI) report praises the CPS response to the crisis, the support it gave to its staff and its innovations in establishing remote working for most of its staff virtually “overnight” once lockdown began. It notes that one CPS staff member died of Covid-19. It adds: “</w:t>
      </w:r>
      <w:r w:rsidRPr="0041399D">
        <w:rPr>
          <w:rFonts w:cstheme="majorHAnsi"/>
          <w:sz w:val="26"/>
          <w:szCs w:val="26"/>
          <w:u w:val="single"/>
        </w:rPr>
        <w:t>Virtual courts have become the norm nationally, despite many years of pilots and local attempts having fallen by the wayside as the commitment of partners waned.” However, trial backlogs in the magistrates’ courts increased by 41% between the beginning of March and the end of May; in the crown court, the estimated increase was 53%.</w:t>
      </w:r>
    </w:p>
    <w:p w14:paraId="3F14A0E3" w14:textId="7489AB45" w:rsidR="0041399D" w:rsidRPr="0041399D" w:rsidRDefault="0041399D" w:rsidP="0041399D">
      <w:pPr>
        <w:pStyle w:val="Heading3"/>
      </w:pPr>
      <w:r w:rsidRPr="0041399D">
        <w:lastRenderedPageBreak/>
        <w:t>2NC Alt Causes</w:t>
      </w:r>
    </w:p>
    <w:p w14:paraId="21A9C8A0" w14:textId="77777777" w:rsidR="0041399D" w:rsidRPr="0041399D" w:rsidRDefault="0041399D" w:rsidP="0041399D">
      <w:pPr>
        <w:pStyle w:val="Heading4"/>
      </w:pPr>
      <w:r w:rsidRPr="0041399D">
        <w:t xml:space="preserve">COVID thumps---specifically </w:t>
      </w:r>
      <w:r w:rsidRPr="0041399D">
        <w:rPr>
          <w:u w:val="single"/>
        </w:rPr>
        <w:t>criminal cases</w:t>
      </w:r>
      <w:r w:rsidRPr="0041399D">
        <w:t>.</w:t>
      </w:r>
    </w:p>
    <w:p w14:paraId="09826F74" w14:textId="77777777" w:rsidR="0041399D" w:rsidRPr="0041399D" w:rsidRDefault="0041399D" w:rsidP="0041399D">
      <w:r w:rsidRPr="0041399D">
        <w:rPr>
          <w:rStyle w:val="Style13ptBold"/>
        </w:rPr>
        <w:t xml:space="preserve">Toutant 6-29-20 </w:t>
      </w:r>
      <w:r w:rsidRPr="0041399D">
        <w:t xml:space="preserve">, Charles Toutant is a litigation writer for the New Jersey Law Journal 6-29-2020, "Backlogs More Than Double Pre-Coronavirus Level in New Jersey Trial Courts," New Jersey Law Journal, </w:t>
      </w:r>
      <w:hyperlink r:id="rId46" w:history="1">
        <w:r w:rsidRPr="0041399D">
          <w:rPr>
            <w:rStyle w:val="Hyperlink"/>
          </w:rPr>
          <w:t>https://www.law.com/njlawjournal/2020/06/29/backlogs-more-than-double-pre-coronavirus-level-in-new-jersey-trial-courts/</w:t>
        </w:r>
      </w:hyperlink>
      <w:r w:rsidRPr="0041399D">
        <w:t xml:space="preserve"> - BS</w:t>
      </w:r>
    </w:p>
    <w:p w14:paraId="6BFA79FF" w14:textId="77777777" w:rsidR="0041399D" w:rsidRPr="0041399D" w:rsidRDefault="0041399D" w:rsidP="0041399D">
      <w:pPr>
        <w:rPr>
          <w:sz w:val="14"/>
        </w:rPr>
      </w:pPr>
      <w:r w:rsidRPr="0041399D">
        <w:rPr>
          <w:rStyle w:val="StyleUnderline"/>
        </w:rPr>
        <w:t>Curtailed</w:t>
      </w:r>
      <w:r w:rsidRPr="0041399D">
        <w:rPr>
          <w:sz w:val="14"/>
        </w:rPr>
        <w:t xml:space="preserve"> </w:t>
      </w:r>
      <w:r w:rsidRPr="0041399D">
        <w:rPr>
          <w:rStyle w:val="Emphasis"/>
        </w:rPr>
        <w:t>court proceedings</w:t>
      </w:r>
      <w:r w:rsidRPr="0041399D">
        <w:rPr>
          <w:rStyle w:val="StyleUnderline"/>
        </w:rPr>
        <w:t xml:space="preserve"> since</w:t>
      </w:r>
      <w:r w:rsidRPr="0041399D">
        <w:rPr>
          <w:sz w:val="14"/>
        </w:rPr>
        <w:t xml:space="preserve"> the </w:t>
      </w:r>
      <w:r w:rsidRPr="0041399D">
        <w:rPr>
          <w:rStyle w:val="Emphasis"/>
        </w:rPr>
        <w:t>COVID-19</w:t>
      </w:r>
      <w:r w:rsidRPr="0041399D">
        <w:rPr>
          <w:sz w:val="14"/>
        </w:rPr>
        <w:t xml:space="preserve"> pandemic </w:t>
      </w:r>
      <w:r w:rsidRPr="0041399D">
        <w:rPr>
          <w:rStyle w:val="StyleUnderline"/>
        </w:rPr>
        <w:t xml:space="preserve">are translating to </w:t>
      </w:r>
      <w:r w:rsidRPr="0041399D">
        <w:rPr>
          <w:rStyle w:val="Emphasis"/>
        </w:rPr>
        <w:t>big growth</w:t>
      </w:r>
      <w:r w:rsidRPr="0041399D">
        <w:rPr>
          <w:sz w:val="14"/>
        </w:rPr>
        <w:t xml:space="preserve"> </w:t>
      </w:r>
      <w:r w:rsidRPr="0041399D">
        <w:rPr>
          <w:rStyle w:val="StyleUnderline"/>
        </w:rPr>
        <w:t>in</w:t>
      </w:r>
      <w:r w:rsidRPr="0041399D">
        <w:rPr>
          <w:sz w:val="14"/>
        </w:rPr>
        <w:t xml:space="preserve"> the </w:t>
      </w:r>
      <w:r w:rsidRPr="0041399D">
        <w:rPr>
          <w:rStyle w:val="StyleUnderline"/>
        </w:rPr>
        <w:t xml:space="preserve">volume of </w:t>
      </w:r>
      <w:r w:rsidRPr="0041399D">
        <w:rPr>
          <w:rStyle w:val="Emphasis"/>
        </w:rPr>
        <w:t>backlogged cases</w:t>
      </w:r>
      <w:r w:rsidRPr="0041399D">
        <w:rPr>
          <w:sz w:val="14"/>
        </w:rPr>
        <w:t xml:space="preserve"> </w:t>
      </w:r>
      <w:r w:rsidRPr="0041399D">
        <w:rPr>
          <w:rStyle w:val="StyleUnderline"/>
        </w:rPr>
        <w:t>in</w:t>
      </w:r>
      <w:r w:rsidRPr="0041399D">
        <w:rPr>
          <w:sz w:val="14"/>
        </w:rPr>
        <w:t xml:space="preserve"> </w:t>
      </w:r>
      <w:r w:rsidRPr="0041399D">
        <w:rPr>
          <w:rStyle w:val="StyleUnderline"/>
        </w:rPr>
        <w:t>New Jersey’s</w:t>
      </w:r>
      <w:r w:rsidRPr="0041399D">
        <w:rPr>
          <w:sz w:val="14"/>
        </w:rPr>
        <w:t xml:space="preserve"> trial </w:t>
      </w:r>
      <w:r w:rsidRPr="0041399D">
        <w:rPr>
          <w:rStyle w:val="StyleUnderline"/>
        </w:rPr>
        <w:t>courts</w:t>
      </w:r>
      <w:r w:rsidRPr="0041399D">
        <w:rPr>
          <w:sz w:val="14"/>
        </w:rPr>
        <w:t xml:space="preserve">. </w:t>
      </w:r>
      <w:r w:rsidRPr="0041399D">
        <w:rPr>
          <w:rStyle w:val="StyleUnderline"/>
        </w:rPr>
        <w:t>The number of</w:t>
      </w:r>
      <w:r w:rsidRPr="0041399D">
        <w:rPr>
          <w:sz w:val="14"/>
        </w:rPr>
        <w:t xml:space="preserve"> </w:t>
      </w:r>
      <w:r w:rsidRPr="0041399D">
        <w:rPr>
          <w:rStyle w:val="Emphasis"/>
        </w:rPr>
        <w:t>backlogged cases</w:t>
      </w:r>
      <w:r w:rsidRPr="0041399D">
        <w:rPr>
          <w:sz w:val="14"/>
        </w:rPr>
        <w:t xml:space="preserve"> statewide in May 2020 </w:t>
      </w:r>
      <w:r w:rsidRPr="0041399D">
        <w:rPr>
          <w:rStyle w:val="StyleUnderline"/>
        </w:rPr>
        <w:t xml:space="preserve">represents a </w:t>
      </w:r>
      <w:r w:rsidRPr="0041399D">
        <w:rPr>
          <w:rStyle w:val="Emphasis"/>
        </w:rPr>
        <w:t>153% increase</w:t>
      </w:r>
      <w:r w:rsidRPr="0041399D">
        <w:rPr>
          <w:sz w:val="14"/>
        </w:rPr>
        <w:t xml:space="preserve"> </w:t>
      </w:r>
      <w:r w:rsidRPr="0041399D">
        <w:rPr>
          <w:rStyle w:val="StyleUnderline"/>
        </w:rPr>
        <w:t>over</w:t>
      </w:r>
      <w:r w:rsidRPr="0041399D">
        <w:rPr>
          <w:sz w:val="14"/>
        </w:rPr>
        <w:t xml:space="preserve"> </w:t>
      </w:r>
      <w:r w:rsidRPr="0041399D">
        <w:rPr>
          <w:rStyle w:val="StyleUnderline"/>
        </w:rPr>
        <w:t>May 2019</w:t>
      </w:r>
      <w:r w:rsidRPr="0041399D">
        <w:rPr>
          <w:sz w:val="14"/>
        </w:rPr>
        <w:t xml:space="preserve">, according to data provided by the Administrative Office of the Courts. </w:t>
      </w:r>
      <w:r w:rsidRPr="0041399D">
        <w:rPr>
          <w:rStyle w:val="StyleUnderline"/>
        </w:rPr>
        <w:t>The courts counted</w:t>
      </w:r>
      <w:r w:rsidRPr="0041399D">
        <w:rPr>
          <w:sz w:val="14"/>
        </w:rPr>
        <w:t xml:space="preserve"> </w:t>
      </w:r>
      <w:r w:rsidRPr="0041399D">
        <w:rPr>
          <w:rStyle w:val="Emphasis"/>
        </w:rPr>
        <w:t>19,791</w:t>
      </w:r>
      <w:r w:rsidRPr="0041399D">
        <w:rPr>
          <w:sz w:val="14"/>
        </w:rPr>
        <w:t xml:space="preserve"> </w:t>
      </w:r>
      <w:r w:rsidRPr="0041399D">
        <w:rPr>
          <w:rStyle w:val="StyleUnderline"/>
        </w:rPr>
        <w:t xml:space="preserve">backlogged </w:t>
      </w:r>
      <w:r w:rsidRPr="0041399D">
        <w:rPr>
          <w:rStyle w:val="Emphasis"/>
        </w:rPr>
        <w:t>cases</w:t>
      </w:r>
      <w:r w:rsidRPr="0041399D">
        <w:rPr>
          <w:sz w:val="14"/>
        </w:rPr>
        <w:t xml:space="preserve"> systemwide in May 2019 </w:t>
      </w:r>
      <w:r w:rsidRPr="0041399D">
        <w:rPr>
          <w:rStyle w:val="StyleUnderline"/>
        </w:rPr>
        <w:t xml:space="preserve">and </w:t>
      </w:r>
      <w:r w:rsidRPr="0041399D">
        <w:rPr>
          <w:rStyle w:val="Emphasis"/>
        </w:rPr>
        <w:t>50,185</w:t>
      </w:r>
      <w:r w:rsidRPr="0041399D">
        <w:rPr>
          <w:rStyle w:val="StyleUnderline"/>
        </w:rPr>
        <w:t xml:space="preserve"> this</w:t>
      </w:r>
      <w:r w:rsidRPr="0041399D">
        <w:rPr>
          <w:sz w:val="14"/>
        </w:rPr>
        <w:t xml:space="preserve"> </w:t>
      </w:r>
      <w:r w:rsidRPr="0041399D">
        <w:rPr>
          <w:rStyle w:val="Emphasis"/>
        </w:rPr>
        <w:t>May</w:t>
      </w:r>
      <w:r w:rsidRPr="0041399D">
        <w:rPr>
          <w:sz w:val="14"/>
        </w:rPr>
        <w:t xml:space="preserve">. (Those numbers exclude pre-indictment criminal cases, and cases in the multicounty litigation program for mass torts.) </w:t>
      </w:r>
      <w:r w:rsidRPr="0041399D">
        <w:rPr>
          <w:rStyle w:val="StyleUnderline"/>
        </w:rPr>
        <w:t>Case backlogs are growing</w:t>
      </w:r>
      <w:r w:rsidRPr="0041399D">
        <w:rPr>
          <w:sz w:val="14"/>
        </w:rPr>
        <w:t xml:space="preserve"> </w:t>
      </w:r>
      <w:r w:rsidRPr="0041399D">
        <w:rPr>
          <w:rStyle w:val="Emphasis"/>
        </w:rPr>
        <w:t>fastest</w:t>
      </w:r>
      <w:r w:rsidRPr="0041399D">
        <w:rPr>
          <w:sz w:val="14"/>
        </w:rPr>
        <w:t xml:space="preserve"> in the Family Part and Special Civil Part, </w:t>
      </w:r>
      <w:r w:rsidRPr="0041399D">
        <w:rPr>
          <w:rStyle w:val="StyleUnderline"/>
        </w:rPr>
        <w:t>while backlogs</w:t>
      </w:r>
      <w:r w:rsidRPr="0041399D">
        <w:rPr>
          <w:sz w:val="14"/>
        </w:rPr>
        <w:t xml:space="preserve"> </w:t>
      </w:r>
      <w:r w:rsidRPr="0041399D">
        <w:rPr>
          <w:rStyle w:val="StyleUnderline"/>
        </w:rPr>
        <w:t>in the</w:t>
      </w:r>
      <w:r w:rsidRPr="0041399D">
        <w:rPr>
          <w:sz w:val="14"/>
        </w:rPr>
        <w:t xml:space="preserve"> Civil Part and the </w:t>
      </w:r>
      <w:r w:rsidRPr="0041399D">
        <w:rPr>
          <w:rStyle w:val="Emphasis"/>
        </w:rPr>
        <w:t>Criminal</w:t>
      </w:r>
      <w:r w:rsidRPr="0041399D">
        <w:rPr>
          <w:sz w:val="14"/>
        </w:rPr>
        <w:t xml:space="preserve"> </w:t>
      </w:r>
      <w:r w:rsidRPr="0041399D">
        <w:rPr>
          <w:rStyle w:val="Emphasis"/>
        </w:rPr>
        <w:t>Part</w:t>
      </w:r>
      <w:r w:rsidRPr="0041399D">
        <w:rPr>
          <w:sz w:val="14"/>
        </w:rPr>
        <w:t xml:space="preserve"> </w:t>
      </w:r>
      <w:r w:rsidRPr="0041399D">
        <w:rPr>
          <w:rStyle w:val="StyleUnderline"/>
        </w:rPr>
        <w:t>have also been</w:t>
      </w:r>
      <w:r w:rsidRPr="0041399D">
        <w:rPr>
          <w:sz w:val="14"/>
        </w:rPr>
        <w:t xml:space="preserve"> </w:t>
      </w:r>
      <w:r w:rsidRPr="0041399D">
        <w:rPr>
          <w:rStyle w:val="Emphasis"/>
        </w:rPr>
        <w:t>on the rise</w:t>
      </w:r>
      <w:r w:rsidRPr="0041399D">
        <w:rPr>
          <w:sz w:val="14"/>
        </w:rPr>
        <w:t xml:space="preserve">, albeit at a less dramatic rate, according to the AOC’s data. Meanwhile, backlogged cases in the General Equity Part and multicounty litigation have declined since the pandemic started, the data shows. In the Family Part, the backlog in nondissolution cases grew by 531%, from 502 cases in May 2019 to 3,170 this May, and backlogged domestic violence cases statewide increased from 231 in May 2019 to 1,370 in May 2020. </w:t>
      </w:r>
      <w:r w:rsidRPr="0041399D">
        <w:rPr>
          <w:rStyle w:val="StyleUnderline"/>
        </w:rPr>
        <w:t xml:space="preserve">Backlogs in the </w:t>
      </w:r>
      <w:r w:rsidRPr="0041399D">
        <w:rPr>
          <w:rStyle w:val="Emphasis"/>
        </w:rPr>
        <w:t>resolution</w:t>
      </w:r>
      <w:r w:rsidRPr="0041399D">
        <w:rPr>
          <w:sz w:val="14"/>
        </w:rPr>
        <w:t xml:space="preserve"> </w:t>
      </w:r>
      <w:r w:rsidRPr="0041399D">
        <w:rPr>
          <w:rStyle w:val="StyleUnderline"/>
        </w:rPr>
        <w:t>of</w:t>
      </w:r>
      <w:r w:rsidRPr="0041399D">
        <w:rPr>
          <w:sz w:val="14"/>
        </w:rPr>
        <w:t xml:space="preserve"> dissolution </w:t>
      </w:r>
      <w:r w:rsidRPr="0041399D">
        <w:rPr>
          <w:rStyle w:val="StyleUnderline"/>
        </w:rPr>
        <w:t>cases</w:t>
      </w:r>
      <w:r w:rsidRPr="0041399D">
        <w:rPr>
          <w:sz w:val="14"/>
        </w:rPr>
        <w:t>—those concerning disputes among married couples—</w:t>
      </w:r>
      <w:r w:rsidRPr="0041399D">
        <w:rPr>
          <w:rStyle w:val="StyleUnderline"/>
        </w:rPr>
        <w:t>grew 70%,</w:t>
      </w:r>
      <w:r w:rsidRPr="0041399D">
        <w:rPr>
          <w:sz w:val="14"/>
        </w:rPr>
        <w:t xml:space="preserve"> from 1,185 cases in May 2019 to 2,016 this May. Among </w:t>
      </w:r>
      <w:r w:rsidRPr="0041399D">
        <w:rPr>
          <w:rStyle w:val="StyleUnderline"/>
        </w:rPr>
        <w:t>juvenile</w:t>
      </w:r>
      <w:r w:rsidRPr="0041399D">
        <w:rPr>
          <w:sz w:val="14"/>
        </w:rPr>
        <w:t xml:space="preserve"> delinquency </w:t>
      </w:r>
      <w:r w:rsidRPr="0041399D">
        <w:rPr>
          <w:rStyle w:val="StyleUnderline"/>
        </w:rPr>
        <w:t>cases</w:t>
      </w:r>
      <w:r w:rsidRPr="0041399D">
        <w:rPr>
          <w:sz w:val="14"/>
        </w:rPr>
        <w:t xml:space="preserve">, the statewide backlog </w:t>
      </w:r>
      <w:r w:rsidRPr="0041399D">
        <w:rPr>
          <w:rStyle w:val="StyleUnderline"/>
        </w:rPr>
        <w:t>rose</w:t>
      </w:r>
      <w:r w:rsidRPr="0041399D">
        <w:rPr>
          <w:sz w:val="14"/>
        </w:rPr>
        <w:t xml:space="preserve"> </w:t>
      </w:r>
      <w:r w:rsidRPr="0041399D">
        <w:rPr>
          <w:rStyle w:val="Emphasis"/>
        </w:rPr>
        <w:t>395%,</w:t>
      </w:r>
      <w:r w:rsidRPr="0041399D">
        <w:rPr>
          <w:sz w:val="14"/>
        </w:rPr>
        <w:t xml:space="preserve"> from 293 cases in May 2019 to 1,453 this May. In the Special Civil Part, the overall number of backlogged cases rose 5,662%—from 316 in May 2019 to 18,210 this May. </w:t>
      </w:r>
      <w:r w:rsidRPr="0041399D">
        <w:rPr>
          <w:rStyle w:val="StyleUnderline"/>
        </w:rPr>
        <w:t xml:space="preserve">The fastest-growing </w:t>
      </w:r>
      <w:r w:rsidRPr="0041399D">
        <w:rPr>
          <w:rStyle w:val="Emphasis"/>
        </w:rPr>
        <w:t>backlog</w:t>
      </w:r>
      <w:r w:rsidRPr="0041399D">
        <w:rPr>
          <w:sz w:val="14"/>
        </w:rPr>
        <w:t xml:space="preserve"> in that part </w:t>
      </w:r>
      <w:r w:rsidRPr="0041399D">
        <w:rPr>
          <w:rStyle w:val="StyleUnderline"/>
        </w:rPr>
        <w:t xml:space="preserve">comes in </w:t>
      </w:r>
      <w:r w:rsidRPr="0041399D">
        <w:rPr>
          <w:rStyle w:val="Emphasis"/>
        </w:rPr>
        <w:t>landlord</w:t>
      </w:r>
      <w:r w:rsidRPr="0041399D">
        <w:rPr>
          <w:rStyle w:val="StyleUnderline"/>
        </w:rPr>
        <w:t>-tenant</w:t>
      </w:r>
      <w:r w:rsidRPr="0041399D">
        <w:rPr>
          <w:sz w:val="14"/>
        </w:rPr>
        <w:t xml:space="preserve"> </w:t>
      </w:r>
      <w:r w:rsidRPr="0041399D">
        <w:rPr>
          <w:rStyle w:val="Emphasis"/>
        </w:rPr>
        <w:t>cases</w:t>
      </w:r>
      <w:r w:rsidRPr="0041399D">
        <w:rPr>
          <w:sz w:val="14"/>
        </w:rPr>
        <w:t xml:space="preserve">. </w:t>
      </w:r>
      <w:r w:rsidRPr="0041399D">
        <w:rPr>
          <w:rStyle w:val="StyleUnderline"/>
        </w:rPr>
        <w:t>There</w:t>
      </w:r>
      <w:r w:rsidRPr="0041399D">
        <w:rPr>
          <w:sz w:val="14"/>
        </w:rPr>
        <w:t xml:space="preserve">, </w:t>
      </w:r>
      <w:r w:rsidRPr="0041399D">
        <w:rPr>
          <w:rStyle w:val="StyleUnderline"/>
        </w:rPr>
        <w:t xml:space="preserve">the number of </w:t>
      </w:r>
      <w:r w:rsidRPr="0041399D">
        <w:rPr>
          <w:rStyle w:val="Emphasis"/>
        </w:rPr>
        <w:t>backlogged cases</w:t>
      </w:r>
      <w:r w:rsidRPr="0041399D">
        <w:rPr>
          <w:sz w:val="14"/>
        </w:rPr>
        <w:t xml:space="preserve"> statewide </w:t>
      </w:r>
      <w:r w:rsidRPr="0041399D">
        <w:rPr>
          <w:rStyle w:val="StyleUnderline"/>
        </w:rPr>
        <w:t>grew</w:t>
      </w:r>
      <w:r w:rsidRPr="0041399D">
        <w:rPr>
          <w:sz w:val="14"/>
        </w:rPr>
        <w:t xml:space="preserve"> from 38 in May 2019 </w:t>
      </w:r>
      <w:r w:rsidRPr="0041399D">
        <w:rPr>
          <w:rStyle w:val="Emphasis"/>
        </w:rPr>
        <w:t>to 14,085</w:t>
      </w:r>
      <w:r w:rsidRPr="0041399D">
        <w:rPr>
          <w:sz w:val="14"/>
        </w:rPr>
        <w:t xml:space="preserve"> </w:t>
      </w:r>
      <w:r w:rsidRPr="0041399D">
        <w:rPr>
          <w:rStyle w:val="StyleUnderline"/>
        </w:rPr>
        <w:t>this</w:t>
      </w:r>
      <w:r w:rsidRPr="0041399D">
        <w:rPr>
          <w:sz w:val="14"/>
        </w:rPr>
        <w:t xml:space="preserve"> </w:t>
      </w:r>
      <w:r w:rsidRPr="0041399D">
        <w:rPr>
          <w:rStyle w:val="StyleUnderline"/>
        </w:rPr>
        <w:t>May,</w:t>
      </w:r>
      <w:r w:rsidRPr="0041399D">
        <w:rPr>
          <w:sz w:val="14"/>
        </w:rPr>
        <w:t xml:space="preserve"> </w:t>
      </w:r>
      <w:r w:rsidRPr="0041399D">
        <w:rPr>
          <w:rStyle w:val="StyleUnderline"/>
        </w:rPr>
        <w:t>for an increase of</w:t>
      </w:r>
      <w:r w:rsidRPr="0041399D">
        <w:rPr>
          <w:sz w:val="14"/>
        </w:rPr>
        <w:t xml:space="preserve"> more than </w:t>
      </w:r>
      <w:r w:rsidRPr="0041399D">
        <w:rPr>
          <w:rStyle w:val="Emphasis"/>
        </w:rPr>
        <w:t>36,000</w:t>
      </w:r>
      <w:r w:rsidRPr="0041399D">
        <w:rPr>
          <w:sz w:val="14"/>
        </w:rPr>
        <w:t>%. In March, Gov. Phil Murphy issued Executive Order 106, suspending actual evictions statewide. But the Supreme Court has taken that order a step farther, suspending all eviction proceedings. According to COVID19.NJ.gov, the “eviction moratorium does not halt court proceedings; instead, it prevents lockouts and removals. The New Jersey Supreme Court controls court proceedings related to eviction and has suspended all eviction proceedings for now.” Joseph Threston, a Riverton solo practitioner who handles landlord-tenant cases, said the halt to court proceedings has been difficult for litigants, attorneys and court staff. Courts are accepting newly filed eviction complaints, but are not holding any other proceedings, Threston said. He said court officials in his home county of Burlington held a landlord-tenant law teleconference recently in which attorneys were urged to encourage parties to settle their cases. But getting parties to settle is not easy because of the moratorium on evictions, he said. “I anticipate at some point there’s going to be a logjam that breaks open, and I anticipate it’s going to be a very hectic time,” Threston said. “</w:t>
      </w:r>
      <w:r w:rsidRPr="0041399D">
        <w:rPr>
          <w:rStyle w:val="StyleUnderline"/>
        </w:rPr>
        <w:t xml:space="preserve">The </w:t>
      </w:r>
      <w:r w:rsidRPr="0041399D">
        <w:rPr>
          <w:rStyle w:val="Emphasis"/>
        </w:rPr>
        <w:t>longer it goes,</w:t>
      </w:r>
      <w:r w:rsidRPr="0041399D">
        <w:rPr>
          <w:sz w:val="14"/>
        </w:rPr>
        <w:t xml:space="preserve"> </w:t>
      </w:r>
      <w:r w:rsidRPr="0041399D">
        <w:rPr>
          <w:rStyle w:val="StyleUnderline"/>
        </w:rPr>
        <w:t>the more it is</w:t>
      </w:r>
      <w:r w:rsidRPr="0041399D">
        <w:rPr>
          <w:sz w:val="14"/>
        </w:rPr>
        <w:t xml:space="preserve"> </w:t>
      </w:r>
      <w:r w:rsidRPr="0041399D">
        <w:rPr>
          <w:rStyle w:val="StyleUnderline"/>
        </w:rPr>
        <w:t xml:space="preserve">a strain for </w:t>
      </w:r>
      <w:r w:rsidRPr="0041399D">
        <w:rPr>
          <w:rStyle w:val="Emphasis"/>
        </w:rPr>
        <w:t>everybody</w:t>
      </w:r>
      <w:r w:rsidRPr="0041399D">
        <w:rPr>
          <w:sz w:val="14"/>
        </w:rPr>
        <w:t xml:space="preserve">.” Landlord-tenant sessions typically draw a large number of parties to court, so courts will need to work out new ways of handling large volumes of litigants in light of social-distancing requirements, Threston added. Auto negligence cases have also seen a jump in backlogs, from 19 statewide in May 2019 to 88 this May, an increase of 363%. Lauren Fraser of Javerbaum Wurgaft Hicks Kahn Wikstrom &amp; Sinins in Springfield, chairwoman of the New Jersey State Bar Association’s Automotive Litigation Committee, said the judiciary is giving automotive injury litigants the opportunity to move their cases forward if they are willing to submit to a bench trial or settlement conference, but most plaintiffs lawyers are unwilling to waive their clients’ right to a jury trial. Since the courts have placed a moratorium on new jury trials, that creates less of an incentive for parties to settle, said Fraser. “For the most part, we’re kind of kicking the can along,” she said. Some plaintiffs may be faced with hard choices because of the present circumstances, according to Fraser. “I think it’s going to force cases to settle, maybe not even at full value, because of the necessity of resolving a claim for a client to pay their medical bills, or for a solo or small firm who needs to keep the lights on,” she said. “For the rest of us, I’m hoping the courts come up with some creative solutions to help us—maybe more mediation or ADR. At the end of the day, it’s going to be difficult to move these cases along,” Fraser said. </w:t>
      </w:r>
      <w:r w:rsidRPr="0041399D">
        <w:rPr>
          <w:rStyle w:val="StyleUnderline"/>
        </w:rPr>
        <w:t>Backlogs</w:t>
      </w:r>
      <w:r w:rsidRPr="0041399D">
        <w:rPr>
          <w:sz w:val="14"/>
        </w:rPr>
        <w:t xml:space="preserve"> </w:t>
      </w:r>
      <w:r w:rsidRPr="0041399D">
        <w:rPr>
          <w:rStyle w:val="Emphasis"/>
        </w:rPr>
        <w:t>in</w:t>
      </w:r>
      <w:r w:rsidRPr="0041399D">
        <w:rPr>
          <w:sz w:val="14"/>
        </w:rPr>
        <w:t xml:space="preserve"> pre-indictment </w:t>
      </w:r>
      <w:r w:rsidRPr="0041399D">
        <w:rPr>
          <w:rStyle w:val="Emphasis"/>
        </w:rPr>
        <w:t>criminal cases</w:t>
      </w:r>
      <w:r w:rsidRPr="0041399D">
        <w:rPr>
          <w:sz w:val="14"/>
        </w:rPr>
        <w:t xml:space="preserve"> </w:t>
      </w:r>
      <w:r w:rsidRPr="0041399D">
        <w:rPr>
          <w:rStyle w:val="StyleUnderline"/>
        </w:rPr>
        <w:t xml:space="preserve">have been </w:t>
      </w:r>
      <w:r w:rsidRPr="0041399D">
        <w:rPr>
          <w:rStyle w:val="Emphasis"/>
        </w:rPr>
        <w:t>growing rapidly</w:t>
      </w:r>
      <w:r w:rsidRPr="0041399D">
        <w:rPr>
          <w:sz w:val="14"/>
        </w:rPr>
        <w:t xml:space="preserve">—from 8,583 in May 2019 to 16,586 this May, </w:t>
      </w:r>
      <w:r w:rsidRPr="0041399D">
        <w:rPr>
          <w:rStyle w:val="Emphasis"/>
        </w:rPr>
        <w:t>a 93% increase</w:t>
      </w:r>
      <w:r w:rsidRPr="0041399D">
        <w:rPr>
          <w:sz w:val="14"/>
        </w:rPr>
        <w:t xml:space="preserve">. But the backlog did not jump as sharply in post-indictment criminal cases; that went from 6,248 in May 2019 to 9,568 this May, a 53% increase. Because </w:t>
      </w:r>
      <w:r w:rsidRPr="0041399D">
        <w:rPr>
          <w:rStyle w:val="Emphasis"/>
        </w:rPr>
        <w:t>grand juries</w:t>
      </w:r>
      <w:r w:rsidRPr="0041399D">
        <w:rPr>
          <w:sz w:val="14"/>
        </w:rPr>
        <w:t xml:space="preserve"> </w:t>
      </w:r>
      <w:r w:rsidRPr="0041399D">
        <w:rPr>
          <w:rStyle w:val="StyleUnderline"/>
        </w:rPr>
        <w:t>have been suspended</w:t>
      </w:r>
      <w:r w:rsidRPr="0041399D">
        <w:rPr>
          <w:sz w:val="14"/>
        </w:rPr>
        <w:t xml:space="preserve">, </w:t>
      </w:r>
      <w:r w:rsidRPr="0041399D">
        <w:rPr>
          <w:rStyle w:val="StyleUnderline"/>
        </w:rPr>
        <w:t xml:space="preserve">hundreds of jailed </w:t>
      </w:r>
      <w:r w:rsidRPr="0041399D">
        <w:rPr>
          <w:rStyle w:val="Emphasis"/>
        </w:rPr>
        <w:t>defendants</w:t>
      </w:r>
      <w:r w:rsidRPr="0041399D">
        <w:rPr>
          <w:sz w:val="14"/>
        </w:rPr>
        <w:t xml:space="preserve"> </w:t>
      </w:r>
      <w:r w:rsidRPr="0041399D">
        <w:rPr>
          <w:rStyle w:val="StyleUnderline"/>
        </w:rPr>
        <w:t xml:space="preserve">are </w:t>
      </w:r>
      <w:r w:rsidRPr="0041399D">
        <w:rPr>
          <w:rStyle w:val="Emphasis"/>
        </w:rPr>
        <w:t>awaiting indictments</w:t>
      </w:r>
      <w:r w:rsidRPr="0041399D">
        <w:rPr>
          <w:sz w:val="14"/>
        </w:rPr>
        <w:t xml:space="preserve">. </w:t>
      </w:r>
      <w:r w:rsidRPr="0041399D">
        <w:rPr>
          <w:rStyle w:val="StyleUnderline"/>
        </w:rPr>
        <w:t xml:space="preserve">In May the judiciary launched a </w:t>
      </w:r>
      <w:r w:rsidRPr="0041399D">
        <w:rPr>
          <w:rStyle w:val="Emphasis"/>
        </w:rPr>
        <w:t>pilot program</w:t>
      </w:r>
      <w:r w:rsidRPr="0041399D">
        <w:rPr>
          <w:sz w:val="14"/>
        </w:rPr>
        <w:t xml:space="preserve"> </w:t>
      </w:r>
      <w:r w:rsidRPr="0041399D">
        <w:rPr>
          <w:rStyle w:val="StyleUnderline"/>
        </w:rPr>
        <w:t xml:space="preserve">to hold virtual grand </w:t>
      </w:r>
      <w:r w:rsidRPr="0041399D">
        <w:rPr>
          <w:rStyle w:val="Emphasis"/>
        </w:rPr>
        <w:t>juries</w:t>
      </w:r>
      <w:r w:rsidRPr="0041399D">
        <w:rPr>
          <w:rStyle w:val="StyleUnderline"/>
        </w:rPr>
        <w:t xml:space="preserve">, but the idea has been met with </w:t>
      </w:r>
      <w:r w:rsidRPr="0041399D">
        <w:rPr>
          <w:rStyle w:val="Emphasis"/>
        </w:rPr>
        <w:t>resistance from lawyers</w:t>
      </w:r>
      <w:r w:rsidRPr="0041399D">
        <w:rPr>
          <w:rStyle w:val="StyleUnderline"/>
        </w:rPr>
        <w:t xml:space="preserve">. </w:t>
      </w:r>
      <w:r w:rsidRPr="0041399D">
        <w:rPr>
          <w:sz w:val="14"/>
        </w:rPr>
        <w:t>The backlogs are forming just as the volume of new case filings has taken a tumble, with new filings down 20% year over year for the first four months of 2020. Court by court, backlogs increased in all 21 counties in May, with increases ranging from 282% in Burlington County and 260% in Camden County, to 66% in Cape May County and 93% in Gloucester County. The judiciary assigns time goals for processing each type of case, and considers a case backlogged if that goal is not met. Those goals vary from one month for domestic violence cases; to 12 to 24 months for civil cases, depending on complexity; to four months for criminal cases.</w:t>
      </w:r>
    </w:p>
    <w:p w14:paraId="03272912" w14:textId="77777777" w:rsidR="0041399D" w:rsidRPr="0041399D" w:rsidRDefault="0041399D" w:rsidP="0041399D">
      <w:pPr>
        <w:rPr>
          <w:sz w:val="14"/>
        </w:rPr>
      </w:pPr>
    </w:p>
    <w:p w14:paraId="105F4DB7" w14:textId="77777777" w:rsidR="0041399D" w:rsidRPr="0041399D" w:rsidRDefault="0041399D" w:rsidP="0041399D">
      <w:pPr>
        <w:pStyle w:val="Heading4"/>
        <w:rPr>
          <w:sz w:val="30"/>
          <w:szCs w:val="30"/>
        </w:rPr>
      </w:pPr>
      <w:r w:rsidRPr="0041399D">
        <w:rPr>
          <w:sz w:val="30"/>
          <w:szCs w:val="30"/>
        </w:rPr>
        <w:lastRenderedPageBreak/>
        <w:t>COVID THUMPS – closures and delayed jury trials threaten a staggering backlog in court cases.</w:t>
      </w:r>
    </w:p>
    <w:p w14:paraId="33352579" w14:textId="77777777" w:rsidR="0041399D" w:rsidRPr="0041399D" w:rsidRDefault="00E51DC3" w:rsidP="0041399D">
      <w:pPr>
        <w:spacing w:after="0" w:line="240" w:lineRule="auto"/>
        <w:rPr>
          <w:rFonts w:asciiTheme="majorHAnsi" w:hAnsiTheme="majorHAnsi" w:cstheme="majorHAnsi"/>
          <w:color w:val="000000" w:themeColor="text1"/>
          <w:sz w:val="26"/>
          <w:szCs w:val="26"/>
        </w:rPr>
      </w:pPr>
      <w:hyperlink r:id="rId47" w:history="1">
        <w:r w:rsidR="0041399D" w:rsidRPr="0041399D">
          <w:rPr>
            <w:rStyle w:val="Hyperlink"/>
            <w:rFonts w:asciiTheme="majorHAnsi" w:hAnsiTheme="majorHAnsi" w:cstheme="majorHAnsi"/>
            <w:b/>
            <w:sz w:val="26"/>
            <w:szCs w:val="26"/>
          </w:rPr>
          <w:t>Seaborn Larson, May 16</w:t>
        </w:r>
        <w:r w:rsidR="0041399D" w:rsidRPr="0041399D">
          <w:rPr>
            <w:rStyle w:val="Hyperlink"/>
            <w:rFonts w:asciiTheme="majorHAnsi" w:hAnsiTheme="majorHAnsi" w:cstheme="majorHAnsi"/>
            <w:b/>
            <w:sz w:val="26"/>
            <w:szCs w:val="26"/>
            <w:vertAlign w:val="superscript"/>
          </w:rPr>
          <w:t>th</w:t>
        </w:r>
        <w:r w:rsidR="0041399D" w:rsidRPr="0041399D">
          <w:rPr>
            <w:rStyle w:val="Hyperlink"/>
            <w:rFonts w:asciiTheme="majorHAnsi" w:hAnsiTheme="majorHAnsi" w:cstheme="majorHAnsi"/>
            <w:b/>
            <w:sz w:val="26"/>
            <w:szCs w:val="26"/>
          </w:rPr>
          <w:t>, 2020;</w:t>
        </w:r>
        <w:r w:rsidR="0041399D" w:rsidRPr="0041399D">
          <w:rPr>
            <w:rStyle w:val="Hyperlink"/>
            <w:rFonts w:asciiTheme="majorHAnsi" w:hAnsiTheme="majorHAnsi" w:cstheme="majorHAnsi"/>
            <w:sz w:val="26"/>
            <w:szCs w:val="26"/>
          </w:rPr>
          <w:t xml:space="preserve"> </w:t>
        </w:r>
        <w:r w:rsidR="0041399D" w:rsidRPr="0041399D">
          <w:rPr>
            <w:rStyle w:val="Hyperlink"/>
            <w:rFonts w:asciiTheme="majorHAnsi" w:eastAsia="Times New Roman" w:hAnsiTheme="majorHAnsi" w:cstheme="majorHAnsi"/>
            <w:sz w:val="26"/>
            <w:szCs w:val="26"/>
            <w:shd w:val="clear" w:color="auto" w:fill="FFFFFF"/>
          </w:rPr>
          <w:t xml:space="preserve">Criminal Justice Reporter — Missoulian. Crime and Justice, U.S; </w:t>
        </w:r>
        <w:r w:rsidR="0041399D" w:rsidRPr="0041399D">
          <w:rPr>
            <w:rStyle w:val="Hyperlink"/>
            <w:rFonts w:asciiTheme="majorHAnsi" w:hAnsiTheme="majorHAnsi" w:cstheme="majorHAnsi"/>
            <w:sz w:val="26"/>
            <w:szCs w:val="26"/>
          </w:rPr>
          <w:t>https://missoulian.com/news/local/covid-closures-threaten-a-staggering-backlog-in-court-cases/article_e77bd6b0-4bae-5d87-956c-861c4de3e153.html</w:t>
        </w:r>
      </w:hyperlink>
      <w:r w:rsidR="0041399D" w:rsidRPr="0041399D">
        <w:rPr>
          <w:rFonts w:asciiTheme="majorHAnsi" w:hAnsiTheme="majorHAnsi" w:cstheme="majorHAnsi"/>
          <w:color w:val="000000" w:themeColor="text1"/>
          <w:sz w:val="26"/>
          <w:szCs w:val="26"/>
        </w:rPr>
        <w:t xml:space="preserve"> </w:t>
      </w:r>
    </w:p>
    <w:p w14:paraId="18EB6216" w14:textId="77777777" w:rsidR="0041399D" w:rsidRPr="0041399D" w:rsidRDefault="0041399D" w:rsidP="0041399D">
      <w:pPr>
        <w:spacing w:after="0" w:line="240" w:lineRule="auto"/>
        <w:rPr>
          <w:rFonts w:asciiTheme="majorHAnsi" w:eastAsia="Times New Roman" w:hAnsiTheme="majorHAnsi" w:cstheme="majorHAnsi"/>
          <w:color w:val="000000" w:themeColor="text1"/>
          <w:sz w:val="26"/>
          <w:szCs w:val="26"/>
        </w:rPr>
      </w:pPr>
    </w:p>
    <w:p w14:paraId="191E9247" w14:textId="77777777" w:rsidR="0041399D" w:rsidRPr="0041399D" w:rsidRDefault="0041399D" w:rsidP="0041399D">
      <w:pPr>
        <w:pStyle w:val="NormalWeb"/>
        <w:spacing w:before="0" w:beforeAutospacing="0" w:after="300" w:afterAutospacing="0" w:line="276" w:lineRule="auto"/>
        <w:rPr>
          <w:rFonts w:asciiTheme="majorHAnsi" w:hAnsiTheme="majorHAnsi" w:cstheme="majorHAnsi"/>
          <w:color w:val="000000" w:themeColor="text1"/>
          <w:sz w:val="26"/>
          <w:szCs w:val="26"/>
        </w:rPr>
      </w:pPr>
      <w:r w:rsidRPr="0041399D">
        <w:rPr>
          <w:rFonts w:asciiTheme="majorHAnsi" w:hAnsiTheme="majorHAnsi" w:cstheme="majorHAnsi"/>
          <w:color w:val="000000" w:themeColor="text1"/>
          <w:sz w:val="26"/>
          <w:szCs w:val="26"/>
          <w:u w:val="single"/>
        </w:rPr>
        <w:t xml:space="preserve">There's a push-and-pull going on at the Missoula County Courthouse, where justice — jury trials, in particular — has been delayed due to the coronavirus pandemic. In recent weeks, Missoula agencies have been working on a plan to determine how to safely reopen the courts in the age of COVID-19. State court officials say the backlog of jury trials statewide will be "staggering." But to address the logjam, </w:t>
      </w:r>
      <w:r w:rsidRPr="0041399D">
        <w:rPr>
          <w:rFonts w:asciiTheme="majorHAnsi" w:hAnsiTheme="majorHAnsi" w:cstheme="majorHAnsi"/>
          <w:b/>
          <w:color w:val="000000" w:themeColor="text1"/>
          <w:sz w:val="26"/>
          <w:szCs w:val="26"/>
          <w:u w:val="single"/>
        </w:rPr>
        <w:t>the courts must get back to holding in-person jury trials, where 100 people or more can be called into the courthouse, without tipping the population back into another outbreak</w:t>
      </w:r>
      <w:r w:rsidRPr="0041399D">
        <w:rPr>
          <w:rFonts w:asciiTheme="majorHAnsi" w:hAnsiTheme="majorHAnsi" w:cstheme="majorHAnsi"/>
          <w:b/>
          <w:color w:val="000000" w:themeColor="text1"/>
          <w:sz w:val="26"/>
          <w:szCs w:val="26"/>
        </w:rPr>
        <w:t>. </w:t>
      </w:r>
      <w:r w:rsidRPr="0041399D">
        <w:rPr>
          <w:rFonts w:asciiTheme="majorHAnsi" w:hAnsiTheme="majorHAnsi" w:cstheme="majorHAnsi"/>
          <w:color w:val="000000" w:themeColor="text1"/>
          <w:sz w:val="26"/>
          <w:szCs w:val="26"/>
        </w:rPr>
        <w:t xml:space="preserve"> </w:t>
      </w:r>
      <w:r w:rsidRPr="0041399D">
        <w:rPr>
          <w:rFonts w:asciiTheme="majorHAnsi" w:hAnsiTheme="majorHAnsi" w:cstheme="majorHAnsi"/>
          <w:color w:val="000000" w:themeColor="text1"/>
          <w:sz w:val="20"/>
          <w:szCs w:val="20"/>
        </w:rPr>
        <w:t>District Court Judge Shane Vannatta said he can see, in a quantifiable way, how the caseload is starting to pile up. "I have had to vacate 40 jury trials scheduled for March, April and May," Vannatta said in a phone interview this week. "I suspect we won’t be ready to resume jury trials until July." A few factors played into that stack of jury trials for Vannatta's docket. He took on a number of cases that would have been set on Judge Jason Marks' calendar if he had not come to the bench from the prosecutor's office. But Vannatta's judgeship was created by the 2017 Montana Legislature because the courts in Missoula and Mineral counties, which make up the Fourth Judicial District, were already feeling squeezed by their caseloads. They needed more than two judges to be statistically flush, but the state afforded Missoula's judicial district just one new judge</w:t>
      </w:r>
      <w:r w:rsidRPr="0041399D">
        <w:rPr>
          <w:rFonts w:asciiTheme="majorHAnsi" w:hAnsiTheme="majorHAnsi" w:cstheme="majorHAnsi"/>
          <w:color w:val="000000" w:themeColor="text1"/>
          <w:sz w:val="26"/>
          <w:szCs w:val="26"/>
        </w:rPr>
        <w:t xml:space="preserve">.  </w:t>
      </w:r>
      <w:r w:rsidRPr="0041399D">
        <w:rPr>
          <w:rFonts w:asciiTheme="majorHAnsi" w:hAnsiTheme="majorHAnsi" w:cstheme="majorHAnsi"/>
          <w:color w:val="000000" w:themeColor="text1"/>
          <w:sz w:val="26"/>
          <w:szCs w:val="26"/>
          <w:u w:val="single"/>
        </w:rPr>
        <w:t xml:space="preserve">In mid-March, Gov. Steve Bullock's </w:t>
      </w:r>
      <w:r w:rsidRPr="0041399D">
        <w:rPr>
          <w:rFonts w:asciiTheme="majorHAnsi" w:hAnsiTheme="majorHAnsi" w:cstheme="majorHAnsi"/>
          <w:b/>
          <w:color w:val="000000" w:themeColor="text1"/>
          <w:sz w:val="26"/>
          <w:szCs w:val="26"/>
          <w:u w:val="single"/>
        </w:rPr>
        <w:t>directives imposing social distancing guidelines made jury trials impossible</w:t>
      </w:r>
      <w:r w:rsidRPr="0041399D">
        <w:rPr>
          <w:rFonts w:asciiTheme="majorHAnsi" w:hAnsiTheme="majorHAnsi" w:cstheme="majorHAnsi"/>
          <w:color w:val="000000" w:themeColor="text1"/>
          <w:sz w:val="26"/>
          <w:szCs w:val="26"/>
          <w:u w:val="single"/>
        </w:rPr>
        <w:t>, while Montana Supreme Court Chief Justice Mike McGrath continued to issue guidance to the lower courts on how to keep the judicial branch in motion</w:t>
      </w:r>
      <w:r w:rsidRPr="0041399D">
        <w:rPr>
          <w:rFonts w:asciiTheme="majorHAnsi" w:hAnsiTheme="majorHAnsi" w:cstheme="majorHAnsi"/>
          <w:color w:val="000000" w:themeColor="text1"/>
          <w:sz w:val="26"/>
          <w:szCs w:val="26"/>
        </w:rPr>
        <w:t>. Now, as the pandemic appears to be on its down slope, court officials at every level are looking at a bottleneck of cases on a docket that was already dammed up. "The backlog is going to be staggering, and it's going to be especially profound for rural districts," said Beth McLaughlin, of the state court administrator's office, of jury trials. "Where there's one judge in four counties, it's going to be just as staggering because it's just one person doing all those trials."</w:t>
      </w:r>
    </w:p>
    <w:p w14:paraId="44DE6EAE" w14:textId="77777777" w:rsidR="0041399D" w:rsidRPr="0041399D" w:rsidRDefault="0041399D" w:rsidP="0041399D">
      <w:pPr>
        <w:pStyle w:val="Heading4"/>
      </w:pPr>
      <w:r w:rsidRPr="0041399D">
        <w:t xml:space="preserve">Non-Unique - Rona causes backlog anyway. </w:t>
      </w:r>
    </w:p>
    <w:p w14:paraId="2448EE97" w14:textId="77777777" w:rsidR="0041399D" w:rsidRPr="0041399D" w:rsidRDefault="0041399D" w:rsidP="0041399D">
      <w:r w:rsidRPr="0041399D">
        <w:t xml:space="preserve">Laigha </w:t>
      </w:r>
      <w:r w:rsidRPr="0041399D">
        <w:rPr>
          <w:rStyle w:val="Style13ptBold"/>
        </w:rPr>
        <w:t>Anderson</w:t>
      </w:r>
      <w:r w:rsidRPr="0041399D">
        <w:t>, 04-19-</w:t>
      </w:r>
      <w:r w:rsidRPr="0041399D">
        <w:rPr>
          <w:rStyle w:val="Style13ptBold"/>
        </w:rPr>
        <w:t>2020</w:t>
      </w:r>
      <w:r w:rsidRPr="0041399D">
        <w:t>, "Jury trials delayed," Dallas County News, https://www.adelnews.com/news/20200319/jury-trials-delayed</w:t>
      </w:r>
    </w:p>
    <w:p w14:paraId="20BE1E3F" w14:textId="389B1215" w:rsidR="0041399D" w:rsidRPr="0041399D" w:rsidRDefault="0041399D" w:rsidP="0041399D">
      <w:pPr>
        <w:rPr>
          <w:sz w:val="16"/>
        </w:rPr>
      </w:pPr>
      <w:r w:rsidRPr="0041399D">
        <w:rPr>
          <w:sz w:val="16"/>
        </w:rPr>
        <w:t>Iowa Supreme Court issued guidance on March 13 regarding the postponement of all jury trials in the state of Iowa as a result of COVID-19</w:t>
      </w:r>
      <w:r w:rsidRPr="0041399D">
        <w:rPr>
          <w:u w:val="single"/>
        </w:rPr>
        <w:t xml:space="preserve"> </w:t>
      </w:r>
      <w:r w:rsidRPr="0041399D">
        <w:rPr>
          <w:sz w:val="16"/>
        </w:rPr>
        <w:t xml:space="preserve"> All </w:t>
      </w:r>
      <w:r w:rsidRPr="0041399D">
        <w:rPr>
          <w:u w:val="single"/>
        </w:rPr>
        <w:t>jury trials in</w:t>
      </w:r>
      <w:r w:rsidRPr="0041399D">
        <w:rPr>
          <w:sz w:val="16"/>
        </w:rPr>
        <w:t xml:space="preserve"> the state of </w:t>
      </w:r>
      <w:r w:rsidRPr="0041399D">
        <w:rPr>
          <w:u w:val="single"/>
        </w:rPr>
        <w:t>Iowa</w:t>
      </w:r>
      <w:r w:rsidRPr="0041399D">
        <w:rPr>
          <w:sz w:val="16"/>
        </w:rPr>
        <w:t xml:space="preserve"> </w:t>
      </w:r>
      <w:r w:rsidRPr="0041399D">
        <w:rPr>
          <w:u w:val="single"/>
        </w:rPr>
        <w:t xml:space="preserve">that have not already begun are </w:t>
      </w:r>
      <w:r w:rsidRPr="0041399D">
        <w:rPr>
          <w:sz w:val="16"/>
        </w:rPr>
        <w:t xml:space="preserve">officially </w:t>
      </w:r>
      <w:r w:rsidRPr="0041399D">
        <w:rPr>
          <w:u w:val="single"/>
        </w:rPr>
        <w:t>postponed until April 20 or after over fears of</w:t>
      </w:r>
      <w:r w:rsidRPr="0041399D">
        <w:rPr>
          <w:sz w:val="16"/>
        </w:rPr>
        <w:t xml:space="preserve"> spreading the </w:t>
      </w:r>
      <w:r w:rsidRPr="0041399D">
        <w:rPr>
          <w:u w:val="single"/>
        </w:rPr>
        <w:t>coronavirus</w:t>
      </w:r>
      <w:r w:rsidRPr="0041399D">
        <w:rPr>
          <w:sz w:val="16"/>
        </w:rPr>
        <w:t>. The Iowa Supreme Court issued guidance on March 13 regarding the postponement of all jury trials in the state of Iowa as a result of COVID-19. Additional guidance was issued Tuesday.</w:t>
      </w:r>
      <w:r w:rsidRPr="0041399D">
        <w:rPr>
          <w:u w:val="single"/>
        </w:rPr>
        <w:t xml:space="preserve"> </w:t>
      </w:r>
      <w:r w:rsidRPr="0041399D">
        <w:rPr>
          <w:sz w:val="16"/>
        </w:rPr>
        <w:t xml:space="preserve"> </w:t>
      </w:r>
      <w:r w:rsidRPr="0041399D">
        <w:rPr>
          <w:u w:val="single"/>
        </w:rPr>
        <w:t>“All (criminal) jury trials that have not commenced as of March 13 ... and are not scheduled to begin before April 20, 2020, shall commence at a date no earlier that April 20, 2020,” the court order reads.</w:t>
      </w:r>
      <w:r w:rsidRPr="0041399D">
        <w:rPr>
          <w:sz w:val="16"/>
        </w:rPr>
        <w:t xml:space="preserve"> </w:t>
      </w:r>
      <w:r w:rsidRPr="0041399D">
        <w:rPr>
          <w:u w:val="single"/>
        </w:rPr>
        <w:t xml:space="preserve">Civil jury trials will be pushed back until </w:t>
      </w:r>
      <w:r w:rsidRPr="0041399D">
        <w:rPr>
          <w:u w:val="single"/>
        </w:rPr>
        <w:lastRenderedPageBreak/>
        <w:t>after May 4</w:t>
      </w:r>
      <w:r w:rsidRPr="0041399D">
        <w:t>.</w:t>
      </w:r>
      <w:r w:rsidRPr="0041399D">
        <w:rPr>
          <w:sz w:val="16"/>
        </w:rPr>
        <w:t xml:space="preserve"> Having jury trials pushed back also has implications for defendants. This comes as Des Moines County is beginning to resolve its </w:t>
      </w:r>
      <w:hyperlink r:id="rId48" w:tgtFrame="_blank" w:history="1">
        <w:r w:rsidRPr="0041399D">
          <w:rPr>
            <w:rStyle w:val="Hyperlink"/>
            <w:u w:val="single"/>
          </w:rPr>
          <w:t>court clog</w:t>
        </w:r>
      </w:hyperlink>
      <w:r w:rsidRPr="0041399D">
        <w:rPr>
          <w:sz w:val="16"/>
        </w:rPr>
        <w:t xml:space="preserve">, which </w:t>
      </w:r>
      <w:r w:rsidRPr="0041399D">
        <w:rPr>
          <w:u w:val="single"/>
        </w:rPr>
        <w:t>has plagued the county for the past several months</w:t>
      </w:r>
      <w:r w:rsidRPr="0041399D">
        <w:rPr>
          <w:sz w:val="16"/>
        </w:rPr>
        <w:t xml:space="preserve">. As a rule, </w:t>
      </w:r>
      <w:r w:rsidRPr="0041399D">
        <w:rPr>
          <w:u w:val="single"/>
        </w:rPr>
        <w:t>defendants waiting trial have rights to have their case go to trial within a certain time frame. This dates include the 90 day right for those demanding a speedy trial and the 1 year for those who are not</w:t>
      </w:r>
      <w:r w:rsidRPr="0041399D">
        <w:rPr>
          <w:sz w:val="16"/>
        </w:rPr>
        <w:t xml:space="preserve"> demanding a speedy trial. The </w:t>
      </w:r>
      <w:r w:rsidRPr="0041399D">
        <w:rPr>
          <w:u w:val="single"/>
        </w:rPr>
        <w:t xml:space="preserve">Iowa Supreme Court said deadlines for trials will be pushed back </w:t>
      </w:r>
      <w:r w:rsidRPr="0041399D">
        <w:rPr>
          <w:sz w:val="16"/>
        </w:rPr>
        <w:t>as this is considered an extenuating circumstance. The Supreme Court did not give guidance on how long cases should be delayed. “I am very concerned about a defendant who would be sitting in jail,” said Keokuk-based defense attorney Curt Dial.</w:t>
      </w:r>
      <w:r w:rsidRPr="0041399D">
        <w:rPr>
          <w:u w:val="single"/>
        </w:rPr>
        <w:t xml:space="preserve"> </w:t>
      </w:r>
      <w:r w:rsidRPr="0041399D">
        <w:rPr>
          <w:sz w:val="16"/>
        </w:rPr>
        <w:t xml:space="preserve"> The order specifies defendants who are in custody and have waived their speedy trial right should be given less priority than those who have demanded a speedy trial or those who are not in custody.</w:t>
      </w:r>
      <w:r w:rsidRPr="0041399D">
        <w:rPr>
          <w:u w:val="single"/>
        </w:rPr>
        <w:t xml:space="preserve"> </w:t>
      </w:r>
      <w:r w:rsidRPr="0041399D">
        <w:rPr>
          <w:sz w:val="16"/>
        </w:rPr>
        <w:t xml:space="preserve"> This means </w:t>
      </w:r>
      <w:r w:rsidRPr="0041399D">
        <w:rPr>
          <w:u w:val="single"/>
        </w:rPr>
        <w:t>more defendants could spend more time in jail than what they ordinarily could be held legally</w:t>
      </w:r>
      <w:r w:rsidRPr="0041399D">
        <w:rPr>
          <w:sz w:val="16"/>
        </w:rPr>
        <w:t>. The order makes no distinctions between crimes committed before March 13 and those committed after that date. The U.S. Constitution recognizes defendants have a right to a fair and speedy trial. In fact, when defendants wave their right to a speedy trial, they must acknowledge that not having a speedy trial could hurt their defense.</w:t>
      </w:r>
      <w:r w:rsidRPr="0041399D">
        <w:rPr>
          <w:u w:val="single"/>
        </w:rPr>
        <w:t xml:space="preserve"> </w:t>
      </w:r>
      <w:r w:rsidRPr="0041399D">
        <w:rPr>
          <w:sz w:val="16"/>
        </w:rPr>
        <w:t xml:space="preserve"> Despite the uncertainty, </w:t>
      </w:r>
      <w:r w:rsidRPr="0041399D">
        <w:rPr>
          <w:u w:val="single"/>
        </w:rPr>
        <w:t>Dial believes the Iowa Supreme Court made the right ruling</w:t>
      </w:r>
      <w:r w:rsidRPr="0041399D">
        <w:rPr>
          <w:sz w:val="16"/>
        </w:rPr>
        <w:t>. “It would be hard for jurors to pay attention when they have other things on their mind,” Dial explained.</w:t>
      </w:r>
      <w:r w:rsidRPr="0041399D">
        <w:rPr>
          <w:u w:val="single"/>
        </w:rPr>
        <w:t xml:space="preserve"> </w:t>
      </w:r>
      <w:r w:rsidRPr="0041399D">
        <w:rPr>
          <w:sz w:val="16"/>
        </w:rPr>
        <w:t xml:space="preserve"> Bench trials will continue as scheduled for the time being. The Supreme Court is encouraging hearings to be conducted electronically.</w:t>
      </w:r>
      <w:r w:rsidRPr="0041399D">
        <w:rPr>
          <w:u w:val="single"/>
        </w:rPr>
        <w:t xml:space="preserve"> </w:t>
      </w:r>
      <w:r w:rsidRPr="0041399D">
        <w:rPr>
          <w:sz w:val="16"/>
        </w:rPr>
        <w:t xml:space="preserve"> County Attorney Lisa Schaefer warned that April 20 is not a hard and fast rule and that cases could be delayed further if the court deems it necessary.</w:t>
      </w:r>
      <w:r w:rsidRPr="0041399D">
        <w:rPr>
          <w:u w:val="single"/>
        </w:rPr>
        <w:t xml:space="preserve"> </w:t>
      </w:r>
      <w:r w:rsidRPr="0041399D">
        <w:rPr>
          <w:sz w:val="16"/>
        </w:rPr>
        <w:t xml:space="preserve"> “We will continue to follow the court’s orders and do what they tell us,” she said.</w:t>
      </w:r>
      <w:r w:rsidRPr="0041399D">
        <w:rPr>
          <w:u w:val="single"/>
        </w:rPr>
        <w:t xml:space="preserve"> </w:t>
      </w:r>
      <w:r w:rsidRPr="0041399D">
        <w:rPr>
          <w:sz w:val="16"/>
        </w:rPr>
        <w:t xml:space="preserve"> The Des Moines County Board of Supervisors asked Schaefer to include language in the courthouse closure ordinance allowing those who are coming into court to enter the courthouse.</w:t>
      </w:r>
      <w:r w:rsidRPr="0041399D">
        <w:rPr>
          <w:u w:val="single"/>
        </w:rPr>
        <w:t xml:space="preserve"> </w:t>
      </w:r>
      <w:r w:rsidRPr="0041399D">
        <w:rPr>
          <w:sz w:val="16"/>
        </w:rPr>
        <w:t xml:space="preserve"> The closure statement asks anyone who must come to the courthouse call the office head of time and make an appointment. Those coming for court are considered to have an appointment.</w:t>
      </w:r>
      <w:r w:rsidRPr="0041399D">
        <w:rPr>
          <w:u w:val="single"/>
        </w:rPr>
        <w:t xml:space="preserve"> </w:t>
      </w:r>
      <w:r w:rsidRPr="0041399D">
        <w:rPr>
          <w:sz w:val="16"/>
        </w:rPr>
        <w:t xml:space="preserve"> For the time being, all hearings are being held as scheduled, though judges are encouraged by the Iowa Supreme Court to grant continuations.</w:t>
      </w:r>
      <w:r w:rsidRPr="0041399D">
        <w:rPr>
          <w:u w:val="single"/>
        </w:rPr>
        <w:t xml:space="preserve"> </w:t>
      </w:r>
      <w:r w:rsidRPr="0041399D">
        <w:rPr>
          <w:sz w:val="16"/>
        </w:rPr>
        <w:t xml:space="preserve"> Schaefer said that, to prevent more people being in the courthouse than necessary, traffic tickets will have appearance dates 90 days out.</w:t>
      </w:r>
      <w:r w:rsidRPr="0041399D">
        <w:rPr>
          <w:u w:val="single"/>
        </w:rPr>
        <w:t xml:space="preserve"> </w:t>
      </w:r>
      <w:r w:rsidRPr="0041399D">
        <w:rPr>
          <w:sz w:val="16"/>
        </w:rPr>
        <w:t xml:space="preserve"> Felony pleas also are seeing changes. </w:t>
      </w:r>
      <w:r w:rsidRPr="0041399D">
        <w:rPr>
          <w:u w:val="single"/>
        </w:rPr>
        <w:t>Normally defendants charged with felonies who would like to plea guilty must do so in person in court</w:t>
      </w:r>
      <w:r w:rsidRPr="0041399D">
        <w:rPr>
          <w:sz w:val="16"/>
        </w:rPr>
        <w:t xml:space="preserve">. However, </w:t>
      </w:r>
      <w:r w:rsidRPr="0041399D">
        <w:rPr>
          <w:u w:val="single"/>
        </w:rPr>
        <w:t>Iowa courts will now accept written pleas of guilty from defendants</w:t>
      </w:r>
      <w:r w:rsidRPr="0041399D">
        <w:rPr>
          <w:sz w:val="16"/>
        </w:rPr>
        <w:t xml:space="preserve"> who are </w:t>
      </w:r>
      <w:r w:rsidRPr="0041399D">
        <w:rPr>
          <w:u w:val="single"/>
        </w:rPr>
        <w:t xml:space="preserve">changed with felonies. </w:t>
      </w:r>
      <w:r w:rsidRPr="0041399D">
        <w:rPr>
          <w:sz w:val="16"/>
        </w:rPr>
        <w:t xml:space="preserve"> Defendants will not be required to attend court other than trials and sentencing hearings. Defendants must submit a waiver in writing to the court to be absent for other hearings.</w:t>
      </w:r>
      <w:r w:rsidRPr="0041399D">
        <w:rPr>
          <w:u w:val="single"/>
        </w:rPr>
        <w:t xml:space="preserve"> </w:t>
      </w:r>
      <w:r w:rsidRPr="0041399D">
        <w:rPr>
          <w:sz w:val="16"/>
        </w:rPr>
        <w:t xml:space="preserve"> In addition, defendants may submit a written request to be present only via video conference for sentencing.</w:t>
      </w:r>
      <w:r w:rsidRPr="0041399D">
        <w:rPr>
          <w:u w:val="single"/>
        </w:rPr>
        <w:t xml:space="preserve"> </w:t>
      </w:r>
      <w:r w:rsidRPr="0041399D">
        <w:rPr>
          <w:sz w:val="16"/>
        </w:rPr>
        <w:t xml:space="preserve"> While Des Moines County inmates are awaiting trial, they will not have the benefit of receiving visits from their friends or family members. The county announced on Wednesday they have suspended visits to the jail effective at 5 p.m. Wednesday.</w:t>
      </w:r>
      <w:r w:rsidRPr="0041399D">
        <w:rPr>
          <w:u w:val="single"/>
        </w:rPr>
        <w:t xml:space="preserve"> </w:t>
      </w:r>
      <w:r w:rsidRPr="0041399D">
        <w:rPr>
          <w:sz w:val="16"/>
        </w:rPr>
        <w:t xml:space="preserve"> This comes just a few days after the Iowa Department of Corrections decided to close its doors to visitors and volunteers over COVID-19 concerns.</w:t>
      </w:r>
      <w:r w:rsidRPr="0041399D">
        <w:rPr>
          <w:u w:val="single"/>
        </w:rPr>
        <w:t xml:space="preserve"> </w:t>
      </w:r>
    </w:p>
    <w:p w14:paraId="607C7538" w14:textId="77777777" w:rsidR="0041399D" w:rsidRPr="0041399D" w:rsidRDefault="0041399D" w:rsidP="0041399D"/>
    <w:p w14:paraId="0237D258" w14:textId="0DA924DC" w:rsidR="00B87E81" w:rsidRDefault="00B87E81" w:rsidP="00B87E81">
      <w:pPr>
        <w:pStyle w:val="Heading3"/>
      </w:pPr>
      <w:r w:rsidRPr="0041399D">
        <w:lastRenderedPageBreak/>
        <w:t>1NC Pharma</w:t>
      </w:r>
    </w:p>
    <w:p w14:paraId="7FFB93CD" w14:textId="77777777" w:rsidR="00696E87" w:rsidRDefault="00696E87" w:rsidP="00696E87">
      <w:pPr>
        <w:pStyle w:val="Heading4"/>
      </w:pPr>
      <w:r>
        <w:t>Pharma industry resilient</w:t>
      </w:r>
      <w:r w:rsidRPr="00541AAF">
        <w:rPr>
          <w:b w:val="0"/>
          <w:bCs/>
        </w:rPr>
        <w:t xml:space="preserve"> – adaptation, collaboration, innovation all check collapse</w:t>
      </w:r>
    </w:p>
    <w:p w14:paraId="71622272" w14:textId="77777777" w:rsidR="00696E87" w:rsidRDefault="00696E87" w:rsidP="00696E87">
      <w:r w:rsidRPr="00266665">
        <w:rPr>
          <w:sz w:val="18"/>
          <w:szCs w:val="18"/>
        </w:rPr>
        <w:t>Diana</w:t>
      </w:r>
      <w:r>
        <w:t xml:space="preserve"> </w:t>
      </w:r>
      <w:r w:rsidRPr="00266665">
        <w:rPr>
          <w:rStyle w:val="Style13ptBold"/>
        </w:rPr>
        <w:t>Kwon 20</w:t>
      </w:r>
      <w:r>
        <w:t xml:space="preserve">, </w:t>
      </w:r>
      <w:r w:rsidRPr="00266665">
        <w:rPr>
          <w:sz w:val="18"/>
          <w:szCs w:val="18"/>
        </w:rPr>
        <w:t xml:space="preserve">science journalist who covers the life sciences, health, and academic life. she holds a master’s degree in neuroscience from McGill University. "How the Pharma Industry Pulled Off the Pivot to COVID-19," </w:t>
      </w:r>
      <w:r>
        <w:rPr>
          <w:sz w:val="18"/>
          <w:szCs w:val="18"/>
        </w:rPr>
        <w:t xml:space="preserve">TheScientist, </w:t>
      </w:r>
      <w:r w:rsidRPr="00266665">
        <w:rPr>
          <w:sz w:val="18"/>
          <w:szCs w:val="18"/>
        </w:rPr>
        <w:t>7-13-2020, https://www.the-scientist.com/bio-business/how-the-pharma-industry-pulled-off-the-pivot-to-covid-19-67719, accessed 7-23-2020 //ART</w:t>
      </w:r>
    </w:p>
    <w:p w14:paraId="5CD05CBC" w14:textId="77777777" w:rsidR="00696E87" w:rsidRPr="00266665" w:rsidRDefault="00696E87" w:rsidP="00696E87">
      <w:pPr>
        <w:rPr>
          <w:sz w:val="10"/>
        </w:rPr>
      </w:pPr>
      <w:r w:rsidRPr="00266665">
        <w:rPr>
          <w:sz w:val="10"/>
        </w:rPr>
        <w:t xml:space="preserve">What started out as an outbreak in China has now spread to almost every nation in the world, infected millions of people, and killed hundreds of thousands. </w:t>
      </w:r>
      <w:r w:rsidRPr="00266665">
        <w:rPr>
          <w:rStyle w:val="StyleUnderline"/>
        </w:rPr>
        <w:t xml:space="preserve">To deal with the global threat, </w:t>
      </w:r>
      <w:r w:rsidRPr="00266665">
        <w:rPr>
          <w:rStyle w:val="Emphasis"/>
        </w:rPr>
        <w:t>numerous</w:t>
      </w:r>
      <w:r w:rsidRPr="00266665">
        <w:rPr>
          <w:rStyle w:val="StyleUnderline"/>
        </w:rPr>
        <w:t xml:space="preserve"> pharmaceutical and biotech companies have </w:t>
      </w:r>
      <w:r w:rsidRPr="00266665">
        <w:rPr>
          <w:rStyle w:val="Emphasis"/>
        </w:rPr>
        <w:t>adapted</w:t>
      </w:r>
      <w:r w:rsidRPr="00266665">
        <w:rPr>
          <w:rStyle w:val="StyleUnderline"/>
        </w:rPr>
        <w:t xml:space="preserve"> their pipelines to COVID-19 over the last few months</w:t>
      </w:r>
      <w:r w:rsidRPr="00266665">
        <w:rPr>
          <w:sz w:val="10"/>
        </w:rPr>
        <w:t xml:space="preserve">. There are now close to 400 compounds being evaluated as treatments or vaccines in various preclinical studies or clinical trials and more than 700 diagnostic tests either commercially available or in development. </w:t>
      </w:r>
      <w:r w:rsidRPr="00266665">
        <w:rPr>
          <w:rStyle w:val="StyleUnderline"/>
        </w:rPr>
        <w:t xml:space="preserve">The need for rapid solutions has brought companies </w:t>
      </w:r>
      <w:r w:rsidRPr="00266665">
        <w:rPr>
          <w:rStyle w:val="Emphasis"/>
        </w:rPr>
        <w:t>together</w:t>
      </w:r>
      <w:r w:rsidRPr="00266665">
        <w:rPr>
          <w:rStyle w:val="StyleUnderline"/>
        </w:rPr>
        <w:t xml:space="preserve"> and has pushed researchers to work at </w:t>
      </w:r>
      <w:r w:rsidRPr="00266665">
        <w:rPr>
          <w:rStyle w:val="Emphasis"/>
        </w:rPr>
        <w:t>breakneck speeds</w:t>
      </w:r>
      <w:r w:rsidRPr="00266665">
        <w:rPr>
          <w:rStyle w:val="StyleUnderline"/>
        </w:rPr>
        <w:t xml:space="preserve">—often while dealing with </w:t>
      </w:r>
      <w:r w:rsidRPr="00266665">
        <w:rPr>
          <w:rStyle w:val="Emphasis"/>
        </w:rPr>
        <w:t>complications</w:t>
      </w:r>
      <w:r w:rsidRPr="00266665">
        <w:rPr>
          <w:rStyle w:val="StyleUnderline"/>
        </w:rPr>
        <w:t xml:space="preserve"> brought about by lockdowns and social distancing measures.</w:t>
      </w:r>
      <w:r>
        <w:rPr>
          <w:rStyle w:val="StyleUnderline"/>
        </w:rPr>
        <w:t xml:space="preserve"> </w:t>
      </w:r>
      <w:r w:rsidRPr="00266665">
        <w:rPr>
          <w:rStyle w:val="StyleUnderline"/>
        </w:rPr>
        <w:t xml:space="preserve">As the novel coronavirus spread around the globe, scientists at many pharmaceutical and biotech companies started to think about how to lend their expertise—either by identifying potential </w:t>
      </w:r>
      <w:r w:rsidRPr="00266665">
        <w:rPr>
          <w:rStyle w:val="Emphasis"/>
        </w:rPr>
        <w:t>solutions</w:t>
      </w:r>
      <w:r w:rsidRPr="00266665">
        <w:rPr>
          <w:rStyle w:val="StyleUnderline"/>
        </w:rPr>
        <w:t xml:space="preserve"> within </w:t>
      </w:r>
      <w:r w:rsidRPr="00266665">
        <w:rPr>
          <w:rStyle w:val="Emphasis"/>
        </w:rPr>
        <w:t>existing</w:t>
      </w:r>
      <w:r w:rsidRPr="00266665">
        <w:rPr>
          <w:rStyle w:val="StyleUnderline"/>
        </w:rPr>
        <w:t xml:space="preserve"> storehouses of compounds and technologies, or by applying research platforms and expertise to </w:t>
      </w:r>
      <w:r w:rsidRPr="00266665">
        <w:rPr>
          <w:rStyle w:val="Emphasis"/>
        </w:rPr>
        <w:t>identify new ones</w:t>
      </w:r>
      <w:r w:rsidRPr="00266665">
        <w:rPr>
          <w:sz w:val="10"/>
        </w:rPr>
        <w:t xml:space="preserve">. “I think everybody probably felt the urgent need to contribute,” says Dan Skovronsky, the chief scientific officer of the global pharmaceutical firm Eli Lilly. “The question that many pharmaceutical companies had, including us, was: Where are our skills, capabilities, and knowledge, and how do we best apply them?” </w:t>
      </w:r>
      <w:r w:rsidRPr="00266665">
        <w:rPr>
          <w:rStyle w:val="StyleUnderline"/>
        </w:rPr>
        <w:t xml:space="preserve">For companies already focusing on virus-related diagnostics, treatments, and vaccines, the switch to COVID-19 was a </w:t>
      </w:r>
      <w:r w:rsidRPr="00266665">
        <w:rPr>
          <w:rStyle w:val="Emphasis"/>
        </w:rPr>
        <w:t>natural one</w:t>
      </w:r>
      <w:r w:rsidRPr="00266665">
        <w:rPr>
          <w:sz w:val="10"/>
        </w:rPr>
        <w:t xml:space="preserve">. Pfizer, for example, had been working on vaccines for various viral and bacterial infections long before COVID-19 emerged. In March, Pfizer announced a collaboration with the German company BioNTech to develop a vaccine. Within a few months, they’d launched clinical trials of their vaccine candidates in Germany and the US. John Kelly, the CEO of Atomo Diagnostics, an Australian startup company that developed a rapid blood test for HIV, says that his team decided to make the shift after getting several queries from diagnostics companies about whether their platform could support a test for COVID-19. The main challenge, Kelly says, was the sheer quantity of tests that they were asking for. “The numbers that these companies were talking about were significantly beyond our existing volumes.” </w:t>
      </w:r>
      <w:r w:rsidRPr="00266665">
        <w:rPr>
          <w:rStyle w:val="StyleUnderline"/>
        </w:rPr>
        <w:t>For other companies, the shift to COVID-19 has meant delving into a new research area</w:t>
      </w:r>
      <w:r w:rsidRPr="00266665">
        <w:rPr>
          <w:sz w:val="10"/>
        </w:rPr>
        <w:t xml:space="preserve">. </w:t>
      </w:r>
      <w:r w:rsidRPr="00266665">
        <w:rPr>
          <w:rStyle w:val="StyleUnderline"/>
        </w:rPr>
        <w:t>Prior to the pandemic, for example, UK-based startup biotech Owlstone’s pipeline didn’t contain any virus-focused products.</w:t>
      </w:r>
      <w:r w:rsidRPr="00266665">
        <w:rPr>
          <w:sz w:val="10"/>
        </w:rPr>
        <w:t xml:space="preserve"> The company’s diagnostic tools, which are designed to identify specific chemical compounds in people’s breath, had been geared toward cancer detection and tracking the progression of conditions such as fatty liver disease. </w:t>
      </w:r>
      <w:r w:rsidRPr="00266665">
        <w:rPr>
          <w:rStyle w:val="StyleUnderline"/>
        </w:rPr>
        <w:t>The pandemic got the team wondering whether SARS-CoV-2</w:t>
      </w:r>
      <w:r w:rsidRPr="00266665">
        <w:rPr>
          <w:sz w:val="10"/>
        </w:rPr>
        <w:t xml:space="preserve">, which is transmitted through respiratory droplets, </w:t>
      </w:r>
      <w:r w:rsidRPr="00266665">
        <w:rPr>
          <w:rStyle w:val="StyleUnderline"/>
        </w:rPr>
        <w:t>could be detected with their technology</w:t>
      </w:r>
      <w:r w:rsidRPr="00266665">
        <w:rPr>
          <w:sz w:val="10"/>
        </w:rPr>
        <w:t xml:space="preserve">. “We very quickly put together a team with a range of different academic clinical partners, along with others interested in breath research,” says Billy Boyle, Owlstone’s CEO. </w:t>
      </w:r>
      <w:r w:rsidRPr="00266665">
        <w:rPr>
          <w:rStyle w:val="StyleUnderline"/>
        </w:rPr>
        <w:t>Within a matter of weeks, they had designed a clinical trial to test the technique and obtained the necessary approval from the UK’s Health Research Authority. That study is currently underway.</w:t>
      </w:r>
      <w:r>
        <w:rPr>
          <w:rStyle w:val="StyleUnderline"/>
        </w:rPr>
        <w:t xml:space="preserve"> </w:t>
      </w:r>
      <w:r w:rsidRPr="00266665">
        <w:rPr>
          <w:rStyle w:val="Emphasis"/>
        </w:rPr>
        <w:t>Big pharmaceutical companies</w:t>
      </w:r>
      <w:r w:rsidRPr="00266665">
        <w:rPr>
          <w:rStyle w:val="StyleUnderline"/>
        </w:rPr>
        <w:t xml:space="preserve"> have also </w:t>
      </w:r>
      <w:r w:rsidRPr="00266665">
        <w:rPr>
          <w:rStyle w:val="Emphasis"/>
        </w:rPr>
        <w:t>pivoted</w:t>
      </w:r>
      <w:r w:rsidRPr="00266665">
        <w:rPr>
          <w:rStyle w:val="StyleUnderline"/>
        </w:rPr>
        <w:t xml:space="preserve"> from their usual work</w:t>
      </w:r>
      <w:r w:rsidRPr="00266665">
        <w:rPr>
          <w:sz w:val="10"/>
        </w:rPr>
        <w:t xml:space="preserve">. Before COVID-19 hit, therapeutics for infectious diseases had not been a focus for Lilly, says Skovronsky. But he and his colleagues realized there were certain areas—the development of therapeutic antibodies, for example—where their expertise could be applied to the pandemic. In March, Lilly joined with AbCellera, a biotech based in Vancouver, Canada. AbCellera already had a platform designed to rapidly develop medicines during pandemics, which it had established with a grant from the US Defense Advanced Research Projects Agency (DARPA). Scientists at AbCellera had obtained a blood sample from a recovered COVID-19 patient, and after running the sample through its platform—which rapidly screened for potential therapeutic antibodies using a combination of techniques, including high-throughput imaging, genomics, and AI—had identified more than 500 potential therapeutic molecules. The two companies launched a Phase 1 clinical trial of one of those antibodies in June. “[AbCellera] told us that they had this blood and were embarking on this project and said, ‘Is this something that you guys are interested in?’” Skovronsky says. “It took us about as long as it took to read the email to make the decision.” Within about a week, the two companies had signed a deal, with the goal of starting clinical trials of a new therapeutic within four months. </w:t>
      </w:r>
      <w:r w:rsidRPr="00266665">
        <w:rPr>
          <w:rStyle w:val="StyleUnderline"/>
        </w:rPr>
        <w:t xml:space="preserve">The launch of new COVID-19 projects has required companies to quickly mobilize </w:t>
      </w:r>
      <w:r w:rsidRPr="00266665">
        <w:rPr>
          <w:rStyle w:val="Emphasis"/>
        </w:rPr>
        <w:t>staff</w:t>
      </w:r>
      <w:r w:rsidRPr="00266665">
        <w:rPr>
          <w:rStyle w:val="StyleUnderline"/>
        </w:rPr>
        <w:t xml:space="preserve"> and </w:t>
      </w:r>
      <w:r w:rsidRPr="00266665">
        <w:rPr>
          <w:rStyle w:val="Emphasis"/>
        </w:rPr>
        <w:t>resources</w:t>
      </w:r>
      <w:r w:rsidRPr="00266665">
        <w:rPr>
          <w:rStyle w:val="StyleUnderline"/>
        </w:rPr>
        <w:t>.</w:t>
      </w:r>
      <w:r w:rsidRPr="00266665">
        <w:rPr>
          <w:sz w:val="10"/>
        </w:rPr>
        <w:t xml:space="preserve"> As a result, people involved in those projects have been working longer-than-usual hours. “The pace that we’ve had to work to fight COVID-19 is different than our normal course of work,” Skovronsky says. “I have many teams that meet every day, seven days a week.” Mikael Dolsten, the chief scientific officer of Pfizer global R&amp;D, says the same has been true at his company. “This was the one occasion where I felt everyone, whether requested by the company priorities or just their own values, was willing to work endlessly around the clock,” Dolsten says. “I think </w:t>
      </w:r>
      <w:r w:rsidRPr="00266665">
        <w:rPr>
          <w:rStyle w:val="StyleUnderline"/>
        </w:rPr>
        <w:t xml:space="preserve">everyone is </w:t>
      </w:r>
      <w:r w:rsidRPr="00266665">
        <w:rPr>
          <w:rStyle w:val="Emphasis"/>
        </w:rPr>
        <w:t>inspired</w:t>
      </w:r>
      <w:r w:rsidRPr="00266665">
        <w:rPr>
          <w:rStyle w:val="StyleUnderline"/>
        </w:rPr>
        <w:t xml:space="preserve"> by the call to action to have a vaccine or treatment as fast as possible.”</w:t>
      </w:r>
      <w:r>
        <w:rPr>
          <w:rStyle w:val="StyleUnderline"/>
        </w:rPr>
        <w:t xml:space="preserve"> </w:t>
      </w:r>
      <w:r w:rsidRPr="00266665">
        <w:rPr>
          <w:rStyle w:val="StyleUnderline"/>
        </w:rPr>
        <w:t xml:space="preserve">Many of the staff working on COVID-19 projects have been </w:t>
      </w:r>
      <w:r w:rsidRPr="00266665">
        <w:rPr>
          <w:rStyle w:val="Emphasis"/>
        </w:rPr>
        <w:t>reshuffled</w:t>
      </w:r>
      <w:r w:rsidRPr="00266665">
        <w:rPr>
          <w:rStyle w:val="StyleUnderline"/>
        </w:rPr>
        <w:t xml:space="preserve"> from some of the hundreds of clinical trials that drug companies have been forced to put on hold due to the pandemic</w:t>
      </w:r>
      <w:r w:rsidRPr="00266665">
        <w:rPr>
          <w:sz w:val="10"/>
        </w:rPr>
        <w:t xml:space="preserve">. In March, Lilly announced that the start of most new studies would be delayed and that new enrollment in ongoing studies would be halted. According to Skovronsky, many of the staff who would have been working on these trials were redeployed to work on the COVID-19 research instead. Other companies are shuffling staff around in a similar way. Owlstone’s Boyle says his company’s stalled trials freed some employees and resources to focus on COVID-19. “We’re trying to make sure that we can still deliver on those core programs,” he adds. “But [we’re] redeploying the resources into the specific areas of the COVID problem in the near term.” All of this has to happen alongside measures put in place to contain the virus’s spread—culling the number of staff in the lab, for example, and sending home people who could do their job virtually. “Most of our laboratories are operating at the reduced scale because of the need for social distancing,” says Dolsten. “[In the labs], we have prioritized people at work on COVID-19 and certain lifesaving new medicines that are very close to coming to the clinic.” Companies have had to be flexible in other ways as well. Insilico usually synthesizes its compounds in Wuhan, China, for example, so when the lockdown started in that city, that part of their work was put on hold. “We just started synthesis in March,” Zhavoronkov says, adding that, as the epicenter of the pandemic has shifted, they’ve been able to restart work in Wuhan. “I think a lot of people who were using biotech services from China, when China went into lockdown, they started shifting to Europe and the US. Now it’s the other way around.” </w:t>
      </w:r>
      <w:r w:rsidRPr="00266665">
        <w:rPr>
          <w:rStyle w:val="StyleUnderline"/>
        </w:rPr>
        <w:t xml:space="preserve">The pandemic has </w:t>
      </w:r>
      <w:r w:rsidRPr="00266665">
        <w:rPr>
          <w:rStyle w:val="Emphasis"/>
        </w:rPr>
        <w:t>brought together</w:t>
      </w:r>
      <w:r w:rsidRPr="00266665">
        <w:rPr>
          <w:rStyle w:val="StyleUnderline"/>
        </w:rPr>
        <w:t xml:space="preserve"> people from </w:t>
      </w:r>
      <w:r w:rsidRPr="00266665">
        <w:rPr>
          <w:rStyle w:val="Emphasis"/>
        </w:rPr>
        <w:t>many sectors</w:t>
      </w:r>
      <w:r w:rsidRPr="00266665">
        <w:rPr>
          <w:rStyle w:val="StyleUnderline"/>
        </w:rPr>
        <w:t>—academia, industry, and government</w:t>
      </w:r>
      <w:r w:rsidRPr="00266665">
        <w:rPr>
          <w:sz w:val="10"/>
        </w:rPr>
        <w:t xml:space="preserve">. “One of the wonderful things that’s happened during COVID-19 is that </w:t>
      </w:r>
      <w:r w:rsidRPr="00266665">
        <w:rPr>
          <w:rStyle w:val="StyleUnderline"/>
        </w:rPr>
        <w:t xml:space="preserve">people are working together </w:t>
      </w:r>
      <w:r w:rsidRPr="00266665">
        <w:rPr>
          <w:rStyle w:val="Emphasis"/>
        </w:rPr>
        <w:t>more</w:t>
      </w:r>
      <w:r w:rsidRPr="00266665">
        <w:rPr>
          <w:rStyle w:val="StyleUnderline"/>
        </w:rPr>
        <w:t xml:space="preserve"> so than</w:t>
      </w:r>
      <w:r w:rsidRPr="00266665">
        <w:rPr>
          <w:sz w:val="10"/>
        </w:rPr>
        <w:t xml:space="preserve"> I’ve </w:t>
      </w:r>
      <w:r w:rsidRPr="00266665">
        <w:rPr>
          <w:rStyle w:val="StyleUnderline"/>
        </w:rPr>
        <w:t>ever</w:t>
      </w:r>
      <w:r w:rsidRPr="00266665">
        <w:rPr>
          <w:sz w:val="10"/>
        </w:rPr>
        <w:t xml:space="preserve"> seen,” says Gary Wilcox, the CEO of Cocrystal Pharma, a company working with scientists at Kansas State University to develop novel antiviral compounds to treat COVID-19. “</w:t>
      </w:r>
      <w:r w:rsidRPr="00266665">
        <w:rPr>
          <w:rStyle w:val="StyleUnderline"/>
        </w:rPr>
        <w:t xml:space="preserve">Scientists don’t always join together in one great big group for the benefit of mankind. But here, there’s been a remarkable </w:t>
      </w:r>
      <w:r w:rsidRPr="00266665">
        <w:rPr>
          <w:rStyle w:val="Emphasis"/>
        </w:rPr>
        <w:t>sharing of information</w:t>
      </w:r>
      <w:r w:rsidRPr="00266665">
        <w:rPr>
          <w:sz w:val="10"/>
        </w:rPr>
        <w:t xml:space="preserve">.” </w:t>
      </w:r>
      <w:r w:rsidRPr="00266665">
        <w:rPr>
          <w:rStyle w:val="StyleUnderline"/>
        </w:rPr>
        <w:t xml:space="preserve">Some of these collaborations have been formalized as </w:t>
      </w:r>
      <w:r w:rsidRPr="00266665">
        <w:rPr>
          <w:rStyle w:val="Emphasis"/>
        </w:rPr>
        <w:t xml:space="preserve">larger </w:t>
      </w:r>
      <w:r w:rsidRPr="00266665">
        <w:rPr>
          <w:rStyle w:val="Emphasis"/>
        </w:rPr>
        <w:lastRenderedPageBreak/>
        <w:t>consortia</w:t>
      </w:r>
      <w:r w:rsidRPr="00266665">
        <w:rPr>
          <w:rStyle w:val="StyleUnderline"/>
        </w:rPr>
        <w:t xml:space="preserve"> made up of </w:t>
      </w:r>
      <w:r w:rsidRPr="00266665">
        <w:rPr>
          <w:rStyle w:val="Emphasis"/>
        </w:rPr>
        <w:t>multiple companies</w:t>
      </w:r>
      <w:r w:rsidRPr="00266665">
        <w:rPr>
          <w:rStyle w:val="StyleUnderline"/>
        </w:rPr>
        <w:t>, and in some cases also funding bodies and governmental agencies</w:t>
      </w:r>
      <w:r w:rsidRPr="00266665">
        <w:rPr>
          <w:sz w:val="10"/>
        </w:rPr>
        <w:t>. “</w:t>
      </w:r>
      <w:r w:rsidRPr="00266665">
        <w:rPr>
          <w:rStyle w:val="StyleUnderline"/>
        </w:rPr>
        <w:t xml:space="preserve">There’s been a really interesting pivot towards embracing </w:t>
      </w:r>
      <w:r w:rsidRPr="00266665">
        <w:rPr>
          <w:rStyle w:val="Emphasis"/>
        </w:rPr>
        <w:t>open innovation</w:t>
      </w:r>
      <w:r w:rsidRPr="00266665">
        <w:rPr>
          <w:rStyle w:val="StyleUnderline"/>
        </w:rPr>
        <w:t xml:space="preserve"> and a willingness to </w:t>
      </w:r>
      <w:r w:rsidRPr="00266665">
        <w:rPr>
          <w:rStyle w:val="Emphasis"/>
        </w:rPr>
        <w:t>team up</w:t>
      </w:r>
      <w:r w:rsidRPr="00266665">
        <w:rPr>
          <w:rStyle w:val="StyleUnderline"/>
        </w:rPr>
        <w:t xml:space="preserve"> with partners outside of the life science ecosystem</w:t>
      </w:r>
      <w:r w:rsidRPr="00266665">
        <w:rPr>
          <w:sz w:val="10"/>
        </w:rPr>
        <w:t xml:space="preserve">,” says Angela Radcliffe, the research and development lead for life sciences at the consulting firm Capgemini. In March, </w:t>
      </w:r>
      <w:r w:rsidRPr="00266665">
        <w:rPr>
          <w:rStyle w:val="StyleUnderline"/>
        </w:rPr>
        <w:t xml:space="preserve">several </w:t>
      </w:r>
      <w:r w:rsidRPr="00266665">
        <w:rPr>
          <w:rStyle w:val="Emphasis"/>
        </w:rPr>
        <w:t>large pharmaceutical companies</w:t>
      </w:r>
      <w:r w:rsidRPr="00266665">
        <w:rPr>
          <w:rStyle w:val="StyleUnderline"/>
        </w:rPr>
        <w:t xml:space="preserve">, including Eli Lilly, Novartis, Gilead, and AstraZeneca, formed a group called COVID R&amp;D to </w:t>
      </w:r>
      <w:r w:rsidRPr="00266665">
        <w:rPr>
          <w:rStyle w:val="Emphasis"/>
        </w:rPr>
        <w:t>share resources</w:t>
      </w:r>
      <w:r w:rsidRPr="00266665">
        <w:rPr>
          <w:rStyle w:val="StyleUnderline"/>
        </w:rPr>
        <w:t xml:space="preserve"> and </w:t>
      </w:r>
      <w:r w:rsidRPr="00266665">
        <w:rPr>
          <w:rStyle w:val="Emphasis"/>
        </w:rPr>
        <w:t>expertise</w:t>
      </w:r>
      <w:r w:rsidRPr="00266665">
        <w:rPr>
          <w:rStyle w:val="StyleUnderline"/>
        </w:rPr>
        <w:t xml:space="preserve"> to try to accelerate the development of effective therapies and vaccines for COVID-19</w:t>
      </w:r>
      <w:r w:rsidRPr="00266665">
        <w:rPr>
          <w:sz w:val="10"/>
        </w:rPr>
        <w:t xml:space="preserve">. </w:t>
      </w:r>
      <w:r w:rsidRPr="00266665">
        <w:rPr>
          <w:rStyle w:val="StyleUnderline"/>
        </w:rPr>
        <w:t>That same month, the Bill &amp; Melinda Gates Foundation, the Wellcome Trust, and Mastercard launched the COVID-19 Therapeutics Accelerator to bring researchers in industry and academia together to identify potential treatments.</w:t>
      </w:r>
      <w:r w:rsidRPr="00266665">
        <w:rPr>
          <w:sz w:val="10"/>
        </w:rPr>
        <w:t xml:space="preserve"> In April, </w:t>
      </w:r>
      <w:r w:rsidRPr="00266665">
        <w:rPr>
          <w:rStyle w:val="StyleUnderline"/>
        </w:rPr>
        <w:t xml:space="preserve">the National Institutes of Health announced the launch of Accelerating COVID-19 Therapeutic Interventions and Vaccines (ACTIV), a </w:t>
      </w:r>
      <w:r w:rsidRPr="00266665">
        <w:rPr>
          <w:rStyle w:val="Emphasis"/>
        </w:rPr>
        <w:t>partnership</w:t>
      </w:r>
      <w:r w:rsidRPr="00266665">
        <w:rPr>
          <w:rStyle w:val="StyleUnderline"/>
        </w:rPr>
        <w:t xml:space="preserve"> between federal researchers and </w:t>
      </w:r>
      <w:r w:rsidRPr="00266665">
        <w:rPr>
          <w:rStyle w:val="Emphasis"/>
        </w:rPr>
        <w:t>16 pharmaceutical companies</w:t>
      </w:r>
      <w:r w:rsidRPr="00266665">
        <w:rPr>
          <w:rStyle w:val="StyleUnderline"/>
        </w:rPr>
        <w:t xml:space="preserve"> to standardize the testing of therapeutics in both the lab and in clinical trials.</w:t>
      </w:r>
      <w:r>
        <w:rPr>
          <w:rStyle w:val="StyleUnderline"/>
        </w:rPr>
        <w:t xml:space="preserve"> </w:t>
      </w:r>
      <w:r w:rsidRPr="00266665">
        <w:rPr>
          <w:sz w:val="10"/>
        </w:rPr>
        <w:t xml:space="preserve">“There are still some companies out there who prefer to work in a more insular fashion, and that’s fine. But most of us are working together,” Skovronsky says. “I think there’s more to come, because if we have a successful drug or drug antibody, we’re going to have to work together in manufacturing it.” Whether the accelerated rate of drug and diagnostics development or the heightened level of cooperation among different players in the business will last beyond the pandemic remains to be seen. </w:t>
      </w:r>
      <w:r w:rsidRPr="00266665">
        <w:rPr>
          <w:rStyle w:val="StyleUnderline"/>
        </w:rPr>
        <w:t xml:space="preserve">Company leaders are thinking about how to apply the lessons being learned now to </w:t>
      </w:r>
      <w:r w:rsidRPr="00266665">
        <w:rPr>
          <w:rStyle w:val="Emphasis"/>
        </w:rPr>
        <w:t>expedite</w:t>
      </w:r>
      <w:r w:rsidRPr="00266665">
        <w:rPr>
          <w:rStyle w:val="StyleUnderline"/>
        </w:rPr>
        <w:t xml:space="preserve"> the development of therapeutics for </w:t>
      </w:r>
      <w:r w:rsidRPr="00266665">
        <w:rPr>
          <w:rStyle w:val="Emphasis"/>
        </w:rPr>
        <w:t>other conditions</w:t>
      </w:r>
      <w:r w:rsidRPr="00266665">
        <w:rPr>
          <w:rStyle w:val="StyleUnderline"/>
        </w:rPr>
        <w:t xml:space="preserve"> as well</w:t>
      </w:r>
      <w:r w:rsidRPr="00266665">
        <w:rPr>
          <w:sz w:val="10"/>
        </w:rPr>
        <w:t>. “We’re all asking ourselves: How do we continue to work this way, to bring this same sense of urgency and collaboration to bear against all the other diseases—Alzheimer’s disease and cancer and autoimmune diseases and diabetes—that we work on?” Skovronsky says. “Because those patients need it also.”</w:t>
      </w:r>
    </w:p>
    <w:p w14:paraId="2CF7C88A" w14:textId="38D52DF3" w:rsidR="00696E87" w:rsidRDefault="00696E87" w:rsidP="00696E87"/>
    <w:p w14:paraId="6550989E" w14:textId="0A2A9C49" w:rsidR="00696E87" w:rsidRPr="00696E87" w:rsidRDefault="00696E87" w:rsidP="00696E87">
      <w:pPr>
        <w:pStyle w:val="Heading3"/>
      </w:pPr>
      <w:r>
        <w:lastRenderedPageBreak/>
        <w:t>2NC Pharma</w:t>
      </w:r>
      <w:r w:rsidR="001C2E1A">
        <w:t xml:space="preserve"> Resili</w:t>
      </w:r>
      <w:r w:rsidR="0065494F">
        <w:t>e</w:t>
      </w:r>
      <w:r w:rsidR="001C2E1A">
        <w:t>nt</w:t>
      </w:r>
    </w:p>
    <w:p w14:paraId="1CE00BF1" w14:textId="77EC1536" w:rsidR="00B87E81" w:rsidRPr="0041399D" w:rsidRDefault="00A714E9" w:rsidP="00B87E81">
      <w:pPr>
        <w:pStyle w:val="Heading4"/>
      </w:pPr>
      <w:r>
        <w:t>Biopharma’s resilient—multiple recessions prove</w:t>
      </w:r>
    </w:p>
    <w:p w14:paraId="5A36D4BF" w14:textId="77777777" w:rsidR="00B87E81" w:rsidRPr="0041399D" w:rsidRDefault="00B87E81" w:rsidP="00B87E81">
      <w:pPr>
        <w:spacing w:after="0" w:line="240" w:lineRule="auto"/>
      </w:pPr>
      <w:r w:rsidRPr="0041399D">
        <w:rPr>
          <w:rStyle w:val="Heading4Char"/>
        </w:rPr>
        <w:t xml:space="preserve">Saraf et al. 20 </w:t>
      </w:r>
      <w:r w:rsidRPr="0041399D">
        <w:t>(Shreya, Vivek Mittal, Michael Tang; Vivek Mittal, PhD is a Partner in the Health Advances San Francisco office. Shreya Saraf is an Engagement Manager in the Health Advances San Francisco office. Siuwah Michael Tang, PhD is a Senior Analyst in the Health Advances San Francisco office.; 4-24-2020; “The Great Lockdown of 2020: Will the Life Sciences Emerge Unscathed?”; Health Advances Blog; https://healthadvancesblog.com/2020/04/24/the-great-lockdown-of-2020/) [EM]</w:t>
      </w:r>
    </w:p>
    <w:p w14:paraId="048C8612" w14:textId="07886E46" w:rsidR="00B87E81" w:rsidRDefault="00B87E81" w:rsidP="00B87E81">
      <w:pPr>
        <w:contextualSpacing/>
        <w:rPr>
          <w:rStyle w:val="StyleUnderline"/>
        </w:rPr>
      </w:pPr>
      <w:r w:rsidRPr="0041399D">
        <w:rPr>
          <w:rStyle w:val="StyleUnderline"/>
        </w:rPr>
        <w:t>Financing and deal activities are lower in the months following a crisis, as is evidenced by the 2001 downturn as well as the financial crisis of 2008.</w:t>
      </w:r>
      <w:r w:rsidRPr="0041399D">
        <w:rPr>
          <w:sz w:val="12"/>
        </w:rPr>
        <w:t xml:space="preserve"> </w:t>
      </w:r>
      <w:r w:rsidRPr="0041399D">
        <w:rPr>
          <w:rStyle w:val="StyleUnderline"/>
        </w:rPr>
        <w:t xml:space="preserve">While we expect to see a similar pattern with the COVID-19 crisis across industries, the </w:t>
      </w:r>
      <w:r w:rsidRPr="0041399D">
        <w:rPr>
          <w:rStyle w:val="Emphasis"/>
        </w:rPr>
        <w:t>life sciences industry</w:t>
      </w:r>
      <w:r w:rsidRPr="0041399D">
        <w:rPr>
          <w:rStyle w:val="StyleUnderline"/>
        </w:rPr>
        <w:t xml:space="preserve"> may be able to mitigate that flight of capital and instead drive a redistribution of capital to infectious disease and vaccines through timely financing and operational strategies.</w:t>
      </w:r>
      <w:r w:rsidRPr="0041399D">
        <w:rPr>
          <w:sz w:val="12"/>
        </w:rPr>
        <w:t xml:space="preserve"> The 2001 Recession The ‘black swan’ events of 9/11 came on the back of the Y2K scare and pushed the economy into a recession. </w:t>
      </w:r>
      <w:r w:rsidRPr="0041399D">
        <w:rPr>
          <w:rStyle w:val="StyleUnderline"/>
        </w:rPr>
        <w:t xml:space="preserve">Similarly, the SARS-CoV-2 pandemic has accelerated the 2019 slowdown and plunged the economy into a steep recession. The life sciences </w:t>
      </w:r>
      <w:r w:rsidRPr="0041399D">
        <w:rPr>
          <w:rStyle w:val="Emphasis"/>
        </w:rPr>
        <w:t>industry saw a ~30% overall decline</w:t>
      </w:r>
      <w:r w:rsidRPr="0041399D">
        <w:rPr>
          <w:rStyle w:val="StyleUnderline"/>
        </w:rPr>
        <w:t xml:space="preserve"> in M&amp;A activity as early as 6 months after the crisis, while biopharma saw only a ~10% drop in M&amp;A funding.</w:t>
      </w:r>
      <w:r w:rsidRPr="0041399D">
        <w:rPr>
          <w:sz w:val="12"/>
        </w:rPr>
        <w:t xml:space="preserve"> </w:t>
      </w:r>
      <w:r w:rsidRPr="0041399D">
        <w:rPr>
          <w:rStyle w:val="StyleUnderline"/>
        </w:rPr>
        <w:t>The sectors that felt the impact most significantly were MedTech and Digital Health &amp; IT with high double-digit drops in funding.</w:t>
      </w:r>
      <w:r w:rsidRPr="0041399D">
        <w:rPr>
          <w:sz w:val="12"/>
        </w:rPr>
        <w:t xml:space="preserve"> </w:t>
      </w:r>
      <w:r w:rsidRPr="0041399D">
        <w:rPr>
          <w:rStyle w:val="StyleUnderline"/>
        </w:rPr>
        <w:t xml:space="preserve">Financing for biopharma remained </w:t>
      </w:r>
      <w:r w:rsidRPr="0041399D">
        <w:rPr>
          <w:rStyle w:val="Emphasis"/>
        </w:rPr>
        <w:t>fairly robust</w:t>
      </w:r>
      <w:r w:rsidRPr="0041399D">
        <w:rPr>
          <w:rStyle w:val="StyleUnderline"/>
        </w:rPr>
        <w:t xml:space="preserve"> through the </w:t>
      </w:r>
      <w:r w:rsidRPr="0041399D">
        <w:rPr>
          <w:rStyle w:val="Emphasis"/>
        </w:rPr>
        <w:t>2001 downturn</w:t>
      </w:r>
      <w:r w:rsidRPr="0041399D">
        <w:rPr>
          <w:rStyle w:val="StyleUnderline"/>
        </w:rPr>
        <w:t>, driven by an increase in financing for essential and time-sensitive therapeutic areas including oncology, cardiovascular, and infectious diseases.</w:t>
      </w:r>
      <w:r w:rsidRPr="0041399D">
        <w:rPr>
          <w:sz w:val="12"/>
        </w:rPr>
        <w:t xml:space="preserve"> Picture2 Financing for respiratory products saw a temporary 10-fold spike immediately after the 9/11 attacks, perhaps catalyzed by the vulnerabilities and unmet needs exposed in the treatment of first responders for the inhalation of toxic dust that cost the city of NY &gt;$6B. The COVID crisis might trigger similar spikes for ventilators, masks and other PPE as well as for digital health tools that seek to address the surging mental health crisis. A sudden liquidity crunch might have driven rapid consolidation in generic products post 9/11. We might see another influx of capital towards generics in 2020, driven by the increasing pricing pressures and an effort to reduce dependence on China. Picture3 Chronic conditions like metabolic diseases, along with elective or non-essential areas like orthopedics, implants, imaging, and dental products saw a sharp decline in financing and M&amp;A activity. </w:t>
      </w:r>
      <w:r w:rsidRPr="0041399D">
        <w:rPr>
          <w:rStyle w:val="StyleUnderline"/>
        </w:rPr>
        <w:t>The 2020 downturn is likely to see an even steeper decline with mandatory deferrals of elective and non-essential surgeries globally</w:t>
      </w:r>
      <w:r w:rsidRPr="0041399D">
        <w:rPr>
          <w:sz w:val="12"/>
        </w:rPr>
        <w:t xml:space="preserve">. Picture4 The 2001 downturn also drove a shift of financing from higher-risk private ventures to investments in more stable public markets. M&amp;A deal structures fell from ~40% cash-only deals down to ~10% cash-only deals but made a quick ‘V shaped’ recovery within a year, with the majority of deals moving to a combination of cash and stock. Picture5 </w:t>
      </w:r>
      <w:r w:rsidRPr="0041399D">
        <w:rPr>
          <w:rStyle w:val="Emphasis"/>
        </w:rPr>
        <w:t>This quick ‘V-shaped’ recovery in 2001</w:t>
      </w:r>
      <w:r w:rsidRPr="0041399D">
        <w:rPr>
          <w:sz w:val="12"/>
        </w:rPr>
        <w:t xml:space="preserve"> was a result of concerted efforts through expansionary monetary and fiscal policy along with security measures that restored ‘normalcy’ to American society and way of life. The country bounced back to the same level of air travel in as early as 6-8 weeks. Unlike the rapid confidence-building measures put in place after 9/11, the US government’s response the COVID-19 crisis has been too little, too late. The global nature of this pandemic, long timelines for vaccine development, and high uncertainty from prolonged social distancing makes such a rapid recovery highly unlikely. </w:t>
      </w:r>
      <w:r w:rsidRPr="0041399D">
        <w:rPr>
          <w:rStyle w:val="StyleUnderline"/>
        </w:rPr>
        <w:t>The Great Recession in 2008 The 2008 financial crisis was a systemic failure driven by an over-leveraged housing market that led to a global recession.</w:t>
      </w:r>
      <w:r w:rsidRPr="0041399D">
        <w:rPr>
          <w:sz w:val="12"/>
        </w:rPr>
        <w:t xml:space="preserve"> </w:t>
      </w:r>
      <w:r w:rsidRPr="0041399D">
        <w:rPr>
          <w:rStyle w:val="Emphasis"/>
        </w:rPr>
        <w:t>The life sciences</w:t>
      </w:r>
      <w:r w:rsidRPr="0041399D">
        <w:rPr>
          <w:rStyle w:val="StyleUnderline"/>
        </w:rPr>
        <w:t xml:space="preserve">, like all other industries, </w:t>
      </w:r>
      <w:r w:rsidRPr="0041399D">
        <w:rPr>
          <w:rStyle w:val="Emphasis"/>
        </w:rPr>
        <w:t>felt the impact</w:t>
      </w:r>
      <w:r w:rsidRPr="0041399D">
        <w:rPr>
          <w:rStyle w:val="StyleUnderline"/>
        </w:rPr>
        <w:t>. Public and private fell 45% in the first six months and another 54% in the next six months before a strong recovery over the 12-18 months following the crisis. The biopharma sector, in particular, witnessed a 65% growth in funding compared to pre-crisis levels while devices saw an increase of 38%. Medtech funding came back to pre-crisis levels</w:t>
      </w:r>
      <w:r w:rsidRPr="0041399D">
        <w:rPr>
          <w:sz w:val="12"/>
        </w:rPr>
        <w:t xml:space="preserve">. Diagnostics and Digital Health &amp; IT did not recover until much later. The value of M&amp;A deals in the industry fell by ~40% in the first six months, driven by a 80-90% decline in MedTech and devices but only a ~10% fall in biopharma. </w:t>
      </w:r>
      <w:r w:rsidRPr="0041399D">
        <w:rPr>
          <w:rStyle w:val="StyleUnderline"/>
        </w:rPr>
        <w:t xml:space="preserve">As the recession deepened, however, </w:t>
      </w:r>
      <w:r w:rsidRPr="0041399D">
        <w:rPr>
          <w:rStyle w:val="Emphasis"/>
        </w:rPr>
        <w:t>all sectors of the industry</w:t>
      </w:r>
      <w:r w:rsidRPr="0041399D">
        <w:rPr>
          <w:rStyle w:val="StyleUnderline"/>
        </w:rPr>
        <w:t xml:space="preserve"> continued to </w:t>
      </w:r>
      <w:r w:rsidRPr="0041399D">
        <w:rPr>
          <w:rStyle w:val="Emphasis"/>
        </w:rPr>
        <w:t>decline</w:t>
      </w:r>
      <w:r w:rsidRPr="0041399D">
        <w:rPr>
          <w:rStyle w:val="StyleUnderline"/>
        </w:rPr>
        <w:t xml:space="preserve"> even 18 months post-crisis.Picture6 Across therapeutic areas, oncology remained the most robust with 15-30% declines in funding for a year followed by a sudden influx of capital to 3x that of pre-crisis funding, fueled by stable demand as well as high growth in approvals and revenues before the crisis.</w:t>
      </w:r>
      <w:r w:rsidRPr="0041399D">
        <w:rPr>
          <w:sz w:val="12"/>
        </w:rPr>
        <w:t xml:space="preserve"> Other therapeutic areas with relatively inelastic demand like cardiovascular and immunology also recovered within 18 months. Large consumer health players took advantage of the cash shortage and depressed valuations, as is reflected in the rapid consolidation seen in the space soon after the crisis. Picture7 Financing for tissue regeneration and transplants, women’s health, and dermatology saw a very slow recovery, reaching &lt;60% of pre-recession funding levels even 18 months after the crisis. M&amp;A activities in non-essential or auxiliary areas like implants and ophthalmology fell to 10% of pre-crisis levels and struggled to recover. This observation from the Great Recession further strengthens the hypothesis from the 2001 crisis that the non-essential MedTech sector will see a steeper decline in funding and a slower recovery than other life science sectors even in 2020. Picture8 Despite extreme expansionary monetary policy measures in the US, the shift from private to public investment as well as all-cash deals to a combination of cash and stock was even more pronounced in the 2008 recession due to the high uncertainty from loan defaults, bankruptcies, and high unemployment. The mounting uncertainty from a rapidly spreading virus with no treatment or vaccine and global social distancing measures in 2020 does not bode well for the economy. With direct visibility to these timelines, the biopharma sector can mitigate this impact by taking advantage of lower interest rates and planning new financing and M&amp;A activity to maximize the returns on their investments. Picture9 The Great Lockdown of 2020 Global social distancing measures in the Great Lockdown of 2020 are shutting down the real economy. As a society, we have never done this before. As this impact bleeds into the financial economy, it will likely lead to a banking sector crisis with higher unemployment, defaults on loans, and bankruptcies. Compounded with the lack of confidence-building measures, the recovery path from this crisis will possibly resemble a ‘U shaped’ recovery as seen in the Great Recession rather than the more desirable ‘V shape’ as seen in 2001. Most recessions are usually associated with one major shock. Here, however, we may have </w:t>
      </w:r>
      <w:r w:rsidRPr="0041399D">
        <w:rPr>
          <w:sz w:val="12"/>
        </w:rPr>
        <w:lastRenderedPageBreak/>
        <w:t xml:space="preserve">aftershocks from the recurrence of the virus or from repeated social distancing measures, suggesting the possibility of a ‘W shaped’ recovery for the global economy. Further, the market may also witness temporary bouncebacks or shocks based on updates from promising clinical trials like Gilead’s remdesivir or Moderna’s RNA-based vaccine. Picture10 </w:t>
      </w:r>
      <w:r w:rsidRPr="0041399D">
        <w:rPr>
          <w:rStyle w:val="StyleUnderline"/>
        </w:rPr>
        <w:t>The life sciences industry could witness a more stable ‘U shaped’ path with a quicker ‘V shaped’ recovery for specific segments like vaccines and diagnostics. The diagnostics industry will emerge as a winner – we can expect to see an influx of capital as companies rush to develop a host of COVID-19 diagnostic kits that will fundamentally change the global approach to infectious diseases.</w:t>
      </w:r>
      <w:r w:rsidRPr="0041399D">
        <w:rPr>
          <w:sz w:val="12"/>
        </w:rPr>
        <w:t xml:space="preserve"> </w:t>
      </w:r>
      <w:r w:rsidRPr="0041399D">
        <w:rPr>
          <w:rStyle w:val="StyleUnderline"/>
        </w:rPr>
        <w:t xml:space="preserve">As in other crises, </w:t>
      </w:r>
      <w:r w:rsidRPr="0041399D">
        <w:rPr>
          <w:rStyle w:val="Emphasis"/>
        </w:rPr>
        <w:t>biopharma is likely to remain resilient</w:t>
      </w:r>
      <w:r w:rsidRPr="0041399D">
        <w:rPr>
          <w:rStyle w:val="StyleUnderline"/>
        </w:rPr>
        <w:t xml:space="preserve"> and could recover in the second wave of investments as the pandemic is curtailed and the vulnerabilities in other chronic conditions are further exposed.</w:t>
      </w:r>
      <w:r w:rsidRPr="0041399D">
        <w:rPr>
          <w:sz w:val="12"/>
        </w:rPr>
        <w:t xml:space="preserve"> </w:t>
      </w:r>
      <w:r w:rsidRPr="0041399D">
        <w:rPr>
          <w:rStyle w:val="StyleUnderline"/>
        </w:rPr>
        <w:t xml:space="preserve">Digital technologies will enable recovery across sectors as we witness a shift in treatment paradigms. The MedTech sector will arguably dip even more than in previous crises with a halt on elective procedures and a shift of capital to lower margin products like ventilators and PPE, following a </w:t>
      </w:r>
      <w:r w:rsidRPr="0041399D">
        <w:rPr>
          <w:rStyle w:val="Emphasis"/>
        </w:rPr>
        <w:t>deeper ‘U shaped’ recovery</w:t>
      </w:r>
      <w:r w:rsidRPr="0041399D">
        <w:rPr>
          <w:rStyle w:val="StyleUnderline"/>
        </w:rPr>
        <w:t>.</w:t>
      </w:r>
      <w:r w:rsidRPr="0041399D">
        <w:rPr>
          <w:sz w:val="12"/>
        </w:rPr>
        <w:t xml:space="preserve"> Global economies look to the life sciences to streamline research and development and accelerate the development of diagnostics, vaccines, and therapeutics. </w:t>
      </w:r>
      <w:r w:rsidRPr="0041399D">
        <w:rPr>
          <w:rStyle w:val="StyleUnderline"/>
        </w:rPr>
        <w:t>The optimization of manufacturing processes and supply chains will be necessary to meet the unprecedented challenge of scaling up and delivering these products globally while reducing dependence on China.</w:t>
      </w:r>
      <w:r w:rsidRPr="0041399D">
        <w:rPr>
          <w:sz w:val="12"/>
        </w:rPr>
        <w:t xml:space="preserve"> </w:t>
      </w:r>
      <w:r w:rsidRPr="0041399D">
        <w:rPr>
          <w:rStyle w:val="StyleUnderline"/>
        </w:rPr>
        <w:t>Vulnerable populations that once sought refuge in the now-overwhelmed healthcare system look to the industry to provide much-needed patient support through digital health innovations including telehealth and mental health tools</w:t>
      </w:r>
      <w:r w:rsidRPr="0041399D">
        <w:rPr>
          <w:sz w:val="12"/>
        </w:rPr>
        <w:t xml:space="preserve">. </w:t>
      </w:r>
      <w:r w:rsidRPr="0041399D">
        <w:rPr>
          <w:rStyle w:val="StyleUnderline"/>
        </w:rPr>
        <w:t xml:space="preserve">Timely and appropriate financing and M&amp;A activities will allow companies to build capabilities in digital health and technology and strengthen supply chains that will deliver solutions to this global crisis and </w:t>
      </w:r>
      <w:r w:rsidRPr="0041399D">
        <w:rPr>
          <w:rStyle w:val="Emphasis"/>
        </w:rPr>
        <w:t>mitigate the impact</w:t>
      </w:r>
      <w:r w:rsidRPr="0041399D">
        <w:rPr>
          <w:rStyle w:val="StyleUnderline"/>
        </w:rPr>
        <w:t xml:space="preserve"> of the downturn on the </w:t>
      </w:r>
      <w:r w:rsidRPr="0041399D">
        <w:rPr>
          <w:rStyle w:val="Emphasis"/>
        </w:rPr>
        <w:t>life sciences industry</w:t>
      </w:r>
      <w:r w:rsidRPr="0041399D">
        <w:rPr>
          <w:rStyle w:val="StyleUnderline"/>
        </w:rPr>
        <w:t>.</w:t>
      </w:r>
    </w:p>
    <w:p w14:paraId="17FB1B98" w14:textId="175E577C" w:rsidR="0065494F" w:rsidRDefault="0065494F" w:rsidP="00B87E81">
      <w:pPr>
        <w:contextualSpacing/>
        <w:rPr>
          <w:rStyle w:val="StyleUnderline"/>
        </w:rPr>
      </w:pPr>
    </w:p>
    <w:p w14:paraId="03AEEF85" w14:textId="77777777" w:rsidR="0065494F" w:rsidRPr="000305E8" w:rsidRDefault="0065494F" w:rsidP="0065494F">
      <w:pPr>
        <w:pStyle w:val="Heading4"/>
      </w:pPr>
      <w:r w:rsidRPr="000305E8">
        <w:t>Biopharma sales resilient</w:t>
      </w:r>
    </w:p>
    <w:p w14:paraId="69276162" w14:textId="77777777" w:rsidR="0065494F" w:rsidRDefault="0065494F" w:rsidP="0065494F">
      <w:r w:rsidRPr="000305E8">
        <w:rPr>
          <w:rStyle w:val="Style13ptBold"/>
        </w:rPr>
        <w:t>Health Advances, May 2020</w:t>
      </w:r>
      <w:r w:rsidRPr="000305E8">
        <w:t xml:space="preserve"> Health Advances “Biopharma Sales Resilience through Economic Recession</w:t>
      </w:r>
      <w:r>
        <w:t>”</w:t>
      </w:r>
    </w:p>
    <w:p w14:paraId="26CFE2EA" w14:textId="77777777" w:rsidR="0065494F" w:rsidRPr="000305E8" w:rsidRDefault="0065494F" w:rsidP="0065494F">
      <w:r>
        <w:t>Health Advances is a group of consultants and strategy analyst for the healthcare industry</w:t>
      </w:r>
    </w:p>
    <w:p w14:paraId="1040FD95" w14:textId="77777777" w:rsidR="0065494F" w:rsidRPr="000305E8" w:rsidRDefault="0065494F" w:rsidP="0065494F">
      <w:r w:rsidRPr="000305E8">
        <w:t>https://healthadvances.com/whitepaper/health-advances-biopharma-recession.pdf</w:t>
      </w:r>
    </w:p>
    <w:p w14:paraId="284CF70D" w14:textId="77777777" w:rsidR="0065494F" w:rsidRPr="000305E8" w:rsidRDefault="0065494F" w:rsidP="0065494F">
      <w:pPr>
        <w:rPr>
          <w:rStyle w:val="StyleUnderline"/>
        </w:rPr>
      </w:pPr>
      <w:r w:rsidRPr="000305E8">
        <w:rPr>
          <w:rStyle w:val="StyleUnderline"/>
        </w:rPr>
        <w:t xml:space="preserve">The biopharma industry is generally more resilient to economic recessions than other sectors, including the healthcare sector at large. </w:t>
      </w:r>
    </w:p>
    <w:p w14:paraId="2BAE70DC" w14:textId="77777777" w:rsidR="0065494F" w:rsidRDefault="0065494F" w:rsidP="0065494F"/>
    <w:p w14:paraId="5E2C782B" w14:textId="77777777" w:rsidR="0065494F" w:rsidRDefault="0065494F" w:rsidP="0065494F">
      <w:pPr>
        <w:pStyle w:val="Heading4"/>
      </w:pPr>
      <w:r>
        <w:t>Recession proves strength of biopharma industry</w:t>
      </w:r>
    </w:p>
    <w:p w14:paraId="6B0AF810" w14:textId="77777777" w:rsidR="0065494F" w:rsidRDefault="0065494F" w:rsidP="0065494F">
      <w:r w:rsidRPr="000305E8">
        <w:rPr>
          <w:rStyle w:val="Style13ptBold"/>
        </w:rPr>
        <w:t>Joshua Cohen, Oct 2nd, 2019</w:t>
      </w:r>
      <w:r w:rsidRPr="000305E8">
        <w:t>, Forbes “How Recession is proof of the pharmaceutical industry”</w:t>
      </w:r>
      <w:r>
        <w:t xml:space="preserve"> </w:t>
      </w:r>
    </w:p>
    <w:p w14:paraId="1EDB73FA" w14:textId="77777777" w:rsidR="0065494F" w:rsidRPr="000305E8" w:rsidRDefault="0065494F" w:rsidP="0065494F">
      <w:r>
        <w:t xml:space="preserve">Cohen is expert healthcare analyst with over 22 years of experience </w:t>
      </w:r>
    </w:p>
    <w:p w14:paraId="63FD0287" w14:textId="77777777" w:rsidR="0065494F" w:rsidRDefault="00E51DC3" w:rsidP="0065494F">
      <w:hyperlink r:id="rId49" w:anchor="3413642b7fd1" w:history="1">
        <w:r w:rsidR="0065494F" w:rsidRPr="005504F2">
          <w:rPr>
            <w:rStyle w:val="Hyperlink"/>
          </w:rPr>
          <w:t>https://www.forbes.com/sites/joshuacohen/2019/10/02/how-recession-proof-is-the-pharmaceutical-industry/#3413642b7fd1</w:t>
        </w:r>
      </w:hyperlink>
    </w:p>
    <w:p w14:paraId="7C56E488" w14:textId="77777777" w:rsidR="0065494F" w:rsidRPr="00AA3EE6" w:rsidRDefault="0065494F" w:rsidP="0065494F">
      <w:pPr>
        <w:rPr>
          <w:rStyle w:val="StyleUnderline"/>
        </w:rPr>
      </w:pPr>
      <w:r w:rsidRPr="00AA3EE6">
        <w:rPr>
          <w:rStyle w:val="StyleUnderline"/>
        </w:rPr>
        <w:t>There are warning signs of a an imminent U.S. recession. Yesterday’s release of </w:t>
      </w:r>
      <w:hyperlink r:id="rId50" w:tgtFrame="_blank" w:history="1">
        <w:r w:rsidRPr="00AA3EE6">
          <w:rPr>
            <w:rStyle w:val="StyleUnderline"/>
          </w:rPr>
          <w:t>data</w:t>
        </w:r>
      </w:hyperlink>
      <w:r w:rsidRPr="00AA3EE6">
        <w:rPr>
          <w:rStyle w:val="StyleUnderline"/>
        </w:rPr>
        <w:t> showing a worldwide slump in manufacturing may be the most ominous sign yet. The U.S. manufacturing index sunk to its lowest level in 10 years.</w:t>
      </w:r>
    </w:p>
    <w:p w14:paraId="2C8A4066" w14:textId="77777777" w:rsidR="0065494F" w:rsidRPr="000305E8" w:rsidRDefault="0065494F" w:rsidP="0065494F">
      <w:r w:rsidRPr="00AA3EE6">
        <w:rPr>
          <w:rStyle w:val="StyleUnderline"/>
        </w:rPr>
        <w:t>The global economic downturn is another signal, as are the ongoing trade conflicts between the U.S. and China, and the U.S. and Europe.</w:t>
      </w:r>
      <w:r w:rsidRPr="000305E8">
        <w:t xml:space="preserve"> The financial media has also cited the inverted curve – yield on short-</w:t>
      </w:r>
      <w:r w:rsidRPr="000305E8">
        <w:lastRenderedPageBreak/>
        <w:t>term bonds is higher than long-term bonds – as a potential indicator. Finally, political factors in the U.S. (impeachment, election) and U.K. (Brexit) portend a difficult path ahead for the global economy. </w:t>
      </w:r>
    </w:p>
    <w:p w14:paraId="4ED560CC" w14:textId="77777777" w:rsidR="0065494F" w:rsidRPr="000305E8" w:rsidRDefault="0065494F" w:rsidP="0065494F">
      <w:r w:rsidRPr="000305E8">
        <w:t>In the face of a possible recession, what are the drug industry’s prospects? </w:t>
      </w:r>
    </w:p>
    <w:p w14:paraId="6AEF407B" w14:textId="77777777" w:rsidR="0065494F" w:rsidRPr="000305E8" w:rsidRDefault="0065494F" w:rsidP="0065494F">
      <w:r w:rsidRPr="000305E8">
        <w:t>Sometimes history offers lessons. Recent history, for example, suggests that </w:t>
      </w:r>
      <w:hyperlink r:id="rId51" w:tgtFrame="_blank" w:history="1">
        <w:r w:rsidRPr="000305E8">
          <w:rPr>
            <w:rStyle w:val="Hyperlink"/>
          </w:rPr>
          <w:t>no industry</w:t>
        </w:r>
      </w:hyperlink>
      <w:r w:rsidRPr="000305E8">
        <w:t> was fully recession-proof during the Great Recession. </w:t>
      </w:r>
    </w:p>
    <w:p w14:paraId="7789AEBC" w14:textId="77777777" w:rsidR="0065494F" w:rsidRPr="00AA3EE6" w:rsidRDefault="0065494F" w:rsidP="0065494F">
      <w:pPr>
        <w:rPr>
          <w:rStyle w:val="StyleUnderline"/>
        </w:rPr>
      </w:pPr>
      <w:r w:rsidRPr="00AA3EE6">
        <w:rPr>
          <w:rStyle w:val="StyleUnderline"/>
        </w:rPr>
        <w:t>Surprisingly, however, several biopharmaceutical companies’ stock prices fared well during the Great Recession, most notably Amgen. Other large firms, such as Pfizer and Bristol-Myers Squibb, had </w:t>
      </w:r>
      <w:hyperlink r:id="rId52" w:tgtFrame="_blank" w:history="1">
        <w:r w:rsidRPr="00AA3EE6">
          <w:rPr>
            <w:rStyle w:val="StyleUnderline"/>
          </w:rPr>
          <w:t>sales growth</w:t>
        </w:r>
      </w:hyperlink>
      <w:r w:rsidRPr="00AA3EE6">
        <w:rPr>
          <w:rStyle w:val="StyleUnderline"/>
        </w:rPr>
        <w:t> of 7% and 8%, respectively, in 2009. </w:t>
      </w:r>
    </w:p>
    <w:p w14:paraId="78014C78" w14:textId="77777777" w:rsidR="0065494F" w:rsidRPr="00AA3EE6" w:rsidRDefault="0065494F" w:rsidP="0065494F">
      <w:pPr>
        <w:rPr>
          <w:rStyle w:val="StyleUnderline"/>
        </w:rPr>
      </w:pPr>
      <w:r w:rsidRPr="00AA3EE6">
        <w:rPr>
          <w:rStyle w:val="StyleUnderline"/>
        </w:rPr>
        <w:t>Nonetheless, as a whole, the biopharmaceutical industry experienced a </w:t>
      </w:r>
      <w:hyperlink r:id="rId53" w:tgtFrame="_blank" w:history="1">
        <w:r w:rsidRPr="00AA3EE6">
          <w:rPr>
            <w:rStyle w:val="StyleUnderline"/>
          </w:rPr>
          <w:t>precipitous drop</w:t>
        </w:r>
      </w:hyperlink>
      <w:r w:rsidRPr="00AA3EE6">
        <w:rPr>
          <w:rStyle w:val="StyleUnderline"/>
        </w:rPr>
        <w:t> in the compound annual growth rate of R&amp;D spending in 2008 and 2009. In absolute terms, the industry also allocated fewer resources towards R&amp;D. </w:t>
      </w:r>
    </w:p>
    <w:p w14:paraId="64DF8044" w14:textId="77777777" w:rsidR="0065494F" w:rsidRPr="000305E8" w:rsidRDefault="0065494F" w:rsidP="0065494F">
      <w:r w:rsidRPr="00AA3EE6">
        <w:rPr>
          <w:rStyle w:val="StyleUnderline"/>
        </w:rPr>
        <w:t>An obvious place to look for vulnerability in the healthcare sector is spending on elective or discretionary procedures.</w:t>
      </w:r>
      <w:r w:rsidRPr="000305E8">
        <w:t xml:space="preserve"> These might be put off. </w:t>
      </w:r>
    </w:p>
    <w:p w14:paraId="6D48A776" w14:textId="77777777" w:rsidR="0065494F" w:rsidRPr="000305E8" w:rsidRDefault="0065494F" w:rsidP="0065494F">
      <w:r w:rsidRPr="000305E8">
        <w:t>But, most patient demand for healthcare is relatively inelastic, which means that it is not especially price sensitive and often cannot be delayed. Stable demand for services and technologies acts as a protective barrier for healthcare as a sector, and biopharmaceuticals, in particular. This certainly applies to the orphan and cancer drug space, in which there is currently tremendous growth in terms of numbers of </w:t>
      </w:r>
      <w:hyperlink r:id="rId54" w:tgtFrame="_blank" w:history="1">
        <w:r w:rsidRPr="000305E8">
          <w:rPr>
            <w:rStyle w:val="Hyperlink"/>
          </w:rPr>
          <w:t>approvals</w:t>
        </w:r>
      </w:hyperlink>
      <w:r w:rsidRPr="000305E8">
        <w:t> and </w:t>
      </w:r>
      <w:hyperlink r:id="rId55" w:tgtFrame="_blank" w:history="1">
        <w:r w:rsidRPr="000305E8">
          <w:rPr>
            <w:rStyle w:val="Hyperlink"/>
          </w:rPr>
          <w:t>revenues</w:t>
        </w:r>
      </w:hyperlink>
      <w:r w:rsidRPr="000305E8">
        <w:t>.</w:t>
      </w:r>
    </w:p>
    <w:p w14:paraId="174D5640" w14:textId="77777777" w:rsidR="0065494F" w:rsidRPr="00B35423" w:rsidRDefault="0065494F" w:rsidP="0065494F">
      <w:pPr>
        <w:rPr>
          <w:u w:val="single"/>
        </w:rPr>
      </w:pPr>
      <w:r w:rsidRPr="00AA3EE6">
        <w:rPr>
          <w:rStyle w:val="StyleUnderline"/>
        </w:rPr>
        <w:t>The biopharmaceutical industry is heterogeneous, which makes any generalization concerning the potential impact of a recession problematic. It’s important therefore to differentiate the potential impact of recession on different industry players.</w:t>
      </w:r>
      <w:r w:rsidRPr="000305E8">
        <w:t xml:space="preserve"> For example, the </w:t>
      </w:r>
      <w:r w:rsidRPr="00AA3EE6">
        <w:rPr>
          <w:rStyle w:val="StyleUnderline"/>
        </w:rPr>
        <w:t>generics industry would likely be impacted differently than the research-based drug industry.</w:t>
      </w:r>
    </w:p>
    <w:p w14:paraId="0CF29CCF" w14:textId="77777777" w:rsidR="0065494F" w:rsidRDefault="0065494F" w:rsidP="0065494F"/>
    <w:p w14:paraId="52767695" w14:textId="77777777" w:rsidR="0065494F" w:rsidRDefault="0065494F" w:rsidP="0065494F">
      <w:pPr>
        <w:pStyle w:val="Heading4"/>
      </w:pPr>
      <w:r>
        <w:t>Next Gen Biopharma companies prove resiliency through COVID</w:t>
      </w:r>
    </w:p>
    <w:p w14:paraId="25B0139D" w14:textId="77777777" w:rsidR="0065494F" w:rsidRDefault="0065494F" w:rsidP="0065494F">
      <w:r w:rsidRPr="00B35423">
        <w:t>Hussain</w:t>
      </w:r>
      <w:r w:rsidRPr="00755F2B">
        <w:rPr>
          <w:rStyle w:val="Style13ptBold"/>
        </w:rPr>
        <w:t xml:space="preserve"> Mooraj, </w:t>
      </w:r>
      <w:r w:rsidRPr="00B35423">
        <w:t>5-21-</w:t>
      </w:r>
      <w:r>
        <w:rPr>
          <w:rStyle w:val="Style13ptBold"/>
        </w:rPr>
        <w:t>2020</w:t>
      </w:r>
      <w:r w:rsidRPr="00AA3EE6">
        <w:t xml:space="preserve">, Deloitte “Next gen companies face resiliency during COVID-19” </w:t>
      </w:r>
      <w:r w:rsidRPr="00AA3EE6">
        <w:rPr>
          <w:rFonts w:eastAsiaTheme="majorEastAsia"/>
        </w:rPr>
        <w:t> </w:t>
      </w:r>
      <w:r>
        <w:t>P</w:t>
      </w:r>
      <w:r w:rsidRPr="00AA3EE6">
        <w:t>rincipal, NextGen Therapy practice lead, Deloitte Consulting LLP</w:t>
      </w:r>
      <w:r>
        <w:t xml:space="preserve"> </w:t>
      </w:r>
      <w:hyperlink r:id="rId56" w:history="1">
        <w:r w:rsidRPr="000F380F">
          <w:rPr>
            <w:rStyle w:val="Hyperlink"/>
          </w:rPr>
          <w:t>https://www2.deloitte.com/us/en/blog/health-care-blog/2020/next-gen-companies-face-resiliency-test-during-covid-19.html</w:t>
        </w:r>
      </w:hyperlink>
    </w:p>
    <w:p w14:paraId="6EED2D92" w14:textId="77777777" w:rsidR="0065494F" w:rsidRPr="000305E8" w:rsidRDefault="0065494F" w:rsidP="0065494F">
      <w:r w:rsidRPr="00AA3EE6">
        <w:rPr>
          <w:rStyle w:val="StyleUnderline"/>
        </w:rPr>
        <w:t>In the early days of the COVID-19 pandemic, some biopharmaceutical companies shifted gears and began developing treatments for patients who contracted the disease—and vaccines to keep others from acquirin</w:t>
      </w:r>
      <w:r w:rsidRPr="000305E8">
        <w:t>g it. Along with the Deloitte Center for Health Solutions, we interviewed 20 senior executives from global cell and gene therapies (CGT) companies, partners, treatment sites, and academic institutions, to learn about their</w:t>
      </w:r>
      <w:r w:rsidRPr="000305E8">
        <w:rPr>
          <w:rFonts w:eastAsiaTheme="majorEastAsia"/>
        </w:rPr>
        <w:t> </w:t>
      </w:r>
      <w:hyperlink r:id="rId57" w:tgtFrame="_blank" w:history="1">
        <w:r w:rsidRPr="000305E8">
          <w:rPr>
            <w:rStyle w:val="Hyperlink"/>
            <w:rFonts w:eastAsiaTheme="majorEastAsia"/>
          </w:rPr>
          <w:t>ongoing operational challenges</w:t>
        </w:r>
      </w:hyperlink>
      <w:r w:rsidRPr="000305E8">
        <w:t>. Many of them are involved in ongoing trials and several of them had commercialized products. On May 7, Deloitte’s NextGen Therapies practice facilitated an Industry Working Group (IWG) session where 35 executives from 20 institutions (including manufacturers, standards bodies, and providers) shared some of the strategies they implemented early to combat and minimize the impact of the pandemic.</w:t>
      </w:r>
    </w:p>
    <w:p w14:paraId="1BFA3B71" w14:textId="77777777" w:rsidR="0065494F" w:rsidRPr="000305E8" w:rsidRDefault="0065494F" w:rsidP="0065494F">
      <w:r w:rsidRPr="000305E8">
        <w:t>Strategies employed to minimize disruptions</w:t>
      </w:r>
    </w:p>
    <w:p w14:paraId="69C72C33" w14:textId="77777777" w:rsidR="0065494F" w:rsidRPr="000305E8" w:rsidRDefault="0065494F" w:rsidP="0065494F">
      <w:r w:rsidRPr="000305E8">
        <w:lastRenderedPageBreak/>
        <w:t>The COVID-19 pandemic affected three key areas in this ecosystem:</w:t>
      </w:r>
    </w:p>
    <w:p w14:paraId="18F78BAD" w14:textId="77777777" w:rsidR="0065494F" w:rsidRPr="000305E8" w:rsidRDefault="0065494F" w:rsidP="0065494F">
      <w:r w:rsidRPr="00AA3EE6">
        <w:rPr>
          <w:rStyle w:val="StyleUnderline"/>
        </w:rPr>
        <w:t>The value chain:</w:t>
      </w:r>
      <w:r w:rsidRPr="00AA3EE6">
        <w:rPr>
          <w:rStyle w:val="StyleUnderline"/>
          <w:rFonts w:eastAsiaTheme="majorEastAsia"/>
        </w:rPr>
        <w:t> </w:t>
      </w:r>
      <w:r w:rsidRPr="00AA3EE6">
        <w:rPr>
          <w:rStyle w:val="StyleUnderline"/>
        </w:rPr>
        <w:t>The COVID-19 pandemic has significantly disrupted the value chain for CGT manufacturers. We define value chain as a series of business operations in which utility is added to the goods and services offered by an organization to enhance customer value. It refers to the process of sourcing, procurement, conversion, and logistics, which becomes a complex network in the CGT world.</w:t>
      </w:r>
      <w:r w:rsidRPr="000305E8">
        <w:t xml:space="preserve"> Some of the executives we interviewed said they were trying to keep their heads above water and keep the value chain from breaking. Even in the best of times, it can be difficult to maintain tight coordination of the CGT supply chain, which is highly time sensitive. Travel bans, import/export restrictions in various countries, and access to raw materials and samples has created major bottlenecks. Despite these challenges, companies such as </w:t>
      </w:r>
      <w:r w:rsidRPr="00AA3EE6">
        <w:rPr>
          <w:rStyle w:val="StyleUnderline"/>
        </w:rPr>
        <w:t>Autobus Therapeutics told us their early and corrective measures allowed them to maintain both product supply and development activities, including the filing and acceptance of an investigational new drug application (IND). Autolus, along with others, established a crisis-management team representing cross-functional leadership to manage impacts due to the outbreak.</w:t>
      </w:r>
      <w:r w:rsidRPr="000305E8">
        <w:t xml:space="preserve"> </w:t>
      </w:r>
      <w:r w:rsidRPr="00AA3EE6">
        <w:rPr>
          <w:rStyle w:val="StyleUnderline"/>
        </w:rPr>
        <w:t>They were able to quickly transition into a distributed network</w:t>
      </w:r>
      <w:r w:rsidRPr="000305E8">
        <w:t>. With the aid of a cloud-first strategy, they enabled remote-working options to access business-critical systems while building robust dashboards, which gave them a control-tower view of all their CGT operations. Novartis typically uses passenger aircrafts to transport its CAR-T therapy (Kymriah) between Europe and the US. In response to international travel bans, the company secured alternate shipment options to avoid delays that could affect treatment.1</w:t>
      </w:r>
      <w:r w:rsidRPr="000305E8">
        <w:rPr>
          <w:rFonts w:eastAsiaTheme="majorEastAsia"/>
        </w:rPr>
        <w:t> </w:t>
      </w:r>
      <w:r w:rsidRPr="000305E8">
        <w:t>Being prepared and acting early helped these organizations stay resilient and determined along their CGT journey.</w:t>
      </w:r>
    </w:p>
    <w:p w14:paraId="6BB63BF2" w14:textId="77777777" w:rsidR="0065494F" w:rsidRPr="000305E8" w:rsidRDefault="0065494F" w:rsidP="0065494F">
      <w:r w:rsidRPr="00AA3EE6">
        <w:rPr>
          <w:rStyle w:val="StyleUnderline"/>
        </w:rPr>
        <w:t>Ensuring clinical program pipeline continuity:</w:t>
      </w:r>
      <w:r w:rsidRPr="00AA3EE6">
        <w:rPr>
          <w:rStyle w:val="StyleUnderline"/>
          <w:rFonts w:eastAsiaTheme="majorEastAsia"/>
        </w:rPr>
        <w:t> </w:t>
      </w:r>
      <w:r w:rsidRPr="00AA3EE6">
        <w:rPr>
          <w:rStyle w:val="StyleUnderline"/>
        </w:rPr>
        <w:t>CGT clinical operations are typically restricted to a few specialized (and certified) medical centers, which tend to be located in large metropolitan areas. This requires patients, caregivers, and other relevant stakeholders to commute to such sites. This can pose a major pain-point and increase the health risk to all.</w:t>
      </w:r>
      <w:r w:rsidRPr="000305E8">
        <w:t xml:space="preserve"> Shortly after COVID-19 was declared a pandemic, the US Food and Drug Administration (FDA) issued guidance to temporarily allow researchers to use virtual visits, telephone interviews, and remote monitoring to collect data for clinical trials where possible.2</w:t>
      </w:r>
      <w:r w:rsidRPr="000305E8">
        <w:rPr>
          <w:rFonts w:eastAsiaTheme="majorEastAsia"/>
        </w:rPr>
        <w:t> </w:t>
      </w:r>
      <w:r w:rsidRPr="000305E8">
        <w:t xml:space="preserve">During our IWG meeting, various strategies to mitigate the impact on ongoing clinical investigations of CGTs were discussed. </w:t>
      </w:r>
      <w:r w:rsidRPr="00AA3EE6">
        <w:rPr>
          <w:rStyle w:val="StyleUnderline"/>
        </w:rPr>
        <w:t xml:space="preserve">Representatives from one biopharma company said they instituted an “all hands on deck” theme where daily R&amp;D operations were tracked to assess risk to patient schedules. Taking inputs from their supply chain, accounting for patient logistics, assessing availability of hospital resources, and providing remote access to site managers helped them assess the risks, benefits, and alternative options for each patient on a case-by-case basis. </w:t>
      </w:r>
      <w:r w:rsidRPr="000305E8">
        <w:t>This facilitated business continuity and efficient patient management, thereby minimizing process deviations and patient-safety concerns.</w:t>
      </w:r>
    </w:p>
    <w:p w14:paraId="4926936C" w14:textId="77777777" w:rsidR="0065494F" w:rsidRDefault="0065494F" w:rsidP="0065494F">
      <w:r w:rsidRPr="00AA3EE6">
        <w:rPr>
          <w:rStyle w:val="StyleUnderline"/>
        </w:rPr>
        <w:t>Reducing the impact on ecosystem stakeholders:</w:t>
      </w:r>
      <w:r w:rsidRPr="00AA3EE6">
        <w:rPr>
          <w:rStyle w:val="StyleUnderline"/>
          <w:rFonts w:eastAsiaTheme="majorEastAsia"/>
        </w:rPr>
        <w:t> </w:t>
      </w:r>
      <w:r w:rsidRPr="00AA3EE6">
        <w:rPr>
          <w:rStyle w:val="StyleUnderline"/>
        </w:rPr>
        <w:t>Safety risks tied to the COVID-19 pandemic, hospital staff shortages, ICU-bed capacity limitations, and stay-at-home orders in most states have significantly disrupted daily operations for nurses, physicians, and other health care providers at medical institutions</w:t>
      </w:r>
      <w:r w:rsidRPr="000305E8">
        <w:t>. Patients often travel long distances—sometimes internationally—to donate starting material (apheresis, as in the case of cell therapies) and receive treatment. This has been made nearly impossible by travel bans. Given the restrictions imposed for traveling across borders/cities and local housing closures, patients and donors have faced difficulty getting to the apheresis sites, diagnostic-test sites, or therapy-infusion sites. Moreover, CGT</w:t>
      </w:r>
      <w:r w:rsidRPr="000305E8">
        <w:rPr>
          <w:rFonts w:eastAsiaTheme="majorEastAsia"/>
        </w:rPr>
        <w:t> </w:t>
      </w:r>
      <w:r w:rsidRPr="000305E8">
        <w:t xml:space="preserve">patients are typically administered an immune-suppressive chemotherapy a few days prior to delivery of the actual therapy. This leaves the patient severely compromised to </w:t>
      </w:r>
      <w:r w:rsidRPr="000305E8">
        <w:lastRenderedPageBreak/>
        <w:t>opportunistic infections, including COVID-19. To help minimize such repercussions, CGT institutions have been assessing the impact of the shutdown on a country-level/regional basis. Allowing couriers to travel to countries for apheresis collection, for example, is being negotiated with local authorities to understand and adhere to additional approval requirements. Be The Match BioTherapies and the National Marrow Donor Program have been working with the US Centers for Disease Control and Prevention (CDC) to make special provisions and secure waivers for foreign nationals (non-US passport holders) to travel between the European Union and the US to transport cells.3</w:t>
      </w:r>
    </w:p>
    <w:p w14:paraId="194EEB8B" w14:textId="77777777" w:rsidR="0065494F" w:rsidRPr="0041399D" w:rsidRDefault="0065494F" w:rsidP="00B87E81">
      <w:pPr>
        <w:contextualSpacing/>
        <w:rPr>
          <w:rStyle w:val="StyleUnderline"/>
        </w:rPr>
      </w:pPr>
    </w:p>
    <w:p w14:paraId="5485677D" w14:textId="7F8A7566" w:rsidR="00B87E81" w:rsidRDefault="00730D34" w:rsidP="00730D34">
      <w:pPr>
        <w:pStyle w:val="Heading3"/>
      </w:pPr>
      <w:r>
        <w:lastRenderedPageBreak/>
        <w:t>US not key- 1NC</w:t>
      </w:r>
    </w:p>
    <w:p w14:paraId="7DC6C801" w14:textId="4DF3DB9A" w:rsidR="00730D34" w:rsidRDefault="00730D34" w:rsidP="00730D34"/>
    <w:p w14:paraId="70D0A291" w14:textId="2234E6AB" w:rsidR="00730D34" w:rsidRPr="001A7C9D" w:rsidRDefault="00E656F2" w:rsidP="00730D34">
      <w:pPr>
        <w:pStyle w:val="Heading4"/>
        <w:rPr>
          <w:u w:val="single"/>
        </w:rPr>
      </w:pPr>
      <w:r>
        <w:t>US not key- India solves disease impacts</w:t>
      </w:r>
    </w:p>
    <w:p w14:paraId="0EF9799C" w14:textId="77777777" w:rsidR="00730D34" w:rsidRPr="0052253C" w:rsidRDefault="00730D34" w:rsidP="00730D34">
      <w:r w:rsidRPr="0052253C">
        <w:rPr>
          <w:sz w:val="18"/>
          <w:szCs w:val="18"/>
        </w:rPr>
        <w:t>Nick</w:t>
      </w:r>
      <w:r>
        <w:t xml:space="preserve"> </w:t>
      </w:r>
      <w:r w:rsidRPr="0052253C">
        <w:rPr>
          <w:rStyle w:val="Style13ptBold"/>
        </w:rPr>
        <w:t>Easen 19</w:t>
      </w:r>
      <w:r>
        <w:t xml:space="preserve">, </w:t>
      </w:r>
      <w:r w:rsidRPr="0052253C">
        <w:rPr>
          <w:sz w:val="18"/>
          <w:szCs w:val="18"/>
        </w:rPr>
        <w:t>award-winning journalist and broadcaster, he writes on science, technology, economics and business. He has produced content for BBC World News, CNN, Time magazine, Bloomberg, CNBC, The Times, Guardian and Telegraph. "The meteoric rise of the Indian pharmaceutical industry," Raconteur, 12-16-2019, https://www.raconteur.net/healthcare/india-pharmaceutical-industry, accessed 7-23-2020 //ART</w:t>
      </w:r>
    </w:p>
    <w:p w14:paraId="13BAFC90" w14:textId="77777777" w:rsidR="00730D34" w:rsidRPr="0052253C" w:rsidRDefault="00730D34" w:rsidP="00730D34">
      <w:pPr>
        <w:rPr>
          <w:sz w:val="10"/>
        </w:rPr>
      </w:pPr>
      <w:r w:rsidRPr="0052253C">
        <w:rPr>
          <w:sz w:val="10"/>
        </w:rPr>
        <w:t xml:space="preserve">Despite the gloomy economic news coming out of India, </w:t>
      </w:r>
      <w:r w:rsidRPr="0052253C">
        <w:rPr>
          <w:rStyle w:val="StyleUnderline"/>
        </w:rPr>
        <w:t xml:space="preserve">the pharmaceutical sector still looks </w:t>
      </w:r>
      <w:r w:rsidRPr="0052253C">
        <w:rPr>
          <w:rStyle w:val="Emphasis"/>
        </w:rPr>
        <w:t>solid</w:t>
      </w:r>
      <w:r w:rsidRPr="0052253C">
        <w:rPr>
          <w:sz w:val="10"/>
        </w:rPr>
        <w:t xml:space="preserve">. Drill down and you realise why: </w:t>
      </w:r>
      <w:r w:rsidRPr="0052253C">
        <w:rPr>
          <w:rStyle w:val="StyleUnderline"/>
        </w:rPr>
        <w:t xml:space="preserve">the country is the </w:t>
      </w:r>
      <w:r w:rsidRPr="0052253C">
        <w:rPr>
          <w:rStyle w:val="Emphasis"/>
        </w:rPr>
        <w:t>largest provider</w:t>
      </w:r>
      <w:r w:rsidRPr="0052253C">
        <w:rPr>
          <w:rStyle w:val="StyleUnderline"/>
        </w:rPr>
        <w:t xml:space="preserve"> of generic drugs </w:t>
      </w:r>
      <w:r w:rsidRPr="0052253C">
        <w:rPr>
          <w:rStyle w:val="Emphasis"/>
        </w:rPr>
        <w:t>globally</w:t>
      </w:r>
      <w:r w:rsidRPr="0052253C">
        <w:rPr>
          <w:rStyle w:val="StyleUnderline"/>
        </w:rPr>
        <w:t xml:space="preserve"> and accounts for </w:t>
      </w:r>
      <w:r w:rsidRPr="0052253C">
        <w:rPr>
          <w:rStyle w:val="Emphasis"/>
        </w:rPr>
        <w:t>60 per cent</w:t>
      </w:r>
      <w:r w:rsidRPr="0052253C">
        <w:rPr>
          <w:rStyle w:val="StyleUnderline"/>
        </w:rPr>
        <w:t xml:space="preserve"> of </w:t>
      </w:r>
      <w:r w:rsidRPr="0052253C">
        <w:rPr>
          <w:rStyle w:val="Emphasis"/>
        </w:rPr>
        <w:t>all vaccines</w:t>
      </w:r>
      <w:r w:rsidRPr="0052253C">
        <w:rPr>
          <w:rStyle w:val="StyleUnderline"/>
        </w:rPr>
        <w:t xml:space="preserve"> produced worldwide. It is a </w:t>
      </w:r>
      <w:r w:rsidRPr="0052253C">
        <w:rPr>
          <w:rStyle w:val="Emphasis"/>
        </w:rPr>
        <w:t>heavyweight</w:t>
      </w:r>
      <w:r w:rsidRPr="0052253C">
        <w:rPr>
          <w:rStyle w:val="StyleUnderline"/>
        </w:rPr>
        <w:t xml:space="preserve"> in industry circles and the planet’s </w:t>
      </w:r>
      <w:r w:rsidRPr="0052253C">
        <w:rPr>
          <w:rStyle w:val="Emphasis"/>
        </w:rPr>
        <w:t>third-largest</w:t>
      </w:r>
      <w:r w:rsidRPr="0052253C">
        <w:rPr>
          <w:rStyle w:val="StyleUnderline"/>
        </w:rPr>
        <w:t xml:space="preserve"> producer of drugs by volume. These are </w:t>
      </w:r>
      <w:r w:rsidRPr="0052253C">
        <w:rPr>
          <w:rStyle w:val="Emphasis"/>
        </w:rPr>
        <w:t>astounding numbers.</w:t>
      </w:r>
      <w:r>
        <w:rPr>
          <w:rStyle w:val="Emphasis"/>
        </w:rPr>
        <w:t xml:space="preserve"> </w:t>
      </w:r>
      <w:r w:rsidRPr="0052253C">
        <w:rPr>
          <w:sz w:val="10"/>
        </w:rPr>
        <w:t xml:space="preserve">While the country’s economic growth sinks under 5 per cent, </w:t>
      </w:r>
      <w:r w:rsidRPr="0052253C">
        <w:rPr>
          <w:rStyle w:val="StyleUnderline"/>
        </w:rPr>
        <w:t>the Indian pharmaceutical industry is growing by 7 to 8 per cent a year</w:t>
      </w:r>
      <w:r w:rsidRPr="0052253C">
        <w:rPr>
          <w:sz w:val="10"/>
        </w:rPr>
        <w:t xml:space="preserve">, according to the Indian Pharmaceutical Alliance, while </w:t>
      </w:r>
      <w:r w:rsidRPr="0052253C">
        <w:rPr>
          <w:rStyle w:val="StyleUnderline"/>
        </w:rPr>
        <w:t xml:space="preserve">rating agency ICRA expects </w:t>
      </w:r>
      <w:r w:rsidRPr="0052253C">
        <w:rPr>
          <w:rStyle w:val="Emphasis"/>
        </w:rPr>
        <w:t>growth</w:t>
      </w:r>
      <w:r w:rsidRPr="0052253C">
        <w:rPr>
          <w:rStyle w:val="StyleUnderline"/>
        </w:rPr>
        <w:t xml:space="preserve"> of 11 to 13 per cent in 2020</w:t>
      </w:r>
      <w:r w:rsidRPr="0052253C">
        <w:rPr>
          <w:sz w:val="10"/>
        </w:rPr>
        <w:t xml:space="preserve">. </w:t>
      </w:r>
      <w:r w:rsidRPr="0052253C">
        <w:rPr>
          <w:rStyle w:val="Emphasis"/>
        </w:rPr>
        <w:t>Strong demand</w:t>
      </w:r>
      <w:r w:rsidRPr="0052253C">
        <w:rPr>
          <w:rStyle w:val="StyleUnderline"/>
        </w:rPr>
        <w:t xml:space="preserve"> is buoyed by </w:t>
      </w:r>
      <w:r w:rsidRPr="0052253C">
        <w:rPr>
          <w:rStyle w:val="Emphasis"/>
        </w:rPr>
        <w:t>better access</w:t>
      </w:r>
      <w:r w:rsidRPr="0052253C">
        <w:rPr>
          <w:rStyle w:val="StyleUnderline"/>
        </w:rPr>
        <w:t xml:space="preserve"> to medicines in the domestic market, </w:t>
      </w:r>
      <w:r w:rsidRPr="0052253C">
        <w:rPr>
          <w:rStyle w:val="Emphasis"/>
        </w:rPr>
        <w:t>increasing spending</w:t>
      </w:r>
      <w:r w:rsidRPr="0052253C">
        <w:rPr>
          <w:rStyle w:val="StyleUnderline"/>
        </w:rPr>
        <w:t xml:space="preserve"> on healthcare, and a </w:t>
      </w:r>
      <w:r w:rsidRPr="0052253C">
        <w:rPr>
          <w:rStyle w:val="Emphasis"/>
        </w:rPr>
        <w:t>higher incidence</w:t>
      </w:r>
      <w:r w:rsidRPr="0052253C">
        <w:rPr>
          <w:rStyle w:val="StyleUnderline"/>
        </w:rPr>
        <w:t xml:space="preserve"> of chronic diseases.</w:t>
      </w:r>
      <w:r>
        <w:rPr>
          <w:rStyle w:val="StyleUnderline"/>
        </w:rPr>
        <w:t xml:space="preserve"> </w:t>
      </w:r>
      <w:r w:rsidRPr="0052253C">
        <w:rPr>
          <w:sz w:val="10"/>
        </w:rPr>
        <w:t>“</w:t>
      </w:r>
      <w:r w:rsidRPr="0052253C">
        <w:rPr>
          <w:rStyle w:val="StyleUnderline"/>
        </w:rPr>
        <w:t xml:space="preserve">This is supported by a </w:t>
      </w:r>
      <w:r w:rsidRPr="0052253C">
        <w:rPr>
          <w:rStyle w:val="Emphasis"/>
        </w:rPr>
        <w:t>rising middle class</w:t>
      </w:r>
      <w:r w:rsidRPr="0052253C">
        <w:rPr>
          <w:rStyle w:val="StyleUnderline"/>
        </w:rPr>
        <w:t xml:space="preserve"> whose disposable income keeps </w:t>
      </w:r>
      <w:r w:rsidRPr="0052253C">
        <w:rPr>
          <w:rStyle w:val="Emphasis"/>
        </w:rPr>
        <w:t>growing rapidly</w:t>
      </w:r>
      <w:r w:rsidRPr="0052253C">
        <w:rPr>
          <w:rStyle w:val="StyleUnderline"/>
        </w:rPr>
        <w:t>; a large proportion of these funds is being spent on as the country and its people develop and mature</w:t>
      </w:r>
      <w:r w:rsidRPr="0052253C">
        <w:rPr>
          <w:sz w:val="10"/>
        </w:rPr>
        <w:t>,” explains Vikas Bhadoria, senior partner at McKinsey &amp; Company. “</w:t>
      </w:r>
      <w:r w:rsidRPr="0052253C">
        <w:rPr>
          <w:rStyle w:val="StyleUnderline"/>
        </w:rPr>
        <w:t xml:space="preserve">Currently, Indian consumers are spending nearly 1 per cent of their total income on </w:t>
      </w:r>
      <w:r w:rsidRPr="0052253C">
        <w:rPr>
          <w:rStyle w:val="Emphasis"/>
        </w:rPr>
        <w:t>drugs</w:t>
      </w:r>
      <w:r w:rsidRPr="0052253C">
        <w:rPr>
          <w:rStyle w:val="StyleUnderline"/>
        </w:rPr>
        <w:t xml:space="preserve"> and </w:t>
      </w:r>
      <w:r w:rsidRPr="0052253C">
        <w:rPr>
          <w:rStyle w:val="Emphasis"/>
        </w:rPr>
        <w:t>pharmaceuticals</w:t>
      </w:r>
      <w:r w:rsidRPr="0052253C">
        <w:rPr>
          <w:rStyle w:val="StyleUnderline"/>
        </w:rPr>
        <w:t>. With the rise in the per</w:t>
      </w:r>
      <w:r>
        <w:rPr>
          <w:rStyle w:val="StyleUnderline"/>
        </w:rPr>
        <w:t xml:space="preserve"> </w:t>
      </w:r>
      <w:r w:rsidRPr="0052253C">
        <w:rPr>
          <w:rStyle w:val="StyleUnderline"/>
        </w:rPr>
        <w:t xml:space="preserve">is going to triple, to approximately </w:t>
      </w:r>
      <w:r w:rsidRPr="0052253C">
        <w:rPr>
          <w:rStyle w:val="Emphasis"/>
        </w:rPr>
        <w:t>$33 per annum</w:t>
      </w:r>
      <w:r w:rsidRPr="0052253C">
        <w:rPr>
          <w:rStyle w:val="StyleUnderline"/>
        </w:rPr>
        <w:t>, by 2020.”</w:t>
      </w:r>
      <w:r w:rsidRPr="0052253C">
        <w:rPr>
          <w:sz w:val="10"/>
        </w:rPr>
        <w:t xml:space="preserve"> </w:t>
      </w:r>
      <w:r w:rsidRPr="0052253C">
        <w:rPr>
          <w:rStyle w:val="StyleUnderline"/>
        </w:rPr>
        <w:t xml:space="preserve">The market is already worth </w:t>
      </w:r>
      <w:r w:rsidRPr="0052253C">
        <w:rPr>
          <w:rStyle w:val="Emphasis"/>
        </w:rPr>
        <w:t>$38 billion a year</w:t>
      </w:r>
      <w:r w:rsidRPr="0052253C">
        <w:rPr>
          <w:rStyle w:val="StyleUnderline"/>
        </w:rPr>
        <w:t xml:space="preserve">, which includes exports. It employs </w:t>
      </w:r>
      <w:r w:rsidRPr="0052253C">
        <w:rPr>
          <w:rStyle w:val="Emphasis"/>
        </w:rPr>
        <w:t>2.7 million people</w:t>
      </w:r>
      <w:r w:rsidRPr="0052253C">
        <w:rPr>
          <w:rStyle w:val="StyleUnderline"/>
        </w:rPr>
        <w:t xml:space="preserve"> directly or indirectly and has world-class capabilities in formulation development.</w:t>
      </w:r>
      <w:r w:rsidRPr="0052253C">
        <w:rPr>
          <w:sz w:val="10"/>
        </w:rPr>
        <w:t xml:space="preserve"> </w:t>
      </w:r>
      <w:r w:rsidRPr="0052253C">
        <w:rPr>
          <w:rStyle w:val="StyleUnderline"/>
        </w:rPr>
        <w:t>There’s a strong</w:t>
      </w:r>
      <w:r w:rsidRPr="0052253C">
        <w:rPr>
          <w:sz w:val="10"/>
        </w:rPr>
        <w:t xml:space="preserve"> entrepreneurial spirit in the Indian pharmaceutical industry with an established </w:t>
      </w:r>
      <w:r w:rsidRPr="0052253C">
        <w:rPr>
          <w:rStyle w:val="StyleUnderline"/>
        </w:rPr>
        <w:t xml:space="preserve">footprint in </w:t>
      </w:r>
      <w:r w:rsidRPr="0052253C">
        <w:rPr>
          <w:rStyle w:val="Emphasis"/>
        </w:rPr>
        <w:t>large international markets</w:t>
      </w:r>
      <w:r w:rsidRPr="0052253C">
        <w:rPr>
          <w:sz w:val="10"/>
        </w:rPr>
        <w:t xml:space="preserve"> such as the United States. </w:t>
      </w:r>
      <w:r w:rsidRPr="0052253C">
        <w:rPr>
          <w:rStyle w:val="StyleUnderline"/>
        </w:rPr>
        <w:t xml:space="preserve">The industry is now India’s </w:t>
      </w:r>
      <w:r w:rsidRPr="0052253C">
        <w:rPr>
          <w:rStyle w:val="Emphasis"/>
        </w:rPr>
        <w:t>fourth‐largest</w:t>
      </w:r>
      <w:r w:rsidRPr="0052253C">
        <w:rPr>
          <w:rStyle w:val="StyleUnderline"/>
        </w:rPr>
        <w:t xml:space="preserve"> exporter of goods.</w:t>
      </w:r>
      <w:r>
        <w:rPr>
          <w:rStyle w:val="StyleUnderline"/>
        </w:rPr>
        <w:t xml:space="preserve"> </w:t>
      </w:r>
      <w:r w:rsidRPr="0052253C">
        <w:rPr>
          <w:sz w:val="10"/>
        </w:rPr>
        <w:t>“The country’s growing capabilities in contract manufacturing, research and development, as well as clinical trials, also make it a preferred partner for the global pharmaceutical industry,” says Sujay Shetty, health industries leader for India and partner at PwC. Then there’s the Ayushman Bharat Yojana, launched only last year. This government healthcare programme is the biggest in the world and is aimed at providing affordable treatment for 500 million people, or 40 per cent of India’s population, including 100 million vulnerable families. “This is seen as an opportunity by pharma companies to help the underserved masses with affordable drugs,” notes Tim Hoctor, vice president of professional services at Elsevier.Value of retail pharma Still there are many challenges. Healthcare infrastructure in India is inadequate when compared to the size of its population. Roughly 29 skilled health workers are available for every 10,000 people in India compared with 41 in China and 111 in the United States. Fewer than a third of Indians have health insurance, the rest deal with medical bills directly. “The inability to pay for medicines is another challenge that many people face. The Indian government’s expenditure on healthcare is low, about 1 per cent of GDP compared to 2.5 to 3 per cent of GDP when analysing other developing economies such as China, Malaysia and Thailand,” says McKinsey’s Mr Bhadoria. Despite the potential for growth in the Indian pharmaceutical industry, it is being squeezed from many sides. Generic drugs manufacturers are facing stringent pricing pressures from the government that is keen to make treatment more affordable, yet Indian medicines are already the lowest priced in the world. At the same time, growth in its key US export market is moderating, due to price erosion and greater scrutiny from regulators. “</w:t>
      </w:r>
      <w:r w:rsidRPr="0052253C">
        <w:rPr>
          <w:rStyle w:val="StyleUnderline"/>
        </w:rPr>
        <w:t xml:space="preserve">Generics exports, specifically to the </w:t>
      </w:r>
      <w:r w:rsidRPr="0052253C">
        <w:rPr>
          <w:rStyle w:val="Emphasis"/>
        </w:rPr>
        <w:t>United States</w:t>
      </w:r>
      <w:r w:rsidRPr="0052253C">
        <w:rPr>
          <w:rStyle w:val="StyleUnderline"/>
        </w:rPr>
        <w:t xml:space="preserve">, have been a </w:t>
      </w:r>
      <w:r w:rsidRPr="0052253C">
        <w:rPr>
          <w:rStyle w:val="Emphasis"/>
        </w:rPr>
        <w:t>key driver</w:t>
      </w:r>
      <w:r w:rsidRPr="0052253C">
        <w:rPr>
          <w:rStyle w:val="StyleUnderline"/>
        </w:rPr>
        <w:t xml:space="preserve"> of </w:t>
      </w:r>
      <w:r w:rsidRPr="0052253C">
        <w:rPr>
          <w:rStyle w:val="Emphasis"/>
        </w:rPr>
        <w:t>double-digit growth</w:t>
      </w:r>
      <w:r w:rsidRPr="0052253C">
        <w:rPr>
          <w:rStyle w:val="StyleUnderline"/>
        </w:rPr>
        <w:t xml:space="preserve"> for top Indian pharmaceutical companies over the last few years. America accounts for over a </w:t>
      </w:r>
      <w:r w:rsidRPr="0052253C">
        <w:rPr>
          <w:rStyle w:val="Emphasis"/>
        </w:rPr>
        <w:t>third of total exports</w:t>
      </w:r>
      <w:r w:rsidRPr="0052253C">
        <w:rPr>
          <w:rStyle w:val="StyleUnderline"/>
        </w:rPr>
        <w:t xml:space="preserve">. Indian drugs reduce healthcare spend in the United States to the tune of over </w:t>
      </w:r>
      <w:r w:rsidRPr="0052253C">
        <w:rPr>
          <w:rStyle w:val="Emphasis"/>
        </w:rPr>
        <w:t>$20 billion every year</w:t>
      </w:r>
      <w:r w:rsidRPr="0052253C">
        <w:rPr>
          <w:sz w:val="10"/>
        </w:rPr>
        <w:t xml:space="preserve">,” says Mr Bhadoria. “Despite investments by some companies in newer product classes, such as biosimilars and specialty drugs, the contribution of non-generic products to the current revenue of pharma companies is miniscule.” The Indian pharmaceutical industry has been slow to innovate when it comes to new molecules or complex generic drugs. There’s also a limited government-supported research ecosystem. Certainly, there is scope to improve collaboration between state-run institutes and industry. “A talent pool with advanced skills is also limited in India, with only 2,000 PhD students enrolled in pharmacy institutes, compared to over 15,000 PhD students enrolled in the United States,” Mr Bhadoria explains. </w:t>
      </w:r>
      <w:r w:rsidRPr="0052253C">
        <w:rPr>
          <w:rStyle w:val="StyleUnderline"/>
        </w:rPr>
        <w:t xml:space="preserve">As the disease burden in India transitions towards chronic diseases, there is </w:t>
      </w:r>
      <w:r w:rsidRPr="0052253C">
        <w:rPr>
          <w:rStyle w:val="Emphasis"/>
        </w:rPr>
        <w:t>rising demand</w:t>
      </w:r>
      <w:r w:rsidRPr="0052253C">
        <w:rPr>
          <w:rStyle w:val="StyleUnderline"/>
        </w:rPr>
        <w:t xml:space="preserve"> for specialized medicines, which are currently more expensive than acute drugs</w:t>
      </w:r>
      <w:r w:rsidRPr="0052253C">
        <w:rPr>
          <w:sz w:val="10"/>
        </w:rPr>
        <w:t xml:space="preserve">. </w:t>
      </w:r>
      <w:r w:rsidRPr="0052253C">
        <w:rPr>
          <w:rStyle w:val="StyleUnderline"/>
        </w:rPr>
        <w:t xml:space="preserve">What India’s pharmaceutical industry is </w:t>
      </w:r>
      <w:r w:rsidRPr="0052253C">
        <w:rPr>
          <w:rStyle w:val="Emphasis"/>
        </w:rPr>
        <w:t>extremely good</w:t>
      </w:r>
      <w:r w:rsidRPr="0052253C">
        <w:rPr>
          <w:rStyle w:val="StyleUnderline"/>
        </w:rPr>
        <w:t xml:space="preserve"> at though is producing </w:t>
      </w:r>
      <w:r w:rsidRPr="0052253C">
        <w:rPr>
          <w:rStyle w:val="Emphasis"/>
        </w:rPr>
        <w:t>quality medicines</w:t>
      </w:r>
      <w:r w:rsidRPr="0052253C">
        <w:rPr>
          <w:rStyle w:val="StyleUnderline"/>
        </w:rPr>
        <w:t xml:space="preserve"> at keen prices, especially when they fall off the so-called patent cliff.</w:t>
      </w:r>
      <w:r>
        <w:rPr>
          <w:rStyle w:val="StyleUnderline"/>
        </w:rPr>
        <w:t xml:space="preserve"> </w:t>
      </w:r>
      <w:r w:rsidRPr="0052253C">
        <w:rPr>
          <w:sz w:val="10"/>
        </w:rPr>
        <w:t>“</w:t>
      </w:r>
      <w:r w:rsidRPr="0052253C">
        <w:rPr>
          <w:rStyle w:val="StyleUnderline"/>
        </w:rPr>
        <w:t xml:space="preserve">India today is the </w:t>
      </w:r>
      <w:r w:rsidRPr="0052253C">
        <w:rPr>
          <w:rStyle w:val="Emphasis"/>
        </w:rPr>
        <w:t>primary supplier</w:t>
      </w:r>
      <w:r w:rsidRPr="0052253C">
        <w:rPr>
          <w:rStyle w:val="StyleUnderline"/>
        </w:rPr>
        <w:t xml:space="preserve"> of essential medications for numerous disease areas </w:t>
      </w:r>
      <w:r w:rsidRPr="0052253C">
        <w:rPr>
          <w:rStyle w:val="Emphasis"/>
        </w:rPr>
        <w:t>worldwide</w:t>
      </w:r>
      <w:r w:rsidRPr="0052253C">
        <w:rPr>
          <w:rStyle w:val="StyleUnderline"/>
        </w:rPr>
        <w:t xml:space="preserve">, helping save </w:t>
      </w:r>
      <w:r w:rsidRPr="0052253C">
        <w:rPr>
          <w:rStyle w:val="Emphasis"/>
        </w:rPr>
        <w:t>millions</w:t>
      </w:r>
      <w:r w:rsidRPr="0052253C">
        <w:rPr>
          <w:rStyle w:val="StyleUnderline"/>
        </w:rPr>
        <w:t xml:space="preserve"> of lives every year.</w:t>
      </w:r>
      <w:r w:rsidRPr="0052253C">
        <w:rPr>
          <w:sz w:val="10"/>
        </w:rPr>
        <w:t xml:space="preserve"> </w:t>
      </w:r>
      <w:r w:rsidRPr="0052253C">
        <w:rPr>
          <w:rStyle w:val="StyleUnderline"/>
        </w:rPr>
        <w:t xml:space="preserve">If it extends this noteworthy cause of affordable, accessible medicine to the world, it could be a </w:t>
      </w:r>
      <w:r w:rsidRPr="0052253C">
        <w:rPr>
          <w:rStyle w:val="Emphasis"/>
        </w:rPr>
        <w:t>winner</w:t>
      </w:r>
      <w:r w:rsidRPr="0052253C">
        <w:rPr>
          <w:rStyle w:val="StyleUnderline"/>
        </w:rPr>
        <w:t>,”</w:t>
      </w:r>
      <w:r w:rsidRPr="0052253C">
        <w:rPr>
          <w:sz w:val="10"/>
        </w:rPr>
        <w:t xml:space="preserve"> Mr Bhadoria concludes.</w:t>
      </w:r>
    </w:p>
    <w:p w14:paraId="0777DE35" w14:textId="77777777" w:rsidR="00730D34" w:rsidRPr="008B29DA" w:rsidRDefault="00730D34" w:rsidP="00730D34">
      <w:pPr>
        <w:rPr>
          <w:sz w:val="10"/>
        </w:rPr>
      </w:pPr>
    </w:p>
    <w:p w14:paraId="1F3C8BEC" w14:textId="77777777" w:rsidR="00730D34" w:rsidRPr="00730D34" w:rsidRDefault="00730D34" w:rsidP="00730D34"/>
    <w:p w14:paraId="30022043" w14:textId="1E9CBC18" w:rsidR="00927D40" w:rsidRPr="0041399D" w:rsidRDefault="00927D40" w:rsidP="00927D40">
      <w:pPr>
        <w:pStyle w:val="Heading3"/>
      </w:pPr>
      <w:r w:rsidRPr="0041399D">
        <w:lastRenderedPageBreak/>
        <w:t>1NC Disease</w:t>
      </w:r>
      <w:r w:rsidR="002D33C2">
        <w:t xml:space="preserve"> Impact Defense</w:t>
      </w:r>
    </w:p>
    <w:p w14:paraId="5C9C793D" w14:textId="77777777" w:rsidR="00927D40" w:rsidRPr="0041399D" w:rsidRDefault="00927D40" w:rsidP="00927D40">
      <w:pPr>
        <w:keepNext/>
        <w:keepLines/>
        <w:spacing w:before="200"/>
        <w:outlineLvl w:val="3"/>
        <w:rPr>
          <w:rFonts w:eastAsiaTheme="majorEastAsia" w:cstheme="majorBidi"/>
          <w:b/>
          <w:bCs/>
          <w:iCs/>
          <w:sz w:val="26"/>
        </w:rPr>
      </w:pPr>
      <w:r w:rsidRPr="0041399D">
        <w:rPr>
          <w:rFonts w:eastAsiaTheme="majorEastAsia" w:cstheme="majorBidi"/>
          <w:b/>
          <w:bCs/>
          <w:iCs/>
          <w:sz w:val="26"/>
        </w:rPr>
        <w:t>Immunity and burnout mean disease doesn’t cause extinction</w:t>
      </w:r>
    </w:p>
    <w:p w14:paraId="79E3FD43" w14:textId="77777777" w:rsidR="00927D40" w:rsidRPr="0041399D" w:rsidRDefault="00927D40" w:rsidP="00927D40">
      <w:pPr>
        <w:rPr>
          <w:b/>
          <w:bCs/>
          <w:sz w:val="26"/>
        </w:rPr>
      </w:pPr>
      <w:r w:rsidRPr="0041399D">
        <w:rPr>
          <w:b/>
          <w:bCs/>
          <w:sz w:val="26"/>
        </w:rPr>
        <w:t>Walker, 16</w:t>
      </w:r>
    </w:p>
    <w:p w14:paraId="3A77E6F4" w14:textId="77777777" w:rsidR="00927D40" w:rsidRPr="0041399D" w:rsidRDefault="00927D40" w:rsidP="00927D40">
      <w:r w:rsidRPr="0041399D">
        <w:t xml:space="preserve">(Robert, reporter for Science 2.0, "Could Anything Make Humans Extinct In The Near Future?", April 5 </w:t>
      </w:r>
      <w:hyperlink r:id="rId58" w:history="1">
        <w:r w:rsidRPr="0041399D">
          <w:t>www.science20.com/robert_inventor/could_anything_make_humans_extinct_in_the_near_future-169780</w:t>
        </w:r>
      </w:hyperlink>
      <w:r w:rsidRPr="0041399D">
        <w:t>)</w:t>
      </w:r>
    </w:p>
    <w:p w14:paraId="24E402F9" w14:textId="77777777" w:rsidR="00927D40" w:rsidRPr="0041399D" w:rsidRDefault="00927D40" w:rsidP="00927D40">
      <w:pPr>
        <w:rPr>
          <w:sz w:val="12"/>
        </w:rPr>
      </w:pPr>
      <w:r w:rsidRPr="0041399D">
        <w:rPr>
          <w:sz w:val="12"/>
        </w:rPr>
        <w:t xml:space="preserve">That leaves, diseases. But </w:t>
      </w:r>
      <w:r w:rsidRPr="0041399D">
        <w:rPr>
          <w:b/>
          <w:bCs/>
          <w:u w:val="single"/>
        </w:rPr>
        <w:t xml:space="preserve">you generally get a few </w:t>
      </w:r>
      <w:r w:rsidRPr="0041399D">
        <w:rPr>
          <w:b/>
          <w:iCs/>
          <w:u w:val="single"/>
          <w:bdr w:val="single" w:sz="18" w:space="0" w:color="auto"/>
        </w:rPr>
        <w:t>immune</w:t>
      </w:r>
      <w:r w:rsidRPr="0041399D">
        <w:rPr>
          <w:b/>
          <w:bCs/>
          <w:u w:val="single"/>
        </w:rPr>
        <w:t xml:space="preserve"> to it if it is a natural disease</w:t>
      </w:r>
      <w:r w:rsidRPr="0041399D">
        <w:rPr>
          <w:sz w:val="12"/>
        </w:rPr>
        <w:t xml:space="preserve">.¶ </w:t>
      </w:r>
      <w:r w:rsidRPr="0041399D">
        <w:rPr>
          <w:b/>
          <w:bCs/>
          <w:u w:val="single"/>
        </w:rPr>
        <w:t xml:space="preserve">If it kills too quickly, </w:t>
      </w:r>
      <w:r w:rsidRPr="0041399D">
        <w:rPr>
          <w:b/>
          <w:iCs/>
          <w:u w:val="single"/>
          <w:bdr w:val="single" w:sz="18" w:space="0" w:color="auto"/>
        </w:rPr>
        <w:t>it won't spread</w:t>
      </w:r>
      <w:r w:rsidRPr="0041399D">
        <w:rPr>
          <w:b/>
          <w:bCs/>
          <w:u w:val="single"/>
        </w:rPr>
        <w:t xml:space="preserve">. If it kills slowly with an incubation period, then </w:t>
      </w:r>
      <w:r w:rsidRPr="0041399D">
        <w:rPr>
          <w:b/>
          <w:iCs/>
          <w:u w:val="single"/>
          <w:bdr w:val="single" w:sz="18" w:space="0" w:color="auto"/>
        </w:rPr>
        <w:t>some will</w:t>
      </w:r>
      <w:r w:rsidRPr="0041399D">
        <w:rPr>
          <w:b/>
          <w:bCs/>
          <w:u w:val="single"/>
        </w:rPr>
        <w:t xml:space="preserve"> be likely to </w:t>
      </w:r>
      <w:r w:rsidRPr="0041399D">
        <w:rPr>
          <w:b/>
          <w:iCs/>
          <w:u w:val="single"/>
          <w:bdr w:val="single" w:sz="18" w:space="0" w:color="auto"/>
        </w:rPr>
        <w:t>be immune</w:t>
      </w:r>
      <w:r w:rsidRPr="0041399D">
        <w:rPr>
          <w:b/>
          <w:bCs/>
          <w:u w:val="single"/>
        </w:rPr>
        <w:t xml:space="preserve"> to it</w:t>
      </w:r>
      <w:r w:rsidRPr="0041399D">
        <w:rPr>
          <w:sz w:val="12"/>
        </w:rPr>
        <w:t xml:space="preserve">. The thing is, </w:t>
      </w:r>
      <w:r w:rsidRPr="0041399D">
        <w:rPr>
          <w:b/>
          <w:bCs/>
          <w:u w:val="single"/>
        </w:rPr>
        <w:t xml:space="preserve">it is an </w:t>
      </w:r>
      <w:r w:rsidRPr="0041399D">
        <w:rPr>
          <w:b/>
          <w:iCs/>
          <w:u w:val="single"/>
          <w:bdr w:val="single" w:sz="18" w:space="0" w:color="auto"/>
        </w:rPr>
        <w:t>advantage</w:t>
      </w:r>
      <w:r w:rsidRPr="0041399D">
        <w:rPr>
          <w:b/>
          <w:bCs/>
          <w:u w:val="single"/>
        </w:rPr>
        <w:t xml:space="preserve"> to the disease virus or microbe also to keep humans alive, so the disease also </w:t>
      </w:r>
      <w:r w:rsidRPr="0041399D">
        <w:rPr>
          <w:b/>
          <w:iCs/>
          <w:u w:val="single"/>
          <w:bdr w:val="single" w:sz="18" w:space="0" w:color="auto"/>
        </w:rPr>
        <w:t>will adapt to humans</w:t>
      </w:r>
      <w:r w:rsidRPr="0041399D">
        <w:rPr>
          <w:sz w:val="12"/>
        </w:rPr>
        <w:t xml:space="preserve"> if it can. It's mainly diseases that are recently transferred to humans that are most lethal.¶ </w:t>
      </w:r>
      <w:r w:rsidRPr="0041399D">
        <w:rPr>
          <w:b/>
          <w:bCs/>
          <w:u w:val="single"/>
        </w:rPr>
        <w:t xml:space="preserve">It is possible for species that are already rare and weakened by other stresses to go extinct through disease. But humans are </w:t>
      </w:r>
      <w:r w:rsidRPr="0041399D">
        <w:rPr>
          <w:b/>
          <w:iCs/>
          <w:u w:val="single"/>
          <w:bdr w:val="single" w:sz="18" w:space="0" w:color="auto"/>
        </w:rPr>
        <w:t>widespread</w:t>
      </w:r>
      <w:r w:rsidRPr="0041399D">
        <w:rPr>
          <w:b/>
          <w:bCs/>
          <w:u w:val="single"/>
        </w:rPr>
        <w:t xml:space="preserve"> and occur in </w:t>
      </w:r>
      <w:r w:rsidRPr="0041399D">
        <w:rPr>
          <w:b/>
          <w:iCs/>
          <w:u w:val="single"/>
          <w:bdr w:val="single" w:sz="18" w:space="0" w:color="auto"/>
        </w:rPr>
        <w:t>many different habitats</w:t>
      </w:r>
      <w:r w:rsidRPr="0041399D">
        <w:rPr>
          <w:sz w:val="12"/>
        </w:rPr>
        <w:t xml:space="preserve">, and </w:t>
      </w:r>
      <w:r w:rsidRPr="0041399D">
        <w:rPr>
          <w:b/>
          <w:bCs/>
          <w:u w:val="single"/>
        </w:rPr>
        <w:t xml:space="preserve">a few groups of humans are </w:t>
      </w:r>
      <w:r w:rsidRPr="0041399D">
        <w:rPr>
          <w:b/>
          <w:iCs/>
          <w:u w:val="single"/>
          <w:bdr w:val="single" w:sz="18" w:space="0" w:color="auto"/>
        </w:rPr>
        <w:t>geographically isolated</w:t>
      </w:r>
      <w:r w:rsidRPr="0041399D">
        <w:rPr>
          <w:sz w:val="12"/>
        </w:rPr>
        <w:t xml:space="preserve">, in the uncontacted tribes. So that's a different situation from some rare frog species that only exists in one particular habitat.¶ We have made some species of insect locally extinct by the sterile male technique of </w:t>
      </w:r>
      <w:hyperlink r:id="rId59" w:tgtFrame="_blank" w:history="1">
        <w:r w:rsidRPr="0041399D">
          <w:rPr>
            <w:sz w:val="12"/>
          </w:rPr>
          <w:t xml:space="preserve">releasing large numbers of males that are sterile so overwhelming the population of fertile males </w:t>
        </w:r>
      </w:hyperlink>
      <w:r w:rsidRPr="0041399D">
        <w:rPr>
          <w:sz w:val="12"/>
        </w:rPr>
        <w:t xml:space="preserve">. But that wouldn't work with humans :).¶ </w:t>
      </w:r>
      <w:r w:rsidRPr="0041399D">
        <w:rPr>
          <w:b/>
          <w:bCs/>
          <w:u w:val="single"/>
        </w:rPr>
        <w:t>It would be possible surely to genetically engineer some bug to intentionally make us extinct - but since it would have a latency period, a few people would be naturally immune</w:t>
      </w:r>
      <w:r w:rsidRPr="0041399D">
        <w:rPr>
          <w:sz w:val="12"/>
        </w:rPr>
        <w:t>, and there would also be others that never are contacted. If nothing else, then the uncontacted tribes, which still exist in a few islands and forests, would emerge from their forests bewildered to an uninhabited world :), That would make a fun sci fi story though I don't think it is likely in reality.</w:t>
      </w:r>
    </w:p>
    <w:p w14:paraId="5A52C640" w14:textId="77777777" w:rsidR="00927D40" w:rsidRPr="0041399D" w:rsidRDefault="00927D40" w:rsidP="00927D40">
      <w:pPr>
        <w:pStyle w:val="Heading3"/>
      </w:pPr>
      <w:r w:rsidRPr="0041399D">
        <w:lastRenderedPageBreak/>
        <w:t>2NC Disease</w:t>
      </w:r>
    </w:p>
    <w:p w14:paraId="348C5D24" w14:textId="77777777" w:rsidR="00927D40" w:rsidRPr="0041399D" w:rsidRDefault="00927D40" w:rsidP="00927D40">
      <w:pPr>
        <w:pStyle w:val="Heading4"/>
      </w:pPr>
      <w:r w:rsidRPr="0041399D">
        <w:t xml:space="preserve">Intervening actors check </w:t>
      </w:r>
    </w:p>
    <w:p w14:paraId="07DE0A65" w14:textId="77777777" w:rsidR="00927D40" w:rsidRPr="0041399D" w:rsidRDefault="00927D40" w:rsidP="00927D40">
      <w:r w:rsidRPr="0041399D">
        <w:rPr>
          <w:rStyle w:val="Style13ptBold"/>
        </w:rPr>
        <w:t>Oram and Buyx 16</w:t>
      </w:r>
      <w:r w:rsidRPr="0041399D">
        <w:t xml:space="preserve"> (Peter G. N. West-Oram is a researcher at the Division of Biomedical Ethics, Institute of Experimental Medicine, at Christian-Albrechts-Universität in Germany.  Alena Buyx is a Visiting Scholar in The Harvard Program in Ethics and Health and has a MA in Medicine from the University of Munster. “Global Health Solidarity.” 5.3.2016. </w:t>
      </w:r>
      <w:hyperlink r:id="rId60" w:anchor="55718900" w:history="1">
        <w:r w:rsidRPr="0041399D">
          <w:rPr>
            <w:rStyle w:val="Hyperlink"/>
          </w:rPr>
          <w:t>https://academic.oup.com/phe/article/doi/10.1093/phe/phw021/2907908/Global-Health-Solidarity#55718900</w:t>
        </w:r>
      </w:hyperlink>
      <w:r w:rsidRPr="0041399D">
        <w:t>)</w:t>
      </w:r>
    </w:p>
    <w:p w14:paraId="6C416FC6" w14:textId="77777777" w:rsidR="00927D40" w:rsidRPr="0041399D" w:rsidRDefault="00927D40" w:rsidP="00927D40">
      <w:pPr>
        <w:contextualSpacing/>
        <w:rPr>
          <w:rFonts w:cstheme="minorHAnsi"/>
          <w:u w:val="single"/>
        </w:rPr>
      </w:pPr>
      <w:r w:rsidRPr="0041399D">
        <w:rPr>
          <w:rFonts w:cstheme="minorHAnsi"/>
          <w:u w:val="single"/>
        </w:rPr>
        <w:t>For much of the 20th century, vulnerability to deprivations of health has often been defined by geographical and economic factors</w:t>
      </w:r>
      <w:r w:rsidRPr="0041399D">
        <w:rPr>
          <w:rFonts w:cstheme="minorHAnsi"/>
        </w:rPr>
        <w:t xml:space="preserve">. </w:t>
      </w:r>
      <w:r w:rsidRPr="0041399D">
        <w:rPr>
          <w:rFonts w:cstheme="minorHAnsi"/>
          <w:sz w:val="14"/>
        </w:rPr>
        <w:t>Those in wealthy, usually ‘Northern’ and ‘Western’, parts of the world have benefited from infrastructures, and accidents of geography and climate, which insulate them from many serious threats to health. Conversely, poorer people are typically exposed to more threats to health, and have lesser access to the infrastructures needed to safeguard them against the worst consequences of such exposure</w:t>
      </w:r>
      <w:r w:rsidRPr="0041399D">
        <w:rPr>
          <w:rFonts w:cstheme="minorHAnsi"/>
        </w:rPr>
        <w:t xml:space="preserve">. </w:t>
      </w:r>
      <w:r w:rsidRPr="0041399D">
        <w:rPr>
          <w:rFonts w:cstheme="minorHAnsi"/>
          <w:sz w:val="14"/>
        </w:rPr>
        <w:t xml:space="preserve">However, </w:t>
      </w:r>
      <w:r w:rsidRPr="0041399D">
        <w:rPr>
          <w:rStyle w:val="Emphasis"/>
          <w:rFonts w:cstheme="minorHAnsi"/>
        </w:rPr>
        <w:t>in recent years the increasingly globalized nature of the world’s economy, society and culture, combined with anthropogenic climate change and the evolution of antibiotic resistance, has begun to shift the boundaries that previously defined the categories of person threatened by many exogenous threats to health.</w:t>
      </w:r>
      <w:r w:rsidRPr="0041399D">
        <w:rPr>
          <w:rFonts w:cstheme="minorHAnsi"/>
        </w:rPr>
        <w:t xml:space="preserve"> </w:t>
      </w:r>
      <w:r w:rsidRPr="0041399D">
        <w:rPr>
          <w:rFonts w:cstheme="minorHAnsi"/>
          <w:sz w:val="14"/>
        </w:rPr>
        <w:t xml:space="preserve">In doing so, </w:t>
      </w:r>
      <w:r w:rsidRPr="0041399D">
        <w:rPr>
          <w:rFonts w:cstheme="minorHAnsi"/>
          <w:u w:val="single"/>
        </w:rPr>
        <w:t>these factors expose both new and forgotten similarities between persons, and highlight the need for global cooperative responses to the existential threats</w:t>
      </w:r>
      <w:r w:rsidRPr="0041399D">
        <w:rPr>
          <w:rFonts w:cstheme="minorHAnsi"/>
        </w:rPr>
        <w:t xml:space="preserve"> </w:t>
      </w:r>
      <w:r w:rsidRPr="0041399D">
        <w:rPr>
          <w:rFonts w:cstheme="minorHAnsi"/>
          <w:sz w:val="14"/>
        </w:rPr>
        <w:t xml:space="preserve">posed by climate change and the evolution of antimicrobial resistance. In </w:t>
      </w:r>
      <w:r w:rsidRPr="0041399D">
        <w:rPr>
          <w:rFonts w:cstheme="minorHAnsi"/>
          <w:sz w:val="12"/>
        </w:rPr>
        <w:t xml:space="preserve">this article, we argue that these </w:t>
      </w:r>
      <w:r w:rsidRPr="0041399D">
        <w:rPr>
          <w:rStyle w:val="Emphasis"/>
          <w:rFonts w:cstheme="minorHAnsi"/>
        </w:rPr>
        <w:t>emerging health threats, in demonstrating the similarities that exist between even distant persons, provides a catalyst for global solidarity</w:t>
      </w:r>
      <w:r w:rsidRPr="0041399D">
        <w:rPr>
          <w:rFonts w:cstheme="minorHAnsi"/>
          <w:u w:val="single"/>
        </w:rPr>
        <w:t>, which justifies, and provides motivation for, the establishment of solidaristic, cooperative global health infrastructures.</w:t>
      </w:r>
    </w:p>
    <w:p w14:paraId="2569E9C8" w14:textId="77777777" w:rsidR="00927D40" w:rsidRPr="0041399D" w:rsidRDefault="00927D40" w:rsidP="00927D40">
      <w:pPr>
        <w:pStyle w:val="Heading4"/>
      </w:pPr>
      <w:r w:rsidRPr="0041399D">
        <w:t>Yes burnout</w:t>
      </w:r>
    </w:p>
    <w:p w14:paraId="6B3A5207" w14:textId="77777777" w:rsidR="00927D40" w:rsidRPr="0041399D" w:rsidRDefault="00927D40" w:rsidP="00927D40">
      <w:pPr>
        <w:rPr>
          <w:b/>
          <w:bCs/>
          <w:sz w:val="26"/>
        </w:rPr>
      </w:pPr>
      <w:r w:rsidRPr="0041399D">
        <w:rPr>
          <w:b/>
          <w:bCs/>
          <w:sz w:val="26"/>
        </w:rPr>
        <w:t>York, 14</w:t>
      </w:r>
    </w:p>
    <w:p w14:paraId="3769D579" w14:textId="77777777" w:rsidR="00927D40" w:rsidRPr="0041399D" w:rsidRDefault="00927D40" w:rsidP="00927D40">
      <w:r w:rsidRPr="0041399D">
        <w:t>(Ian, Head of the Influenza Molecular Virology and Vaccines Team in the Immunology ad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6-4-14, http://www.quora.com/Why-dont-diseases-completely-wipe-out-species)</w:t>
      </w:r>
    </w:p>
    <w:p w14:paraId="722F5167" w14:textId="77777777" w:rsidR="00927D40" w:rsidRPr="0041399D" w:rsidRDefault="00927D40" w:rsidP="00927D40">
      <w:pPr>
        <w:rPr>
          <w:sz w:val="12"/>
        </w:rPr>
      </w:pPr>
      <w:r w:rsidRPr="0041399D">
        <w:rPr>
          <w:sz w:val="12"/>
        </w:rPr>
        <w:t xml:space="preserve">But mostly </w:t>
      </w:r>
      <w:r w:rsidRPr="0041399D">
        <w:rPr>
          <w:b/>
          <w:iCs/>
          <w:u w:val="single"/>
          <w:bdr w:val="single" w:sz="18" w:space="0" w:color="auto"/>
        </w:rPr>
        <w:t>diseases don't drive species extinct</w:t>
      </w:r>
      <w:r w:rsidRPr="0041399D">
        <w:rPr>
          <w:sz w:val="12"/>
        </w:rPr>
        <w:t xml:space="preserve">.  There are several reasons for that.  For one, the most dangerous diseases are those that spread from one individual to another. </w:t>
      </w:r>
      <w:r w:rsidRPr="0041399D">
        <w:rPr>
          <w:b/>
          <w:bCs/>
          <w:u w:val="single"/>
        </w:rPr>
        <w:t>If the disease is highly lethal, then the population drops, and it becomes less likely</w:t>
      </w:r>
      <w:r w:rsidRPr="0041399D">
        <w:rPr>
          <w:sz w:val="12"/>
        </w:rPr>
        <w:t xml:space="preserve"> that </w:t>
      </w:r>
      <w:r w:rsidRPr="0041399D">
        <w:rPr>
          <w:b/>
          <w:bCs/>
          <w:u w:val="single"/>
        </w:rPr>
        <w:t>individuals will contact each other during the infectious phase</w:t>
      </w:r>
      <w:r w:rsidRPr="0041399D">
        <w:rPr>
          <w:sz w:val="12"/>
        </w:rPr>
        <w:t xml:space="preserve">. Highly contagious </w:t>
      </w:r>
      <w:r w:rsidRPr="0041399D">
        <w:rPr>
          <w:rStyle w:val="Emphasis"/>
        </w:rPr>
        <w:t>diseases</w:t>
      </w:r>
      <w:r w:rsidRPr="0041399D">
        <w:rPr>
          <w:sz w:val="12"/>
        </w:rPr>
        <w:t xml:space="preserve"> </w:t>
      </w:r>
      <w:r w:rsidRPr="0041399D">
        <w:rPr>
          <w:b/>
          <w:iCs/>
          <w:u w:val="single"/>
          <w:bdr w:val="single" w:sz="18" w:space="0" w:color="auto"/>
        </w:rPr>
        <w:t>tend to burn themselves out</w:t>
      </w:r>
      <w:r w:rsidRPr="0041399D">
        <w:rPr>
          <w:sz w:val="12"/>
        </w:rPr>
        <w:t xml:space="preserve"> that way. Probably the main reason is variation. Within the host and the pathogen population there will be a wide range of variants. </w:t>
      </w:r>
      <w:r w:rsidRPr="0041399D">
        <w:rPr>
          <w:b/>
          <w:bCs/>
          <w:u w:val="single"/>
        </w:rPr>
        <w:t>Some hosts may be naturally resistant</w:t>
      </w:r>
      <w:r w:rsidRPr="0041399D">
        <w:rPr>
          <w:sz w:val="12"/>
        </w:rPr>
        <w:t xml:space="preserve">. Some pathogens will be less virulent. And either alone or in combination, you end up with infected individuals who survive.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41399D">
        <w:rPr>
          <w:rStyle w:val="StyleUnderline"/>
        </w:rPr>
        <w:t>We can see indications of this sort of thing happening</w:t>
      </w:r>
      <w:r w:rsidRPr="0041399D">
        <w:rPr>
          <w:b/>
          <w:bCs/>
          <w:u w:val="single"/>
        </w:rPr>
        <w:t xml:space="preserve"> in the past, because</w:t>
      </w:r>
      <w:r w:rsidRPr="0041399D">
        <w:rPr>
          <w:sz w:val="12"/>
        </w:rPr>
        <w:t xml:space="preserve"> our </w:t>
      </w:r>
      <w:r w:rsidRPr="0041399D">
        <w:rPr>
          <w:b/>
          <w:bCs/>
          <w:u w:val="single"/>
        </w:rPr>
        <w:t>genomes contain</w:t>
      </w:r>
      <w:r w:rsidRPr="0041399D">
        <w:rPr>
          <w:sz w:val="12"/>
        </w:rPr>
        <w:t xml:space="preserve"> many </w:t>
      </w:r>
      <w:r w:rsidRPr="0041399D">
        <w:rPr>
          <w:b/>
          <w:bCs/>
          <w:u w:val="single"/>
        </w:rPr>
        <w:t xml:space="preserve">instances of </w:t>
      </w:r>
      <w:r w:rsidRPr="0041399D">
        <w:rPr>
          <w:rStyle w:val="Emphasis"/>
        </w:rPr>
        <w:t>pathogen resistance genes</w:t>
      </w:r>
      <w:r w:rsidRPr="0041399D">
        <w:rPr>
          <w:b/>
          <w:bCs/>
          <w:u w:val="single"/>
        </w:rPr>
        <w:t xml:space="preserve"> that have </w:t>
      </w:r>
      <w:r w:rsidRPr="0041399D">
        <w:rPr>
          <w:rStyle w:val="Emphasis"/>
        </w:rPr>
        <w:t>spread through the whole population</w:t>
      </w:r>
      <w:r w:rsidRPr="0041399D">
        <w:rPr>
          <w:sz w:val="12"/>
        </w:rPr>
        <w:t>.  Those all started off as rare mutations that conferred a strong selection advantage to the carriers, meaning that the specific infectious diseases were serious threats to the species.</w:t>
      </w:r>
    </w:p>
    <w:p w14:paraId="0CC46F6E" w14:textId="47C28774" w:rsidR="00927D40" w:rsidRPr="0041399D" w:rsidRDefault="00927D40" w:rsidP="00927D40"/>
    <w:p w14:paraId="0CD335F9" w14:textId="5084D1D6" w:rsidR="00B87E81" w:rsidRPr="0041399D" w:rsidRDefault="00B87E81" w:rsidP="00B87E81">
      <w:pPr>
        <w:pStyle w:val="Heading2"/>
      </w:pPr>
      <w:r w:rsidRPr="0041399D">
        <w:lastRenderedPageBreak/>
        <w:t>Exploitation Aff</w:t>
      </w:r>
    </w:p>
    <w:p w14:paraId="730A2D84" w14:textId="136FB0E3" w:rsidR="00B87E81" w:rsidRPr="0041399D" w:rsidRDefault="00B87E81" w:rsidP="00F67F61">
      <w:pPr>
        <w:pStyle w:val="Heading3"/>
      </w:pPr>
      <w:r w:rsidRPr="0041399D">
        <w:lastRenderedPageBreak/>
        <w:t>1NC Solvency</w:t>
      </w:r>
    </w:p>
    <w:p w14:paraId="68E79240" w14:textId="63690CBB" w:rsidR="00B87E81" w:rsidRPr="0041399D" w:rsidRDefault="00B87E81" w:rsidP="00B87E81">
      <w:pPr>
        <w:pStyle w:val="Heading4"/>
      </w:pPr>
      <w:r w:rsidRPr="0041399D">
        <w:t>Lots of other codes target sex workers—repealing FOSTA/SESTA solves nothing</w:t>
      </w:r>
    </w:p>
    <w:p w14:paraId="2BB449F0" w14:textId="77777777" w:rsidR="00B87E81" w:rsidRPr="0041399D" w:rsidRDefault="00B87E81" w:rsidP="00B87E81">
      <w:pPr>
        <w:rPr>
          <w:b/>
          <w:sz w:val="26"/>
          <w:szCs w:val="26"/>
        </w:rPr>
      </w:pPr>
      <w:r w:rsidRPr="0041399D">
        <w:rPr>
          <w:b/>
          <w:sz w:val="26"/>
          <w:szCs w:val="26"/>
        </w:rPr>
        <w:t xml:space="preserve">Lutnick and Cohan 09 </w:t>
      </w:r>
      <w:r w:rsidRPr="0041399D">
        <w:rPr>
          <w:rFonts w:eastAsia="Times New Roman" w:cs="Times New Roman"/>
          <w:color w:val="000000" w:themeColor="text1"/>
          <w:shd w:val="clear" w:color="auto" w:fill="FFFFFF"/>
        </w:rPr>
        <w:t xml:space="preserve">(Alexandra Lutnick, </w:t>
      </w:r>
      <w:r w:rsidRPr="0041399D">
        <w:rPr>
          <w:rFonts w:eastAsia="Times New Roman"/>
          <w:color w:val="000000" w:themeColor="text1"/>
          <w:shd w:val="clear" w:color="auto" w:fill="FFFFFF"/>
        </w:rPr>
        <w:t>senior research scientist for the San Francisco-based Urban Health Program at RTI International's Behavioral Health and Criminal Justice Research Division.</w:t>
      </w:r>
    </w:p>
    <w:p w14:paraId="3E8538A8" w14:textId="77777777" w:rsidR="00B87E81" w:rsidRPr="0041399D" w:rsidRDefault="00B87E81" w:rsidP="00B87E81">
      <w:r w:rsidRPr="0041399D">
        <w:rPr>
          <w:rFonts w:eastAsia="Times New Roman" w:cs="Times New Roman"/>
          <w:color w:val="000000" w:themeColor="text1"/>
          <w:shd w:val="clear" w:color="auto" w:fill="FFFFFF"/>
        </w:rPr>
        <w:t xml:space="preserve"> &amp; Deborah Cohan, Obstetrician-gynecologist</w:t>
      </w:r>
      <w:r w:rsidRPr="0041399D">
        <w:rPr>
          <w:rFonts w:eastAsia="Times New Roman" w:cs="Times New Roman"/>
          <w:color w:val="000000" w:themeColor="text1"/>
        </w:rPr>
        <w:t>.</w:t>
      </w:r>
      <w:r w:rsidRPr="0041399D">
        <w:rPr>
          <w:rFonts w:eastAsia="Times New Roman" w:cs="Times New Roman"/>
          <w:color w:val="000000" w:themeColor="text1"/>
          <w:shd w:val="clear" w:color="auto" w:fill="FFFFFF"/>
        </w:rPr>
        <w:t> (2009) Criminalization, legalization or decriminalization of sex work: what female sex workers say in San Francisco, USA, Reproductive Health Matters, 17:34, 38-46, DOI: </w:t>
      </w:r>
      <w:hyperlink r:id="rId61" w:history="1">
        <w:r w:rsidRPr="0041399D">
          <w:rPr>
            <w:rFonts w:eastAsia="Times New Roman" w:cs="Times New Roman"/>
            <w:color w:val="000000" w:themeColor="text1"/>
            <w:u w:val="single"/>
          </w:rPr>
          <w:t>10.1016/S0968-8080(09)34469-9</w:t>
        </w:r>
      </w:hyperlink>
      <w:r w:rsidRPr="0041399D">
        <w:rPr>
          <w:rFonts w:eastAsia="Times New Roman" w:cs="Times New Roman"/>
          <w:color w:val="000000" w:themeColor="text1"/>
          <w:shd w:val="clear" w:color="auto" w:fill="FFFFFF"/>
        </w:rPr>
        <w:t>//AA)</w:t>
      </w:r>
    </w:p>
    <w:p w14:paraId="17DB4EEA" w14:textId="77777777" w:rsidR="00B87E81" w:rsidRPr="0041399D" w:rsidRDefault="00B87E81" w:rsidP="00B87E81">
      <w:pPr>
        <w:pStyle w:val="NormalWeb"/>
        <w:spacing w:before="240" w:beforeAutospacing="0" w:after="240" w:afterAutospacing="0"/>
        <w:rPr>
          <w:rFonts w:ascii="Roboto" w:hAnsi="Roboto"/>
          <w:color w:val="000000" w:themeColor="text1"/>
          <w:sz w:val="16"/>
          <w:szCs w:val="26"/>
        </w:rPr>
      </w:pPr>
      <w:r w:rsidRPr="0041399D">
        <w:rPr>
          <w:rFonts w:ascii="Roboto" w:hAnsi="Roboto"/>
          <w:color w:val="000000" w:themeColor="text1"/>
          <w:sz w:val="16"/>
          <w:szCs w:val="26"/>
        </w:rPr>
        <w:t xml:space="preserve">Even if sex work were to be decriminalized or legalized, many things might not change. </w:t>
      </w:r>
      <w:r w:rsidRPr="0041399D">
        <w:rPr>
          <w:rFonts w:ascii="Roboto" w:hAnsi="Roboto"/>
          <w:color w:val="000000" w:themeColor="text1"/>
          <w:sz w:val="26"/>
          <w:szCs w:val="26"/>
          <w:u w:val="single"/>
        </w:rPr>
        <w:t>If prostitution codes were removed, there are still other legal codes such as loitering, trespassing, public nuisance and narcotics which could be used to target sex workers</w:t>
      </w:r>
      <w:r w:rsidRPr="0041399D">
        <w:rPr>
          <w:rFonts w:ascii="Roboto" w:hAnsi="Roboto"/>
          <w:color w:val="000000" w:themeColor="text1"/>
          <w:sz w:val="16"/>
          <w:szCs w:val="26"/>
        </w:rPr>
        <w:t xml:space="preserve">. Additionally, </w:t>
      </w:r>
      <w:r w:rsidRPr="0041399D">
        <w:rPr>
          <w:rFonts w:ascii="Roboto" w:hAnsi="Roboto"/>
          <w:color w:val="000000" w:themeColor="text1"/>
          <w:sz w:val="26"/>
          <w:szCs w:val="26"/>
          <w:u w:val="single"/>
        </w:rPr>
        <w:t>given the deep cultural beliefs about sex work, decriminalization or legalization would likely not eliminate the stigma associated with prostitution.</w:t>
      </w:r>
      <w:r w:rsidRPr="0041399D">
        <w:rPr>
          <w:rFonts w:ascii="Roboto" w:hAnsi="Roboto"/>
          <w:color w:val="000000" w:themeColor="text1"/>
          <w:sz w:val="16"/>
          <w:szCs w:val="26"/>
        </w:rPr>
        <w:t xml:space="preserve"> </w:t>
      </w:r>
      <w:r w:rsidRPr="0041399D">
        <w:rPr>
          <w:rFonts w:ascii="Roboto" w:hAnsi="Roboto"/>
          <w:color w:val="000000" w:themeColor="text1"/>
          <w:sz w:val="26"/>
          <w:szCs w:val="26"/>
          <w:u w:val="single"/>
        </w:rPr>
        <w:t>A change</w:t>
      </w:r>
      <w:r w:rsidRPr="0041399D">
        <w:rPr>
          <w:rFonts w:ascii="Roboto" w:hAnsi="Roboto"/>
          <w:color w:val="000000" w:themeColor="text1"/>
          <w:sz w:val="16"/>
          <w:szCs w:val="26"/>
        </w:rPr>
        <w:t xml:space="preserve"> in the criminal code </w:t>
      </w:r>
      <w:r w:rsidRPr="0041399D">
        <w:rPr>
          <w:rFonts w:ascii="Roboto" w:hAnsi="Roboto"/>
          <w:color w:val="000000" w:themeColor="text1"/>
          <w:sz w:val="26"/>
          <w:szCs w:val="26"/>
          <w:u w:val="single"/>
        </w:rPr>
        <w:t>would also not guarantee access to the health and social services the women want</w:t>
      </w:r>
      <w:r w:rsidRPr="0041399D">
        <w:rPr>
          <w:rFonts w:ascii="Roboto" w:hAnsi="Roboto"/>
          <w:color w:val="000000" w:themeColor="text1"/>
          <w:sz w:val="16"/>
          <w:szCs w:val="26"/>
        </w:rPr>
        <w:t xml:space="preserve">. Incarceration should not be the only way for the women to stop using/drinking or accessing vital services such as health care, drug treatment or housing. Any future work towards decriminalization will need to be coupled with a commitment that the health and social services sex workers want will be available. </w:t>
      </w:r>
    </w:p>
    <w:p w14:paraId="3D9F84BE" w14:textId="00F4015D" w:rsidR="00B87E81" w:rsidRDefault="00F67F61" w:rsidP="00F67F61">
      <w:pPr>
        <w:pStyle w:val="Heading4"/>
      </w:pPr>
      <w:r>
        <w:t>Online sex work is more dangerous</w:t>
      </w:r>
    </w:p>
    <w:p w14:paraId="0898DAED" w14:textId="77777777" w:rsidR="00F67F61" w:rsidRDefault="00F67F61" w:rsidP="00F67F61">
      <w:r w:rsidRPr="4B973773">
        <w:rPr>
          <w:rFonts w:ascii="Times New Roman" w:eastAsia="Times New Roman" w:hAnsi="Times New Roman" w:cs="Times New Roman"/>
          <w:color w:val="000000" w:themeColor="text1"/>
        </w:rPr>
        <w:t xml:space="preserve">Teela </w:t>
      </w:r>
      <w:r w:rsidRPr="4B973773">
        <w:rPr>
          <w:rFonts w:ascii="Times New Roman" w:eastAsia="Times New Roman" w:hAnsi="Times New Roman" w:cs="Times New Roman"/>
          <w:b/>
          <w:bCs/>
          <w:color w:val="000000" w:themeColor="text1"/>
        </w:rPr>
        <w:t>Sanders &amp;</w:t>
      </w:r>
      <w:r w:rsidRPr="4B973773">
        <w:rPr>
          <w:rFonts w:ascii="Times New Roman" w:eastAsia="Times New Roman" w:hAnsi="Times New Roman" w:cs="Times New Roman"/>
          <w:color w:val="000000" w:themeColor="text1"/>
        </w:rPr>
        <w:t xml:space="preserve"> Lucy </w:t>
      </w:r>
      <w:r w:rsidRPr="4B973773">
        <w:rPr>
          <w:rFonts w:ascii="Times New Roman" w:eastAsia="Times New Roman" w:hAnsi="Times New Roman" w:cs="Times New Roman"/>
          <w:b/>
          <w:bCs/>
          <w:color w:val="000000" w:themeColor="text1"/>
        </w:rPr>
        <w:t xml:space="preserve">Platt 17; </w:t>
      </w:r>
      <w:r w:rsidRPr="00F67F61">
        <w:t xml:space="preserve">Professor in Criminology, University of Leicester; Associate Professor in Public Health Epidemiology, London School of Hygiene &amp; Tropical Medicine; “Is sex work still the most dangerous profession? The data suggests so,” - The Conversation, August 10, 2017, </w:t>
      </w:r>
      <w:hyperlink r:id="rId62">
        <w:r w:rsidRPr="00F67F61">
          <w:rPr>
            <w:rStyle w:val="Hyperlink"/>
          </w:rPr>
          <w:t>https://researchonline.lshtm.ac.uk/id/eprint/4647656/1/Is-sex-work-still-the-most-dangerous-profession.pdf</w:t>
        </w:r>
      </w:hyperlink>
      <w:r w:rsidRPr="00F67F61">
        <w:br/>
        <w:t xml:space="preserve">Since 2011, proportionally more indoor </w:t>
      </w:r>
      <w:r w:rsidRPr="4B973773">
        <w:rPr>
          <w:rFonts w:ascii="Times New Roman" w:eastAsia="Times New Roman" w:hAnsi="Times New Roman" w:cs="Times New Roman"/>
          <w:b/>
          <w:bCs/>
          <w:color w:val="000000" w:themeColor="text1"/>
          <w:sz w:val="24"/>
          <w:szCs w:val="24"/>
          <w:u w:val="single"/>
        </w:rPr>
        <w:t>sex workers</w:t>
      </w:r>
      <w:r w:rsidRPr="4B973773">
        <w:rPr>
          <w:rFonts w:ascii="Times New Roman" w:eastAsia="Times New Roman" w:hAnsi="Times New Roman" w:cs="Times New Roman"/>
          <w:color w:val="000000" w:themeColor="text1"/>
          <w:sz w:val="24"/>
          <w:szCs w:val="24"/>
          <w:u w:val="single"/>
        </w:rPr>
        <w:t xml:space="preserve"> have been </w:t>
      </w:r>
      <w:r w:rsidRPr="4B973773">
        <w:rPr>
          <w:rFonts w:ascii="Times New Roman" w:eastAsia="Times New Roman" w:hAnsi="Times New Roman" w:cs="Times New Roman"/>
          <w:b/>
          <w:bCs/>
          <w:color w:val="000000" w:themeColor="text1"/>
          <w:sz w:val="24"/>
          <w:szCs w:val="24"/>
          <w:u w:val="single"/>
        </w:rPr>
        <w:t xml:space="preserve">murdered </w:t>
      </w:r>
      <w:r w:rsidRPr="4B973773">
        <w:rPr>
          <w:rFonts w:ascii="Times New Roman" w:eastAsia="Times New Roman" w:hAnsi="Times New Roman" w:cs="Times New Roman"/>
          <w:color w:val="000000" w:themeColor="text1"/>
          <w:sz w:val="24"/>
          <w:szCs w:val="24"/>
          <w:u w:val="single"/>
        </w:rPr>
        <w:t xml:space="preserve">(ten, or 59%) than </w:t>
      </w:r>
      <w:r w:rsidRPr="4B973773">
        <w:rPr>
          <w:rFonts w:ascii="Times New Roman" w:eastAsia="Times New Roman" w:hAnsi="Times New Roman" w:cs="Times New Roman"/>
          <w:b/>
          <w:bCs/>
          <w:color w:val="000000" w:themeColor="text1"/>
          <w:sz w:val="24"/>
          <w:szCs w:val="24"/>
          <w:u w:val="single"/>
        </w:rPr>
        <w:t>streetbased sex workers</w:t>
      </w:r>
      <w:r w:rsidRPr="4B973773">
        <w:rPr>
          <w:rFonts w:ascii="Times New Roman" w:eastAsia="Times New Roman" w:hAnsi="Times New Roman" w:cs="Times New Roman"/>
          <w:color w:val="000000" w:themeColor="text1"/>
          <w:sz w:val="24"/>
          <w:szCs w:val="24"/>
          <w:u w:val="single"/>
        </w:rPr>
        <w:t xml:space="preserve"> (seven, or 41%)</w:t>
      </w:r>
      <w:r w:rsidRPr="4B973773">
        <w:rPr>
          <w:rFonts w:ascii="Times New Roman" w:eastAsia="Times New Roman" w:hAnsi="Times New Roman" w:cs="Times New Roman"/>
          <w:color w:val="000000" w:themeColor="text1"/>
          <w:sz w:val="24"/>
          <w:szCs w:val="24"/>
        </w:rPr>
        <w:t xml:space="preserve"> – and</w:t>
      </w:r>
      <w:r w:rsidRPr="4B973773">
        <w:rPr>
          <w:rFonts w:ascii="Times New Roman" w:eastAsia="Times New Roman" w:hAnsi="Times New Roman" w:cs="Times New Roman"/>
          <w:color w:val="000000" w:themeColor="text1"/>
          <w:sz w:val="24"/>
          <w:szCs w:val="24"/>
          <w:u w:val="single"/>
        </w:rPr>
        <w:t xml:space="preserve"> the majority of </w:t>
      </w:r>
      <w:r w:rsidRPr="4B973773">
        <w:rPr>
          <w:rFonts w:ascii="Times New Roman" w:eastAsia="Times New Roman" w:hAnsi="Times New Roman" w:cs="Times New Roman"/>
          <w:b/>
          <w:bCs/>
          <w:color w:val="000000" w:themeColor="text1"/>
          <w:sz w:val="24"/>
          <w:szCs w:val="24"/>
          <w:u w:val="single"/>
        </w:rPr>
        <w:t>murdered indoor workers</w:t>
      </w:r>
      <w:r w:rsidRPr="4B973773">
        <w:rPr>
          <w:rFonts w:ascii="Times New Roman" w:eastAsia="Times New Roman" w:hAnsi="Times New Roman" w:cs="Times New Roman"/>
          <w:color w:val="000000" w:themeColor="text1"/>
          <w:sz w:val="24"/>
          <w:szCs w:val="24"/>
          <w:u w:val="single"/>
        </w:rPr>
        <w:t xml:space="preserve"> were working </w:t>
      </w:r>
      <w:r w:rsidRPr="4B973773">
        <w:rPr>
          <w:rFonts w:ascii="Times New Roman" w:eastAsia="Times New Roman" w:hAnsi="Times New Roman" w:cs="Times New Roman"/>
          <w:b/>
          <w:bCs/>
          <w:color w:val="000000" w:themeColor="text1"/>
          <w:sz w:val="24"/>
          <w:szCs w:val="24"/>
          <w:u w:val="single"/>
        </w:rPr>
        <w:t>alone</w:t>
      </w:r>
      <w:r w:rsidRPr="4B973773">
        <w:rPr>
          <w:rFonts w:ascii="Times New Roman" w:eastAsia="Times New Roman" w:hAnsi="Times New Roman" w:cs="Times New Roman"/>
          <w:color w:val="000000" w:themeColor="text1"/>
          <w:sz w:val="24"/>
          <w:szCs w:val="24"/>
          <w:u w:val="single"/>
        </w:rPr>
        <w:t>.</w:t>
      </w:r>
      <w:r w:rsidRPr="4B973773">
        <w:rPr>
          <w:rFonts w:ascii="Times New Roman" w:eastAsia="Times New Roman" w:hAnsi="Times New Roman" w:cs="Times New Roman"/>
          <w:color w:val="000000" w:themeColor="text1"/>
          <w:sz w:val="24"/>
          <w:szCs w:val="24"/>
        </w:rPr>
        <w:t xml:space="preserve"> </w:t>
      </w:r>
      <w:r w:rsidRPr="4B973773">
        <w:rPr>
          <w:rFonts w:ascii="Times New Roman" w:eastAsia="Times New Roman" w:hAnsi="Times New Roman" w:cs="Times New Roman"/>
          <w:color w:val="000000" w:themeColor="text1"/>
          <w:sz w:val="24"/>
          <w:szCs w:val="24"/>
          <w:u w:val="single"/>
        </w:rPr>
        <w:t>This is likely to be because most sex work now happens indoors as street markets have declined and the internet has become the preferred place for advertising and marketing. It may also be the case that working alone indoors presents greater risks.</w:t>
      </w:r>
      <w:r w:rsidRPr="4B973773">
        <w:rPr>
          <w:rFonts w:ascii="Times New Roman" w:eastAsia="Times New Roman" w:hAnsi="Times New Roman" w:cs="Times New Roman"/>
          <w:color w:val="000000" w:themeColor="text1"/>
          <w:sz w:val="24"/>
          <w:szCs w:val="24"/>
        </w:rPr>
        <w:t xml:space="preserve"> </w:t>
      </w:r>
      <w:r w:rsidRPr="4B973773">
        <w:rPr>
          <w:rFonts w:ascii="Times New Roman" w:eastAsia="Times New Roman" w:hAnsi="Times New Roman" w:cs="Times New Roman"/>
          <w:color w:val="000000" w:themeColor="text1"/>
          <w:sz w:val="16"/>
          <w:szCs w:val="16"/>
        </w:rPr>
        <w:t>Overall, the numbers killed whilst working in the current decade (2011-2016) is suggesting a decreasing trend with 18 homicides (16 of them cisgender women victims) compared to other decades. Since 2011, there has been a significant shift to indoor working only, and different forms of online sex work, such as webcamming, that do not require physical contact. There were also fewer serial killer murders reported than in the previous decade.</w:t>
      </w:r>
    </w:p>
    <w:p w14:paraId="6B13681C" w14:textId="77777777" w:rsidR="00F67F61" w:rsidRDefault="00F67F61" w:rsidP="00F67F61">
      <w:r w:rsidRPr="4B973773">
        <w:rPr>
          <w:rFonts w:ascii="Times New Roman" w:eastAsia="Times New Roman" w:hAnsi="Times New Roman" w:cs="Times New Roman"/>
          <w:color w:val="000000" w:themeColor="text1"/>
          <w:sz w:val="16"/>
          <w:szCs w:val="16"/>
        </w:rPr>
        <w:t>The static nature of murders so far this decade reflects the overall homicide rate in England and Wales which have been stable for a similar period – ranging from 533 to 574 recorded murders a year, apart from a spike in 2015-16 when the number rose to 723. Our other key finding is that the proportion of homicide victims with a migrant background has increased in recent years. In the 20 years between 1990 and 2009, only 6% (five individuals) of sex work occupational homicide victims (where nationality/migration status is known) were migrants, compared to 94% (77) who were British born. Since 2010, however, the proportion of migrant victims has dramatically increased with eight of the last 18 victims coming from a migrant background. This may reflect changes in the overall makeup of the sex industry, with increasing numbers of migrant workers working in it, and/or suggest that offenders are specifically targeting migrants because of their potentially increased vulnerability.</w:t>
      </w:r>
    </w:p>
    <w:p w14:paraId="2BE4EE5B" w14:textId="77777777" w:rsidR="00F67F61" w:rsidRPr="00F67F61" w:rsidRDefault="00F67F61" w:rsidP="00F67F61"/>
    <w:p w14:paraId="5AB27740" w14:textId="3211A162" w:rsidR="00861574" w:rsidRPr="0041399D" w:rsidRDefault="00861574" w:rsidP="00861574">
      <w:pPr>
        <w:pStyle w:val="Heading4"/>
      </w:pPr>
      <w:r w:rsidRPr="0041399D">
        <w:rPr>
          <w:rFonts w:eastAsia="Times New Roman"/>
        </w:rPr>
        <w:t>Stigma means sex workers still get targeted and exploited post plan</w:t>
      </w:r>
    </w:p>
    <w:p w14:paraId="527472BE" w14:textId="13173EAE" w:rsidR="00861574" w:rsidRPr="0041399D" w:rsidRDefault="00861574" w:rsidP="00861574">
      <w:r w:rsidRPr="0041399D">
        <w:t>Alison L.</w:t>
      </w:r>
      <w:r w:rsidRPr="0041399D">
        <w:rPr>
          <w:b/>
          <w:bCs/>
        </w:rPr>
        <w:t xml:space="preserve"> </w:t>
      </w:r>
      <w:r w:rsidRPr="0041399D">
        <w:rPr>
          <w:rStyle w:val="Style13ptBold"/>
        </w:rPr>
        <w:t>Grittner &amp;</w:t>
      </w:r>
      <w:r w:rsidRPr="0041399D">
        <w:rPr>
          <w:b/>
          <w:bCs/>
        </w:rPr>
        <w:t xml:space="preserve"> </w:t>
      </w:r>
      <w:r w:rsidRPr="0041399D">
        <w:t xml:space="preserve">Christine A. </w:t>
      </w:r>
      <w:r w:rsidRPr="0041399D">
        <w:rPr>
          <w:rStyle w:val="Style13ptBold"/>
        </w:rPr>
        <w:t>Walsh 20</w:t>
      </w:r>
      <w:r w:rsidRPr="0041399D">
        <w:t xml:space="preserve">, PhD Candidate and advocate for sex workers at Calgary University; PhD in Social Work (University of Toronto), MSW (McMaster University), MSc and BSc in Human Kinetics (University of Guelph), “The Role of Social Stigma in the Lives of Female-Identified Sex </w:t>
      </w:r>
      <w:r w:rsidRPr="0041399D">
        <w:lastRenderedPageBreak/>
        <w:t xml:space="preserve">Workers: A Scoping Review,” - Springer Link, January 31, 2020, </w:t>
      </w:r>
      <w:hyperlink r:id="rId63">
        <w:r w:rsidRPr="0041399D">
          <w:rPr>
            <w:rStyle w:val="Hyperlink"/>
          </w:rPr>
          <w:t>https://link.springer.com/article/10.1007/s12119-020-09707-7</w:t>
        </w:r>
      </w:hyperlink>
    </w:p>
    <w:p w14:paraId="5E5BAA6A" w14:textId="51FDC6E6" w:rsidR="00861574" w:rsidRPr="0041399D" w:rsidRDefault="00861574" w:rsidP="00861574">
      <w:r w:rsidRPr="0041399D">
        <w:rPr>
          <w:rFonts w:eastAsia="Times New Roman" w:cs="Times New Roman"/>
          <w:color w:val="000000" w:themeColor="text1"/>
          <w:u w:val="single"/>
        </w:rPr>
        <w:t xml:space="preserve">Sex-work stigma presented as a complex process involves layers replicated through social structures, institutions, community organizations, and individuals working to enforce social norms </w:t>
      </w:r>
      <w:r w:rsidRPr="0041399D">
        <w:rPr>
          <w:rFonts w:eastAsia="Times New Roman" w:cs="Times New Roman"/>
          <w:color w:val="000000" w:themeColor="text1"/>
        </w:rPr>
        <w:t xml:space="preserve">(see Fig. </w:t>
      </w:r>
      <w:hyperlink r:id="rId64" w:anchor="Fig2">
        <w:r w:rsidRPr="0041399D">
          <w:rPr>
            <w:rStyle w:val="Hyperlink"/>
            <w:rFonts w:eastAsia="Times New Roman" w:cs="Times New Roman"/>
            <w:b/>
            <w:color w:val="000000" w:themeColor="text1"/>
          </w:rPr>
          <w:t>2</w:t>
        </w:r>
      </w:hyperlink>
      <w:r w:rsidRPr="0041399D">
        <w:rPr>
          <w:rFonts w:eastAsia="Times New Roman" w:cs="Times New Roman"/>
          <w:color w:val="000000" w:themeColor="text1"/>
        </w:rPr>
        <w:t xml:space="preserve">). </w:t>
      </w:r>
      <w:r w:rsidRPr="0041399D">
        <w:rPr>
          <w:rFonts w:eastAsia="Times New Roman" w:cs="Times New Roman"/>
          <w:color w:val="000000" w:themeColor="text1"/>
          <w:u w:val="single"/>
        </w:rPr>
        <w:t>Stigma is centered on maintaining social order</w:t>
      </w:r>
      <w:r w:rsidRPr="0041399D">
        <w:rPr>
          <w:rFonts w:eastAsia="Times New Roman" w:cs="Times New Roman"/>
          <w:color w:val="000000" w:themeColor="text1"/>
          <w:sz w:val="16"/>
          <w:szCs w:val="16"/>
        </w:rPr>
        <w:t xml:space="preserve"> by advancing the concerns of groups</w:t>
      </w:r>
      <w:r w:rsidRPr="0041399D">
        <w:rPr>
          <w:rFonts w:eastAsia="Times New Roman" w:cs="Times New Roman"/>
          <w:color w:val="000000" w:themeColor="text1"/>
        </w:rPr>
        <w:t xml:space="preserve"> </w:t>
      </w:r>
      <w:r w:rsidRPr="0041399D">
        <w:rPr>
          <w:rFonts w:eastAsia="Times New Roman" w:cs="Times New Roman"/>
          <w:color w:val="000000" w:themeColor="text1"/>
          <w:u w:val="single"/>
        </w:rPr>
        <w:t>and</w:t>
      </w:r>
      <w:r w:rsidRPr="0041399D">
        <w:rPr>
          <w:rFonts w:eastAsia="Times New Roman" w:cs="Times New Roman"/>
          <w:color w:val="000000" w:themeColor="text1"/>
        </w:rPr>
        <w:t xml:space="preserve"> </w:t>
      </w:r>
      <w:r w:rsidRPr="0041399D">
        <w:rPr>
          <w:rFonts w:eastAsia="Times New Roman" w:cs="Times New Roman"/>
          <w:color w:val="000000" w:themeColor="text1"/>
          <w:sz w:val="16"/>
          <w:szCs w:val="16"/>
        </w:rPr>
        <w:t xml:space="preserve">individuals possessing the most power as well as justifying these differences by </w:t>
      </w:r>
      <w:r w:rsidRPr="0041399D">
        <w:rPr>
          <w:rFonts w:eastAsia="Times New Roman" w:cs="Times New Roman"/>
          <w:color w:val="000000" w:themeColor="text1"/>
          <w:u w:val="single"/>
        </w:rPr>
        <w:t>“convincing the dominated to accept existing hierarchies through processes of hegemony”</w:t>
      </w:r>
      <w:r w:rsidRPr="0041399D">
        <w:rPr>
          <w:rFonts w:eastAsia="Times New Roman" w:cs="Times New Roman"/>
          <w:color w:val="000000" w:themeColor="text1"/>
          <w:sz w:val="16"/>
          <w:szCs w:val="16"/>
        </w:rPr>
        <w:t xml:space="preserve"> (Parker and Aggleton </w:t>
      </w:r>
      <w:hyperlink r:id="rId65" w:anchor="ref-CR77">
        <w:r w:rsidRPr="0041399D">
          <w:rPr>
            <w:rStyle w:val="Hyperlink"/>
            <w:rFonts w:eastAsia="Times New Roman" w:cs="Times New Roman"/>
            <w:b/>
            <w:color w:val="000000" w:themeColor="text1"/>
            <w:sz w:val="16"/>
            <w:szCs w:val="16"/>
          </w:rPr>
          <w:t>2003</w:t>
        </w:r>
      </w:hyperlink>
      <w:r w:rsidRPr="0041399D">
        <w:rPr>
          <w:rFonts w:eastAsia="Times New Roman" w:cs="Times New Roman"/>
          <w:color w:val="000000" w:themeColor="text1"/>
          <w:sz w:val="16"/>
          <w:szCs w:val="16"/>
        </w:rPr>
        <w:t>, 6) and—in this way—preserves the hierarchies that perpetuate it. Similarly, Bowen and Bungay (</w:t>
      </w:r>
      <w:hyperlink r:id="rId66" w:anchor="ref-CR8">
        <w:r w:rsidRPr="0041399D">
          <w:rPr>
            <w:rStyle w:val="Hyperlink"/>
            <w:rFonts w:eastAsia="Times New Roman" w:cs="Times New Roman"/>
            <w:b/>
            <w:color w:val="000000" w:themeColor="text1"/>
            <w:sz w:val="16"/>
            <w:szCs w:val="16"/>
          </w:rPr>
          <w:t>2016</w:t>
        </w:r>
      </w:hyperlink>
      <w:r w:rsidRPr="0041399D">
        <w:rPr>
          <w:rFonts w:eastAsia="Times New Roman" w:cs="Times New Roman"/>
          <w:color w:val="000000" w:themeColor="text1"/>
          <w:sz w:val="16"/>
          <w:szCs w:val="16"/>
        </w:rPr>
        <w:t xml:space="preserve">) note that power structures communicate and create the social process of stigma as dominant groups wield stigma as a means of electing, dictating, and strengthening their model of how people should behave in the world. </w:t>
      </w:r>
      <w:r w:rsidRPr="0041399D">
        <w:rPr>
          <w:rFonts w:eastAsia="Times New Roman" w:cs="Times New Roman"/>
          <w:color w:val="000000" w:themeColor="text1"/>
          <w:u w:val="single"/>
        </w:rPr>
        <w:t>Thus, the socio-power structures that preserve hierarchical domination placing female-identified sex workers in a marginalized position are also the structural roots of sex-work stigma.</w:t>
      </w:r>
      <w:r w:rsidRPr="0041399D">
        <w:t xml:space="preserve"> </w:t>
      </w:r>
      <w:r w:rsidRPr="0041399D">
        <w:rPr>
          <w:rFonts w:eastAsia="Times New Roman" w:cs="Times New Roman"/>
          <w:color w:val="000000" w:themeColor="text1"/>
        </w:rPr>
        <w:t>According to studies in the review,</w:t>
      </w:r>
      <w:r w:rsidRPr="0041399D">
        <w:rPr>
          <w:rFonts w:eastAsia="Times New Roman" w:cs="Times New Roman"/>
          <w:color w:val="000000" w:themeColor="text1"/>
          <w:u w:val="single"/>
        </w:rPr>
        <w:t xml:space="preserve"> gender, race, class, colonialism, ableism, and capitalism serve as interlocking hierarchical social structures that contribute to sex-work stigma </w:t>
      </w:r>
      <w:r w:rsidRPr="0041399D">
        <w:rPr>
          <w:rFonts w:eastAsia="Times New Roman" w:cs="Times New Roman"/>
          <w:color w:val="000000" w:themeColor="text1"/>
          <w:sz w:val="16"/>
          <w:szCs w:val="16"/>
        </w:rPr>
        <w:t xml:space="preserve">and highlight its structural nature. Although these socio-structural systems are the base of sex-work stigma, sex-work discourses in media, academia, and the state emphasize sex workers’ individual responsibility and behaviour (Strega et al. </w:t>
      </w:r>
      <w:hyperlink r:id="rId67" w:anchor="ref-CR55">
        <w:r w:rsidRPr="0041399D">
          <w:rPr>
            <w:rStyle w:val="Hyperlink"/>
            <w:rFonts w:eastAsia="Times New Roman" w:cs="Times New Roman"/>
            <w:b/>
            <w:color w:val="000000" w:themeColor="text1"/>
            <w:sz w:val="16"/>
            <w:szCs w:val="16"/>
          </w:rPr>
          <w:t>2014</w:t>
        </w:r>
      </w:hyperlink>
      <w:r w:rsidRPr="0041399D">
        <w:rPr>
          <w:rFonts w:eastAsia="Times New Roman" w:cs="Times New Roman"/>
          <w:color w:val="000000" w:themeColor="text1"/>
          <w:sz w:val="16"/>
          <w:szCs w:val="16"/>
        </w:rPr>
        <w:t xml:space="preserve">; Weitzer </w:t>
      </w:r>
      <w:hyperlink r:id="rId68" w:anchor="ref-CR60">
        <w:r w:rsidRPr="0041399D">
          <w:rPr>
            <w:rStyle w:val="Hyperlink"/>
            <w:rFonts w:eastAsia="Times New Roman" w:cs="Times New Roman"/>
            <w:b/>
            <w:color w:val="000000" w:themeColor="text1"/>
            <w:sz w:val="16"/>
            <w:szCs w:val="16"/>
          </w:rPr>
          <w:t>2018</w:t>
        </w:r>
      </w:hyperlink>
      <w:r w:rsidRPr="0041399D">
        <w:rPr>
          <w:rFonts w:eastAsia="Times New Roman" w:cs="Times New Roman"/>
          <w:color w:val="000000" w:themeColor="text1"/>
          <w:sz w:val="16"/>
          <w:szCs w:val="16"/>
        </w:rPr>
        <w:t xml:space="preserve">). These discourses obfuscate socio-structural systems’ responsibility in creating the institutional conditions necessary for the social process of stigma (Hallgrímsdóttir et al. </w:t>
      </w:r>
      <w:hyperlink r:id="rId69" w:anchor="ref-CR18">
        <w:r w:rsidRPr="0041399D">
          <w:rPr>
            <w:rStyle w:val="Hyperlink"/>
            <w:rFonts w:eastAsia="Times New Roman" w:cs="Times New Roman"/>
            <w:b/>
            <w:color w:val="000000" w:themeColor="text1"/>
            <w:sz w:val="16"/>
            <w:szCs w:val="16"/>
          </w:rPr>
          <w:t>2008</w:t>
        </w:r>
      </w:hyperlink>
      <w:r w:rsidRPr="0041399D">
        <w:rPr>
          <w:rFonts w:eastAsia="Times New Roman" w:cs="Times New Roman"/>
          <w:color w:val="000000" w:themeColor="text1"/>
          <w:sz w:val="16"/>
          <w:szCs w:val="16"/>
        </w:rPr>
        <w:t xml:space="preserve">; Young </w:t>
      </w:r>
      <w:hyperlink r:id="rId70" w:anchor="ref-CR64">
        <w:r w:rsidRPr="0041399D">
          <w:rPr>
            <w:rStyle w:val="Hyperlink"/>
            <w:rFonts w:eastAsia="Times New Roman" w:cs="Times New Roman"/>
            <w:b/>
            <w:color w:val="000000" w:themeColor="text1"/>
            <w:sz w:val="16"/>
            <w:szCs w:val="16"/>
          </w:rPr>
          <w:t>2011</w:t>
        </w:r>
      </w:hyperlink>
      <w:r w:rsidRPr="0041399D">
        <w:rPr>
          <w:rFonts w:eastAsia="Times New Roman" w:cs="Times New Roman"/>
          <w:color w:val="000000" w:themeColor="text1"/>
          <w:sz w:val="16"/>
          <w:szCs w:val="16"/>
        </w:rPr>
        <w:t>).</w:t>
      </w:r>
    </w:p>
    <w:p w14:paraId="3452772B" w14:textId="1CC19BB9" w:rsidR="00861574" w:rsidRPr="0041399D" w:rsidRDefault="00861574" w:rsidP="00861574">
      <w:pPr>
        <w:pStyle w:val="Heading3"/>
      </w:pPr>
      <w:r w:rsidRPr="0041399D">
        <w:lastRenderedPageBreak/>
        <w:t>2NC Solvency—Stigma</w:t>
      </w:r>
    </w:p>
    <w:p w14:paraId="07C6DDDE" w14:textId="0BFEDFD7" w:rsidR="00861574" w:rsidRPr="0041399D" w:rsidRDefault="00861574" w:rsidP="00861574">
      <w:pPr>
        <w:pStyle w:val="Heading4"/>
      </w:pPr>
      <w:r w:rsidRPr="0041399D">
        <w:t>Stigma makes their impacts inevitable</w:t>
      </w:r>
    </w:p>
    <w:p w14:paraId="7C7482A7" w14:textId="77777777" w:rsidR="00861574" w:rsidRPr="0041399D" w:rsidRDefault="00861574" w:rsidP="00861574">
      <w:r w:rsidRPr="0041399D">
        <w:t xml:space="preserve">Cecilia </w:t>
      </w:r>
      <w:r w:rsidRPr="0041399D">
        <w:rPr>
          <w:rStyle w:val="Style13ptBold"/>
        </w:rPr>
        <w:t>Benoit</w:t>
      </w:r>
      <w:r w:rsidRPr="0041399D">
        <w:t xml:space="preserve">, S. Mikael </w:t>
      </w:r>
      <w:r w:rsidRPr="0041399D">
        <w:rPr>
          <w:rStyle w:val="Style13ptBold"/>
        </w:rPr>
        <w:t>Jansson</w:t>
      </w:r>
      <w:r w:rsidRPr="0041399D">
        <w:t xml:space="preserve">, Michaela </w:t>
      </w:r>
      <w:r w:rsidRPr="0041399D">
        <w:rPr>
          <w:rStyle w:val="Style13ptBold"/>
        </w:rPr>
        <w:t>Smith</w:t>
      </w:r>
      <w:r w:rsidRPr="0041399D">
        <w:t xml:space="preserve">, Jackson </w:t>
      </w:r>
      <w:r w:rsidRPr="0041399D">
        <w:rPr>
          <w:rStyle w:val="Style13ptBold"/>
        </w:rPr>
        <w:t>Flagg 17,</w:t>
      </w:r>
      <w:r w:rsidRPr="0041399D">
        <w:t xml:space="preserve"> scientist at the Canadian Institute for Substance Use Research; scientist at the Canadian Institute for Substance Use Research; Research Coordinator; researcher; “Prostitution Stigma and Its Effect on Working Conditions, Personal Lives, and Health of Sex Workers,” - The Journal of Sex Research, November 17, 2017, </w:t>
      </w:r>
      <w:hyperlink r:id="rId71">
        <w:r w:rsidRPr="0041399D">
          <w:rPr>
            <w:rStyle w:val="Hyperlink"/>
          </w:rPr>
          <w:t>https://www.tandfonline.com/doi/full/10.1080/00224499.2017.1393652?casa_token=6E7oMhtPAeYAAAAA%3AhJgc2NirIEyIYEL4vlbxB7iyNVDfljoPwFmdrrddM0wSqrad8GsfyAazuOuQR6aLpzPO2M6zYPg3OQ</w:t>
        </w:r>
      </w:hyperlink>
    </w:p>
    <w:p w14:paraId="1CC52FDD" w14:textId="77777777" w:rsidR="00861574" w:rsidRPr="0041399D" w:rsidRDefault="00861574" w:rsidP="00861574">
      <w:r w:rsidRPr="0041399D">
        <w:rPr>
          <w:rFonts w:eastAsia="Times New Roman" w:cs="Times New Roman"/>
          <w:color w:val="000000" w:themeColor="text1"/>
          <w:sz w:val="24"/>
          <w:szCs w:val="24"/>
          <w:u w:val="single"/>
        </w:rPr>
        <w:t>Stigma is considered a fundamental cause of social and health inequities</w:t>
      </w:r>
      <w:r w:rsidRPr="0041399D">
        <w:rPr>
          <w:rFonts w:eastAsia="Times New Roman" w:cs="Times New Roman"/>
          <w:color w:val="000000" w:themeColor="text1"/>
          <w:sz w:val="24"/>
          <w:szCs w:val="24"/>
        </w:rPr>
        <w:t xml:space="preserve"> </w:t>
      </w:r>
      <w:r w:rsidRPr="0041399D">
        <w:rPr>
          <w:rFonts w:eastAsia="Times New Roman" w:cs="Times New Roman"/>
          <w:color w:val="000000" w:themeColor="text1"/>
          <w:sz w:val="16"/>
          <w:szCs w:val="16"/>
        </w:rPr>
        <w:t xml:space="preserve">that drives population-level morbidity and mortality, and refers to the “co-occurrence of labelling, stereotyping, separation, status loss, and discrimination in a context in which power is exercised” (Hatzenbuehler et al., </w:t>
      </w:r>
      <w:hyperlink r:id="rId72">
        <w:r w:rsidRPr="0041399D">
          <w:rPr>
            <w:rStyle w:val="Hyperlink"/>
            <w:rFonts w:eastAsia="Times New Roman" w:cs="Times New Roman"/>
            <w:b/>
            <w:color w:val="000000" w:themeColor="text1"/>
            <w:sz w:val="16"/>
            <w:szCs w:val="16"/>
          </w:rPr>
          <w:t>2013</w:t>
        </w:r>
      </w:hyperlink>
      <w:r w:rsidRPr="0041399D">
        <w:rPr>
          <w:rFonts w:eastAsia="Times New Roman" w:cs="Times New Roman"/>
          <w:color w:val="000000" w:themeColor="text1"/>
          <w:sz w:val="16"/>
          <w:szCs w:val="16"/>
        </w:rPr>
        <w:t xml:space="preserve">). </w:t>
      </w:r>
      <w:r w:rsidRPr="0041399D">
        <w:rPr>
          <w:rFonts w:eastAsia="Times New Roman" w:cs="Times New Roman"/>
          <w:color w:val="000000" w:themeColor="text1"/>
          <w:sz w:val="24"/>
          <w:szCs w:val="24"/>
          <w:u w:val="single"/>
        </w:rPr>
        <w:t>Stigma can be both enacted and perceived or “felt” in social norms, values, and expectations, with the result that feelings of shame, deviance from society, and self-blame</w:t>
      </w:r>
      <w:r w:rsidRPr="0041399D">
        <w:rPr>
          <w:rFonts w:eastAsia="Times New Roman" w:cs="Times New Roman"/>
          <w:color w:val="000000" w:themeColor="text1"/>
          <w:sz w:val="24"/>
          <w:szCs w:val="24"/>
        </w:rPr>
        <w:t xml:space="preserve"> </w:t>
      </w:r>
      <w:r w:rsidRPr="0041399D">
        <w:rPr>
          <w:rFonts w:eastAsia="Times New Roman" w:cs="Times New Roman"/>
          <w:color w:val="000000" w:themeColor="text1"/>
          <w:sz w:val="16"/>
          <w:szCs w:val="16"/>
        </w:rPr>
        <w:t xml:space="preserve">may be internalized by targets of stigma (Scambler &amp; Paoli, </w:t>
      </w:r>
      <w:hyperlink r:id="rId73">
        <w:r w:rsidRPr="0041399D">
          <w:rPr>
            <w:rStyle w:val="Hyperlink"/>
            <w:rFonts w:eastAsia="Times New Roman" w:cs="Times New Roman"/>
            <w:b/>
            <w:color w:val="000000" w:themeColor="text1"/>
            <w:sz w:val="16"/>
            <w:szCs w:val="16"/>
          </w:rPr>
          <w:t>2008</w:t>
        </w:r>
      </w:hyperlink>
      <w:r w:rsidRPr="0041399D">
        <w:rPr>
          <w:rFonts w:eastAsia="Times New Roman" w:cs="Times New Roman"/>
          <w:color w:val="000000" w:themeColor="text1"/>
          <w:sz w:val="16"/>
          <w:szCs w:val="16"/>
        </w:rPr>
        <w:t>).</w:t>
      </w:r>
      <w:r w:rsidRPr="0041399D">
        <w:rPr>
          <w:rFonts w:eastAsia="Times New Roman" w:cs="Times New Roman"/>
          <w:color w:val="000000" w:themeColor="text1"/>
          <w:sz w:val="16"/>
          <w:szCs w:val="16"/>
          <w:u w:val="single"/>
        </w:rPr>
        <w:t xml:space="preserve"> </w:t>
      </w:r>
      <w:r w:rsidRPr="0041399D">
        <w:rPr>
          <w:rFonts w:eastAsia="Times New Roman" w:cs="Times New Roman"/>
          <w:color w:val="000000" w:themeColor="text1"/>
          <w:sz w:val="24"/>
          <w:szCs w:val="24"/>
          <w:u w:val="single"/>
        </w:rPr>
        <w:t xml:space="preserve">Power is an essential component of stigma, whereby stigma results in social and economic exclusion, often resulting in stigmatized persons experiencing exploitation and less access to power and resources </w:t>
      </w:r>
      <w:r w:rsidRPr="0041399D">
        <w:rPr>
          <w:rFonts w:eastAsia="Times New Roman" w:cs="Times New Roman"/>
          <w:color w:val="000000" w:themeColor="text1"/>
          <w:sz w:val="16"/>
          <w:szCs w:val="16"/>
        </w:rPr>
        <w:t xml:space="preserve">(Link &amp; Phelan, </w:t>
      </w:r>
      <w:hyperlink r:id="rId74">
        <w:r w:rsidRPr="0041399D">
          <w:rPr>
            <w:rStyle w:val="Hyperlink"/>
            <w:rFonts w:eastAsia="Times New Roman" w:cs="Times New Roman"/>
            <w:b/>
            <w:color w:val="000000" w:themeColor="text1"/>
            <w:sz w:val="16"/>
            <w:szCs w:val="16"/>
          </w:rPr>
          <w:t>2001</w:t>
        </w:r>
      </w:hyperlink>
      <w:r w:rsidRPr="0041399D">
        <w:rPr>
          <w:rFonts w:eastAsia="Times New Roman" w:cs="Times New Roman"/>
          <w:color w:val="000000" w:themeColor="text1"/>
          <w:sz w:val="16"/>
          <w:szCs w:val="16"/>
        </w:rPr>
        <w:t xml:space="preserve">). Though sociologist Erving Goffman originally conceptualized stigma as a largely individual and interpersonal phenomenon, stigma has evolved to be understood as operating on several different socioecological levels (Goffman, </w:t>
      </w:r>
      <w:hyperlink r:id="rId75">
        <w:r w:rsidRPr="0041399D">
          <w:rPr>
            <w:rStyle w:val="Hyperlink"/>
            <w:rFonts w:eastAsia="Times New Roman" w:cs="Times New Roman"/>
            <w:b/>
            <w:color w:val="000000" w:themeColor="text1"/>
            <w:sz w:val="16"/>
            <w:szCs w:val="16"/>
          </w:rPr>
          <w:t>1963</w:t>
        </w:r>
      </w:hyperlink>
      <w:r w:rsidRPr="0041399D">
        <w:rPr>
          <w:rFonts w:eastAsia="Times New Roman" w:cs="Times New Roman"/>
          <w:color w:val="000000" w:themeColor="text1"/>
          <w:sz w:val="16"/>
          <w:szCs w:val="16"/>
        </w:rPr>
        <w:t>).</w:t>
      </w:r>
    </w:p>
    <w:p w14:paraId="53C9FA0A" w14:textId="77777777" w:rsidR="00861574" w:rsidRPr="0041399D" w:rsidRDefault="00861574" w:rsidP="00861574">
      <w:r w:rsidRPr="0041399D">
        <w:rPr>
          <w:rFonts w:eastAsia="Times New Roman" w:cs="Times New Roman"/>
          <w:color w:val="000000" w:themeColor="text1"/>
          <w:sz w:val="16"/>
          <w:szCs w:val="16"/>
        </w:rPr>
        <w:t xml:space="preserve">Female sex workers (FSW) face extensive stigma and can be assigned derogatory labels by society, perceived as criminals or “disease vectors,” or viewed as commodities rather than individual persons by clients (Vanwesenbeeck, </w:t>
      </w:r>
      <w:hyperlink r:id="rId76">
        <w:r w:rsidRPr="0041399D">
          <w:rPr>
            <w:rStyle w:val="Hyperlink"/>
            <w:rFonts w:eastAsia="Times New Roman" w:cs="Times New Roman"/>
            <w:b/>
            <w:color w:val="000000" w:themeColor="text1"/>
            <w:sz w:val="16"/>
            <w:szCs w:val="16"/>
          </w:rPr>
          <w:t>2001</w:t>
        </w:r>
      </w:hyperlink>
      <w:r w:rsidRPr="0041399D">
        <w:rPr>
          <w:rFonts w:eastAsia="Times New Roman" w:cs="Times New Roman"/>
          <w:color w:val="000000" w:themeColor="text1"/>
          <w:sz w:val="16"/>
          <w:szCs w:val="16"/>
        </w:rPr>
        <w:t>). In a recent review of what the authors termed “prostitution stigma,”</w:t>
      </w:r>
      <w:r w:rsidRPr="0041399D">
        <w:rPr>
          <w:rFonts w:eastAsia="Times New Roman" w:cs="Times New Roman"/>
          <w:color w:val="000000" w:themeColor="text1"/>
          <w:sz w:val="24"/>
          <w:szCs w:val="24"/>
        </w:rPr>
        <w:t xml:space="preserve"> </w:t>
      </w:r>
      <w:r w:rsidRPr="0041399D">
        <w:rPr>
          <w:rFonts w:eastAsia="Times New Roman" w:cs="Times New Roman"/>
          <w:color w:val="000000" w:themeColor="text1"/>
          <w:sz w:val="24"/>
          <w:szCs w:val="24"/>
          <w:u w:val="single"/>
        </w:rPr>
        <w:t>Benoit et al. argued that sex work-specific stigma is a fundamental cause of inequity for sex workers</w:t>
      </w:r>
      <w:r w:rsidRPr="0041399D">
        <w:rPr>
          <w:rFonts w:eastAsia="Times New Roman" w:cs="Times New Roman"/>
          <w:color w:val="000000" w:themeColor="text1"/>
          <w:sz w:val="24"/>
          <w:szCs w:val="24"/>
        </w:rPr>
        <w:t xml:space="preserve"> </w:t>
      </w:r>
      <w:r w:rsidRPr="0041399D">
        <w:rPr>
          <w:rFonts w:eastAsia="Times New Roman" w:cs="Times New Roman"/>
          <w:color w:val="000000" w:themeColor="text1"/>
          <w:sz w:val="16"/>
          <w:szCs w:val="16"/>
        </w:rPr>
        <w:t xml:space="preserve">(Benoit et al., </w:t>
      </w:r>
      <w:hyperlink r:id="rId77">
        <w:r w:rsidRPr="0041399D">
          <w:rPr>
            <w:rStyle w:val="Hyperlink"/>
            <w:rFonts w:eastAsia="Times New Roman" w:cs="Times New Roman"/>
            <w:b/>
            <w:color w:val="000000" w:themeColor="text1"/>
            <w:sz w:val="16"/>
            <w:szCs w:val="16"/>
          </w:rPr>
          <w:t>2018</w:t>
        </w:r>
      </w:hyperlink>
      <w:r w:rsidRPr="0041399D">
        <w:rPr>
          <w:rFonts w:eastAsia="Times New Roman" w:cs="Times New Roman"/>
          <w:color w:val="000000" w:themeColor="text1"/>
          <w:sz w:val="16"/>
          <w:szCs w:val="16"/>
        </w:rPr>
        <w:t>).</w:t>
      </w:r>
      <w:r w:rsidRPr="0041399D">
        <w:rPr>
          <w:rFonts w:eastAsia="Times New Roman" w:cs="Times New Roman"/>
          <w:color w:val="000000" w:themeColor="text1"/>
          <w:sz w:val="16"/>
          <w:szCs w:val="16"/>
          <w:u w:val="single"/>
        </w:rPr>
        <w:t xml:space="preserve"> </w:t>
      </w:r>
      <w:r w:rsidRPr="0041399D">
        <w:rPr>
          <w:rFonts w:eastAsia="Times New Roman" w:cs="Times New Roman"/>
          <w:color w:val="000000" w:themeColor="text1"/>
          <w:sz w:val="24"/>
          <w:szCs w:val="24"/>
          <w:u w:val="single"/>
        </w:rPr>
        <w:t>FSW</w:t>
      </w:r>
      <w:r w:rsidRPr="0041399D">
        <w:rPr>
          <w:rFonts w:eastAsia="Times New Roman" w:cs="Times New Roman"/>
          <w:color w:val="000000" w:themeColor="text1"/>
          <w:sz w:val="24"/>
          <w:szCs w:val="24"/>
        </w:rPr>
        <w:t xml:space="preserve"> </w:t>
      </w:r>
      <w:r w:rsidRPr="0041399D">
        <w:rPr>
          <w:rFonts w:eastAsia="Times New Roman" w:cs="Times New Roman"/>
          <w:color w:val="000000" w:themeColor="text1"/>
          <w:sz w:val="16"/>
          <w:szCs w:val="16"/>
        </w:rPr>
        <w:t>in locations where sex work is criminalized or illegal often</w:t>
      </w:r>
      <w:r w:rsidRPr="0041399D">
        <w:rPr>
          <w:rFonts w:eastAsia="Times New Roman" w:cs="Times New Roman"/>
          <w:color w:val="000000" w:themeColor="text1"/>
          <w:sz w:val="24"/>
          <w:szCs w:val="24"/>
          <w:u w:val="single"/>
        </w:rPr>
        <w:t xml:space="preserve"> experience structural violence</w:t>
      </w:r>
      <w:r w:rsidRPr="0041399D">
        <w:rPr>
          <w:rFonts w:eastAsia="Times New Roman" w:cs="Times New Roman"/>
          <w:color w:val="000000" w:themeColor="text1"/>
          <w:sz w:val="24"/>
          <w:szCs w:val="24"/>
        </w:rPr>
        <w:t xml:space="preserve"> </w:t>
      </w:r>
      <w:r w:rsidRPr="0041399D">
        <w:rPr>
          <w:rFonts w:eastAsia="Times New Roman" w:cs="Times New Roman"/>
          <w:color w:val="000000" w:themeColor="text1"/>
          <w:sz w:val="16"/>
          <w:szCs w:val="16"/>
        </w:rPr>
        <w:t>that is institutionalized and</w:t>
      </w:r>
      <w:r w:rsidRPr="0041399D">
        <w:rPr>
          <w:rFonts w:eastAsia="Times New Roman" w:cs="Times New Roman"/>
          <w:color w:val="000000" w:themeColor="text1"/>
          <w:sz w:val="16"/>
          <w:szCs w:val="16"/>
          <w:u w:val="single"/>
        </w:rPr>
        <w:t xml:space="preserve"> </w:t>
      </w:r>
      <w:r w:rsidRPr="0041399D">
        <w:rPr>
          <w:rFonts w:eastAsia="Times New Roman" w:cs="Times New Roman"/>
          <w:color w:val="000000" w:themeColor="text1"/>
          <w:sz w:val="24"/>
          <w:szCs w:val="24"/>
          <w:u w:val="single"/>
        </w:rPr>
        <w:t>exerted by systems</w:t>
      </w:r>
      <w:r w:rsidRPr="0041399D">
        <w:rPr>
          <w:rFonts w:eastAsia="Times New Roman" w:cs="Times New Roman"/>
          <w:color w:val="000000" w:themeColor="text1"/>
          <w:sz w:val="16"/>
          <w:szCs w:val="16"/>
        </w:rPr>
        <w:t xml:space="preserve"> rather than individuals and constrains the ability to attain optimal health and life opportunities (Farmer et al., </w:t>
      </w:r>
      <w:hyperlink r:id="rId78">
        <w:r w:rsidRPr="0041399D">
          <w:rPr>
            <w:rStyle w:val="Hyperlink"/>
            <w:rFonts w:eastAsia="Times New Roman" w:cs="Times New Roman"/>
            <w:b/>
            <w:color w:val="000000" w:themeColor="text1"/>
            <w:sz w:val="16"/>
            <w:szCs w:val="16"/>
          </w:rPr>
          <w:t>2006</w:t>
        </w:r>
      </w:hyperlink>
      <w:r w:rsidRPr="0041399D">
        <w:rPr>
          <w:rFonts w:eastAsia="Times New Roman" w:cs="Times New Roman"/>
          <w:color w:val="000000" w:themeColor="text1"/>
          <w:sz w:val="16"/>
          <w:szCs w:val="16"/>
        </w:rPr>
        <w:t xml:space="preserve">; Galtung, </w:t>
      </w:r>
      <w:hyperlink r:id="rId79">
        <w:r w:rsidRPr="0041399D">
          <w:rPr>
            <w:rStyle w:val="Hyperlink"/>
            <w:rFonts w:eastAsia="Times New Roman" w:cs="Times New Roman"/>
            <w:b/>
            <w:color w:val="000000" w:themeColor="text1"/>
            <w:sz w:val="16"/>
            <w:szCs w:val="16"/>
          </w:rPr>
          <w:t>1969</w:t>
        </w:r>
      </w:hyperlink>
      <w:r w:rsidRPr="0041399D">
        <w:rPr>
          <w:rFonts w:eastAsia="Times New Roman" w:cs="Times New Roman"/>
          <w:color w:val="000000" w:themeColor="text1"/>
          <w:sz w:val="16"/>
          <w:szCs w:val="16"/>
        </w:rPr>
        <w:t xml:space="preserve">). Laws, regulations, and policies that criminalize sex work in order to maintain the “social order” are an example of structural violence as they reinforce stigmatizing views of sex workers and reproduce the social norm that sex work is an illegitimate source of income (Benoit et al., </w:t>
      </w:r>
      <w:hyperlink r:id="rId80">
        <w:r w:rsidRPr="0041399D">
          <w:rPr>
            <w:rStyle w:val="Hyperlink"/>
            <w:rFonts w:eastAsia="Times New Roman" w:cs="Times New Roman"/>
            <w:b/>
            <w:color w:val="000000" w:themeColor="text1"/>
            <w:sz w:val="16"/>
            <w:szCs w:val="16"/>
          </w:rPr>
          <w:t>2018</w:t>
        </w:r>
      </w:hyperlink>
      <w:r w:rsidRPr="0041399D">
        <w:rPr>
          <w:rFonts w:eastAsia="Times New Roman" w:cs="Times New Roman"/>
          <w:color w:val="000000" w:themeColor="text1"/>
          <w:sz w:val="16"/>
          <w:szCs w:val="16"/>
        </w:rPr>
        <w:t xml:space="preserve">). Similarly, the justice and health-care systems often ignore FSWs’ reports of harassment or violence perpetrated against them, and/or shame or discriminate against FSW based on perceptions about their choice to engage in “risky” behaviors (Benoit et al., </w:t>
      </w:r>
      <w:hyperlink r:id="rId81">
        <w:r w:rsidRPr="0041399D">
          <w:rPr>
            <w:rStyle w:val="Hyperlink"/>
            <w:rFonts w:eastAsia="Times New Roman" w:cs="Times New Roman"/>
            <w:b/>
            <w:color w:val="000000" w:themeColor="text1"/>
            <w:sz w:val="16"/>
            <w:szCs w:val="16"/>
          </w:rPr>
          <w:t>2018</w:t>
        </w:r>
      </w:hyperlink>
      <w:r w:rsidRPr="0041399D">
        <w:rPr>
          <w:rFonts w:eastAsia="Times New Roman" w:cs="Times New Roman"/>
          <w:color w:val="000000" w:themeColor="text1"/>
          <w:sz w:val="16"/>
          <w:szCs w:val="16"/>
        </w:rPr>
        <w:t xml:space="preserve">; Vanwesenbeeck, </w:t>
      </w:r>
      <w:hyperlink r:id="rId82">
        <w:r w:rsidRPr="0041399D">
          <w:rPr>
            <w:rStyle w:val="Hyperlink"/>
            <w:rFonts w:eastAsia="Times New Roman" w:cs="Times New Roman"/>
            <w:b/>
            <w:color w:val="000000" w:themeColor="text1"/>
            <w:sz w:val="16"/>
            <w:szCs w:val="16"/>
          </w:rPr>
          <w:t>2001</w:t>
        </w:r>
      </w:hyperlink>
      <w:r w:rsidRPr="0041399D">
        <w:rPr>
          <w:rFonts w:eastAsia="Times New Roman" w:cs="Times New Roman"/>
          <w:color w:val="000000" w:themeColor="text1"/>
          <w:sz w:val="16"/>
          <w:szCs w:val="16"/>
        </w:rPr>
        <w:t xml:space="preserve">). Taken together, these experiences often lead to a denial of basic legal rights to sex workers when arrested. In countries where sex work is legal or decriminalized, such as New Zealand, research has found that decriminalization was an important first step in improved experiences of stigma among FSW and public attitudes about sex workers (Howard, </w:t>
      </w:r>
      <w:hyperlink r:id="rId83">
        <w:r w:rsidRPr="0041399D">
          <w:rPr>
            <w:rStyle w:val="Hyperlink"/>
            <w:rFonts w:eastAsia="Times New Roman" w:cs="Times New Roman"/>
            <w:b/>
            <w:color w:val="000000" w:themeColor="text1"/>
            <w:sz w:val="16"/>
            <w:szCs w:val="16"/>
          </w:rPr>
          <w:t>2019</w:t>
        </w:r>
      </w:hyperlink>
      <w:r w:rsidRPr="0041399D">
        <w:rPr>
          <w:rFonts w:eastAsia="Times New Roman" w:cs="Times New Roman"/>
          <w:color w:val="000000" w:themeColor="text1"/>
          <w:sz w:val="16"/>
          <w:szCs w:val="16"/>
        </w:rPr>
        <w:t xml:space="preserve">; Jonsson &amp; Jakobsson, </w:t>
      </w:r>
      <w:hyperlink r:id="rId84">
        <w:r w:rsidRPr="0041399D">
          <w:rPr>
            <w:rStyle w:val="Hyperlink"/>
            <w:rFonts w:eastAsia="Times New Roman" w:cs="Times New Roman"/>
            <w:b/>
            <w:color w:val="000000" w:themeColor="text1"/>
            <w:sz w:val="16"/>
            <w:szCs w:val="16"/>
          </w:rPr>
          <w:t>2017</w:t>
        </w:r>
      </w:hyperlink>
      <w:r w:rsidRPr="0041399D">
        <w:rPr>
          <w:rFonts w:eastAsia="Times New Roman" w:cs="Times New Roman"/>
          <w:color w:val="000000" w:themeColor="text1"/>
          <w:sz w:val="16"/>
          <w:szCs w:val="16"/>
        </w:rPr>
        <w:t xml:space="preserve">; Platt et al., </w:t>
      </w:r>
      <w:hyperlink r:id="rId85">
        <w:r w:rsidRPr="0041399D">
          <w:rPr>
            <w:rStyle w:val="Hyperlink"/>
            <w:rFonts w:eastAsia="Times New Roman" w:cs="Times New Roman"/>
            <w:b/>
            <w:color w:val="000000" w:themeColor="text1"/>
            <w:sz w:val="16"/>
            <w:szCs w:val="16"/>
          </w:rPr>
          <w:t>2018</w:t>
        </w:r>
      </w:hyperlink>
      <w:r w:rsidRPr="0041399D">
        <w:rPr>
          <w:rFonts w:eastAsia="Times New Roman" w:cs="Times New Roman"/>
          <w:color w:val="000000" w:themeColor="text1"/>
          <w:sz w:val="16"/>
          <w:szCs w:val="16"/>
        </w:rPr>
        <w:t xml:space="preserve">). However, harassment of street-based or other “public” faces of sex work still remains (Armstrong, </w:t>
      </w:r>
      <w:hyperlink r:id="rId86">
        <w:r w:rsidRPr="0041399D">
          <w:rPr>
            <w:rStyle w:val="Hyperlink"/>
            <w:rFonts w:eastAsia="Times New Roman" w:cs="Times New Roman"/>
            <w:b/>
            <w:color w:val="000000" w:themeColor="text1"/>
            <w:sz w:val="16"/>
            <w:szCs w:val="16"/>
          </w:rPr>
          <w:t>2019</w:t>
        </w:r>
      </w:hyperlink>
      <w:r w:rsidRPr="0041399D">
        <w:rPr>
          <w:rFonts w:eastAsia="Times New Roman" w:cs="Times New Roman"/>
          <w:color w:val="000000" w:themeColor="text1"/>
          <w:sz w:val="16"/>
          <w:szCs w:val="16"/>
        </w:rPr>
        <w:t xml:space="preserve">). Armstrong argued that continued stigma against street-based sex workers in decriminalized settings is a heightened version of the sexism that women face every day with respect to sexual or verbal harassment and a way to punish women who do not conform to social norms of sexuality (Armstrong, </w:t>
      </w:r>
      <w:hyperlink r:id="rId87">
        <w:r w:rsidRPr="0041399D">
          <w:rPr>
            <w:rStyle w:val="Hyperlink"/>
            <w:rFonts w:eastAsia="Times New Roman" w:cs="Times New Roman"/>
            <w:b/>
            <w:color w:val="000000" w:themeColor="text1"/>
            <w:sz w:val="16"/>
            <w:szCs w:val="16"/>
          </w:rPr>
          <w:t>2019</w:t>
        </w:r>
      </w:hyperlink>
      <w:r w:rsidRPr="0041399D">
        <w:rPr>
          <w:rFonts w:eastAsia="Times New Roman" w:cs="Times New Roman"/>
          <w:color w:val="000000" w:themeColor="text1"/>
          <w:sz w:val="16"/>
          <w:szCs w:val="16"/>
        </w:rPr>
        <w:t>).</w:t>
      </w:r>
    </w:p>
    <w:p w14:paraId="068A39C9" w14:textId="77777777" w:rsidR="00861574" w:rsidRPr="0041399D" w:rsidRDefault="00861574" w:rsidP="00861574">
      <w:r w:rsidRPr="0041399D">
        <w:rPr>
          <w:rFonts w:eastAsia="Times New Roman" w:cs="Times New Roman"/>
          <w:color w:val="000000" w:themeColor="text1"/>
          <w:sz w:val="16"/>
          <w:szCs w:val="16"/>
        </w:rPr>
        <w:t>At the interpersonal level,</w:t>
      </w:r>
      <w:r w:rsidRPr="0041399D">
        <w:rPr>
          <w:rFonts w:eastAsia="Times New Roman" w:cs="Times New Roman"/>
          <w:color w:val="000000" w:themeColor="text1"/>
          <w:sz w:val="24"/>
          <w:szCs w:val="24"/>
        </w:rPr>
        <w:t xml:space="preserve"> </w:t>
      </w:r>
      <w:r w:rsidRPr="0041399D">
        <w:rPr>
          <w:rFonts w:eastAsia="Times New Roman" w:cs="Times New Roman"/>
          <w:color w:val="000000" w:themeColor="text1"/>
          <w:sz w:val="24"/>
          <w:szCs w:val="24"/>
          <w:u w:val="single"/>
        </w:rPr>
        <w:t>FSW often experience public humiliation, harassment, or rejection by family and friends</w:t>
      </w:r>
      <w:r w:rsidRPr="0041399D">
        <w:rPr>
          <w:rFonts w:eastAsia="Times New Roman" w:cs="Times New Roman"/>
          <w:color w:val="000000" w:themeColor="text1"/>
          <w:sz w:val="24"/>
          <w:szCs w:val="24"/>
        </w:rPr>
        <w:t xml:space="preserve">; </w:t>
      </w:r>
      <w:r w:rsidRPr="0041399D">
        <w:rPr>
          <w:rFonts w:eastAsia="Times New Roman" w:cs="Times New Roman"/>
          <w:color w:val="000000" w:themeColor="text1"/>
          <w:sz w:val="16"/>
          <w:szCs w:val="16"/>
        </w:rPr>
        <w:t xml:space="preserve">FSW may even be stigmatized by other FSW who seek to differentiate themselves from “worse” sex workers (Ryan et al., </w:t>
      </w:r>
      <w:hyperlink r:id="rId88">
        <w:r w:rsidRPr="0041399D">
          <w:rPr>
            <w:rStyle w:val="Hyperlink"/>
            <w:rFonts w:eastAsia="Times New Roman" w:cs="Times New Roman"/>
            <w:b/>
            <w:color w:val="000000" w:themeColor="text1"/>
            <w:sz w:val="16"/>
            <w:szCs w:val="16"/>
          </w:rPr>
          <w:t>2019</w:t>
        </w:r>
      </w:hyperlink>
      <w:r w:rsidRPr="0041399D">
        <w:rPr>
          <w:rFonts w:eastAsia="Times New Roman" w:cs="Times New Roman"/>
          <w:color w:val="000000" w:themeColor="text1"/>
          <w:sz w:val="16"/>
          <w:szCs w:val="16"/>
        </w:rPr>
        <w:t xml:space="preserve">; Scambler &amp; Paoli, </w:t>
      </w:r>
      <w:hyperlink r:id="rId89">
        <w:r w:rsidRPr="0041399D">
          <w:rPr>
            <w:rStyle w:val="Hyperlink"/>
            <w:rFonts w:eastAsia="Times New Roman" w:cs="Times New Roman"/>
            <w:b/>
            <w:color w:val="000000" w:themeColor="text1"/>
            <w:sz w:val="16"/>
            <w:szCs w:val="16"/>
          </w:rPr>
          <w:t>2008</w:t>
        </w:r>
      </w:hyperlink>
      <w:r w:rsidRPr="0041399D">
        <w:rPr>
          <w:rFonts w:eastAsia="Times New Roman" w:cs="Times New Roman"/>
          <w:color w:val="000000" w:themeColor="text1"/>
          <w:sz w:val="16"/>
          <w:szCs w:val="16"/>
        </w:rPr>
        <w:t xml:space="preserve">). In countries where sex work is legal or decriminalized, some street-based FSW still felt “othered” or experienced harassment when picking up clients on the street, showing lingering cultural stigmas that exist even when the structural violence of the criminal justice system is removed (Abel &amp; Fitzgerald, </w:t>
      </w:r>
      <w:hyperlink r:id="rId90">
        <w:r w:rsidRPr="0041399D">
          <w:rPr>
            <w:rStyle w:val="Hyperlink"/>
            <w:rFonts w:eastAsia="Times New Roman" w:cs="Times New Roman"/>
            <w:b/>
            <w:color w:val="000000" w:themeColor="text1"/>
            <w:sz w:val="16"/>
            <w:szCs w:val="16"/>
          </w:rPr>
          <w:t>2010</w:t>
        </w:r>
      </w:hyperlink>
      <w:r w:rsidRPr="0041399D">
        <w:rPr>
          <w:rFonts w:eastAsia="Times New Roman" w:cs="Times New Roman"/>
          <w:color w:val="000000" w:themeColor="text1"/>
          <w:sz w:val="16"/>
          <w:szCs w:val="16"/>
        </w:rPr>
        <w:t xml:space="preserve">; Armstrong, </w:t>
      </w:r>
      <w:hyperlink r:id="rId91">
        <w:r w:rsidRPr="0041399D">
          <w:rPr>
            <w:rStyle w:val="Hyperlink"/>
            <w:rFonts w:eastAsia="Times New Roman" w:cs="Times New Roman"/>
            <w:b/>
            <w:color w:val="000000" w:themeColor="text1"/>
            <w:sz w:val="16"/>
            <w:szCs w:val="16"/>
          </w:rPr>
          <w:t>2016</w:t>
        </w:r>
      </w:hyperlink>
      <w:r w:rsidRPr="0041399D">
        <w:rPr>
          <w:rFonts w:eastAsia="Times New Roman" w:cs="Times New Roman"/>
          <w:color w:val="000000" w:themeColor="text1"/>
          <w:sz w:val="16"/>
          <w:szCs w:val="16"/>
        </w:rPr>
        <w:t xml:space="preserve">). </w:t>
      </w:r>
      <w:r w:rsidRPr="0041399D">
        <w:rPr>
          <w:rFonts w:eastAsia="Times New Roman" w:cs="Times New Roman"/>
          <w:color w:val="000000" w:themeColor="text1"/>
          <w:sz w:val="24"/>
          <w:szCs w:val="24"/>
          <w:u w:val="single"/>
        </w:rPr>
        <w:t>Pervasive stigmatizing cultural views and power imbalances can produce negative self-image and feelings of shame that signify internalized stigma</w:t>
      </w:r>
      <w:r w:rsidRPr="0041399D">
        <w:rPr>
          <w:rFonts w:eastAsia="Times New Roman" w:cs="Times New Roman"/>
          <w:color w:val="000000" w:themeColor="text1"/>
          <w:sz w:val="24"/>
          <w:szCs w:val="24"/>
        </w:rPr>
        <w:t xml:space="preserve">, </w:t>
      </w:r>
      <w:r w:rsidRPr="0041399D">
        <w:rPr>
          <w:rFonts w:eastAsia="Times New Roman" w:cs="Times New Roman"/>
          <w:color w:val="000000" w:themeColor="text1"/>
          <w:sz w:val="16"/>
          <w:szCs w:val="16"/>
        </w:rPr>
        <w:t xml:space="preserve">which in turn results in “frequently disruptive” and “disabling” fear that may drive FSW to withdraw from society to avoid disclosing sex work history and resulting judgment (Scambler &amp; Paoli, </w:t>
      </w:r>
      <w:hyperlink r:id="rId92">
        <w:r w:rsidRPr="0041399D">
          <w:rPr>
            <w:rStyle w:val="Hyperlink"/>
            <w:rFonts w:eastAsia="Times New Roman" w:cs="Times New Roman"/>
            <w:b/>
            <w:color w:val="000000" w:themeColor="text1"/>
            <w:sz w:val="16"/>
            <w:szCs w:val="16"/>
          </w:rPr>
          <w:t>2008</w:t>
        </w:r>
      </w:hyperlink>
      <w:r w:rsidRPr="0041399D">
        <w:rPr>
          <w:rFonts w:eastAsia="Times New Roman" w:cs="Times New Roman"/>
          <w:color w:val="000000" w:themeColor="text1"/>
          <w:sz w:val="16"/>
          <w:szCs w:val="16"/>
        </w:rPr>
        <w:t xml:space="preserve">). It is important to note that not all FSW internalize sex work stigma or feel shame for selling sex. FSW have rejected internalizing shame through their ability to mobilize and organize to advocate for themselves in political or social spheres, though the criminalization of sex work can make this option difficult or impossible (Abel &amp; Fitzgerald, </w:t>
      </w:r>
      <w:hyperlink r:id="rId93">
        <w:r w:rsidRPr="0041399D">
          <w:rPr>
            <w:rStyle w:val="Hyperlink"/>
            <w:rFonts w:eastAsia="Times New Roman" w:cs="Times New Roman"/>
            <w:b/>
            <w:color w:val="000000" w:themeColor="text1"/>
            <w:sz w:val="16"/>
            <w:szCs w:val="16"/>
          </w:rPr>
          <w:t>2010</w:t>
        </w:r>
      </w:hyperlink>
      <w:r w:rsidRPr="0041399D">
        <w:rPr>
          <w:rFonts w:eastAsia="Times New Roman" w:cs="Times New Roman"/>
          <w:color w:val="000000" w:themeColor="text1"/>
          <w:sz w:val="16"/>
          <w:szCs w:val="16"/>
        </w:rPr>
        <w:t xml:space="preserve">; Armstrong, </w:t>
      </w:r>
      <w:hyperlink r:id="rId94">
        <w:r w:rsidRPr="0041399D">
          <w:rPr>
            <w:rStyle w:val="Hyperlink"/>
            <w:rFonts w:eastAsia="Times New Roman" w:cs="Times New Roman"/>
            <w:b/>
            <w:color w:val="000000" w:themeColor="text1"/>
            <w:sz w:val="16"/>
            <w:szCs w:val="16"/>
          </w:rPr>
          <w:t>2019</w:t>
        </w:r>
      </w:hyperlink>
      <w:r w:rsidRPr="0041399D">
        <w:rPr>
          <w:rFonts w:eastAsia="Times New Roman" w:cs="Times New Roman"/>
          <w:color w:val="000000" w:themeColor="text1"/>
          <w:sz w:val="16"/>
          <w:szCs w:val="16"/>
        </w:rPr>
        <w:t xml:space="preserve">). The positive reframing of sex work as legitimate work and unworthy of stigma, and seeing paid sex as altruistic, the action of consenting adults, and authentic connections has been shown to help FSW and male sex workers (MSW) resist internalized sex work stigma (Bernstein, </w:t>
      </w:r>
      <w:hyperlink r:id="rId95">
        <w:r w:rsidRPr="0041399D">
          <w:rPr>
            <w:rStyle w:val="Hyperlink"/>
            <w:rFonts w:eastAsia="Times New Roman" w:cs="Times New Roman"/>
            <w:b/>
            <w:color w:val="000000" w:themeColor="text1"/>
            <w:sz w:val="16"/>
            <w:szCs w:val="16"/>
          </w:rPr>
          <w:t>2007</w:t>
        </w:r>
      </w:hyperlink>
      <w:r w:rsidRPr="0041399D">
        <w:rPr>
          <w:rFonts w:eastAsia="Times New Roman" w:cs="Times New Roman"/>
          <w:color w:val="000000" w:themeColor="text1"/>
          <w:sz w:val="16"/>
          <w:szCs w:val="16"/>
        </w:rPr>
        <w:t xml:space="preserve">; Jiao &amp; Bungay, </w:t>
      </w:r>
      <w:hyperlink r:id="rId96">
        <w:r w:rsidRPr="0041399D">
          <w:rPr>
            <w:rStyle w:val="Hyperlink"/>
            <w:rFonts w:eastAsia="Times New Roman" w:cs="Times New Roman"/>
            <w:b/>
            <w:color w:val="000000" w:themeColor="text1"/>
            <w:sz w:val="16"/>
            <w:szCs w:val="16"/>
          </w:rPr>
          <w:t>2019</w:t>
        </w:r>
      </w:hyperlink>
      <w:r w:rsidRPr="0041399D">
        <w:rPr>
          <w:rFonts w:eastAsia="Times New Roman" w:cs="Times New Roman"/>
          <w:color w:val="000000" w:themeColor="text1"/>
          <w:sz w:val="16"/>
          <w:szCs w:val="16"/>
        </w:rPr>
        <w:t xml:space="preserve">; Koken et al., </w:t>
      </w:r>
      <w:hyperlink r:id="rId97">
        <w:r w:rsidRPr="0041399D">
          <w:rPr>
            <w:rStyle w:val="Hyperlink"/>
            <w:rFonts w:eastAsia="Times New Roman" w:cs="Times New Roman"/>
            <w:b/>
            <w:color w:val="000000" w:themeColor="text1"/>
            <w:sz w:val="16"/>
            <w:szCs w:val="16"/>
          </w:rPr>
          <w:t>2004</w:t>
        </w:r>
      </w:hyperlink>
      <w:r w:rsidRPr="0041399D">
        <w:rPr>
          <w:rFonts w:eastAsia="Times New Roman" w:cs="Times New Roman"/>
          <w:color w:val="000000" w:themeColor="text1"/>
          <w:sz w:val="16"/>
          <w:szCs w:val="16"/>
        </w:rPr>
        <w:t xml:space="preserve">; Shih, </w:t>
      </w:r>
      <w:hyperlink r:id="rId98">
        <w:r w:rsidRPr="0041399D">
          <w:rPr>
            <w:rStyle w:val="Hyperlink"/>
            <w:rFonts w:eastAsia="Times New Roman" w:cs="Times New Roman"/>
            <w:b/>
            <w:color w:val="000000" w:themeColor="text1"/>
            <w:sz w:val="16"/>
            <w:szCs w:val="16"/>
          </w:rPr>
          <w:t>2004</w:t>
        </w:r>
      </w:hyperlink>
      <w:r w:rsidRPr="0041399D">
        <w:rPr>
          <w:rFonts w:eastAsia="Times New Roman" w:cs="Times New Roman"/>
          <w:color w:val="000000" w:themeColor="text1"/>
          <w:sz w:val="16"/>
          <w:szCs w:val="16"/>
        </w:rPr>
        <w:t xml:space="preserve">; Smith et al., </w:t>
      </w:r>
      <w:hyperlink r:id="rId99">
        <w:r w:rsidRPr="0041399D">
          <w:rPr>
            <w:rStyle w:val="Hyperlink"/>
            <w:rFonts w:eastAsia="Times New Roman" w:cs="Times New Roman"/>
            <w:b/>
            <w:color w:val="000000" w:themeColor="text1"/>
            <w:sz w:val="16"/>
            <w:szCs w:val="16"/>
          </w:rPr>
          <w:t>2013</w:t>
        </w:r>
      </w:hyperlink>
      <w:r w:rsidRPr="0041399D">
        <w:rPr>
          <w:rFonts w:eastAsia="Times New Roman" w:cs="Times New Roman"/>
          <w:color w:val="000000" w:themeColor="text1"/>
          <w:sz w:val="16"/>
          <w:szCs w:val="16"/>
        </w:rPr>
        <w:t>).</w:t>
      </w:r>
    </w:p>
    <w:p w14:paraId="7FD799ED" w14:textId="77777777" w:rsidR="00861574" w:rsidRPr="0041399D" w:rsidRDefault="00861574" w:rsidP="00861574">
      <w:r w:rsidRPr="0041399D">
        <w:rPr>
          <w:rFonts w:eastAsia="Times New Roman" w:cs="Times New Roman"/>
          <w:color w:val="000000" w:themeColor="text1"/>
          <w:sz w:val="16"/>
          <w:szCs w:val="16"/>
        </w:rPr>
        <w:lastRenderedPageBreak/>
        <w:t xml:space="preserve">In general, FSWs’ ability to manage dual social roles can help manage shame, i.e. FSW tend to feel less shameful about selling sex when they can construct a public identity when selling sex and a private identity in other contexts (Abel &amp; Fitzgerald, </w:t>
      </w:r>
      <w:hyperlink r:id="rId100">
        <w:r w:rsidRPr="0041399D">
          <w:rPr>
            <w:rStyle w:val="Hyperlink"/>
            <w:rFonts w:eastAsia="Times New Roman" w:cs="Times New Roman"/>
            <w:b/>
            <w:color w:val="000000" w:themeColor="text1"/>
            <w:sz w:val="16"/>
            <w:szCs w:val="16"/>
          </w:rPr>
          <w:t>2010</w:t>
        </w:r>
      </w:hyperlink>
      <w:r w:rsidRPr="0041399D">
        <w:rPr>
          <w:rFonts w:eastAsia="Times New Roman" w:cs="Times New Roman"/>
          <w:color w:val="000000" w:themeColor="text1"/>
          <w:sz w:val="16"/>
          <w:szCs w:val="16"/>
        </w:rPr>
        <w:t xml:space="preserve">; Shih, </w:t>
      </w:r>
      <w:hyperlink r:id="rId101">
        <w:r w:rsidRPr="0041399D">
          <w:rPr>
            <w:rStyle w:val="Hyperlink"/>
            <w:rFonts w:eastAsia="Times New Roman" w:cs="Times New Roman"/>
            <w:b/>
            <w:color w:val="000000" w:themeColor="text1"/>
            <w:sz w:val="16"/>
            <w:szCs w:val="16"/>
          </w:rPr>
          <w:t>2004</w:t>
        </w:r>
      </w:hyperlink>
      <w:r w:rsidRPr="0041399D">
        <w:rPr>
          <w:rFonts w:eastAsia="Times New Roman" w:cs="Times New Roman"/>
          <w:color w:val="000000" w:themeColor="text1"/>
          <w:sz w:val="16"/>
          <w:szCs w:val="16"/>
        </w:rPr>
        <w:t xml:space="preserve">). Indoor-based MSW and FSW may also prevent internalized stigma by differentiating themselves from street-based sex workers, though as noted this can create a stigmatizing hierarchy within sex work (Benoit et al., </w:t>
      </w:r>
      <w:hyperlink r:id="rId102">
        <w:r w:rsidRPr="0041399D">
          <w:rPr>
            <w:rStyle w:val="Hyperlink"/>
            <w:rFonts w:eastAsia="Times New Roman" w:cs="Times New Roman"/>
            <w:b/>
            <w:color w:val="000000" w:themeColor="text1"/>
            <w:sz w:val="16"/>
            <w:szCs w:val="16"/>
          </w:rPr>
          <w:t>2018</w:t>
        </w:r>
      </w:hyperlink>
      <w:r w:rsidRPr="0041399D">
        <w:rPr>
          <w:rFonts w:eastAsia="Times New Roman" w:cs="Times New Roman"/>
          <w:color w:val="000000" w:themeColor="text1"/>
          <w:sz w:val="16"/>
          <w:szCs w:val="16"/>
        </w:rPr>
        <w:t xml:space="preserve">; Koken et al., </w:t>
      </w:r>
      <w:hyperlink r:id="rId103">
        <w:r w:rsidRPr="0041399D">
          <w:rPr>
            <w:rStyle w:val="Hyperlink"/>
            <w:rFonts w:eastAsia="Times New Roman" w:cs="Times New Roman"/>
            <w:b/>
            <w:color w:val="000000" w:themeColor="text1"/>
            <w:sz w:val="16"/>
            <w:szCs w:val="16"/>
          </w:rPr>
          <w:t>2004</w:t>
        </w:r>
      </w:hyperlink>
      <w:r w:rsidRPr="0041399D">
        <w:rPr>
          <w:rFonts w:eastAsia="Times New Roman" w:cs="Times New Roman"/>
          <w:color w:val="000000" w:themeColor="text1"/>
          <w:sz w:val="16"/>
          <w:szCs w:val="16"/>
        </w:rPr>
        <w:t xml:space="preserve">; Morrison &amp; Whitehead, </w:t>
      </w:r>
      <w:hyperlink r:id="rId104">
        <w:r w:rsidRPr="0041399D">
          <w:rPr>
            <w:rStyle w:val="Hyperlink"/>
            <w:rFonts w:eastAsia="Times New Roman" w:cs="Times New Roman"/>
            <w:b/>
            <w:color w:val="000000" w:themeColor="text1"/>
            <w:sz w:val="16"/>
            <w:szCs w:val="16"/>
          </w:rPr>
          <w:t>2005</w:t>
        </w:r>
      </w:hyperlink>
      <w:r w:rsidRPr="0041399D">
        <w:rPr>
          <w:rFonts w:eastAsia="Times New Roman" w:cs="Times New Roman"/>
          <w:color w:val="000000" w:themeColor="text1"/>
          <w:sz w:val="16"/>
          <w:szCs w:val="16"/>
        </w:rPr>
        <w:t xml:space="preserve">). In criminalized settings, however, some FSW may not be able to create a public role related to their work, as such, but rather a hidden role due to fear of arrest. However, research has found that FSW are less able than MSW to construct these dual roles, as are street-based sex workers and those who sell sex for drugs (Abel &amp; Fitzgerald, </w:t>
      </w:r>
      <w:hyperlink r:id="rId105">
        <w:r w:rsidRPr="0041399D">
          <w:rPr>
            <w:rStyle w:val="Hyperlink"/>
            <w:rFonts w:eastAsia="Times New Roman" w:cs="Times New Roman"/>
            <w:b/>
            <w:color w:val="000000" w:themeColor="text1"/>
            <w:sz w:val="16"/>
            <w:szCs w:val="16"/>
          </w:rPr>
          <w:t>2010</w:t>
        </w:r>
      </w:hyperlink>
      <w:r w:rsidRPr="0041399D">
        <w:rPr>
          <w:rFonts w:eastAsia="Times New Roman" w:cs="Times New Roman"/>
          <w:color w:val="000000" w:themeColor="text1"/>
          <w:sz w:val="16"/>
          <w:szCs w:val="16"/>
        </w:rPr>
        <w:t xml:space="preserve">). The limited body of literature shows high levels of stigma, including internalized stigma, among FSW in several countries where sex work is illegal, with no studies focused on FSW in the United States. Among a sample of Chinese FSW who injected drugs, up to 93% agreed or strongly agreed with any one of the nine items on a measure of internalized sex work stigma (Gu et al., </w:t>
      </w:r>
      <w:hyperlink r:id="rId106">
        <w:r w:rsidRPr="0041399D">
          <w:rPr>
            <w:rStyle w:val="Hyperlink"/>
            <w:rFonts w:eastAsia="Times New Roman" w:cs="Times New Roman"/>
            <w:b/>
            <w:color w:val="000000" w:themeColor="text1"/>
            <w:sz w:val="16"/>
            <w:szCs w:val="16"/>
          </w:rPr>
          <w:t>2014</w:t>
        </w:r>
      </w:hyperlink>
      <w:r w:rsidRPr="0041399D">
        <w:rPr>
          <w:rFonts w:eastAsia="Times New Roman" w:cs="Times New Roman"/>
          <w:color w:val="000000" w:themeColor="text1"/>
          <w:sz w:val="16"/>
          <w:szCs w:val="16"/>
        </w:rPr>
        <w:t xml:space="preserve">). In a cohort of HIV-positive Zambian and South African FSW, 91% reported experiencing at least one stigmatizing event, 44% reported feeling ashamed of selling sex, and 62% reported feeling as though they lost respect from others (Hargreaves et al., </w:t>
      </w:r>
      <w:hyperlink r:id="rId107">
        <w:r w:rsidRPr="0041399D">
          <w:rPr>
            <w:rStyle w:val="Hyperlink"/>
            <w:rFonts w:eastAsia="Times New Roman" w:cs="Times New Roman"/>
            <w:b/>
            <w:color w:val="000000" w:themeColor="text1"/>
            <w:sz w:val="16"/>
            <w:szCs w:val="16"/>
          </w:rPr>
          <w:t>2017</w:t>
        </w:r>
      </w:hyperlink>
      <w:r w:rsidRPr="0041399D">
        <w:rPr>
          <w:rFonts w:eastAsia="Times New Roman" w:cs="Times New Roman"/>
          <w:color w:val="000000" w:themeColor="text1"/>
          <w:sz w:val="16"/>
          <w:szCs w:val="16"/>
        </w:rPr>
        <w:t xml:space="preserve">). FSW in this sample reported perceiving sex work-related stigma more often than HIV-related stigma (Hargreaves et al., </w:t>
      </w:r>
      <w:hyperlink r:id="rId108">
        <w:r w:rsidRPr="0041399D">
          <w:rPr>
            <w:rStyle w:val="Hyperlink"/>
            <w:rFonts w:eastAsia="Times New Roman" w:cs="Times New Roman"/>
            <w:b/>
            <w:color w:val="000000" w:themeColor="text1"/>
            <w:sz w:val="16"/>
            <w:szCs w:val="16"/>
          </w:rPr>
          <w:t>2017</w:t>
        </w:r>
      </w:hyperlink>
      <w:r w:rsidRPr="0041399D">
        <w:rPr>
          <w:rFonts w:eastAsia="Times New Roman" w:cs="Times New Roman"/>
          <w:color w:val="000000" w:themeColor="text1"/>
          <w:sz w:val="16"/>
          <w:szCs w:val="16"/>
        </w:rPr>
        <w:t xml:space="preserve">). In India, Liu et al. measured stigma and sources of income among 151 FSW and found that increased income from non-sex work sources was associated with decreased internalized stigma scores (Liu et al., </w:t>
      </w:r>
      <w:hyperlink r:id="rId109">
        <w:r w:rsidRPr="0041399D">
          <w:rPr>
            <w:rStyle w:val="Hyperlink"/>
            <w:rFonts w:eastAsia="Times New Roman" w:cs="Times New Roman"/>
            <w:b/>
            <w:color w:val="000000" w:themeColor="text1"/>
            <w:sz w:val="16"/>
            <w:szCs w:val="16"/>
          </w:rPr>
          <w:t>2011</w:t>
        </w:r>
      </w:hyperlink>
      <w:r w:rsidRPr="0041399D">
        <w:rPr>
          <w:rFonts w:eastAsia="Times New Roman" w:cs="Times New Roman"/>
          <w:color w:val="000000" w:themeColor="text1"/>
          <w:sz w:val="16"/>
          <w:szCs w:val="16"/>
        </w:rPr>
        <w:t xml:space="preserve">). The internalization of stigma may lead to acceptance of human rights violations, such as gender-based violence and egregious policing, as deserved; create barriers to service access and feelings of disempowerment; and contribute to disparities in depressive symptoms between FSW and non-FSW (Benoit et al., </w:t>
      </w:r>
      <w:hyperlink r:id="rId110">
        <w:r w:rsidRPr="0041399D">
          <w:rPr>
            <w:rStyle w:val="Hyperlink"/>
            <w:rFonts w:eastAsia="Times New Roman" w:cs="Times New Roman"/>
            <w:b/>
            <w:color w:val="000000" w:themeColor="text1"/>
            <w:sz w:val="16"/>
            <w:szCs w:val="16"/>
          </w:rPr>
          <w:t>2018</w:t>
        </w:r>
      </w:hyperlink>
      <w:r w:rsidRPr="0041399D">
        <w:rPr>
          <w:rFonts w:eastAsia="Times New Roman" w:cs="Times New Roman"/>
          <w:color w:val="000000" w:themeColor="text1"/>
          <w:sz w:val="16"/>
          <w:szCs w:val="16"/>
        </w:rPr>
        <w:t xml:space="preserve">; Ryan et al., </w:t>
      </w:r>
      <w:hyperlink r:id="rId111">
        <w:r w:rsidRPr="0041399D">
          <w:rPr>
            <w:rStyle w:val="Hyperlink"/>
            <w:rFonts w:eastAsia="Times New Roman" w:cs="Times New Roman"/>
            <w:b/>
            <w:color w:val="000000" w:themeColor="text1"/>
            <w:sz w:val="16"/>
            <w:szCs w:val="16"/>
          </w:rPr>
          <w:t>2019</w:t>
        </w:r>
      </w:hyperlink>
      <w:r w:rsidRPr="0041399D">
        <w:rPr>
          <w:rFonts w:eastAsia="Times New Roman" w:cs="Times New Roman"/>
          <w:color w:val="000000" w:themeColor="text1"/>
          <w:sz w:val="16"/>
          <w:szCs w:val="16"/>
        </w:rPr>
        <w:t>).</w:t>
      </w:r>
    </w:p>
    <w:p w14:paraId="224CEEDE" w14:textId="384E3352" w:rsidR="00861574" w:rsidRDefault="00735FB2" w:rsidP="00735FB2">
      <w:pPr>
        <w:pStyle w:val="Heading4"/>
      </w:pPr>
      <w:r>
        <w:t xml:space="preserve">Violence against sex workers will continue as long as its </w:t>
      </w:r>
      <w:r w:rsidR="00826651">
        <w:t>illegal</w:t>
      </w:r>
    </w:p>
    <w:p w14:paraId="1F674F8C" w14:textId="77777777" w:rsidR="00735FB2" w:rsidRPr="00D748EB" w:rsidRDefault="00735FB2" w:rsidP="00735FB2">
      <w:r w:rsidRPr="000C3BAE">
        <w:rPr>
          <w:rFonts w:asciiTheme="majorHAnsi" w:eastAsia="Times New Roman" w:hAnsiTheme="majorHAnsi" w:cs="Times New Roman"/>
          <w:b/>
          <w:color w:val="000000" w:themeColor="text1"/>
          <w:sz w:val="26"/>
          <w:szCs w:val="26"/>
        </w:rPr>
        <w:t>Albright</w:t>
      </w:r>
      <w:r>
        <w:rPr>
          <w:rFonts w:asciiTheme="majorHAnsi" w:eastAsia="Times New Roman" w:hAnsiTheme="majorHAnsi" w:cs="Times New Roman"/>
          <w:b/>
          <w:color w:val="000000" w:themeColor="text1"/>
          <w:sz w:val="26"/>
          <w:szCs w:val="26"/>
        </w:rPr>
        <w:t xml:space="preserve"> and</w:t>
      </w:r>
      <w:r w:rsidRPr="000C3BAE">
        <w:rPr>
          <w:rFonts w:asciiTheme="majorHAnsi" w:eastAsia="Times New Roman" w:hAnsiTheme="majorHAnsi" w:cs="Times New Roman"/>
          <w:b/>
          <w:color w:val="000000" w:themeColor="text1"/>
          <w:sz w:val="26"/>
          <w:szCs w:val="26"/>
        </w:rPr>
        <w:t xml:space="preserve"> D'Adamo</w:t>
      </w:r>
      <w:r>
        <w:rPr>
          <w:rFonts w:asciiTheme="majorHAnsi" w:eastAsia="Times New Roman" w:hAnsiTheme="majorHAnsi" w:cs="Times New Roman"/>
          <w:b/>
          <w:color w:val="000000" w:themeColor="text1"/>
          <w:sz w:val="26"/>
          <w:szCs w:val="26"/>
        </w:rPr>
        <w:t xml:space="preserve"> </w:t>
      </w:r>
      <w:r>
        <w:rPr>
          <w:rFonts w:asciiTheme="majorHAnsi" w:eastAsia="Times New Roman" w:hAnsiTheme="majorHAnsi"/>
          <w:b/>
          <w:color w:val="000000" w:themeColor="text1"/>
          <w:sz w:val="26"/>
          <w:szCs w:val="26"/>
        </w:rPr>
        <w:t xml:space="preserve">17 </w:t>
      </w:r>
      <w:r w:rsidRPr="00D748EB">
        <w:rPr>
          <w:rFonts w:asciiTheme="majorHAnsi" w:eastAsia="Times New Roman" w:hAnsiTheme="majorHAnsi" w:cs="Times New Roman"/>
          <w:color w:val="000000" w:themeColor="text1"/>
          <w:sz w:val="20"/>
          <w:szCs w:val="20"/>
        </w:rPr>
        <w:t>(</w:t>
      </w:r>
      <w:r w:rsidRPr="000C3BAE">
        <w:rPr>
          <w:rFonts w:asciiTheme="majorHAnsi" w:eastAsia="Times New Roman" w:hAnsiTheme="majorHAnsi" w:cs="Times New Roman"/>
          <w:color w:val="000000" w:themeColor="text1"/>
          <w:sz w:val="20"/>
          <w:szCs w:val="20"/>
        </w:rPr>
        <w:t>Erin Albright, JD and Kate D'Adamo, MA</w:t>
      </w:r>
      <w:r w:rsidRPr="00D748EB">
        <w:rPr>
          <w:rFonts w:asciiTheme="majorHAnsi" w:eastAsia="Times New Roman" w:hAnsiTheme="majorHAnsi" w:cs="Times New Roman"/>
          <w:color w:val="000000" w:themeColor="text1"/>
          <w:sz w:val="20"/>
          <w:szCs w:val="20"/>
        </w:rPr>
        <w:t xml:space="preserve">, Erin Albright has over 12 years of experience speaking out against anti-trafficking and has worked with service providers, law enforcement, task forces and lawmakers. </w:t>
      </w:r>
      <w:r w:rsidRPr="00D748EB">
        <w:rPr>
          <w:rFonts w:asciiTheme="majorHAnsi" w:eastAsia="Times New Roman" w:hAnsiTheme="majorHAnsi" w:cs="Arial"/>
          <w:color w:val="000000" w:themeColor="text1"/>
          <w:sz w:val="20"/>
          <w:szCs w:val="20"/>
        </w:rPr>
        <w:t>Previously she oversaw a network of service providers throughout New England, providing coordination, training and technical assistance to ensure best practices in working with survivors of human trafficking.  She also worked for two and a half years for the Boston Police Department’s Human Trafficking Unit and Massachusetts Task Force, managing all data and statistics</w:t>
      </w:r>
      <w:r w:rsidRPr="00D748EB">
        <w:rPr>
          <w:rFonts w:asciiTheme="majorHAnsi" w:eastAsia="Times New Roman" w:hAnsiTheme="majorHAnsi" w:cs="Times New Roman"/>
          <w:color w:val="000000" w:themeColor="text1"/>
          <w:sz w:val="20"/>
          <w:szCs w:val="20"/>
        </w:rPr>
        <w:t xml:space="preserve">, </w:t>
      </w:r>
      <w:r w:rsidRPr="00D748EB">
        <w:rPr>
          <w:rFonts w:asciiTheme="majorHAnsi" w:eastAsia="Times New Roman" w:hAnsiTheme="majorHAnsi"/>
          <w:color w:val="000000" w:themeColor="text1"/>
          <w:sz w:val="20"/>
          <w:szCs w:val="20"/>
          <w:shd w:val="clear" w:color="auto" w:fill="FFFFFF"/>
        </w:rPr>
        <w:t xml:space="preserve">Kate D‘Adamo is a long-time sex worker rights advocate with a focus on economic justice, anti-policing and incarceration and public health. Previously, she was the National Policy Advocate at the Sex Workers Project at the Urban Justice Center focusing on laws, policies and advocacy focused on folks who trade sex, including the criminalization of sex work, anti-trafficking policies, and HIV-specific laws. Prior to joining the Sex Workers Project, Kate was a community organizer and advocate with the Sex Workers Outreach Project and Sex Workers Action New York, “Decreasing Human Trafficking Through Sex Work Decriminalization,” </w:t>
      </w:r>
      <w:r w:rsidRPr="00D748EB">
        <w:rPr>
          <w:rFonts w:asciiTheme="majorHAnsi" w:eastAsia="Times New Roman" w:hAnsiTheme="majorHAnsi" w:cs="Times New Roman"/>
          <w:i/>
          <w:iCs/>
          <w:color w:val="000000" w:themeColor="text1"/>
          <w:sz w:val="20"/>
          <w:szCs w:val="20"/>
        </w:rPr>
        <w:t>AMA J Ethics</w:t>
      </w:r>
      <w:r w:rsidRPr="00D748EB">
        <w:rPr>
          <w:rFonts w:asciiTheme="majorHAnsi" w:hAnsiTheme="majorHAnsi"/>
          <w:i/>
          <w:iCs/>
          <w:color w:val="000000" w:themeColor="text1"/>
          <w:sz w:val="20"/>
          <w:szCs w:val="20"/>
        </w:rPr>
        <w:t>.</w:t>
      </w:r>
      <w:r w:rsidRPr="00D748EB">
        <w:rPr>
          <w:rFonts w:asciiTheme="majorHAnsi" w:hAnsiTheme="majorHAnsi"/>
          <w:color w:val="000000" w:themeColor="text1"/>
          <w:sz w:val="20"/>
          <w:szCs w:val="20"/>
        </w:rPr>
        <w:t xml:space="preserve"> 2017;19(1):122-126. doi: 10.1001/journalofethics.2017.19.1.sect2-1701//AA)</w:t>
      </w:r>
    </w:p>
    <w:p w14:paraId="5963751D" w14:textId="77777777" w:rsidR="00735FB2" w:rsidRPr="00FA1F69" w:rsidRDefault="00735FB2" w:rsidP="00735FB2">
      <w:pPr>
        <w:spacing w:after="0" w:line="240" w:lineRule="auto"/>
        <w:rPr>
          <w:rFonts w:asciiTheme="majorHAnsi" w:eastAsia="Times New Roman" w:hAnsiTheme="majorHAnsi" w:cs="Times New Roman"/>
          <w:color w:val="414042"/>
          <w:sz w:val="16"/>
          <w:shd w:val="clear" w:color="auto" w:fill="FFFFFF"/>
        </w:rPr>
      </w:pPr>
      <w:r w:rsidRPr="00FA1F69">
        <w:rPr>
          <w:rFonts w:asciiTheme="majorHAnsi" w:eastAsia="Times New Roman" w:hAnsiTheme="majorHAnsi" w:cs="Times New Roman"/>
          <w:i/>
          <w:iCs/>
          <w:color w:val="414042"/>
          <w:sz w:val="16"/>
          <w:shd w:val="clear" w:color="auto" w:fill="FFFFFF"/>
        </w:rPr>
        <w:t>Increased violence</w:t>
      </w:r>
      <w:r w:rsidRPr="00FA1F69">
        <w:rPr>
          <w:rFonts w:asciiTheme="majorHAnsi" w:eastAsia="Times New Roman" w:hAnsiTheme="majorHAnsi" w:cs="Times New Roman"/>
          <w:color w:val="414042"/>
          <w:sz w:val="16"/>
          <w:shd w:val="clear" w:color="auto" w:fill="FFFFFF"/>
        </w:rPr>
        <w:t>. First, criminalization increases opportunities for violence that’s </w:t>
      </w:r>
      <w:r w:rsidRPr="00FA1F69">
        <w:rPr>
          <w:rFonts w:asciiTheme="majorHAnsi" w:eastAsia="Times New Roman" w:hAnsiTheme="majorHAnsi" w:cs="Times New Roman"/>
          <w:i/>
          <w:iCs/>
          <w:color w:val="414042"/>
          <w:sz w:val="16"/>
          <w:shd w:val="clear" w:color="auto" w:fill="FFFFFF"/>
        </w:rPr>
        <w:t>de facto</w:t>
      </w:r>
      <w:r w:rsidRPr="00FA1F69">
        <w:rPr>
          <w:rFonts w:asciiTheme="majorHAnsi" w:eastAsia="Times New Roman" w:hAnsiTheme="majorHAnsi" w:cs="Times New Roman"/>
          <w:color w:val="414042"/>
          <w:sz w:val="16"/>
          <w:shd w:val="clear" w:color="auto" w:fill="FFFFFF"/>
        </w:rPr>
        <w:t xml:space="preserve"> unreportable [7]; that is, </w:t>
      </w:r>
      <w:r w:rsidRPr="00FA1F69">
        <w:rPr>
          <w:rFonts w:asciiTheme="majorHAnsi" w:eastAsia="Times New Roman" w:hAnsiTheme="majorHAnsi" w:cs="Times New Roman"/>
          <w:color w:val="414042"/>
          <w:u w:val="single"/>
          <w:shd w:val="clear" w:color="auto" w:fill="FFFFFF"/>
        </w:rPr>
        <w:t xml:space="preserve">because the work they do is regarded as criminal activity, </w:t>
      </w:r>
      <w:r w:rsidRPr="00283AEE">
        <w:rPr>
          <w:rStyle w:val="Emphasis"/>
        </w:rPr>
        <w:t>sex workers are easy targets for abuse and exploitation, including trafficking</w:t>
      </w:r>
      <w:r w:rsidRPr="00FA1F69">
        <w:rPr>
          <w:rFonts w:asciiTheme="majorHAnsi" w:eastAsia="Times New Roman" w:hAnsiTheme="majorHAnsi" w:cs="Times New Roman"/>
          <w:color w:val="414042"/>
          <w:sz w:val="16"/>
          <w:shd w:val="clear" w:color="auto" w:fill="FFFFFF"/>
        </w:rPr>
        <w:t xml:space="preserve">. Fear of arrest and other consequences means that </w:t>
      </w:r>
      <w:r w:rsidRPr="00283AEE">
        <w:rPr>
          <w:rStyle w:val="Emphasis"/>
        </w:rPr>
        <w:t>those engaged in sex work are less likely to report instances of violence or exploitation, resulting in a “climate of impunity [that] emboldens police, health sector, and non-state groups to abuse sex workers’ rights”</w:t>
      </w:r>
      <w:r w:rsidRPr="00FA1F69">
        <w:rPr>
          <w:rFonts w:asciiTheme="majorHAnsi" w:eastAsia="Times New Roman" w:hAnsiTheme="majorHAnsi" w:cs="Times New Roman"/>
          <w:color w:val="414042"/>
          <w:sz w:val="16"/>
          <w:shd w:val="clear" w:color="auto" w:fill="FFFFFF"/>
        </w:rPr>
        <w:t xml:space="preserve"> [8]. This is true even for so-called “partial criminalization” frameworks, such as those that penalize only the buyers of sex. Although such a strategy appears at first glance to be grounded in the well-being of sex workers, implementation often means </w:t>
      </w:r>
      <w:r w:rsidRPr="00FA1F69">
        <w:rPr>
          <w:rFonts w:asciiTheme="majorHAnsi" w:eastAsia="Times New Roman" w:hAnsiTheme="majorHAnsi" w:cs="Times New Roman"/>
          <w:color w:val="414042"/>
          <w:u w:val="single"/>
          <w:shd w:val="clear" w:color="auto" w:fill="FFFFFF"/>
        </w:rPr>
        <w:t>policing of the areas where sex workers conduct business</w:t>
      </w:r>
      <w:r w:rsidRPr="00FA1F69">
        <w:rPr>
          <w:rFonts w:asciiTheme="majorHAnsi" w:eastAsia="Times New Roman" w:hAnsiTheme="majorHAnsi" w:cs="Times New Roman"/>
          <w:color w:val="414042"/>
          <w:sz w:val="16"/>
          <w:shd w:val="clear" w:color="auto" w:fill="FFFFFF"/>
        </w:rPr>
        <w:t>. This</w:t>
      </w:r>
      <w:r w:rsidRPr="00FA1F69">
        <w:rPr>
          <w:rFonts w:asciiTheme="majorHAnsi" w:eastAsia="Times New Roman" w:hAnsiTheme="majorHAnsi" w:cs="Times New Roman"/>
          <w:color w:val="414042"/>
          <w:u w:val="single"/>
          <w:shd w:val="clear" w:color="auto" w:fill="FFFFFF"/>
        </w:rPr>
        <w:t xml:space="preserve"> forces those working into more isolated conditions and locations, increasing their physical vulnerability.</w:t>
      </w:r>
      <w:r w:rsidRPr="00FA1F69">
        <w:rPr>
          <w:rFonts w:asciiTheme="majorHAnsi" w:eastAsia="Times New Roman" w:hAnsiTheme="majorHAnsi" w:cs="Times New Roman"/>
          <w:color w:val="414042"/>
          <w:sz w:val="16"/>
          <w:shd w:val="clear" w:color="auto" w:fill="FFFFFF"/>
        </w:rPr>
        <w:t xml:space="preserve"> </w:t>
      </w:r>
      <w:r w:rsidRPr="00FA1F69">
        <w:rPr>
          <w:rFonts w:asciiTheme="majorHAnsi" w:eastAsia="Times New Roman" w:hAnsiTheme="majorHAnsi" w:cs="Times New Roman"/>
          <w:color w:val="414042"/>
          <w:u w:val="single"/>
          <w:shd w:val="clear" w:color="auto" w:fill="FFFFFF"/>
        </w:rPr>
        <w:t>It disrupts critical safety strategies and negotiations including harm-reduction techniques—such as the use of condoms—and peer networks</w:t>
      </w:r>
      <w:r w:rsidRPr="00FA1F69">
        <w:rPr>
          <w:rFonts w:asciiTheme="majorHAnsi" w:eastAsia="Times New Roman" w:hAnsiTheme="majorHAnsi" w:cs="Times New Roman"/>
          <w:color w:val="414042"/>
          <w:sz w:val="16"/>
          <w:shd w:val="clear" w:color="auto" w:fill="FFFFFF"/>
        </w:rPr>
        <w:t xml:space="preserve"> [7]. According to a study published in the </w:t>
      </w:r>
      <w:r w:rsidRPr="00FA1F69">
        <w:rPr>
          <w:rFonts w:asciiTheme="majorHAnsi" w:eastAsia="Times New Roman" w:hAnsiTheme="majorHAnsi" w:cs="Times New Roman"/>
          <w:i/>
          <w:iCs/>
          <w:color w:val="414042"/>
          <w:sz w:val="16"/>
          <w:shd w:val="clear" w:color="auto" w:fill="FFFFFF"/>
        </w:rPr>
        <w:t>Lancet</w:t>
      </w:r>
      <w:r w:rsidRPr="00FA1F69">
        <w:rPr>
          <w:rFonts w:asciiTheme="majorHAnsi" w:eastAsia="Times New Roman" w:hAnsiTheme="majorHAnsi" w:cs="Times New Roman"/>
          <w:color w:val="414042"/>
          <w:sz w:val="16"/>
          <w:shd w:val="clear" w:color="auto" w:fill="FFFFFF"/>
        </w:rPr>
        <w:t xml:space="preserve">, </w:t>
      </w:r>
      <w:r w:rsidRPr="00FA1F69">
        <w:rPr>
          <w:rFonts w:asciiTheme="majorHAnsi" w:eastAsia="Times New Roman" w:hAnsiTheme="majorHAnsi" w:cs="Times New Roman"/>
          <w:color w:val="414042"/>
          <w:u w:val="single"/>
          <w:shd w:val="clear" w:color="auto" w:fill="FFFFFF"/>
        </w:rPr>
        <w:t>partial criminalization “creates harms similar to those of full criminalisation by impeding sex workers’ ability to protect their health and safety, and creating an antagonistic relationship with law enforcement resulting in a climate of impunity</w:t>
      </w:r>
      <w:r w:rsidRPr="00FA1F69">
        <w:rPr>
          <w:rFonts w:asciiTheme="majorHAnsi" w:eastAsia="Times New Roman" w:hAnsiTheme="majorHAnsi" w:cs="Times New Roman"/>
          <w:color w:val="414042"/>
          <w:sz w:val="16"/>
          <w:shd w:val="clear" w:color="auto" w:fill="FFFFFF"/>
        </w:rPr>
        <w:t>” [8].</w:t>
      </w:r>
    </w:p>
    <w:p w14:paraId="4D7F1577" w14:textId="77B7D5ED" w:rsidR="00735FB2" w:rsidRDefault="00735FB2" w:rsidP="00861574"/>
    <w:p w14:paraId="6296CF6B" w14:textId="4EA0327B" w:rsidR="001C4F5D" w:rsidRDefault="001C4F5D" w:rsidP="00861574"/>
    <w:p w14:paraId="72BD8720" w14:textId="6F3ABBB5" w:rsidR="001C4F5D" w:rsidRDefault="001C4F5D" w:rsidP="001C4F5D">
      <w:pPr>
        <w:pStyle w:val="Heading4"/>
      </w:pPr>
      <w:r>
        <w:t>IRL policing causes stigmatization and violence against sex workers</w:t>
      </w:r>
    </w:p>
    <w:p w14:paraId="0828CFD0" w14:textId="5C2DF1EA" w:rsidR="001C4F5D" w:rsidRDefault="001C4F5D" w:rsidP="001C4F5D">
      <w:r w:rsidRPr="4B973773">
        <w:rPr>
          <w:rFonts w:ascii="Times New Roman" w:eastAsia="Times New Roman" w:hAnsi="Times New Roman" w:cs="Times New Roman"/>
          <w:color w:val="333333"/>
        </w:rPr>
        <w:t>Kate</w:t>
      </w:r>
      <w:r w:rsidRPr="4B973773">
        <w:rPr>
          <w:rFonts w:ascii="Times New Roman" w:eastAsia="Times New Roman" w:hAnsi="Times New Roman" w:cs="Times New Roman"/>
          <w:b/>
          <w:bCs/>
          <w:color w:val="333333"/>
        </w:rPr>
        <w:t xml:space="preserve"> Shannon</w:t>
      </w:r>
      <w:r w:rsidRPr="4B973773">
        <w:rPr>
          <w:rFonts w:ascii="Times New Roman" w:eastAsia="Times New Roman" w:hAnsi="Times New Roman" w:cs="Times New Roman"/>
          <w:color w:val="333333"/>
        </w:rPr>
        <w:t xml:space="preserve">, T. </w:t>
      </w:r>
      <w:r w:rsidRPr="4B973773">
        <w:rPr>
          <w:rFonts w:ascii="Times New Roman" w:eastAsia="Times New Roman" w:hAnsi="Times New Roman" w:cs="Times New Roman"/>
          <w:b/>
          <w:bCs/>
          <w:color w:val="333333"/>
        </w:rPr>
        <w:t>Kerr</w:t>
      </w:r>
      <w:r w:rsidRPr="4B973773">
        <w:rPr>
          <w:rFonts w:ascii="Times New Roman" w:eastAsia="Times New Roman" w:hAnsi="Times New Roman" w:cs="Times New Roman"/>
          <w:color w:val="333333"/>
        </w:rPr>
        <w:t xml:space="preserve">, S.A. </w:t>
      </w:r>
      <w:r w:rsidRPr="4B973773">
        <w:rPr>
          <w:rFonts w:ascii="Times New Roman" w:eastAsia="Times New Roman" w:hAnsi="Times New Roman" w:cs="Times New Roman"/>
          <w:b/>
          <w:bCs/>
          <w:color w:val="333333"/>
        </w:rPr>
        <w:t>Strathdee</w:t>
      </w:r>
      <w:r w:rsidRPr="4B973773">
        <w:rPr>
          <w:rFonts w:ascii="Times New Roman" w:eastAsia="Times New Roman" w:hAnsi="Times New Roman" w:cs="Times New Roman"/>
          <w:color w:val="333333"/>
        </w:rPr>
        <w:t xml:space="preserve">, J. </w:t>
      </w:r>
      <w:r w:rsidRPr="4B973773">
        <w:rPr>
          <w:rFonts w:ascii="Times New Roman" w:eastAsia="Times New Roman" w:hAnsi="Times New Roman" w:cs="Times New Roman"/>
          <w:b/>
          <w:bCs/>
          <w:color w:val="333333"/>
        </w:rPr>
        <w:t>Shoveller</w:t>
      </w:r>
      <w:r w:rsidRPr="4B973773">
        <w:rPr>
          <w:rFonts w:ascii="Times New Roman" w:eastAsia="Times New Roman" w:hAnsi="Times New Roman" w:cs="Times New Roman"/>
          <w:color w:val="333333"/>
        </w:rPr>
        <w:t xml:space="preserve">, J. S. </w:t>
      </w:r>
      <w:r w:rsidRPr="4B973773">
        <w:rPr>
          <w:rFonts w:ascii="Times New Roman" w:eastAsia="Times New Roman" w:hAnsi="Times New Roman" w:cs="Times New Roman"/>
          <w:b/>
          <w:bCs/>
          <w:color w:val="333333"/>
        </w:rPr>
        <w:t>Montaner</w:t>
      </w:r>
      <w:r w:rsidRPr="4B973773">
        <w:rPr>
          <w:rFonts w:ascii="Times New Roman" w:eastAsia="Times New Roman" w:hAnsi="Times New Roman" w:cs="Times New Roman"/>
          <w:color w:val="333333"/>
        </w:rPr>
        <w:t xml:space="preserve">, M. W. </w:t>
      </w:r>
      <w:r w:rsidRPr="4B973773">
        <w:rPr>
          <w:rFonts w:ascii="Times New Roman" w:eastAsia="Times New Roman" w:hAnsi="Times New Roman" w:cs="Times New Roman"/>
          <w:b/>
          <w:bCs/>
          <w:color w:val="333333"/>
        </w:rPr>
        <w:t>Tyndall 9</w:t>
      </w:r>
      <w:r w:rsidRPr="4B973773">
        <w:rPr>
          <w:rFonts w:ascii="Times New Roman" w:eastAsia="Times New Roman" w:hAnsi="Times New Roman" w:cs="Times New Roman"/>
          <w:color w:val="333333"/>
        </w:rPr>
        <w:t xml:space="preserve">; assistant </w:t>
      </w:r>
      <w:r w:rsidRPr="001C4F5D">
        <w:t xml:space="preserve">professor on the Faculty of Medicine at the University of British Columbia at Vancouver, assistant professor on the Faculty of Medicine at the University of British Columbia at Vancouver; professor and </w:t>
      </w:r>
      <w:r w:rsidRPr="001C4F5D">
        <w:lastRenderedPageBreak/>
        <w:t>chair of the Division of Global Public Health at the University of California San Diego School of Medicine, professor on the Faculty of Medicine at the University of British Columbia at Vancouver, professor and director on the Faculty of Medicine at the University of British Columbia at Vancouver, associate professor on the Faculty of Medicine at the University of British Columbia at Vancouver, “Prevalence and structural correlates of gender based violence among a prospective cohort of female sex workers,” - The BMJ,  March 8, 2009,</w:t>
      </w:r>
      <w:r w:rsidR="00A00899">
        <w:rPr>
          <w:rFonts w:ascii="Times New Roman" w:eastAsia="Times New Roman" w:hAnsi="Times New Roman" w:cs="Times New Roman"/>
          <w:color w:val="333333"/>
        </w:rPr>
        <w:t xml:space="preserve"> </w:t>
      </w:r>
      <w:hyperlink r:id="rId112" w:history="1">
        <w:r w:rsidR="00E95F1E" w:rsidRPr="00267CBF">
          <w:rPr>
            <w:rStyle w:val="Hyperlink"/>
          </w:rPr>
          <w:t>https://www.bmj.com/content/339/bmj.b2939</w:t>
        </w:r>
      </w:hyperlink>
    </w:p>
    <w:p w14:paraId="20B9261F" w14:textId="77777777" w:rsidR="001C4F5D" w:rsidRDefault="001C4F5D" w:rsidP="001C4F5D">
      <w:r w:rsidRPr="4B973773">
        <w:rPr>
          <w:rFonts w:ascii="Times New Roman" w:eastAsia="Times New Roman" w:hAnsi="Times New Roman" w:cs="Times New Roman"/>
          <w:color w:val="333333"/>
          <w:sz w:val="24"/>
          <w:szCs w:val="24"/>
          <w:u w:val="single"/>
        </w:rPr>
        <w:t xml:space="preserve">Rights violations and abuses experienced by female sex workers are seldom considered in discussions of violence against women, </w:t>
      </w:r>
      <w:r w:rsidRPr="4B973773">
        <w:rPr>
          <w:rFonts w:ascii="Times New Roman" w:eastAsia="Times New Roman" w:hAnsi="Times New Roman" w:cs="Times New Roman"/>
          <w:color w:val="333333"/>
          <w:sz w:val="16"/>
          <w:szCs w:val="16"/>
        </w:rPr>
        <w:t>as shown by a review of the global scope and magnitude of gender based violence.</w:t>
      </w:r>
      <w:hyperlink r:id="rId113" w:anchor="ref-1">
        <w:r w:rsidRPr="4B973773">
          <w:rPr>
            <w:rStyle w:val="Hyperlink"/>
            <w:rFonts w:ascii="Times New Roman" w:eastAsia="Times New Roman" w:hAnsi="Times New Roman" w:cs="Times New Roman"/>
            <w:bCs/>
            <w:color w:val="2A6EBB"/>
            <w:sz w:val="24"/>
            <w:szCs w:val="24"/>
          </w:rPr>
          <w:t>1</w:t>
        </w:r>
      </w:hyperlink>
      <w:r w:rsidRPr="4B973773">
        <w:rPr>
          <w:rFonts w:ascii="Times New Roman" w:eastAsia="Times New Roman" w:hAnsi="Times New Roman" w:cs="Times New Roman"/>
          <w:color w:val="333333"/>
          <w:sz w:val="24"/>
          <w:szCs w:val="24"/>
          <w:u w:val="single"/>
        </w:rPr>
        <w:t xml:space="preserve"> The United Nations Convention on the Elimination of All Forms of Discrimination against Women defined the term “gender based abuse” as “any act of gender based violence that results in, or is likely to result in,</w:t>
      </w:r>
      <w:r w:rsidRPr="4B973773">
        <w:rPr>
          <w:rFonts w:ascii="Times New Roman" w:eastAsia="Times New Roman" w:hAnsi="Times New Roman" w:cs="Times New Roman"/>
          <w:b/>
          <w:bCs/>
          <w:color w:val="333333"/>
          <w:sz w:val="24"/>
          <w:szCs w:val="24"/>
          <w:u w:val="single"/>
        </w:rPr>
        <w:t xml:space="preserve"> physical,</w:t>
      </w:r>
      <w:r w:rsidRPr="4B973773">
        <w:rPr>
          <w:rFonts w:ascii="Times New Roman" w:eastAsia="Times New Roman" w:hAnsi="Times New Roman" w:cs="Times New Roman"/>
          <w:color w:val="333333"/>
          <w:sz w:val="24"/>
          <w:szCs w:val="24"/>
          <w:u w:val="single"/>
        </w:rPr>
        <w:t xml:space="preserve"> </w:t>
      </w:r>
      <w:r w:rsidRPr="4B973773">
        <w:rPr>
          <w:rFonts w:ascii="Times New Roman" w:eastAsia="Times New Roman" w:hAnsi="Times New Roman" w:cs="Times New Roman"/>
          <w:b/>
          <w:bCs/>
          <w:color w:val="333333"/>
          <w:sz w:val="24"/>
          <w:szCs w:val="24"/>
          <w:u w:val="single"/>
        </w:rPr>
        <w:t>sexual</w:t>
      </w:r>
      <w:r w:rsidRPr="4B973773">
        <w:rPr>
          <w:rFonts w:ascii="Times New Roman" w:eastAsia="Times New Roman" w:hAnsi="Times New Roman" w:cs="Times New Roman"/>
          <w:color w:val="333333"/>
          <w:sz w:val="24"/>
          <w:szCs w:val="24"/>
          <w:u w:val="single"/>
        </w:rPr>
        <w:t xml:space="preserve"> or</w:t>
      </w:r>
      <w:r w:rsidRPr="4B973773">
        <w:rPr>
          <w:rFonts w:ascii="Times New Roman" w:eastAsia="Times New Roman" w:hAnsi="Times New Roman" w:cs="Times New Roman"/>
          <w:b/>
          <w:bCs/>
          <w:color w:val="333333"/>
          <w:sz w:val="24"/>
          <w:szCs w:val="24"/>
          <w:u w:val="single"/>
        </w:rPr>
        <w:t xml:space="preserve"> psychological </w:t>
      </w:r>
      <w:r w:rsidRPr="4B973773">
        <w:rPr>
          <w:rFonts w:ascii="Times New Roman" w:eastAsia="Times New Roman" w:hAnsi="Times New Roman" w:cs="Times New Roman"/>
          <w:color w:val="333333"/>
          <w:sz w:val="24"/>
          <w:szCs w:val="24"/>
          <w:u w:val="single"/>
        </w:rPr>
        <w:t xml:space="preserve">harm or </w:t>
      </w:r>
      <w:r w:rsidRPr="4B973773">
        <w:rPr>
          <w:rFonts w:ascii="Times New Roman" w:eastAsia="Times New Roman" w:hAnsi="Times New Roman" w:cs="Times New Roman"/>
          <w:b/>
          <w:bCs/>
          <w:color w:val="333333"/>
          <w:sz w:val="24"/>
          <w:szCs w:val="24"/>
          <w:u w:val="single"/>
        </w:rPr>
        <w:t>suffering</w:t>
      </w:r>
      <w:r w:rsidRPr="4B973773">
        <w:rPr>
          <w:rFonts w:ascii="Times New Roman" w:eastAsia="Times New Roman" w:hAnsi="Times New Roman" w:cs="Times New Roman"/>
          <w:color w:val="333333"/>
          <w:sz w:val="24"/>
          <w:szCs w:val="24"/>
          <w:u w:val="single"/>
        </w:rPr>
        <w:t xml:space="preserve"> to women, including</w:t>
      </w:r>
      <w:r w:rsidRPr="4B973773">
        <w:rPr>
          <w:rFonts w:ascii="Times New Roman" w:eastAsia="Times New Roman" w:hAnsi="Times New Roman" w:cs="Times New Roman"/>
          <w:b/>
          <w:bCs/>
          <w:color w:val="333333"/>
          <w:sz w:val="24"/>
          <w:szCs w:val="24"/>
          <w:u w:val="single"/>
        </w:rPr>
        <w:t xml:space="preserve"> threats </w:t>
      </w:r>
      <w:r w:rsidRPr="4B973773">
        <w:rPr>
          <w:rFonts w:ascii="Times New Roman" w:eastAsia="Times New Roman" w:hAnsi="Times New Roman" w:cs="Times New Roman"/>
          <w:color w:val="333333"/>
          <w:sz w:val="24"/>
          <w:szCs w:val="24"/>
          <w:u w:val="single"/>
        </w:rPr>
        <w:t xml:space="preserve">of such acts, </w:t>
      </w:r>
      <w:r w:rsidRPr="4B973773">
        <w:rPr>
          <w:rFonts w:ascii="Times New Roman" w:eastAsia="Times New Roman" w:hAnsi="Times New Roman" w:cs="Times New Roman"/>
          <w:b/>
          <w:bCs/>
          <w:color w:val="333333"/>
          <w:sz w:val="24"/>
          <w:szCs w:val="24"/>
          <w:u w:val="single"/>
        </w:rPr>
        <w:t>coercion,</w:t>
      </w:r>
      <w:r w:rsidRPr="4B973773">
        <w:rPr>
          <w:rFonts w:ascii="Times New Roman" w:eastAsia="Times New Roman" w:hAnsi="Times New Roman" w:cs="Times New Roman"/>
          <w:color w:val="333333"/>
          <w:sz w:val="24"/>
          <w:szCs w:val="24"/>
          <w:u w:val="single"/>
        </w:rPr>
        <w:t xml:space="preserve"> or</w:t>
      </w:r>
      <w:r w:rsidRPr="4B973773">
        <w:rPr>
          <w:rFonts w:ascii="Times New Roman" w:eastAsia="Times New Roman" w:hAnsi="Times New Roman" w:cs="Times New Roman"/>
          <w:b/>
          <w:bCs/>
          <w:color w:val="333333"/>
          <w:sz w:val="24"/>
          <w:szCs w:val="24"/>
          <w:u w:val="single"/>
        </w:rPr>
        <w:t xml:space="preserve"> arbitrary deprivation of liberty</w:t>
      </w:r>
      <w:r w:rsidRPr="4B973773">
        <w:rPr>
          <w:rFonts w:ascii="Times New Roman" w:eastAsia="Times New Roman" w:hAnsi="Times New Roman" w:cs="Times New Roman"/>
          <w:color w:val="333333"/>
          <w:sz w:val="24"/>
          <w:szCs w:val="24"/>
          <w:u w:val="single"/>
        </w:rPr>
        <w:t>, whether occurring in public or in private life.”</w:t>
      </w:r>
      <w:hyperlink r:id="rId114" w:anchor="ref-2">
        <w:r w:rsidRPr="4B973773">
          <w:rPr>
            <w:rStyle w:val="Hyperlink"/>
            <w:rFonts w:ascii="Times New Roman" w:eastAsia="Times New Roman" w:hAnsi="Times New Roman" w:cs="Times New Roman"/>
            <w:bCs/>
            <w:color w:val="2A6EBB"/>
            <w:sz w:val="24"/>
            <w:szCs w:val="24"/>
          </w:rPr>
          <w:t>2</w:t>
        </w:r>
      </w:hyperlink>
      <w:r w:rsidRPr="4B973773">
        <w:rPr>
          <w:rFonts w:ascii="Times New Roman" w:eastAsia="Times New Roman" w:hAnsi="Times New Roman" w:cs="Times New Roman"/>
          <w:color w:val="333333"/>
          <w:sz w:val="24"/>
          <w:szCs w:val="24"/>
          <w:u w:val="single"/>
        </w:rPr>
        <w:t xml:space="preserve"> This definition encompasses </w:t>
      </w:r>
      <w:r w:rsidRPr="4B973773">
        <w:rPr>
          <w:rFonts w:ascii="Times New Roman" w:eastAsia="Times New Roman" w:hAnsi="Times New Roman" w:cs="Times New Roman"/>
          <w:b/>
          <w:bCs/>
          <w:color w:val="333333"/>
          <w:sz w:val="24"/>
          <w:szCs w:val="24"/>
          <w:u w:val="single"/>
        </w:rPr>
        <w:t>rape, torture, mutilation, sexual slavery, forced impregnation, and murder,</w:t>
      </w:r>
      <w:r w:rsidRPr="4B973773">
        <w:rPr>
          <w:rFonts w:ascii="Times New Roman" w:eastAsia="Times New Roman" w:hAnsi="Times New Roman" w:cs="Times New Roman"/>
          <w:color w:val="333333"/>
          <w:sz w:val="24"/>
          <w:szCs w:val="24"/>
          <w:u w:val="single"/>
        </w:rPr>
        <w:t xml:space="preserve"> </w:t>
      </w:r>
      <w:r w:rsidRPr="4B973773">
        <w:rPr>
          <w:rFonts w:ascii="Times New Roman" w:eastAsia="Times New Roman" w:hAnsi="Times New Roman" w:cs="Times New Roman"/>
          <w:color w:val="333333"/>
          <w:sz w:val="16"/>
          <w:szCs w:val="16"/>
        </w:rPr>
        <w:t xml:space="preserve">and distinguishes male perpetrated violence against women from other non-gender based forms of violence. </w:t>
      </w:r>
      <w:r w:rsidRPr="4B973773">
        <w:rPr>
          <w:rFonts w:ascii="Times New Roman" w:eastAsia="Times New Roman" w:hAnsi="Times New Roman" w:cs="Times New Roman"/>
          <w:b/>
          <w:bCs/>
          <w:color w:val="333333"/>
          <w:sz w:val="24"/>
          <w:szCs w:val="24"/>
        </w:rPr>
        <w:t>Gender based violence</w:t>
      </w:r>
      <w:r w:rsidRPr="4B973773">
        <w:rPr>
          <w:rFonts w:ascii="Times New Roman" w:eastAsia="Times New Roman" w:hAnsi="Times New Roman" w:cs="Times New Roman"/>
          <w:color w:val="333333"/>
          <w:sz w:val="24"/>
          <w:szCs w:val="24"/>
        </w:rPr>
        <w:t xml:space="preserve"> has been recognised as a </w:t>
      </w:r>
      <w:r w:rsidRPr="4B973773">
        <w:rPr>
          <w:rFonts w:ascii="Times New Roman" w:eastAsia="Times New Roman" w:hAnsi="Times New Roman" w:cs="Times New Roman"/>
          <w:b/>
          <w:bCs/>
          <w:color w:val="333333"/>
          <w:sz w:val="24"/>
          <w:szCs w:val="24"/>
        </w:rPr>
        <w:t xml:space="preserve">global public health </w:t>
      </w:r>
      <w:r w:rsidRPr="4B973773">
        <w:rPr>
          <w:rFonts w:ascii="Times New Roman" w:eastAsia="Times New Roman" w:hAnsi="Times New Roman" w:cs="Times New Roman"/>
          <w:color w:val="333333"/>
          <w:sz w:val="24"/>
          <w:szCs w:val="24"/>
        </w:rPr>
        <w:t>and</w:t>
      </w:r>
      <w:r w:rsidRPr="4B973773">
        <w:rPr>
          <w:rFonts w:ascii="Times New Roman" w:eastAsia="Times New Roman" w:hAnsi="Times New Roman" w:cs="Times New Roman"/>
          <w:b/>
          <w:bCs/>
          <w:color w:val="333333"/>
          <w:sz w:val="24"/>
          <w:szCs w:val="24"/>
        </w:rPr>
        <w:t xml:space="preserve"> human rights problem</w:t>
      </w:r>
      <w:r w:rsidRPr="4B973773">
        <w:rPr>
          <w:rFonts w:ascii="Times New Roman" w:eastAsia="Times New Roman" w:hAnsi="Times New Roman" w:cs="Times New Roman"/>
          <w:color w:val="333333"/>
          <w:sz w:val="24"/>
          <w:szCs w:val="24"/>
        </w:rPr>
        <w:t xml:space="preserve"> that leads to high rates of </w:t>
      </w:r>
      <w:r w:rsidRPr="4B973773">
        <w:rPr>
          <w:rFonts w:ascii="Times New Roman" w:eastAsia="Times New Roman" w:hAnsi="Times New Roman" w:cs="Times New Roman"/>
          <w:b/>
          <w:bCs/>
          <w:color w:val="333333"/>
          <w:sz w:val="24"/>
          <w:szCs w:val="24"/>
        </w:rPr>
        <w:t xml:space="preserve">morbidity </w:t>
      </w:r>
      <w:r w:rsidRPr="4B973773">
        <w:rPr>
          <w:rFonts w:ascii="Times New Roman" w:eastAsia="Times New Roman" w:hAnsi="Times New Roman" w:cs="Times New Roman"/>
          <w:color w:val="333333"/>
          <w:sz w:val="24"/>
          <w:szCs w:val="24"/>
        </w:rPr>
        <w:t xml:space="preserve">and </w:t>
      </w:r>
      <w:r w:rsidRPr="4B973773">
        <w:rPr>
          <w:rFonts w:ascii="Times New Roman" w:eastAsia="Times New Roman" w:hAnsi="Times New Roman" w:cs="Times New Roman"/>
          <w:b/>
          <w:bCs/>
          <w:color w:val="333333"/>
          <w:sz w:val="24"/>
          <w:szCs w:val="24"/>
        </w:rPr>
        <w:t>mortality</w:t>
      </w:r>
      <w:r w:rsidRPr="4B973773">
        <w:rPr>
          <w:rFonts w:ascii="Times New Roman" w:eastAsia="Times New Roman" w:hAnsi="Times New Roman" w:cs="Times New Roman"/>
          <w:color w:val="333333"/>
          <w:sz w:val="24"/>
          <w:szCs w:val="24"/>
        </w:rPr>
        <w:t>, including gynaecological problems, sexually transmitted infections, depression, post-traumatic stress disorder, substance dependence, suicide, and mortality.</w:t>
      </w:r>
      <w:hyperlink r:id="rId115" w:anchor="ref-3">
        <w:r w:rsidRPr="4B973773">
          <w:rPr>
            <w:rStyle w:val="Hyperlink"/>
            <w:rFonts w:ascii="Times New Roman" w:eastAsia="Times New Roman" w:hAnsi="Times New Roman" w:cs="Times New Roman"/>
            <w:bCs/>
            <w:color w:val="2A6EBB"/>
            <w:sz w:val="24"/>
            <w:szCs w:val="24"/>
          </w:rPr>
          <w:t>3</w:t>
        </w:r>
      </w:hyperlink>
      <w:r w:rsidRPr="4B973773">
        <w:rPr>
          <w:rFonts w:ascii="Times New Roman" w:eastAsia="Times New Roman" w:hAnsi="Times New Roman" w:cs="Times New Roman"/>
          <w:color w:val="333333"/>
          <w:sz w:val="24"/>
          <w:szCs w:val="24"/>
        </w:rPr>
        <w:t xml:space="preserve"> </w:t>
      </w:r>
      <w:hyperlink r:id="rId116" w:anchor="ref-4">
        <w:r w:rsidRPr="4B973773">
          <w:rPr>
            <w:rStyle w:val="Hyperlink"/>
            <w:rFonts w:ascii="Times New Roman" w:eastAsia="Times New Roman" w:hAnsi="Times New Roman" w:cs="Times New Roman"/>
            <w:bCs/>
            <w:color w:val="2A6EBB"/>
            <w:sz w:val="24"/>
            <w:szCs w:val="24"/>
          </w:rPr>
          <w:t>4</w:t>
        </w:r>
      </w:hyperlink>
      <w:r w:rsidRPr="4B973773">
        <w:rPr>
          <w:rFonts w:ascii="Times New Roman" w:eastAsia="Times New Roman" w:hAnsi="Times New Roman" w:cs="Times New Roman"/>
          <w:color w:val="333333"/>
          <w:sz w:val="24"/>
          <w:szCs w:val="24"/>
        </w:rPr>
        <w:t xml:space="preserve"> </w:t>
      </w:r>
      <w:hyperlink r:id="rId117" w:anchor="ref-5">
        <w:r w:rsidRPr="4B973773">
          <w:rPr>
            <w:rStyle w:val="Hyperlink"/>
            <w:rFonts w:ascii="Times New Roman" w:eastAsia="Times New Roman" w:hAnsi="Times New Roman" w:cs="Times New Roman"/>
            <w:bCs/>
            <w:color w:val="2A6EBB"/>
            <w:sz w:val="24"/>
            <w:szCs w:val="24"/>
          </w:rPr>
          <w:t>5</w:t>
        </w:r>
      </w:hyperlink>
    </w:p>
    <w:p w14:paraId="79F838A4" w14:textId="77777777" w:rsidR="001C4F5D" w:rsidRDefault="001C4F5D" w:rsidP="001C4F5D">
      <w:r w:rsidRPr="4B973773">
        <w:rPr>
          <w:rFonts w:ascii="Times New Roman" w:eastAsia="Times New Roman" w:hAnsi="Times New Roman" w:cs="Times New Roman"/>
          <w:color w:val="333333"/>
          <w:sz w:val="16"/>
          <w:szCs w:val="16"/>
        </w:rPr>
        <w:t>Despite extensive evidence documenting the severe adverse health outcomes associated with gender based violence, our understanding of the magnitude of violence against women has been largely drawn from data on partner violence.</w:t>
      </w:r>
      <w:hyperlink r:id="rId118" w:anchor="ref-1">
        <w:r w:rsidRPr="4B973773">
          <w:rPr>
            <w:rStyle w:val="Hyperlink"/>
            <w:rFonts w:ascii="Times New Roman" w:eastAsia="Times New Roman" w:hAnsi="Times New Roman" w:cs="Times New Roman"/>
            <w:bCs/>
            <w:color w:val="2A6EBB"/>
            <w:sz w:val="16"/>
            <w:szCs w:val="16"/>
          </w:rPr>
          <w:t>1</w:t>
        </w:r>
      </w:hyperlink>
      <w:r w:rsidRPr="4B973773">
        <w:rPr>
          <w:rFonts w:ascii="Times New Roman" w:eastAsia="Times New Roman" w:hAnsi="Times New Roman" w:cs="Times New Roman"/>
          <w:color w:val="333333"/>
          <w:sz w:val="16"/>
          <w:szCs w:val="16"/>
        </w:rPr>
        <w:t xml:space="preserve"> </w:t>
      </w:r>
      <w:hyperlink r:id="rId119" w:anchor="ref-4">
        <w:r w:rsidRPr="4B973773">
          <w:rPr>
            <w:rStyle w:val="Hyperlink"/>
            <w:rFonts w:ascii="Times New Roman" w:eastAsia="Times New Roman" w:hAnsi="Times New Roman" w:cs="Times New Roman"/>
            <w:bCs/>
            <w:color w:val="2A6EBB"/>
            <w:sz w:val="16"/>
            <w:szCs w:val="16"/>
          </w:rPr>
          <w:t>4</w:t>
        </w:r>
      </w:hyperlink>
      <w:r w:rsidRPr="4B973773">
        <w:rPr>
          <w:rFonts w:ascii="Times New Roman" w:eastAsia="Times New Roman" w:hAnsi="Times New Roman" w:cs="Times New Roman"/>
          <w:color w:val="333333"/>
          <w:sz w:val="16"/>
          <w:szCs w:val="16"/>
        </w:rPr>
        <w:t xml:space="preserve"> </w:t>
      </w:r>
      <w:hyperlink r:id="rId120" w:anchor="ref-5">
        <w:r w:rsidRPr="4B973773">
          <w:rPr>
            <w:rStyle w:val="Hyperlink"/>
            <w:rFonts w:ascii="Times New Roman" w:eastAsia="Times New Roman" w:hAnsi="Times New Roman" w:cs="Times New Roman"/>
            <w:bCs/>
            <w:color w:val="2A6EBB"/>
            <w:sz w:val="16"/>
            <w:szCs w:val="16"/>
          </w:rPr>
          <w:t>5</w:t>
        </w:r>
      </w:hyperlink>
      <w:r w:rsidRPr="4B973773">
        <w:rPr>
          <w:rFonts w:ascii="Times New Roman" w:eastAsia="Times New Roman" w:hAnsi="Times New Roman" w:cs="Times New Roman"/>
          <w:color w:val="333333"/>
          <w:sz w:val="16"/>
          <w:szCs w:val="16"/>
        </w:rPr>
        <w:t xml:space="preserve"> Additionally, although individual and interpersonal correlates of gender based violence have been well described, there are no empirical models that account for larger structural inequities that could promote gender based violence.</w:t>
      </w:r>
    </w:p>
    <w:p w14:paraId="42A1F36C" w14:textId="77777777" w:rsidR="001C4F5D" w:rsidRDefault="001C4F5D" w:rsidP="001C4F5D">
      <w:r w:rsidRPr="4B973773">
        <w:rPr>
          <w:rFonts w:ascii="Times New Roman" w:eastAsia="Times New Roman" w:hAnsi="Times New Roman" w:cs="Times New Roman"/>
          <w:color w:val="333333"/>
          <w:sz w:val="24"/>
          <w:szCs w:val="24"/>
          <w:u w:val="single"/>
        </w:rPr>
        <w:t>Of particular concern is the fact that gender based violence and gender inequity have increasingly been cited as important determinants of a woman’s risk of HIV infection.</w:t>
      </w:r>
      <w:hyperlink r:id="rId121" w:anchor="ref-4">
        <w:r w:rsidRPr="4B973773">
          <w:rPr>
            <w:rStyle w:val="Hyperlink"/>
            <w:rFonts w:ascii="Times New Roman" w:eastAsia="Times New Roman" w:hAnsi="Times New Roman" w:cs="Times New Roman"/>
            <w:bCs/>
            <w:color w:val="2A6EBB"/>
            <w:sz w:val="24"/>
            <w:szCs w:val="24"/>
          </w:rPr>
          <w:t>4</w:t>
        </w:r>
      </w:hyperlink>
      <w:r w:rsidRPr="4B973773">
        <w:rPr>
          <w:rFonts w:ascii="Times New Roman" w:eastAsia="Times New Roman" w:hAnsi="Times New Roman" w:cs="Times New Roman"/>
          <w:color w:val="333333"/>
          <w:sz w:val="24"/>
          <w:szCs w:val="24"/>
        </w:rPr>
        <w:t xml:space="preserve"> </w:t>
      </w:r>
      <w:hyperlink r:id="rId122" w:anchor="ref-6">
        <w:r w:rsidRPr="4B973773">
          <w:rPr>
            <w:rStyle w:val="Hyperlink"/>
            <w:rFonts w:ascii="Times New Roman" w:eastAsia="Times New Roman" w:hAnsi="Times New Roman" w:cs="Times New Roman"/>
            <w:bCs/>
            <w:color w:val="2A6EBB"/>
            <w:sz w:val="24"/>
            <w:szCs w:val="24"/>
          </w:rPr>
          <w:t>6</w:t>
        </w:r>
      </w:hyperlink>
      <w:r w:rsidRPr="4B973773">
        <w:rPr>
          <w:rFonts w:ascii="Times New Roman" w:eastAsia="Times New Roman" w:hAnsi="Times New Roman" w:cs="Times New Roman"/>
          <w:color w:val="333333"/>
          <w:sz w:val="24"/>
          <w:szCs w:val="24"/>
        </w:rPr>
        <w:t xml:space="preserve"> </w:t>
      </w:r>
      <w:hyperlink r:id="rId123" w:anchor="ref-7">
        <w:r w:rsidRPr="4B973773">
          <w:rPr>
            <w:rStyle w:val="Hyperlink"/>
            <w:rFonts w:ascii="Times New Roman" w:eastAsia="Times New Roman" w:hAnsi="Times New Roman" w:cs="Times New Roman"/>
            <w:bCs/>
            <w:color w:val="2A6EBB"/>
            <w:sz w:val="24"/>
            <w:szCs w:val="24"/>
          </w:rPr>
          <w:t>7</w:t>
        </w:r>
      </w:hyperlink>
      <w:r w:rsidRPr="4B973773">
        <w:rPr>
          <w:rFonts w:ascii="Times New Roman" w:eastAsia="Times New Roman" w:hAnsi="Times New Roman" w:cs="Times New Roman"/>
          <w:color w:val="333333"/>
          <w:sz w:val="24"/>
          <w:szCs w:val="24"/>
        </w:rPr>
        <w:t xml:space="preserve"> </w:t>
      </w:r>
      <w:r w:rsidRPr="4B973773">
        <w:rPr>
          <w:rFonts w:ascii="Times New Roman" w:eastAsia="Times New Roman" w:hAnsi="Times New Roman" w:cs="Times New Roman"/>
          <w:color w:val="333333"/>
          <w:sz w:val="16"/>
          <w:szCs w:val="16"/>
        </w:rPr>
        <w:t>Among drug involved and sex work populations,</w:t>
      </w:r>
      <w:r w:rsidRPr="4B973773">
        <w:rPr>
          <w:rFonts w:ascii="Times New Roman" w:eastAsia="Times New Roman" w:hAnsi="Times New Roman" w:cs="Times New Roman"/>
          <w:color w:val="333333"/>
          <w:sz w:val="24"/>
          <w:szCs w:val="24"/>
          <w:u w:val="single"/>
        </w:rPr>
        <w:t xml:space="preserve"> violence has been associated with an elevated likelihood of acquiring sexually transmitted infections or HIV through unprotected sex, the exchange of sex for drugs or money, multiple concurrent sex partnerships, and sex with a risky partner (for example, a partner positive for antibodies to HIV or a partner who has multiple sex partners).</w:t>
      </w:r>
      <w:hyperlink r:id="rId124" w:anchor="ref-8">
        <w:r w:rsidRPr="4B973773">
          <w:rPr>
            <w:rStyle w:val="Hyperlink"/>
            <w:rFonts w:ascii="Times New Roman" w:eastAsia="Times New Roman" w:hAnsi="Times New Roman" w:cs="Times New Roman"/>
            <w:bCs/>
            <w:color w:val="2A6EBB"/>
            <w:sz w:val="24"/>
            <w:szCs w:val="24"/>
          </w:rPr>
          <w:t>8</w:t>
        </w:r>
      </w:hyperlink>
      <w:r w:rsidRPr="4B973773">
        <w:rPr>
          <w:rFonts w:ascii="Times New Roman" w:eastAsia="Times New Roman" w:hAnsi="Times New Roman" w:cs="Times New Roman"/>
          <w:color w:val="333333"/>
          <w:sz w:val="24"/>
          <w:szCs w:val="24"/>
          <w:u w:val="single"/>
        </w:rPr>
        <w:t xml:space="preserve"> </w:t>
      </w:r>
      <w:hyperlink r:id="rId125" w:anchor="ref-9">
        <w:r w:rsidRPr="4B973773">
          <w:rPr>
            <w:rStyle w:val="Hyperlink"/>
            <w:rFonts w:ascii="Times New Roman" w:eastAsia="Times New Roman" w:hAnsi="Times New Roman" w:cs="Times New Roman"/>
            <w:bCs/>
            <w:color w:val="2A6EBB"/>
            <w:sz w:val="24"/>
            <w:szCs w:val="24"/>
          </w:rPr>
          <w:t>9</w:t>
        </w:r>
      </w:hyperlink>
      <w:r w:rsidRPr="4B973773">
        <w:rPr>
          <w:rFonts w:ascii="Times New Roman" w:eastAsia="Times New Roman" w:hAnsi="Times New Roman" w:cs="Times New Roman"/>
          <w:color w:val="333333"/>
          <w:sz w:val="24"/>
          <w:szCs w:val="24"/>
        </w:rPr>
        <w:t xml:space="preserve"> </w:t>
      </w:r>
      <w:r w:rsidRPr="4B973773">
        <w:rPr>
          <w:rFonts w:ascii="Times New Roman" w:eastAsia="Times New Roman" w:hAnsi="Times New Roman" w:cs="Times New Roman"/>
          <w:color w:val="333333"/>
          <w:sz w:val="16"/>
          <w:szCs w:val="16"/>
        </w:rPr>
        <w:t>Furthermore, the synergistic relationship between</w:t>
      </w:r>
      <w:r w:rsidRPr="4B973773">
        <w:rPr>
          <w:rFonts w:ascii="Times New Roman" w:eastAsia="Times New Roman" w:hAnsi="Times New Roman" w:cs="Times New Roman"/>
          <w:color w:val="333333"/>
          <w:sz w:val="24"/>
          <w:szCs w:val="24"/>
        </w:rPr>
        <w:t xml:space="preserve"> </w:t>
      </w:r>
      <w:r w:rsidRPr="4B973773">
        <w:rPr>
          <w:rFonts w:ascii="Times New Roman" w:eastAsia="Times New Roman" w:hAnsi="Times New Roman" w:cs="Times New Roman"/>
          <w:color w:val="333333"/>
          <w:sz w:val="24"/>
          <w:szCs w:val="24"/>
          <w:u w:val="single"/>
        </w:rPr>
        <w:t>crack cocaine smoking</w:t>
      </w:r>
      <w:r w:rsidRPr="4B973773">
        <w:rPr>
          <w:rFonts w:ascii="Times New Roman" w:eastAsia="Times New Roman" w:hAnsi="Times New Roman" w:cs="Times New Roman"/>
          <w:color w:val="333333"/>
          <w:sz w:val="16"/>
          <w:szCs w:val="16"/>
        </w:rPr>
        <w:t xml:space="preserve"> and survival sex among female sex workers has been shown to exacerbate violence and exploitation against women and increase the risk of acquiring sexually transmitted infections or HIV, resulting in reduced control of female sex workers over the negotiation of HIV risk reduction practices with clients.</w:t>
      </w:r>
      <w:hyperlink r:id="rId126" w:anchor="ref-10">
        <w:r w:rsidRPr="4B973773">
          <w:rPr>
            <w:rStyle w:val="Hyperlink"/>
            <w:rFonts w:ascii="Times New Roman" w:eastAsia="Times New Roman" w:hAnsi="Times New Roman" w:cs="Times New Roman"/>
            <w:bCs/>
            <w:color w:val="2A6EBB"/>
            <w:sz w:val="16"/>
            <w:szCs w:val="16"/>
          </w:rPr>
          <w:t>10</w:t>
        </w:r>
      </w:hyperlink>
    </w:p>
    <w:p w14:paraId="5A045C36" w14:textId="77777777" w:rsidR="001C4F5D" w:rsidRDefault="001C4F5D" w:rsidP="001C4F5D">
      <w:r w:rsidRPr="4B973773">
        <w:rPr>
          <w:rFonts w:ascii="Times New Roman" w:eastAsia="Times New Roman" w:hAnsi="Times New Roman" w:cs="Times New Roman"/>
          <w:color w:val="333333"/>
          <w:sz w:val="16"/>
          <w:szCs w:val="16"/>
        </w:rPr>
        <w:t>In 2002, the Joint United Nations Programme on HIV/AIDS (UNAIDS) called for the decriminalisation of sex work, recognising the longstanding promotion by public health advocates and sex workers of safer working conditions and protection from violence.</w:t>
      </w:r>
      <w:hyperlink r:id="rId127" w:anchor="ref-11">
        <w:r w:rsidRPr="4B973773">
          <w:rPr>
            <w:rStyle w:val="Hyperlink"/>
            <w:rFonts w:ascii="Times New Roman" w:eastAsia="Times New Roman" w:hAnsi="Times New Roman" w:cs="Times New Roman"/>
            <w:bCs/>
            <w:color w:val="2A6EBB"/>
            <w:sz w:val="16"/>
            <w:szCs w:val="16"/>
          </w:rPr>
          <w:t>11</w:t>
        </w:r>
      </w:hyperlink>
      <w:r w:rsidRPr="4B973773">
        <w:rPr>
          <w:rFonts w:ascii="Times New Roman" w:eastAsia="Times New Roman" w:hAnsi="Times New Roman" w:cs="Times New Roman"/>
          <w:color w:val="333333"/>
          <w:sz w:val="16"/>
          <w:szCs w:val="16"/>
        </w:rPr>
        <w:t xml:space="preserve"> Although UNAIDS retreated from this endorsement in 2007,</w:t>
      </w:r>
      <w:hyperlink r:id="rId128" w:anchor="ref-12">
        <w:r w:rsidRPr="4B973773">
          <w:rPr>
            <w:rStyle w:val="Hyperlink"/>
            <w:rFonts w:ascii="Times New Roman" w:eastAsia="Times New Roman" w:hAnsi="Times New Roman" w:cs="Times New Roman"/>
            <w:bCs/>
            <w:color w:val="2A6EBB"/>
            <w:sz w:val="16"/>
            <w:szCs w:val="16"/>
          </w:rPr>
          <w:t>12</w:t>
        </w:r>
      </w:hyperlink>
      <w:r w:rsidRPr="4B973773">
        <w:rPr>
          <w:rFonts w:ascii="Times New Roman" w:eastAsia="Times New Roman" w:hAnsi="Times New Roman" w:cs="Times New Roman"/>
          <w:color w:val="333333"/>
          <w:sz w:val="16"/>
          <w:szCs w:val="16"/>
        </w:rPr>
        <w:t xml:space="preserve"> the UN secretary general, Ban Ki-moon, reconfirmed the organisation’s position against punitive sanctions targeting sex workers at the UN High-level Meeting on HIV/AIDS in June 2008. Despite these policy statements, many countries, including Canada and the UK, continue to promote conflicting sex work regulations that maintain the buying and selling of sexual services as legal but criminalise soliciting for sexual services in public spaces, living off the benefits of prostitution, and working indoors in managed or cooperative settings (for example, brothels).</w:t>
      </w:r>
      <w:hyperlink r:id="rId129" w:anchor="ref-13">
        <w:r w:rsidRPr="4B973773">
          <w:rPr>
            <w:rStyle w:val="Hyperlink"/>
            <w:rFonts w:ascii="Times New Roman" w:eastAsia="Times New Roman" w:hAnsi="Times New Roman" w:cs="Times New Roman"/>
            <w:bCs/>
            <w:color w:val="2A6EBB"/>
            <w:sz w:val="16"/>
            <w:szCs w:val="16"/>
          </w:rPr>
          <w:t>13</w:t>
        </w:r>
      </w:hyperlink>
      <w:r w:rsidRPr="4B973773">
        <w:rPr>
          <w:rFonts w:ascii="Times New Roman" w:eastAsia="Times New Roman" w:hAnsi="Times New Roman" w:cs="Times New Roman"/>
          <w:color w:val="333333"/>
          <w:sz w:val="16"/>
          <w:szCs w:val="16"/>
        </w:rPr>
        <w:t xml:space="preserve"> </w:t>
      </w:r>
      <w:hyperlink r:id="rId130" w:anchor="ref-14">
        <w:r w:rsidRPr="4B973773">
          <w:rPr>
            <w:rStyle w:val="Hyperlink"/>
            <w:rFonts w:ascii="Times New Roman" w:eastAsia="Times New Roman" w:hAnsi="Times New Roman" w:cs="Times New Roman"/>
            <w:bCs/>
            <w:color w:val="2A6EBB"/>
            <w:sz w:val="16"/>
            <w:szCs w:val="16"/>
          </w:rPr>
          <w:t>14</w:t>
        </w:r>
      </w:hyperlink>
      <w:r w:rsidRPr="4B973773">
        <w:rPr>
          <w:rFonts w:ascii="Times New Roman" w:eastAsia="Times New Roman" w:hAnsi="Times New Roman" w:cs="Times New Roman"/>
          <w:color w:val="333333"/>
          <w:sz w:val="16"/>
          <w:szCs w:val="16"/>
        </w:rPr>
        <w:t xml:space="preserve"> </w:t>
      </w:r>
      <w:hyperlink r:id="rId131" w:anchor="ref-15">
        <w:r w:rsidRPr="4B973773">
          <w:rPr>
            <w:rStyle w:val="Hyperlink"/>
            <w:rFonts w:ascii="Times New Roman" w:eastAsia="Times New Roman" w:hAnsi="Times New Roman" w:cs="Times New Roman"/>
            <w:bCs/>
            <w:color w:val="2A6EBB"/>
            <w:sz w:val="16"/>
            <w:szCs w:val="16"/>
          </w:rPr>
          <w:t>15</w:t>
        </w:r>
      </w:hyperlink>
      <w:r w:rsidRPr="4B973773">
        <w:rPr>
          <w:rFonts w:ascii="Times New Roman" w:eastAsia="Times New Roman" w:hAnsi="Times New Roman" w:cs="Times New Roman"/>
          <w:color w:val="333333"/>
          <w:sz w:val="16"/>
          <w:szCs w:val="16"/>
        </w:rPr>
        <w:t xml:space="preserve"> </w:t>
      </w:r>
      <w:hyperlink r:id="rId132" w:anchor="ref-16">
        <w:r w:rsidRPr="4B973773">
          <w:rPr>
            <w:rStyle w:val="Hyperlink"/>
            <w:rFonts w:ascii="Times New Roman" w:eastAsia="Times New Roman" w:hAnsi="Times New Roman" w:cs="Times New Roman"/>
            <w:bCs/>
            <w:color w:val="2A6EBB"/>
            <w:sz w:val="16"/>
            <w:szCs w:val="16"/>
          </w:rPr>
          <w:t>16</w:t>
        </w:r>
      </w:hyperlink>
      <w:r w:rsidRPr="4B973773">
        <w:rPr>
          <w:rFonts w:ascii="Times New Roman" w:eastAsia="Times New Roman" w:hAnsi="Times New Roman" w:cs="Times New Roman"/>
          <w:color w:val="333333"/>
          <w:sz w:val="16"/>
          <w:szCs w:val="16"/>
        </w:rPr>
        <w:t xml:space="preserve"> Enforcement of these criminal sanctions has been shown to create “tolerance zones” in outlying and isolated public spaces that are then subject to police crackdowns and unwritten rules of engagement between police, clients, and sex workers. </w:t>
      </w:r>
      <w:r w:rsidRPr="4B973773">
        <w:rPr>
          <w:rFonts w:ascii="Times New Roman" w:eastAsia="Times New Roman" w:hAnsi="Times New Roman" w:cs="Times New Roman"/>
          <w:color w:val="333333"/>
          <w:sz w:val="24"/>
          <w:szCs w:val="24"/>
          <w:u w:val="single"/>
        </w:rPr>
        <w:t xml:space="preserve">Importantly, a growing body of qualitative evidence has documented the adverse impact of </w:t>
      </w:r>
      <w:r w:rsidRPr="4B973773">
        <w:rPr>
          <w:rFonts w:ascii="Times New Roman" w:eastAsia="Times New Roman" w:hAnsi="Times New Roman" w:cs="Times New Roman"/>
          <w:b/>
          <w:bCs/>
          <w:color w:val="333333"/>
          <w:sz w:val="24"/>
          <w:szCs w:val="24"/>
          <w:u w:val="single"/>
        </w:rPr>
        <w:t>street policing strategies</w:t>
      </w:r>
      <w:r w:rsidRPr="4B973773">
        <w:rPr>
          <w:rFonts w:ascii="Times New Roman" w:eastAsia="Times New Roman" w:hAnsi="Times New Roman" w:cs="Times New Roman"/>
          <w:color w:val="333333"/>
          <w:sz w:val="24"/>
          <w:szCs w:val="24"/>
          <w:u w:val="single"/>
        </w:rPr>
        <w:t xml:space="preserve"> on the health and safety of female sex workers</w:t>
      </w:r>
      <w:hyperlink r:id="rId133" w:anchor="ref-17">
        <w:r w:rsidRPr="4B973773">
          <w:rPr>
            <w:rStyle w:val="Hyperlink"/>
            <w:rFonts w:ascii="Times New Roman" w:eastAsia="Times New Roman" w:hAnsi="Times New Roman" w:cs="Times New Roman"/>
            <w:bCs/>
            <w:color w:val="2A6EBB"/>
            <w:sz w:val="24"/>
            <w:szCs w:val="24"/>
          </w:rPr>
          <w:t>17</w:t>
        </w:r>
      </w:hyperlink>
      <w:r w:rsidRPr="4B973773">
        <w:rPr>
          <w:rFonts w:ascii="Times New Roman" w:eastAsia="Times New Roman" w:hAnsi="Times New Roman" w:cs="Times New Roman"/>
          <w:color w:val="333333"/>
          <w:sz w:val="24"/>
          <w:szCs w:val="24"/>
          <w:u w:val="single"/>
        </w:rPr>
        <w:t xml:space="preserve"> </w:t>
      </w:r>
      <w:hyperlink r:id="rId134" w:anchor="ref-18">
        <w:r w:rsidRPr="4B973773">
          <w:rPr>
            <w:rStyle w:val="Hyperlink"/>
            <w:rFonts w:ascii="Times New Roman" w:eastAsia="Times New Roman" w:hAnsi="Times New Roman" w:cs="Times New Roman"/>
            <w:bCs/>
            <w:color w:val="2A6EBB"/>
            <w:sz w:val="16"/>
            <w:szCs w:val="16"/>
          </w:rPr>
          <w:t>18</w:t>
        </w:r>
      </w:hyperlink>
      <w:r w:rsidRPr="4B973773">
        <w:rPr>
          <w:rFonts w:ascii="Times New Roman" w:eastAsia="Times New Roman" w:hAnsi="Times New Roman" w:cs="Times New Roman"/>
          <w:color w:val="333333"/>
          <w:sz w:val="16"/>
          <w:szCs w:val="16"/>
        </w:rPr>
        <w:t xml:space="preserve"> </w:t>
      </w:r>
      <w:hyperlink r:id="rId135" w:anchor="ref-19">
        <w:r w:rsidRPr="4B973773">
          <w:rPr>
            <w:rStyle w:val="Hyperlink"/>
            <w:rFonts w:ascii="Times New Roman" w:eastAsia="Times New Roman" w:hAnsi="Times New Roman" w:cs="Times New Roman"/>
            <w:bCs/>
            <w:color w:val="2A6EBB"/>
            <w:sz w:val="16"/>
            <w:szCs w:val="16"/>
          </w:rPr>
          <w:t>19</w:t>
        </w:r>
      </w:hyperlink>
      <w:r w:rsidRPr="4B973773">
        <w:rPr>
          <w:rFonts w:ascii="Times New Roman" w:eastAsia="Times New Roman" w:hAnsi="Times New Roman" w:cs="Times New Roman"/>
          <w:color w:val="333333"/>
          <w:sz w:val="16"/>
          <w:szCs w:val="16"/>
        </w:rPr>
        <w:t xml:space="preserve"> </w:t>
      </w:r>
      <w:hyperlink r:id="rId136" w:anchor="ref-20">
        <w:r w:rsidRPr="4B973773">
          <w:rPr>
            <w:rStyle w:val="Hyperlink"/>
            <w:rFonts w:ascii="Times New Roman" w:eastAsia="Times New Roman" w:hAnsi="Times New Roman" w:cs="Times New Roman"/>
            <w:bCs/>
            <w:color w:val="2A6EBB"/>
            <w:sz w:val="16"/>
            <w:szCs w:val="16"/>
          </w:rPr>
          <w:t>20</w:t>
        </w:r>
      </w:hyperlink>
      <w:r w:rsidRPr="4B973773">
        <w:rPr>
          <w:rFonts w:ascii="Times New Roman" w:eastAsia="Times New Roman" w:hAnsi="Times New Roman" w:cs="Times New Roman"/>
          <w:color w:val="333333"/>
          <w:sz w:val="16"/>
          <w:szCs w:val="16"/>
        </w:rPr>
        <w:t xml:space="preserve"> </w:t>
      </w:r>
      <w:hyperlink r:id="rId137" w:anchor="ref-21">
        <w:r w:rsidRPr="4B973773">
          <w:rPr>
            <w:rStyle w:val="Hyperlink"/>
            <w:rFonts w:ascii="Times New Roman" w:eastAsia="Times New Roman" w:hAnsi="Times New Roman" w:cs="Times New Roman"/>
            <w:bCs/>
            <w:color w:val="2A6EBB"/>
            <w:sz w:val="16"/>
            <w:szCs w:val="16"/>
          </w:rPr>
          <w:t>21</w:t>
        </w:r>
      </w:hyperlink>
      <w:r w:rsidRPr="4B973773">
        <w:rPr>
          <w:rFonts w:ascii="Times New Roman" w:eastAsia="Times New Roman" w:hAnsi="Times New Roman" w:cs="Times New Roman"/>
          <w:color w:val="333333"/>
          <w:sz w:val="16"/>
          <w:szCs w:val="16"/>
        </w:rPr>
        <w:t>; and yet, there has been no empirical investigation to date evaluating the relationship of criminalisation and enforcement based policing strategies with the likelihood of violence against female sex workers.</w:t>
      </w:r>
    </w:p>
    <w:p w14:paraId="7452659F" w14:textId="77777777" w:rsidR="001C4F5D" w:rsidRDefault="001C4F5D" w:rsidP="001C4F5D">
      <w:r w:rsidRPr="4B973773">
        <w:rPr>
          <w:rFonts w:ascii="Times New Roman" w:eastAsia="Times New Roman" w:hAnsi="Times New Roman" w:cs="Times New Roman"/>
          <w:color w:val="333333"/>
          <w:sz w:val="16"/>
          <w:szCs w:val="16"/>
        </w:rPr>
        <w:t>In Canada over the past two decades,</w:t>
      </w:r>
      <w:r w:rsidRPr="4B973773">
        <w:rPr>
          <w:rFonts w:ascii="Times New Roman" w:eastAsia="Times New Roman" w:hAnsi="Times New Roman" w:cs="Times New Roman"/>
          <w:color w:val="333333"/>
          <w:sz w:val="24"/>
          <w:szCs w:val="24"/>
          <w:u w:val="single"/>
        </w:rPr>
        <w:t xml:space="preserve"> urban centres have experienced </w:t>
      </w:r>
      <w:r w:rsidRPr="4B973773">
        <w:rPr>
          <w:rFonts w:ascii="Times New Roman" w:eastAsia="Times New Roman" w:hAnsi="Times New Roman" w:cs="Times New Roman"/>
          <w:b/>
          <w:bCs/>
          <w:color w:val="333333"/>
          <w:sz w:val="24"/>
          <w:szCs w:val="24"/>
          <w:u w:val="single"/>
        </w:rPr>
        <w:t xml:space="preserve">epidemics of violence </w:t>
      </w:r>
      <w:r w:rsidRPr="4B973773">
        <w:rPr>
          <w:rFonts w:ascii="Times New Roman" w:eastAsia="Times New Roman" w:hAnsi="Times New Roman" w:cs="Times New Roman"/>
          <w:color w:val="333333"/>
          <w:sz w:val="24"/>
          <w:szCs w:val="24"/>
          <w:u w:val="single"/>
        </w:rPr>
        <w:t>against street based female sex workers that have been posited to coincide with prohibitive policy changes and enforcement based strategies, such as police crackdowns</w:t>
      </w:r>
      <w:r w:rsidRPr="4B973773">
        <w:rPr>
          <w:rFonts w:ascii="Times New Roman" w:eastAsia="Times New Roman" w:hAnsi="Times New Roman" w:cs="Times New Roman"/>
          <w:color w:val="333333"/>
          <w:sz w:val="16"/>
          <w:szCs w:val="16"/>
        </w:rPr>
        <w:t>.</w:t>
      </w:r>
      <w:hyperlink r:id="rId138" w:anchor="ref-13">
        <w:r w:rsidRPr="4B973773">
          <w:rPr>
            <w:rStyle w:val="Hyperlink"/>
            <w:rFonts w:ascii="Times New Roman" w:eastAsia="Times New Roman" w:hAnsi="Times New Roman" w:cs="Times New Roman"/>
            <w:bCs/>
            <w:color w:val="2A6EBB"/>
            <w:sz w:val="16"/>
            <w:szCs w:val="16"/>
          </w:rPr>
          <w:t>13</w:t>
        </w:r>
      </w:hyperlink>
      <w:r w:rsidRPr="4B973773">
        <w:rPr>
          <w:rFonts w:ascii="Times New Roman" w:eastAsia="Times New Roman" w:hAnsi="Times New Roman" w:cs="Times New Roman"/>
          <w:color w:val="333333"/>
          <w:sz w:val="16"/>
          <w:szCs w:val="16"/>
        </w:rPr>
        <w:t xml:space="preserve"> </w:t>
      </w:r>
      <w:hyperlink r:id="rId139" w:anchor="ref-14">
        <w:r w:rsidRPr="4B973773">
          <w:rPr>
            <w:rStyle w:val="Hyperlink"/>
            <w:rFonts w:ascii="Times New Roman" w:eastAsia="Times New Roman" w:hAnsi="Times New Roman" w:cs="Times New Roman"/>
            <w:bCs/>
            <w:color w:val="2A6EBB"/>
            <w:sz w:val="16"/>
            <w:szCs w:val="16"/>
          </w:rPr>
          <w:t>14</w:t>
        </w:r>
      </w:hyperlink>
      <w:r w:rsidRPr="4B973773">
        <w:rPr>
          <w:rFonts w:ascii="Times New Roman" w:eastAsia="Times New Roman" w:hAnsi="Times New Roman" w:cs="Times New Roman"/>
          <w:color w:val="333333"/>
          <w:sz w:val="16"/>
          <w:szCs w:val="16"/>
        </w:rPr>
        <w:t xml:space="preserve"> </w:t>
      </w:r>
      <w:hyperlink r:id="rId140" w:anchor="ref-15">
        <w:r w:rsidRPr="4B973773">
          <w:rPr>
            <w:rStyle w:val="Hyperlink"/>
            <w:rFonts w:ascii="Times New Roman" w:eastAsia="Times New Roman" w:hAnsi="Times New Roman" w:cs="Times New Roman"/>
            <w:bCs/>
            <w:color w:val="2A6EBB"/>
            <w:sz w:val="16"/>
            <w:szCs w:val="16"/>
          </w:rPr>
          <w:t>15</w:t>
        </w:r>
      </w:hyperlink>
      <w:r w:rsidRPr="4B973773">
        <w:rPr>
          <w:rFonts w:ascii="Times New Roman" w:eastAsia="Times New Roman" w:hAnsi="Times New Roman" w:cs="Times New Roman"/>
          <w:color w:val="333333"/>
          <w:sz w:val="16"/>
          <w:szCs w:val="16"/>
        </w:rPr>
        <w:t xml:space="preserve"> A study in Vancouver, British Columbia, of </w:t>
      </w:r>
      <w:r w:rsidRPr="4B973773">
        <w:rPr>
          <w:rFonts w:ascii="Times New Roman" w:eastAsia="Times New Roman" w:hAnsi="Times New Roman" w:cs="Times New Roman"/>
          <w:color w:val="333333"/>
          <w:sz w:val="16"/>
          <w:szCs w:val="16"/>
        </w:rPr>
        <w:lastRenderedPageBreak/>
        <w:t>women who used injection drugs between 1996 and 2002, the majority of whom were in street based work, showed a 47-fold higher likelihood of mortality in this group compared with an age matched sample of the general population, with homicide being the most common cause of death.</w:t>
      </w:r>
      <w:hyperlink r:id="rId141" w:anchor="ref-22">
        <w:r w:rsidRPr="4B973773">
          <w:rPr>
            <w:rStyle w:val="Hyperlink"/>
            <w:rFonts w:ascii="Times New Roman" w:eastAsia="Times New Roman" w:hAnsi="Times New Roman" w:cs="Times New Roman"/>
            <w:bCs/>
            <w:color w:val="2A6EBB"/>
            <w:sz w:val="16"/>
            <w:szCs w:val="16"/>
          </w:rPr>
          <w:t>22</w:t>
        </w:r>
      </w:hyperlink>
      <w:r w:rsidRPr="4B973773">
        <w:rPr>
          <w:rFonts w:ascii="Times New Roman" w:eastAsia="Times New Roman" w:hAnsi="Times New Roman" w:cs="Times New Roman"/>
          <w:color w:val="333333"/>
          <w:sz w:val="16"/>
          <w:szCs w:val="16"/>
        </w:rPr>
        <w:t xml:space="preserve"> Widespread scrutiny over the</w:t>
      </w:r>
      <w:r w:rsidRPr="4B973773">
        <w:rPr>
          <w:rFonts w:ascii="Times New Roman" w:eastAsia="Times New Roman" w:hAnsi="Times New Roman" w:cs="Times New Roman"/>
          <w:color w:val="333333"/>
          <w:sz w:val="16"/>
          <w:szCs w:val="16"/>
          <w:u w:val="single"/>
        </w:rPr>
        <w:t xml:space="preserve"> </w:t>
      </w:r>
      <w:r w:rsidRPr="4B973773">
        <w:rPr>
          <w:rFonts w:ascii="Times New Roman" w:eastAsia="Times New Roman" w:hAnsi="Times New Roman" w:cs="Times New Roman"/>
          <w:color w:val="333333"/>
          <w:sz w:val="24"/>
          <w:szCs w:val="24"/>
          <w:u w:val="single"/>
        </w:rPr>
        <w:t>delayed response by police and the judicial system to the deaths of female sex workers led to an extensive police investigation of over 69 women missing from the streets of Vancouver</w:t>
      </w:r>
      <w:r w:rsidRPr="4B973773">
        <w:rPr>
          <w:rFonts w:ascii="Times New Roman" w:eastAsia="Times New Roman" w:hAnsi="Times New Roman" w:cs="Times New Roman"/>
          <w:color w:val="333333"/>
          <w:sz w:val="24"/>
          <w:szCs w:val="24"/>
        </w:rPr>
        <w:t xml:space="preserve"> </w:t>
      </w:r>
      <w:r w:rsidRPr="4B973773">
        <w:rPr>
          <w:rFonts w:ascii="Times New Roman" w:eastAsia="Times New Roman" w:hAnsi="Times New Roman" w:cs="Times New Roman"/>
          <w:color w:val="333333"/>
          <w:sz w:val="16"/>
          <w:szCs w:val="16"/>
        </w:rPr>
        <w:t>and the inception of the Missing Women’s Task Force in 1999, which was estimated to have cost more than $C116 million (£65 million; €75 million; $107 million) by the end of 2007.</w:t>
      </w:r>
      <w:hyperlink r:id="rId142" w:anchor="ref-23">
        <w:r w:rsidRPr="4B973773">
          <w:rPr>
            <w:rStyle w:val="Hyperlink"/>
            <w:rFonts w:ascii="Times New Roman" w:eastAsia="Times New Roman" w:hAnsi="Times New Roman" w:cs="Times New Roman"/>
            <w:bCs/>
            <w:color w:val="2A6EBB"/>
            <w:sz w:val="16"/>
            <w:szCs w:val="16"/>
          </w:rPr>
          <w:t>23</w:t>
        </w:r>
      </w:hyperlink>
    </w:p>
    <w:p w14:paraId="18117515" w14:textId="77777777" w:rsidR="001C4F5D" w:rsidRDefault="001C4F5D" w:rsidP="001C4F5D">
      <w:r w:rsidRPr="4B973773">
        <w:rPr>
          <w:rFonts w:ascii="Times New Roman" w:eastAsia="Times New Roman" w:hAnsi="Times New Roman" w:cs="Times New Roman"/>
          <w:color w:val="333333"/>
          <w:sz w:val="16"/>
          <w:szCs w:val="16"/>
        </w:rPr>
        <w:t>This study aims to identify the prevalence and structural correlates of violence against female sex workers by using longitudinal data derived from a prospective cohort of street based female sex workers in Vancouver, Canada. Given that sexual and physical violence have been shown to be conceptually different,</w:t>
      </w:r>
      <w:hyperlink r:id="rId143" w:anchor="ref-6">
        <w:r w:rsidRPr="4B973773">
          <w:rPr>
            <w:rStyle w:val="Hyperlink"/>
            <w:rFonts w:ascii="Times New Roman" w:eastAsia="Times New Roman" w:hAnsi="Times New Roman" w:cs="Times New Roman"/>
            <w:bCs/>
            <w:color w:val="2A6EBB"/>
            <w:sz w:val="16"/>
            <w:szCs w:val="16"/>
          </w:rPr>
          <w:t>6</w:t>
        </w:r>
      </w:hyperlink>
      <w:r w:rsidRPr="4B973773">
        <w:rPr>
          <w:rFonts w:ascii="Times New Roman" w:eastAsia="Times New Roman" w:hAnsi="Times New Roman" w:cs="Times New Roman"/>
          <w:color w:val="333333"/>
          <w:sz w:val="16"/>
          <w:szCs w:val="16"/>
        </w:rPr>
        <w:t xml:space="preserve"> we further hypothesised that client perpetrated violence would be conceptually unique owing to the specific context of a sexual transaction; therefore, three separate violence experiences—physical, sexual, and client perpetrated—were modelled separately.</w:t>
      </w:r>
    </w:p>
    <w:p w14:paraId="594CB554" w14:textId="77777777" w:rsidR="001C4F5D" w:rsidRPr="001C4F5D" w:rsidRDefault="001C4F5D" w:rsidP="001C4F5D"/>
    <w:p w14:paraId="31A35110" w14:textId="77777777" w:rsidR="00B87E81" w:rsidRPr="0041399D" w:rsidRDefault="00B87E81" w:rsidP="00B87E81">
      <w:pPr>
        <w:pStyle w:val="Heading3"/>
      </w:pPr>
      <w:r w:rsidRPr="0041399D">
        <w:lastRenderedPageBreak/>
        <w:t>1NC Util</w:t>
      </w:r>
    </w:p>
    <w:p w14:paraId="6169A23C" w14:textId="77777777" w:rsidR="00B87E81" w:rsidRPr="0041399D" w:rsidRDefault="00B87E81" w:rsidP="00B87E81">
      <w:pPr>
        <w:pStyle w:val="Heading4"/>
        <w:rPr>
          <w:rFonts w:eastAsia="Calibri"/>
        </w:rPr>
      </w:pPr>
      <w:bookmarkStart w:id="1" w:name="_Toc252481795"/>
      <w:r w:rsidRPr="0041399D">
        <w:rPr>
          <w:rFonts w:eastAsia="Calibri"/>
        </w:rPr>
        <w:t>Extinction first</w:t>
      </w:r>
    </w:p>
    <w:p w14:paraId="2C81C651" w14:textId="77777777" w:rsidR="00B87E81" w:rsidRPr="0041399D" w:rsidRDefault="00B87E81" w:rsidP="00B87E81">
      <w:pPr>
        <w:rPr>
          <w:rStyle w:val="Style13ptBold"/>
        </w:rPr>
      </w:pPr>
      <w:r w:rsidRPr="0041399D">
        <w:rPr>
          <w:rStyle w:val="Style13ptBold"/>
        </w:rPr>
        <w:t>Cummisky, 96</w:t>
      </w:r>
    </w:p>
    <w:p w14:paraId="09A1E832" w14:textId="77777777" w:rsidR="00B87E81" w:rsidRPr="0041399D" w:rsidRDefault="00B87E81" w:rsidP="00B87E81">
      <w:r w:rsidRPr="0041399D">
        <w:t>(David, professor of philosophy at Bates College, Kantian Consequentialism, pg. 145</w:t>
      </w:r>
      <w:bookmarkEnd w:id="1"/>
      <w:r w:rsidRPr="0041399D">
        <w:t>//shree)</w:t>
      </w:r>
    </w:p>
    <w:p w14:paraId="235586AE" w14:textId="77777777" w:rsidR="00B87E81" w:rsidRPr="0041399D" w:rsidRDefault="00B87E81" w:rsidP="00B87E81">
      <w:pPr>
        <w:rPr>
          <w:sz w:val="14"/>
        </w:rPr>
      </w:pPr>
      <w:r w:rsidRPr="0041399D">
        <w:rPr>
          <w:rStyle w:val="StyleUnderline"/>
        </w:rPr>
        <w:t xml:space="preserve">We must not </w:t>
      </w:r>
      <w:r w:rsidRPr="0041399D">
        <w:rPr>
          <w:sz w:val="14"/>
        </w:rPr>
        <w:t>obscure the issue by characterizing this type of case as the</w:t>
      </w:r>
      <w:r w:rsidRPr="0041399D">
        <w:rPr>
          <w:rStyle w:val="StyleUnderline"/>
        </w:rPr>
        <w:t xml:space="preserve"> sacrifice </w:t>
      </w:r>
      <w:r w:rsidRPr="0041399D">
        <w:rPr>
          <w:sz w:val="14"/>
        </w:rPr>
        <w:t>of</w:t>
      </w:r>
      <w:r w:rsidRPr="0041399D">
        <w:rPr>
          <w:rStyle w:val="StyleUnderline"/>
        </w:rPr>
        <w:t xml:space="preserve"> individuals for some </w:t>
      </w:r>
      <w:r w:rsidRPr="0041399D">
        <w:rPr>
          <w:sz w:val="14"/>
        </w:rPr>
        <w:t>abstract “social entity.” It is not a question of some persons having to bear the cost for some elusive “</w:t>
      </w:r>
      <w:r w:rsidRPr="0041399D">
        <w:rPr>
          <w:rStyle w:val="StyleUnderline"/>
        </w:rPr>
        <w:t xml:space="preserve">overall </w:t>
      </w:r>
      <w:r w:rsidRPr="0041399D">
        <w:rPr>
          <w:sz w:val="14"/>
        </w:rPr>
        <w:t>social</w:t>
      </w:r>
      <w:r w:rsidRPr="0041399D">
        <w:rPr>
          <w:rStyle w:val="StyleUnderline"/>
        </w:rPr>
        <w:t xml:space="preserve"> good.”  </w:t>
      </w:r>
      <w:r w:rsidRPr="0041399D">
        <w:rPr>
          <w:sz w:val="14"/>
        </w:rPr>
        <w:t>Instead, the question is whether some persons must bear the inescapable cost for the sake of other persons.  Robert Nozick, for example, argues that to use a person in this way does not sufficiently respect and take account of the fact that he is a separate person, that his is the only life he has.”  But why is this not equally true of all those whom we do not save through our failure to act?</w:t>
      </w:r>
      <w:r w:rsidRPr="0041399D">
        <w:rPr>
          <w:rStyle w:val="StyleUnderline"/>
        </w:rPr>
        <w:t xml:space="preserve">  By emphasizing solely the one who must bear the cost if we act, we fail to </w:t>
      </w:r>
      <w:r w:rsidRPr="0041399D">
        <w:rPr>
          <w:sz w:val="14"/>
        </w:rPr>
        <w:t>sufficiently respect and</w:t>
      </w:r>
      <w:r w:rsidRPr="0041399D">
        <w:rPr>
          <w:rStyle w:val="StyleUnderline"/>
        </w:rPr>
        <w:t xml:space="preserve"> take account of the </w:t>
      </w:r>
      <w:r w:rsidRPr="0041399D">
        <w:rPr>
          <w:sz w:val="14"/>
        </w:rPr>
        <w:t xml:space="preserve">many </w:t>
      </w:r>
      <w:r w:rsidRPr="0041399D">
        <w:rPr>
          <w:rStyle w:val="StyleUnderline"/>
        </w:rPr>
        <w:t xml:space="preserve">other </w:t>
      </w:r>
      <w:r w:rsidRPr="0041399D">
        <w:rPr>
          <w:sz w:val="14"/>
        </w:rPr>
        <w:t>separate</w:t>
      </w:r>
      <w:r w:rsidRPr="0041399D">
        <w:rPr>
          <w:rStyle w:val="StyleUnderline"/>
        </w:rPr>
        <w:t xml:space="preserve"> persons, each with only one life, who will bear the cost of our inaction.</w:t>
      </w:r>
      <w:r w:rsidRPr="0041399D">
        <w:rPr>
          <w:rFonts w:eastAsia="Calibri" w:cs="Arial"/>
          <w:sz w:val="14"/>
          <w:szCs w:val="20"/>
        </w:rPr>
        <w:t xml:space="preserve">  In such a situation, what would a conscientious Kantian agent, an agent motivated by the unconditional value of rational beings, choose?  A morally good agent recognizes that the basis of all particular duties is the principle that “rational nature exists as an end in itself” (GMM 429).  Rational nature as such is the supreme objective end of all conduct</w:t>
      </w:r>
      <w:r w:rsidRPr="0041399D">
        <w:rPr>
          <w:sz w:val="14"/>
        </w:rPr>
        <w:t>.  If one truly believes that all rational beings have an equal value, then</w:t>
      </w:r>
      <w:r w:rsidRPr="0041399D">
        <w:rPr>
          <w:rStyle w:val="StyleUnderline"/>
        </w:rPr>
        <w:t xml:space="preserve"> the </w:t>
      </w:r>
      <w:r w:rsidRPr="0041399D">
        <w:rPr>
          <w:sz w:val="14"/>
        </w:rPr>
        <w:t>rational</w:t>
      </w:r>
      <w:r w:rsidRPr="0041399D">
        <w:rPr>
          <w:rStyle w:val="StyleUnderline"/>
        </w:rPr>
        <w:t xml:space="preserve"> solution to such a dilemma involves maximally promoting the lives and liberties of as many </w:t>
      </w:r>
      <w:r w:rsidRPr="0041399D">
        <w:rPr>
          <w:sz w:val="14"/>
        </w:rPr>
        <w:t>rational</w:t>
      </w:r>
      <w:r w:rsidRPr="0041399D">
        <w:rPr>
          <w:rStyle w:val="StyleUnderline"/>
        </w:rPr>
        <w:t xml:space="preserve"> beings as possible</w:t>
      </w:r>
      <w:r w:rsidRPr="0041399D">
        <w:rPr>
          <w:rFonts w:eastAsia="Calibri" w:cs="Arial"/>
          <w:sz w:val="14"/>
          <w:szCs w:val="20"/>
        </w:rPr>
        <w:t xml:space="preserve"> (chapter 5).  In order to avoid this conclusion, the non-consequentialist Kantian needs to justify agent-centered constraints.  As we saw in chapter 1, however, even most Kantian deontologists recognize that </w:t>
      </w:r>
      <w:r w:rsidRPr="0041399D">
        <w:rPr>
          <w:sz w:val="14"/>
        </w:rPr>
        <w:t>agent-centered</w:t>
      </w:r>
      <w:r w:rsidRPr="0041399D">
        <w:rPr>
          <w:rStyle w:val="StyleUnderline"/>
        </w:rPr>
        <w:t xml:space="preserve"> constraints require a non-value-based rationale.</w:t>
      </w:r>
      <w:r w:rsidRPr="0041399D">
        <w:rPr>
          <w:rFonts w:eastAsia="Calibri" w:cs="Arial"/>
          <w:sz w:val="14"/>
          <w:szCs w:val="20"/>
        </w:rPr>
        <w:t xml:space="preserv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w:t>
      </w:r>
      <w:r w:rsidRPr="0041399D">
        <w:rPr>
          <w:sz w:val="14"/>
        </w:rPr>
        <w:t>maximally promoting these two tiers of value?  If I sacrifice some for the sake for others, I do not use them arbitrarily, and I do not deny the unconditional value of rational beings.</w:t>
      </w:r>
      <w:r w:rsidRPr="0041399D">
        <w:rPr>
          <w:rStyle w:val="StyleUnderline"/>
        </w:rPr>
        <w:t xml:space="preserve">  Persons </w:t>
      </w:r>
      <w:r w:rsidRPr="0041399D">
        <w:rPr>
          <w:sz w:val="14"/>
        </w:rPr>
        <w:t>may</w:t>
      </w:r>
      <w:r w:rsidRPr="0041399D">
        <w:rPr>
          <w:rStyle w:val="StyleUnderline"/>
        </w:rPr>
        <w:t xml:space="preserve"> have “dignity, </w:t>
      </w:r>
      <w:r w:rsidRPr="0041399D">
        <w:rPr>
          <w:sz w:val="14"/>
        </w:rPr>
        <w:t>that is, an unconditional and incomparable worth”</w:t>
      </w:r>
      <w:r w:rsidRPr="0041399D">
        <w:rPr>
          <w:rStyle w:val="StyleUnderline"/>
        </w:rPr>
        <w:t xml:space="preserve"> that transcends any </w:t>
      </w:r>
      <w:r w:rsidRPr="0041399D">
        <w:rPr>
          <w:sz w:val="14"/>
        </w:rPr>
        <w:t>market</w:t>
      </w:r>
      <w:r w:rsidRPr="0041399D">
        <w:rPr>
          <w:rStyle w:val="StyleUnderline"/>
        </w:rPr>
        <w:t xml:space="preserve"> value</w:t>
      </w:r>
      <w:r w:rsidRPr="0041399D">
        <w:rPr>
          <w:rFonts w:eastAsia="Calibri" w:cs="Arial"/>
          <w:sz w:val="14"/>
          <w:szCs w:val="20"/>
        </w:rPr>
        <w:t xml:space="preserve">( GMM </w:t>
      </w:r>
      <w:r w:rsidRPr="0041399D">
        <w:rPr>
          <w:sz w:val="14"/>
        </w:rPr>
        <w:t xml:space="preserve">436)., but persons also have a fundamental equality that dictates that some must sometimes give way for the sake of others (chapter 5 and 7).  The concept of the end-in-itself does not support th view that we may never force another to bear some cost in order to benefit others.  If one focuses on the equal value of all rational beings, the equal consideration suggests that </w:t>
      </w:r>
      <w:r w:rsidRPr="0041399D">
        <w:rPr>
          <w:rStyle w:val="StyleUnderline"/>
        </w:rPr>
        <w:t>one may have to sacrifice some to save many</w:t>
      </w:r>
      <w:r w:rsidRPr="0041399D">
        <w:rPr>
          <w:sz w:val="14"/>
        </w:rPr>
        <w:t>.</w:t>
      </w:r>
    </w:p>
    <w:p w14:paraId="281B128C" w14:textId="77777777" w:rsidR="00B87E81" w:rsidRPr="0041399D" w:rsidRDefault="00B87E81" w:rsidP="00B87E81"/>
    <w:p w14:paraId="6721A0B4" w14:textId="6A504704" w:rsidR="00A95652" w:rsidRDefault="00F67F61" w:rsidP="00F67F61">
      <w:pPr>
        <w:pStyle w:val="Heading1"/>
      </w:pPr>
      <w:r>
        <w:lastRenderedPageBreak/>
        <w:t>Off Case</w:t>
      </w:r>
    </w:p>
    <w:p w14:paraId="24C15645" w14:textId="6AA65096" w:rsidR="00F67F61" w:rsidRDefault="00F67F61" w:rsidP="00F67F61">
      <w:pPr>
        <w:pStyle w:val="Heading2"/>
      </w:pPr>
      <w:r>
        <w:lastRenderedPageBreak/>
        <w:t>Abolition</w:t>
      </w:r>
    </w:p>
    <w:p w14:paraId="096E6AC7" w14:textId="25480B67" w:rsidR="00F67F61" w:rsidRDefault="00F67F61" w:rsidP="00F67F61"/>
    <w:p w14:paraId="57EA46AF" w14:textId="16F33F91" w:rsidR="00F67F61" w:rsidRDefault="00F67F61" w:rsidP="00F67F61">
      <w:pPr>
        <w:pStyle w:val="Heading4"/>
      </w:pPr>
      <w:r>
        <w:t>Only abolition solves abuse of sex workers- Police abuse and other legal codes</w:t>
      </w:r>
    </w:p>
    <w:p w14:paraId="36599223" w14:textId="77777777" w:rsidR="00F67F61" w:rsidRDefault="00F67F61" w:rsidP="00F67F61">
      <w:pPr>
        <w:rPr>
          <w:sz w:val="18"/>
          <w:szCs w:val="18"/>
        </w:rPr>
      </w:pPr>
      <w:r w:rsidRPr="0028738F">
        <w:rPr>
          <w:sz w:val="18"/>
          <w:szCs w:val="18"/>
        </w:rPr>
        <w:t xml:space="preserve">Alexandra </w:t>
      </w:r>
      <w:r w:rsidRPr="0028738F">
        <w:rPr>
          <w:b/>
          <w:bCs/>
          <w:sz w:val="24"/>
          <w:szCs w:val="24"/>
        </w:rPr>
        <w:t>Lutnick and</w:t>
      </w:r>
      <w:r w:rsidRPr="0028738F">
        <w:rPr>
          <w:sz w:val="18"/>
          <w:szCs w:val="18"/>
        </w:rPr>
        <w:t xml:space="preserve"> Debora </w:t>
      </w:r>
      <w:r w:rsidRPr="0028738F">
        <w:rPr>
          <w:b/>
          <w:bCs/>
          <w:sz w:val="24"/>
          <w:szCs w:val="24"/>
        </w:rPr>
        <w:t>Cohan</w:t>
      </w:r>
      <w:r w:rsidRPr="0028738F">
        <w:t>,</w:t>
      </w:r>
      <w:r>
        <w:t xml:space="preserve"> 20</w:t>
      </w:r>
      <w:r w:rsidRPr="0028738F">
        <w:rPr>
          <w:b/>
          <w:bCs/>
        </w:rPr>
        <w:t>09</w:t>
      </w:r>
      <w:r>
        <w:t>,</w:t>
      </w:r>
      <w:r>
        <w:rPr>
          <w:sz w:val="18"/>
          <w:szCs w:val="18"/>
        </w:rPr>
        <w:t xml:space="preserve"> Alexandra Lutnick is a public health analyst and Debora Cohan is an Associate professor at the Department of Obstetrics, Gynecology, and Reproductive sciences at UC-SF,</w:t>
      </w:r>
      <w:r w:rsidRPr="0028738F">
        <w:t xml:space="preserve"> </w:t>
      </w:r>
      <w:r w:rsidRPr="0028738F">
        <w:rPr>
          <w:sz w:val="18"/>
          <w:szCs w:val="18"/>
        </w:rPr>
        <w:t>Taylor and Francis online</w:t>
      </w:r>
      <w:r w:rsidRPr="0028738F">
        <w:t xml:space="preserve">, </w:t>
      </w:r>
      <w:r w:rsidRPr="0028738F">
        <w:rPr>
          <w:sz w:val="18"/>
          <w:szCs w:val="18"/>
        </w:rPr>
        <w:t>"Criminalization, legalization or decriminalization of sex work: what female sex workers say in San Francisco, USA"</w:t>
      </w:r>
      <w:r w:rsidRPr="0028738F">
        <w:t xml:space="preserve">, </w:t>
      </w:r>
      <w:hyperlink w:history="1">
        <w:r w:rsidRPr="00F67F61">
          <w:rPr>
            <w:rStyle w:val="Hyperlink"/>
          </w:rPr>
          <w:t>https://www.tandfonline.com/doi/full/10.1016/S0968-8080%2809%2934469-9</w:t>
        </w:r>
      </w:hyperlink>
    </w:p>
    <w:p w14:paraId="24FDA4B3" w14:textId="018DC209" w:rsidR="00F67F61" w:rsidRPr="00F67F61" w:rsidRDefault="00F67F61" w:rsidP="00F67F61">
      <w:pPr>
        <w:rPr>
          <w:sz w:val="18"/>
          <w:szCs w:val="18"/>
        </w:rPr>
      </w:pPr>
      <w:r w:rsidRPr="0028738F">
        <w:br/>
        <w:t xml:space="preserve">An argument frequently used against criminalization is </w:t>
      </w:r>
      <w:r w:rsidRPr="0028738F">
        <w:rPr>
          <w:b/>
          <w:bCs/>
          <w:u w:val="single"/>
        </w:rPr>
        <w:t>the rampant violence sex workers experience</w:t>
      </w:r>
      <w:r w:rsidRPr="0028738F">
        <w:t xml:space="preserve"> in criminalized setting</w:t>
      </w:r>
      <w:r>
        <w:t>.</w:t>
      </w:r>
      <w:r w:rsidRPr="0028738F">
        <w:t xml:space="preserve"> </w:t>
      </w:r>
      <w:r w:rsidRPr="0028738F">
        <w:rPr>
          <w:b/>
          <w:bCs/>
          <w:u w:val="single"/>
        </w:rPr>
        <w:t>Police abuse</w:t>
      </w:r>
      <w:r w:rsidRPr="0028738F">
        <w:t xml:space="preserve">, </w:t>
      </w:r>
      <w:r w:rsidRPr="0028738F">
        <w:rPr>
          <w:u w:val="single"/>
        </w:rPr>
        <w:t>such as sexual demands in lieu of arrest 19 23 and excessive use of physical force have been reported</w:t>
      </w:r>
      <w:r w:rsidRPr="0028738F">
        <w:t xml:space="preserve">, eg in Canada and the United States. </w:t>
      </w:r>
      <w:r w:rsidRPr="0028738F">
        <w:rPr>
          <w:b/>
          <w:bCs/>
          <w:u w:val="single"/>
        </w:rPr>
        <w:t xml:space="preserve">Most crimes against sex workers go unpunished, as most sex workers do not go to the police when they have been victimized. </w:t>
      </w:r>
      <w:r w:rsidRPr="0028738F">
        <w:t xml:space="preserve">Few papers address the risk of violence among female sex workers in San Francisco. In a cross-sectional study of 783 adults accessing health care at St. James Infirmary from 1999-2004, we found that 36.3% of the women experienced sex work-related violence, and 7.9% police violence. 24 Another study conducted in San Francisco in 1990-91 found that </w:t>
      </w:r>
      <w:r w:rsidRPr="00F67F61">
        <w:t>female sex workers, as compared to male and transgender workers, were at higher risk of rape and arrest for prostitution-related offenses</w:t>
      </w:r>
      <w:r w:rsidRPr="0028738F">
        <w:t xml:space="preserve">. 27Hay's article about police abuse of prostitutes in San Francisco acknowledges that </w:t>
      </w:r>
      <w:r w:rsidRPr="0028738F">
        <w:rPr>
          <w:b/>
          <w:bCs/>
          <w:u w:val="single"/>
        </w:rPr>
        <w:t>the most frequent type of police abuse reported by sex workers, the demand for sex in place of arrest</w:t>
      </w:r>
      <w:r w:rsidRPr="0028738F">
        <w:t xml:space="preserve">, is the hardest to verify. Many of the </w:t>
      </w:r>
      <w:r w:rsidRPr="00F67F61">
        <w:rPr>
          <w:rStyle w:val="StyleUnderline"/>
        </w:rPr>
        <w:t>women in that study reported not filing a complaint when abused by a police officer as they doubted it would result in any positive change.</w:t>
      </w:r>
      <w:r w:rsidRPr="0028738F">
        <w:t xml:space="preserve"> Hay sees </w:t>
      </w:r>
      <w:r w:rsidRPr="0028738F">
        <w:rPr>
          <w:b/>
          <w:bCs/>
          <w:u w:val="single"/>
        </w:rPr>
        <w:t xml:space="preserve">police abuse </w:t>
      </w:r>
      <w:r w:rsidRPr="0028738F">
        <w:rPr>
          <w:u w:val="single"/>
        </w:rPr>
        <w:t>as</w:t>
      </w:r>
      <w:r w:rsidRPr="0028738F">
        <w:rPr>
          <w:b/>
          <w:bCs/>
          <w:u w:val="single"/>
        </w:rPr>
        <w:t xml:space="preserve"> just another occupational hazard</w:t>
      </w:r>
      <w:r w:rsidRPr="0028738F">
        <w:t xml:space="preserve">, 19 but it is presumably one that could be challenged more readily if prostitution were decriminalized. </w:t>
      </w:r>
      <w:r w:rsidRPr="0028738F">
        <w:rPr>
          <w:b/>
          <w:bCs/>
          <w:u w:val="single"/>
        </w:rPr>
        <w:t>Even if sex work were to be decriminalized or legalized, many things might not change. If prostitution codes were removed, there are still other legal codes such as loitering, trespassing, public nuisance and narcotics which could be used to target sex workers.</w:t>
      </w:r>
      <w:r w:rsidRPr="0028738F">
        <w:t xml:space="preserve"> </w:t>
      </w:r>
    </w:p>
    <w:p w14:paraId="4DA6A735" w14:textId="77777777" w:rsidR="00F67F61" w:rsidRPr="00F67F61" w:rsidRDefault="00F67F61" w:rsidP="00F67F61"/>
    <w:sectPr w:rsidR="00F67F61" w:rsidRPr="00F67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øœÅÿ">
    <w:altName w:val="Cambria"/>
    <w:panose1 w:val="00000000000000000000"/>
    <w:charset w:val="4D"/>
    <w:family w:val="auto"/>
    <w:notTrueType/>
    <w:pitch w:val="default"/>
    <w:sig w:usb0="00000003" w:usb1="00000000" w:usb2="00000000" w:usb3="00000000" w:csb0="00000001" w:csb1="00000000"/>
  </w:font>
  <w:font w:name="XCharter Roman">
    <w:altName w:val="Calibri"/>
    <w:panose1 w:val="00000000000000000000"/>
    <w:charset w:val="00"/>
    <w:family w:val="auto"/>
    <w:notTrueType/>
    <w:pitch w:val="variable"/>
    <w:sig w:usb0="8000002F" w:usb1="50000048"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8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85604000"/>
    <w:docVar w:name="VerbatimVersion" w:val="5.1"/>
  </w:docVars>
  <w:rsids>
    <w:rsidRoot w:val="00927D40"/>
    <w:rsid w:val="000139A3"/>
    <w:rsid w:val="000C0EBF"/>
    <w:rsid w:val="00100833"/>
    <w:rsid w:val="00104529"/>
    <w:rsid w:val="00105942"/>
    <w:rsid w:val="00107396"/>
    <w:rsid w:val="00144A4C"/>
    <w:rsid w:val="00176AB0"/>
    <w:rsid w:val="00177B7D"/>
    <w:rsid w:val="0018322D"/>
    <w:rsid w:val="001B5776"/>
    <w:rsid w:val="001C2E1A"/>
    <w:rsid w:val="001C4F5D"/>
    <w:rsid w:val="001E527A"/>
    <w:rsid w:val="001F78CE"/>
    <w:rsid w:val="0024596E"/>
    <w:rsid w:val="00251FC7"/>
    <w:rsid w:val="002855A7"/>
    <w:rsid w:val="002B146A"/>
    <w:rsid w:val="002B5E17"/>
    <w:rsid w:val="002D33C2"/>
    <w:rsid w:val="00315690"/>
    <w:rsid w:val="00316B75"/>
    <w:rsid w:val="00325646"/>
    <w:rsid w:val="003460F2"/>
    <w:rsid w:val="00364A59"/>
    <w:rsid w:val="0038158C"/>
    <w:rsid w:val="003902BA"/>
    <w:rsid w:val="00391865"/>
    <w:rsid w:val="003A09E2"/>
    <w:rsid w:val="003E2646"/>
    <w:rsid w:val="00407037"/>
    <w:rsid w:val="0041399D"/>
    <w:rsid w:val="004150D6"/>
    <w:rsid w:val="00445C5A"/>
    <w:rsid w:val="004605D6"/>
    <w:rsid w:val="004C60E8"/>
    <w:rsid w:val="004E3579"/>
    <w:rsid w:val="004E728B"/>
    <w:rsid w:val="004F39E0"/>
    <w:rsid w:val="00520451"/>
    <w:rsid w:val="00537BD5"/>
    <w:rsid w:val="00546910"/>
    <w:rsid w:val="0057268A"/>
    <w:rsid w:val="005A0C27"/>
    <w:rsid w:val="005C577A"/>
    <w:rsid w:val="005D2912"/>
    <w:rsid w:val="006065BD"/>
    <w:rsid w:val="0064064C"/>
    <w:rsid w:val="00645FA9"/>
    <w:rsid w:val="00647866"/>
    <w:rsid w:val="0065494F"/>
    <w:rsid w:val="00665003"/>
    <w:rsid w:val="00696E87"/>
    <w:rsid w:val="006A2AD0"/>
    <w:rsid w:val="006C2375"/>
    <w:rsid w:val="006D4ECC"/>
    <w:rsid w:val="00722258"/>
    <w:rsid w:val="007243E5"/>
    <w:rsid w:val="00730D34"/>
    <w:rsid w:val="00735FB2"/>
    <w:rsid w:val="00744779"/>
    <w:rsid w:val="00766EA0"/>
    <w:rsid w:val="007A2226"/>
    <w:rsid w:val="007E2941"/>
    <w:rsid w:val="007F5B66"/>
    <w:rsid w:val="00823A1C"/>
    <w:rsid w:val="00826651"/>
    <w:rsid w:val="00845B9D"/>
    <w:rsid w:val="00860984"/>
    <w:rsid w:val="00861574"/>
    <w:rsid w:val="00862CAC"/>
    <w:rsid w:val="008B2113"/>
    <w:rsid w:val="008B3ECB"/>
    <w:rsid w:val="008B4E85"/>
    <w:rsid w:val="008C1B2E"/>
    <w:rsid w:val="008D09AC"/>
    <w:rsid w:val="0091627E"/>
    <w:rsid w:val="00927D40"/>
    <w:rsid w:val="0097032B"/>
    <w:rsid w:val="009C4EAD"/>
    <w:rsid w:val="009D081B"/>
    <w:rsid w:val="009D2EAD"/>
    <w:rsid w:val="009D54B2"/>
    <w:rsid w:val="009E1922"/>
    <w:rsid w:val="009F7ED2"/>
    <w:rsid w:val="00A00899"/>
    <w:rsid w:val="00A714E9"/>
    <w:rsid w:val="00A727D4"/>
    <w:rsid w:val="00A93661"/>
    <w:rsid w:val="00A95652"/>
    <w:rsid w:val="00AC0AB8"/>
    <w:rsid w:val="00B14EC5"/>
    <w:rsid w:val="00B33C6D"/>
    <w:rsid w:val="00B4508F"/>
    <w:rsid w:val="00B52B5B"/>
    <w:rsid w:val="00B55AD5"/>
    <w:rsid w:val="00B8057C"/>
    <w:rsid w:val="00B87E81"/>
    <w:rsid w:val="00BD6238"/>
    <w:rsid w:val="00BF593B"/>
    <w:rsid w:val="00BF773A"/>
    <w:rsid w:val="00BF7E81"/>
    <w:rsid w:val="00C13773"/>
    <w:rsid w:val="00C17CC8"/>
    <w:rsid w:val="00C83417"/>
    <w:rsid w:val="00C9604F"/>
    <w:rsid w:val="00CA0FA3"/>
    <w:rsid w:val="00CA19AA"/>
    <w:rsid w:val="00CC5298"/>
    <w:rsid w:val="00CD736E"/>
    <w:rsid w:val="00CD798D"/>
    <w:rsid w:val="00CE161E"/>
    <w:rsid w:val="00CE6B6D"/>
    <w:rsid w:val="00CF59A8"/>
    <w:rsid w:val="00D24F6D"/>
    <w:rsid w:val="00D260D3"/>
    <w:rsid w:val="00D30B7A"/>
    <w:rsid w:val="00D325A9"/>
    <w:rsid w:val="00D36A8A"/>
    <w:rsid w:val="00D4531F"/>
    <w:rsid w:val="00D61409"/>
    <w:rsid w:val="00D6691E"/>
    <w:rsid w:val="00D71170"/>
    <w:rsid w:val="00D86F2B"/>
    <w:rsid w:val="00DA1C92"/>
    <w:rsid w:val="00DA25D4"/>
    <w:rsid w:val="00DA6538"/>
    <w:rsid w:val="00E15E75"/>
    <w:rsid w:val="00E43D27"/>
    <w:rsid w:val="00E51DC3"/>
    <w:rsid w:val="00E5262C"/>
    <w:rsid w:val="00E656F2"/>
    <w:rsid w:val="00E95F1E"/>
    <w:rsid w:val="00EC7DC4"/>
    <w:rsid w:val="00ED1671"/>
    <w:rsid w:val="00ED30CF"/>
    <w:rsid w:val="00F176EF"/>
    <w:rsid w:val="00F17995"/>
    <w:rsid w:val="00F45E10"/>
    <w:rsid w:val="00F6364A"/>
    <w:rsid w:val="00F67F61"/>
    <w:rsid w:val="00F9113A"/>
    <w:rsid w:val="00FE2546"/>
    <w:rsid w:val="00FE2A2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4D63E"/>
  <w15:chartTrackingRefBased/>
  <w15:docId w15:val="{AD1D1F4E-D22C-4E68-B1E8-A0DA98137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eastAsiaTheme="minorHAnsi" w:hAnsi="Roboto"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1C4F5D"/>
    <w:rPr>
      <w:rFonts w:ascii="Calibri" w:hAnsi="Calibri" w:cstheme="minorBidi"/>
    </w:rPr>
  </w:style>
  <w:style w:type="paragraph" w:styleId="Heading1">
    <w:name w:val="heading 1"/>
    <w:aliases w:val="Pocket"/>
    <w:basedOn w:val="Normal"/>
    <w:next w:val="Normal"/>
    <w:link w:val="Heading1Char"/>
    <w:qFormat/>
    <w:rsid w:val="001C4F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4F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C4F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C4F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4F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4F5D"/>
  </w:style>
  <w:style w:type="character" w:customStyle="1" w:styleId="Heading1Char">
    <w:name w:val="Heading 1 Char"/>
    <w:aliases w:val="Pocket Char"/>
    <w:basedOn w:val="DefaultParagraphFont"/>
    <w:link w:val="Heading1"/>
    <w:rsid w:val="001C4F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C4F5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C4F5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C4F5D"/>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Emphasis1"/>
    <w:uiPriority w:val="7"/>
    <w:qFormat/>
    <w:rsid w:val="001C4F5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C4F5D"/>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6"/>
    <w:qFormat/>
    <w:rsid w:val="001C4F5D"/>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1C4F5D"/>
    <w:rPr>
      <w:color w:val="auto"/>
      <w:u w:val="none"/>
    </w:rPr>
  </w:style>
  <w:style w:type="character" w:styleId="FollowedHyperlink">
    <w:name w:val="FollowedHyperlink"/>
    <w:basedOn w:val="DefaultParagraphFont"/>
    <w:uiPriority w:val="99"/>
    <w:semiHidden/>
    <w:unhideWhenUsed/>
    <w:rsid w:val="001C4F5D"/>
    <w:rPr>
      <w:color w:val="auto"/>
      <w:u w:val="none"/>
    </w:rPr>
  </w:style>
  <w:style w:type="paragraph" w:customStyle="1" w:styleId="Emphasis1">
    <w:name w:val="Emphasis1"/>
    <w:basedOn w:val="Normal"/>
    <w:link w:val="Emphasis"/>
    <w:autoRedefine/>
    <w:uiPriority w:val="7"/>
    <w:qFormat/>
    <w:rsid w:val="00927D40"/>
    <w:pPr>
      <w:pBdr>
        <w:top w:val="single" w:sz="4" w:space="1" w:color="auto"/>
        <w:left w:val="single" w:sz="4" w:space="4" w:color="auto"/>
        <w:bottom w:val="single" w:sz="4" w:space="1" w:color="auto"/>
        <w:right w:val="single" w:sz="4" w:space="4" w:color="auto"/>
      </w:pBdr>
      <w:ind w:left="720"/>
      <w:jc w:val="both"/>
    </w:pPr>
    <w:rPr>
      <w:rFonts w:cs="Calibri"/>
      <w:b/>
      <w:iCs/>
      <w:u w:val="single"/>
    </w:rPr>
  </w:style>
  <w:style w:type="paragraph" w:styleId="NormalWeb">
    <w:name w:val="Normal (Web)"/>
    <w:basedOn w:val="Normal"/>
    <w:uiPriority w:val="99"/>
    <w:unhideWhenUsed/>
    <w:rsid w:val="00B87E81"/>
    <w:pPr>
      <w:spacing w:before="100" w:beforeAutospacing="1" w:after="100" w:afterAutospacing="1" w:line="240" w:lineRule="auto"/>
    </w:pPr>
    <w:rPr>
      <w:rFonts w:ascii="Times New Roman" w:hAnsi="Times New Roman" w:cs="Times New Roman"/>
      <w:sz w:val="24"/>
    </w:rPr>
  </w:style>
  <w:style w:type="paragraph" w:customStyle="1" w:styleId="textbold">
    <w:name w:val="text bold"/>
    <w:basedOn w:val="Normal"/>
    <w:uiPriority w:val="7"/>
    <w:qFormat/>
    <w:rsid w:val="0041399D"/>
    <w:pPr>
      <w:ind w:left="720"/>
      <w:jc w:val="both"/>
    </w:pPr>
    <w:rPr>
      <w:b/>
      <w:iCs/>
      <w:u w:val="single"/>
      <w:bdr w:val="single" w:sz="12" w:space="0" w:color="auto"/>
    </w:rPr>
  </w:style>
  <w:style w:type="paragraph" w:customStyle="1" w:styleId="card">
    <w:name w:val="card"/>
    <w:aliases w:val="Medium Grid 21,Tags,No Spacing31,No Spacing22,No Spacing111,No Spacing3,No Spacing1,No Spacing111112,Card,tag,No Spacing1121,Dont use,No Spacing41,No Spacing112,Debate Text,No Spacing11,No Spacing111111,No Spacing2,Read stuff"/>
    <w:basedOn w:val="Normal"/>
    <w:next w:val="Normal"/>
    <w:uiPriority w:val="6"/>
    <w:qFormat/>
    <w:rsid w:val="0041399D"/>
    <w:pPr>
      <w:ind w:left="288" w:right="288"/>
    </w:pPr>
    <w:rPr>
      <w:rFonts w:asciiTheme="minorHAnsi" w:hAnsiTheme="minorHAnsi"/>
      <w:b/>
      <w:u w:val="single"/>
    </w:rPr>
  </w:style>
  <w:style w:type="paragraph" w:styleId="BalloonText">
    <w:name w:val="Balloon Text"/>
    <w:basedOn w:val="Normal"/>
    <w:link w:val="BalloonTextChar"/>
    <w:uiPriority w:val="99"/>
    <w:semiHidden/>
    <w:unhideWhenUsed/>
    <w:rsid w:val="007E29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2941"/>
    <w:rPr>
      <w:rFonts w:ascii="Segoe UI" w:hAnsi="Segoe UI" w:cs="Segoe UI"/>
      <w:sz w:val="18"/>
      <w:szCs w:val="18"/>
    </w:rPr>
  </w:style>
  <w:style w:type="character" w:styleId="UnresolvedMention">
    <w:name w:val="Unresolved Mention"/>
    <w:basedOn w:val="DefaultParagraphFont"/>
    <w:uiPriority w:val="99"/>
    <w:semiHidden/>
    <w:unhideWhenUsed/>
    <w:rsid w:val="00A00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swp.org/members/red-umbrella-project" TargetMode="External"/><Relationship Id="rId117" Type="http://schemas.openxmlformats.org/officeDocument/2006/relationships/hyperlink" Target="https://www.bmj.com/content/339/bmj.b2939" TargetMode="External"/><Relationship Id="rId21" Type="http://schemas.openxmlformats.org/officeDocument/2006/relationships/hyperlink" Target="https://www.hrw.org/news/2013/06/18/tanzania-police-abuse-torture-impede-hiv-services" TargetMode="External"/><Relationship Id="rId42" Type="http://schemas.openxmlformats.org/officeDocument/2006/relationships/hyperlink" Target="https://www.thejakartapost.com/news/2020/05/19/us-pharma-firms-think-twice-about-relocating-to-indonesia-experts.html" TargetMode="External"/><Relationship Id="rId47" Type="http://schemas.openxmlformats.org/officeDocument/2006/relationships/hyperlink" Target="file:////Users/soniaprao/Desktop/DEBATE/ddi%20notes/Seaborn%20Larson,%20May%2016th,%202020;%20Criminal%20Justice%20Reporter%20&#8212;%20Missoulian.%20Crime%20and%20Justice,%20U.S;%20https:/missoulian.com/news/local/covid-closures-threaten-a-staggering-backlog-in-court-cases/article_e77bd6b0-4bae-5d87-956c-861c4de3e153.html" TargetMode="External"/><Relationship Id="rId63" Type="http://schemas.openxmlformats.org/officeDocument/2006/relationships/hyperlink" Target="https://link.springer.com/article/10.1007/s12119-020-09707-7" TargetMode="External"/><Relationship Id="rId68" Type="http://schemas.openxmlformats.org/officeDocument/2006/relationships/hyperlink" Target="https://link.springer.com/article/10.1007/s12119-020-09707-7" TargetMode="External"/><Relationship Id="rId84" Type="http://schemas.openxmlformats.org/officeDocument/2006/relationships/hyperlink" Target="https://www.tandfonline.com/doi/full/10.1080/00224499.2020.1755821?casa_token=1QQZlUTmU0oAAAAA%3Av7biSE0quPMj-p56HBRgR4N-fRW6XZfY34_oOkCZLOrFn7QtJYhAnuuVfxHHDEoRJYzLVV_Ej9vAAA" TargetMode="External"/><Relationship Id="rId89" Type="http://schemas.openxmlformats.org/officeDocument/2006/relationships/hyperlink" Target="https://www.tandfonline.com/doi/full/10.1080/00224499.2020.1755821?casa_token=1QQZlUTmU0oAAAAA%3Av7biSE0quPMj-p56HBRgR4N-fRW6XZfY34_oOkCZLOrFn7QtJYhAnuuVfxHHDEoRJYzLVV_Ej9vAAA" TargetMode="External"/><Relationship Id="rId112" Type="http://schemas.openxmlformats.org/officeDocument/2006/relationships/hyperlink" Target="https://www.bmj.com/content/339/bmj.b2939" TargetMode="External"/><Relationship Id="rId133" Type="http://schemas.openxmlformats.org/officeDocument/2006/relationships/hyperlink" Target="https://www.bmj.com/content/339/bmj.b2939" TargetMode="External"/><Relationship Id="rId138" Type="http://schemas.openxmlformats.org/officeDocument/2006/relationships/hyperlink" Target="https://www.bmj.com/content/339/bmj.b2939" TargetMode="External"/><Relationship Id="rId16" Type="http://schemas.openxmlformats.org/officeDocument/2006/relationships/hyperlink" Target="https://www.hrw.org/report/2012/07/19/sex-workers-risk/condoms-evidence-prostitution-four-us-cities" TargetMode="External"/><Relationship Id="rId107" Type="http://schemas.openxmlformats.org/officeDocument/2006/relationships/hyperlink" Target="https://www.tandfonline.com/doi/full/10.1080/00224499.2020.1755821?casa_token=1QQZlUTmU0oAAAAA%3Av7biSE0quPMj-p56HBRgR4N-fRW6XZfY34_oOkCZLOrFn7QtJYhAnuuVfxHHDEoRJYzLVV_Ej9vAAA" TargetMode="External"/><Relationship Id="rId11" Type="http://schemas.openxmlformats.org/officeDocument/2006/relationships/hyperlink" Target="https://www.hrw.org/news/2019/08/07/south-africa-decriminalise-sex-work" TargetMode="External"/><Relationship Id="rId32" Type="http://schemas.openxmlformats.org/officeDocument/2006/relationships/hyperlink" Target="https://www.eastasiaforum.org/2019/10/01/foreign-firms-in-china-resist-trumps-trade-war/" TargetMode="External"/><Relationship Id="rId37" Type="http://schemas.openxmlformats.org/officeDocument/2006/relationships/hyperlink" Target="https://www.tsmc.com/tsmcdotcom/PRListingNewsArchivesAction.do?action=detail&amp;newsid=THGOANPGTH&amp;language=E" TargetMode="External"/><Relationship Id="rId53" Type="http://schemas.openxmlformats.org/officeDocument/2006/relationships/hyperlink" Target="https://www.researchgate.net/figure/Worldwide-total-pharmaceutical-R-D-spend-in-2002-16-Evaluate-Pharma-2011_fig2_272477050" TargetMode="External"/><Relationship Id="rId58" Type="http://schemas.openxmlformats.org/officeDocument/2006/relationships/hyperlink" Target="http://www.science20.com/robert_inventor/could_anything_make_humans_extinct_in_the_near_future-169780" TargetMode="External"/><Relationship Id="rId74" Type="http://schemas.openxmlformats.org/officeDocument/2006/relationships/hyperlink" Target="https://www.tandfonline.com/doi/full/10.1080/00224499.2020.1755821?casa_token=1QQZlUTmU0oAAAAA%3Av7biSE0quPMj-p56HBRgR4N-fRW6XZfY34_oOkCZLOrFn7QtJYhAnuuVfxHHDEoRJYzLVV_Ej9vAAA" TargetMode="External"/><Relationship Id="rId79" Type="http://schemas.openxmlformats.org/officeDocument/2006/relationships/hyperlink" Target="https://www.tandfonline.com/doi/full/10.1080/00224499.2020.1755821?casa_token=1QQZlUTmU0oAAAAA%3Av7biSE0quPMj-p56HBRgR4N-fRW6XZfY34_oOkCZLOrFn7QtJYhAnuuVfxHHDEoRJYzLVV_Ej9vAAA" TargetMode="External"/><Relationship Id="rId102" Type="http://schemas.openxmlformats.org/officeDocument/2006/relationships/hyperlink" Target="https://www.tandfonline.com/doi/full/10.1080/00224499.2020.1755821?casa_token=1QQZlUTmU0oAAAAA%3Av7biSE0quPMj-p56HBRgR4N-fRW6XZfY34_oOkCZLOrFn7QtJYhAnuuVfxHHDEoRJYzLVV_Ej9vAAA" TargetMode="External"/><Relationship Id="rId123" Type="http://schemas.openxmlformats.org/officeDocument/2006/relationships/hyperlink" Target="https://www.bmj.com/content/339/bmj.b2939" TargetMode="External"/><Relationship Id="rId128" Type="http://schemas.openxmlformats.org/officeDocument/2006/relationships/hyperlink" Target="https://www.bmj.com/content/339/bmj.b2939" TargetMode="External"/><Relationship Id="rId144"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tandfonline.com/doi/full/10.1080/00224499.2020.1755821?casa_token=1QQZlUTmU0oAAAAA%3Av7biSE0quPMj-p56HBRgR4N-fRW6XZfY34_oOkCZLOrFn7QtJYhAnuuVfxHHDEoRJYzLVV_Ej9vAAA" TargetMode="External"/><Relationship Id="rId95" Type="http://schemas.openxmlformats.org/officeDocument/2006/relationships/hyperlink" Target="https://www.tandfonline.com/doi/full/10.1080/00224499.2020.1755821?casa_token=1QQZlUTmU0oAAAAA%3Av7biSE0quPMj-p56HBRgR4N-fRW6XZfY34_oOkCZLOrFn7QtJYhAnuuVfxHHDEoRJYzLVV_Ej9vAAA" TargetMode="External"/><Relationship Id="rId22" Type="http://schemas.openxmlformats.org/officeDocument/2006/relationships/hyperlink" Target="https://www.hrw.org/news/2012/07/19/us-police-practices-fuel-hiv-epidemic" TargetMode="External"/><Relationship Id="rId27" Type="http://schemas.openxmlformats.org/officeDocument/2006/relationships/hyperlink" Target="https://www.amnesty.org/en/qa-policy-to-protect-the-human-rights-of-sex-workers/" TargetMode="External"/><Relationship Id="rId43" Type="http://schemas.openxmlformats.org/officeDocument/2006/relationships/hyperlink" Target="https://www.scmp.com/economy/china-economy/article/3048044/china-manufacturing-exodus-us-trade-war-tariffs-spur" TargetMode="External"/><Relationship Id="rId48" Type="http://schemas.openxmlformats.org/officeDocument/2006/relationships/hyperlink" Target="https://www.thehawkeye.com/news/20200215/inside-des-moines-countys-court-clog" TargetMode="External"/><Relationship Id="rId64" Type="http://schemas.openxmlformats.org/officeDocument/2006/relationships/hyperlink" Target="https://link.springer.com/article/10.1007/s12119-020-09707-7" TargetMode="External"/><Relationship Id="rId69" Type="http://schemas.openxmlformats.org/officeDocument/2006/relationships/hyperlink" Target="https://link.springer.com/article/10.1007/s12119-020-09707-7" TargetMode="External"/><Relationship Id="rId113" Type="http://schemas.openxmlformats.org/officeDocument/2006/relationships/hyperlink" Target="https://www.bmj.com/content/339/bmj.b2939" TargetMode="External"/><Relationship Id="rId118" Type="http://schemas.openxmlformats.org/officeDocument/2006/relationships/hyperlink" Target="https://www.bmj.com/content/339/bmj.b2939" TargetMode="External"/><Relationship Id="rId134" Type="http://schemas.openxmlformats.org/officeDocument/2006/relationships/hyperlink" Target="https://www.bmj.com/content/339/bmj.b2939" TargetMode="External"/><Relationship Id="rId139" Type="http://schemas.openxmlformats.org/officeDocument/2006/relationships/hyperlink" Target="https://www.bmj.com/content/339/bmj.b2939" TargetMode="External"/><Relationship Id="rId80" Type="http://schemas.openxmlformats.org/officeDocument/2006/relationships/hyperlink" Target="https://www.tandfonline.com/doi/full/10.1080/00224499.2020.1755821?casa_token=1QQZlUTmU0oAAAAA%3Av7biSE0quPMj-p56HBRgR4N-fRW6XZfY34_oOkCZLOrFn7QtJYhAnuuVfxHHDEoRJYzLVV_Ej9vAAA" TargetMode="External"/><Relationship Id="rId85" Type="http://schemas.openxmlformats.org/officeDocument/2006/relationships/hyperlink" Target="https://www.tandfonline.com/doi/full/10.1080/00224499.2020.1755821?casa_token=1QQZlUTmU0oAAAAA%3Av7biSE0quPMj-p56HBRgR4N-fRW6XZfY34_oOkCZLOrFn7QtJYhAnuuVfxHHDEoRJYzLVV_Ej9vAAA" TargetMode="External"/><Relationship Id="rId3" Type="http://schemas.openxmlformats.org/officeDocument/2006/relationships/styles" Target="styles.xml"/><Relationship Id="rId12" Type="http://schemas.openxmlformats.org/officeDocument/2006/relationships/hyperlink" Target="https://www.unaids.org/en/resources/presscentre/featurestories/2017/june/20170602_sexwork" TargetMode="External"/><Relationship Id="rId17" Type="http://schemas.openxmlformats.org/officeDocument/2006/relationships/hyperlink" Target="https://watermark.silverchair.com/237mia.pdf?token=AQECAHi208BE49Ooan9kkhW_Ercy7Dm3ZL_9Cf3qfKAc485ysgAAAncwggJzBgkqhkiG9w0BBwagggJkMIICYAIBADCCAlkGCSqGSIb3DQEHATAeBglghkgBZQMEAS4wEQQMc8_LL4Iu_8XO0LkGAgEQgIICKiVvYlQtMQhybudJbgkGtK1ZfE_O-tQVFD2uBBuzJTwrMmOPL8YLVkb4ArAm03XjDpu08FS2vAtWsIyW328ksY6QVLIqLe6_Mnus1KjrQbtqHCEQdISbebWjwRDbGREnTNXSA_YIOcA6NUCOdPpCFQlVU_wVlnfaFc2ERcS5nzj14X44rKJzj5-JnWqHFwv5ZnvzC6CvNEGkIDdP4Q8UFb5GYN-_hA2VaXK0ulz7YU66ebrSE6M55RDP4dEe8uy863lRdUgbcLN3ZHlM7zbm-3tTIMHqeGQyUIsFutEPCEprjvNuj1J08YKUUziAAviQAGmqR5BuMHTQXB1RkErrlGIIvKExoYbhZn7AsgJo6jpvXMLzo3CtN6Dzaupy3wsTOkuLWUmNC2eo_jGrd6CJED6dT6bn1CoShPC1QTGu4fy7Tia4mMjdn03eYAGMQHE0OFoa0MIE6m6J2-92megCe7nBZoRKjVUPT9Us_4NIIiBddNOeqkA1x3v0MPoC6w23lo7z6fLodjE-LxGLyolKcL_t_a84vJckagpVAZddTKBFmgtQdcoLq9nVP9u_mK_x-NggC1Jgc8vqtZWitnEw2qNkueN4s6ibCPen1HErddb6nN7WDOSfXVdHBNqjflAjINJvSuHc7MoAotaESZTEEr0fBdxZlUnqJ0VjU42bzUqiL_Ad8BCCdOTaOezH304FZrLqeXuVS0puetyzY6IgyrPW4MTBMfFm5eiw" TargetMode="External"/><Relationship Id="rId25" Type="http://schemas.openxmlformats.org/officeDocument/2006/relationships/hyperlink" Target="https://www.thelancet.com/series/HIV-and-sex-workers" TargetMode="External"/><Relationship Id="rId33" Type="http://schemas.openxmlformats.org/officeDocument/2006/relationships/hyperlink" Target="https://www.doingbusiness.org/content/dam/doingBusiness/pdf/db2020/Doing-Business-2020_rankings.pdf" TargetMode="External"/><Relationship Id="rId38" Type="http://schemas.openxmlformats.org/officeDocument/2006/relationships/hyperlink" Target="https://set.odi.org/wp-content/uploads/2017/08/SET-China_Shift-of-Manufacturing-Employment-1.pdf" TargetMode="External"/><Relationship Id="rId46" Type="http://schemas.openxmlformats.org/officeDocument/2006/relationships/hyperlink" Target="https://www.law.com/njlawjournal/2020/06/29/backlogs-more-than-double-pre-coronavirus-level-in-new-jersey-trial-courts/" TargetMode="External"/><Relationship Id="rId59" Type="http://schemas.openxmlformats.org/officeDocument/2006/relationships/hyperlink" Target="https://en.wikipedia.org/wiki/Sterile_insect_technique" TargetMode="External"/><Relationship Id="rId67" Type="http://schemas.openxmlformats.org/officeDocument/2006/relationships/hyperlink" Target="https://link.springer.com/article/10.1007/s12119-020-09707-7" TargetMode="External"/><Relationship Id="rId103" Type="http://schemas.openxmlformats.org/officeDocument/2006/relationships/hyperlink" Target="https://www.tandfonline.com/doi/full/10.1080/00224499.2020.1755821?casa_token=1QQZlUTmU0oAAAAA%3Av7biSE0quPMj-p56HBRgR4N-fRW6XZfY34_oOkCZLOrFn7QtJYhAnuuVfxHHDEoRJYzLVV_Ej9vAAA" TargetMode="External"/><Relationship Id="rId108" Type="http://schemas.openxmlformats.org/officeDocument/2006/relationships/hyperlink" Target="https://www.tandfonline.com/doi/full/10.1080/00224499.2020.1755821?casa_token=1QQZlUTmU0oAAAAA%3Av7biSE0quPMj-p56HBRgR4N-fRW6XZfY34_oOkCZLOrFn7QtJYhAnuuVfxHHDEoRJYzLVV_Ej9vAAA" TargetMode="External"/><Relationship Id="rId116" Type="http://schemas.openxmlformats.org/officeDocument/2006/relationships/hyperlink" Target="https://www.bmj.com/content/339/bmj.b2939" TargetMode="External"/><Relationship Id="rId124" Type="http://schemas.openxmlformats.org/officeDocument/2006/relationships/hyperlink" Target="https://www.bmj.com/content/339/bmj.b2939" TargetMode="External"/><Relationship Id="rId129" Type="http://schemas.openxmlformats.org/officeDocument/2006/relationships/hyperlink" Target="https://www.bmj.com/content/339/bmj.b2939" TargetMode="External"/><Relationship Id="rId137" Type="http://schemas.openxmlformats.org/officeDocument/2006/relationships/hyperlink" Target="https://www.bmj.com/content/339/bmj.b2939" TargetMode="External"/><Relationship Id="rId20" Type="http://schemas.openxmlformats.org/officeDocument/2006/relationships/hyperlink" Target="https://www.hrw.org/news/2013/05/14/china-end-violence-against-sex-workers" TargetMode="External"/><Relationship Id="rId41" Type="http://schemas.openxmlformats.org/officeDocument/2006/relationships/hyperlink" Target="https://thediplomat.com/2019/07/cambodia-and-vietnam-in-the-us-china-trade-war-not-all-good-news/" TargetMode="External"/><Relationship Id="rId54" Type="http://schemas.openxmlformats.org/officeDocument/2006/relationships/hyperlink" Target="https://www.globenewswire.com/news-release/2019/09/03/1910034/0/en/Cancer-Drugs-Now-Account-for-27-of-all-New-Drug-Approvals-in-the-U-S-According-to-Tufts-Center-for-the-Study-of-Drug-Development.html" TargetMode="External"/><Relationship Id="rId62" Type="http://schemas.openxmlformats.org/officeDocument/2006/relationships/hyperlink" Target="https://researchonline.lshtm.ac.uk/id/eprint/4647656/1/Is-sex-work-still-the-most-dangerous-profession.pdf" TargetMode="External"/><Relationship Id="rId70" Type="http://schemas.openxmlformats.org/officeDocument/2006/relationships/hyperlink" Target="https://link.springer.com/article/10.1007/s12119-020-09707-7" TargetMode="External"/><Relationship Id="rId75" Type="http://schemas.openxmlformats.org/officeDocument/2006/relationships/hyperlink" Target="https://www.tandfonline.com/doi/full/10.1080/00224499.2020.1755821?casa_token=1QQZlUTmU0oAAAAA%3Av7biSE0quPMj-p56HBRgR4N-fRW6XZfY34_oOkCZLOrFn7QtJYhAnuuVfxHHDEoRJYzLVV_Ej9vAAA" TargetMode="External"/><Relationship Id="rId83" Type="http://schemas.openxmlformats.org/officeDocument/2006/relationships/hyperlink" Target="https://www.tandfonline.com/doi/full/10.1080/00224499.2020.1755821?casa_token=1QQZlUTmU0oAAAAA%3Av7biSE0quPMj-p56HBRgR4N-fRW6XZfY34_oOkCZLOrFn7QtJYhAnuuVfxHHDEoRJYzLVV_Ej9vAAA" TargetMode="External"/><Relationship Id="rId88" Type="http://schemas.openxmlformats.org/officeDocument/2006/relationships/hyperlink" Target="https://www.tandfonline.com/doi/full/10.1080/00224499.2020.1755821?casa_token=1QQZlUTmU0oAAAAA%3Av7biSE0quPMj-p56HBRgR4N-fRW6XZfY34_oOkCZLOrFn7QtJYhAnuuVfxHHDEoRJYzLVV_Ej9vAAA" TargetMode="External"/><Relationship Id="rId91" Type="http://schemas.openxmlformats.org/officeDocument/2006/relationships/hyperlink" Target="https://www.tandfonline.com/doi/full/10.1080/00224499.2020.1755821?casa_token=1QQZlUTmU0oAAAAA%3Av7biSE0quPMj-p56HBRgR4N-fRW6XZfY34_oOkCZLOrFn7QtJYhAnuuVfxHHDEoRJYzLVV_Ej9vAAA" TargetMode="External"/><Relationship Id="rId96" Type="http://schemas.openxmlformats.org/officeDocument/2006/relationships/hyperlink" Target="https://www.tandfonline.com/doi/full/10.1080/00224499.2020.1755821?casa_token=1QQZlUTmU0oAAAAA%3Av7biSE0quPMj-p56HBRgR4N-fRW6XZfY34_oOkCZLOrFn7QtJYhAnuuVfxHHDEoRJYzLVV_Ej9vAAA" TargetMode="External"/><Relationship Id="rId111" Type="http://schemas.openxmlformats.org/officeDocument/2006/relationships/hyperlink" Target="https://www.tandfonline.com/doi/full/10.1080/00224499.2020.1755821?casa_token=1QQZlUTmU0oAAAAA%3Av7biSE0quPMj-p56HBRgR4N-fRW6XZfY34_oOkCZLOrFn7QtJYhAnuuVfxHHDEoRJYzLVV_Ej9vAAA" TargetMode="External"/><Relationship Id="rId132" Type="http://schemas.openxmlformats.org/officeDocument/2006/relationships/hyperlink" Target="https://www.bmj.com/content/339/bmj.b2939" TargetMode="External"/><Relationship Id="rId140" Type="http://schemas.openxmlformats.org/officeDocument/2006/relationships/hyperlink" Target="https://www.bmj.com/content/339/bmj.b2939"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hrw.org/news/2019/08/07/why-sex-work-should-be-decriminalized" TargetMode="External"/><Relationship Id="rId15" Type="http://schemas.openxmlformats.org/officeDocument/2006/relationships/hyperlink" Target="https://www.amnesty.org/en/qa-policy-to-protect-the-human-rights-of-sex-workers/" TargetMode="External"/><Relationship Id="rId23" Type="http://schemas.openxmlformats.org/officeDocument/2006/relationships/hyperlink" Target="https://www.hrw.org/news/2019/08/07/south-africa-decriminalise-sex-work" TargetMode="External"/><Relationship Id="rId28" Type="http://schemas.openxmlformats.org/officeDocument/2006/relationships/hyperlink" Target="https://www.hrw.org/report/2012/07/19/sex-workers-risk/condoms-evidence-prostitution-four-us-cities" TargetMode="External"/><Relationship Id="rId36" Type="http://schemas.openxmlformats.org/officeDocument/2006/relationships/hyperlink" Target="https://www.cnbc.com/2019/08/02/foxconn-eyes-sale-of-8point8-billion-china-plant-amid-trade-war-woes-sources.html" TargetMode="External"/><Relationship Id="rId49" Type="http://schemas.openxmlformats.org/officeDocument/2006/relationships/hyperlink" Target="https://www.forbes.com/sites/joshuacohen/2019/10/02/how-recession-proof-is-the-pharmaceutical-industry/" TargetMode="External"/><Relationship Id="rId57" Type="http://schemas.openxmlformats.org/officeDocument/2006/relationships/hyperlink" Target="https://www2.deloitte.com/content/dam/insights/us/articles/6642-cell-and-gene-therapies/DI_Cell-and-gene-therapies.pdf" TargetMode="External"/><Relationship Id="rId106" Type="http://schemas.openxmlformats.org/officeDocument/2006/relationships/hyperlink" Target="https://www.tandfonline.com/doi/full/10.1080/00224499.2020.1755821?casa_token=1QQZlUTmU0oAAAAA%3Av7biSE0quPMj-p56HBRgR4N-fRW6XZfY34_oOkCZLOrFn7QtJYhAnuuVfxHHDEoRJYzLVV_Ej9vAAA" TargetMode="External"/><Relationship Id="rId114" Type="http://schemas.openxmlformats.org/officeDocument/2006/relationships/hyperlink" Target="https://www.bmj.com/content/339/bmj.b2939" TargetMode="External"/><Relationship Id="rId119" Type="http://schemas.openxmlformats.org/officeDocument/2006/relationships/hyperlink" Target="https://www.bmj.com/content/339/bmj.b2939" TargetMode="External"/><Relationship Id="rId127" Type="http://schemas.openxmlformats.org/officeDocument/2006/relationships/hyperlink" Target="https://www.bmj.com/content/339/bmj.b2939" TargetMode="External"/><Relationship Id="rId10" Type="http://schemas.openxmlformats.org/officeDocument/2006/relationships/hyperlink" Target="https://www.hrw.org/news/2012/07/19/us-police-practices-fuel-hiv-epidemic" TargetMode="External"/><Relationship Id="rId31" Type="http://schemas.openxmlformats.org/officeDocument/2006/relationships/hyperlink" Target="https://journalofethics.ama-assn.org/2017/01/ecas1-1701.html" TargetMode="External"/><Relationship Id="rId44" Type="http://schemas.openxmlformats.org/officeDocument/2006/relationships/hyperlink" Target="https://www.eastasiaforum.org/2020/05/28/reconfiguring-indias-exports-during-covid-19/" TargetMode="External"/><Relationship Id="rId52" Type="http://schemas.openxmlformats.org/officeDocument/2006/relationships/hyperlink" Target="https://www.fool.com/investing/2018/12/13/are-you-overlooking-this-high-growth-industry-duri.aspx" TargetMode="External"/><Relationship Id="rId60" Type="http://schemas.openxmlformats.org/officeDocument/2006/relationships/hyperlink" Target="https://academic.oup.com/phe/article/doi/10.1093/phe/phw021/2907908/Global-Health-Solidarity" TargetMode="External"/><Relationship Id="rId65" Type="http://schemas.openxmlformats.org/officeDocument/2006/relationships/hyperlink" Target="https://link.springer.com/article/10.1007/s12119-020-09707-7" TargetMode="External"/><Relationship Id="rId73" Type="http://schemas.openxmlformats.org/officeDocument/2006/relationships/hyperlink" Target="https://www.tandfonline.com/doi/full/10.1080/00224499.2020.1755821?casa_token=1QQZlUTmU0oAAAAA%3Av7biSE0quPMj-p56HBRgR4N-fRW6XZfY34_oOkCZLOrFn7QtJYhAnuuVfxHHDEoRJYzLVV_Ej9vAAA" TargetMode="External"/><Relationship Id="rId78" Type="http://schemas.openxmlformats.org/officeDocument/2006/relationships/hyperlink" Target="https://www.tandfonline.com/doi/full/10.1080/00224499.2020.1755821?casa_token=1QQZlUTmU0oAAAAA%3Av7biSE0quPMj-p56HBRgR4N-fRW6XZfY34_oOkCZLOrFn7QtJYhAnuuVfxHHDEoRJYzLVV_Ej9vAAA" TargetMode="External"/><Relationship Id="rId81" Type="http://schemas.openxmlformats.org/officeDocument/2006/relationships/hyperlink" Target="https://www.tandfonline.com/doi/full/10.1080/00224499.2020.1755821?casa_token=1QQZlUTmU0oAAAAA%3Av7biSE0quPMj-p56HBRgR4N-fRW6XZfY34_oOkCZLOrFn7QtJYhAnuuVfxHHDEoRJYzLVV_Ej9vAAA" TargetMode="External"/><Relationship Id="rId86" Type="http://schemas.openxmlformats.org/officeDocument/2006/relationships/hyperlink" Target="https://www.tandfonline.com/doi/full/10.1080/00224499.2020.1755821?casa_token=1QQZlUTmU0oAAAAA%3Av7biSE0quPMj-p56HBRgR4N-fRW6XZfY34_oOkCZLOrFn7QtJYhAnuuVfxHHDEoRJYzLVV_Ej9vAAA" TargetMode="External"/><Relationship Id="rId94" Type="http://schemas.openxmlformats.org/officeDocument/2006/relationships/hyperlink" Target="https://www.tandfonline.com/doi/full/10.1080/00224499.2020.1755821?casa_token=1QQZlUTmU0oAAAAA%3Av7biSE0quPMj-p56HBRgR4N-fRW6XZfY34_oOkCZLOrFn7QtJYhAnuuVfxHHDEoRJYzLVV_Ej9vAAA" TargetMode="External"/><Relationship Id="rId99" Type="http://schemas.openxmlformats.org/officeDocument/2006/relationships/hyperlink" Target="https://www.tandfonline.com/doi/full/10.1080/00224499.2020.1755821?casa_token=1QQZlUTmU0oAAAAA%3Av7biSE0quPMj-p56HBRgR4N-fRW6XZfY34_oOkCZLOrFn7QtJYhAnuuVfxHHDEoRJYzLVV_Ej9vAAA" TargetMode="External"/><Relationship Id="rId101" Type="http://schemas.openxmlformats.org/officeDocument/2006/relationships/hyperlink" Target="https://www.tandfonline.com/doi/full/10.1080/00224499.2020.1755821?casa_token=1QQZlUTmU0oAAAAA%3Av7biSE0quPMj-p56HBRgR4N-fRW6XZfY34_oOkCZLOrFn7QtJYhAnuuVfxHHDEoRJYzLVV_Ej9vAAA" TargetMode="External"/><Relationship Id="rId122" Type="http://schemas.openxmlformats.org/officeDocument/2006/relationships/hyperlink" Target="https://www.bmj.com/content/339/bmj.b2939" TargetMode="External"/><Relationship Id="rId130" Type="http://schemas.openxmlformats.org/officeDocument/2006/relationships/hyperlink" Target="https://www.bmj.com/content/339/bmj.b2939" TargetMode="External"/><Relationship Id="rId135" Type="http://schemas.openxmlformats.org/officeDocument/2006/relationships/hyperlink" Target="https://www.bmj.com/content/339/bmj.b2939" TargetMode="External"/><Relationship Id="rId143" Type="http://schemas.openxmlformats.org/officeDocument/2006/relationships/hyperlink" Target="https://www.bmj.com/content/339/bmj.b2939" TargetMode="External"/><Relationship Id="rId4" Type="http://schemas.openxmlformats.org/officeDocument/2006/relationships/settings" Target="settings.xml"/><Relationship Id="rId9" Type="http://schemas.openxmlformats.org/officeDocument/2006/relationships/hyperlink" Target="https://www.hrw.org/news/2013/06/18/tanzania-police-abuse-torture-impede-hiv-services" TargetMode="External"/><Relationship Id="rId13" Type="http://schemas.openxmlformats.org/officeDocument/2006/relationships/hyperlink" Target="https://www.thelancet.com/series/HIV-and-sex-workers" TargetMode="External"/><Relationship Id="rId18" Type="http://schemas.openxmlformats.org/officeDocument/2006/relationships/hyperlink" Target="https://www.hrw.org/news/2019/08/07/why-sex-work-should-be-decriminalized" TargetMode="External"/><Relationship Id="rId39" Type="http://schemas.openxmlformats.org/officeDocument/2006/relationships/hyperlink" Target="https://www.supplychainbrain.com/blogs/1-think-tank/post/31037-why-us-companies-are-moving-their-supply-chains-from-china-to-mexico" TargetMode="External"/><Relationship Id="rId109" Type="http://schemas.openxmlformats.org/officeDocument/2006/relationships/hyperlink" Target="https://www.tandfonline.com/doi/full/10.1080/00224499.2020.1755821?casa_token=1QQZlUTmU0oAAAAA%3Av7biSE0quPMj-p56HBRgR4N-fRW6XZfY34_oOkCZLOrFn7QtJYhAnuuVfxHHDEoRJYzLVV_Ej9vAAA" TargetMode="External"/><Relationship Id="rId34" Type="http://schemas.openxmlformats.org/officeDocument/2006/relationships/hyperlink" Target="https://unctad.org/en/Pages/DIAE/FDIper%20cent20Statistics/FDI-Statistics-Bilateral.aspx" TargetMode="External"/><Relationship Id="rId50" Type="http://schemas.openxmlformats.org/officeDocument/2006/relationships/hyperlink" Target="https://www.bloomberg.com/news/articles/2019-10-01/asia-factory-sentiment-remains-brittle-ahead-of-u-s-china-talks?srnd=premium" TargetMode="External"/><Relationship Id="rId55" Type="http://schemas.openxmlformats.org/officeDocument/2006/relationships/hyperlink" Target="https://www.ncbi.nlm.nih.gov/pubmed/30543010" TargetMode="External"/><Relationship Id="rId76" Type="http://schemas.openxmlformats.org/officeDocument/2006/relationships/hyperlink" Target="https://www.tandfonline.com/doi/full/10.1080/00224499.2020.1755821?casa_token=1QQZlUTmU0oAAAAA%3Av7biSE0quPMj-p56HBRgR4N-fRW6XZfY34_oOkCZLOrFn7QtJYhAnuuVfxHHDEoRJYzLVV_Ej9vAAA" TargetMode="External"/><Relationship Id="rId97" Type="http://schemas.openxmlformats.org/officeDocument/2006/relationships/hyperlink" Target="https://www.tandfonline.com/doi/full/10.1080/00224499.2020.1755821?casa_token=1QQZlUTmU0oAAAAA%3Av7biSE0quPMj-p56HBRgR4N-fRW6XZfY34_oOkCZLOrFn7QtJYhAnuuVfxHHDEoRJYzLVV_Ej9vAAA" TargetMode="External"/><Relationship Id="rId104" Type="http://schemas.openxmlformats.org/officeDocument/2006/relationships/hyperlink" Target="https://www.tandfonline.com/doi/full/10.1080/00224499.2020.1755821?casa_token=1QQZlUTmU0oAAAAA%3Av7biSE0quPMj-p56HBRgR4N-fRW6XZfY34_oOkCZLOrFn7QtJYhAnuuVfxHHDEoRJYzLVV_Ej9vAAA" TargetMode="External"/><Relationship Id="rId120" Type="http://schemas.openxmlformats.org/officeDocument/2006/relationships/hyperlink" Target="https://www.bmj.com/content/339/bmj.b2939" TargetMode="External"/><Relationship Id="rId125" Type="http://schemas.openxmlformats.org/officeDocument/2006/relationships/hyperlink" Target="https://www.bmj.com/content/339/bmj.b2939" TargetMode="External"/><Relationship Id="rId141" Type="http://schemas.openxmlformats.org/officeDocument/2006/relationships/hyperlink" Target="https://www.bmj.com/content/339/bmj.b2939" TargetMode="External"/><Relationship Id="rId7" Type="http://schemas.openxmlformats.org/officeDocument/2006/relationships/hyperlink" Target="https://www.hrw.org/news/2010/07/20/cambodia-sex-workers-face-unlawful-arrests-and-detention" TargetMode="External"/><Relationship Id="rId71" Type="http://schemas.openxmlformats.org/officeDocument/2006/relationships/hyperlink" Target="https://www.tandfonline.com/doi/full/10.1080/00224499.2017.1393652?casa_token=6E7oMhtPAeYAAAAA%3AhJgc2NirIEyIYEL4vlbxB7iyNVDfljoPwFmdrrddM0wSqrad8GsfyAazuOuQR6aLpzPO2M6zYPg3OQ" TargetMode="External"/><Relationship Id="rId92" Type="http://schemas.openxmlformats.org/officeDocument/2006/relationships/hyperlink" Target="https://www.tandfonline.com/doi/full/10.1080/00224499.2020.1755821?casa_token=1QQZlUTmU0oAAAAA%3Av7biSE0quPMj-p56HBRgR4N-fRW6XZfY34_oOkCZLOrFn7QtJYhAnuuVfxHHDEoRJYzLVV_Ej9vAAA" TargetMode="External"/><Relationship Id="rId2" Type="http://schemas.openxmlformats.org/officeDocument/2006/relationships/numbering" Target="numbering.xml"/><Relationship Id="rId29" Type="http://schemas.openxmlformats.org/officeDocument/2006/relationships/hyperlink" Target="https://rewire.news/article/2019/07/18/want-to-reduce-sex-trafficking-decriminalize-sex-work/" TargetMode="External"/><Relationship Id="rId24" Type="http://schemas.openxmlformats.org/officeDocument/2006/relationships/hyperlink" Target="https://www.unaids.org/en/resources/presscentre/featurestories/2017/june/20170602_sexwork" TargetMode="External"/><Relationship Id="rId40" Type="http://schemas.openxmlformats.org/officeDocument/2006/relationships/hyperlink" Target="https://www.reuters.com/article/us-thailand-economy-investment/thailand-to-unveil-relocation-package-to-woo-firms-hurt-by-trade-war-idUSKCN1VQ1C3" TargetMode="External"/><Relationship Id="rId45" Type="http://schemas.openxmlformats.org/officeDocument/2006/relationships/hyperlink" Target="https://www.ft.com/content/ca2efd1a-0bbb-11ea-8fb7-8fcec0c3b0f9" TargetMode="External"/><Relationship Id="rId66" Type="http://schemas.openxmlformats.org/officeDocument/2006/relationships/hyperlink" Target="https://link.springer.com/article/10.1007/s12119-020-09707-7" TargetMode="External"/><Relationship Id="rId87" Type="http://schemas.openxmlformats.org/officeDocument/2006/relationships/hyperlink" Target="https://www.tandfonline.com/doi/full/10.1080/00224499.2020.1755821?casa_token=1QQZlUTmU0oAAAAA%3Av7biSE0quPMj-p56HBRgR4N-fRW6XZfY34_oOkCZLOrFn7QtJYhAnuuVfxHHDEoRJYzLVV_Ej9vAAA" TargetMode="External"/><Relationship Id="rId110" Type="http://schemas.openxmlformats.org/officeDocument/2006/relationships/hyperlink" Target="https://www.tandfonline.com/doi/full/10.1080/00224499.2020.1755821?casa_token=1QQZlUTmU0oAAAAA%3Av7biSE0quPMj-p56HBRgR4N-fRW6XZfY34_oOkCZLOrFn7QtJYhAnuuVfxHHDEoRJYzLVV_Ej9vAAA" TargetMode="External"/><Relationship Id="rId115" Type="http://schemas.openxmlformats.org/officeDocument/2006/relationships/hyperlink" Target="https://www.bmj.com/content/339/bmj.b2939" TargetMode="External"/><Relationship Id="rId131" Type="http://schemas.openxmlformats.org/officeDocument/2006/relationships/hyperlink" Target="https://www.bmj.com/content/339/bmj.b2939" TargetMode="External"/><Relationship Id="rId136" Type="http://schemas.openxmlformats.org/officeDocument/2006/relationships/hyperlink" Target="https://www.bmj.com/content/339/bmj.b2939" TargetMode="External"/><Relationship Id="rId61" Type="http://schemas.openxmlformats.org/officeDocument/2006/relationships/hyperlink" Target="https://doi.org/10.1016/S0968-8080(09)34469-9" TargetMode="External"/><Relationship Id="rId82" Type="http://schemas.openxmlformats.org/officeDocument/2006/relationships/hyperlink" Target="https://www.tandfonline.com/doi/full/10.1080/00224499.2020.1755821?casa_token=1QQZlUTmU0oAAAAA%3Av7biSE0quPMj-p56HBRgR4N-fRW6XZfY34_oOkCZLOrFn7QtJYhAnuuVfxHHDEoRJYzLVV_Ej9vAAA" TargetMode="External"/><Relationship Id="rId19" Type="http://schemas.openxmlformats.org/officeDocument/2006/relationships/hyperlink" Target="https://www.hrw.org/news/2010/07/20/cambodia-sex-workers-face-unlawful-arrests-and-detention" TargetMode="External"/><Relationship Id="rId14" Type="http://schemas.openxmlformats.org/officeDocument/2006/relationships/hyperlink" Target="https://www.nswp.org/members/red-umbrella-project" TargetMode="External"/><Relationship Id="rId30" Type="http://schemas.openxmlformats.org/officeDocument/2006/relationships/hyperlink" Target="https://journalofethics.ama-assn.org/2006/07/ccas2-0607.html" TargetMode="External"/><Relationship Id="rId35" Type="http://schemas.openxmlformats.org/officeDocument/2006/relationships/hyperlink" Target="https://www.bloomberg.com/news/articles/2020-04-08/japan-to-fund-firms-to-shift-production-out-of-china" TargetMode="External"/><Relationship Id="rId56" Type="http://schemas.openxmlformats.org/officeDocument/2006/relationships/hyperlink" Target="https://www2.deloitte.com/us/en/blog/health-care-blog/2020/next-gen-companies-face-resiliency-test-during-covid-19.html" TargetMode="External"/><Relationship Id="rId77" Type="http://schemas.openxmlformats.org/officeDocument/2006/relationships/hyperlink" Target="https://www.tandfonline.com/doi/full/10.1080/00224499.2020.1755821?casa_token=1QQZlUTmU0oAAAAA%3Av7biSE0quPMj-p56HBRgR4N-fRW6XZfY34_oOkCZLOrFn7QtJYhAnuuVfxHHDEoRJYzLVV_Ej9vAAA" TargetMode="External"/><Relationship Id="rId100" Type="http://schemas.openxmlformats.org/officeDocument/2006/relationships/hyperlink" Target="https://www.tandfonline.com/doi/full/10.1080/00224499.2020.1755821?casa_token=1QQZlUTmU0oAAAAA%3Av7biSE0quPMj-p56HBRgR4N-fRW6XZfY34_oOkCZLOrFn7QtJYhAnuuVfxHHDEoRJYzLVV_Ej9vAAA" TargetMode="External"/><Relationship Id="rId105" Type="http://schemas.openxmlformats.org/officeDocument/2006/relationships/hyperlink" Target="https://www.tandfonline.com/doi/full/10.1080/00224499.2020.1755821?casa_token=1QQZlUTmU0oAAAAA%3Av7biSE0quPMj-p56HBRgR4N-fRW6XZfY34_oOkCZLOrFn7QtJYhAnuuVfxHHDEoRJYzLVV_Ej9vAAA" TargetMode="External"/><Relationship Id="rId126" Type="http://schemas.openxmlformats.org/officeDocument/2006/relationships/hyperlink" Target="https://www.bmj.com/content/339/bmj.b2939" TargetMode="External"/><Relationship Id="rId8" Type="http://schemas.openxmlformats.org/officeDocument/2006/relationships/hyperlink" Target="https://www.hrw.org/news/2013/05/14/china-end-violence-against-sex-workers" TargetMode="External"/><Relationship Id="rId51" Type="http://schemas.openxmlformats.org/officeDocument/2006/relationships/hyperlink" Target="https://slate.com/business/2009/01/the-health-care-industry-was-supposed-to-be-recession-proof-so-why-is-it-in-trouble.html" TargetMode="External"/><Relationship Id="rId72" Type="http://schemas.openxmlformats.org/officeDocument/2006/relationships/hyperlink" Target="https://www.tandfonline.com/doi/full/10.1080/00224499.2020.1755821?casa_token=1QQZlUTmU0oAAAAA%3Av7biSE0quPMj-p56HBRgR4N-fRW6XZfY34_oOkCZLOrFn7QtJYhAnuuVfxHHDEoRJYzLVV_Ej9vAAA" TargetMode="External"/><Relationship Id="rId93" Type="http://schemas.openxmlformats.org/officeDocument/2006/relationships/hyperlink" Target="https://www.tandfonline.com/doi/full/10.1080/00224499.2020.1755821?casa_token=1QQZlUTmU0oAAAAA%3Av7biSE0quPMj-p56HBRgR4N-fRW6XZfY34_oOkCZLOrFn7QtJYhAnuuVfxHHDEoRJYzLVV_Ej9vAAA" TargetMode="External"/><Relationship Id="rId98" Type="http://schemas.openxmlformats.org/officeDocument/2006/relationships/hyperlink" Target="https://www.tandfonline.com/doi/full/10.1080/00224499.2020.1755821?casa_token=1QQZlUTmU0oAAAAA%3Av7biSE0quPMj-p56HBRgR4N-fRW6XZfY34_oOkCZLOrFn7QtJYhAnuuVfxHHDEoRJYzLVV_Ej9vAAA" TargetMode="External"/><Relationship Id="rId121" Type="http://schemas.openxmlformats.org/officeDocument/2006/relationships/hyperlink" Target="https://www.bmj.com/content/339/bmj.b2939" TargetMode="External"/><Relationship Id="rId142" Type="http://schemas.openxmlformats.org/officeDocument/2006/relationships/hyperlink" Target="https://www.bmj.com/content/339/bmj.b293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harp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70E5D-F58E-4E93-8B93-1804C4C58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55</Pages>
  <Words>34671</Words>
  <Characters>197630</Characters>
  <Application>Microsoft Office Word</Application>
  <DocSecurity>0</DocSecurity>
  <Lines>1646</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Harper, Allison C.</cp:lastModifiedBy>
  <cp:revision>26</cp:revision>
  <dcterms:created xsi:type="dcterms:W3CDTF">2020-07-23T19:55:00Z</dcterms:created>
  <dcterms:modified xsi:type="dcterms:W3CDTF">2020-07-24T20:30:00Z</dcterms:modified>
</cp:coreProperties>
</file>