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3C20A3" w14:textId="77FB6FF9" w:rsidR="004A1573" w:rsidRPr="00A2427B" w:rsidRDefault="00015CCB" w:rsidP="00015CCB">
      <w:pPr>
        <w:pStyle w:val="Heading1"/>
      </w:pPr>
      <w:r w:rsidRPr="00A2427B">
        <w:t>Forensic Science 1AC</w:t>
      </w:r>
    </w:p>
    <w:p w14:paraId="16A879FD" w14:textId="23A6BFD8" w:rsidR="001A30EB" w:rsidRPr="00A2427B" w:rsidRDefault="00015CCB" w:rsidP="00FD316D">
      <w:pPr>
        <w:pStyle w:val="Heading3"/>
      </w:pPr>
      <w:r w:rsidRPr="00A2427B">
        <w:t>Adv 1 – Wrongful Convictions</w:t>
      </w:r>
    </w:p>
    <w:p w14:paraId="3406961F" w14:textId="55131C1A" w:rsidR="008116EC" w:rsidRPr="00A2427B" w:rsidRDefault="008116EC" w:rsidP="008116EC">
      <w:pPr>
        <w:pStyle w:val="Heading4"/>
        <w:rPr>
          <w:rStyle w:val="Style13ptBold"/>
          <w:b/>
          <w:bCs w:val="0"/>
        </w:rPr>
      </w:pPr>
      <w:r w:rsidRPr="00A2427B">
        <w:rPr>
          <w:rStyle w:val="Style13ptBold"/>
          <w:b/>
          <w:bCs w:val="0"/>
        </w:rPr>
        <w:t xml:space="preserve">Daubert made judges “gatekeepers” of evidence they know nothing about – that sustained widespread junk science and false convictions </w:t>
      </w:r>
    </w:p>
    <w:p w14:paraId="7BB9EF50" w14:textId="77777777" w:rsidR="008116EC" w:rsidRPr="00A2427B" w:rsidRDefault="008116EC" w:rsidP="008116EC">
      <w:pPr>
        <w:pStyle w:val="ListParagraph"/>
        <w:numPr>
          <w:ilvl w:val="0"/>
          <w:numId w:val="11"/>
        </w:numPr>
        <w:rPr>
          <w:sz w:val="16"/>
          <w:szCs w:val="16"/>
        </w:rPr>
      </w:pPr>
      <w:r w:rsidRPr="00A2427B">
        <w:rPr>
          <w:sz w:val="16"/>
          <w:szCs w:val="16"/>
        </w:rPr>
        <w:t>Forensic scientists work for the police</w:t>
      </w:r>
    </w:p>
    <w:p w14:paraId="271EB7EA" w14:textId="77777777" w:rsidR="008116EC" w:rsidRPr="00A2427B" w:rsidRDefault="008116EC" w:rsidP="008116EC">
      <w:pPr>
        <w:pStyle w:val="ListParagraph"/>
        <w:numPr>
          <w:ilvl w:val="0"/>
          <w:numId w:val="11"/>
        </w:numPr>
        <w:rPr>
          <w:sz w:val="16"/>
          <w:szCs w:val="16"/>
        </w:rPr>
      </w:pPr>
      <w:r w:rsidRPr="00A2427B">
        <w:rPr>
          <w:sz w:val="16"/>
          <w:szCs w:val="16"/>
        </w:rPr>
        <w:t>Judge and juror deference to “experts”</w:t>
      </w:r>
    </w:p>
    <w:p w14:paraId="60825C8E" w14:textId="77777777" w:rsidR="008116EC" w:rsidRPr="00A2427B" w:rsidRDefault="008116EC" w:rsidP="008116EC">
      <w:pPr>
        <w:pStyle w:val="ListParagraph"/>
        <w:numPr>
          <w:ilvl w:val="0"/>
          <w:numId w:val="11"/>
        </w:numPr>
        <w:rPr>
          <w:sz w:val="16"/>
          <w:szCs w:val="16"/>
        </w:rPr>
      </w:pPr>
      <w:r w:rsidRPr="00A2427B">
        <w:rPr>
          <w:sz w:val="16"/>
          <w:szCs w:val="16"/>
        </w:rPr>
        <w:t>No scientific rigor</w:t>
      </w:r>
    </w:p>
    <w:p w14:paraId="0425978B" w14:textId="77777777" w:rsidR="008116EC" w:rsidRPr="00A2427B" w:rsidRDefault="008116EC" w:rsidP="008116EC">
      <w:pPr>
        <w:pStyle w:val="ListParagraph"/>
        <w:numPr>
          <w:ilvl w:val="0"/>
          <w:numId w:val="11"/>
        </w:numPr>
        <w:rPr>
          <w:sz w:val="16"/>
          <w:szCs w:val="16"/>
        </w:rPr>
      </w:pPr>
      <w:r w:rsidRPr="00A2427B">
        <w:rPr>
          <w:sz w:val="16"/>
          <w:szCs w:val="16"/>
        </w:rPr>
        <w:t>Fed key: court follow on based off precedent of higher rulings</w:t>
      </w:r>
    </w:p>
    <w:p w14:paraId="31336ED0" w14:textId="77777777" w:rsidR="008116EC" w:rsidRPr="00A2427B" w:rsidRDefault="008116EC" w:rsidP="008116EC">
      <w:pPr>
        <w:rPr>
          <w:sz w:val="16"/>
          <w:szCs w:val="16"/>
        </w:rPr>
      </w:pPr>
      <w:r w:rsidRPr="00A2427B">
        <w:rPr>
          <w:rStyle w:val="Style13ptBold"/>
        </w:rPr>
        <w:t xml:space="preserve">Sangero 18 </w:t>
      </w:r>
      <w:r w:rsidRPr="00A2427B">
        <w:rPr>
          <w:sz w:val="16"/>
          <w:szCs w:val="16"/>
        </w:rPr>
        <w:t xml:space="preserve">Boaz Sangero, Safety from Flawed Forensic Sciences Evidence, 34 Ga. St. U. L. Rev. 1129 (2018). Available at: </w:t>
      </w:r>
      <w:hyperlink r:id="rId6" w:history="1">
        <w:r w:rsidRPr="00A2427B">
          <w:rPr>
            <w:rStyle w:val="Hyperlink"/>
            <w:sz w:val="16"/>
            <w:szCs w:val="16"/>
          </w:rPr>
          <w:t>https://readingroom.law.gsu.edu/gsulr/vol34/iss4/8</w:t>
        </w:r>
      </w:hyperlink>
      <w:r w:rsidRPr="00A2427B">
        <w:rPr>
          <w:sz w:val="16"/>
          <w:szCs w:val="16"/>
        </w:rPr>
        <w:t xml:space="preserve"> dw</w:t>
      </w:r>
    </w:p>
    <w:p w14:paraId="1D2EE7B3" w14:textId="3FBA77C0" w:rsidR="008116EC" w:rsidRPr="00A2427B" w:rsidRDefault="008116EC" w:rsidP="008116EC">
      <w:pPr>
        <w:rPr>
          <w:rStyle w:val="StyleUnderline"/>
        </w:rPr>
      </w:pPr>
      <w:r w:rsidRPr="00A2427B">
        <w:rPr>
          <w:rStyle w:val="Style13ptBold"/>
          <w:rFonts w:asciiTheme="minorHAnsi" w:hAnsiTheme="minorHAnsi" w:cstheme="minorHAnsi"/>
          <w:b w:val="0"/>
          <w:bCs w:val="0"/>
          <w:sz w:val="14"/>
        </w:rPr>
        <w:t xml:space="preserve">The Admissibility of Forensic Sciences Evidence: From Frye to Daubert </w:t>
      </w:r>
      <w:r w:rsidRPr="00A2427B">
        <w:rPr>
          <w:rStyle w:val="StyleUnderline"/>
          <w:rFonts w:asciiTheme="minorHAnsi" w:hAnsiTheme="minorHAnsi" w:cstheme="minorHAnsi"/>
        </w:rPr>
        <w:t>How can judges distinguish between “true” scientific evidence and inadmissible “junk” scientific evidence</w:t>
      </w:r>
      <w:r w:rsidRPr="00A2427B">
        <w:rPr>
          <w:rStyle w:val="Style13ptBold"/>
          <w:rFonts w:asciiTheme="minorHAnsi" w:hAnsiTheme="minorHAnsi" w:cstheme="minorHAnsi"/>
          <w:b w:val="0"/>
          <w:bCs w:val="0"/>
          <w:sz w:val="14"/>
        </w:rPr>
        <w:t xml:space="preserve">? </w:t>
      </w:r>
      <w:r w:rsidRPr="00A2427B">
        <w:rPr>
          <w:rStyle w:val="StyleUnderline"/>
        </w:rPr>
        <w:t>In the past, the Frye standard</w:t>
      </w:r>
      <w:r w:rsidRPr="00A2427B">
        <w:rPr>
          <w:rStyle w:val="Style13ptBold"/>
          <w:rFonts w:asciiTheme="minorHAnsi" w:hAnsiTheme="minorHAnsi" w:cstheme="minorHAnsi"/>
          <w:b w:val="0"/>
          <w:bCs w:val="0"/>
          <w:sz w:val="14"/>
        </w:rPr>
        <w:t xml:space="preserve">, set in 1923, </w:t>
      </w:r>
      <w:r w:rsidRPr="00A2427B">
        <w:rPr>
          <w:rStyle w:val="StyleUnderline"/>
        </w:rPr>
        <w:t>was the prevailing rule</w:t>
      </w:r>
      <w:r w:rsidRPr="00A2427B">
        <w:rPr>
          <w:rStyle w:val="Style13ptBold"/>
          <w:rFonts w:asciiTheme="minorHAnsi" w:hAnsiTheme="minorHAnsi" w:cstheme="minorHAnsi"/>
          <w:b w:val="0"/>
          <w:bCs w:val="0"/>
          <w:sz w:val="14"/>
        </w:rPr>
        <w:t xml:space="preserve"> in American law.8 </w:t>
      </w:r>
      <w:r w:rsidRPr="00A2427B">
        <w:rPr>
          <w:rStyle w:val="StyleUnderline"/>
        </w:rPr>
        <w:t>Under this</w:t>
      </w:r>
      <w:r w:rsidRPr="00A2427B">
        <w:rPr>
          <w:rStyle w:val="Style13ptBold"/>
          <w:rFonts w:asciiTheme="minorHAnsi" w:hAnsiTheme="minorHAnsi" w:cstheme="minorHAnsi"/>
          <w:b w:val="0"/>
          <w:bCs w:val="0"/>
          <w:sz w:val="14"/>
        </w:rPr>
        <w:t xml:space="preserve"> rule, “</w:t>
      </w:r>
      <w:r w:rsidRPr="00A2427B">
        <w:rPr>
          <w:rStyle w:val="StyleUnderline"/>
        </w:rPr>
        <w:t>general acceptance”</w:t>
      </w:r>
      <w:r w:rsidRPr="00A2427B">
        <w:rPr>
          <w:rStyle w:val="Style13ptBold"/>
          <w:rFonts w:asciiTheme="minorHAnsi" w:hAnsiTheme="minorHAnsi" w:cstheme="minorHAnsi"/>
          <w:b w:val="0"/>
          <w:bCs w:val="0"/>
          <w:sz w:val="14"/>
        </w:rPr>
        <w:t xml:space="preserve"> </w:t>
      </w:r>
      <w:r w:rsidRPr="00A2427B">
        <w:rPr>
          <w:rStyle w:val="StyleUnderline"/>
        </w:rPr>
        <w:t>of the method</w:t>
      </w:r>
      <w:r w:rsidRPr="00A2427B">
        <w:rPr>
          <w:rStyle w:val="Style13ptBold"/>
          <w:rFonts w:asciiTheme="minorHAnsi" w:hAnsiTheme="minorHAnsi" w:cstheme="minorHAnsi"/>
          <w:b w:val="0"/>
          <w:bCs w:val="0"/>
          <w:sz w:val="14"/>
        </w:rPr>
        <w:t xml:space="preserve"> on which t</w:t>
      </w:r>
      <w:r w:rsidRPr="00A2427B">
        <w:rPr>
          <w:rStyle w:val="StyleUnderline"/>
        </w:rPr>
        <w:t>he evidence rests in the relevant scientific field is sufficient for it to be admissible in court.</w:t>
      </w:r>
      <w:r w:rsidRPr="00A2427B">
        <w:rPr>
          <w:rStyle w:val="Style13ptBold"/>
          <w:rFonts w:asciiTheme="minorHAnsi" w:hAnsiTheme="minorHAnsi" w:cstheme="minorHAnsi"/>
          <w:b w:val="0"/>
          <w:bCs w:val="0"/>
          <w:sz w:val="14"/>
        </w:rPr>
        <w:t xml:space="preserve">9 This rule predominated for seventy years until </w:t>
      </w:r>
      <w:r w:rsidRPr="00A2427B">
        <w:rPr>
          <w:rStyle w:val="StyleUnderline"/>
        </w:rPr>
        <w:t>it was supplanted by a more sophisticated rule</w:t>
      </w:r>
      <w:r w:rsidRPr="00A2427B">
        <w:rPr>
          <w:rStyle w:val="Style13ptBold"/>
          <w:rFonts w:asciiTheme="minorHAnsi" w:hAnsiTheme="minorHAnsi" w:cstheme="minorHAnsi"/>
          <w:b w:val="0"/>
          <w:bCs w:val="0"/>
          <w:sz w:val="14"/>
        </w:rPr>
        <w:t xml:space="preserve">, set in 1993 </w:t>
      </w:r>
      <w:r w:rsidRPr="00A2427B">
        <w:rPr>
          <w:rStyle w:val="StyleUnderline"/>
        </w:rPr>
        <w:t>by Daubert</w:t>
      </w:r>
      <w:r w:rsidRPr="00A2427B">
        <w:rPr>
          <w:rStyle w:val="Style13ptBold"/>
          <w:rFonts w:asciiTheme="minorHAnsi" w:hAnsiTheme="minorHAnsi" w:cstheme="minorHAnsi"/>
          <w:b w:val="0"/>
          <w:bCs w:val="0"/>
          <w:sz w:val="14"/>
        </w:rPr>
        <w:t xml:space="preserve">.10 Whereas </w:t>
      </w:r>
      <w:r w:rsidRPr="00A2427B">
        <w:rPr>
          <w:rStyle w:val="StyleUnderline"/>
        </w:rPr>
        <w:t>the Frye rule enabled judges to refrain from a deep examination of the relevant scientific field</w:t>
      </w:r>
      <w:r w:rsidRPr="00A2427B">
        <w:rPr>
          <w:rStyle w:val="Style13ptBold"/>
          <w:rFonts w:asciiTheme="minorHAnsi" w:hAnsiTheme="minorHAnsi" w:cstheme="minorHAnsi"/>
          <w:b w:val="0"/>
          <w:bCs w:val="0"/>
          <w:sz w:val="14"/>
        </w:rPr>
        <w:t xml:space="preserve"> and suffice with the fact that the method in question is generally accepted by the scientific community to which it belongs, </w:t>
      </w:r>
      <w:r w:rsidRPr="00A2427B">
        <w:rPr>
          <w:rStyle w:val="Emphasis"/>
        </w:rPr>
        <w:t xml:space="preserve">the Daubert rule is designed to ensure greater caution: it made judges “gatekeepers,” tasked with blocking the entry of nonscientific evidence fraudulently presented as scientific into the courtroom. </w:t>
      </w:r>
      <w:r w:rsidRPr="00A2427B">
        <w:rPr>
          <w:rStyle w:val="StyleUnderline"/>
        </w:rPr>
        <w:t>Daubert set four admissibility criteria</w:t>
      </w:r>
      <w:r w:rsidRPr="00A2427B">
        <w:rPr>
          <w:rStyle w:val="Style13ptBold"/>
          <w:rFonts w:asciiTheme="minorHAnsi" w:hAnsiTheme="minorHAnsi" w:cstheme="minorHAnsi"/>
          <w:b w:val="0"/>
          <w:bCs w:val="0"/>
          <w:sz w:val="14"/>
        </w:rPr>
        <w:t xml:space="preserve"> for scientific evidence.11 First, </w:t>
      </w:r>
      <w:r w:rsidRPr="00A2427B">
        <w:rPr>
          <w:rStyle w:val="StyleUnderline"/>
        </w:rPr>
        <w:t>the scientific method on which the evidence is allegedly based must adhere to</w:t>
      </w:r>
      <w:r w:rsidRPr="00A2427B">
        <w:rPr>
          <w:rStyle w:val="Style13ptBold"/>
          <w:rFonts w:asciiTheme="minorHAnsi" w:hAnsiTheme="minorHAnsi" w:cstheme="minorHAnsi"/>
          <w:b w:val="0"/>
          <w:bCs w:val="0"/>
          <w:sz w:val="14"/>
        </w:rPr>
        <w:t xml:space="preserve"> Karl </w:t>
      </w:r>
      <w:r w:rsidRPr="00A2427B">
        <w:rPr>
          <w:rStyle w:val="StyleUnderline"/>
        </w:rPr>
        <w:t>Popper’s principle of falsifiability</w:t>
      </w:r>
      <w:r w:rsidRPr="00A2427B">
        <w:rPr>
          <w:rStyle w:val="Style13ptBold"/>
          <w:rFonts w:asciiTheme="minorHAnsi" w:hAnsiTheme="minorHAnsi" w:cstheme="minorHAnsi"/>
          <w:b w:val="0"/>
          <w:bCs w:val="0"/>
          <w:sz w:val="14"/>
        </w:rPr>
        <w:t xml:space="preserve">. That is, </w:t>
      </w:r>
      <w:r w:rsidRPr="00A2427B">
        <w:rPr>
          <w:rStyle w:val="StyleUnderline"/>
        </w:rPr>
        <w:t>the method must be empirically testable for falsifiability or refutability</w:t>
      </w:r>
      <w:r w:rsidRPr="00A2427B">
        <w:rPr>
          <w:rStyle w:val="Style13ptBold"/>
          <w:rFonts w:asciiTheme="minorHAnsi" w:hAnsiTheme="minorHAnsi" w:cstheme="minorHAnsi"/>
          <w:b w:val="0"/>
          <w:bCs w:val="0"/>
          <w:sz w:val="14"/>
        </w:rPr>
        <w:t xml:space="preserve">, </w:t>
      </w:r>
      <w:r w:rsidRPr="00A2427B">
        <w:rPr>
          <w:rStyle w:val="StyleUnderline"/>
        </w:rPr>
        <w:t>and must have been successfully tested</w:t>
      </w:r>
      <w:r w:rsidRPr="00A2427B">
        <w:rPr>
          <w:rStyle w:val="Style13ptBold"/>
          <w:rFonts w:asciiTheme="minorHAnsi" w:hAnsiTheme="minorHAnsi" w:cstheme="minorHAnsi"/>
          <w:b w:val="0"/>
          <w:bCs w:val="0"/>
          <w:sz w:val="14"/>
        </w:rPr>
        <w:t xml:space="preserve"> in order to be considered scientific methodology.12 Second, </w:t>
      </w:r>
      <w:r w:rsidRPr="00A2427B">
        <w:rPr>
          <w:rStyle w:val="StyleUnderline"/>
        </w:rPr>
        <w:t>the error rate of the evidence must be known</w:t>
      </w:r>
      <w:r w:rsidRPr="00A2427B">
        <w:rPr>
          <w:rStyle w:val="Style13ptBold"/>
          <w:rFonts w:asciiTheme="minorHAnsi" w:hAnsiTheme="minorHAnsi" w:cstheme="minorHAnsi"/>
          <w:b w:val="0"/>
          <w:bCs w:val="0"/>
          <w:sz w:val="14"/>
        </w:rPr>
        <w:t xml:space="preserve">.13 Third, </w:t>
      </w:r>
      <w:r w:rsidRPr="00A2427B">
        <w:rPr>
          <w:rStyle w:val="StyleUnderline"/>
        </w:rPr>
        <w:t>the scientific method must have been subject to peer review and published</w:t>
      </w:r>
      <w:r w:rsidRPr="00A2427B">
        <w:rPr>
          <w:rStyle w:val="Style13ptBold"/>
          <w:rFonts w:asciiTheme="minorHAnsi" w:hAnsiTheme="minorHAnsi" w:cstheme="minorHAnsi"/>
          <w:b w:val="0"/>
          <w:bCs w:val="0"/>
          <w:sz w:val="14"/>
        </w:rPr>
        <w:t xml:space="preserve">.14 </w:t>
      </w:r>
      <w:r w:rsidRPr="00A2427B">
        <w:rPr>
          <w:rStyle w:val="StyleUnderline"/>
        </w:rPr>
        <w:t>And</w:t>
      </w:r>
      <w:r w:rsidRPr="00A2427B">
        <w:rPr>
          <w:rStyle w:val="Style13ptBold"/>
          <w:rFonts w:asciiTheme="minorHAnsi" w:hAnsiTheme="minorHAnsi" w:cstheme="minorHAnsi"/>
          <w:b w:val="0"/>
          <w:bCs w:val="0"/>
          <w:sz w:val="14"/>
        </w:rPr>
        <w:t xml:space="preserve"> finally, </w:t>
      </w:r>
      <w:r w:rsidRPr="00A2427B">
        <w:rPr>
          <w:rStyle w:val="StyleUnderline"/>
        </w:rPr>
        <w:t>similar to</w:t>
      </w:r>
      <w:r w:rsidRPr="00A2427B">
        <w:rPr>
          <w:rStyle w:val="Style13ptBold"/>
          <w:rFonts w:asciiTheme="minorHAnsi" w:hAnsiTheme="minorHAnsi" w:cstheme="minorHAnsi"/>
          <w:b w:val="0"/>
          <w:bCs w:val="0"/>
          <w:sz w:val="14"/>
        </w:rPr>
        <w:t xml:space="preserve"> the requirement under the </w:t>
      </w:r>
      <w:r w:rsidRPr="00A2427B">
        <w:rPr>
          <w:rStyle w:val="StyleUnderline"/>
        </w:rPr>
        <w:t>Frye</w:t>
      </w:r>
      <w:r w:rsidRPr="00A2427B">
        <w:rPr>
          <w:rStyle w:val="Style13ptBold"/>
          <w:rFonts w:asciiTheme="minorHAnsi" w:hAnsiTheme="minorHAnsi" w:cstheme="minorHAnsi"/>
          <w:b w:val="0"/>
          <w:bCs w:val="0"/>
          <w:sz w:val="14"/>
        </w:rPr>
        <w:t xml:space="preserve"> rule, </w:t>
      </w:r>
      <w:r w:rsidRPr="00A2427B">
        <w:rPr>
          <w:rStyle w:val="StyleUnderline"/>
        </w:rPr>
        <w:t>the method must be accepted within the relevant scientific community</w:t>
      </w:r>
      <w:r w:rsidRPr="00A2427B">
        <w:rPr>
          <w:rStyle w:val="Style13ptBold"/>
          <w:rFonts w:asciiTheme="minorHAnsi" w:hAnsiTheme="minorHAnsi" w:cstheme="minorHAnsi"/>
          <w:b w:val="0"/>
          <w:bCs w:val="0"/>
          <w:sz w:val="14"/>
        </w:rPr>
        <w:t xml:space="preserve">.15 As Professor Alex Stein compellingly explained, </w:t>
      </w:r>
      <w:r w:rsidRPr="00A2427B">
        <w:rPr>
          <w:rStyle w:val="StyleUnderline"/>
        </w:rPr>
        <w:t>the fourth requirement is particularly crucial:</w:t>
      </w:r>
      <w:r w:rsidRPr="00A2427B">
        <w:rPr>
          <w:rStyle w:val="Style13ptBold"/>
          <w:rFonts w:asciiTheme="minorHAnsi" w:hAnsiTheme="minorHAnsi" w:cstheme="minorHAnsi"/>
          <w:b w:val="0"/>
          <w:bCs w:val="0"/>
          <w:sz w:val="14"/>
        </w:rPr>
        <w:t xml:space="preserve"> admitting </w:t>
      </w:r>
      <w:r w:rsidRPr="00A2427B">
        <w:rPr>
          <w:rStyle w:val="StyleUnderline"/>
        </w:rPr>
        <w:t>scientific evidence that does not meet the Frye standard</w:t>
      </w:r>
      <w:r w:rsidRPr="00A2427B">
        <w:rPr>
          <w:rStyle w:val="Style13ptBold"/>
          <w:rFonts w:asciiTheme="minorHAnsi" w:hAnsiTheme="minorHAnsi" w:cstheme="minorHAnsi"/>
          <w:b w:val="0"/>
          <w:bCs w:val="0"/>
          <w:sz w:val="14"/>
        </w:rPr>
        <w:t xml:space="preserve"> would </w:t>
      </w:r>
      <w:r w:rsidRPr="00A2427B">
        <w:rPr>
          <w:rStyle w:val="StyleUnderline"/>
        </w:rPr>
        <w:t>undermine the allocation of the risk of erro</w:t>
      </w:r>
      <w:r w:rsidRPr="00A2427B">
        <w:rPr>
          <w:rStyle w:val="Style13ptBold"/>
          <w:rFonts w:asciiTheme="minorHAnsi" w:hAnsiTheme="minorHAnsi" w:cstheme="minorHAnsi"/>
          <w:b w:val="0"/>
          <w:bCs w:val="0"/>
          <w:sz w:val="14"/>
        </w:rPr>
        <w:t xml:space="preserve">r, which cannot be contingent on a judicial prediction regarding the odds of the success of a particular scientific progress.16 </w:t>
      </w:r>
      <w:r w:rsidRPr="00A2427B">
        <w:rPr>
          <w:rStyle w:val="StyleUnderline"/>
        </w:rPr>
        <w:t>The Daubert standard</w:t>
      </w:r>
      <w:r w:rsidRPr="00A2427B">
        <w:rPr>
          <w:rStyle w:val="Style13ptBold"/>
          <w:rFonts w:asciiTheme="minorHAnsi" w:hAnsiTheme="minorHAnsi" w:cstheme="minorHAnsi"/>
          <w:b w:val="0"/>
          <w:bCs w:val="0"/>
          <w:sz w:val="14"/>
        </w:rPr>
        <w:t xml:space="preserve">, along with certain refinements of the rule, thus </w:t>
      </w:r>
      <w:r w:rsidRPr="00A2427B">
        <w:rPr>
          <w:rStyle w:val="StyleUnderline"/>
        </w:rPr>
        <w:t>requires judges to make an effort to delve into the relevant scientific field and to examine the reliability and validity of the scientific method</w:t>
      </w:r>
      <w:r w:rsidRPr="00A2427B">
        <w:rPr>
          <w:rStyle w:val="Style13ptBold"/>
          <w:rFonts w:asciiTheme="minorHAnsi" w:hAnsiTheme="minorHAnsi" w:cstheme="minorHAnsi"/>
          <w:b w:val="0"/>
          <w:bCs w:val="0"/>
          <w:sz w:val="14"/>
        </w:rPr>
        <w:t xml:space="preserve"> (which is, in effect, a classification system) </w:t>
      </w:r>
      <w:r w:rsidRPr="00A2427B">
        <w:rPr>
          <w:rStyle w:val="StyleUnderline"/>
        </w:rPr>
        <w:t>on which the evidence is grounded.</w:t>
      </w:r>
      <w:r w:rsidRPr="00A2427B">
        <w:rPr>
          <w:rStyle w:val="Style13ptBold"/>
          <w:rFonts w:asciiTheme="minorHAnsi" w:hAnsiTheme="minorHAnsi" w:cstheme="minorHAnsi"/>
          <w:b w:val="0"/>
          <w:bCs w:val="0"/>
          <w:sz w:val="14"/>
        </w:rPr>
        <w:t>17 “</w:t>
      </w:r>
      <w:r w:rsidRPr="00A2427B">
        <w:rPr>
          <w:rStyle w:val="StyleUnderline"/>
        </w:rPr>
        <w:t>Reliability” in this context refers to the consistency of the classification</w:t>
      </w:r>
      <w:r w:rsidRPr="00A2427B">
        <w:rPr>
          <w:rStyle w:val="Style13ptBold"/>
          <w:rFonts w:asciiTheme="minorHAnsi" w:hAnsiTheme="minorHAnsi" w:cstheme="minorHAnsi"/>
          <w:b w:val="0"/>
          <w:bCs w:val="0"/>
          <w:sz w:val="14"/>
        </w:rPr>
        <w:t>; for example, a test is reliable if the same result will be arrived at if performed by different experts at different points in time. “</w:t>
      </w:r>
      <w:r w:rsidRPr="00A2427B">
        <w:rPr>
          <w:rStyle w:val="StyleUnderline"/>
        </w:rPr>
        <w:t>Valid” means that the method</w:t>
      </w:r>
      <w:r w:rsidRPr="00A2427B">
        <w:rPr>
          <w:rStyle w:val="Style13ptBold"/>
          <w:rFonts w:asciiTheme="minorHAnsi" w:hAnsiTheme="minorHAnsi" w:cstheme="minorHAnsi"/>
          <w:b w:val="0"/>
          <w:bCs w:val="0"/>
          <w:sz w:val="14"/>
        </w:rPr>
        <w:t xml:space="preserve"> (the classification system</w:t>
      </w:r>
      <w:r w:rsidRPr="00A2427B">
        <w:rPr>
          <w:rStyle w:val="StyleUnderline"/>
        </w:rPr>
        <w:t>) is suited to the purposes for which it is used</w:t>
      </w:r>
      <w:r w:rsidRPr="00A2427B">
        <w:rPr>
          <w:rStyle w:val="Style13ptBold"/>
          <w:rFonts w:asciiTheme="minorHAnsi" w:hAnsiTheme="minorHAnsi" w:cstheme="minorHAnsi"/>
          <w:b w:val="0"/>
          <w:bCs w:val="0"/>
          <w:sz w:val="14"/>
        </w:rPr>
        <w:t xml:space="preserve">. In the legal context, a test is valid if it suits the aim of distinguishing between who is guilty of committing the crime in question and who is innocent. A test can be reliable but not valid. For example, a test that uses an arbitrary rule to distinguish between guilt and innocence according to skin color will be a reliable test, because different people will concur regarding the color of a defendant’s skin and color will not alter over time. This method will not be valid, though, because the color of a person’s skin is immaterial to the question of his guilt or innocence. In contrast, reliability is a necessary condition for validity: if different experts can arrive at different outcomes, or if outcomes vary over time, then the test or method cannot be valid. In effect, then, </w:t>
      </w:r>
      <w:r w:rsidRPr="00A2427B">
        <w:rPr>
          <w:rStyle w:val="StyleUnderline"/>
        </w:rPr>
        <w:t>despite the fact that the Daubert rule takes precedence today,</w:t>
      </w:r>
      <w:r w:rsidRPr="00A2427B">
        <w:rPr>
          <w:rStyle w:val="Style13ptBold"/>
          <w:rFonts w:asciiTheme="minorHAnsi" w:hAnsiTheme="minorHAnsi" w:cstheme="minorHAnsi"/>
          <w:b w:val="0"/>
          <w:bCs w:val="0"/>
          <w:sz w:val="14"/>
        </w:rPr>
        <w:t xml:space="preserve"> </w:t>
      </w:r>
      <w:r w:rsidRPr="00A2427B">
        <w:rPr>
          <w:rStyle w:val="StyleUnderline"/>
        </w:rPr>
        <w:t>the two rules—Daubert and Frye—exist side-byside in American case law</w:t>
      </w:r>
      <w:r w:rsidRPr="00A2427B">
        <w:rPr>
          <w:rStyle w:val="Style13ptBold"/>
          <w:rFonts w:asciiTheme="minorHAnsi" w:hAnsiTheme="minorHAnsi" w:cstheme="minorHAnsi"/>
          <w:b w:val="0"/>
          <w:bCs w:val="0"/>
          <w:sz w:val="14"/>
        </w:rPr>
        <w:t xml:space="preserve">.18 Generally, </w:t>
      </w:r>
      <w:r w:rsidRPr="00A2427B">
        <w:rPr>
          <w:rStyle w:val="StyleUnderline"/>
        </w:rPr>
        <w:t>emphasis on the criterion of acceptance by the relevant scientific community (the Frye test) will lead the court to relax the requirements for recognizing the scientific reliability of given evidence, whereas a deeper examination of the scientific grounding and methodology of the evidence—in the spirit of the Daubert rule—will lead to a more rigorous approach.</w:t>
      </w:r>
      <w:r w:rsidRPr="00A2427B">
        <w:rPr>
          <w:rStyle w:val="Style13ptBold"/>
          <w:rFonts w:asciiTheme="minorHAnsi" w:hAnsiTheme="minorHAnsi" w:cstheme="minorHAnsi"/>
          <w:b w:val="0"/>
          <w:bCs w:val="0"/>
          <w:sz w:val="14"/>
        </w:rPr>
        <w:t xml:space="preserve">19 Oftentimes, as </w:t>
      </w:r>
      <w:r w:rsidRPr="00A2427B">
        <w:rPr>
          <w:rStyle w:val="StyleUnderline"/>
        </w:rPr>
        <w:t>judges struggle with the investigation of the scientific aspects with which the Daubert rule is concerned,</w:t>
      </w:r>
      <w:r w:rsidRPr="00A2427B">
        <w:rPr>
          <w:rStyle w:val="Style13ptBold"/>
          <w:rFonts w:asciiTheme="minorHAnsi" w:hAnsiTheme="minorHAnsi" w:cstheme="minorHAnsi"/>
          <w:b w:val="0"/>
          <w:bCs w:val="0"/>
          <w:sz w:val="14"/>
        </w:rPr>
        <w:t xml:space="preserve"> th</w:t>
      </w:r>
      <w:r w:rsidRPr="00A2427B">
        <w:rPr>
          <w:rStyle w:val="StyleUnderline"/>
        </w:rPr>
        <w:t>ey incorrectly classify methodological errors made by experts as relevant to the weight—and not to the actual validity—of the evidence,</w:t>
      </w:r>
      <w:r w:rsidRPr="00A2427B">
        <w:rPr>
          <w:rStyle w:val="Style13ptBold"/>
          <w:rFonts w:asciiTheme="minorHAnsi" w:hAnsiTheme="minorHAnsi" w:cstheme="minorHAnsi"/>
          <w:b w:val="0"/>
          <w:bCs w:val="0"/>
          <w:sz w:val="14"/>
        </w:rPr>
        <w:t xml:space="preserve"> </w:t>
      </w:r>
      <w:r w:rsidRPr="00A2427B">
        <w:rPr>
          <w:rStyle w:val="StyleUnderline"/>
        </w:rPr>
        <w:t>admitting</w:t>
      </w:r>
      <w:r w:rsidRPr="00A2427B">
        <w:rPr>
          <w:rStyle w:val="Style13ptBold"/>
          <w:rFonts w:asciiTheme="minorHAnsi" w:hAnsiTheme="minorHAnsi" w:cstheme="minorHAnsi"/>
          <w:b w:val="0"/>
          <w:bCs w:val="0"/>
          <w:sz w:val="14"/>
        </w:rPr>
        <w:t xml:space="preserve"> </w:t>
      </w:r>
      <w:r w:rsidRPr="00A2427B">
        <w:rPr>
          <w:rStyle w:val="StyleUnderline"/>
        </w:rPr>
        <w:t xml:space="preserve">evidence as scientific when it is not deserving </w:t>
      </w:r>
      <w:r w:rsidRPr="00A2427B">
        <w:rPr>
          <w:rStyle w:val="Style13ptBold"/>
          <w:rFonts w:asciiTheme="minorHAnsi" w:hAnsiTheme="minorHAnsi" w:cstheme="minorHAnsi"/>
          <w:b w:val="0"/>
          <w:bCs w:val="0"/>
          <w:sz w:val="14"/>
        </w:rPr>
        <w:t xml:space="preserve">of the title, at times </w:t>
      </w:r>
      <w:r w:rsidRPr="00A2427B">
        <w:rPr>
          <w:rStyle w:val="StyleUnderline"/>
        </w:rPr>
        <w:t>through resort to the Frye rule</w:t>
      </w:r>
      <w:r w:rsidRPr="00A2427B">
        <w:rPr>
          <w:rStyle w:val="Style13ptBold"/>
          <w:rFonts w:asciiTheme="minorHAnsi" w:hAnsiTheme="minorHAnsi" w:cstheme="minorHAnsi"/>
          <w:b w:val="0"/>
          <w:bCs w:val="0"/>
          <w:sz w:val="14"/>
        </w:rPr>
        <w:t xml:space="preserve">.20 One might wonder why scientific evidence in particular should be required to meet the criteria of reliability and validity when other types of evidence, such as witness testimony, are not. There are several possible interrelated, cumulative answers to this.21 First, scientific evidence is purported to be science (expert testimony is an exception to the hearsay rule). Second, </w:t>
      </w:r>
      <w:r w:rsidRPr="00A2427B">
        <w:rPr>
          <w:rStyle w:val="StyleUnderline"/>
        </w:rPr>
        <w:t>the “aura” of science can be expected to [sway]</w:t>
      </w:r>
      <w:r w:rsidRPr="00A2427B">
        <w:rPr>
          <w:strike/>
          <w:sz w:val="14"/>
        </w:rPr>
        <w:t>blind</w:t>
      </w:r>
      <w:r w:rsidRPr="00A2427B">
        <w:rPr>
          <w:rStyle w:val="StyleUnderline"/>
        </w:rPr>
        <w:t xml:space="preserve"> judges and jurors and lead them to overestimate the real probative strength of scientific evidence.</w:t>
      </w:r>
      <w:r w:rsidRPr="00A2427B">
        <w:rPr>
          <w:rStyle w:val="Style13ptBold"/>
          <w:rFonts w:asciiTheme="minorHAnsi" w:hAnsiTheme="minorHAnsi" w:cstheme="minorHAnsi"/>
          <w:b w:val="0"/>
          <w:bCs w:val="0"/>
          <w:sz w:val="14"/>
        </w:rPr>
        <w:t xml:space="preserve"> Third, in scientific evidence, it is more practical to require and examine reliability and validity. And finally, fourth, the path toward implementing appropriately rigorous standards for types of evidence that can determine defendants’ fate must begin somewhere. The next step is to address the remaining types of evidence and apply similar rules and standards to them. B. The Weight of Forensic Sciences Evidence: From “Uniqueness,” “Individualization,” and “Perfection” to Empirical and Probabilistic Foundation Presumably, the different types of </w:t>
      </w:r>
      <w:r w:rsidRPr="00A2427B">
        <w:rPr>
          <w:rStyle w:val="StyleUnderline"/>
        </w:rPr>
        <w:t>scientific evidence could have been expected to greatly advance and refine criminal law and make it more precise</w:t>
      </w:r>
      <w:r w:rsidRPr="00A2427B">
        <w:rPr>
          <w:rStyle w:val="Style13ptBold"/>
          <w:rFonts w:asciiTheme="minorHAnsi" w:hAnsiTheme="minorHAnsi" w:cstheme="minorHAnsi"/>
          <w:b w:val="0"/>
          <w:bCs w:val="0"/>
          <w:sz w:val="14"/>
        </w:rPr>
        <w:t xml:space="preserve">. There is no doubt that </w:t>
      </w:r>
      <w:r w:rsidRPr="00A2427B">
        <w:rPr>
          <w:rStyle w:val="StyleUnderline"/>
        </w:rPr>
        <w:t>DNA testing and fingerprint comparisons</w:t>
      </w:r>
      <w:r w:rsidRPr="00A2427B">
        <w:rPr>
          <w:rStyle w:val="Style13ptBold"/>
          <w:rFonts w:asciiTheme="minorHAnsi" w:hAnsiTheme="minorHAnsi" w:cstheme="minorHAnsi"/>
          <w:b w:val="0"/>
          <w:bCs w:val="0"/>
          <w:sz w:val="14"/>
        </w:rPr>
        <w:t>—despite being termed “circumstantial” evidence—</w:t>
      </w:r>
      <w:r w:rsidRPr="00A2427B">
        <w:rPr>
          <w:rStyle w:val="StyleUnderline"/>
        </w:rPr>
        <w:t xml:space="preserve">are far more accurate than </w:t>
      </w:r>
      <w:r w:rsidRPr="00A2427B">
        <w:rPr>
          <w:rStyle w:val="Style13ptBold"/>
          <w:rFonts w:asciiTheme="minorHAnsi" w:hAnsiTheme="minorHAnsi" w:cstheme="minorHAnsi"/>
          <w:b w:val="0"/>
          <w:bCs w:val="0"/>
          <w:sz w:val="14"/>
        </w:rPr>
        <w:t xml:space="preserve">the traditional types of evidence, referred to as “direct” evidence: </w:t>
      </w:r>
      <w:r w:rsidRPr="00A2427B">
        <w:rPr>
          <w:rStyle w:val="StyleUnderline"/>
        </w:rPr>
        <w:t>eyewitness testimony and confessions</w:t>
      </w:r>
      <w:r w:rsidRPr="00A2427B">
        <w:rPr>
          <w:rStyle w:val="Style13ptBold"/>
          <w:rFonts w:asciiTheme="minorHAnsi" w:hAnsiTheme="minorHAnsi" w:cstheme="minorHAnsi"/>
          <w:b w:val="0"/>
          <w:bCs w:val="0"/>
          <w:sz w:val="14"/>
        </w:rPr>
        <w:t xml:space="preserve">.22 Yet in the framework of the first Innocence Project, </w:t>
      </w:r>
      <w:r w:rsidRPr="00A2427B">
        <w:rPr>
          <w:rStyle w:val="StyleUnderline"/>
        </w:rPr>
        <w:t>misapplication of forensic science is the second most common contributing factor to wrongful convictions, found in nearly half</w:t>
      </w:r>
      <w:r w:rsidRPr="00A2427B">
        <w:rPr>
          <w:rStyle w:val="Style13ptBold"/>
          <w:rFonts w:asciiTheme="minorHAnsi" w:hAnsiTheme="minorHAnsi" w:cstheme="minorHAnsi"/>
          <w:b w:val="0"/>
          <w:bCs w:val="0"/>
          <w:sz w:val="14"/>
        </w:rPr>
        <w:t xml:space="preserve"> (45%) </w:t>
      </w:r>
      <w:r w:rsidRPr="00A2427B">
        <w:rPr>
          <w:rStyle w:val="StyleUnderline"/>
        </w:rPr>
        <w:t>of DNA exoneration cases</w:t>
      </w:r>
      <w:r w:rsidRPr="00A2427B">
        <w:rPr>
          <w:rStyle w:val="Style13ptBold"/>
          <w:rFonts w:asciiTheme="minorHAnsi" w:hAnsiTheme="minorHAnsi" w:cstheme="minorHAnsi"/>
          <w:b w:val="0"/>
          <w:bCs w:val="0"/>
          <w:sz w:val="14"/>
        </w:rPr>
        <w:t xml:space="preserve">.23 Moreover, as of March 2018, </w:t>
      </w:r>
      <w:r w:rsidRPr="00A2427B">
        <w:rPr>
          <w:rStyle w:val="StyleUnderline"/>
        </w:rPr>
        <w:t>in the National Registry of Exonerations</w:t>
      </w:r>
      <w:r w:rsidRPr="00A2427B">
        <w:rPr>
          <w:rStyle w:val="Style13ptBold"/>
          <w:rFonts w:asciiTheme="minorHAnsi" w:hAnsiTheme="minorHAnsi" w:cstheme="minorHAnsi"/>
          <w:b w:val="0"/>
          <w:bCs w:val="0"/>
          <w:sz w:val="14"/>
        </w:rPr>
        <w:t>, 517 of the 2,152 registered exonerations (</w:t>
      </w:r>
      <w:r w:rsidRPr="00A2427B">
        <w:rPr>
          <w:rStyle w:val="StyleUnderline"/>
        </w:rPr>
        <w:t>24%)</w:t>
      </w:r>
      <w:r w:rsidRPr="00A2427B">
        <w:rPr>
          <w:rStyle w:val="Style13ptBold"/>
          <w:rFonts w:asciiTheme="minorHAnsi" w:hAnsiTheme="minorHAnsi" w:cstheme="minorHAnsi"/>
          <w:b w:val="0"/>
          <w:bCs w:val="0"/>
          <w:sz w:val="14"/>
        </w:rPr>
        <w:t xml:space="preserve"> </w:t>
      </w:r>
      <w:r w:rsidRPr="00A2427B">
        <w:rPr>
          <w:rStyle w:val="StyleUnderline"/>
        </w:rPr>
        <w:t>involved false or misleading forensic evidence</w:t>
      </w:r>
      <w:r w:rsidRPr="00A2427B">
        <w:rPr>
          <w:rStyle w:val="Style13ptBold"/>
          <w:rFonts w:asciiTheme="minorHAnsi" w:hAnsiTheme="minorHAnsi" w:cstheme="minorHAnsi"/>
          <w:b w:val="0"/>
          <w:bCs w:val="0"/>
          <w:sz w:val="14"/>
        </w:rPr>
        <w:t xml:space="preserve">.24 </w:t>
      </w:r>
      <w:r w:rsidRPr="00A2427B">
        <w:rPr>
          <w:rStyle w:val="StyleUnderline"/>
        </w:rPr>
        <w:t xml:space="preserve">Why is it that accurate forms of evidence can be more misleading </w:t>
      </w:r>
      <w:r w:rsidRPr="00A2427B">
        <w:rPr>
          <w:rStyle w:val="Style13ptBold"/>
          <w:rFonts w:asciiTheme="minorHAnsi" w:hAnsiTheme="minorHAnsi" w:cstheme="minorHAnsi"/>
          <w:b w:val="0"/>
          <w:bCs w:val="0"/>
          <w:sz w:val="14"/>
        </w:rPr>
        <w:t xml:space="preserve">than other types of evidence? </w:t>
      </w:r>
      <w:r w:rsidRPr="00A2427B">
        <w:rPr>
          <w:rStyle w:val="StyleUnderline"/>
        </w:rPr>
        <w:t xml:space="preserve">One possible explanation is that they </w:t>
      </w:r>
      <w:r w:rsidRPr="00A2427B">
        <w:rPr>
          <w:rStyle w:val="StyleUnderline"/>
          <w:strike/>
        </w:rPr>
        <w:t>[</w:t>
      </w:r>
      <w:r w:rsidRPr="00A2427B">
        <w:rPr>
          <w:rStyle w:val="StyleUnderline"/>
        </w:rPr>
        <w:t xml:space="preserve">sway] </w:t>
      </w:r>
      <w:r w:rsidRPr="00A2427B">
        <w:rPr>
          <w:rStyle w:val="StyleUnderline"/>
          <w:strike/>
        </w:rPr>
        <w:t>blind</w:t>
      </w:r>
      <w:r w:rsidRPr="00A2427B">
        <w:rPr>
          <w:rStyle w:val="StyleUnderline"/>
        </w:rPr>
        <w:t xml:space="preserve"> judges and jurors. </w:t>
      </w:r>
      <w:r w:rsidRPr="00A2427B">
        <w:rPr>
          <w:rStyle w:val="Style13ptBold"/>
          <w:rFonts w:asciiTheme="minorHAnsi" w:hAnsiTheme="minorHAnsi" w:cstheme="minorHAnsi"/>
          <w:b w:val="0"/>
          <w:bCs w:val="0"/>
          <w:sz w:val="14"/>
        </w:rPr>
        <w:t>As one defense attorney remarked, “</w:t>
      </w:r>
      <w:r w:rsidRPr="00A2427B">
        <w:rPr>
          <w:rStyle w:val="StyleUnderline"/>
          <w:sz w:val="28"/>
          <w:szCs w:val="28"/>
        </w:rPr>
        <w:t>If you put God on the witness stand . . . and God’s testimony conflicted with the DNA evidence, everyone would automatically say, ‘Why is God lying like this?</w:t>
      </w:r>
      <w:r w:rsidRPr="00A2427B">
        <w:rPr>
          <w:rStyle w:val="Style13ptBold"/>
          <w:rFonts w:asciiTheme="minorHAnsi" w:hAnsiTheme="minorHAnsi" w:cstheme="minorHAnsi"/>
          <w:b w:val="0"/>
          <w:bCs w:val="0"/>
          <w:sz w:val="14"/>
        </w:rPr>
        <w:t xml:space="preserve">’”25 We all, justifiably, hold science in the highest esteem. However, </w:t>
      </w:r>
      <w:r w:rsidRPr="00A2427B">
        <w:rPr>
          <w:rStyle w:val="StyleUnderline"/>
        </w:rPr>
        <w:t>judges and jurors are not scientists</w:t>
      </w:r>
      <w:r w:rsidRPr="00A2427B">
        <w:rPr>
          <w:rStyle w:val="Style13ptBold"/>
          <w:rFonts w:asciiTheme="minorHAnsi" w:hAnsiTheme="minorHAnsi" w:cstheme="minorHAnsi"/>
          <w:b w:val="0"/>
          <w:bCs w:val="0"/>
          <w:sz w:val="14"/>
        </w:rPr>
        <w:t xml:space="preserve">. </w:t>
      </w:r>
      <w:r w:rsidRPr="00A2427B">
        <w:rPr>
          <w:rStyle w:val="StyleUnderline"/>
        </w:rPr>
        <w:t>Judges are trained jurists who are required to reach determinations on a wide variety of issues,</w:t>
      </w:r>
      <w:r w:rsidRPr="00A2427B">
        <w:rPr>
          <w:rStyle w:val="Style13ptBold"/>
          <w:rFonts w:asciiTheme="minorHAnsi" w:hAnsiTheme="minorHAnsi" w:cstheme="minorHAnsi"/>
          <w:b w:val="0"/>
          <w:bCs w:val="0"/>
          <w:sz w:val="14"/>
        </w:rPr>
        <w:t xml:space="preserve"> from all spheres of life, some of which are from the scientific field. In present times, human knowledge is so vast that no one has the capacity to be an expert in a number of fields, to be a “Renaissance person.” Accordingly, </w:t>
      </w:r>
      <w:r w:rsidRPr="00A2427B">
        <w:rPr>
          <w:rStyle w:val="StyleUnderline"/>
        </w:rPr>
        <w:t>judges must rely on experts who present them with the results of scientific tests they performed</w:t>
      </w:r>
      <w:r w:rsidRPr="00A2427B">
        <w:rPr>
          <w:rStyle w:val="Style13ptBold"/>
          <w:rFonts w:asciiTheme="minorHAnsi" w:hAnsiTheme="minorHAnsi" w:cstheme="minorHAnsi"/>
          <w:b w:val="0"/>
          <w:bCs w:val="0"/>
          <w:sz w:val="14"/>
        </w:rPr>
        <w:t xml:space="preserve">. As it is the judges and jurors—and not the experts—who are the triers of fact, </w:t>
      </w:r>
      <w:r w:rsidRPr="00A2427B">
        <w:rPr>
          <w:rStyle w:val="StyleUnderline"/>
        </w:rPr>
        <w:t>judges can and should demand experts not simply testify about the results of the tests they performed, but describe in detail their methodology for judges and jurors to examine.</w:t>
      </w:r>
      <w:r w:rsidRPr="00A2427B">
        <w:rPr>
          <w:rStyle w:val="Style13ptBold"/>
          <w:rFonts w:asciiTheme="minorHAnsi" w:hAnsiTheme="minorHAnsi" w:cstheme="minorHAnsi"/>
          <w:b w:val="0"/>
          <w:bCs w:val="0"/>
          <w:sz w:val="14"/>
        </w:rPr>
        <w:t xml:space="preserve"> This, of course, is contingent on proof of the validity and reliability of the scientific method used by the expert. </w:t>
      </w:r>
      <w:r w:rsidRPr="00A2427B">
        <w:rPr>
          <w:rStyle w:val="StyleUnderline"/>
        </w:rPr>
        <w:t>Judges should require experts produce scientific written support of their approache</w:t>
      </w:r>
      <w:r w:rsidRPr="00A2427B">
        <w:rPr>
          <w:rStyle w:val="Style13ptBold"/>
          <w:rFonts w:asciiTheme="minorHAnsi" w:hAnsiTheme="minorHAnsi" w:cstheme="minorHAnsi"/>
          <w:b w:val="0"/>
          <w:bCs w:val="0"/>
          <w:sz w:val="14"/>
        </w:rPr>
        <w:t xml:space="preserve">s, but </w:t>
      </w:r>
      <w:r w:rsidRPr="00A2427B">
        <w:rPr>
          <w:rStyle w:val="StyleUnderline"/>
        </w:rPr>
        <w:t>not all judges do so</w:t>
      </w:r>
      <w:r w:rsidRPr="00A2427B">
        <w:rPr>
          <w:rStyle w:val="Style13ptBold"/>
          <w:rFonts w:asciiTheme="minorHAnsi" w:hAnsiTheme="minorHAnsi" w:cstheme="minorHAnsi"/>
          <w:b w:val="0"/>
          <w:bCs w:val="0"/>
          <w:sz w:val="14"/>
        </w:rPr>
        <w:t xml:space="preserve">. </w:t>
      </w:r>
      <w:r w:rsidRPr="00A2427B">
        <w:rPr>
          <w:rStyle w:val="StyleUnderline"/>
        </w:rPr>
        <w:t xml:space="preserve">Many rely on the experts almost [without skepticism] </w:t>
      </w:r>
      <w:r w:rsidRPr="00A2427B">
        <w:rPr>
          <w:rStyle w:val="StyleUnderline"/>
          <w:strike/>
        </w:rPr>
        <w:t>blindly</w:t>
      </w:r>
      <w:r w:rsidRPr="00A2427B">
        <w:rPr>
          <w:rStyle w:val="Style13ptBold"/>
          <w:rFonts w:asciiTheme="minorHAnsi" w:hAnsiTheme="minorHAnsi" w:cstheme="minorHAnsi"/>
          <w:b w:val="0"/>
          <w:bCs w:val="0"/>
          <w:sz w:val="14"/>
        </w:rPr>
        <w:t xml:space="preserve">, to the point where, in practice, </w:t>
      </w:r>
      <w:r w:rsidRPr="00A2427B">
        <w:rPr>
          <w:rStyle w:val="StyleUnderline"/>
        </w:rPr>
        <w:t>they serve as no more than a rubber stamp</w:t>
      </w:r>
      <w:r w:rsidRPr="00A2427B">
        <w:rPr>
          <w:rStyle w:val="Style13ptBold"/>
          <w:rFonts w:asciiTheme="minorHAnsi" w:hAnsiTheme="minorHAnsi" w:cstheme="minorHAnsi"/>
          <w:b w:val="0"/>
          <w:bCs w:val="0"/>
          <w:sz w:val="14"/>
        </w:rPr>
        <w:t xml:space="preserve">.26 In addition, as </w:t>
      </w:r>
      <w:r w:rsidRPr="00A2427B">
        <w:rPr>
          <w:rStyle w:val="StyleUnderline"/>
        </w:rPr>
        <w:t>the law is based on legal precedents</w:t>
      </w:r>
      <w:r w:rsidRPr="00A2427B">
        <w:rPr>
          <w:rStyle w:val="Style13ptBold"/>
          <w:rFonts w:asciiTheme="minorHAnsi" w:hAnsiTheme="minorHAnsi" w:cstheme="minorHAnsi"/>
          <w:b w:val="0"/>
          <w:bCs w:val="0"/>
          <w:sz w:val="14"/>
        </w:rPr>
        <w:t xml:space="preserve">, </w:t>
      </w:r>
      <w:r w:rsidRPr="00A2427B">
        <w:rPr>
          <w:rStyle w:val="StyleUnderline"/>
        </w:rPr>
        <w:t>if a</w:t>
      </w:r>
      <w:r w:rsidRPr="00A2427B">
        <w:rPr>
          <w:rStyle w:val="Style13ptBold"/>
          <w:rFonts w:asciiTheme="minorHAnsi" w:hAnsiTheme="minorHAnsi" w:cstheme="minorHAnsi"/>
          <w:b w:val="0"/>
          <w:bCs w:val="0"/>
          <w:sz w:val="14"/>
        </w:rPr>
        <w:t xml:space="preserve"> court— especially a </w:t>
      </w:r>
      <w:r w:rsidRPr="00A2427B">
        <w:rPr>
          <w:rStyle w:val="StyleUnderline"/>
        </w:rPr>
        <w:t>higher appellate court</w:t>
      </w:r>
      <w:r w:rsidRPr="00A2427B">
        <w:rPr>
          <w:rStyle w:val="Style13ptBold"/>
          <w:rFonts w:asciiTheme="minorHAnsi" w:hAnsiTheme="minorHAnsi" w:cstheme="minorHAnsi"/>
          <w:b w:val="0"/>
          <w:bCs w:val="0"/>
          <w:sz w:val="14"/>
        </w:rPr>
        <w:t>—</w:t>
      </w:r>
      <w:r w:rsidRPr="00A2427B">
        <w:rPr>
          <w:rStyle w:val="StyleUnderline"/>
        </w:rPr>
        <w:t>makes</w:t>
      </w:r>
      <w:r w:rsidRPr="00A2427B">
        <w:rPr>
          <w:rStyle w:val="Emphasis"/>
        </w:rPr>
        <w:t xml:space="preserve"> the mistake of incorrectly admitting a specific type of evidence as “scientific,” it likely sets a precedent for other courts, which will follow the precedent without re-examining the scientific reliability of the method</w:t>
      </w:r>
      <w:r w:rsidRPr="00A2427B">
        <w:rPr>
          <w:rStyle w:val="Style13ptBold"/>
          <w:rFonts w:asciiTheme="minorHAnsi" w:hAnsiTheme="minorHAnsi" w:cstheme="minorHAnsi"/>
          <w:b w:val="0"/>
          <w:bCs w:val="0"/>
          <w:sz w:val="14"/>
        </w:rPr>
        <w:t xml:space="preserve">. In this way, junk science, too, could be found admissible by one court, and </w:t>
      </w:r>
      <w:r w:rsidRPr="00A2427B">
        <w:rPr>
          <w:rStyle w:val="StyleUnderline"/>
        </w:rPr>
        <w:t>other courts would follow suit without engaging in the necessary scrutiny</w:t>
      </w:r>
      <w:r w:rsidRPr="00A2427B">
        <w:rPr>
          <w:rStyle w:val="Style13ptBold"/>
          <w:rFonts w:asciiTheme="minorHAnsi" w:hAnsiTheme="minorHAnsi" w:cstheme="minorHAnsi"/>
          <w:b w:val="0"/>
          <w:bCs w:val="0"/>
          <w:sz w:val="14"/>
        </w:rPr>
        <w:t xml:space="preserve">; </w:t>
      </w:r>
      <w:r w:rsidRPr="00A2427B">
        <w:rPr>
          <w:rStyle w:val="StyleUnderline"/>
        </w:rPr>
        <w:t>this</w:t>
      </w:r>
      <w:r w:rsidRPr="00A2427B">
        <w:rPr>
          <w:rStyle w:val="Style13ptBold"/>
          <w:rFonts w:asciiTheme="minorHAnsi" w:hAnsiTheme="minorHAnsi" w:cstheme="minorHAnsi"/>
          <w:b w:val="0"/>
          <w:bCs w:val="0"/>
          <w:sz w:val="14"/>
        </w:rPr>
        <w:t xml:space="preserve"> is precisely what </w:t>
      </w:r>
      <w:r w:rsidRPr="00A2427B">
        <w:rPr>
          <w:rStyle w:val="StyleUnderline"/>
        </w:rPr>
        <w:t>happened</w:t>
      </w:r>
      <w:r w:rsidRPr="00A2427B">
        <w:rPr>
          <w:rStyle w:val="Style13ptBold"/>
          <w:rFonts w:asciiTheme="minorHAnsi" w:hAnsiTheme="minorHAnsi" w:cstheme="minorHAnsi"/>
          <w:b w:val="0"/>
          <w:bCs w:val="0"/>
          <w:sz w:val="14"/>
        </w:rPr>
        <w:t xml:space="preserve"> over the course of many years </w:t>
      </w:r>
      <w:r w:rsidRPr="00A2427B">
        <w:rPr>
          <w:rStyle w:val="StyleUnderline"/>
        </w:rPr>
        <w:t>with</w:t>
      </w:r>
      <w:r w:rsidRPr="00A2427B">
        <w:rPr>
          <w:rStyle w:val="Style13ptBold"/>
          <w:rFonts w:asciiTheme="minorHAnsi" w:hAnsiTheme="minorHAnsi" w:cstheme="minorHAnsi"/>
          <w:b w:val="0"/>
          <w:bCs w:val="0"/>
          <w:sz w:val="14"/>
        </w:rPr>
        <w:t xml:space="preserve"> microscopical </w:t>
      </w:r>
      <w:r w:rsidRPr="00A2427B">
        <w:rPr>
          <w:rStyle w:val="StyleUnderline"/>
        </w:rPr>
        <w:t>hair comparisons, footprint comparisons, and voice comparisons</w:t>
      </w:r>
      <w:r w:rsidRPr="00A2427B">
        <w:rPr>
          <w:rStyle w:val="Style13ptBold"/>
          <w:rFonts w:asciiTheme="minorHAnsi" w:hAnsiTheme="minorHAnsi" w:cstheme="minorHAnsi"/>
          <w:b w:val="0"/>
          <w:bCs w:val="0"/>
          <w:sz w:val="14"/>
        </w:rPr>
        <w:t xml:space="preserve">. Furthermore, </w:t>
      </w:r>
      <w:r w:rsidRPr="00A2427B">
        <w:rPr>
          <w:rStyle w:val="StyleUnderline"/>
        </w:rPr>
        <w:t>even when</w:t>
      </w:r>
      <w:r w:rsidRPr="00A2427B">
        <w:rPr>
          <w:rStyle w:val="Style13ptBold"/>
          <w:rFonts w:asciiTheme="minorHAnsi" w:hAnsiTheme="minorHAnsi" w:cstheme="minorHAnsi"/>
          <w:b w:val="0"/>
          <w:bCs w:val="0"/>
          <w:sz w:val="14"/>
        </w:rPr>
        <w:t xml:space="preserve"> (genuine) </w:t>
      </w:r>
      <w:r w:rsidRPr="00A2427B">
        <w:rPr>
          <w:rStyle w:val="StyleUnderline"/>
        </w:rPr>
        <w:t xml:space="preserve">scientists find </w:t>
      </w:r>
      <w:r w:rsidRPr="00A2427B">
        <w:rPr>
          <w:rStyle w:val="Style13ptBold"/>
          <w:rFonts w:asciiTheme="minorHAnsi" w:hAnsiTheme="minorHAnsi" w:cstheme="minorHAnsi"/>
          <w:b w:val="0"/>
          <w:bCs w:val="0"/>
          <w:sz w:val="14"/>
        </w:rPr>
        <w:t xml:space="preserve">in their research that certain </w:t>
      </w:r>
      <w:r w:rsidRPr="00A2427B">
        <w:rPr>
          <w:rStyle w:val="StyleUnderline"/>
        </w:rPr>
        <w:t>allegedly “scientific” types of evidence are not grounded in science and are unreliable and invalid, many judges</w:t>
      </w:r>
      <w:r w:rsidRPr="00A2427B">
        <w:rPr>
          <w:rStyle w:val="Style13ptBold"/>
          <w:rFonts w:asciiTheme="minorHAnsi" w:hAnsiTheme="minorHAnsi" w:cstheme="minorHAnsi"/>
          <w:b w:val="0"/>
          <w:bCs w:val="0"/>
          <w:sz w:val="14"/>
        </w:rPr>
        <w:t xml:space="preserve">, </w:t>
      </w:r>
      <w:r w:rsidRPr="00A2427B">
        <w:rPr>
          <w:rStyle w:val="StyleUnderline"/>
        </w:rPr>
        <w:t>who are used to basing convictions on such evidence</w:t>
      </w:r>
      <w:r w:rsidRPr="00A2427B">
        <w:rPr>
          <w:rStyle w:val="Style13ptBold"/>
          <w:rFonts w:asciiTheme="minorHAnsi" w:hAnsiTheme="minorHAnsi" w:cstheme="minorHAnsi"/>
          <w:b w:val="0"/>
          <w:bCs w:val="0"/>
          <w:sz w:val="14"/>
        </w:rPr>
        <w:t xml:space="preserve">, </w:t>
      </w:r>
      <w:r w:rsidRPr="00A2427B">
        <w:rPr>
          <w:rStyle w:val="StyleUnderline"/>
        </w:rPr>
        <w:t>have difficulty accepting this as it would mean conceding their own past mistakes</w:t>
      </w:r>
      <w:r w:rsidRPr="00A2427B">
        <w:rPr>
          <w:rStyle w:val="Style13ptBold"/>
          <w:rFonts w:asciiTheme="minorHAnsi" w:hAnsiTheme="minorHAnsi" w:cstheme="minorHAnsi"/>
          <w:b w:val="0"/>
          <w:bCs w:val="0"/>
          <w:sz w:val="14"/>
        </w:rPr>
        <w:t xml:space="preserve">.27 In practice, </w:t>
      </w:r>
      <w:r w:rsidRPr="00A2427B">
        <w:rPr>
          <w:rStyle w:val="StyleUnderline"/>
        </w:rPr>
        <w:t xml:space="preserve">a random match is possible with every type of test </w:t>
      </w:r>
      <w:r w:rsidRPr="00A2427B">
        <w:rPr>
          <w:rStyle w:val="Style13ptBold"/>
          <w:rFonts w:asciiTheme="minorHAnsi" w:hAnsiTheme="minorHAnsi" w:cstheme="minorHAnsi"/>
          <w:b w:val="0"/>
          <w:bCs w:val="0"/>
          <w:sz w:val="14"/>
        </w:rPr>
        <w:t xml:space="preserve">(though with DNA testing, the probability of such a match is extremely slim). </w:t>
      </w:r>
      <w:r w:rsidRPr="00A2427B">
        <w:rPr>
          <w:rStyle w:val="StyleUnderline"/>
        </w:rPr>
        <w:t>With all tests</w:t>
      </w:r>
      <w:r w:rsidRPr="00A2427B">
        <w:rPr>
          <w:rStyle w:val="Style13ptBold"/>
          <w:rFonts w:asciiTheme="minorHAnsi" w:hAnsiTheme="minorHAnsi" w:cstheme="minorHAnsi"/>
          <w:b w:val="0"/>
          <w:bCs w:val="0"/>
          <w:sz w:val="14"/>
        </w:rPr>
        <w:t xml:space="preserve"> (including DNA testing), moreover, </w:t>
      </w:r>
      <w:r w:rsidRPr="00A2427B">
        <w:rPr>
          <w:rStyle w:val="StyleUnderline"/>
        </w:rPr>
        <w:t>there is a real possibility of a lab error or an error in the expert’s interpretation of the results</w:t>
      </w:r>
      <w:r w:rsidRPr="00A2427B">
        <w:rPr>
          <w:rStyle w:val="Style13ptBold"/>
          <w:rFonts w:asciiTheme="minorHAnsi" w:hAnsiTheme="minorHAnsi" w:cstheme="minorHAnsi"/>
          <w:b w:val="0"/>
          <w:bCs w:val="0"/>
          <w:sz w:val="14"/>
        </w:rPr>
        <w:t xml:space="preserve">. In contrast to the prevailing perception of the objectivity of all determinations in expert testimony on scientific evidence, certain issues are in fact contingent on the expert’s subjective interpretation of the findings.28 And indeed, </w:t>
      </w:r>
      <w:r w:rsidRPr="00A2427B">
        <w:rPr>
          <w:rStyle w:val="StyleUnderline"/>
        </w:rPr>
        <w:t>the chance of error, which always exists, combined with the fallacy of the transposed conditional has been the underlying cause of many false convictions</w:t>
      </w:r>
      <w:r w:rsidRPr="00A2427B">
        <w:rPr>
          <w:rStyle w:val="Style13ptBold"/>
          <w:rFonts w:asciiTheme="minorHAnsi" w:hAnsiTheme="minorHAnsi" w:cstheme="minorHAnsi"/>
          <w:b w:val="0"/>
          <w:bCs w:val="0"/>
          <w:sz w:val="14"/>
        </w:rPr>
        <w:t xml:space="preserve">.29 In addition, </w:t>
      </w:r>
      <w:r w:rsidRPr="00A2427B">
        <w:rPr>
          <w:rStyle w:val="StyleUnderline"/>
        </w:rPr>
        <w:t xml:space="preserve">forensic lab staff work very closely with the police and prosecution </w:t>
      </w:r>
      <w:r w:rsidRPr="00A2427B">
        <w:rPr>
          <w:rStyle w:val="Emphasis"/>
        </w:rPr>
        <w:t>and are often even directly subordinate to them</w:t>
      </w:r>
      <w:r w:rsidRPr="00A2427B">
        <w:rPr>
          <w:rStyle w:val="StyleUnderline"/>
        </w:rPr>
        <w:t>.</w:t>
      </w:r>
      <w:r w:rsidRPr="00A2427B">
        <w:rPr>
          <w:rStyle w:val="Style13ptBold"/>
          <w:rFonts w:asciiTheme="minorHAnsi" w:hAnsiTheme="minorHAnsi" w:cstheme="minorHAnsi"/>
          <w:b w:val="0"/>
          <w:bCs w:val="0"/>
          <w:sz w:val="14"/>
        </w:rPr>
        <w:t xml:space="preserve"> Police </w:t>
      </w:r>
      <w:r w:rsidRPr="00A2427B">
        <w:rPr>
          <w:rStyle w:val="StyleUnderline"/>
        </w:rPr>
        <w:t>investigators supply lab workers with investigation details that are completely irrelevant</w:t>
      </w:r>
      <w:r w:rsidRPr="00A2427B">
        <w:rPr>
          <w:rStyle w:val="Style13ptBold"/>
          <w:rFonts w:asciiTheme="minorHAnsi" w:hAnsiTheme="minorHAnsi" w:cstheme="minorHAnsi"/>
          <w:b w:val="0"/>
          <w:bCs w:val="0"/>
          <w:sz w:val="14"/>
        </w:rPr>
        <w:t xml:space="preserve"> to the required lab testing, </w:t>
      </w:r>
      <w:r w:rsidRPr="00A2427B">
        <w:rPr>
          <w:rStyle w:val="StyleUnderline"/>
        </w:rPr>
        <w:t>but</w:t>
      </w:r>
      <w:r w:rsidRPr="00A2427B">
        <w:rPr>
          <w:rStyle w:val="Style13ptBold"/>
          <w:rFonts w:asciiTheme="minorHAnsi" w:hAnsiTheme="minorHAnsi" w:cstheme="minorHAnsi"/>
          <w:b w:val="0"/>
          <w:bCs w:val="0"/>
          <w:sz w:val="14"/>
        </w:rPr>
        <w:t xml:space="preserve"> which </w:t>
      </w:r>
      <w:r w:rsidRPr="00A2427B">
        <w:rPr>
          <w:rStyle w:val="StyleUnderline"/>
        </w:rPr>
        <w:t>strengthen</w:t>
      </w:r>
      <w:r w:rsidRPr="00A2427B">
        <w:rPr>
          <w:rStyle w:val="Style13ptBold"/>
          <w:rFonts w:asciiTheme="minorHAnsi" w:hAnsiTheme="minorHAnsi" w:cstheme="minorHAnsi"/>
          <w:b w:val="0"/>
          <w:bCs w:val="0"/>
          <w:sz w:val="14"/>
        </w:rPr>
        <w:t xml:space="preserve"> </w:t>
      </w:r>
      <w:r w:rsidRPr="00A2427B">
        <w:rPr>
          <w:rStyle w:val="StyleUnderline"/>
        </w:rPr>
        <w:t>the conception of the suspect’s guilt</w:t>
      </w:r>
      <w:r w:rsidRPr="00A2427B">
        <w:rPr>
          <w:rStyle w:val="Style13ptBold"/>
          <w:rFonts w:asciiTheme="minorHAnsi" w:hAnsiTheme="minorHAnsi" w:cstheme="minorHAnsi"/>
          <w:b w:val="0"/>
          <w:bCs w:val="0"/>
          <w:sz w:val="14"/>
        </w:rPr>
        <w:t xml:space="preserve">, such as the fact that a suspect confessed or was identified by a witness. Information of </w:t>
      </w:r>
      <w:r w:rsidRPr="00A2427B">
        <w:rPr>
          <w:rStyle w:val="StyleUnderline"/>
        </w:rPr>
        <w:t>this</w:t>
      </w:r>
      <w:r w:rsidRPr="00A2427B">
        <w:rPr>
          <w:rStyle w:val="Style13ptBold"/>
          <w:rFonts w:asciiTheme="minorHAnsi" w:hAnsiTheme="minorHAnsi" w:cstheme="minorHAnsi"/>
          <w:b w:val="0"/>
          <w:bCs w:val="0"/>
          <w:sz w:val="14"/>
        </w:rPr>
        <w:t xml:space="preserve"> sort </w:t>
      </w:r>
      <w:r w:rsidRPr="00A2427B">
        <w:rPr>
          <w:rStyle w:val="StyleUnderline"/>
        </w:rPr>
        <w:t>is likely to bias the test results.</w:t>
      </w:r>
      <w:r w:rsidRPr="00A2427B">
        <w:rPr>
          <w:rStyle w:val="Style13ptBold"/>
          <w:rFonts w:asciiTheme="minorHAnsi" w:hAnsiTheme="minorHAnsi" w:cstheme="minorHAnsi"/>
          <w:b w:val="0"/>
          <w:bCs w:val="0"/>
          <w:sz w:val="14"/>
        </w:rPr>
        <w:t xml:space="preserve">30 Jennifer Mnookin described the current situation well: </w:t>
      </w:r>
      <w:r w:rsidRPr="00A2427B">
        <w:rPr>
          <w:rStyle w:val="StyleUnderline"/>
        </w:rPr>
        <w:t>Forensic scientists</w:t>
      </w:r>
      <w:r w:rsidRPr="00A2427B">
        <w:rPr>
          <w:rStyle w:val="Style13ptBold"/>
          <w:rFonts w:asciiTheme="minorHAnsi" w:hAnsiTheme="minorHAnsi" w:cstheme="minorHAnsi"/>
          <w:b w:val="0"/>
          <w:bCs w:val="0"/>
          <w:sz w:val="14"/>
        </w:rPr>
        <w:t xml:space="preserve"> have regularly testified in courts to matters that are, quite honestly, both less proven and less certain than they are claimed to be. They have </w:t>
      </w:r>
      <w:r w:rsidRPr="00A2427B">
        <w:rPr>
          <w:rStyle w:val="StyleUnderline"/>
        </w:rPr>
        <w:t>overstated</w:t>
      </w:r>
      <w:r w:rsidRPr="00A2427B">
        <w:rPr>
          <w:rStyle w:val="Style13ptBold"/>
          <w:rFonts w:asciiTheme="minorHAnsi" w:hAnsiTheme="minorHAnsi" w:cstheme="minorHAnsi"/>
          <w:b w:val="0"/>
          <w:bCs w:val="0"/>
          <w:sz w:val="14"/>
        </w:rPr>
        <w:t xml:space="preserve"> </w:t>
      </w:r>
      <w:r w:rsidRPr="00A2427B">
        <w:rPr>
          <w:rStyle w:val="StyleUnderline"/>
        </w:rPr>
        <w:t>their degree of knowledge</w:t>
      </w:r>
      <w:r w:rsidRPr="00A2427B">
        <w:rPr>
          <w:rStyle w:val="Style13ptBold"/>
          <w:rFonts w:asciiTheme="minorHAnsi" w:hAnsiTheme="minorHAnsi" w:cstheme="minorHAnsi"/>
          <w:b w:val="0"/>
          <w:bCs w:val="0"/>
          <w:sz w:val="14"/>
        </w:rPr>
        <w:t xml:space="preserve">, </w:t>
      </w:r>
      <w:r w:rsidRPr="00A2427B">
        <w:rPr>
          <w:rStyle w:val="StyleUnderline"/>
        </w:rPr>
        <w:t>underreported</w:t>
      </w:r>
      <w:r w:rsidRPr="00A2427B">
        <w:rPr>
          <w:rStyle w:val="Style13ptBold"/>
          <w:rFonts w:asciiTheme="minorHAnsi" w:hAnsiTheme="minorHAnsi" w:cstheme="minorHAnsi"/>
          <w:b w:val="0"/>
          <w:bCs w:val="0"/>
          <w:sz w:val="14"/>
        </w:rPr>
        <w:t xml:space="preserve"> the chances of </w:t>
      </w:r>
      <w:r w:rsidRPr="00A2427B">
        <w:rPr>
          <w:rStyle w:val="StyleUnderline"/>
        </w:rPr>
        <w:t>error</w:t>
      </w:r>
      <w:r w:rsidRPr="00A2427B">
        <w:rPr>
          <w:rStyle w:val="Style13ptBold"/>
          <w:rFonts w:asciiTheme="minorHAnsi" w:hAnsiTheme="minorHAnsi" w:cstheme="minorHAnsi"/>
          <w:b w:val="0"/>
          <w:bCs w:val="0"/>
          <w:sz w:val="14"/>
        </w:rPr>
        <w:t xml:space="preserve">, </w:t>
      </w:r>
      <w:r w:rsidRPr="00A2427B">
        <w:rPr>
          <w:rStyle w:val="StyleUnderline"/>
        </w:rPr>
        <w:t xml:space="preserve">and suggested greater certainty than is warranted. </w:t>
      </w:r>
      <w:r w:rsidRPr="00A2427B">
        <w:rPr>
          <w:rStyle w:val="Style13ptBold"/>
          <w:rFonts w:asciiTheme="minorHAnsi" w:hAnsiTheme="minorHAnsi" w:cstheme="minorHAnsi"/>
          <w:b w:val="0"/>
          <w:bCs w:val="0"/>
          <w:sz w:val="14"/>
        </w:rPr>
        <w:t xml:space="preserve">More generally, </w:t>
      </w:r>
      <w:r w:rsidRPr="00A2427B">
        <w:rPr>
          <w:rStyle w:val="StyleUnderline"/>
        </w:rPr>
        <w:t>many kinds of forensic science</w:t>
      </w:r>
      <w:r w:rsidRPr="00A2427B">
        <w:rPr>
          <w:rStyle w:val="Style13ptBold"/>
          <w:rFonts w:asciiTheme="minorHAnsi" w:hAnsiTheme="minorHAnsi" w:cstheme="minorHAnsi"/>
          <w:b w:val="0"/>
          <w:bCs w:val="0"/>
          <w:sz w:val="14"/>
        </w:rPr>
        <w:t xml:space="preserve"> </w:t>
      </w:r>
      <w:r w:rsidRPr="00A2427B">
        <w:rPr>
          <w:rStyle w:val="StyleUnderline"/>
        </w:rPr>
        <w:t xml:space="preserve">are not </w:t>
      </w:r>
      <w:r w:rsidRPr="00A2427B">
        <w:rPr>
          <w:rStyle w:val="Style13ptBold"/>
          <w:rFonts w:asciiTheme="minorHAnsi" w:hAnsiTheme="minorHAnsi" w:cstheme="minorHAnsi"/>
          <w:b w:val="0"/>
          <w:bCs w:val="0"/>
          <w:sz w:val="14"/>
        </w:rPr>
        <w:t xml:space="preserve">entirely </w:t>
      </w:r>
      <w:r w:rsidRPr="00A2427B">
        <w:rPr>
          <w:rStyle w:val="StyleUnderline"/>
        </w:rPr>
        <w:t>based</w:t>
      </w:r>
      <w:r w:rsidRPr="00A2427B">
        <w:rPr>
          <w:rStyle w:val="Style13ptBold"/>
          <w:rFonts w:asciiTheme="minorHAnsi" w:hAnsiTheme="minorHAnsi" w:cstheme="minorHAnsi"/>
          <w:b w:val="0"/>
          <w:bCs w:val="0"/>
          <w:sz w:val="14"/>
        </w:rPr>
        <w:t xml:space="preserve"> </w:t>
      </w:r>
      <w:r w:rsidRPr="00A2427B">
        <w:rPr>
          <w:rStyle w:val="StyleUnderline"/>
        </w:rPr>
        <w:t>on</w:t>
      </w:r>
      <w:r w:rsidRPr="00A2427B">
        <w:rPr>
          <w:rStyle w:val="Style13ptBold"/>
          <w:rFonts w:asciiTheme="minorHAnsi" w:hAnsiTheme="minorHAnsi" w:cstheme="minorHAnsi"/>
          <w:b w:val="0"/>
          <w:bCs w:val="0"/>
          <w:sz w:val="14"/>
        </w:rPr>
        <w:t xml:space="preserve"> methods and approaches that we usually associate with validated </w:t>
      </w:r>
      <w:r w:rsidRPr="00A2427B">
        <w:rPr>
          <w:rStyle w:val="StyleUnderline"/>
        </w:rPr>
        <w:t>research science</w:t>
      </w:r>
      <w:r w:rsidRPr="00A2427B">
        <w:rPr>
          <w:rStyle w:val="Style13ptBold"/>
          <w:rFonts w:asciiTheme="minorHAnsi" w:hAnsiTheme="minorHAnsi" w:cstheme="minorHAnsi"/>
          <w:b w:val="0"/>
          <w:bCs w:val="0"/>
          <w:sz w:val="14"/>
        </w:rPr>
        <w:t xml:space="preserve">. Their claims and the limits to their claims are not closely based on or constrained by the formal collection of data. Their empirical assertions are not grounded in careful research that has been subject to peer review and publication. </w:t>
      </w:r>
      <w:r w:rsidRPr="00A2427B">
        <w:rPr>
          <w:rStyle w:val="StyleUnderline"/>
        </w:rPr>
        <w:t>There has been remarkably little formal validation of their methods.</w:t>
      </w:r>
      <w:r w:rsidRPr="00A2427B">
        <w:rPr>
          <w:rStyle w:val="Style13ptBold"/>
          <w:rFonts w:asciiTheme="minorHAnsi" w:hAnsiTheme="minorHAnsi" w:cstheme="minorHAnsi"/>
          <w:b w:val="0"/>
          <w:bCs w:val="0"/>
          <w:sz w:val="14"/>
        </w:rPr>
        <w:t xml:space="preserve"> And there has been far too little study of how often forensic scientists might make mistakes, and when or why these possible errors are more likely to occur.31 From the perspective of the historical development of evidence law, every generation has realized that the weight once accorded to certain types of evidence was excessive.32 Over the years, evidence that was formerly held to be very strong emerges, in both the research and in practice, as not as accurate as thought. Thus, for example, we know today that certain types of direct evidence once considered “classic” evidence—eyewitness testimony and confessions to the police33—are problematic and have led to many false convictions.34 During the past century, scientific evidence has become the evidentiary “false messiah.” To generalize, </w:t>
      </w:r>
      <w:r w:rsidRPr="00A2427B">
        <w:rPr>
          <w:rStyle w:val="StyleUnderline"/>
        </w:rPr>
        <w:t>forensic scientists present scientific evidence in court as unequivocal evidence that reflects the uniqueness of every individual from all other human beings</w:t>
      </w:r>
      <w:r w:rsidRPr="00A2427B">
        <w:rPr>
          <w:rStyle w:val="Style13ptBold"/>
          <w:rFonts w:asciiTheme="minorHAnsi" w:hAnsiTheme="minorHAnsi" w:cstheme="minorHAnsi"/>
          <w:b w:val="0"/>
          <w:bCs w:val="0"/>
          <w:sz w:val="14"/>
        </w:rPr>
        <w:t xml:space="preserve"> and produces a perfect identification of every person. Yet </w:t>
      </w:r>
      <w:r w:rsidRPr="00A2427B">
        <w:rPr>
          <w:rStyle w:val="StyleUnderline"/>
        </w:rPr>
        <w:t>this premise of uniqueness is nothing more than pure conjecture,</w:t>
      </w:r>
      <w:r w:rsidRPr="00A2427B">
        <w:rPr>
          <w:rStyle w:val="Style13ptBold"/>
          <w:rFonts w:asciiTheme="minorHAnsi" w:hAnsiTheme="minorHAnsi" w:cstheme="minorHAnsi"/>
          <w:b w:val="0"/>
          <w:bCs w:val="0"/>
          <w:sz w:val="14"/>
        </w:rPr>
        <w:t xml:space="preserve"> with no data to support it; </w:t>
      </w:r>
      <w:r w:rsidRPr="00A2427B">
        <w:rPr>
          <w:rStyle w:val="StyleUnderline"/>
        </w:rPr>
        <w:t xml:space="preserve">it is based on the assumption that nature </w:t>
      </w:r>
      <w:r w:rsidRPr="00A2427B">
        <w:rPr>
          <w:rStyle w:val="Style13ptBold"/>
          <w:rFonts w:asciiTheme="minorHAnsi" w:hAnsiTheme="minorHAnsi" w:cstheme="minorHAnsi"/>
          <w:b w:val="0"/>
          <w:bCs w:val="0"/>
          <w:sz w:val="14"/>
        </w:rPr>
        <w:t xml:space="preserve">(or God) </w:t>
      </w:r>
      <w:r w:rsidRPr="00A2427B">
        <w:rPr>
          <w:rStyle w:val="StyleUnderline"/>
        </w:rPr>
        <w:t>never</w:t>
      </w:r>
      <w:r w:rsidRPr="00A2427B">
        <w:rPr>
          <w:rStyle w:val="Style13ptBold"/>
          <w:rFonts w:asciiTheme="minorHAnsi" w:hAnsiTheme="minorHAnsi" w:cstheme="minorHAnsi"/>
          <w:b w:val="0"/>
          <w:bCs w:val="0"/>
          <w:sz w:val="14"/>
        </w:rPr>
        <w:t xml:space="preserve"> </w:t>
      </w:r>
      <w:r w:rsidRPr="00A2427B">
        <w:rPr>
          <w:rStyle w:val="StyleUnderline"/>
        </w:rPr>
        <w:t>repeats itself</w:t>
      </w:r>
      <w:r w:rsidRPr="00A2427B">
        <w:rPr>
          <w:rStyle w:val="Style13ptBold"/>
          <w:rFonts w:asciiTheme="minorHAnsi" w:hAnsiTheme="minorHAnsi" w:cstheme="minorHAnsi"/>
          <w:b w:val="0"/>
          <w:bCs w:val="0"/>
          <w:sz w:val="14"/>
        </w:rPr>
        <w:t xml:space="preserve">. On the one hand, </w:t>
      </w:r>
      <w:r w:rsidRPr="00A2427B">
        <w:rPr>
          <w:rStyle w:val="StyleUnderline"/>
        </w:rPr>
        <w:t>it exempts forensic scientists from the rigors of methodological research</w:t>
      </w:r>
      <w:r w:rsidRPr="00A2427B">
        <w:rPr>
          <w:rStyle w:val="Style13ptBold"/>
          <w:rFonts w:asciiTheme="minorHAnsi" w:hAnsiTheme="minorHAnsi" w:cstheme="minorHAnsi"/>
          <w:b w:val="0"/>
          <w:bCs w:val="0"/>
          <w:sz w:val="14"/>
        </w:rPr>
        <w:t xml:space="preserve">, data collection, and incidence calculation, and on the other hand, </w:t>
      </w:r>
      <w:r w:rsidRPr="00A2427B">
        <w:rPr>
          <w:rStyle w:val="StyleUnderline"/>
        </w:rPr>
        <w:t>it allows them to assert purportedly certain identification in court</w:t>
      </w:r>
      <w:r w:rsidRPr="00A2427B">
        <w:rPr>
          <w:rStyle w:val="Style13ptBold"/>
          <w:rFonts w:asciiTheme="minorHAnsi" w:hAnsiTheme="minorHAnsi" w:cstheme="minorHAnsi"/>
          <w:b w:val="0"/>
          <w:bCs w:val="0"/>
          <w:sz w:val="14"/>
        </w:rPr>
        <w:t>. As Michael J. Saks and Jonathan L. Koehler clarified in an article published in the leading journal Science, “[T]he time is ripe for the traditional forensic sciences to replace antiquated assumptions of uniqueness and perfection with a more defensible empirical and probabilistic foundation.”35 Moreover, they further observed elsewhere, “</w:t>
      </w:r>
      <w:r w:rsidRPr="00A2427B">
        <w:rPr>
          <w:rStyle w:val="StyleUnderline"/>
        </w:rPr>
        <w:t>The concept of individualization, which lies at the core of numerous forensic science subfields, exists only in a metaphysical or rhetorical sense. There is no scientific basis for the individualization claims</w:t>
      </w:r>
      <w:r w:rsidRPr="00A2427B">
        <w:rPr>
          <w:rStyle w:val="Style13ptBold"/>
          <w:rFonts w:asciiTheme="minorHAnsi" w:hAnsiTheme="minorHAnsi" w:cstheme="minorHAnsi"/>
          <w:b w:val="0"/>
          <w:bCs w:val="0"/>
          <w:sz w:val="14"/>
        </w:rPr>
        <w:t xml:space="preserve"> in forensic sciences.”36 In a later article, Koehler and Saks summarized the issue as follows: (1) </w:t>
      </w:r>
      <w:r w:rsidRPr="00A2427B">
        <w:rPr>
          <w:rStyle w:val="StyleUnderline"/>
        </w:rPr>
        <w:t>the data necessary to achieve individualization have never been collected for any of the forensic science fields</w:t>
      </w:r>
      <w:r w:rsidRPr="00A2427B">
        <w:rPr>
          <w:rStyle w:val="Style13ptBold"/>
          <w:rFonts w:asciiTheme="minorHAnsi" w:hAnsiTheme="minorHAnsi" w:cstheme="minorHAnsi"/>
          <w:b w:val="0"/>
          <w:bCs w:val="0"/>
          <w:sz w:val="14"/>
        </w:rPr>
        <w:t xml:space="preserve"> which aspire to individualize the source of crime scene evidence to its sole possible contributor; (2) </w:t>
      </w:r>
      <w:r w:rsidRPr="00A2427B">
        <w:rPr>
          <w:rStyle w:val="StyleUnderline"/>
        </w:rPr>
        <w:t>the best available</w:t>
      </w:r>
      <w:r w:rsidRPr="00A2427B">
        <w:rPr>
          <w:rStyle w:val="Style13ptBold"/>
          <w:rFonts w:asciiTheme="minorHAnsi" w:hAnsiTheme="minorHAnsi" w:cstheme="minorHAnsi"/>
          <w:b w:val="0"/>
          <w:bCs w:val="0"/>
          <w:sz w:val="14"/>
        </w:rPr>
        <w:t>—and perhaps the only scientifically defensible—</w:t>
      </w:r>
      <w:r w:rsidRPr="00A2427B">
        <w:rPr>
          <w:rStyle w:val="StyleUnderline"/>
        </w:rPr>
        <w:t>approach to forensic identification is the use of random match probability estimates</w:t>
      </w:r>
      <w:r w:rsidRPr="00A2427B">
        <w:rPr>
          <w:rStyle w:val="Style13ptBold"/>
          <w:rFonts w:asciiTheme="minorHAnsi" w:hAnsiTheme="minorHAnsi" w:cstheme="minorHAnsi"/>
          <w:b w:val="0"/>
          <w:bCs w:val="0"/>
          <w:sz w:val="14"/>
        </w:rPr>
        <w:t xml:space="preserve"> (</w:t>
      </w:r>
      <w:r w:rsidRPr="00A2427B">
        <w:rPr>
          <w:rStyle w:val="StyleUnderline"/>
        </w:rPr>
        <w:t>which are not yet employed by any</w:t>
      </w:r>
      <w:r w:rsidRPr="00A2427B">
        <w:rPr>
          <w:rStyle w:val="Style13ptBold"/>
          <w:rFonts w:asciiTheme="minorHAnsi" w:hAnsiTheme="minorHAnsi" w:cstheme="minorHAnsi"/>
          <w:b w:val="0"/>
          <w:bCs w:val="0"/>
          <w:sz w:val="14"/>
        </w:rPr>
        <w:t xml:space="preserve"> of the traditional </w:t>
      </w:r>
      <w:r w:rsidRPr="00A2427B">
        <w:rPr>
          <w:rStyle w:val="StyleUnderline"/>
        </w:rPr>
        <w:t>forensic identification sciences</w:t>
      </w:r>
      <w:r w:rsidRPr="00A2427B">
        <w:rPr>
          <w:rStyle w:val="Style13ptBold"/>
          <w:rFonts w:asciiTheme="minorHAnsi" w:hAnsiTheme="minorHAnsi" w:cstheme="minorHAnsi"/>
          <w:b w:val="0"/>
          <w:bCs w:val="0"/>
          <w:sz w:val="14"/>
        </w:rPr>
        <w:t xml:space="preserve">); (3) the argument that all objects are discernibly unique stands on little more than an oft-repeated maxim of forensic science legend and the illusory intuition that small frequencies imply uniqueness; (4) </w:t>
      </w:r>
      <w:r w:rsidRPr="00A2427B">
        <w:rPr>
          <w:rStyle w:val="StyleUnderline"/>
        </w:rPr>
        <w:t>probability estimates</w:t>
      </w:r>
      <w:r w:rsidRPr="00A2427B">
        <w:rPr>
          <w:rStyle w:val="Style13ptBold"/>
          <w:rFonts w:asciiTheme="minorHAnsi" w:hAnsiTheme="minorHAnsi" w:cstheme="minorHAnsi"/>
          <w:b w:val="0"/>
          <w:bCs w:val="0"/>
          <w:sz w:val="14"/>
        </w:rPr>
        <w:t xml:space="preserve"> (by definition) </w:t>
      </w:r>
      <w:r w:rsidRPr="00A2427B">
        <w:rPr>
          <w:rStyle w:val="StyleUnderline"/>
        </w:rPr>
        <w:t xml:space="preserve">cannot lead to uniqueness or individualization; </w:t>
      </w:r>
      <w:r w:rsidRPr="00A2427B">
        <w:rPr>
          <w:rStyle w:val="Style13ptBold"/>
          <w:rFonts w:asciiTheme="minorHAnsi" w:hAnsiTheme="minorHAnsi" w:cstheme="minorHAnsi"/>
          <w:b w:val="0"/>
          <w:bCs w:val="0"/>
          <w:sz w:val="14"/>
        </w:rPr>
        <w:t xml:space="preserve">(5) </w:t>
      </w:r>
      <w:r w:rsidRPr="00A2427B">
        <w:rPr>
          <w:rStyle w:val="StyleUnderline"/>
        </w:rPr>
        <w:t>assertions of individualization generally exaggerate what is known or can be accomplished by forensic examiners.3</w:t>
      </w:r>
      <w:r w:rsidRPr="00A2427B">
        <w:rPr>
          <w:rStyle w:val="Style13ptBold"/>
          <w:rFonts w:asciiTheme="minorHAnsi" w:hAnsiTheme="minorHAnsi" w:cstheme="minorHAnsi"/>
          <w:b w:val="0"/>
          <w:bCs w:val="0"/>
          <w:sz w:val="14"/>
        </w:rPr>
        <w:t xml:space="preserve">7 Thus, it emerges that with the exception of the context of DNA comparisons, </w:t>
      </w:r>
      <w:r w:rsidRPr="00A2427B">
        <w:rPr>
          <w:rStyle w:val="StyleUnderline"/>
        </w:rPr>
        <w:t xml:space="preserve">forensic experts tend to systematically violate the most basic scientific principle that probabilistic estimates </w:t>
      </w:r>
      <w:r w:rsidRPr="00A2427B">
        <w:rPr>
          <w:rStyle w:val="Style13ptBold"/>
          <w:rFonts w:asciiTheme="minorHAnsi" w:hAnsiTheme="minorHAnsi" w:cstheme="minorHAnsi"/>
          <w:b w:val="0"/>
          <w:bCs w:val="0"/>
          <w:sz w:val="14"/>
        </w:rPr>
        <w:t xml:space="preserve">(as well as verbal quantitative estimates) </w:t>
      </w:r>
      <w:r w:rsidRPr="00A2427B">
        <w:rPr>
          <w:rStyle w:val="StyleUnderline"/>
        </w:rPr>
        <w:t>must be grounded in data</w:t>
      </w:r>
      <w:r w:rsidRPr="00A2427B">
        <w:rPr>
          <w:rStyle w:val="Style13ptBold"/>
          <w:rFonts w:asciiTheme="minorHAnsi" w:hAnsiTheme="minorHAnsi" w:cstheme="minorHAnsi"/>
          <w:b w:val="0"/>
          <w:bCs w:val="0"/>
          <w:sz w:val="14"/>
        </w:rPr>
        <w:t>.38 As Koehler noted, “</w:t>
      </w:r>
      <w:r w:rsidRPr="00A2427B">
        <w:rPr>
          <w:rStyle w:val="StyleUnderline"/>
        </w:rPr>
        <w:t>the specific language used in court by experts</w:t>
      </w:r>
      <w:r w:rsidRPr="00A2427B">
        <w:rPr>
          <w:rStyle w:val="Style13ptBold"/>
          <w:rFonts w:asciiTheme="minorHAnsi" w:hAnsiTheme="minorHAnsi" w:cstheme="minorHAnsi"/>
          <w:b w:val="0"/>
          <w:bCs w:val="0"/>
          <w:sz w:val="14"/>
        </w:rPr>
        <w:t xml:space="preserve"> can be the difference between testimony that is truly helpful and testimony that </w:t>
      </w:r>
      <w:r w:rsidRPr="00A2427B">
        <w:rPr>
          <w:rStyle w:val="StyleUnderline"/>
        </w:rPr>
        <w:t>is confusing or unhelpful</w:t>
      </w:r>
      <w:r w:rsidRPr="00A2427B">
        <w:rPr>
          <w:rStyle w:val="Style13ptBold"/>
          <w:rFonts w:asciiTheme="minorHAnsi" w:hAnsiTheme="minorHAnsi" w:cstheme="minorHAnsi"/>
          <w:b w:val="0"/>
          <w:bCs w:val="0"/>
          <w:sz w:val="14"/>
        </w:rPr>
        <w:t xml:space="preserve">.”39 Accordingly, </w:t>
      </w:r>
      <w:r w:rsidRPr="00A2427B">
        <w:rPr>
          <w:rStyle w:val="StyleUnderline"/>
        </w:rPr>
        <w:t>he proposed that the forensic linguistic community should identify clear and consistent standards for reporting and testifying</w:t>
      </w:r>
      <w:r w:rsidRPr="00A2427B">
        <w:rPr>
          <w:rStyle w:val="Style13ptBold"/>
          <w:rFonts w:asciiTheme="minorHAnsi" w:hAnsiTheme="minorHAnsi" w:cstheme="minorHAnsi"/>
          <w:b w:val="0"/>
          <w:bCs w:val="0"/>
          <w:sz w:val="14"/>
        </w:rPr>
        <w:t xml:space="preserve"> about test results, and that its members be trained in elementary statistics and probability.40 In sum, Koehler and Saks pointedly asserted that </w:t>
      </w:r>
      <w:r w:rsidRPr="00A2427B">
        <w:rPr>
          <w:rStyle w:val="Emphasis"/>
        </w:rPr>
        <w:t>forensic scientists should not be allowed “to say, in effect, ‘trust me: that’s the source.’</w:t>
      </w:r>
      <w:r w:rsidRPr="00A2427B">
        <w:rPr>
          <w:rStyle w:val="Style13ptBold"/>
          <w:rFonts w:asciiTheme="minorHAnsi" w:hAnsiTheme="minorHAnsi" w:cstheme="minorHAnsi"/>
          <w:b w:val="0"/>
          <w:bCs w:val="0"/>
          <w:sz w:val="14"/>
        </w:rPr>
        <w:t xml:space="preserve"> Real scientists don’t say ‘trust me.’ They provide data.”41 A scientific approach, however, should be taken not only with regard to the random match probability, but also to the possibility of errors in lab testing. Where the possibility of a random match is very rare (in genetic comparisons, for example, there is often a one-inmillions or even billions chance) and where </w:t>
      </w:r>
      <w:r w:rsidRPr="00A2427B">
        <w:rPr>
          <w:rStyle w:val="StyleUnderline"/>
        </w:rPr>
        <w:t>the possibility of an error in the lab testing is far more common</w:t>
      </w:r>
      <w:r w:rsidRPr="00A2427B">
        <w:rPr>
          <w:rStyle w:val="Style13ptBold"/>
          <w:rFonts w:asciiTheme="minorHAnsi" w:hAnsiTheme="minorHAnsi" w:cstheme="minorHAnsi"/>
          <w:b w:val="0"/>
          <w:bCs w:val="0"/>
          <w:sz w:val="14"/>
        </w:rPr>
        <w:t xml:space="preserve"> (at least one percentage rate in all likelihood), the courts and legislature must require that the prosecution provide also, and even principally, the latter figure as a condition for the admissibility of the evidence in court. </w:t>
      </w:r>
      <w:r w:rsidRPr="00A2427B">
        <w:rPr>
          <w:rStyle w:val="StyleUnderline"/>
        </w:rPr>
        <w:t>This information is very important not only with respect to admissibility but also in terms of the correct weight to be attributed to the evidence</w:t>
      </w:r>
      <w:r w:rsidRPr="00A2427B">
        <w:rPr>
          <w:rStyle w:val="Style13ptBold"/>
          <w:rFonts w:asciiTheme="minorHAnsi" w:hAnsiTheme="minorHAnsi" w:cstheme="minorHAnsi"/>
          <w:b w:val="0"/>
          <w:bCs w:val="0"/>
          <w:sz w:val="14"/>
        </w:rPr>
        <w:t xml:space="preserve">. Currently, </w:t>
      </w:r>
      <w:r w:rsidRPr="00A2427B">
        <w:rPr>
          <w:rStyle w:val="StyleUnderline"/>
        </w:rPr>
        <w:t>there is a tendency to ignore the possibility of error in lab testing,</w:t>
      </w:r>
      <w:r w:rsidRPr="00A2427B">
        <w:rPr>
          <w:rStyle w:val="Style13ptBold"/>
          <w:rFonts w:asciiTheme="minorHAnsi" w:hAnsiTheme="minorHAnsi" w:cstheme="minorHAnsi"/>
          <w:b w:val="0"/>
          <w:bCs w:val="0"/>
          <w:sz w:val="14"/>
        </w:rPr>
        <w:t xml:space="preserve"> and consequently, scientific evidence is accorded far greater weight than what is appropriate.42 The possibility of a lab testing error is an inherent aspect of every scientific test. It appears that the law is perhaps the only sphere of life in which the tendency is to ignore this possibility. In the medical diagnostics field, for example, the incidence of the disease in the risk group to which the testee belongs is vital to correctly calculate the positive predictive value of the test and not fall victim to the “base rate fallacy.”43 The FDA even requires manufacturers of medical diagnostic devices to provide the positive predictive value of the test they manufacture for different levels of the incidence of a disease among different risk groups.44 In the past, a common erroneous claim (referred to in the literature as “case specific” or “false positive fallacy”)45 was that a court presumably has no need for statistics on laboratory error rates because it allegedly has the ability to check that all necessary procedures were followed in the specific case before it and, thereby, ensure that no error could have occurred.46 Today, it is generally understood that courts are incapable of making sure that no error occurred, and that even a negligible probability of lab error should, in certain circumstances, result in a significant diminishment of the weight of the relevant evidence.47 </w:t>
      </w:r>
      <w:r w:rsidRPr="00A2427B">
        <w:rPr>
          <w:rStyle w:val="StyleUnderline"/>
        </w:rPr>
        <w:t>Errors occur even in the best of laboratories and even when the experts testify that all test protocols were followed.48</w:t>
      </w:r>
    </w:p>
    <w:p w14:paraId="5E315033" w14:textId="1BA03D36" w:rsidR="002047E8" w:rsidRPr="00A2427B" w:rsidRDefault="002047E8" w:rsidP="008116EC">
      <w:pPr>
        <w:rPr>
          <w:rStyle w:val="StyleUnderline"/>
        </w:rPr>
      </w:pPr>
    </w:p>
    <w:p w14:paraId="5AC59E5E" w14:textId="154AD7FA" w:rsidR="002047E8" w:rsidRPr="00A2427B" w:rsidRDefault="002047E8" w:rsidP="00FD316D">
      <w:pPr>
        <w:pStyle w:val="Heading4"/>
      </w:pPr>
      <w:r w:rsidRPr="00A2427B">
        <w:t>But</w:t>
      </w:r>
      <w:r w:rsidRPr="00A2427B">
        <w:rPr>
          <w:i/>
          <w:iCs w:val="0"/>
        </w:rPr>
        <w:t xml:space="preserve"> Williams </w:t>
      </w:r>
      <w:r w:rsidRPr="00A2427B">
        <w:t>supreme court decision means a lack of uniformity in treatment of forensic scientists’ testimony in the courts.</w:t>
      </w:r>
    </w:p>
    <w:p w14:paraId="730A8B90" w14:textId="7A0462AF" w:rsidR="002047E8" w:rsidRPr="00A2427B" w:rsidRDefault="002047E8" w:rsidP="002047E8">
      <w:r w:rsidRPr="00A2427B">
        <w:rPr>
          <w:rStyle w:val="Style13ptBold"/>
        </w:rPr>
        <w:t>Pardo 2019</w:t>
      </w:r>
      <w:r w:rsidRPr="00A2427B">
        <w:t xml:space="preserve"> ["Michael S. Confrontation after Scalia and Kennedy," Alabama Law Review 70, no. 3 (2019): 757-784]</w:t>
      </w:r>
    </w:p>
    <w:p w14:paraId="7698FA09" w14:textId="77777777" w:rsidR="002047E8" w:rsidRPr="00A2427B" w:rsidRDefault="002047E8" w:rsidP="002047E8">
      <w:pPr>
        <w:rPr>
          <w:sz w:val="16"/>
        </w:rPr>
      </w:pPr>
      <w:r w:rsidRPr="00A2427B">
        <w:rPr>
          <w:sz w:val="16"/>
        </w:rPr>
        <w:t xml:space="preserve">In Bullcomin, the Court considered a forensic report stating the defendant's blood alcohol content.78 Although the analyst who conducted the test and signed the report did not testify, the prosecution called another laboratory analyst to explain the report and to provide the defendant with an opportunity for cross-examination. 79 A majority of the Court again concluded that, as in MelendeZ-Dia.7, the laboratory report was testimonial.80 Moreover, the Court held that the "surrogate" testimony from an analyst who did not participate in or supervise the testing at issue was insufficient for confrontation purposes. 81 This time Justice Ginsburg wrote for the majority, joined in full by Justice Scalia and joined in most parts by the two new Justices on the Court (Kagan and Sotomayor). Justice Thomas also joined most of the majority opinion. Led by Justice Kennedy, the four skeptics again dissented, arguing once again that the analyst at issue was not a "witness" for confrontation purposes and that, even if so, the surrogate testimony should have been sufficient.8 2 In contrast to Melendez-Diaz and Bullcoming, the third case, </w:t>
      </w:r>
      <w:r w:rsidRPr="00A2427B">
        <w:rPr>
          <w:rStyle w:val="Emphasis"/>
        </w:rPr>
        <w:t>Williams v. Illinois, held that evidence of the results from a forensic report did not violate the Confrontation Clause.</w:t>
      </w:r>
      <w:r w:rsidRPr="00A2427B">
        <w:rPr>
          <w:sz w:val="16"/>
        </w:rPr>
        <w:t xml:space="preserve"> 83 No rationale supporting this conclusion, however, was adopted by a majority of the Court, and the decision continues to confound federal and state courts. The defendant was charged with rape and convicted at trial.84 T</w:t>
      </w:r>
      <w:r w:rsidRPr="00A2427B">
        <w:rPr>
          <w:rStyle w:val="Emphasis"/>
        </w:rPr>
        <w:t>he report at issue concerned a DNA report prepared by a private lab, Celimark, providing a DNA profile of the alleged perpetrator,</w:t>
      </w:r>
      <w:r w:rsidRPr="00A2427B">
        <w:rPr>
          <w:sz w:val="16"/>
        </w:rPr>
        <w:t xml:space="preserve"> after analyzing swabs from the victim that were sent to Celimark by the state crime lab.8 5 The report itself was not admitted into evidence at trial.86 But a prosecution witness-an analyst with the state crime lab-testified as an expert witness that the profile produced in the Cellmark report (from the crime samples sent to them) "matched" a DNA profile in a sample taken from the defendant.8 7 A four-Justice plurality of the Cranford skeptics (this time authored by Jus tice Alito) concluded that the references to the Cellmark report did not violate the Confrontation Clause for two reasons. 88 First, the Court argued that the contents of the Cellmark report were not offered for "the truth of the matter asserted" and thus were outside the scope of the Clause.</w:t>
      </w:r>
      <w:r w:rsidRPr="00A2427B">
        <w:rPr>
          <w:rStyle w:val="Emphasis"/>
        </w:rPr>
        <w:t>89 In reaching this conclusion, the plurality appeared to rely on an aspect of modern evidence doctrine that allows expert witnesses to rely on otherwise inadmissible information</w:t>
      </w:r>
      <w:r w:rsidRPr="00A2427B">
        <w:rPr>
          <w:sz w:val="16"/>
        </w:rPr>
        <w:t xml:space="preserve">. 90 In certain circumstances, such information may sometimes be admissible for the limited purpose of evaluating the expert's opinion. 91 The plurality, arguing that something like this had occurred at trial, insisted that the references to the report's contents were offered "not to prove the truth of the matter asserted in the report, i.e., that the report contained an accurate profile of the perpetrator's DNA, but only to establish that the report contained a DNA profile that matched the DNA profile deduced from petitioner's blood."'92 Although there are limited circumstances in which such "basis evidence" is not offered for its truth, this case does not present such an example, and indeed, a majority of the Court rejected this argument.93 The plurality offered a second ground for its conclusion by arguing that, even if offered for its truth, the Cellmark report was not testimonial under the "primary purpose" test.94 </w:t>
      </w:r>
      <w:r w:rsidRPr="00A2427B">
        <w:rPr>
          <w:rStyle w:val="Emphasis"/>
        </w:rPr>
        <w:t>According to Justice Alito, the primary purpose of the Cellmark report "was not to accuse petitioner or to create evidence for use at trial." 95 Moreover, he insisted, when the state "lab sent the sample to Cellmark, its primary purpose was to catch a dangerous rapist who was still at large</w:t>
      </w:r>
      <w:r w:rsidRPr="00A2427B">
        <w:rPr>
          <w:sz w:val="16"/>
        </w:rPr>
        <w:t xml:space="preserve">, not to obtain evidence for use against petitioner, who was neither in custody nor under suspicion at that time. '96 As with the first rationale, a majority of the Court rejected this argument as well.97 </w:t>
      </w:r>
      <w:r w:rsidRPr="00A2427B">
        <w:rPr>
          <w:rStyle w:val="Emphasis"/>
        </w:rPr>
        <w:t>A four-Justice dissent,</w:t>
      </w:r>
      <w:r w:rsidRPr="00A2427B">
        <w:rPr>
          <w:sz w:val="16"/>
        </w:rPr>
        <w:t xml:space="preserve"> authored by Justice Kagan, </w:t>
      </w:r>
      <w:r w:rsidRPr="00A2427B">
        <w:rPr>
          <w:rStyle w:val="Emphasis"/>
        </w:rPr>
        <w:t>argued that references to the contents of the Cellmark report violated the Confrontation Clause.</w:t>
      </w:r>
      <w:r w:rsidRPr="00A2427B">
        <w:rPr>
          <w:sz w:val="16"/>
        </w:rPr>
        <w:t xml:space="preserve">98 The dissent argued that this conclusion followed directly from MekndeZ-Diaz and Bullcoming.99 Justice Kagan's dissent also provided arguments directed at the plurality's two rationales. According to the dissent, the statements were admitted for their truth. 100 Moreover, the dissent noted that the primary purpose need not target or accuse a particular individual, and the facts belie the suggestion that the state lab was responding to an ongoing emergency (as in Davis).'0 Writing separately, Justice Thomas agreed with the dissent that the statements were offered for their truth. 0 2 He also rejected the plurality's "primary purpose" analysis. 10 3 Nevertheless, he argued that the Celmark report was not sufficiently formal to meet his test for being a "testimonial" statement. 104 Thus, his separate conclusion, combined with the plurality, leads to the outcome that no confrontation violation occurred. </w:t>
      </w:r>
      <w:r w:rsidRPr="00A2427B">
        <w:rPr>
          <w:rStyle w:val="Emphasis"/>
        </w:rPr>
        <w:t>The 4-4-1 structure of Williams has confounded lower courts and introduced chaos into this particular area of law</w:t>
      </w:r>
      <w:r w:rsidRPr="00A2427B">
        <w:rPr>
          <w:sz w:val="16"/>
        </w:rPr>
        <w:t xml:space="preserve">. </w:t>
      </w:r>
      <w:r w:rsidRPr="00A2427B">
        <w:rPr>
          <w:rStyle w:val="Emphasis"/>
        </w:rPr>
        <w:t>According to one approach, Williams has no precedential value because no rationale was supported by a majority of the Justices, and thus Melendez-Diaz and Bullcomin remain the controlling law.</w:t>
      </w:r>
      <w:r w:rsidRPr="00A2427B">
        <w:rPr>
          <w:sz w:val="16"/>
        </w:rPr>
        <w:t>105 Instead of looking for an underlying rationale, a second possibility is to apply Williams by focusing on how the Justices would be likely to vote given the facts of a case. 106 According to this predictive model, Justice Thomas's test would control, despite the fact that eight other Justices on the Court rejected this test, because Justice Thomas is likely to vote with the plurality when the statements are not formalized enough and with the dissent when they are contained in formalized materials. Williams is the Court's most recent foray into this area, and thus considerable doctrinal confusion exists regarding experts and confrontation. 10 7</w:t>
      </w:r>
    </w:p>
    <w:p w14:paraId="08C0A10F" w14:textId="7DAF8025" w:rsidR="002047E8" w:rsidRPr="00A2427B" w:rsidRDefault="002047E8" w:rsidP="008116EC">
      <w:pPr>
        <w:rPr>
          <w:rStyle w:val="StyleUnderline"/>
        </w:rPr>
      </w:pPr>
    </w:p>
    <w:p w14:paraId="6940A1D0" w14:textId="77777777" w:rsidR="00A04587" w:rsidRPr="00A2427B" w:rsidRDefault="00A04587" w:rsidP="00A04587">
      <w:pPr>
        <w:pStyle w:val="Heading4"/>
      </w:pPr>
      <w:r w:rsidRPr="00A2427B">
        <w:t>Internal link 1 – Fingerprints</w:t>
      </w:r>
    </w:p>
    <w:p w14:paraId="6F8CA637" w14:textId="77777777" w:rsidR="00A04587" w:rsidRPr="00A2427B" w:rsidRDefault="00A04587" w:rsidP="00A04587"/>
    <w:p w14:paraId="412F0089" w14:textId="5FCA96B4" w:rsidR="00A04587" w:rsidRPr="00A2427B" w:rsidRDefault="00A04587" w:rsidP="00FD316D">
      <w:pPr>
        <w:pStyle w:val="Heading4"/>
      </w:pPr>
      <w:r w:rsidRPr="00A2427B">
        <w:t>Fingerprint data has numerous systematic sources of misidentification and falsely inculpatory errors.</w:t>
      </w:r>
    </w:p>
    <w:p w14:paraId="4D99B7EF" w14:textId="34E567C4" w:rsidR="00A04587" w:rsidRPr="00A2427B" w:rsidRDefault="00A04587" w:rsidP="00A04587">
      <w:pPr>
        <w:rPr>
          <w:color w:val="222222"/>
          <w:sz w:val="20"/>
          <w:szCs w:val="20"/>
          <w:shd w:val="clear" w:color="auto" w:fill="FFFFFF"/>
        </w:rPr>
      </w:pPr>
      <w:r w:rsidRPr="00A2427B">
        <w:rPr>
          <w:rStyle w:val="Style13ptBold"/>
        </w:rPr>
        <w:t>Cole and Scheck 2017</w:t>
      </w:r>
      <w:r w:rsidRPr="00A2427B">
        <w:rPr>
          <w:color w:val="222222"/>
          <w:sz w:val="20"/>
          <w:szCs w:val="20"/>
          <w:shd w:val="clear" w:color="auto" w:fill="FFFFFF"/>
        </w:rPr>
        <w:t xml:space="preserve"> [Simon A., and Barry C. Scheck. "Fingerprints and Miscarriages of Justice: Other Types of Error and a Post-Conviction Right to Database Searching." </w:t>
      </w:r>
      <w:r w:rsidRPr="00A2427B">
        <w:rPr>
          <w:i/>
          <w:iCs/>
          <w:color w:val="222222"/>
          <w:sz w:val="20"/>
          <w:szCs w:val="20"/>
          <w:shd w:val="clear" w:color="auto" w:fill="FFFFFF"/>
        </w:rPr>
        <w:t>Alb. L. Rev.</w:t>
      </w:r>
      <w:r w:rsidRPr="00A2427B">
        <w:rPr>
          <w:color w:val="222222"/>
          <w:sz w:val="20"/>
          <w:szCs w:val="20"/>
          <w:shd w:val="clear" w:color="auto" w:fill="FFFFFF"/>
        </w:rPr>
        <w:t> 81 (2017): 807.]</w:t>
      </w:r>
    </w:p>
    <w:p w14:paraId="53614108" w14:textId="48C47C67" w:rsidR="00A04587" w:rsidRPr="00A2427B" w:rsidRDefault="00A04587" w:rsidP="008116EC">
      <w:pPr>
        <w:rPr>
          <w:rStyle w:val="StyleUnderline"/>
          <w:sz w:val="16"/>
          <w:u w:val="none"/>
        </w:rPr>
      </w:pPr>
      <w:r w:rsidRPr="00A2427B">
        <w:rPr>
          <w:sz w:val="16"/>
        </w:rPr>
        <w:t xml:space="preserve">The above cases suggest that </w:t>
      </w:r>
      <w:r w:rsidRPr="00A2427B">
        <w:rPr>
          <w:rStyle w:val="Emphasis"/>
        </w:rPr>
        <w:t>there is a wide array of ways in which fingerprint evidence can contribute to inaccurate criminal justice outcomes</w:t>
      </w:r>
      <w:r w:rsidRPr="00A2427B">
        <w:rPr>
          <w:sz w:val="16"/>
        </w:rPr>
        <w:t>. As illustrated by cases like Cowans, 169 Mayfield, 170 McKie, 171 and Dandridge, 172 latent print examiners can report that suspects are sources of marks when in fact they are not or, as in Williamson/Fritz, that victims are sources of marks when in fact they are not.173 But there is a much wider range of potential errors. All of the possibilities below occurred, or may have occurred, in at least one of the cases we list in Table 4</w:t>
      </w:r>
      <w:r w:rsidRPr="00A2427B">
        <w:rPr>
          <w:rStyle w:val="Emphasis"/>
        </w:rPr>
        <w:t>: 1. Investigators can fail to recover marks (</w:t>
      </w:r>
      <w:r w:rsidRPr="00A2427B">
        <w:rPr>
          <w:sz w:val="16"/>
        </w:rPr>
        <w:t xml:space="preserve">Butler). </w:t>
      </w:r>
      <w:r w:rsidRPr="00A2427B">
        <w:rPr>
          <w:rStyle w:val="Emphasis"/>
        </w:rPr>
        <w:t>2. Investigators can fail to request analyses of recovered marks</w:t>
      </w:r>
      <w:r w:rsidRPr="00A2427B">
        <w:rPr>
          <w:sz w:val="16"/>
        </w:rPr>
        <w:t xml:space="preserve"> (Carter, Houser). 3. </w:t>
      </w:r>
      <w:r w:rsidRPr="00A2427B">
        <w:rPr>
          <w:rStyle w:val="Emphasis"/>
        </w:rPr>
        <w:t>Investigators can fail to request comparisons of marks to the prints of plausible suspects</w:t>
      </w:r>
      <w:r w:rsidRPr="00A2427B">
        <w:rPr>
          <w:sz w:val="16"/>
        </w:rPr>
        <w:t xml:space="preserve"> (Grimes). 4. </w:t>
      </w:r>
      <w:r w:rsidRPr="00A2427B">
        <w:rPr>
          <w:rStyle w:val="Emphasis"/>
        </w:rPr>
        <w:t>Law enforcement agencies can fail to conduct database searches of marks whose sources have not been reported</w:t>
      </w:r>
      <w:r w:rsidRPr="00A2427B">
        <w:rPr>
          <w:sz w:val="16"/>
        </w:rPr>
        <w:t xml:space="preserve"> (Grimes). 5. </w:t>
      </w:r>
      <w:r w:rsidRPr="00A2427B">
        <w:rPr>
          <w:rStyle w:val="Emphasis"/>
        </w:rPr>
        <w:t>The true perpetrator may not be included in the AFIS database</w:t>
      </w:r>
      <w:r w:rsidRPr="00A2427B">
        <w:rPr>
          <w:sz w:val="16"/>
        </w:rPr>
        <w:t xml:space="preserve"> (Marquette Park Four) 6. </w:t>
      </w:r>
      <w:r w:rsidRPr="00A2427B">
        <w:rPr>
          <w:rStyle w:val="Emphasis"/>
        </w:rPr>
        <w:t>The AFIS may not be usable on a particular print,</w:t>
      </w:r>
      <w:r w:rsidRPr="00A2427B">
        <w:rPr>
          <w:sz w:val="16"/>
        </w:rPr>
        <w:t xml:space="preserve"> e.g., a poor quality mark or a palm, proximal or middle phalanx, or sole mark (Marquette Park Four). 7. </w:t>
      </w:r>
      <w:r w:rsidRPr="00A2427B">
        <w:rPr>
          <w:rStyle w:val="Emphasis"/>
        </w:rPr>
        <w:t>AFIS can "miss"-that is, fail to list the true source of mark as a candidate, even when the true candidate is in the database</w:t>
      </w:r>
      <w:r w:rsidRPr="00A2427B">
        <w:rPr>
          <w:sz w:val="16"/>
        </w:rPr>
        <w:t xml:space="preserve"> (Newsome) 8. Latent print examiners can "miss"-that is, commit "false negatives," report that the source of a mark is not the source (Armstrong) 9. Latent print examiners can report that marks are of "no value" when, in fact, they are "of value," depriving defendants of potentially probative evidence (Allen). 10. Latent print examiners can "fail to exclude"-that is, report that a comparison was "inconclusive" when, in fact, it excluded the suspect (Showers). 11. Latent print examiners can suppress dissenting expert conclusions, perhaps in an effort not to weaken the case against the prime suspect (Bibbins). 12. Investigators can fail to report the results of analyses to prosecutors (Waters). 13. Prosecutors can fail to discover the results of analyses to defendants (Heins). 14. Defense attorneys can fail to present latent print evidence with probative value at trial (Heins). VI. DISCUSSION As the preceding section demonstrates, </w:t>
      </w:r>
      <w:r w:rsidRPr="00A2427B">
        <w:rPr>
          <w:rStyle w:val="Emphasis"/>
        </w:rPr>
        <w:t>accuracy studies show other types of fingerprint error occurring at a far higher rate than erroneous individualizations</w:t>
      </w:r>
      <w:r w:rsidRPr="00A2427B">
        <w:rPr>
          <w:sz w:val="16"/>
        </w:rPr>
        <w:t>. Consideration of the structure of latent print analysis suggests that we should not be surprised by these findings. SDT teaches that examiners can reduce erroneous individualizations by calibrating themselves with a conservative bias at the cost of committing a greater proportion of other types of error.174 As an extreme example, if an examiner reports exclusion for all comparisons, she will commit zero erroneous individualizations at the price of committing a large number of erroneous exclusions. Latent print examiners are supposedly trained to behave conservatively-that is, to seek to minimize erroneous individualizations at the expense of increased erroneous exclusions or non-consensus inconclusive determinations. 175 In other words, to the extent that latent print examiners behave as they claim to, we should expect missed individualization rates to be much higher than missed exclusion rates. Indeed, it has been suggested that the effect of conservative bias is less to shift examiners toward the exclusion decision-which could be false-but rather toward the inconclusives-which, as discussed above in Part 0, at least in some sense, can never be false.1 76 Thus, latent print examiners are consciously biased toward the sort of other errors we discuss above. However, unconscious bias may also push them in that same direction. It has been suggested that forensic experts who are made aware of investigators' theory of the case may be vulnerable to conscious or unconscious bias to make their findings consistent with that theory.'77 Psychological research, principally the series of studies by Dror et al., has shown that latent print examiners who are primed to expect a certain outcome will sometimes shift their conclusions in that direction. 78 Interestingly, while the Dror et al. studies have primarily been used to debunk claims about the infallibility of fingerprint analysis with regard to erroneous individualizations,1 79 the seminal Dror et al. study found erroneous exclusions and non-consensus inconclusives, but no erroneous individualizations.o80</w:t>
      </w:r>
    </w:p>
    <w:p w14:paraId="2D6E1FC8" w14:textId="3EF7F024" w:rsidR="00ED73E1" w:rsidRPr="00A2427B" w:rsidRDefault="00A04587" w:rsidP="00FD316D">
      <w:pPr>
        <w:pStyle w:val="Heading4"/>
        <w:rPr>
          <w:shd w:val="clear" w:color="auto" w:fill="FFFFFF"/>
        </w:rPr>
      </w:pPr>
      <w:r w:rsidRPr="00A2427B">
        <w:rPr>
          <w:shd w:val="clear" w:color="auto" w:fill="FFFFFF"/>
        </w:rPr>
        <w:t>Internal link 2 – Bitemarks</w:t>
      </w:r>
    </w:p>
    <w:p w14:paraId="60B073C3" w14:textId="7218DD8A" w:rsidR="00ED73E1" w:rsidRPr="00A2427B" w:rsidRDefault="00ED73E1" w:rsidP="00FD316D">
      <w:pPr>
        <w:pStyle w:val="Heading4"/>
      </w:pPr>
      <w:r w:rsidRPr="00A2427B">
        <w:t>Bitemark analysis is a relic of 1960s and 1970s era forensic science and hold no contemporary scientific value.</w:t>
      </w:r>
    </w:p>
    <w:p w14:paraId="74A101EC" w14:textId="0CF7DF5E" w:rsidR="00A04587" w:rsidRPr="00A2427B" w:rsidRDefault="00A04587" w:rsidP="00A04587">
      <w:pPr>
        <w:rPr>
          <w:color w:val="222222"/>
          <w:sz w:val="20"/>
          <w:szCs w:val="20"/>
          <w:shd w:val="clear" w:color="auto" w:fill="FFFFFF"/>
        </w:rPr>
      </w:pPr>
      <w:r w:rsidRPr="00A2427B">
        <w:rPr>
          <w:rStyle w:val="Style13ptBold"/>
        </w:rPr>
        <w:t>Bowers</w:t>
      </w:r>
      <w:r w:rsidR="003F5930" w:rsidRPr="00A2427B">
        <w:rPr>
          <w:rStyle w:val="Style13ptBold"/>
        </w:rPr>
        <w:t xml:space="preserve"> 2019</w:t>
      </w:r>
      <w:r w:rsidRPr="00A2427B">
        <w:rPr>
          <w:color w:val="222222"/>
          <w:sz w:val="20"/>
          <w:szCs w:val="20"/>
          <w:shd w:val="clear" w:color="auto" w:fill="FFFFFF"/>
        </w:rPr>
        <w:t xml:space="preserve"> </w:t>
      </w:r>
      <w:r w:rsidR="003F5930" w:rsidRPr="00A2427B">
        <w:rPr>
          <w:color w:val="222222"/>
          <w:sz w:val="20"/>
          <w:szCs w:val="20"/>
          <w:shd w:val="clear" w:color="auto" w:fill="FFFFFF"/>
        </w:rPr>
        <w:t>[</w:t>
      </w:r>
      <w:r w:rsidRPr="00A2427B">
        <w:rPr>
          <w:color w:val="222222"/>
          <w:sz w:val="20"/>
          <w:szCs w:val="20"/>
          <w:shd w:val="clear" w:color="auto" w:fill="FFFFFF"/>
        </w:rPr>
        <w:t>C. Michael. "Review of a forensic pseudoscience: identification of criminals from bitemark patterns." </w:t>
      </w:r>
      <w:r w:rsidRPr="00A2427B">
        <w:rPr>
          <w:i/>
          <w:iCs/>
          <w:color w:val="222222"/>
          <w:sz w:val="20"/>
          <w:szCs w:val="20"/>
          <w:shd w:val="clear" w:color="auto" w:fill="FFFFFF"/>
        </w:rPr>
        <w:t>Journal of forensic and legal medicine</w:t>
      </w:r>
      <w:r w:rsidRPr="00A2427B">
        <w:rPr>
          <w:color w:val="222222"/>
          <w:sz w:val="20"/>
          <w:szCs w:val="20"/>
          <w:shd w:val="clear" w:color="auto" w:fill="FFFFFF"/>
        </w:rPr>
        <w:t> 61 (2019): 34-39.</w:t>
      </w:r>
      <w:r w:rsidR="003F5930" w:rsidRPr="00A2427B">
        <w:rPr>
          <w:color w:val="222222"/>
          <w:sz w:val="20"/>
          <w:szCs w:val="20"/>
          <w:shd w:val="clear" w:color="auto" w:fill="FFFFFF"/>
        </w:rPr>
        <w:t>]</w:t>
      </w:r>
    </w:p>
    <w:p w14:paraId="0D588065" w14:textId="70DD3A77" w:rsidR="00A04587" w:rsidRPr="00A2427B" w:rsidRDefault="00A04587" w:rsidP="00A04587">
      <w:pPr>
        <w:rPr>
          <w:sz w:val="16"/>
        </w:rPr>
      </w:pPr>
      <w:r w:rsidRPr="00A2427B">
        <w:rPr>
          <w:sz w:val="16"/>
        </w:rPr>
        <w:t>4.</w:t>
      </w:r>
      <w:r w:rsidR="00FD316D" w:rsidRPr="00A2427B">
        <w:rPr>
          <w:sz w:val="16"/>
        </w:rPr>
        <w:t xml:space="preserve"> </w:t>
      </w:r>
      <w:r w:rsidRPr="00A2427B">
        <w:rPr>
          <w:sz w:val="16"/>
        </w:rPr>
        <w:t>The literature: the source of bitemark dentistry claims of the scientific bases for their participation in criminal investigations</w:t>
      </w:r>
      <w:r w:rsidR="00FD316D" w:rsidRPr="00A2427B">
        <w:rPr>
          <w:sz w:val="16"/>
        </w:rPr>
        <w:t xml:space="preserve"> </w:t>
      </w:r>
      <w:r w:rsidRPr="00A2427B">
        <w:rPr>
          <w:rStyle w:val="Emphasis"/>
        </w:rPr>
        <w:t>Bitemark comparison became a significant addition to their historic forensic role as the identifiers of deceased human dental remains began developing in the 1960's and 1970's in the UK and US</w:t>
      </w:r>
      <w:r w:rsidRPr="00A2427B">
        <w:rPr>
          <w:sz w:val="16"/>
        </w:rPr>
        <w:t>.</w:t>
      </w:r>
      <w:bookmarkStart w:id="0" w:name="bbib5"/>
      <w:r w:rsidRPr="00A2427B">
        <w:rPr>
          <w:sz w:val="16"/>
        </w:rPr>
        <w:fldChar w:fldCharType="begin"/>
      </w:r>
      <w:r w:rsidRPr="00A2427B">
        <w:rPr>
          <w:sz w:val="16"/>
        </w:rPr>
        <w:instrText xml:space="preserve"> HYPERLINK "https://www.sciencedirect.com/science/article/pii/S1752928X18305080?casa_token=z7DD49hkn5sAAAAA:QhwlrUeZN2dTu4DTOd4YKeaLdFPj10418Tbc0OHcpnj44U10s12BcbN057LGE_aLLycUd_sx" \l "bib5" </w:instrText>
      </w:r>
      <w:r w:rsidRPr="00A2427B">
        <w:rPr>
          <w:sz w:val="16"/>
        </w:rPr>
        <w:fldChar w:fldCharType="separate"/>
      </w:r>
      <w:r w:rsidRPr="00A2427B">
        <w:rPr>
          <w:rStyle w:val="Hyperlink"/>
          <w:sz w:val="16"/>
        </w:rPr>
        <w:t>5</w:t>
      </w:r>
      <w:r w:rsidRPr="00A2427B">
        <w:rPr>
          <w:sz w:val="16"/>
        </w:rPr>
        <w:fldChar w:fldCharType="end"/>
      </w:r>
      <w:bookmarkEnd w:id="0"/>
      <w:r w:rsidR="00FD316D" w:rsidRPr="00A2427B">
        <w:rPr>
          <w:sz w:val="16"/>
        </w:rPr>
        <w:t xml:space="preserve"> </w:t>
      </w:r>
      <w:r w:rsidRPr="00A2427B">
        <w:rPr>
          <w:sz w:val="16"/>
        </w:rPr>
        <w:t>The seminal legal case in the US occurred in 1975</w:t>
      </w:r>
      <w:bookmarkStart w:id="1" w:name="bbib6"/>
      <w:r w:rsidRPr="00A2427B">
        <w:rPr>
          <w:sz w:val="16"/>
        </w:rPr>
        <w:fldChar w:fldCharType="begin"/>
      </w:r>
      <w:r w:rsidRPr="00A2427B">
        <w:rPr>
          <w:sz w:val="16"/>
        </w:rPr>
        <w:instrText xml:space="preserve"> HYPERLINK "https://www.sciencedirect.com/science/article/pii/S1752928X18305080?casa_token=z7DD49hkn5sAAAAA:QhwlrUeZN2dTu4DTOd4YKeaLdFPj10418Tbc0OHcpnj44U10s12BcbN057LGE_aLLycUd_sx" \l "bib6" </w:instrText>
      </w:r>
      <w:r w:rsidRPr="00A2427B">
        <w:rPr>
          <w:sz w:val="16"/>
        </w:rPr>
        <w:fldChar w:fldCharType="separate"/>
      </w:r>
      <w:r w:rsidRPr="00A2427B">
        <w:rPr>
          <w:rStyle w:val="Hyperlink"/>
          <w:sz w:val="16"/>
        </w:rPr>
        <w:t>6</w:t>
      </w:r>
      <w:r w:rsidRPr="00A2427B">
        <w:rPr>
          <w:sz w:val="16"/>
        </w:rPr>
        <w:fldChar w:fldCharType="end"/>
      </w:r>
      <w:bookmarkEnd w:id="1"/>
      <w:r w:rsidR="00FD316D" w:rsidRPr="00A2427B">
        <w:rPr>
          <w:sz w:val="16"/>
        </w:rPr>
        <w:t xml:space="preserve"> </w:t>
      </w:r>
      <w:r w:rsidRPr="00A2427B">
        <w:rPr>
          <w:sz w:val="16"/>
        </w:rPr>
        <w:t>which while deemed and titled “unusual” by the testifying dentists, became the future rallying point for bitemark acceptance in all 50 US states.</w:t>
      </w:r>
      <w:r w:rsidR="00FD316D" w:rsidRPr="00A2427B">
        <w:rPr>
          <w:sz w:val="16"/>
        </w:rPr>
        <w:t xml:space="preserve"> </w:t>
      </w:r>
      <w:r w:rsidRPr="00A2427B">
        <w:rPr>
          <w:sz w:val="16"/>
        </w:rPr>
        <w:t>Marx</w:t>
      </w:r>
      <w:r w:rsidR="00FD316D" w:rsidRPr="00A2427B">
        <w:rPr>
          <w:sz w:val="16"/>
        </w:rPr>
        <w:t xml:space="preserve"> </w:t>
      </w:r>
      <w:r w:rsidRPr="00A2427B">
        <w:rPr>
          <w:sz w:val="16"/>
        </w:rPr>
        <w:t>passed the court-imposed “scientific” standard and marked the legal dawn of bitemark admissibility. Three years later, the court issued its categorical acceptance of bitemark comparisons with no reference to cautions and limitations.</w:t>
      </w:r>
      <w:bookmarkStart w:id="2" w:name="bbib7"/>
      <w:r w:rsidRPr="00A2427B">
        <w:rPr>
          <w:sz w:val="16"/>
        </w:rPr>
        <w:fldChar w:fldCharType="begin"/>
      </w:r>
      <w:r w:rsidRPr="00A2427B">
        <w:rPr>
          <w:sz w:val="16"/>
        </w:rPr>
        <w:instrText xml:space="preserve"> HYPERLINK "https://www.sciencedirect.com/science/article/pii/S1752928X18305080?casa_token=z7DD49hkn5sAAAAA:QhwlrUeZN2dTu4DTOd4YKeaLdFPj10418Tbc0OHcpnj44U10s12BcbN057LGE_aLLycUd_sx" \l "bib7" </w:instrText>
      </w:r>
      <w:r w:rsidRPr="00A2427B">
        <w:rPr>
          <w:sz w:val="16"/>
        </w:rPr>
        <w:fldChar w:fldCharType="separate"/>
      </w:r>
      <w:r w:rsidRPr="00A2427B">
        <w:rPr>
          <w:rStyle w:val="Hyperlink"/>
          <w:sz w:val="16"/>
        </w:rPr>
        <w:t>7</w:t>
      </w:r>
      <w:r w:rsidRPr="00A2427B">
        <w:rPr>
          <w:sz w:val="16"/>
        </w:rPr>
        <w:fldChar w:fldCharType="end"/>
      </w:r>
      <w:bookmarkEnd w:id="2"/>
      <w:r w:rsidR="00FD316D" w:rsidRPr="00A2427B">
        <w:rPr>
          <w:sz w:val="16"/>
        </w:rPr>
        <w:t xml:space="preserve"> </w:t>
      </w:r>
      <w:r w:rsidRPr="00A2427B">
        <w:rPr>
          <w:sz w:val="16"/>
        </w:rPr>
        <w:t>After these US judicial events, the bitemark literature blossomed with authors who primarily wrote about their contacts with law enforcement inquiries regarding skin bitemarks.</w:t>
      </w:r>
      <w:bookmarkStart w:id="3" w:name="bbib8"/>
      <w:r w:rsidRPr="00A2427B">
        <w:rPr>
          <w:sz w:val="16"/>
        </w:rPr>
        <w:fldChar w:fldCharType="begin"/>
      </w:r>
      <w:r w:rsidRPr="00A2427B">
        <w:rPr>
          <w:sz w:val="16"/>
        </w:rPr>
        <w:instrText xml:space="preserve"> HYPERLINK "https://www.sciencedirect.com/science/article/pii/S1752928X18305080?casa_token=z7DD49hkn5sAAAAA:QhwlrUeZN2dTu4DTOd4YKeaLdFPj10418Tbc0OHcpnj44U10s12BcbN057LGE_aLLycUd_sx" \l "bib8" </w:instrText>
      </w:r>
      <w:r w:rsidRPr="00A2427B">
        <w:rPr>
          <w:sz w:val="16"/>
        </w:rPr>
        <w:fldChar w:fldCharType="separate"/>
      </w:r>
      <w:r w:rsidRPr="00A2427B">
        <w:rPr>
          <w:rStyle w:val="Hyperlink"/>
          <w:sz w:val="16"/>
        </w:rPr>
        <w:t>8</w:t>
      </w:r>
      <w:r w:rsidRPr="00A2427B">
        <w:rPr>
          <w:sz w:val="16"/>
        </w:rPr>
        <w:fldChar w:fldCharType="end"/>
      </w:r>
      <w:bookmarkEnd w:id="3"/>
      <w:r w:rsidR="00FD316D" w:rsidRPr="00A2427B">
        <w:rPr>
          <w:sz w:val="16"/>
        </w:rPr>
        <w:t xml:space="preserve"> </w:t>
      </w:r>
      <w:r w:rsidRPr="00A2427B">
        <w:rPr>
          <w:sz w:val="16"/>
        </w:rPr>
        <w:t>With one recent exception,</w:t>
      </w:r>
      <w:bookmarkStart w:id="4" w:name="bbib9"/>
      <w:r w:rsidRPr="00A2427B">
        <w:rPr>
          <w:sz w:val="16"/>
        </w:rPr>
        <w:fldChar w:fldCharType="begin"/>
      </w:r>
      <w:r w:rsidRPr="00A2427B">
        <w:rPr>
          <w:sz w:val="16"/>
        </w:rPr>
        <w:instrText xml:space="preserve"> HYPERLINK "https://www.sciencedirect.com/science/article/pii/S1752928X18305080?casa_token=z7DD49hkn5sAAAAA:QhwlrUeZN2dTu4DTOd4YKeaLdFPj10418Tbc0OHcpnj44U10s12BcbN057LGE_aLLycUd_sx" \l "bib9" </w:instrText>
      </w:r>
      <w:r w:rsidRPr="00A2427B">
        <w:rPr>
          <w:sz w:val="16"/>
        </w:rPr>
        <w:fldChar w:fldCharType="separate"/>
      </w:r>
      <w:r w:rsidRPr="00A2427B">
        <w:rPr>
          <w:rStyle w:val="Hyperlink"/>
          <w:sz w:val="16"/>
        </w:rPr>
        <w:t>9</w:t>
      </w:r>
      <w:r w:rsidRPr="00A2427B">
        <w:rPr>
          <w:sz w:val="16"/>
        </w:rPr>
        <w:fldChar w:fldCharType="end"/>
      </w:r>
      <w:bookmarkEnd w:id="4"/>
      <w:r w:rsidR="00FD316D" w:rsidRPr="00A2427B">
        <w:rPr>
          <w:sz w:val="16"/>
        </w:rPr>
        <w:t xml:space="preserve"> </w:t>
      </w:r>
      <w:r w:rsidRPr="00A2427B">
        <w:rPr>
          <w:sz w:val="16"/>
        </w:rPr>
        <w:t>this is the predominate category of topics in the bitemark literature. Anything called “research” regarding bitemarks has been the work of a small cadre, containing ad hoc efforts by dentists isolated from conventional research centers and multi-disciplinary partners. A smattering of dentists, including this author, have published peer-reviewed articles expressing a collection of cautionary principles and demonstrations on the subject of bitemark identification.</w:t>
      </w:r>
      <w:bookmarkStart w:id="5" w:name="bbib10"/>
      <w:r w:rsidRPr="00A2427B">
        <w:rPr>
          <w:sz w:val="16"/>
        </w:rPr>
        <w:fldChar w:fldCharType="begin"/>
      </w:r>
      <w:r w:rsidRPr="00A2427B">
        <w:rPr>
          <w:sz w:val="16"/>
        </w:rPr>
        <w:instrText xml:space="preserve"> HYPERLINK "https://www.sciencedirect.com/science/article/pii/S1752928X18305080?casa_token=z7DD49hkn5sAAAAA:QhwlrUeZN2dTu4DTOd4YKeaLdFPj10418Tbc0OHcpnj44U10s12BcbN057LGE_aLLycUd_sx" \l "bib10" </w:instrText>
      </w:r>
      <w:r w:rsidRPr="00A2427B">
        <w:rPr>
          <w:sz w:val="16"/>
        </w:rPr>
        <w:fldChar w:fldCharType="separate"/>
      </w:r>
      <w:r w:rsidRPr="00A2427B">
        <w:rPr>
          <w:rStyle w:val="Hyperlink"/>
          <w:sz w:val="16"/>
        </w:rPr>
        <w:t>10</w:t>
      </w:r>
      <w:r w:rsidRPr="00A2427B">
        <w:rPr>
          <w:sz w:val="16"/>
        </w:rPr>
        <w:fldChar w:fldCharType="end"/>
      </w:r>
      <w:bookmarkEnd w:id="5"/>
      <w:r w:rsidR="00FD316D" w:rsidRPr="00A2427B">
        <w:rPr>
          <w:sz w:val="16"/>
        </w:rPr>
        <w:t xml:space="preserve"> </w:t>
      </w:r>
      <w:r w:rsidRPr="00A2427B">
        <w:rPr>
          <w:sz w:val="16"/>
        </w:rPr>
        <w:t>Up until 2009, the bulk of information about the failures of bitemark comparisons have come from the legal and bioscience literature.</w:t>
      </w:r>
      <w:bookmarkStart w:id="6" w:name="bbib11"/>
      <w:r w:rsidRPr="00A2427B">
        <w:rPr>
          <w:sz w:val="16"/>
        </w:rPr>
        <w:fldChar w:fldCharType="begin"/>
      </w:r>
      <w:r w:rsidRPr="00A2427B">
        <w:rPr>
          <w:sz w:val="16"/>
        </w:rPr>
        <w:instrText xml:space="preserve"> HYPERLINK "https://www.sciencedirect.com/science/article/pii/S1752928X18305080?casa_token=z7DD49hkn5sAAAAA:QhwlrUeZN2dTu4DTOd4YKeaLdFPj10418Tbc0OHcpnj44U10s12BcbN057LGE_aLLycUd_sx" \l "bib11" </w:instrText>
      </w:r>
      <w:r w:rsidRPr="00A2427B">
        <w:rPr>
          <w:sz w:val="16"/>
        </w:rPr>
        <w:fldChar w:fldCharType="separate"/>
      </w:r>
      <w:r w:rsidRPr="00A2427B">
        <w:rPr>
          <w:rStyle w:val="Hyperlink"/>
          <w:sz w:val="16"/>
        </w:rPr>
        <w:t>11</w:t>
      </w:r>
      <w:r w:rsidRPr="00A2427B">
        <w:rPr>
          <w:sz w:val="16"/>
        </w:rPr>
        <w:fldChar w:fldCharType="end"/>
      </w:r>
      <w:bookmarkEnd w:id="6"/>
      <w:r w:rsidR="00FD316D" w:rsidRPr="00A2427B">
        <w:rPr>
          <w:sz w:val="16"/>
        </w:rPr>
        <w:t xml:space="preserve"> </w:t>
      </w:r>
      <w:r w:rsidRPr="00A2427B">
        <w:rPr>
          <w:sz w:val="16"/>
        </w:rPr>
        <w:t>The remaining cohort of pro-bitemark dentists recently responded in print. Their commentary aggressively rebuts their critics with more anecdotal promises supporting their expertise.</w:t>
      </w:r>
      <w:bookmarkStart w:id="7" w:name="bbib12"/>
      <w:r w:rsidRPr="00A2427B">
        <w:rPr>
          <w:sz w:val="16"/>
        </w:rPr>
        <w:fldChar w:fldCharType="begin"/>
      </w:r>
      <w:r w:rsidRPr="00A2427B">
        <w:rPr>
          <w:sz w:val="16"/>
        </w:rPr>
        <w:instrText xml:space="preserve"> HYPERLINK "https://www.sciencedirect.com/science/article/pii/S1752928X18305080?casa_token=z7DD49hkn5sAAAAA:QhwlrUeZN2dTu4DTOd4YKeaLdFPj10418Tbc0OHcpnj44U10s12BcbN057LGE_aLLycUd_sx" \l "bib12" </w:instrText>
      </w:r>
      <w:r w:rsidRPr="00A2427B">
        <w:rPr>
          <w:sz w:val="16"/>
        </w:rPr>
        <w:fldChar w:fldCharType="separate"/>
      </w:r>
      <w:r w:rsidRPr="00A2427B">
        <w:rPr>
          <w:rStyle w:val="Hyperlink"/>
          <w:sz w:val="16"/>
        </w:rPr>
        <w:t>12</w:t>
      </w:r>
      <w:r w:rsidRPr="00A2427B">
        <w:rPr>
          <w:sz w:val="16"/>
        </w:rPr>
        <w:fldChar w:fldCharType="end"/>
      </w:r>
      <w:bookmarkEnd w:id="7"/>
      <w:r w:rsidR="00FD316D" w:rsidRPr="00A2427B">
        <w:rPr>
          <w:sz w:val="16"/>
        </w:rPr>
        <w:t xml:space="preserve"> </w:t>
      </w:r>
      <w:r w:rsidRPr="00A2427B">
        <w:rPr>
          <w:sz w:val="16"/>
        </w:rPr>
        <w:t>5.</w:t>
      </w:r>
      <w:r w:rsidR="00FD316D" w:rsidRPr="00A2427B">
        <w:rPr>
          <w:sz w:val="16"/>
        </w:rPr>
        <w:t xml:space="preserve"> </w:t>
      </w:r>
      <w:r w:rsidRPr="00A2427B">
        <w:rPr>
          <w:sz w:val="16"/>
        </w:rPr>
        <w:t>The bitemark identification paradigm</w:t>
      </w:r>
      <w:r w:rsidR="00FD316D" w:rsidRPr="00A2427B">
        <w:rPr>
          <w:sz w:val="16"/>
        </w:rPr>
        <w:t xml:space="preserve"> </w:t>
      </w:r>
      <w:r w:rsidRPr="00A2427B">
        <w:rPr>
          <w:sz w:val="16"/>
        </w:rPr>
        <w:t>Two propositions constitute the bitemark identification paradigm: a) human dental uniqueness and b) skin as an accurate impression material for tooth marks.</w:t>
      </w:r>
      <w:r w:rsidR="00FD316D" w:rsidRPr="00A2427B">
        <w:rPr>
          <w:sz w:val="16"/>
        </w:rPr>
        <w:t xml:space="preserve"> </w:t>
      </w:r>
      <w:r w:rsidRPr="00A2427B">
        <w:rPr>
          <w:sz w:val="16"/>
        </w:rPr>
        <w:t>Attempts at research about human tooth shape variability and “dental uniqueness” were absent from the literature through the 1970's, and since has occurred in scattershot and superficial attempts.</w:t>
      </w:r>
      <w:bookmarkStart w:id="8" w:name="bbib13"/>
      <w:r w:rsidRPr="00A2427B">
        <w:rPr>
          <w:sz w:val="16"/>
        </w:rPr>
        <w:fldChar w:fldCharType="begin"/>
      </w:r>
      <w:r w:rsidRPr="00A2427B">
        <w:rPr>
          <w:sz w:val="16"/>
        </w:rPr>
        <w:instrText xml:space="preserve"> HYPERLINK "https://www.sciencedirect.com/science/article/pii/S1752928X18305080?casa_token=z7DD49hkn5sAAAAA:QhwlrUeZN2dTu4DTOd4YKeaLdFPj10418Tbc0OHcpnj44U10s12BcbN057LGE_aLLycUd_sx" \l "bib13" </w:instrText>
      </w:r>
      <w:r w:rsidRPr="00A2427B">
        <w:rPr>
          <w:sz w:val="16"/>
        </w:rPr>
        <w:fldChar w:fldCharType="separate"/>
      </w:r>
      <w:r w:rsidRPr="00A2427B">
        <w:rPr>
          <w:rStyle w:val="Hyperlink"/>
          <w:sz w:val="16"/>
        </w:rPr>
        <w:t>13</w:t>
      </w:r>
      <w:r w:rsidRPr="00A2427B">
        <w:rPr>
          <w:sz w:val="16"/>
        </w:rPr>
        <w:fldChar w:fldCharType="end"/>
      </w:r>
      <w:bookmarkEnd w:id="8"/>
      <w:r w:rsidR="00FD316D" w:rsidRPr="00A2427B">
        <w:rPr>
          <w:sz w:val="16"/>
        </w:rPr>
        <w:t xml:space="preserve"> </w:t>
      </w:r>
      <w:r w:rsidRPr="00A2427B">
        <w:rPr>
          <w:sz w:val="16"/>
        </w:rPr>
        <w:t>Regardless of this, surprising things are seen in the bitemark criminal case law being in the 1980's. “Uniqueness” became confirmed in courtroom statements by dentists claiming allegiance to the claim of human “dental</w:t>
      </w:r>
      <w:r w:rsidR="00FD316D" w:rsidRPr="00A2427B">
        <w:rPr>
          <w:sz w:val="16"/>
        </w:rPr>
        <w:t xml:space="preserve"> </w:t>
      </w:r>
      <w:hyperlink r:id="rId7" w:tooltip="Learn more about Finger Dermatoglyphics from ScienceDirect's AI-generated Topic Pages" w:history="1">
        <w:r w:rsidRPr="00A2427B">
          <w:rPr>
            <w:rStyle w:val="Hyperlink"/>
            <w:sz w:val="16"/>
          </w:rPr>
          <w:t>fingerprints</w:t>
        </w:r>
      </w:hyperlink>
      <w:r w:rsidRPr="00A2427B">
        <w:rPr>
          <w:sz w:val="16"/>
        </w:rPr>
        <w:t>.”</w:t>
      </w:r>
      <w:bookmarkStart w:id="9" w:name="bbib14"/>
      <w:r w:rsidRPr="00A2427B">
        <w:rPr>
          <w:sz w:val="16"/>
        </w:rPr>
        <w:fldChar w:fldCharType="begin"/>
      </w:r>
      <w:r w:rsidRPr="00A2427B">
        <w:rPr>
          <w:sz w:val="16"/>
        </w:rPr>
        <w:instrText xml:space="preserve"> HYPERLINK "https://www.sciencedirect.com/science/article/pii/S1752928X18305080?casa_token=z7DD49hkn5sAAAAA:QhwlrUeZN2dTu4DTOd4YKeaLdFPj10418Tbc0OHcpnj44U10s12BcbN057LGE_aLLycUd_sx" \l "bib14" </w:instrText>
      </w:r>
      <w:r w:rsidRPr="00A2427B">
        <w:rPr>
          <w:sz w:val="16"/>
        </w:rPr>
        <w:fldChar w:fldCharType="separate"/>
      </w:r>
      <w:r w:rsidRPr="00A2427B">
        <w:rPr>
          <w:rStyle w:val="Hyperlink"/>
          <w:sz w:val="16"/>
        </w:rPr>
        <w:t>14</w:t>
      </w:r>
      <w:r w:rsidRPr="00A2427B">
        <w:rPr>
          <w:sz w:val="16"/>
        </w:rPr>
        <w:fldChar w:fldCharType="end"/>
      </w:r>
      <w:bookmarkEnd w:id="9"/>
      <w:r w:rsidR="00FD316D" w:rsidRPr="00A2427B">
        <w:rPr>
          <w:sz w:val="16"/>
        </w:rPr>
        <w:t xml:space="preserve"> </w:t>
      </w:r>
      <w:r w:rsidRPr="00A2427B">
        <w:rPr>
          <w:sz w:val="16"/>
        </w:rPr>
        <w:t>The absence of substantive research was little deterrent to bitemark proponents and these data-less “belief” opinions were written into the substantive acceptance cases for bitemark identification throughout state and federal courts of the United States. Judicial acceptance has not been shaken by the historical record of bitemark comparisons that led to convictions which later became exonerations.</w:t>
      </w:r>
      <w:bookmarkStart w:id="10" w:name="bbib15"/>
      <w:r w:rsidRPr="00A2427B">
        <w:rPr>
          <w:sz w:val="16"/>
        </w:rPr>
        <w:fldChar w:fldCharType="begin"/>
      </w:r>
      <w:r w:rsidRPr="00A2427B">
        <w:rPr>
          <w:sz w:val="16"/>
        </w:rPr>
        <w:instrText xml:space="preserve"> HYPERLINK "https://www.sciencedirect.com/science/article/pii/S1752928X18305080?casa_token=z7DD49hkn5sAAAAA:QhwlrUeZN2dTu4DTOd4YKeaLdFPj10418Tbc0OHcpnj44U10s12BcbN057LGE_aLLycUd_sx" \l "bib15" </w:instrText>
      </w:r>
      <w:r w:rsidRPr="00A2427B">
        <w:rPr>
          <w:sz w:val="16"/>
        </w:rPr>
        <w:fldChar w:fldCharType="separate"/>
      </w:r>
      <w:r w:rsidRPr="00A2427B">
        <w:rPr>
          <w:rStyle w:val="Hyperlink"/>
          <w:sz w:val="16"/>
        </w:rPr>
        <w:t>15</w:t>
      </w:r>
      <w:r w:rsidRPr="00A2427B">
        <w:rPr>
          <w:sz w:val="16"/>
        </w:rPr>
        <w:fldChar w:fldCharType="end"/>
      </w:r>
      <w:bookmarkEnd w:id="10"/>
      <w:r w:rsidR="00FD316D" w:rsidRPr="00A2427B">
        <w:rPr>
          <w:sz w:val="16"/>
        </w:rPr>
        <w:t xml:space="preserve"> </w:t>
      </w:r>
      <w:r w:rsidRPr="00A2427B">
        <w:rPr>
          <w:sz w:val="16"/>
        </w:rPr>
        <w:t>The second assumption of bitemark practitioners regards the dimensional accuracy obtained in patterns created from teeth onto skin. To be more precise, these teeth-induced patterns in actual cases reveal themselves as bruising, not indentations. Decades of criminal cases showcase practitioners claiming bitemark patterns as the transferred dental fingerprint of a single defendant to the epidermis of a</w:t>
      </w:r>
      <w:r w:rsidR="00FD316D" w:rsidRPr="00A2427B">
        <w:rPr>
          <w:sz w:val="16"/>
        </w:rPr>
        <w:t xml:space="preserve"> </w:t>
      </w:r>
      <w:hyperlink r:id="rId8" w:tooltip="Learn more about Victims of Violence from ScienceDirect's AI-generated Topic Pages" w:history="1">
        <w:r w:rsidRPr="00A2427B">
          <w:rPr>
            <w:rStyle w:val="Hyperlink"/>
            <w:sz w:val="16"/>
          </w:rPr>
          <w:t>victim of violence</w:t>
        </w:r>
      </w:hyperlink>
      <w:r w:rsidRPr="00A2427B">
        <w:rPr>
          <w:sz w:val="16"/>
        </w:rPr>
        <w:t>. Putting aside the dental fingerprint for a moment, their claim of the accurate transfer of teeth marks onto skin was never properly tested until the series of</w:t>
      </w:r>
      <w:r w:rsidR="00FD316D" w:rsidRPr="00A2427B">
        <w:rPr>
          <w:sz w:val="16"/>
        </w:rPr>
        <w:t xml:space="preserve"> </w:t>
      </w:r>
      <w:hyperlink r:id="rId9" w:tooltip="Learn more about Cadaver from ScienceDirect's AI-generated Topic Pages" w:history="1">
        <w:r w:rsidRPr="00A2427B">
          <w:rPr>
            <w:rStyle w:val="Hyperlink"/>
            <w:sz w:val="16"/>
          </w:rPr>
          <w:t>cadaver</w:t>
        </w:r>
      </w:hyperlink>
      <w:r w:rsidR="00FD316D" w:rsidRPr="00A2427B">
        <w:rPr>
          <w:sz w:val="16"/>
        </w:rPr>
        <w:t xml:space="preserve"> </w:t>
      </w:r>
      <w:r w:rsidRPr="00A2427B">
        <w:rPr>
          <w:sz w:val="16"/>
        </w:rPr>
        <w:t>experiments, cited above, occurred at the University of Buffalo Dental School from 2007 through 2013. The results were a massive refutation of the claims of reliable methodology adopted by the bitemark dentists throughout their history.</w:t>
      </w:r>
      <w:r w:rsidR="00FD316D" w:rsidRPr="00A2427B">
        <w:rPr>
          <w:sz w:val="16"/>
        </w:rPr>
        <w:t xml:space="preserve"> </w:t>
      </w:r>
      <w:r w:rsidRPr="00A2427B">
        <w:rPr>
          <w:sz w:val="16"/>
        </w:rPr>
        <w:t>6.</w:t>
      </w:r>
      <w:r w:rsidR="00FD316D" w:rsidRPr="00A2427B">
        <w:rPr>
          <w:sz w:val="16"/>
        </w:rPr>
        <w:t xml:space="preserve"> </w:t>
      </w:r>
      <w:r w:rsidRPr="00A2427B">
        <w:rPr>
          <w:sz w:val="16"/>
        </w:rPr>
        <w:t>Doubts about this paradigm</w:t>
      </w:r>
      <w:r w:rsidR="00FD316D" w:rsidRPr="00A2427B">
        <w:rPr>
          <w:sz w:val="16"/>
        </w:rPr>
        <w:t xml:space="preserve"> </w:t>
      </w:r>
      <w:r w:rsidRPr="00A2427B">
        <w:rPr>
          <w:rStyle w:val="Emphasis"/>
        </w:rPr>
        <w:t>Bitemark comparison in forensic and legal literature has a timeline beginning with guarded professional conservatism, then universal acceptance, and finally the realization that the field's claims must be rejected.</w:t>
      </w:r>
      <w:bookmarkStart w:id="11" w:name="bbib16"/>
      <w:r w:rsidRPr="00A2427B">
        <w:rPr>
          <w:sz w:val="16"/>
        </w:rPr>
        <w:fldChar w:fldCharType="begin"/>
      </w:r>
      <w:r w:rsidRPr="00A2427B">
        <w:rPr>
          <w:sz w:val="16"/>
        </w:rPr>
        <w:instrText xml:space="preserve"> HYPERLINK "https://www.sciencedirect.com/science/article/pii/S1752928X18305080?casa_token=z7DD49hkn5sAAAAA:QhwlrUeZN2dTu4DTOd4YKeaLdFPj10418Tbc0OHcpnj44U10s12BcbN057LGE_aLLycUd_sx" \l "bib16" </w:instrText>
      </w:r>
      <w:r w:rsidRPr="00A2427B">
        <w:rPr>
          <w:sz w:val="16"/>
        </w:rPr>
        <w:fldChar w:fldCharType="separate"/>
      </w:r>
      <w:r w:rsidRPr="00A2427B">
        <w:rPr>
          <w:rStyle w:val="Hyperlink"/>
          <w:sz w:val="16"/>
        </w:rPr>
        <w:t>16</w:t>
      </w:r>
      <w:r w:rsidRPr="00A2427B">
        <w:rPr>
          <w:sz w:val="16"/>
        </w:rPr>
        <w:fldChar w:fldCharType="end"/>
      </w:r>
      <w:bookmarkEnd w:id="11"/>
      <w:r w:rsidR="00FD316D" w:rsidRPr="00A2427B">
        <w:rPr>
          <w:sz w:val="16"/>
        </w:rPr>
        <w:t xml:space="preserve"> </w:t>
      </w:r>
      <w:r w:rsidRPr="00A2427B">
        <w:rPr>
          <w:sz w:val="16"/>
        </w:rPr>
        <w:t>Those outside the control of the bitemark practitioners have come to clearly recognize the facts of weak foundational science, absence of empirical proofs, dependence on group acceptance</w:t>
      </w:r>
      <w:bookmarkStart w:id="12" w:name="bbib17"/>
      <w:r w:rsidRPr="00A2427B">
        <w:rPr>
          <w:sz w:val="16"/>
        </w:rPr>
        <w:fldChar w:fldCharType="begin"/>
      </w:r>
      <w:r w:rsidRPr="00A2427B">
        <w:rPr>
          <w:sz w:val="16"/>
        </w:rPr>
        <w:instrText xml:space="preserve"> HYPERLINK "https://www.sciencedirect.com/science/article/pii/S1752928X18305080?casa_token=z7DD49hkn5sAAAAA:QhwlrUeZN2dTu4DTOd4YKeaLdFPj10418Tbc0OHcpnj44U10s12BcbN057LGE_aLLycUd_sx" \l "bib17" </w:instrText>
      </w:r>
      <w:r w:rsidRPr="00A2427B">
        <w:rPr>
          <w:sz w:val="16"/>
        </w:rPr>
        <w:fldChar w:fldCharType="separate"/>
      </w:r>
      <w:r w:rsidRPr="00A2427B">
        <w:rPr>
          <w:rStyle w:val="Hyperlink"/>
          <w:sz w:val="16"/>
        </w:rPr>
        <w:t>17</w:t>
      </w:r>
      <w:r w:rsidRPr="00A2427B">
        <w:rPr>
          <w:sz w:val="16"/>
        </w:rPr>
        <w:fldChar w:fldCharType="end"/>
      </w:r>
      <w:bookmarkEnd w:id="12"/>
      <w:r w:rsidR="00FD316D" w:rsidRPr="00A2427B">
        <w:rPr>
          <w:sz w:val="16"/>
        </w:rPr>
        <w:t xml:space="preserve"> </w:t>
      </w:r>
      <w:r w:rsidRPr="00A2427B">
        <w:rPr>
          <w:sz w:val="16"/>
        </w:rPr>
        <w:t>as a substitute for validity, and resulting damaging effects to the</w:t>
      </w:r>
      <w:r w:rsidR="00FD316D" w:rsidRPr="00A2427B">
        <w:rPr>
          <w:sz w:val="16"/>
        </w:rPr>
        <w:t xml:space="preserve"> </w:t>
      </w:r>
      <w:hyperlink r:id="rId10" w:tooltip="Learn more about Criminal Justice System from ScienceDirect's AI-generated Topic Pages" w:history="1">
        <w:r w:rsidRPr="00A2427B">
          <w:rPr>
            <w:rStyle w:val="Hyperlink"/>
            <w:sz w:val="16"/>
          </w:rPr>
          <w:t>criminal justice system</w:t>
        </w:r>
      </w:hyperlink>
      <w:r w:rsidRPr="00A2427B">
        <w:rPr>
          <w:sz w:val="16"/>
        </w:rPr>
        <w:t>. The tide against its continued use can be summed up in succinct terms:</w:t>
      </w:r>
      <w:r w:rsidR="00FD316D" w:rsidRPr="00A2427B">
        <w:rPr>
          <w:sz w:val="16"/>
        </w:rPr>
        <w:t xml:space="preserve"> </w:t>
      </w:r>
      <w:r w:rsidRPr="00A2427B">
        <w:rPr>
          <w:sz w:val="16"/>
        </w:rPr>
        <w:t>•</w:t>
      </w:r>
      <w:r w:rsidR="00FD316D" w:rsidRPr="00A2427B">
        <w:rPr>
          <w:sz w:val="16"/>
        </w:rPr>
        <w:t xml:space="preserve"> </w:t>
      </w:r>
      <w:r w:rsidRPr="00A2427B">
        <w:rPr>
          <w:sz w:val="16"/>
        </w:rPr>
        <w:t>A lack of valid evidence to support many of the assumptions and</w:t>
      </w:r>
      <w:r w:rsidR="00FD316D" w:rsidRPr="00A2427B">
        <w:rPr>
          <w:sz w:val="16"/>
        </w:rPr>
        <w:t xml:space="preserve"> </w:t>
      </w:r>
      <w:hyperlink r:id="rId11" w:tooltip="Learn more about Assertiveness from ScienceDirect's AI-generated Topic Pages" w:history="1">
        <w:r w:rsidRPr="00A2427B">
          <w:rPr>
            <w:rStyle w:val="Hyperlink"/>
            <w:sz w:val="16"/>
          </w:rPr>
          <w:t>assertions</w:t>
        </w:r>
      </w:hyperlink>
      <w:r w:rsidR="00FD316D" w:rsidRPr="00A2427B">
        <w:rPr>
          <w:sz w:val="16"/>
        </w:rPr>
        <w:t xml:space="preserve"> </w:t>
      </w:r>
      <w:r w:rsidRPr="00A2427B">
        <w:rPr>
          <w:sz w:val="16"/>
        </w:rPr>
        <w:t>made by forensic dentists during bite-mark comparisons.</w:t>
      </w:r>
      <w:r w:rsidR="00FD316D" w:rsidRPr="00A2427B">
        <w:rPr>
          <w:sz w:val="16"/>
        </w:rPr>
        <w:t xml:space="preserve"> </w:t>
      </w:r>
      <w:r w:rsidRPr="00A2427B">
        <w:rPr>
          <w:sz w:val="16"/>
        </w:rPr>
        <w:t>•</w:t>
      </w:r>
      <w:r w:rsidR="00FD316D" w:rsidRPr="00A2427B">
        <w:rPr>
          <w:sz w:val="16"/>
        </w:rPr>
        <w:t xml:space="preserve"> </w:t>
      </w:r>
      <w:r w:rsidRPr="00A2427B">
        <w:rPr>
          <w:sz w:val="16"/>
        </w:rPr>
        <w:t>Error rates by forensic dentists are perhaps the highest of any forensic identification specialty still being practiced.</w:t>
      </w:r>
      <w:r w:rsidR="00FD316D" w:rsidRPr="00A2427B">
        <w:rPr>
          <w:sz w:val="16"/>
        </w:rPr>
        <w:t xml:space="preserve"> </w:t>
      </w:r>
      <w:r w:rsidRPr="00A2427B">
        <w:rPr>
          <w:sz w:val="16"/>
        </w:rPr>
        <w:t>•</w:t>
      </w:r>
      <w:r w:rsidR="00FD316D" w:rsidRPr="00A2427B">
        <w:rPr>
          <w:sz w:val="16"/>
        </w:rPr>
        <w:t xml:space="preserve"> </w:t>
      </w:r>
      <w:r w:rsidRPr="00A2427B">
        <w:rPr>
          <w:sz w:val="16"/>
        </w:rPr>
        <w:t>Bitemark testimony has been ‘introduced in criminal trials without any meaningful scientific validation, determination of error rates, or reliability testing.</w:t>
      </w:r>
      <w:bookmarkStart w:id="13" w:name="bbib18"/>
      <w:r w:rsidRPr="00A2427B">
        <w:rPr>
          <w:sz w:val="16"/>
        </w:rPr>
        <w:fldChar w:fldCharType="begin"/>
      </w:r>
      <w:r w:rsidRPr="00A2427B">
        <w:rPr>
          <w:sz w:val="16"/>
        </w:rPr>
        <w:instrText xml:space="preserve"> HYPERLINK "https://www.sciencedirect.com/science/article/pii/S1752928X18305080?casa_token=z7DD49hkn5sAAAAA:QhwlrUeZN2dTu4DTOd4YKeaLdFPj10418Tbc0OHcpnj44U10s12BcbN057LGE_aLLycUd_sx" \l "bib18" </w:instrText>
      </w:r>
      <w:r w:rsidRPr="00A2427B">
        <w:rPr>
          <w:sz w:val="16"/>
        </w:rPr>
        <w:fldChar w:fldCharType="separate"/>
      </w:r>
      <w:r w:rsidRPr="00A2427B">
        <w:rPr>
          <w:rStyle w:val="Hyperlink"/>
          <w:sz w:val="16"/>
        </w:rPr>
        <w:t>18</w:t>
      </w:r>
      <w:r w:rsidRPr="00A2427B">
        <w:rPr>
          <w:sz w:val="16"/>
        </w:rPr>
        <w:fldChar w:fldCharType="end"/>
      </w:r>
      <w:bookmarkEnd w:id="13"/>
      <w:r w:rsidR="00FD316D" w:rsidRPr="00A2427B">
        <w:rPr>
          <w:sz w:val="16"/>
        </w:rPr>
        <w:t xml:space="preserve"> </w:t>
      </w:r>
      <w:r w:rsidRPr="00A2427B">
        <w:rPr>
          <w:sz w:val="16"/>
        </w:rPr>
        <w:t>7.</w:t>
      </w:r>
      <w:r w:rsidR="00FD316D" w:rsidRPr="00A2427B">
        <w:rPr>
          <w:sz w:val="16"/>
        </w:rPr>
        <w:t xml:space="preserve"> </w:t>
      </w:r>
      <w:r w:rsidRPr="00A2427B">
        <w:rPr>
          <w:sz w:val="16"/>
        </w:rPr>
        <w:t>The light of new science shining on bitemark identification flaws. Bitemark identification conflicts with DNA evidence</w:t>
      </w:r>
      <w:r w:rsidR="00FD316D" w:rsidRPr="00A2427B">
        <w:rPr>
          <w:sz w:val="16"/>
        </w:rPr>
        <w:t xml:space="preserve"> </w:t>
      </w:r>
      <w:r w:rsidRPr="00A2427B">
        <w:rPr>
          <w:rStyle w:val="Emphasis"/>
        </w:rPr>
        <w:t>Analysis of the published literature, court documents and reports lead to the conclusion that bitemark aspects of</w:t>
      </w:r>
      <w:r w:rsidR="00FD316D" w:rsidRPr="00A2427B">
        <w:rPr>
          <w:rStyle w:val="Emphasis"/>
        </w:rPr>
        <w:t xml:space="preserve"> </w:t>
      </w:r>
      <w:hyperlink r:id="rId12" w:tooltip="Learn more about Forensic Odontology from ScienceDirect's AI-generated Topic Pages" w:history="1">
        <w:r w:rsidRPr="00A2427B">
          <w:rPr>
            <w:rStyle w:val="Emphasis"/>
          </w:rPr>
          <w:t>forensic odontology</w:t>
        </w:r>
      </w:hyperlink>
      <w:r w:rsidR="00FD316D" w:rsidRPr="00A2427B">
        <w:rPr>
          <w:rStyle w:val="Emphasis"/>
        </w:rPr>
        <w:t xml:space="preserve"> </w:t>
      </w:r>
      <w:r w:rsidRPr="00A2427B">
        <w:rPr>
          <w:rStyle w:val="Emphasis"/>
        </w:rPr>
        <w:t>and its accompanying bitemark evidence analyses are irretrievably flawed. They are invalid, unreliable and should not be considered acceptable in the light of new science and professional changes in forensic odontology concerning bitemark evidence in the last few years</w:t>
      </w:r>
      <w:r w:rsidRPr="00A2427B">
        <w:rPr>
          <w:sz w:val="16"/>
        </w:rPr>
        <w:t>. Changes within the bitemark profession largely occurred due to the emergence of</w:t>
      </w:r>
      <w:r w:rsidR="00FD316D" w:rsidRPr="00A2427B">
        <w:rPr>
          <w:sz w:val="16"/>
        </w:rPr>
        <w:t xml:space="preserve"> </w:t>
      </w:r>
      <w:hyperlink r:id="rId13" w:tooltip="Learn more about DNA Profiling from ScienceDirect's AI-generated Topic Pages" w:history="1">
        <w:r w:rsidRPr="00A2427B">
          <w:rPr>
            <w:rStyle w:val="Hyperlink"/>
            <w:sz w:val="16"/>
          </w:rPr>
          <w:t>DNA profiling</w:t>
        </w:r>
      </w:hyperlink>
      <w:r w:rsidR="00FD316D" w:rsidRPr="00A2427B">
        <w:rPr>
          <w:sz w:val="16"/>
        </w:rPr>
        <w:t xml:space="preserve"> </w:t>
      </w:r>
      <w:r w:rsidRPr="00A2427B">
        <w:rPr>
          <w:sz w:val="16"/>
        </w:rPr>
        <w:t>in the 1990s. It took until 2016 for bitemark analysts within the US American Board of Forensic Odontology to publish a rejection of past practices of using bitemarks for human identification.</w:t>
      </w:r>
      <w:bookmarkStart w:id="14" w:name="bbib19"/>
      <w:r w:rsidRPr="00A2427B">
        <w:rPr>
          <w:sz w:val="16"/>
        </w:rPr>
        <w:fldChar w:fldCharType="begin"/>
      </w:r>
      <w:r w:rsidRPr="00A2427B">
        <w:rPr>
          <w:sz w:val="16"/>
        </w:rPr>
        <w:instrText xml:space="preserve"> HYPERLINK "https://www.sciencedirect.com/science/article/pii/S1752928X18305080?casa_token=z7DD49hkn5sAAAAA:QhwlrUeZN2dTu4DTOd4YKeaLdFPj10418Tbc0OHcpnj44U10s12BcbN057LGE_aLLycUd_sx" \l "bib19" </w:instrText>
      </w:r>
      <w:r w:rsidRPr="00A2427B">
        <w:rPr>
          <w:sz w:val="16"/>
        </w:rPr>
        <w:fldChar w:fldCharType="separate"/>
      </w:r>
      <w:r w:rsidRPr="00A2427B">
        <w:rPr>
          <w:rStyle w:val="Hyperlink"/>
          <w:sz w:val="16"/>
        </w:rPr>
        <w:t>19</w:t>
      </w:r>
      <w:r w:rsidRPr="00A2427B">
        <w:rPr>
          <w:sz w:val="16"/>
        </w:rPr>
        <w:fldChar w:fldCharType="end"/>
      </w:r>
      <w:bookmarkEnd w:id="14"/>
    </w:p>
    <w:p w14:paraId="37B4758B" w14:textId="210E27D8" w:rsidR="00ED73E1" w:rsidRPr="00A2427B" w:rsidRDefault="00ED73E1" w:rsidP="00A04587"/>
    <w:p w14:paraId="59167EF1" w14:textId="53C5C33F" w:rsidR="00ED73E1" w:rsidRPr="00A2427B" w:rsidRDefault="00ED73E1" w:rsidP="00FD316D">
      <w:pPr>
        <w:pStyle w:val="Heading4"/>
      </w:pPr>
      <w:r w:rsidRPr="00A2427B">
        <w:t>And bitemark analysis uniquely has caused erroneous conviction.</w:t>
      </w:r>
    </w:p>
    <w:p w14:paraId="3FF46A69" w14:textId="3E015279" w:rsidR="00ED73E1" w:rsidRPr="00A2427B" w:rsidRDefault="00ED73E1" w:rsidP="00ED73E1">
      <w:r w:rsidRPr="00A2427B">
        <w:rPr>
          <w:rStyle w:val="Style13ptBold"/>
        </w:rPr>
        <w:t>Saks et al 2016</w:t>
      </w:r>
      <w:r w:rsidRPr="00A2427B">
        <w:rPr>
          <w:color w:val="222222"/>
          <w:sz w:val="20"/>
          <w:szCs w:val="20"/>
          <w:shd w:val="clear" w:color="auto" w:fill="FFFFFF"/>
        </w:rPr>
        <w:t xml:space="preserve"> [Michael J., Thomas Albright, Thomas L. Bohan, Barbara E. Bierer, C. Michael Bowers, Mary A. Bush, Peter J. Bush et al. "Forensic bitemark identification: weak foundations, exaggerated claims." </w:t>
      </w:r>
      <w:r w:rsidRPr="00A2427B">
        <w:rPr>
          <w:i/>
          <w:iCs/>
          <w:color w:val="222222"/>
          <w:sz w:val="20"/>
          <w:szCs w:val="20"/>
          <w:shd w:val="clear" w:color="auto" w:fill="FFFFFF"/>
        </w:rPr>
        <w:t>Journal of Law and the Biosciences</w:t>
      </w:r>
      <w:r w:rsidRPr="00A2427B">
        <w:rPr>
          <w:color w:val="222222"/>
          <w:sz w:val="20"/>
          <w:szCs w:val="20"/>
          <w:shd w:val="clear" w:color="auto" w:fill="FFFFFF"/>
        </w:rPr>
        <w:t> 3, no. 3 (2016): 538-575.]</w:t>
      </w:r>
    </w:p>
    <w:p w14:paraId="1EA31537" w14:textId="77777777" w:rsidR="00ED73E1" w:rsidRPr="00A2427B" w:rsidRDefault="00ED73E1" w:rsidP="00ED73E1">
      <w:pPr>
        <w:rPr>
          <w:sz w:val="16"/>
          <w:shd w:val="clear" w:color="auto" w:fill="FFFFFF"/>
        </w:rPr>
      </w:pPr>
      <w:r w:rsidRPr="00A2427B">
        <w:rPr>
          <w:sz w:val="16"/>
        </w:rPr>
        <w:t xml:space="preserve">The scientific community, and society generally, expects that before being offered to courts, and before courts grant broad and unqualified admission, the claims for a field’s techniques will have been validated.95 This validation has not happened for bitemark identification. Moreover, recent reviews of the field’s claims, as well as recent empirical findings, have underscored the lack of reliability and validity of the most fundamental claims about the ability of forensic dentists to identify the source of bite marks on human skin. A committee of the National Academy of Sciences concluded that bitemark identification testimony has been ‘introduced in criminal trials without any meaningful scientific validation, determination of error rates, or reliabilitytesting...’.96 Two leading forensic dental researchers have noted that there is ‘a lack of valid evidence to support many of the assumptions and assertions made by forensic dentists during bite-mark comparisons’.97 The claims of forensic dentistry have for decades outrun empirical testing of those claims. Rather than confirming the field’s claims, recent research, described in this article, has confirmed that the foundations of bitemark identification are unsound. Asserted bitemark experts ‘have yet to establish either the validity of their approach or the accuracy of their conclusions, and the courts have been utterly ineffective in addressing this problem’.98 </w:t>
      </w:r>
      <w:r w:rsidRPr="00A2427B">
        <w:rPr>
          <w:rStyle w:val="Emphasis"/>
        </w:rPr>
        <w:t xml:space="preserve">The rise and coming fall of bitemark evidence has left a trail of miscarriages of justice in its path. A series of individuals have been exonerated by DNA testing in cases involving bitemark evidence and still more have been exonerated by non-DNA evidence. Some of those individuals spent years or even decades in prison. </w:t>
      </w:r>
      <w:r w:rsidRPr="00A2427B">
        <w:rPr>
          <w:sz w:val="16"/>
        </w:rPr>
        <w:t xml:space="preserve">The trial judges who uncritically accepted that bitemark evidence, and the appellate judges and federal habeas judges who did the same, have now had their own judgment called into question. The opinions that rubberstamped the use of such flimsy evidence now stand as a warning to future judges that they must actually endeavor to carefully apply the law’s gatekeeping criteria in criminal cases, and not simply grandfather in the evidence by citing to old opinions that themselves did not apply meaningful scrutiny. </w:t>
      </w:r>
      <w:r w:rsidRPr="00A2427B">
        <w:rPr>
          <w:rStyle w:val="Emphasis"/>
        </w:rPr>
        <w:t>If evidence as unreliable as bitemark evidence could go unquestioned in the courts and unsupported by research from the scientific community, what does that say about the larger field of forensics</w:t>
      </w:r>
      <w:r w:rsidRPr="00A2427B">
        <w:rPr>
          <w:sz w:val="16"/>
        </w:rPr>
        <w:t xml:space="preserve">? Clearly, </w:t>
      </w:r>
      <w:r w:rsidRPr="00A2427B">
        <w:rPr>
          <w:rStyle w:val="Emphasis"/>
        </w:rPr>
        <w:t xml:space="preserve">far more work needs to be done to improve judicial review and scientific research. It has taken more than three decades to begin to undo the massively unsupported field of bitemark evidence. </w:t>
      </w:r>
      <w:r w:rsidRPr="00A2427B">
        <w:rPr>
          <w:sz w:val="16"/>
        </w:rPr>
        <w:t>Other fields, such as voiceprint identification and comparative bullet-lead analysis, did rise and fall more quickly. A wide range of forensic disciplines, however, continue to be used, despite questions about their validity. The FBI and a series of crime labs have only recently begun to examine old cases involving, for example, the use of microscopic hair comparisons.99 Errors in calculation of DNA statistics in recent years are only beginning to be addressed by crime labs through audits.100 The long tail of unsound science in the case of bitemark evidence suggests that: (i) the scientific community must more carefully engage with the research foundations of forensics, and not just in landmark but infrequent national commissions; (ii) lawyers must aggressively brief challenges to foundations of forensic techniques; and (iii) judges must be far more willing to carefully examine forensic evidence before admitting it. Many observers, including the National Academy of Sciences in its report, have called for a systemic renewal of such legal and scientific efforts and progress has been slow. The rise and impending fall of bitemark evidence powerfully illustrates the costs of the failure to assure that what enters our criminal courts is sound science.</w:t>
      </w:r>
    </w:p>
    <w:p w14:paraId="750FFAB3" w14:textId="663442FB" w:rsidR="00A04587" w:rsidRPr="00A2427B" w:rsidRDefault="00A04587" w:rsidP="00A04587"/>
    <w:p w14:paraId="7DFA9788" w14:textId="11944262" w:rsidR="00ED73E1" w:rsidRPr="00A2427B" w:rsidRDefault="00ED73E1" w:rsidP="00A04587"/>
    <w:p w14:paraId="7FC35462" w14:textId="77777777" w:rsidR="00ED73E1" w:rsidRPr="00A2427B" w:rsidRDefault="00ED73E1" w:rsidP="00A04587"/>
    <w:p w14:paraId="7592ADCF" w14:textId="59C6E30D" w:rsidR="003F5930" w:rsidRPr="00A2427B" w:rsidRDefault="003F5930" w:rsidP="00FD316D">
      <w:pPr>
        <w:pStyle w:val="Heading4"/>
        <w:rPr>
          <w:shd w:val="clear" w:color="auto" w:fill="FFFFFF"/>
        </w:rPr>
      </w:pPr>
      <w:r w:rsidRPr="00A2427B">
        <w:rPr>
          <w:shd w:val="clear" w:color="auto" w:fill="FFFFFF"/>
        </w:rPr>
        <w:t>Impact – flawed forensic science contributes to 45% of wrongful convictions in the United States.</w:t>
      </w:r>
    </w:p>
    <w:p w14:paraId="2E3C9871" w14:textId="0AEA4E34" w:rsidR="003F5930" w:rsidRPr="00A2427B" w:rsidRDefault="003F5930" w:rsidP="003F5930">
      <w:pPr>
        <w:rPr>
          <w:sz w:val="26"/>
        </w:rPr>
      </w:pPr>
      <w:r w:rsidRPr="00A2427B">
        <w:rPr>
          <w:rStyle w:val="Style13ptBold"/>
        </w:rPr>
        <w:t xml:space="preserve">Roth 2020 </w:t>
      </w:r>
      <w:r w:rsidRPr="00A2427B">
        <w:rPr>
          <w:rStyle w:val="Style13ptBold"/>
          <w:b w:val="0"/>
          <w:bCs w:val="0"/>
        </w:rPr>
        <w:t xml:space="preserve">[Julia, “When They See Him” 13 April 2020 via Colorado Law </w:t>
      </w:r>
      <w:hyperlink r:id="rId14" w:history="1">
        <w:r w:rsidRPr="00A2427B">
          <w:rPr>
            <w:rStyle w:val="Hyperlink"/>
          </w:rPr>
          <w:t>https://www.colorado.edu/law/2020/04/13/when-they-see-him</w:t>
        </w:r>
      </w:hyperlink>
      <w:r w:rsidRPr="00A2427B">
        <w:t>]</w:t>
      </w:r>
    </w:p>
    <w:p w14:paraId="0985CE0D" w14:textId="6D8DF166" w:rsidR="00D4714C" w:rsidRPr="00A2427B" w:rsidRDefault="003F5930" w:rsidP="008116EC">
      <w:pPr>
        <w:rPr>
          <w:sz w:val="16"/>
        </w:rPr>
      </w:pPr>
      <w:r w:rsidRPr="00A2427B">
        <w:rPr>
          <w:sz w:val="16"/>
        </w:rPr>
        <w:t xml:space="preserve">The weekend of May 31, 2019, started out normally for Anne-Marie Moyes, director of the </w:t>
      </w:r>
      <w:hyperlink r:id="rId15" w:history="1">
        <w:r w:rsidRPr="00A2427B">
          <w:rPr>
            <w:rStyle w:val="Hyperlink"/>
            <w:sz w:val="16"/>
          </w:rPr>
          <w:t>Korey Wise Innocence Project</w:t>
        </w:r>
      </w:hyperlink>
      <w:r w:rsidRPr="00A2427B">
        <w:rPr>
          <w:sz w:val="16"/>
        </w:rPr>
        <w:t xml:space="preserve"> (KWIP) at Colorado Law. She caught up with volunteers, reviewed applications, and made a few calls. On Saturday, one of KWIP’s law student volunteers called to urge her to check the Facebook page: Hundreds of messages were pouring in following the previous day’s release of When They See Us, a four-part Netflix docuseries about the Central Park Five. The series, which a record-setting 23 million people watched in its first month, depicted the events leading up to the wrongful arrest and conviction of Antron McCray, Kevin Richardson, Yusef Salaam, Raymond Santana, and Korey Wise for the rape and assault of a female jogger in Central Park in 1989. The last two episodes put Wise’s story front and center. At 16, he was the oldest defendant, served the most prison time, and was the only one sent to adult prison. The series reveals Wise’s painful experience of enduring solitary confinement and repeated assault by other prisoners. As the series makes clear, Wise suffered this fate even though he was not initially a suspect and only got roped into the investigation because he chose to accompany his friend to the police station for questioning. His experience resonated with viewers, who immediately began writing to the project at Colorado Law bearing Wise’s name asking how they could get involved. Within a month of the docuseries’ release, the project received nearly 200 times the number of individual contributions compared to the same period in 2018. By the end of the year, nearly 500 people—mostly first-time donors—from across the U.S. and internationally had donated to the project. Many wrote that they felt this was their opportunity to make a difference and right some of the wrongs that Wise had been dealt. Founded in 2001 by a coalition of Colorado lawyers led by Jim Scarboro (’70), the Colorado Innocence Project moved to its current home at Colorado Law in 2010. For years, it was a volunteer-run project overseen by Professor Emeritus Pat Furman (’80) and Clinical Professor Ann England. In 2015, Wise, who was exonerated by DNA evidence in 2002, made an initial gift to the Colorado Innocence Project after learning about it from his lawyer, Jane Fisher-Byrialsen, who represented him in his civil lawsuit against New York City and has ties to Colorado. His gift allowed the hiring of its first staff member, and the project was renamed the Korey Wise Innocence Project. "Korey’s gift was life-changing for us as an organization. We went from a volunteer-run organization to an organization that has a director and can itself help take on the work of investigating and then litigating individual cases," Moyes said. Today, a team of around 20 law students, retired lawyers, and undergraduate students volunteer with the organization. In addition to screening applications—KWIP receives a steady stream of five to 10 each month from people incarcerated in Colorado—the project recently turned its focus to identifying cases with convictions based on flawed forensics, which Moyes calls the new frontier of innocence work. Flawed forensics refers to forensic evidence that is unreliable or invalid, or that relies on overstated expert testimony</w:t>
      </w:r>
      <w:r w:rsidRPr="00A2427B">
        <w:rPr>
          <w:rStyle w:val="Emphasis"/>
        </w:rPr>
        <w:t>. As the number of innocence cases relying on postconviction DNA testing dwindles, exposing flawed forensics cases offers another promising avenue to exonerate the wrongly convicted, Moyes explained. The national Innocence Project reports that the misapplication of forensic science contributed to 45 percent of wrongful convictions in the U.S. proved through DNA testing.</w:t>
      </w:r>
      <w:r w:rsidRPr="00A2427B">
        <w:rPr>
          <w:sz w:val="16"/>
        </w:rPr>
        <w:t xml:space="preserve"> </w:t>
      </w:r>
      <w:r w:rsidRPr="00A2427B">
        <w:rPr>
          <w:rStyle w:val="Emphasis"/>
        </w:rPr>
        <w:t>In many cases, scientific testimony that was accepted at the time of a conviction has since been undermined by new scientific advancements in disciplines including hair microscopy, arson, and pattern evidence, which includes bite marks, shoe prints, blood spatter, and tool marks. With regard to hair microscopy, a discredited discipline in which suspect hairs are visually compared to crime scene hairs under a high-powered microscope, the project is taking part in a nationwide effort to identify and screen cases from state forensic labs that relied on the discipline for years before it was largely debunked by DNA</w:t>
      </w:r>
      <w:r w:rsidRPr="00A2427B">
        <w:rPr>
          <w:sz w:val="16"/>
        </w:rPr>
        <w:t>. Hair microscopy audits by innocence projects in other states have identified hundreds of cases worthy of reexamination. "What we’re trying to do is identify cases in Colorado involving people who were convicted on the basis of forensic evidence that everyone now agrees is faulty," Moyes said. "Instead of assuming that people wrongly convicted by bad science will write to us, we’re going to play a different role by seeking out these cases and strategically litigating the most promising ones." Many of the people who write to the project were convicted years, if not decades, ago, making it difficult to find new evidence of innocence, Moyes explained. But with the flawed forensics cases, the project can hire experts to reexamine old physical evidence or prior testing and expose the outdated science that led to a wrongful conviction. "Just as DNA has exonerated hundreds of people across the country, we hope that the new scrutiny of problematic forensic disciplines will help to free many more innocent people," Moyes said. The project is also involved in advocacy work and policy reform to address and prevent wrongful convictions. One such effort is reforming unregulated jailhouse informant testimony, one of the leading contributing factors of wrongful convictions nationally. KWIP has teamed up with the national Innocence Project to lobby for jailhouse "snitch" reform in Colorado. For Nikki Nelson (’22), volunteering with the Korey Wise Innocence Project has been the highlight of law school so far. “Innocence work is an incredibly important part of the legal profession, and getting to be a part of something so impactful has been a really enlightening experience. I am looking forward to what the next few years of working with the project will bring,” she said.</w:t>
      </w:r>
    </w:p>
    <w:p w14:paraId="1A262218" w14:textId="4D6BB946" w:rsidR="00015CCB" w:rsidRPr="00A2427B" w:rsidRDefault="00015CCB" w:rsidP="00FD316D">
      <w:pPr>
        <w:pStyle w:val="Heading3"/>
      </w:pPr>
      <w:r w:rsidRPr="00A2427B">
        <w:t>Adv 2 – Capital Punishment</w:t>
      </w:r>
    </w:p>
    <w:p w14:paraId="58915886" w14:textId="734C43CB" w:rsidR="00D4714C" w:rsidRPr="00A2427B" w:rsidRDefault="004A1573" w:rsidP="00FD316D">
      <w:pPr>
        <w:pStyle w:val="Heading4"/>
      </w:pPr>
      <w:r w:rsidRPr="00A2427B">
        <w:t xml:space="preserve">Faulty forensic science is </w:t>
      </w:r>
      <w:r w:rsidR="00C9523C" w:rsidRPr="00A2427B">
        <w:t>a unique evidentiary basis through which prosecutors can seek capital charges because instances that they seek the death penalty lack biologically individualizing evidence.</w:t>
      </w:r>
    </w:p>
    <w:p w14:paraId="730051A8" w14:textId="77777777" w:rsidR="00D4714C" w:rsidRPr="00A2427B" w:rsidRDefault="00D4714C" w:rsidP="00D4714C">
      <w:r w:rsidRPr="00A2427B">
        <w:rPr>
          <w:rStyle w:val="Style13ptBold"/>
        </w:rPr>
        <w:t>Cooley 2007</w:t>
      </w:r>
      <w:r w:rsidRPr="00A2427B">
        <w:t xml:space="preserve"> [Craig M. "Forensic Science and Capital Punishment Reform: An Intellectually Honest Assessment," George Mason University Civil Rights Law Journal 17, no. 2 (Spring 2007): 299-422]</w:t>
      </w:r>
    </w:p>
    <w:p w14:paraId="7ECB505E" w14:textId="428BF173" w:rsidR="00D4714C" w:rsidRPr="00A2427B" w:rsidRDefault="00D4714C" w:rsidP="00D4714C">
      <w:pPr>
        <w:rPr>
          <w:sz w:val="16"/>
        </w:rPr>
      </w:pPr>
      <w:r w:rsidRPr="00A2427B">
        <w:rPr>
          <w:sz w:val="16"/>
        </w:rPr>
        <w:t xml:space="preserve">[S]everal of the forensic sciences, including expert handwriting identification and fingerprint analysis, are now being criticized by historians, forensic watchdogs, and law professors who claim that these forensic techniques are not grounded in good science, that they have been inadequately tested, and that their methods have been insufficiently scrutinized. 193 Governor Romney and his Council Members turned to the forensic individualization sciences to construct a "foolproof" death penalty system.' 94 Individualization is premised on the theory no two objects are exactly alike.195 Forensic individualization examiners are concerned with associating an item or mark located at a crime scene to the one and only source of that item or mark to the exclusion of all others in the world.'96 Examples of forensic individualization sciences include DNA, handwriting, fingerprints, firearms, toolmarks, bite marks, hairs and fibers, shoe prints, elbow prints, 197 ear prints, 98 and lip prints.1 99 Many, including Governor Romney, may assume that, because DNA is a member of the individualizing forensic sciences, which is actually based on science, a capital punishment statute premised on this type of evidence will succeed. Although seemingly intuitive, this assumption is nonetheless incorrect because DNA evidence plays a very minor role in the overwhelming majority of cases charged and prosecuted. ° Forensic practitioners, congressmen, defense attorneys, and prosecutors have all acknowledged this reality.2 1 Thus, it is unsurprising that DNA has factored into very few death row exonerations.2 °2 This stands to reason because </w:t>
      </w:r>
      <w:r w:rsidRPr="00A2427B">
        <w:rPr>
          <w:rStyle w:val="Emphasis"/>
        </w:rPr>
        <w:t>DNA technology necessitates the existence of biological evidence connecting the offender to at least the crime scene and, to be beyond question, the crime itself.</w:t>
      </w:r>
      <w:r w:rsidRPr="00A2427B">
        <w:rPr>
          <w:sz w:val="16"/>
        </w:rPr>
        <w:t xml:space="preserve"> Rape is the most obvious illustration, as rapists generally deposit seminal fluids on the victim or at the crime scene. </w:t>
      </w:r>
      <w:r w:rsidRPr="00A2427B">
        <w:rPr>
          <w:rStyle w:val="Emphasis"/>
        </w:rPr>
        <w:t>The typical capital prosecution in the United States, however, is not for rape combined with murder, but for a murder committed during a nonsexual act</w:t>
      </w:r>
      <w:r w:rsidRPr="00A2427B">
        <w:rPr>
          <w:sz w:val="16"/>
        </w:rPr>
        <w:t xml:space="preserve">. 03 </w:t>
      </w:r>
      <w:r w:rsidRPr="00A2427B">
        <w:rPr>
          <w:rStyle w:val="Emphasis"/>
        </w:rPr>
        <w:t>Prosecutors in these types of capital cases rarely have biological evidence which positively links the offender(s) to the capital murder and conclusively establishes their guilt</w:t>
      </w:r>
      <w:r w:rsidRPr="00A2427B">
        <w:rPr>
          <w:sz w:val="16"/>
        </w:rPr>
        <w:t xml:space="preserve">.2°4 DNA's minimal influence on capital prosecutions would not change under the Council Members' recommendations because the list of death-eligible murders (identified by the Council Members) is so narrow that only a minuscule number of capital prosecutions would be sought. </w:t>
      </w:r>
      <w:r w:rsidRPr="00A2427B">
        <w:rPr>
          <w:rStyle w:val="Emphasis"/>
        </w:rPr>
        <w:t>By substantially narrowing the death-eligible offenses</w:t>
      </w:r>
      <w:r w:rsidRPr="00A2427B">
        <w:rPr>
          <w:sz w:val="16"/>
        </w:rPr>
        <w:t xml:space="preserve">, Council Members not only further weaken the already negligible impact DNA evidence has on capital prosecutions, </w:t>
      </w:r>
      <w:r w:rsidRPr="00A2427B">
        <w:rPr>
          <w:rStyle w:val="Emphasis"/>
        </w:rPr>
        <w:t>they also force prosecutors to rely on questionable forensic evidence</w:t>
      </w:r>
      <w:r w:rsidRPr="00A2427B">
        <w:rPr>
          <w:sz w:val="16"/>
        </w:rPr>
        <w:t xml:space="preserve"> (e.g., fingerprints, bite marks, toolmarks</w:t>
      </w:r>
      <w:r w:rsidRPr="00A2427B">
        <w:rPr>
          <w:rStyle w:val="Emphasis"/>
        </w:rPr>
        <w:t>) to prosecute the few capital cases that could potentially be brought to trial</w:t>
      </w:r>
      <w:r w:rsidRPr="00A2427B">
        <w:rPr>
          <w:sz w:val="16"/>
        </w:rPr>
        <w:t>.205 Consequently, the recommendation to significantly restrict the list of death-eligible murders increases the likelihood a capital defendant's death sentence will be premised on forensic techniques which are tenuously supported by legitimate science.2 "6</w:t>
      </w:r>
    </w:p>
    <w:p w14:paraId="0DBA9CC6" w14:textId="3690AC95" w:rsidR="00F83428" w:rsidRPr="00A2427B" w:rsidRDefault="00F83428" w:rsidP="00D4714C"/>
    <w:p w14:paraId="37DA9D75" w14:textId="3E13CBE2" w:rsidR="00F83428" w:rsidRPr="00A2427B" w:rsidRDefault="00C9523C" w:rsidP="00FD316D">
      <w:pPr>
        <w:pStyle w:val="Heading4"/>
      </w:pPr>
      <w:r w:rsidRPr="00A2427B">
        <w:t>Flawed forensic science has systematically caused wrongful executions in the United States.</w:t>
      </w:r>
    </w:p>
    <w:p w14:paraId="3A4B5335" w14:textId="4FD1C8DE" w:rsidR="00057E44" w:rsidRPr="00A2427B" w:rsidRDefault="00F83428" w:rsidP="00D4714C">
      <w:r w:rsidRPr="00A2427B">
        <w:rPr>
          <w:rStyle w:val="Style13ptBold"/>
        </w:rPr>
        <w:t>Dwyer-Moss 2013</w:t>
      </w:r>
      <w:r w:rsidRPr="00A2427B">
        <w:t xml:space="preserve">  ["Flawed Forensics and the Death Penalty: Junk Science and Potentially Wrongful Executions," Seattle Journal for Social Justice 11, no. 2 (Winter 2013): 757-812]</w:t>
      </w:r>
    </w:p>
    <w:p w14:paraId="57FFDF4F" w14:textId="34B6D92A" w:rsidR="00057E44" w:rsidRPr="00A2427B" w:rsidRDefault="00057E44" w:rsidP="00D4714C">
      <w:pPr>
        <w:rPr>
          <w:sz w:val="16"/>
        </w:rPr>
      </w:pPr>
      <w:r w:rsidRPr="00A2427B">
        <w:rPr>
          <w:sz w:val="16"/>
        </w:rPr>
        <w:t xml:space="preserve">The scandal at the DOJ comes at a time when the nation is grappling more than ever before with the realities of the death penalty. In September 2011, about six months before the DOJ story broke, the state of Georgia executed a man named Troy Davis. His many supporters-including hundreds of thousands of people who signed petitions on his behalf, a former director of the FBI, Pope Benedict XVI, and former president Jimmy Carter-urged Georgia to reconsider Davis's sentence, arguing that there was too much doubt about his guilt.6 Davis was convicted largely on the basis of eyewitness testimony, but over the course of the twenty years between his trial and his execution, seven of the nine witnesses who </w:t>
      </w:r>
      <w:r w:rsidR="00F83428" w:rsidRPr="00A2427B">
        <w:rPr>
          <w:sz w:val="16"/>
        </w:rPr>
        <w:t xml:space="preserve">testified against him had recanted their testimony.8 In sworn affidavits, witnesses wrote that they had felt pressured by police into implicating Davis or, in some cases, had not actually read their original statements before signing them.9 Despite the great uncertainty surrounding Davis's guilt, the Georgia State Board of Pardons and Parole denied Davis clemency, and the US Supreme Court denied a last-minute stay of execution." Davis's death is a seminal moment in modem discussions of capital punishment. As President Carter said shortly after Davis's death, "if one of our fellow citizens can be executed with so much doubt surrounding his guilt, then the death penalty system in our country is unjust and outdated."l 2 Davis's story, while not the topic of this article, is important to keep in mind. Any discussion of the death penalty would be incomplete without acknowledging the significance of his case to current national discourse on the topic. His death has mobilized death penalty abolitionists and sparked a difficult examination of the state of capital punishment today. Davis's death forces us to confront an inescapable question: </w:t>
      </w:r>
      <w:r w:rsidR="00F83428" w:rsidRPr="00A2427B">
        <w:rPr>
          <w:rStyle w:val="Emphasis"/>
        </w:rPr>
        <w:t>Is it possible that innocent people have been executed for crimes they did not commit? The answer, unfortunately, is yes.</w:t>
      </w:r>
      <w:r w:rsidR="00F83428" w:rsidRPr="00A2427B">
        <w:rPr>
          <w:sz w:val="16"/>
        </w:rPr>
        <w:t xml:space="preserve"> </w:t>
      </w:r>
      <w:r w:rsidR="00F83428" w:rsidRPr="00A2427B">
        <w:rPr>
          <w:rStyle w:val="Emphasis"/>
        </w:rPr>
        <w:t>Since 1973, over 140 defendants sentenced to death either had their convictions overturned or were granted full pardons on the basis of new evidence</w:t>
      </w:r>
      <w:r w:rsidR="00F83428" w:rsidRPr="00A2427B">
        <w:rPr>
          <w:sz w:val="16"/>
        </w:rPr>
        <w:t xml:space="preserve">.' 3 DNA evidence played a substantial role in eighteen of those cases.14 While no person executed under modem death penalty procedures 5 has been posthumously exonerated,' 6 several recent cases demonstrate, at the very least, a strong possibility that a number of innocent men have been put to death for crimes they did not commit.'7 But </w:t>
      </w:r>
      <w:r w:rsidR="00F83428" w:rsidRPr="00A2427B">
        <w:rPr>
          <w:rStyle w:val="Emphasis"/>
        </w:rPr>
        <w:t>not all of those cases were built upon a shaky foundation of eyewitness testimony, evidence that has been repeatedly proven to be unreliable</w:t>
      </w:r>
      <w:r w:rsidR="00F83428" w:rsidRPr="00A2427B">
        <w:rPr>
          <w:sz w:val="16"/>
        </w:rPr>
        <w:t xml:space="preserve">.' 8 </w:t>
      </w:r>
      <w:r w:rsidR="00F83428" w:rsidRPr="00A2427B">
        <w:rPr>
          <w:rStyle w:val="Emphasis"/>
        </w:rPr>
        <w:t>Some men' 9 with credible claims of innocence were convicted and executed on the basis of forensic science.</w:t>
      </w:r>
      <w:r w:rsidR="00F83428" w:rsidRPr="00A2427B">
        <w:rPr>
          <w:sz w:val="16"/>
        </w:rPr>
        <w:t>20 This article examines several of these cases and explores the strengths and weaknesses of various forensic techniques. Its scope is admittedly limited; an in-depth analysis of all defendants with credible claims of innocence executed on the basis of questionable forensic evidence (ranging from fingerprints to ballistics analysis, from fiber comparisons to shoe and tire tracks) 21 is something better suited for a multi-volume treatise. Instead, I examine two deeply flawed areas of forensic science-arson investigation and hair analysis-in comparison to DNA profiling, and then consider a defendant convicted on the basis of such evidence who maintained a credible claim of innocence until his execution.</w:t>
      </w:r>
    </w:p>
    <w:p w14:paraId="65B5E770" w14:textId="0E7CA2F6" w:rsidR="00CB0AF0" w:rsidRPr="00A2427B" w:rsidRDefault="00CB0AF0" w:rsidP="00D4714C"/>
    <w:p w14:paraId="63600E7A" w14:textId="25CE0593" w:rsidR="00FA7D3F" w:rsidRPr="00A2427B" w:rsidRDefault="00FA7D3F" w:rsidP="00FD316D">
      <w:pPr>
        <w:pStyle w:val="Heading4"/>
      </w:pPr>
      <w:r w:rsidRPr="00A2427B">
        <w:t>Shoddy forensic evidence uniquely encourages false confessions that target Black people in in capital-punishment eligible jurisdictions.</w:t>
      </w:r>
    </w:p>
    <w:p w14:paraId="16B4113B" w14:textId="5E2753FD" w:rsidR="00CB0AF0" w:rsidRPr="00A2427B" w:rsidRDefault="00FA7D3F" w:rsidP="00D4714C">
      <w:r w:rsidRPr="00A2427B">
        <w:rPr>
          <w:rStyle w:val="Style13ptBold"/>
        </w:rPr>
        <w:t>Vick Cook and Rogers 2020</w:t>
      </w:r>
      <w:r w:rsidRPr="00A2427B">
        <w:rPr>
          <w:color w:val="222222"/>
          <w:sz w:val="20"/>
          <w:szCs w:val="20"/>
          <w:shd w:val="clear" w:color="auto" w:fill="FFFFFF"/>
        </w:rPr>
        <w:t xml:space="preserve"> [Karcin, Kimberly J. Cook, and Meghan Rogers. "Lethal leverage: false confessions, false pleas, and wrongful homicide convictions in death-eligible cases." </w:t>
      </w:r>
      <w:r w:rsidRPr="00A2427B">
        <w:rPr>
          <w:i/>
          <w:iCs/>
          <w:color w:val="222222"/>
          <w:sz w:val="20"/>
          <w:szCs w:val="20"/>
          <w:shd w:val="clear" w:color="auto" w:fill="FFFFFF"/>
        </w:rPr>
        <w:t>Contemporary Justice Review</w:t>
      </w:r>
      <w:r w:rsidRPr="00A2427B">
        <w:rPr>
          <w:color w:val="222222"/>
          <w:sz w:val="20"/>
          <w:szCs w:val="20"/>
          <w:shd w:val="clear" w:color="auto" w:fill="FFFFFF"/>
        </w:rPr>
        <w:t> (2020): 1-19.]</w:t>
      </w:r>
    </w:p>
    <w:p w14:paraId="199ADE3B" w14:textId="70D5C27B" w:rsidR="00CB0AF0" w:rsidRPr="00A2427B" w:rsidRDefault="00CB0AF0" w:rsidP="00D4714C">
      <w:pPr>
        <w:rPr>
          <w:sz w:val="16"/>
        </w:rPr>
      </w:pPr>
      <w:r w:rsidRPr="00A2427B">
        <w:rPr>
          <w:sz w:val="16"/>
        </w:rPr>
        <w:t xml:space="preserve">Initially, the goal of the current research was to examine if known exonerations in death jurisdictions had an increased probability of the exoneree having falsely confessed. We hypothesized that death jurisdiction increases the likelihood of false confessions (Hypothesis 1); that death jurisdiction increased the likelihood of pleading guilty (Hypothesis 2); and false confessions decrease the likelihood of death sentences (Hypothesis 3). We found support for the relationship between death jurisdiction and plea agreements (Hypothesis 2). However, we did not find direct support for the association between death jurisdiction and false confession (Hypothesis 1), or false confession and death sentences (Hypothesis 3). For analytical purposes, we specified gender of the homicide victims as a control variable adding three additional hypothesis. We found support for the association between gender of victim and the likelihood of a false confession (Hypothesis 4), and gender of the victim and the likelihood of receiving a death sentences (Hypothesis 6). We did not find support for the association between gender of the victim and accepting a plea agreement (Hypothesis 5). First, </w:t>
      </w:r>
      <w:r w:rsidRPr="00A2427B">
        <w:rPr>
          <w:rStyle w:val="Emphasis"/>
        </w:rPr>
        <w:t>African Americans wrongly accused of homicide in known wrongful conviction cases, where the homicide victims were mostly female, and where false and misleading forensic evidence and official misconduct were present, are statistically most likely to have falsely confessed. Second, false guilty pleas were mostly likely produced in death-eligible jurisdictions, net of all other control factors</w:t>
      </w:r>
      <w:r w:rsidRPr="00A2427B">
        <w:rPr>
          <w:sz w:val="16"/>
        </w:rPr>
        <w:t xml:space="preserve">. And third, </w:t>
      </w:r>
      <w:r w:rsidRPr="00A2427B">
        <w:rPr>
          <w:rStyle w:val="Emphasis"/>
        </w:rPr>
        <w:t xml:space="preserve">death sentences were most likely to have been imposed on exonerees who were male, in homicide cases where the victims were mostly female, where official misconduct was present, and who had falsely confessed. </w:t>
      </w:r>
      <w:r w:rsidRPr="00A2427B">
        <w:rPr>
          <w:sz w:val="16"/>
        </w:rPr>
        <w:t>Official misconduct produces significantly higher odds of a false confession. Although the NRE lists official misconduct, it does not differentiate the origin of the misconduct by police, prosecutors, or other justice officials. Gilliam (2016) qualitatively examined 814 cases from the NRE and identified types of official misconduct. His categories included prosecutorial misconduct, police misconduct and other criminal justice official misconduct. Within each category, specific tactics were listed that led to the type of misconduct. Drummond and Naito (2018) found that the majority of official misconduct cases included police and prosecutorial misconduct. Additional research identifying specific misconduct would benefit future studies in predicting specific police misconduct in regards to false confessions. Using the NRE definition, we know that misconduct can be in the form of officers or prosecutors concealing evidence, investigators over-pressuring the suspect into confessing, officers being overly eager creating tunnel vision or officers conducting improper photo array lineups, to name a few (Findley &amp; Scott, 2006; Gilovich, 1991; Huff, 2003; Martin, 2002). Pressures on prosecution also intensify, and attorneys assume their client’s guilt once a confession is made. It is easier to achieve high conviction rates for prosecutors when a confession is present so they commonly exercise confirmation bias in ignoring potential contradictory evidence of their client or defendant (Leo &amp; Davis, 2010, pp. 29–33). More research is needed to examine how official misconduct in death jurisdictions impacts the likelihood of wrongful capital convictions.</w:t>
      </w:r>
    </w:p>
    <w:p w14:paraId="5392CA9D" w14:textId="4173D276" w:rsidR="00007CCC" w:rsidRPr="00A2427B" w:rsidRDefault="00007CCC" w:rsidP="00D4714C"/>
    <w:p w14:paraId="135DC226" w14:textId="0EEDF803" w:rsidR="00007CCC" w:rsidRPr="00A2427B" w:rsidRDefault="00007CCC" w:rsidP="00D4714C"/>
    <w:p w14:paraId="7F67874C" w14:textId="2689B27C" w:rsidR="00007CCC" w:rsidRPr="00A2427B" w:rsidRDefault="008C7C22" w:rsidP="00FD316D">
      <w:pPr>
        <w:pStyle w:val="Heading4"/>
      </w:pPr>
      <w:r w:rsidRPr="00A2427B">
        <w:t xml:space="preserve">The impact is racialized death - </w:t>
      </w:r>
      <w:r w:rsidR="00007CCC" w:rsidRPr="00A2427B">
        <w:t>federal courts are more likely to seek the death penalty for Black defendants.</w:t>
      </w:r>
    </w:p>
    <w:p w14:paraId="3AD6B40D" w14:textId="6BB8AB1F" w:rsidR="00007CCC" w:rsidRPr="00A2427B" w:rsidRDefault="00007CCC" w:rsidP="00007CCC">
      <w:r w:rsidRPr="00A2427B">
        <w:rPr>
          <w:rStyle w:val="Style13ptBold"/>
        </w:rPr>
        <w:t>Cohen</w:t>
      </w:r>
      <w:r w:rsidRPr="00A2427B">
        <w:rPr>
          <w:color w:val="222222"/>
          <w:sz w:val="20"/>
          <w:szCs w:val="20"/>
          <w:shd w:val="clear" w:color="auto" w:fill="FFFFFF"/>
        </w:rPr>
        <w:t xml:space="preserve"> and Smith </w:t>
      </w:r>
      <w:r w:rsidRPr="00A2427B">
        <w:rPr>
          <w:rStyle w:val="Style13ptBold"/>
        </w:rPr>
        <w:t>2010</w:t>
      </w:r>
      <w:r w:rsidRPr="00A2427B">
        <w:rPr>
          <w:color w:val="222222"/>
          <w:sz w:val="20"/>
          <w:szCs w:val="20"/>
          <w:shd w:val="clear" w:color="auto" w:fill="FFFFFF"/>
        </w:rPr>
        <w:t xml:space="preserve"> [G. Ben, and Robert J. Smith. "The racial geography of the federal death penalty." </w:t>
      </w:r>
      <w:r w:rsidRPr="00A2427B">
        <w:rPr>
          <w:i/>
          <w:iCs/>
          <w:color w:val="222222"/>
          <w:sz w:val="20"/>
          <w:szCs w:val="20"/>
          <w:shd w:val="clear" w:color="auto" w:fill="FFFFFF"/>
        </w:rPr>
        <w:t>Wash. L. Rev.</w:t>
      </w:r>
      <w:r w:rsidRPr="00A2427B">
        <w:rPr>
          <w:color w:val="222222"/>
          <w:sz w:val="20"/>
          <w:szCs w:val="20"/>
          <w:shd w:val="clear" w:color="auto" w:fill="FFFFFF"/>
        </w:rPr>
        <w:t> 85 (2010): 425.]</w:t>
      </w:r>
    </w:p>
    <w:p w14:paraId="23F12E19" w14:textId="4AA175FE" w:rsidR="00007CCC" w:rsidRPr="00A2427B" w:rsidRDefault="00007CCC" w:rsidP="00007CCC">
      <w:pPr>
        <w:rPr>
          <w:sz w:val="16"/>
        </w:rPr>
      </w:pPr>
      <w:r w:rsidRPr="00A2427B">
        <w:rPr>
          <w:sz w:val="16"/>
        </w:rPr>
        <w:t xml:space="preserve">A decade ago the United States Department of Justice issued a report analyzing the government's use of the federal death penalty from Congress' enactment of the death penalty statute in 1988 until 2000.44 The study revealed at least three racial and ethnic disparities stark enough to leave now-Attorney General Eric Holder "disturbed" and "troubled." First, </w:t>
      </w:r>
      <w:r w:rsidRPr="00A2427B">
        <w:rPr>
          <w:rStyle w:val="Emphasis"/>
        </w:rPr>
        <w:t>80% of all cases in which a United States Attorney requested permission to seek the death penalty involved a minority group defendant. Second, 72% of the cases where the Attorney General authorized a capital prosecution involved minority group defendants. Third, United States Attorneys sought death-authorization twice as often in cases involving black defendants and non-black victims as in cases involving black defendants and black victims.</w:t>
      </w:r>
      <w:r w:rsidRPr="00A2427B">
        <w:rPr>
          <w:sz w:val="16"/>
        </w:rPr>
        <w:t xml:space="preserve"> 4 5 President Clinton called these disparities "astonishing." 4 6 The disparities also "sorely troubled" Attorney General Janet Reno, who, along with then-Deputy Attorney General Eric Holder, promised to compile data, find explanations, and root out bias.47 President Bush took office in January 2001. He appointed John Ashcroft as his Attorney General. Ashcroft's Department of Justice released a new report acknowledging that the statistics are correct; minority group defendants are overrepresented in death penalty prosecutions. 48 But the report concluded that </w:t>
      </w:r>
      <w:r w:rsidRPr="00A2427B">
        <w:rPr>
          <w:rStyle w:val="Emphasis"/>
        </w:rPr>
        <w:t>this disparity is not due to racial or ethnic bias, but rather the reality that minority group defendants are overrepresented in the "pool of potential federal capital cases."</w:t>
      </w:r>
      <w:r w:rsidRPr="00A2427B">
        <w:rPr>
          <w:sz w:val="16"/>
        </w:rPr>
        <w:t xml:space="preserve"> 4 9 In fact, according to the report, when shifting focus to the deathauthorization rate among death-eligible federal minority group defendants, black and Hispanic defendants are less likely to be selected for federal capital prosecution: "[T]he Attorney General ultimately decided to seek the death penalty for 27% of the white defendants (44 out of 166), 17% of the black defendants (71 out of 408), and 9% of the Hispanic defendants (32 out of 350).",5o Attorney General Ashcroft's reconfiguration of the statistical analysis was flawed. By looking solely at death-authorized defendants and not attempting to appreciate how or why black defendants were overrepresented in the pool of federal defendants, Ashcroft's approach was akin to checking the back of the bus to see whether blacks were being discriminated against, and determining that no discrimination existed because blacks were over-represented as bus-riders.51 And so the Ashcroft Report met swift criticism. Professor David Baldus sent a statement to Senator Russell Feingold reporting that the Ashcroft Report "utterly fails to convince me that there is no significant risk of racial unfairness and geographic arbitrariness in the administration of the federal death penalty."52 Baldus observed however, the relevant unanswered question: the representativeness of racial minorities in the broader pool of murder defendants, and whether bias occurs at the point where United States Attorneys decide whether and how to charge murder defendants.53 But Professor Baldus' statement and both the Reno and Ashcroft reports failed to consider another cause of race bias in the administration of the federal death penalty: the exploitation of demographically chiaroscurist jury pools. Most federally-prosecuted capital crimes occur in minority-concentrated areas.54 Thus, expansion of the venire to the federal district level (which often includes white-flight suburbs) has a dramatic effect on the circumstance of the prosecution.55 Moving the relevant "community" from the county to the federal district dilutes the 56 voice of the population impacted most by violent crime. Moreover, as the jury pools get whiter, the opportunity for implicit race bias increases (and minority group defendants suffer the consequences). Far from considering the influence of racialized jury pools as a potential cause of race bias in the administration of the federal death penalty, neither the Reno nor the Ashcroft reports even mentioned the stark geography of race that results from federal death penalty prosecutions. Neither the Baldus investigation nor the DOJ reports explain why the vast majority of the federal death sentences come from a narrow band of jurisdictions. While there are ninety-four federal jurisdictions,58 fortythree (75%) death sentences have come from sixteen districts; and just nine districts have returned nearly half (twenty-nine) of the death sentences: 59 For example, one wonders how Missouri-with eight federal death sentences between its two districts-has returned more federal death sentences than New York, California, Florida, and the thirty-seven federal districts that have never returned a federal death penalty, combined.6 1 </w:t>
      </w:r>
      <w:r w:rsidRPr="00A2427B">
        <w:rPr>
          <w:rStyle w:val="Emphasis"/>
        </w:rPr>
        <w:t xml:space="preserve">When a disproportionately large number of federal death sentences come from a narrow band of jurisdictions-even though there is supposed to be federal oversight from the Attorney General to avoid the arbitrary imposition of the death penalty-focused attention on the demographics of these jurisdictions is warranted. </w:t>
      </w:r>
      <w:r w:rsidRPr="00A2427B">
        <w:rPr>
          <w:sz w:val="16"/>
        </w:rPr>
        <w:t>Eight jurisdictions have returned more than two death sentences, resulting in almost half of the defendants on death row.62 The eight federal districts that have returned more than two death sentences are not exclusively white jurisdictions, nor are they jurisdictions with predominantly black or other minority group populations.63 However, what is striking about these jurisdictions is that the county of the offense generally has a high percentage of blacks, but is located within federal districts which are heavily white.64</w:t>
      </w:r>
    </w:p>
    <w:p w14:paraId="452BFF62" w14:textId="77777777" w:rsidR="00FD316D" w:rsidRPr="00A2427B" w:rsidRDefault="00FD316D" w:rsidP="00FD316D">
      <w:pPr>
        <w:pStyle w:val="Heading4"/>
      </w:pPr>
      <w:r w:rsidRPr="00A2427B">
        <w:t>You have an ethical obligation toward reforming the critical justice system.</w:t>
      </w:r>
    </w:p>
    <w:p w14:paraId="43F11D28" w14:textId="77777777" w:rsidR="00FD316D" w:rsidRPr="00A2427B" w:rsidRDefault="00FD316D" w:rsidP="00FD316D">
      <w:r w:rsidRPr="00A2427B">
        <w:rPr>
          <w:rStyle w:val="Style13ptBold"/>
        </w:rPr>
        <w:t>Yankah 2019</w:t>
      </w:r>
      <w:r w:rsidRPr="00A2427B">
        <w:t xml:space="preserve"> [Ekow N. (2019) Race, Criminal Law and Ethical Life. In: Alexander L., Ferzan K. (eds) The Palgrave Handbook of Applied Ethics and the Criminal Law. Palgrave Macmillan, Cham First Online 03 December 2019]</w:t>
      </w:r>
    </w:p>
    <w:p w14:paraId="13F8571C" w14:textId="77777777" w:rsidR="00FD316D" w:rsidRPr="00A2427B" w:rsidRDefault="00FD316D" w:rsidP="00FD316D">
      <w:pPr>
        <w:rPr>
          <w:sz w:val="16"/>
        </w:rPr>
      </w:pPr>
      <w:r w:rsidRPr="00A2427B">
        <w:rPr>
          <w:sz w:val="16"/>
        </w:rPr>
        <w:t xml:space="preserve">Disadvantaged minorities are not the only citizens for whom the racial illegitimacy of criminal law poses an ethical threat. Outside our admiration for resilience of the most disadvantaged, it seems even more pressing to inspect how ordinarily advantaged Americans, those in whose name the state oppresses, should relate to a substantially illegitimate criminal justice system (Yankah </w:t>
      </w:r>
      <w:hyperlink r:id="rId16" w:anchor="CR117" w:tooltip="View reference" w:history="1">
        <w:r w:rsidRPr="00A2427B">
          <w:rPr>
            <w:rStyle w:val="Hyperlink"/>
            <w:sz w:val="16"/>
          </w:rPr>
          <w:t>2019a</w:t>
        </w:r>
      </w:hyperlink>
      <w:r w:rsidRPr="00A2427B">
        <w:rPr>
          <w:sz w:val="16"/>
        </w:rPr>
        <w:t>).</w:t>
      </w:r>
      <w:hyperlink r:id="rId17" w:anchor="Fn17" w:history="1">
        <w:r w:rsidRPr="00A2427B">
          <w:rPr>
            <w:rStyle w:val="Hyperlink"/>
            <w:sz w:val="16"/>
          </w:rPr>
          <w:t>17</w:t>
        </w:r>
      </w:hyperlink>
      <w:r w:rsidRPr="00A2427B">
        <w:rPr>
          <w:sz w:val="16"/>
        </w:rPr>
        <w:t xml:space="preserve"> The illegitimacy of the criminal justice system means that when the law does not treat racial minorities as full and equal citizens, particularly across their most important basic liberty rights, severely disadvantaged minorities may reject it as fully binding. But those reasons do not apply to the advantaged citizen, at least not in the same way. She is included in the set of reciprocal benefits secured by the legal system; indeed, to the extent the criminal law exempts her from an unjust allocation of burdens, she appears to be in the opposite position. Yet advantaged citizens also face a pressing ethical challenge living under a racially corrupt criminal law system. First, they have reason to understand that criminal law’s injustice destabilizes their claim to successes in their own lives, devaluing them by rendering them, to some extent, unjust enrichment. Second, this is not simply because the system is suboptimal or unattractive but because she understands that the system is seriously unjust in her name (Cooper </w:t>
      </w:r>
      <w:hyperlink r:id="rId18" w:anchor="CR28" w:tooltip="View reference" w:history="1">
        <w:r w:rsidRPr="00A2427B">
          <w:rPr>
            <w:rStyle w:val="Hyperlink"/>
            <w:sz w:val="16"/>
          </w:rPr>
          <w:t>2005</w:t>
        </w:r>
      </w:hyperlink>
      <w:r w:rsidRPr="00A2427B">
        <w:rPr>
          <w:sz w:val="16"/>
        </w:rPr>
        <w:t xml:space="preserve">). These two points are critical. </w:t>
      </w:r>
      <w:r w:rsidRPr="00A2427B">
        <w:rPr>
          <w:rStyle w:val="Emphasis"/>
        </w:rPr>
        <w:t>A seriously unjust legal system anywhere gives reasons to abhor or protest it. But without further explanation, it is not the case that all injustices undermine your relationship with the shape of your own life, with its successes and benefits. Because these injustices are not systematically constructed to favor you, they do not properly indict your goals and projects as the spoils of unjust enrichment</w:t>
      </w:r>
      <w:r w:rsidRPr="00A2427B">
        <w:rPr>
          <w:sz w:val="16"/>
        </w:rPr>
        <w:t xml:space="preserve"> (Beitz </w:t>
      </w:r>
      <w:hyperlink r:id="rId19" w:anchor="CR14" w:tooltip="View reference" w:history="1">
        <w:r w:rsidRPr="00A2427B">
          <w:rPr>
            <w:rStyle w:val="Hyperlink"/>
            <w:sz w:val="16"/>
          </w:rPr>
          <w:t>2010</w:t>
        </w:r>
      </w:hyperlink>
      <w:r w:rsidRPr="00A2427B">
        <w:rPr>
          <w:sz w:val="16"/>
        </w:rPr>
        <w:t>).</w:t>
      </w:r>
      <w:hyperlink r:id="rId20" w:anchor="Fn18" w:history="1">
        <w:r w:rsidRPr="00A2427B">
          <w:rPr>
            <w:rStyle w:val="Hyperlink"/>
            <w:sz w:val="16"/>
          </w:rPr>
          <w:t>18</w:t>
        </w:r>
      </w:hyperlink>
      <w:r w:rsidRPr="00A2427B">
        <w:rPr>
          <w:sz w:val="16"/>
        </w:rPr>
        <w:t xml:space="preserve"> Further, serious institutional injustices perpetrated for your benefit, by your own polity and in your name create a different relationship to those wrongs and impose different demands. Of course, this is in part because one stands in a factually different relationship with their own state; one is typically a small but continuous player in a long-running project. But this material difference does not entirely explain the moral distinction. After all, it is perfectly sensible to understand one’s duty to work toward goals in one’s society that are unlikely to be realized in anything but the distant future (Scheffler </w:t>
      </w:r>
      <w:hyperlink r:id="rId21" w:anchor="CR94" w:tooltip="View reference" w:history="1">
        <w:r w:rsidRPr="00A2427B">
          <w:rPr>
            <w:rStyle w:val="Hyperlink"/>
            <w:sz w:val="16"/>
          </w:rPr>
          <w:t>2016</w:t>
        </w:r>
      </w:hyperlink>
      <w:r w:rsidRPr="00A2427B">
        <w:rPr>
          <w:sz w:val="16"/>
        </w:rPr>
        <w:t xml:space="preserve">, pp. 15–81; MacIntyre </w:t>
      </w:r>
      <w:hyperlink r:id="rId22" w:anchor="CR70" w:tooltip="View reference" w:history="1">
        <w:r w:rsidRPr="00A2427B">
          <w:rPr>
            <w:rStyle w:val="Hyperlink"/>
            <w:sz w:val="16"/>
          </w:rPr>
          <w:t>1984</w:t>
        </w:r>
      </w:hyperlink>
      <w:r w:rsidRPr="00A2427B">
        <w:rPr>
          <w:sz w:val="16"/>
        </w:rPr>
        <w:t xml:space="preserve">). In the case of a consistent injustice in one’s polity taken in one’s name, there is a felt value of repudiation even if not cashed out in effective reform. Returning to our thesis, that the criminal law amplifies racial injustices gives many advantaged citizens particular reasons to reject criminal law’s claims to obedience. Obviously, not all advantaged citizens, reasonably secure from the worst systemic injustices of criminal law, are White; upper- and middle-class racial minorities are vastly less likely than poor minorities to be subject to criminal law (Forman </w:t>
      </w:r>
      <w:hyperlink r:id="rId23" w:anchor="CR40" w:tooltip="View reference" w:history="1">
        <w:r w:rsidRPr="00A2427B">
          <w:rPr>
            <w:rStyle w:val="Hyperlink"/>
            <w:sz w:val="16"/>
          </w:rPr>
          <w:t>2012</w:t>
        </w:r>
      </w:hyperlink>
      <w:r w:rsidRPr="00A2427B">
        <w:rPr>
          <w:sz w:val="16"/>
        </w:rPr>
        <w:t xml:space="preserve">, pp. 52–58). Nonetheless, </w:t>
      </w:r>
      <w:r w:rsidRPr="00A2427B">
        <w:rPr>
          <w:rStyle w:val="Emphasis"/>
        </w:rPr>
        <w:t>our criminal law system systematically treats racial minorities, particularly African-Americans and Hispanics, unjustly.</w:t>
      </w:r>
      <w:r w:rsidRPr="00A2427B">
        <w:rPr>
          <w:sz w:val="16"/>
        </w:rPr>
        <w:t xml:space="preserve"> Embedded in a history (and present) where criminal law was used to secure racial hierarchy, there is no way to understand the injustices of our criminal justice system except as expressing that the Black and Brown people are worth less than Whites. Further, knowing such damage can only continue with the implicit support or acquiescence of many White citizens means one has a duty not to be seen as willing to “play along.” </w:t>
      </w:r>
      <w:r w:rsidRPr="00A2427B">
        <w:rPr>
          <w:rStyle w:val="Emphasis"/>
        </w:rPr>
        <w:t>Thus, White citizens have reasons to reject the racial injustice of the criminal law system and repudiate its claims of their own racial superiority. The systemic injustices of criminal law secure unjust advantages for too many “ordinary” citizens, rendering their successes and life projects in part unjust spoils. Second, the very law that chews through lives and communities in the ghetto does not only advantage those outside of it but does so in their name</w:t>
      </w:r>
      <w:r w:rsidRPr="00A2427B">
        <w:rPr>
          <w:sz w:val="16"/>
        </w:rPr>
        <w:t xml:space="preserve">. Lastly, White citizens have a unique duty to reject the racist elements of the criminal justice system to repudiate its claims that the lives of racial minorities are worth less than their own. Taken together the racial injustice of the criminal law system presents advantaged citizens with a parallel ethical dilemma as to how to relate to their criminal law system. That advantaged citizens may rightfully reject a global obligation to comply with criminal law does not mean ignoring criminal law willy-nilly. Just as ghetto residents must think carefully about whether instances of lawbreaking effect positive changes, establishing a fairer criminal law system, even more so do advantaged citizens (Shelby </w:t>
      </w:r>
      <w:hyperlink r:id="rId24" w:anchor="CR96" w:tooltip="View reference" w:history="1">
        <w:r w:rsidRPr="00A2427B">
          <w:rPr>
            <w:rStyle w:val="Hyperlink"/>
            <w:sz w:val="16"/>
          </w:rPr>
          <w:t>2016</w:t>
        </w:r>
      </w:hyperlink>
      <w:r w:rsidRPr="00A2427B">
        <w:rPr>
          <w:sz w:val="16"/>
        </w:rPr>
        <w:t xml:space="preserve">, pp. 222–227). However one engages in lawbreaking as resistance, the justified rejection of criminal law in the service of civic equality fails if the lawbreaking intensifies civic injuries particularly within ghetto communities or deepens corrosive ghetto identities such as “hustlers” and “gangsters.” Though rejecting criminal law highlights the serious duties advantaged citizens have in light of their greater resources, it seems that outside of extraordinary moments, citizens do not have a duty to undertake heroic self-sacrifice. Further, in thinking carefully about particular illegal acts, advantaged citizens in particular must measure not just how their actions will repudiate the injustices of the criminal law system but likely effects on justified (or perhaps excusable) portions of the political order, including harms to vulnerable poor and racial minorities. Taken together, these two tenets generate not only a presumption against general violence toward police officers, already noted in the natural duty against harming others, but caution in how one resists the demands of criminal law. Encouraging indiscriminate violence against police officers not only violates their rights but would utterly rend the already-frayed fabric of the most impoverished communities (and the broader community besides). As scholars have pointed out for a generation, ghetto communities suffer simultaneously from over-policing and under-protection (Gamal </w:t>
      </w:r>
      <w:hyperlink r:id="rId25" w:anchor="CR43" w:tooltip="View reference" w:history="1">
        <w:r w:rsidRPr="00A2427B">
          <w:rPr>
            <w:rStyle w:val="Hyperlink"/>
            <w:sz w:val="16"/>
          </w:rPr>
          <w:t>2016</w:t>
        </w:r>
      </w:hyperlink>
      <w:r w:rsidRPr="00A2427B">
        <w:rPr>
          <w:sz w:val="16"/>
        </w:rPr>
        <w:t>). Escalating the serious problems with urban policing into a shooting war promises only to exacerbate the situation. Precisely because the unjust burdens of criminal law are systematically produced, the first and most obvious duty of advantaged citizens is to engage in systematic reform. Such reform can often feel both glacial and quotidian; reform is often the stuff of ordinary political activity. For most, such reform means at a minimum voting for more just criminal law policies and engaging in a range of political activity meant to produce systemic change, from protesting to running for office, from writing their representatives to writing op-eds. Still, although dedicated systemic reform measures are critical, they do not fully answer the motivating question; given that even plausibly successful systemic reform is a long-term project, what ethical stance should advantaged citizens take toward criminal law while it is still recognizably unjust? I do not pretend to have a detailed menu of permissible lawbreaking by advantaged citizens and in any case circumstances on the ground are likely to be too subtle and changing to create a stable list. I can only nominate a few telling examples, ranging from the quixotic to systematic, that give shape to the kind of repudiation I believe required of advantaged citizens.</w:t>
      </w:r>
    </w:p>
    <w:p w14:paraId="39327CE7" w14:textId="77777777" w:rsidR="00FD316D" w:rsidRPr="00A2427B" w:rsidRDefault="00FD316D" w:rsidP="00FD316D"/>
    <w:p w14:paraId="60EE7871" w14:textId="77777777" w:rsidR="00FD316D" w:rsidRPr="00A2427B" w:rsidRDefault="00FD316D" w:rsidP="00FD316D"/>
    <w:p w14:paraId="378F6EAD" w14:textId="77777777" w:rsidR="00FD316D" w:rsidRPr="00A2427B" w:rsidRDefault="00FD316D" w:rsidP="00FD316D">
      <w:pPr>
        <w:pStyle w:val="Heading4"/>
      </w:pPr>
      <w:r w:rsidRPr="00A2427B">
        <w:t>And penality works though the idea of what is reasonable and possible. Your pedagogical obligation is to filter impacts through rejecting the reason of the prison.</w:t>
      </w:r>
    </w:p>
    <w:p w14:paraId="1495C4B5" w14:textId="77777777" w:rsidR="00FD316D" w:rsidRPr="00A2427B" w:rsidRDefault="00FD316D" w:rsidP="00FD316D">
      <w:r w:rsidRPr="00A2427B">
        <w:t xml:space="preserve">Noah </w:t>
      </w:r>
      <w:r w:rsidRPr="00A2427B">
        <w:rPr>
          <w:rStyle w:val="Style13ptBold"/>
        </w:rPr>
        <w:t>De Lissovoy (2016</w:t>
      </w:r>
      <w:r w:rsidRPr="00A2427B">
        <w:t xml:space="preserve"> Race, Reason and Reasonableness: Toward an “Unreasonable” Pedagogy, Educational Studies, 52:4, 346-362, DOI: 10.1080/00131946.2016.1190367</w:t>
      </w:r>
    </w:p>
    <w:p w14:paraId="50A80FC5" w14:textId="77777777" w:rsidR="00FD316D" w:rsidRPr="00A2427B" w:rsidRDefault="00FD316D" w:rsidP="00FD316D">
      <w:pPr>
        <w:rPr>
          <w:sz w:val="16"/>
        </w:rPr>
      </w:pPr>
      <w:r w:rsidRPr="00A2427B">
        <w:rPr>
          <w:rStyle w:val="Emphasis"/>
        </w:rPr>
        <w:t>What is thinkable in relation to society is indicated and bounded by a sense of what is reasonable.</w:t>
      </w:r>
      <w:r w:rsidRPr="00A2427B">
        <w:rPr>
          <w:sz w:val="16"/>
        </w:rPr>
        <w:t xml:space="preserve"> The category of the reasonable connects the content of particular propositions with the inner truth of the form of thought. What is mistaken is merely wrong, but what is unreasonable is contrary to thinking itself. At the same time, the reasonable refers to the sphere of practical norms: in contrast to the notion of the rational, what is reasonable refers to what can be legitimated not only intellectually, but practically and morally. </w:t>
      </w:r>
      <w:r w:rsidRPr="00A2427B">
        <w:rPr>
          <w:rStyle w:val="Emphasis"/>
        </w:rPr>
        <w:t>The reasonable ties what can be properly thought to what is accepted; it identifies coherence with the norm itself. In this way, the imperative to be reasonable ties thinking and doing to the familiar maps and channels of social life. This is crucially the case for practices and understandings constructed by race and racism.</w:t>
      </w:r>
      <w:r w:rsidRPr="00A2427B">
        <w:rPr>
          <w:sz w:val="16"/>
        </w:rPr>
        <w:t xml:space="preserve"> This coherence with the given is the actual content of the virtue of reasonableness, even if this quality seems to us to glimmer with some inner light. If the notion of the reasonable is a central figure for ideology, then a kind of thinking that would break with it must necessarily be unreasonable. If to make sense is to accord with what is, then a kind of imagination that seeks to think past the given will show up in the first instance not just as unexpected but even as irresponsible. However, this does not mean that the critical imagination is in fact irrational. As I describe, we can in fact argue from a different reason. Thus, this article, a theoretical project, seeks to uncover the meaning of an “unreasonable” pedagogy, which I argue is the form that critical pedagogy must take in this context and against the background of the violence that organizes capitalism and whiteness, and it will point to moments of interruption of this violence that indicate not just the limits of consensus but the openings of possibility. Starting from the critical-theoretical notion of a hidden objective violence that organizes social reality in capitalism, including processes of systemic racism (Balibar, </w:t>
      </w:r>
      <w:hyperlink r:id="rId26" w:history="1">
        <w:r w:rsidRPr="00A2427B">
          <w:rPr>
            <w:rStyle w:val="Hyperlink"/>
            <w:sz w:val="16"/>
          </w:rPr>
          <w:t>2002</w:t>
        </w:r>
      </w:hyperlink>
      <w:r w:rsidRPr="00A2427B">
        <w:rPr>
          <w:sz w:val="16"/>
        </w:rPr>
        <w:t xml:space="preserve">; Žižek, </w:t>
      </w:r>
      <w:hyperlink r:id="rId27" w:history="1">
        <w:r w:rsidRPr="00A2427B">
          <w:rPr>
            <w:rStyle w:val="Hyperlink"/>
            <w:sz w:val="16"/>
          </w:rPr>
          <w:t>2008</w:t>
        </w:r>
      </w:hyperlink>
      <w:r w:rsidRPr="00A2427B">
        <w:rPr>
          <w:sz w:val="16"/>
        </w:rPr>
        <w:t xml:space="preserve">), as well as from a phenomenological inquiry into the condition of invisibility that has often structured experiences for people of color (Alcoff, </w:t>
      </w:r>
      <w:hyperlink r:id="rId28" w:history="1">
        <w:r w:rsidRPr="00A2427B">
          <w:rPr>
            <w:rStyle w:val="Hyperlink"/>
            <w:sz w:val="16"/>
          </w:rPr>
          <w:t>2006</w:t>
        </w:r>
      </w:hyperlink>
      <w:r w:rsidRPr="00A2427B">
        <w:rPr>
          <w:sz w:val="16"/>
        </w:rPr>
        <w:t xml:space="preserve">; Fanon, </w:t>
      </w:r>
      <w:hyperlink r:id="rId29" w:history="1">
        <w:r w:rsidRPr="00A2427B">
          <w:rPr>
            <w:rStyle w:val="Hyperlink"/>
            <w:sz w:val="16"/>
          </w:rPr>
          <w:t>1963</w:t>
        </w:r>
      </w:hyperlink>
      <w:r w:rsidRPr="00A2427B">
        <w:rPr>
          <w:sz w:val="16"/>
        </w:rPr>
        <w:t xml:space="preserve">, </w:t>
      </w:r>
      <w:hyperlink r:id="rId30" w:history="1">
        <w:r w:rsidRPr="00A2427B">
          <w:rPr>
            <w:rStyle w:val="Hyperlink"/>
            <w:sz w:val="16"/>
          </w:rPr>
          <w:t>1967</w:t>
        </w:r>
      </w:hyperlink>
      <w:r w:rsidRPr="00A2427B">
        <w:rPr>
          <w:sz w:val="16"/>
        </w:rPr>
        <w:t xml:space="preserve">; Gordon, </w:t>
      </w:r>
      <w:hyperlink r:id="rId31" w:history="1">
        <w:r w:rsidRPr="00A2427B">
          <w:rPr>
            <w:rStyle w:val="Hyperlink"/>
            <w:sz w:val="16"/>
          </w:rPr>
          <w:t>1997a</w:t>
        </w:r>
      </w:hyperlink>
      <w:r w:rsidRPr="00A2427B">
        <w:rPr>
          <w:sz w:val="16"/>
        </w:rPr>
        <w:t xml:space="preserve">; Yancy, </w:t>
      </w:r>
      <w:hyperlink r:id="rId32" w:history="1">
        <w:r w:rsidRPr="00A2427B">
          <w:rPr>
            <w:rStyle w:val="Hyperlink"/>
            <w:sz w:val="16"/>
          </w:rPr>
          <w:t>2005</w:t>
        </w:r>
      </w:hyperlink>
      <w:r w:rsidRPr="00A2427B">
        <w:rPr>
          <w:sz w:val="16"/>
        </w:rPr>
        <w:t xml:space="preserve">), this article explores the relationship between racism and reasonableness in education and society. After laying out the theoretical framework for my investigation, I consider the contemporary ideological structure of key aspects of educational policy and curriculum; I argue </w:t>
      </w:r>
      <w:r w:rsidRPr="00A2427B">
        <w:rPr>
          <w:rStyle w:val="Emphasis"/>
        </w:rPr>
        <w:t>that the meaning and force of the reasonable, working through neoliberal modalities of appropriation and penality, is a central anchor for persistent processes of racial oppression in these contexts.</w:t>
      </w:r>
      <w:r w:rsidRPr="00A2427B">
        <w:rPr>
          <w:sz w:val="16"/>
        </w:rPr>
        <w:t xml:space="preserve"> Following this, the article outlines starting points for thinking and teaching in the present that would be oriented against the ideological encirclement I have described. I argue that to work through the difficult gaps and aporias that splinter the given, critical pedagogy needs to start from a different reason. Furthermore, taking its cue from interventions by radical educators and students, critical teaching needs to be unafraid to challenge the violent decorum that forces dialogue on race and racism into the narrow and oppressive spaces—both material and discursive—of the reasonable.</w:t>
      </w:r>
    </w:p>
    <w:p w14:paraId="5A71E55C" w14:textId="77777777" w:rsidR="00FD316D" w:rsidRPr="00A2427B" w:rsidRDefault="00FD316D" w:rsidP="00FD316D"/>
    <w:p w14:paraId="2934CA46" w14:textId="45D5D7DC" w:rsidR="00A04587" w:rsidRPr="00A2427B" w:rsidRDefault="004A1573" w:rsidP="004A1573">
      <w:pPr>
        <w:pStyle w:val="Heading3"/>
        <w:rPr>
          <w:rStyle w:val="StyleUnderline"/>
        </w:rPr>
      </w:pPr>
      <w:r w:rsidRPr="00A2427B">
        <w:rPr>
          <w:rStyle w:val="StyleUnderline"/>
        </w:rPr>
        <w:t>Plan text</w:t>
      </w:r>
    </w:p>
    <w:p w14:paraId="761D46F5" w14:textId="37C6FFA5" w:rsidR="001A30EB" w:rsidRPr="00A2427B" w:rsidRDefault="008C7C22" w:rsidP="008C7C22">
      <w:pPr>
        <w:pStyle w:val="Heading4"/>
      </w:pPr>
      <w:r w:rsidRPr="00A2427B">
        <w:t xml:space="preserve">Plan: </w:t>
      </w:r>
      <w:r w:rsidR="001A30EB" w:rsidRPr="00A2427B">
        <w:t>The United States Supreme Court should amend the Federal Rules of Evidence to eliminate usage of forensic science by the prosecution unless it is scientifically valid or the defense offers competing expert testimony.</w:t>
      </w:r>
    </w:p>
    <w:p w14:paraId="684A25EB" w14:textId="7F9DA56C" w:rsidR="004A1573" w:rsidRPr="00A2427B" w:rsidRDefault="004A1573" w:rsidP="004A1573"/>
    <w:p w14:paraId="5DE02681" w14:textId="307EE64D" w:rsidR="004A1573" w:rsidRPr="00A2427B" w:rsidRDefault="004A1573" w:rsidP="00FD316D">
      <w:pPr>
        <w:pStyle w:val="Heading3"/>
      </w:pPr>
      <w:r w:rsidRPr="00A2427B">
        <w:t>Solvency</w:t>
      </w:r>
    </w:p>
    <w:p w14:paraId="666344B6" w14:textId="77777777" w:rsidR="00693A53" w:rsidRPr="00A2427B" w:rsidRDefault="00693A53" w:rsidP="00693A53">
      <w:pPr>
        <w:pStyle w:val="Heading4"/>
        <w:rPr>
          <w:rStyle w:val="Style13ptBold"/>
          <w:b/>
          <w:bCs w:val="0"/>
        </w:rPr>
      </w:pPr>
      <w:r w:rsidRPr="00A2427B">
        <w:rPr>
          <w:rStyle w:val="Style13ptBold"/>
          <w:b/>
          <w:bCs w:val="0"/>
        </w:rPr>
        <w:t>Only making Federal Rules of Evidence reform from the Supreme Court solves by clarifying Daubert decisions – the plan eliminates forensic evidence from introduction by the prosecution if it doesn’t meet the standard of scientific validity or there is no competing defense expert testimony</w:t>
      </w:r>
    </w:p>
    <w:p w14:paraId="094FE950" w14:textId="77777777" w:rsidR="00693A53" w:rsidRPr="00A2427B" w:rsidRDefault="00693A53" w:rsidP="00693A53">
      <w:r w:rsidRPr="00A2427B">
        <w:rPr>
          <w:rStyle w:val="Style13ptBold"/>
        </w:rPr>
        <w:t xml:space="preserve">Shoucair 18 </w:t>
      </w:r>
      <w:r w:rsidRPr="00A2427B">
        <w:t xml:space="preserve">Emma F. Shoucair, Cabining Judicial Discretion Over Forensic Evidence with a New Special Relevance Rule, 117 MICH. L. REV. 173 (2018). Available at: </w:t>
      </w:r>
      <w:hyperlink r:id="rId33" w:history="1">
        <w:r w:rsidRPr="00A2427B">
          <w:rPr>
            <w:rStyle w:val="Hyperlink"/>
          </w:rPr>
          <w:t>https://repository.law.umich.edu/mlr/vol117/iss1/5</w:t>
        </w:r>
      </w:hyperlink>
      <w:r w:rsidRPr="00A2427B">
        <w:t xml:space="preserve"> dw</w:t>
      </w:r>
    </w:p>
    <w:p w14:paraId="59B66AD1" w14:textId="77777777" w:rsidR="00693A53" w:rsidRPr="00A2427B" w:rsidRDefault="00693A53" w:rsidP="00693A53">
      <w:pPr>
        <w:rPr>
          <w:rStyle w:val="StyleUnderline"/>
        </w:rPr>
      </w:pPr>
      <w:r w:rsidRPr="00A2427B">
        <w:rPr>
          <w:rStyle w:val="StyleUnderline"/>
        </w:rPr>
        <w:t>Our evidence codes</w:t>
      </w:r>
      <w:r w:rsidRPr="00A2427B">
        <w:rPr>
          <w:sz w:val="14"/>
        </w:rPr>
        <w:t xml:space="preserve"> tend to be liberal—they </w:t>
      </w:r>
      <w:r w:rsidRPr="00A2427B">
        <w:rPr>
          <w:rStyle w:val="StyleUnderline"/>
        </w:rPr>
        <w:t>trust juries and overall favor jury evaluation of evidence</w:t>
      </w:r>
      <w:r w:rsidRPr="00A2427B">
        <w:rPr>
          <w:sz w:val="14"/>
        </w:rPr>
        <w:t xml:space="preserve">. </w:t>
      </w:r>
      <w:r w:rsidRPr="00A2427B">
        <w:rPr>
          <w:rStyle w:val="StyleUnderline"/>
        </w:rPr>
        <w:t>Rule 402 lays out t</w:t>
      </w:r>
      <w:r w:rsidRPr="00A2427B">
        <w:rPr>
          <w:sz w:val="14"/>
        </w:rPr>
        <w:t>he baseline for admission: “</w:t>
      </w:r>
      <w:r w:rsidRPr="00A2427B">
        <w:rPr>
          <w:rStyle w:val="StyleUnderline"/>
        </w:rPr>
        <w:t>Relevant evidence is admissible unless</w:t>
      </w:r>
      <w:r w:rsidRPr="00A2427B">
        <w:rPr>
          <w:sz w:val="14"/>
        </w:rPr>
        <w:t xml:space="preserve"> </w:t>
      </w:r>
      <w:r w:rsidRPr="00A2427B">
        <w:rPr>
          <w:rStyle w:val="StyleUnderline"/>
        </w:rPr>
        <w:t>any of the following provides otherwise</w:t>
      </w:r>
      <w:r w:rsidRPr="00A2427B">
        <w:rPr>
          <w:sz w:val="14"/>
        </w:rPr>
        <w:t xml:space="preserve">: </w:t>
      </w:r>
      <w:r w:rsidRPr="00A2427B">
        <w:rPr>
          <w:rStyle w:val="StyleUnderline"/>
        </w:rPr>
        <w:t>the</w:t>
      </w:r>
      <w:r w:rsidRPr="00A2427B">
        <w:rPr>
          <w:sz w:val="14"/>
        </w:rPr>
        <w:t xml:space="preserve"> United States </w:t>
      </w:r>
      <w:r w:rsidRPr="00A2427B">
        <w:rPr>
          <w:rStyle w:val="Emphasis"/>
        </w:rPr>
        <w:t>Constitution</w:t>
      </w:r>
      <w:r w:rsidRPr="00A2427B">
        <w:rPr>
          <w:rStyle w:val="StyleUnderline"/>
        </w:rPr>
        <w:t xml:space="preserve">; </w:t>
      </w:r>
      <w:r w:rsidRPr="00A2427B">
        <w:rPr>
          <w:rStyle w:val="Emphasis"/>
        </w:rPr>
        <w:t>a federal statute</w:t>
      </w:r>
      <w:r w:rsidRPr="00A2427B">
        <w:rPr>
          <w:sz w:val="14"/>
        </w:rPr>
        <w:t xml:space="preserve">; these rules; </w:t>
      </w:r>
      <w:r w:rsidRPr="00A2427B">
        <w:rPr>
          <w:rStyle w:val="Emphasis"/>
        </w:rPr>
        <w:t>or</w:t>
      </w:r>
      <w:r w:rsidRPr="00A2427B">
        <w:rPr>
          <w:rStyle w:val="StyleUnderline"/>
        </w:rPr>
        <w:t xml:space="preserve"> other rules prescribed by </w:t>
      </w:r>
      <w:r w:rsidRPr="00A2427B">
        <w:rPr>
          <w:rStyle w:val="Emphasis"/>
        </w:rPr>
        <w:t>the Supreme Court</w:t>
      </w:r>
      <w:r w:rsidRPr="00A2427B">
        <w:rPr>
          <w:sz w:val="14"/>
        </w:rPr>
        <w:t xml:space="preserve">.”104 </w:t>
      </w:r>
      <w:r w:rsidRPr="00A2427B">
        <w:rPr>
          <w:rStyle w:val="StyleUnderline"/>
        </w:rPr>
        <w:t>There are situations</w:t>
      </w:r>
      <w:r w:rsidRPr="00A2427B">
        <w:rPr>
          <w:sz w:val="14"/>
        </w:rPr>
        <w:t xml:space="preserve">, however, in </w:t>
      </w:r>
      <w:r w:rsidRPr="00A2427B">
        <w:rPr>
          <w:rStyle w:val="StyleUnderline"/>
        </w:rPr>
        <w:t>which relevant evidence is deemed too prejudicial to reach a jury</w:t>
      </w:r>
      <w:r w:rsidRPr="00A2427B">
        <w:rPr>
          <w:sz w:val="14"/>
        </w:rPr>
        <w:t xml:space="preserve">.105 </w:t>
      </w:r>
      <w:r w:rsidRPr="00A2427B">
        <w:rPr>
          <w:rStyle w:val="StyleUnderline"/>
        </w:rPr>
        <w:t>Because non-DNA forensic evidence’s prejudicial effect on a jury substantially outweighs its probative value, this</w:t>
      </w:r>
      <w:r w:rsidRPr="00A2427B">
        <w:rPr>
          <w:sz w:val="14"/>
        </w:rPr>
        <w:t xml:space="preserve"> Note </w:t>
      </w:r>
      <w:r w:rsidRPr="00A2427B">
        <w:rPr>
          <w:rStyle w:val="Emphasis"/>
        </w:rPr>
        <w:t>proposes adding a narrow special relevance rule excluding non-DNA forensic evidence in criminal trials under certain circumstances</w:t>
      </w:r>
      <w:r w:rsidRPr="00A2427B">
        <w:rPr>
          <w:sz w:val="14"/>
        </w:rPr>
        <w:t xml:space="preserve">. This is not to say that non-DNA forensic evidence has zero probative value; for example, a fiber match may be able to tell you broad characteristics about that fiber, even if it cannot provide more specific information. But </w:t>
      </w:r>
      <w:r w:rsidRPr="00A2427B">
        <w:rPr>
          <w:rStyle w:val="StyleUnderline"/>
        </w:rPr>
        <w:t>the prejudicial effect on criminal juries</w:t>
      </w:r>
      <w:r w:rsidRPr="00A2427B">
        <w:rPr>
          <w:sz w:val="14"/>
        </w:rPr>
        <w:t xml:space="preserve">106 </w:t>
      </w:r>
      <w:r w:rsidRPr="00A2427B">
        <w:rPr>
          <w:rStyle w:val="StyleUnderline"/>
        </w:rPr>
        <w:t>is simply too high a price to pay to warrant admission of this type of evidence absent better scientific grounding.</w:t>
      </w:r>
      <w:r w:rsidRPr="00A2427B">
        <w:rPr>
          <w:sz w:val="14"/>
        </w:rPr>
        <w:t xml:space="preserve"> B. Rule 416: A New Special Relevance Rule In light of the above discussion, </w:t>
      </w:r>
      <w:r w:rsidRPr="00A2427B">
        <w:rPr>
          <w:rStyle w:val="Emphasis"/>
        </w:rPr>
        <w:t>this Note proposes a new rule barring prosecutors from introducing non-DNA forensic evidence absent either a competing defense expert or a high showing of scientific validity</w:t>
      </w:r>
      <w:r w:rsidRPr="00A2427B">
        <w:rPr>
          <w:sz w:val="14"/>
        </w:rPr>
        <w:t xml:space="preserve">. </w:t>
      </w:r>
      <w:r w:rsidRPr="00A2427B">
        <w:rPr>
          <w:rStyle w:val="StyleUnderline"/>
        </w:rPr>
        <w:t>This</w:t>
      </w:r>
      <w:r w:rsidRPr="00A2427B">
        <w:rPr>
          <w:sz w:val="14"/>
        </w:rPr>
        <w:t xml:space="preserve"> rule </w:t>
      </w:r>
      <w:r w:rsidRPr="00A2427B">
        <w:rPr>
          <w:rStyle w:val="StyleUnderline"/>
        </w:rPr>
        <w:t>will ensure either that the jury has adequate context for the evidence or that the burden is placed on the proponent to prove that the evidence is scientifically valid</w:t>
      </w:r>
      <w:r w:rsidRPr="00A2427B">
        <w:rPr>
          <w:sz w:val="14"/>
        </w:rPr>
        <w:t xml:space="preserve">.107 This Section argues that, as a matter of law, </w:t>
      </w:r>
      <w:r w:rsidRPr="00A2427B">
        <w:rPr>
          <w:rStyle w:val="StyleUnderline"/>
        </w:rPr>
        <w:t>the risk of unfair prejudice from current non-DNA forensic evidence substantially outweighs its probative value</w:t>
      </w:r>
      <w:r w:rsidRPr="00A2427B">
        <w:rPr>
          <w:sz w:val="14"/>
        </w:rPr>
        <w:t xml:space="preserve">, and that the </w:t>
      </w:r>
      <w:r w:rsidRPr="00A2427B">
        <w:rPr>
          <w:rStyle w:val="StyleUnderline"/>
        </w:rPr>
        <w:t>interests of justice are not being served by allowing for judicial discretion regarding this type of evidence</w:t>
      </w:r>
      <w:r w:rsidRPr="00A2427B">
        <w:rPr>
          <w:sz w:val="14"/>
        </w:rPr>
        <w:t xml:space="preserve">. Balancing under </w:t>
      </w:r>
      <w:r w:rsidRPr="00A2427B">
        <w:rPr>
          <w:rStyle w:val="StyleUnderline"/>
        </w:rPr>
        <w:t xml:space="preserve">Rule 403 already requires assessing the probative value of the evidence in question </w:t>
      </w:r>
      <w:r w:rsidRPr="00A2427B">
        <w:rPr>
          <w:sz w:val="14"/>
        </w:rPr>
        <w:t xml:space="preserve">and then asking whether this probative value is substantially outweighed by the danger of unfair prejudice to the opposing party.108 As discussed above, </w:t>
      </w:r>
      <w:r w:rsidRPr="00A2427B">
        <w:rPr>
          <w:rStyle w:val="StyleUnderline"/>
        </w:rPr>
        <w:t>the probative value of non-DNA forensic evidence is low</w:t>
      </w:r>
      <w:r w:rsidRPr="00A2427B">
        <w:rPr>
          <w:sz w:val="14"/>
        </w:rPr>
        <w:t xml:space="preserve">.109 </w:t>
      </w:r>
      <w:r w:rsidRPr="00A2427B">
        <w:rPr>
          <w:rStyle w:val="Emphasis"/>
        </w:rPr>
        <w:t>Error rates are often not known, and when they are, they can be higher than we expect or should be comfortable with</w:t>
      </w:r>
      <w:r w:rsidRPr="00A2427B">
        <w:rPr>
          <w:sz w:val="14"/>
        </w:rPr>
        <w:t xml:space="preserve">.110 </w:t>
      </w:r>
      <w:r w:rsidRPr="00A2427B">
        <w:rPr>
          <w:rStyle w:val="StyleUnderline"/>
        </w:rPr>
        <w:t xml:space="preserve">Unlike DNA </w:t>
      </w:r>
      <w:r w:rsidRPr="00A2427B">
        <w:rPr>
          <w:sz w:val="14"/>
        </w:rPr>
        <w:t xml:space="preserve">matching, </w:t>
      </w:r>
      <w:r w:rsidRPr="00A2427B">
        <w:rPr>
          <w:rStyle w:val="StyleUnderline"/>
        </w:rPr>
        <w:t xml:space="preserve">these methods often cannot match a defendant to a crime scene. </w:t>
      </w:r>
      <w:r w:rsidRPr="00A2427B">
        <w:rPr>
          <w:sz w:val="14"/>
        </w:rPr>
        <w:t xml:space="preserve">Rather, they often can only narrow the list of possible matches. In some cases, they cannot even do this.111 On the other hand, </w:t>
      </w:r>
      <w:r w:rsidRPr="00A2427B">
        <w:rPr>
          <w:rStyle w:val="StyleUnderline"/>
        </w:rPr>
        <w:t>the risk of unfair prejudice to the defendant created by non-DNA forensic evidence is extremely high.</w:t>
      </w:r>
      <w:r w:rsidRPr="00A2427B">
        <w:rPr>
          <w:sz w:val="14"/>
        </w:rPr>
        <w:t xml:space="preserve"> </w:t>
      </w:r>
      <w:r w:rsidRPr="00A2427B">
        <w:rPr>
          <w:rStyle w:val="StyleUnderline"/>
        </w:rPr>
        <w:t>We have been attuned to</w:t>
      </w:r>
      <w:r w:rsidRPr="00A2427B">
        <w:rPr>
          <w:sz w:val="14"/>
        </w:rPr>
        <w:t xml:space="preserve"> the dangers of </w:t>
      </w:r>
      <w:r w:rsidRPr="00A2427B">
        <w:rPr>
          <w:rStyle w:val="StyleUnderline"/>
        </w:rPr>
        <w:t>juries blindly believing experts since before the adoption of the revised Rule 702</w:t>
      </w:r>
      <w:r w:rsidRPr="00A2427B">
        <w:rPr>
          <w:sz w:val="14"/>
        </w:rPr>
        <w:t>—</w:t>
      </w:r>
      <w:r w:rsidRPr="00A2427B">
        <w:rPr>
          <w:rStyle w:val="StyleUnderline"/>
        </w:rPr>
        <w:t>ensuring</w:t>
      </w:r>
      <w:r w:rsidRPr="00A2427B">
        <w:rPr>
          <w:sz w:val="14"/>
        </w:rPr>
        <w:t xml:space="preserve"> the </w:t>
      </w:r>
      <w:r w:rsidRPr="00A2427B">
        <w:rPr>
          <w:rStyle w:val="StyleUnderline"/>
        </w:rPr>
        <w:t>reliability of expert testimony that reaches juries is a key motivation for the rule itself</w:t>
      </w:r>
      <w:r w:rsidRPr="00A2427B">
        <w:rPr>
          <w:sz w:val="14"/>
        </w:rPr>
        <w:t xml:space="preserve">.112 </w:t>
      </w:r>
      <w:r w:rsidRPr="00A2427B">
        <w:rPr>
          <w:rStyle w:val="StyleUnderline"/>
        </w:rPr>
        <w:t>Add to this the credulous relationship between juries and forensics,</w:t>
      </w:r>
      <w:r w:rsidRPr="00A2427B">
        <w:rPr>
          <w:sz w:val="14"/>
        </w:rPr>
        <w:t xml:space="preserve"> and even forensic testimony with appropriate jury instructions can have prejudicial effects.113 Often </w:t>
      </w:r>
      <w:r w:rsidRPr="00A2427B">
        <w:rPr>
          <w:rStyle w:val="StyleUnderline"/>
        </w:rPr>
        <w:t>this testimony comes in even without those caveats</w:t>
      </w:r>
      <w:r w:rsidRPr="00A2427B">
        <w:rPr>
          <w:sz w:val="14"/>
        </w:rPr>
        <w:t xml:space="preserve">.114 Because forensic evidence is so prejudicial, the probative value would have to be extremely high for it to pass 403 balancing. Indeed, this is why </w:t>
      </w:r>
      <w:r w:rsidRPr="00A2427B">
        <w:rPr>
          <w:rStyle w:val="StyleUnderline"/>
        </w:rPr>
        <w:t>DNA matches pass muster under 403: the odds of a mistake are low, and the probative value of a DNA match is extremely high</w:t>
      </w:r>
      <w:r w:rsidRPr="00A2427B">
        <w:rPr>
          <w:sz w:val="14"/>
        </w:rPr>
        <w:t xml:space="preserve">.115 </w:t>
      </w:r>
      <w:r w:rsidRPr="00A2427B">
        <w:rPr>
          <w:rStyle w:val="StyleUnderline"/>
        </w:rPr>
        <w:t>We do not see that</w:t>
      </w:r>
      <w:r w:rsidRPr="00A2427B">
        <w:rPr>
          <w:sz w:val="14"/>
        </w:rPr>
        <w:t xml:space="preserve"> kind of probative value </w:t>
      </w:r>
      <w:r w:rsidRPr="00A2427B">
        <w:rPr>
          <w:rStyle w:val="StyleUnderline"/>
        </w:rPr>
        <w:t>with non-DNA forensic evidence</w:t>
      </w:r>
      <w:r w:rsidRPr="00A2427B">
        <w:rPr>
          <w:sz w:val="14"/>
        </w:rPr>
        <w:t xml:space="preserve">, and so, as a matter of law, the probative value we do see is substantially outweighed by the danger of unfair prejudice. </w:t>
      </w:r>
      <w:r w:rsidRPr="00A2427B">
        <w:rPr>
          <w:rStyle w:val="Emphasis"/>
        </w:rPr>
        <w:t>To cabin judicial discretion to admit this type of evidence</w:t>
      </w:r>
      <w:r w:rsidRPr="00A2427B">
        <w:rPr>
          <w:sz w:val="14"/>
        </w:rPr>
        <w:t xml:space="preserve">, </w:t>
      </w:r>
      <w:r w:rsidRPr="00A2427B">
        <w:rPr>
          <w:rStyle w:val="StyleUnderline"/>
        </w:rPr>
        <w:t>this Note proposes the following special relevance rule</w:t>
      </w:r>
      <w:r w:rsidRPr="00A2427B">
        <w:rPr>
          <w:sz w:val="14"/>
        </w:rPr>
        <w:t xml:space="preserve">: </w:t>
      </w:r>
      <w:r w:rsidRPr="00A2427B">
        <w:rPr>
          <w:rStyle w:val="StyleUnderline"/>
        </w:rPr>
        <w:t xml:space="preserve">Rule 416: Non-DNA Forensic Evidence in Criminal Trials </w:t>
      </w:r>
      <w:r w:rsidRPr="00A2427B">
        <w:rPr>
          <w:sz w:val="14"/>
        </w:rPr>
        <w:t>(a) Definitions: (1) “</w:t>
      </w:r>
      <w:r w:rsidRPr="00A2427B">
        <w:rPr>
          <w:rStyle w:val="StyleUnderline"/>
        </w:rPr>
        <w:t>Non-DNA forensic evidence</w:t>
      </w:r>
      <w:r w:rsidRPr="00A2427B">
        <w:rPr>
          <w:sz w:val="14"/>
        </w:rPr>
        <w:t xml:space="preserve">” shall include the results of a comparative test meant to identify a suspect, to identify material relevant in a criminal proceeding, or to match material relevant in a criminal proceeding to a suspect, aside from results that pertain to the use of genetic material to identify a suspect. (2) These tests include, but are not limited to: hair-match analysis, bitemark comparisons, ballistics matching, fingerprint matching, arson analysis, firearm identification, and toolmark identification. (b) </w:t>
      </w:r>
      <w:r w:rsidRPr="00A2427B">
        <w:rPr>
          <w:rStyle w:val="StyleUnderline"/>
        </w:rPr>
        <w:t>The prosecution</w:t>
      </w:r>
      <w:r w:rsidRPr="00A2427B">
        <w:rPr>
          <w:sz w:val="14"/>
        </w:rPr>
        <w:t xml:space="preserve"> </w:t>
      </w:r>
      <w:r w:rsidRPr="00A2427B">
        <w:rPr>
          <w:rStyle w:val="StyleUnderline"/>
        </w:rPr>
        <w:t>shall not be permitted to introduce non-DNA forensic matching in criminal proceedings unless the method has gained acceptance in the relevant academic science community comparable to that enjoyed by DNA evidence</w:t>
      </w:r>
      <w:r w:rsidRPr="00A2427B">
        <w:rPr>
          <w:sz w:val="14"/>
        </w:rPr>
        <w:t xml:space="preserve"> for the purposes for which it is being admitted. (c) Exception: </w:t>
      </w:r>
      <w:r w:rsidRPr="00A2427B">
        <w:rPr>
          <w:rStyle w:val="StyleUnderline"/>
        </w:rPr>
        <w:t>The prosecution can introduce non-DNA forensic evidence if the defense presents a competing expert speaking to the evidence to be introduced</w:t>
      </w:r>
      <w:r w:rsidRPr="00A2427B">
        <w:rPr>
          <w:sz w:val="14"/>
        </w:rPr>
        <w:t xml:space="preserve">. </w:t>
      </w:r>
      <w:r w:rsidRPr="00A2427B">
        <w:rPr>
          <w:rStyle w:val="StyleUnderline"/>
        </w:rPr>
        <w:t>In the absence of a competing defense expert</w:t>
      </w:r>
      <w:r w:rsidRPr="00A2427B">
        <w:rPr>
          <w:sz w:val="14"/>
        </w:rPr>
        <w:t xml:space="preserve"> to provide context to the jury, </w:t>
      </w:r>
      <w:r w:rsidRPr="00A2427B">
        <w:rPr>
          <w:rStyle w:val="StyleUnderline"/>
        </w:rPr>
        <w:t>this rule bars the admission of hair match, bitemark, fiber analysis, and other similar test results until and unless proponents of this type of evidence can get credentialed scientists to conduct rigorous peer-reviewed studies demonstrating validity to a high degree of certainty</w:t>
      </w:r>
      <w:r w:rsidRPr="00A2427B">
        <w:rPr>
          <w:sz w:val="14"/>
        </w:rPr>
        <w:t xml:space="preserve">. </w:t>
      </w:r>
      <w:r w:rsidRPr="00A2427B">
        <w:rPr>
          <w:rStyle w:val="StyleUnderline"/>
        </w:rPr>
        <w:t>For many forensic tests</w:t>
      </w:r>
      <w:r w:rsidRPr="00A2427B">
        <w:rPr>
          <w:sz w:val="14"/>
        </w:rPr>
        <w:t>— for example, bitemark analysis—</w:t>
      </w:r>
      <w:r w:rsidRPr="00A2427B">
        <w:rPr>
          <w:rStyle w:val="StyleUnderline"/>
        </w:rPr>
        <w:t>reaching this level of support is unlikely</w:t>
      </w:r>
      <w:r w:rsidRPr="00A2427B">
        <w:rPr>
          <w:sz w:val="14"/>
        </w:rPr>
        <w:t xml:space="preserve">.116 For others, such as fingerprints, </w:t>
      </w:r>
      <w:r w:rsidRPr="00A2427B">
        <w:rPr>
          <w:rStyle w:val="StyleUnderline"/>
        </w:rPr>
        <w:t>additional testing could firm up the understanding of error rates.</w:t>
      </w:r>
      <w:r w:rsidRPr="00A2427B">
        <w:rPr>
          <w:sz w:val="14"/>
        </w:rPr>
        <w:t xml:space="preserve">117 </w:t>
      </w:r>
      <w:r w:rsidRPr="00A2427B">
        <w:rPr>
          <w:rStyle w:val="StyleUnderline"/>
        </w:rPr>
        <w:t>The goal</w:t>
      </w:r>
      <w:r w:rsidRPr="00A2427B">
        <w:rPr>
          <w:sz w:val="14"/>
        </w:rPr>
        <w:t xml:space="preserve"> here </w:t>
      </w:r>
      <w:r w:rsidRPr="00A2427B">
        <w:rPr>
          <w:rStyle w:val="StyleUnderline"/>
        </w:rPr>
        <w:t>is to admit only evidence that reaches DNA-levels of reliability:</w:t>
      </w:r>
      <w:r w:rsidRPr="00A2427B">
        <w:rPr>
          <w:sz w:val="14"/>
        </w:rPr>
        <w:t xml:space="preserve"> liberty should not be restricted on the basis of less. </w:t>
      </w:r>
      <w:r w:rsidRPr="00A2427B">
        <w:rPr>
          <w:rStyle w:val="StyleUnderline"/>
        </w:rPr>
        <w:t>This rule is limited to criminal proceedings</w:t>
      </w:r>
      <w:r w:rsidRPr="00A2427B">
        <w:rPr>
          <w:sz w:val="14"/>
        </w:rPr>
        <w:t xml:space="preserve">, since as discussed above, </w:t>
      </w:r>
      <w:r w:rsidRPr="00A2427B">
        <w:rPr>
          <w:rStyle w:val="StyleUnderline"/>
        </w:rPr>
        <w:t>the adversarial process and judicial gatekeeping seem to function better in civil contexts</w:t>
      </w:r>
      <w:r w:rsidRPr="00A2427B">
        <w:rPr>
          <w:sz w:val="14"/>
        </w:rPr>
        <w:t xml:space="preserve">,118 making outright exclusion unwarranted there. </w:t>
      </w:r>
      <w:r w:rsidRPr="00A2427B">
        <w:rPr>
          <w:rStyle w:val="StyleUnderline"/>
        </w:rPr>
        <w:t>The list of examples</w:t>
      </w:r>
      <w:r w:rsidRPr="00A2427B">
        <w:rPr>
          <w:sz w:val="14"/>
        </w:rPr>
        <w:t xml:space="preserve"> provided in 416(a)(2) is not exhaustive and </w:t>
      </w:r>
      <w:r w:rsidRPr="00A2427B">
        <w:rPr>
          <w:rStyle w:val="StyleUnderline"/>
        </w:rPr>
        <w:t>should be extended</w:t>
      </w:r>
      <w:r w:rsidRPr="00A2427B">
        <w:rPr>
          <w:sz w:val="14"/>
        </w:rPr>
        <w:t xml:space="preserve"> by analogy </w:t>
      </w:r>
      <w:r w:rsidRPr="00A2427B">
        <w:rPr>
          <w:rStyle w:val="StyleUnderline"/>
        </w:rPr>
        <w:t>to exclude new forensic tests that have not yet reached the requisite level of evidentiary support</w:t>
      </w:r>
      <w:r w:rsidRPr="00A2427B">
        <w:rPr>
          <w:sz w:val="14"/>
        </w:rPr>
        <w:t xml:space="preserve">. </w:t>
      </w:r>
      <w:r w:rsidRPr="00A2427B">
        <w:rPr>
          <w:rStyle w:val="StyleUnderline"/>
        </w:rPr>
        <w:t>This proposed rule explicitly requires that the general acceptance component</w:t>
      </w:r>
      <w:r w:rsidRPr="00A2427B">
        <w:rPr>
          <w:sz w:val="14"/>
        </w:rPr>
        <w:t xml:space="preserve"> of the inquiry </w:t>
      </w:r>
      <w:r w:rsidRPr="00A2427B">
        <w:rPr>
          <w:rStyle w:val="StyleUnderline"/>
        </w:rPr>
        <w:t>be carried out with respect to academic science communities</w:t>
      </w:r>
      <w:r w:rsidRPr="00A2427B">
        <w:rPr>
          <w:sz w:val="14"/>
        </w:rPr>
        <w:t xml:space="preserve">, </w:t>
      </w:r>
      <w:r w:rsidRPr="00A2427B">
        <w:rPr>
          <w:rStyle w:val="StyleUnderline"/>
        </w:rPr>
        <w:t>not</w:t>
      </w:r>
      <w:r w:rsidRPr="00A2427B">
        <w:rPr>
          <w:sz w:val="14"/>
        </w:rPr>
        <w:t xml:space="preserve"> to </w:t>
      </w:r>
      <w:r w:rsidRPr="00A2427B">
        <w:rPr>
          <w:rStyle w:val="StyleUnderline"/>
        </w:rPr>
        <w:t>groups of forensic science practitioners.</w:t>
      </w:r>
      <w:r w:rsidRPr="00A2427B">
        <w:rPr>
          <w:sz w:val="14"/>
        </w:rPr>
        <w:t xml:space="preserve"> The explicit </w:t>
      </w:r>
      <w:r w:rsidRPr="00A2427B">
        <w:rPr>
          <w:rStyle w:val="StyleUnderline"/>
        </w:rPr>
        <w:t>reference to academic scientists in the rule permits challenges to forensic evidence only if the thinking in those communities changes</w:t>
      </w:r>
      <w:r w:rsidRPr="00A2427B">
        <w:rPr>
          <w:sz w:val="14"/>
        </w:rPr>
        <w:t xml:space="preserve"> and once-accepted methods become discredited. The inquiry into whether a forensic test has reached the threshold for admission will resemble the inquiry mandated by </w:t>
      </w:r>
      <w:r w:rsidRPr="00A2427B">
        <w:rPr>
          <w:rStyle w:val="StyleUnderline"/>
        </w:rPr>
        <w:t>Daubert</w:t>
      </w:r>
      <w:r w:rsidRPr="00A2427B">
        <w:rPr>
          <w:sz w:val="14"/>
        </w:rPr>
        <w:t xml:space="preserve"> that </w:t>
      </w:r>
      <w:r w:rsidRPr="00A2427B">
        <w:rPr>
          <w:rStyle w:val="StyleUnderline"/>
        </w:rPr>
        <w:t>has proved difficult to conduct</w:t>
      </w:r>
      <w:r w:rsidRPr="00A2427B">
        <w:rPr>
          <w:sz w:val="14"/>
        </w:rPr>
        <w:t xml:space="preserve">. The difference is that </w:t>
      </w:r>
      <w:r w:rsidRPr="00A2427B">
        <w:rPr>
          <w:rStyle w:val="StyleUnderline"/>
        </w:rPr>
        <w:t>the new rule requires an explicit comparison to the amount of testing, level of peer review, understanding of error rates, presence of standard maintenance, and level of general acceptance for DNA matching evidence, and so it gives judges an objective benchmark against which to evaluate the evidence in question</w:t>
      </w:r>
      <w:r w:rsidRPr="00A2427B">
        <w:rPr>
          <w:sz w:val="14"/>
        </w:rPr>
        <w:t xml:space="preserve">. To guard against any judicial tendency to claim reliability where there is none, appellate courts should review the admissions de novo. </w:t>
      </w:r>
      <w:r w:rsidRPr="00A2427B">
        <w:rPr>
          <w:rStyle w:val="StyleUnderline"/>
        </w:rPr>
        <w:t>Requiring a default, intentionally high, threshold showing from the proponent, intense scrutiny on appeal, and the existence of an actual objective benchmark should ensure greater rigor in the admission of problematic forensic testimony for the purposes of conviction</w:t>
      </w:r>
      <w:r w:rsidRPr="00A2427B">
        <w:rPr>
          <w:sz w:val="14"/>
        </w:rPr>
        <w:t xml:space="preserve">. </w:t>
      </w:r>
      <w:r w:rsidRPr="00A2427B">
        <w:rPr>
          <w:rStyle w:val="StyleUnderline"/>
        </w:rPr>
        <w:t>The defense is given</w:t>
      </w:r>
      <w:r w:rsidRPr="00A2427B">
        <w:rPr>
          <w:sz w:val="14"/>
        </w:rPr>
        <w:t xml:space="preserve"> considerably </w:t>
      </w:r>
      <w:r w:rsidRPr="00A2427B">
        <w:rPr>
          <w:rStyle w:val="StyleUnderline"/>
        </w:rPr>
        <w:t>more latitude in evidence it can introduce to a jury</w:t>
      </w:r>
      <w:r w:rsidRPr="00A2427B">
        <w:rPr>
          <w:sz w:val="14"/>
        </w:rPr>
        <w:t xml:space="preserve">, parallel to Rules 404(a)(2)(A)–(C) discussed below, </w:t>
      </w:r>
      <w:r w:rsidRPr="00A2427B">
        <w:rPr>
          <w:rStyle w:val="StyleUnderline"/>
        </w:rPr>
        <w:t xml:space="preserve">because less reliable evidence may still introduce reasonable doubt. </w:t>
      </w:r>
      <w:r w:rsidRPr="00A2427B">
        <w:rPr>
          <w:sz w:val="14"/>
        </w:rPr>
        <w:t xml:space="preserve">C. Parallels in Existing Evidence Rules </w:t>
      </w:r>
      <w:r w:rsidRPr="00A2427B">
        <w:rPr>
          <w:rStyle w:val="StyleUnderline"/>
        </w:rPr>
        <w:t>All parts of this</w:t>
      </w:r>
      <w:r w:rsidRPr="00A2427B">
        <w:rPr>
          <w:sz w:val="14"/>
        </w:rPr>
        <w:t xml:space="preserve"> proposed </w:t>
      </w:r>
      <w:r w:rsidRPr="00A2427B">
        <w:rPr>
          <w:rStyle w:val="StyleUnderline"/>
        </w:rPr>
        <w:t>rule have precedent in existing parts of the federal evidence code</w:t>
      </w:r>
      <w:r w:rsidRPr="00A2427B">
        <w:rPr>
          <w:sz w:val="14"/>
        </w:rPr>
        <w:t xml:space="preserve">, and </w:t>
      </w:r>
      <w:r w:rsidRPr="00A2427B">
        <w:rPr>
          <w:rStyle w:val="StyleUnderline"/>
        </w:rPr>
        <w:t xml:space="preserve">this rule is an extension of principles and concerns already at play in other parts of the code. </w:t>
      </w:r>
      <w:r w:rsidRPr="00A2427B">
        <w:rPr>
          <w:sz w:val="14"/>
        </w:rPr>
        <w:t xml:space="preserve">While removing judicial discretion seems counter to the principles of a liberal evidence code, Congress has on multiple occasions decided to do precisely this. Several evidence rules create different standards for civil and criminal contexts, with the understanding that criminal conviction carries with it serious penalties, including loss of life, restriction of liberty, disenfranchisement,119 and difficulty in obtaining employment.120 There is thus a recognition that evidentiary rules are sometimes different in criminal proceedings than in civil proceedings. For example, Rule 404(a)(2)(A)–(C)121 allows criminal defendants wider latitude in introducing certain types of character evidence than the government, with the understanding that character evidence may sow the seed of reasonable doubt. Similarly, Rule 803(8)(A)(ii) permits the admission of public records that otherwise would be considered hearsay, unless that record was made by a law enforcement officer under the duty to report in a criminal case. To preserve the defendant’s rights, that report cannot be admitted without the officer present for cross-examination.122 The federal evidence code is familiar with making different rules for civil and criminal contexts, as the proposed Rule 416 would do. Under Rule 410, evidence of pleas, plea discussions, and related statements are not admissible except under narrow circumstances.123 The rationale behind this exclusion is in part to protect criminal defendants from what would be the admission of extremely prejudicial evidence against them (statements made during plea negotiations) even though the probative value of these statements might be very high. The proposed new rule would bar similarly prejudicial evidence that has a far lower likely probative value than statements excluded under Rule 410; the goal of protecting criminal defendants is the same. Likewise, there are several instances in the federal evidence code in which evidence fails 403 balancing as a matter of law. Rules 407,124 408,125 409,126 and 411127 each categorically bar the admission of subsequent remedial measures, compromise offers and negotiations, offers to pay medical expenses, and the presence/absence of liability insurance, respectively, for the purposes of showing liability (although this type of evidence is admissible for other purposes). The drafters of the Federal Rules of Evidence chose to remove judicial discretion in these instances; even relevant evidence is per se inadmissible for the purposes of showing liability. </w:t>
      </w:r>
      <w:r w:rsidRPr="00A2427B">
        <w:rPr>
          <w:rStyle w:val="StyleUnderline"/>
        </w:rPr>
        <w:t>The prejudicial effect on juries is simply too high when weighed against the minimal probative value this evidence provides for the proscribed purposes.128</w:t>
      </w:r>
    </w:p>
    <w:p w14:paraId="04C157DF" w14:textId="77777777" w:rsidR="00ED73E1" w:rsidRPr="00A2427B" w:rsidRDefault="00ED73E1" w:rsidP="00ED73E1">
      <w:pPr>
        <w:pStyle w:val="Heading4"/>
      </w:pPr>
      <w:r w:rsidRPr="00A2427B">
        <w:t>Daubert alone cannot solve – resource disparities in criminal defense cases and “experts” manipulating testimony make judicial bias inevitable and guarantee false convictions</w:t>
      </w:r>
    </w:p>
    <w:p w14:paraId="0854CC39" w14:textId="77777777" w:rsidR="00ED73E1" w:rsidRPr="00A2427B" w:rsidRDefault="00ED73E1" w:rsidP="00ED73E1">
      <w:pPr>
        <w:rPr>
          <w:sz w:val="16"/>
          <w:szCs w:val="16"/>
        </w:rPr>
      </w:pPr>
      <w:r w:rsidRPr="00A2427B">
        <w:rPr>
          <w:rStyle w:val="Style13ptBold"/>
        </w:rPr>
        <w:t xml:space="preserve">Sangero 18 </w:t>
      </w:r>
      <w:r w:rsidRPr="00A2427B">
        <w:rPr>
          <w:sz w:val="16"/>
          <w:szCs w:val="16"/>
        </w:rPr>
        <w:t xml:space="preserve">Boaz Sangero, Safety from Flawed Forensic Sciences Evidence, 34 Ga. St. U. L. Rev. 1129 (2018). Available at: </w:t>
      </w:r>
      <w:hyperlink r:id="rId34" w:history="1">
        <w:r w:rsidRPr="00A2427B">
          <w:rPr>
            <w:rStyle w:val="Hyperlink"/>
            <w:sz w:val="16"/>
            <w:szCs w:val="16"/>
          </w:rPr>
          <w:t>https://readingroom.law.gsu.edu/gsulr/vol34/iss4/8</w:t>
        </w:r>
      </w:hyperlink>
      <w:r w:rsidRPr="00A2427B">
        <w:rPr>
          <w:sz w:val="16"/>
          <w:szCs w:val="16"/>
        </w:rPr>
        <w:t xml:space="preserve"> dw</w:t>
      </w:r>
    </w:p>
    <w:p w14:paraId="382B61C0" w14:textId="77777777" w:rsidR="00ED73E1" w:rsidRPr="00A2427B" w:rsidRDefault="00ED73E1" w:rsidP="00ED73E1">
      <w:pPr>
        <w:rPr>
          <w:rStyle w:val="StyleUnderline"/>
          <w:sz w:val="14"/>
          <w:u w:val="none"/>
        </w:rPr>
      </w:pPr>
      <w:r w:rsidRPr="00A2427B">
        <w:rPr>
          <w:rStyle w:val="StyleUnderline"/>
        </w:rPr>
        <w:t>One</w:t>
      </w:r>
      <w:r w:rsidRPr="00A2427B">
        <w:rPr>
          <w:rStyle w:val="StyleUnderline"/>
          <w:sz w:val="14"/>
          <w:u w:val="none"/>
        </w:rPr>
        <w:t xml:space="preserve"> central </w:t>
      </w:r>
      <w:r w:rsidRPr="00A2427B">
        <w:rPr>
          <w:rStyle w:val="StyleUnderline"/>
        </w:rPr>
        <w:t xml:space="preserve">problem is that some of the types of evidence submitted </w:t>
      </w:r>
      <w:r w:rsidRPr="00A2427B">
        <w:rPr>
          <w:sz w:val="14"/>
        </w:rPr>
        <w:t>in the past</w:t>
      </w:r>
      <w:r w:rsidRPr="00A2427B">
        <w:rPr>
          <w:rStyle w:val="StyleUnderline"/>
        </w:rPr>
        <w:t xml:space="preserve"> to the court</w:t>
      </w:r>
      <w:r w:rsidRPr="00A2427B">
        <w:rPr>
          <w:rStyle w:val="StyleUnderline"/>
          <w:sz w:val="14"/>
          <w:u w:val="none"/>
        </w:rPr>
        <w:t>—and, in some cases, that continue to be presented—</w:t>
      </w:r>
      <w:r w:rsidRPr="00A2427B">
        <w:rPr>
          <w:rStyle w:val="StyleUnderline"/>
        </w:rPr>
        <w:t>are based on forensic methods and techniques that are entirely unreliable</w:t>
      </w:r>
      <w:r w:rsidRPr="00A2427B">
        <w:rPr>
          <w:rStyle w:val="StyleUnderline"/>
          <w:sz w:val="14"/>
          <w:u w:val="none"/>
        </w:rPr>
        <w:t xml:space="preserve">, such as microscopical </w:t>
      </w:r>
      <w:r w:rsidRPr="00A2427B">
        <w:rPr>
          <w:rStyle w:val="StyleUnderline"/>
        </w:rPr>
        <w:t>comparisons of hair</w:t>
      </w:r>
      <w:r w:rsidRPr="00A2427B">
        <w:rPr>
          <w:rStyle w:val="StyleUnderline"/>
          <w:sz w:val="14"/>
          <w:u w:val="none"/>
        </w:rPr>
        <w:t xml:space="preserve">, </w:t>
      </w:r>
      <w:r w:rsidRPr="00A2427B">
        <w:rPr>
          <w:rStyle w:val="StyleUnderline"/>
        </w:rPr>
        <w:t>bite marks</w:t>
      </w:r>
      <w:r w:rsidRPr="00A2427B">
        <w:rPr>
          <w:rStyle w:val="StyleUnderline"/>
          <w:sz w:val="14"/>
          <w:u w:val="none"/>
        </w:rPr>
        <w:t xml:space="preserve"> on the skin, </w:t>
      </w:r>
      <w:r w:rsidRPr="00A2427B">
        <w:rPr>
          <w:rStyle w:val="StyleUnderline"/>
        </w:rPr>
        <w:t>shoeprints, and voiceprints</w:t>
      </w:r>
      <w:r w:rsidRPr="00A2427B">
        <w:rPr>
          <w:rStyle w:val="StyleUnderline"/>
          <w:sz w:val="14"/>
          <w:u w:val="none"/>
        </w:rPr>
        <w:t xml:space="preserve">.361 As clarified in the 2009 NAS Report, and as many scientists have cautioned in their work, </w:t>
      </w:r>
      <w:r w:rsidRPr="00A2427B">
        <w:rPr>
          <w:rStyle w:val="StyleUnderline"/>
        </w:rPr>
        <w:t>these identification methods have no scientific grounding</w:t>
      </w:r>
      <w:r w:rsidRPr="00A2427B">
        <w:rPr>
          <w:rStyle w:val="StyleUnderline"/>
          <w:sz w:val="14"/>
          <w:u w:val="none"/>
        </w:rPr>
        <w:t xml:space="preserve">, are not based on data, </w:t>
      </w:r>
      <w:r w:rsidRPr="00A2427B">
        <w:rPr>
          <w:rStyle w:val="StyleUnderline"/>
        </w:rPr>
        <w:t>and are unreliable</w:t>
      </w:r>
      <w:r w:rsidRPr="00A2427B">
        <w:rPr>
          <w:rStyle w:val="StyleUnderline"/>
          <w:sz w:val="14"/>
          <w:u w:val="none"/>
        </w:rPr>
        <w:t xml:space="preserve">.362 </w:t>
      </w:r>
      <w:r w:rsidRPr="00A2427B">
        <w:rPr>
          <w:rStyle w:val="StyleUnderline"/>
        </w:rPr>
        <w:t>A second central problem is that the data collected</w:t>
      </w:r>
      <w:r w:rsidRPr="00A2427B">
        <w:rPr>
          <w:rStyle w:val="StyleUnderline"/>
          <w:sz w:val="14"/>
          <w:u w:val="none"/>
        </w:rPr>
        <w:t xml:space="preserve"> in the framework of the Innocence Project revealed that </w:t>
      </w:r>
      <w:r w:rsidRPr="00A2427B">
        <w:rPr>
          <w:rStyle w:val="StyleUnderline"/>
        </w:rPr>
        <w:t>the majority</w:t>
      </w:r>
      <w:r w:rsidRPr="00A2427B">
        <w:rPr>
          <w:rStyle w:val="StyleUnderline"/>
          <w:sz w:val="14"/>
          <w:u w:val="none"/>
        </w:rPr>
        <w:t xml:space="preserve"> (61%) </w:t>
      </w:r>
      <w:r w:rsidRPr="00A2427B">
        <w:rPr>
          <w:rStyle w:val="StyleUnderline"/>
        </w:rPr>
        <w:t>of expert testimony</w:t>
      </w:r>
      <w:r w:rsidRPr="00A2427B">
        <w:rPr>
          <w:rStyle w:val="StyleUnderline"/>
          <w:sz w:val="14"/>
          <w:u w:val="none"/>
        </w:rPr>
        <w:t xml:space="preserve"> </w:t>
      </w:r>
      <w:r w:rsidRPr="00A2427B">
        <w:rPr>
          <w:rStyle w:val="StyleUnderline"/>
        </w:rPr>
        <w:t>for the prosecution in cases with false convictions was invalid and faulty</w:t>
      </w:r>
      <w:r w:rsidRPr="00A2427B">
        <w:rPr>
          <w:rStyle w:val="StyleUnderline"/>
          <w:sz w:val="14"/>
          <w:u w:val="none"/>
        </w:rPr>
        <w:t xml:space="preserve">; the experts had presented the findings of the tests that they had performed misleadingly and erroneously and had arrived at conclusions in an unscientific manner.363 </w:t>
      </w:r>
      <w:r w:rsidRPr="00A2427B">
        <w:rPr>
          <w:rStyle w:val="StyleUnderline"/>
        </w:rPr>
        <w:t>This was the case with regard to both the unreliable types of evidence discussed above as well as reliable scientific evidence</w:t>
      </w:r>
      <w:r w:rsidRPr="00A2427B">
        <w:rPr>
          <w:rStyle w:val="StyleUnderline"/>
          <w:sz w:val="14"/>
          <w:u w:val="none"/>
        </w:rPr>
        <w:t xml:space="preserve">, </w:t>
      </w:r>
      <w:r w:rsidRPr="00A2427B">
        <w:rPr>
          <w:rStyle w:val="StyleUnderline"/>
        </w:rPr>
        <w:t>such as DNA comparisons and serological blood type tests</w:t>
      </w:r>
      <w:r w:rsidRPr="00A2427B">
        <w:rPr>
          <w:rStyle w:val="StyleUnderline"/>
          <w:sz w:val="14"/>
          <w:u w:val="none"/>
        </w:rPr>
        <w:t xml:space="preserve">.364 </w:t>
      </w:r>
      <w:r w:rsidRPr="00A2427B">
        <w:rPr>
          <w:rStyle w:val="StyleUnderline"/>
        </w:rPr>
        <w:t>Common</w:t>
      </w:r>
      <w:r w:rsidRPr="00A2427B">
        <w:rPr>
          <w:rStyle w:val="StyleUnderline"/>
          <w:sz w:val="14"/>
          <w:u w:val="none"/>
        </w:rPr>
        <w:t xml:space="preserve"> to the experts’ errors in their testimonies </w:t>
      </w:r>
      <w:r w:rsidRPr="00A2427B">
        <w:rPr>
          <w:rStyle w:val="StyleUnderline"/>
        </w:rPr>
        <w:t xml:space="preserve">was their biased presentation of the forensic evidence as stronger than it truly was in reality.365 According to Daubert, judges are supposed to be “gatekeepers,” </w:t>
      </w:r>
      <w:r w:rsidRPr="00A2427B">
        <w:rPr>
          <w:rStyle w:val="StyleUnderline"/>
          <w:sz w:val="14"/>
          <w:u w:val="none"/>
        </w:rPr>
        <w:t xml:space="preserve">preventing entry into the courtroom of evidence that is not scientifically reliable or valid. However, </w:t>
      </w:r>
      <w:r w:rsidRPr="00A2427B">
        <w:rPr>
          <w:rStyle w:val="StyleUnderline"/>
        </w:rPr>
        <w:t>in reality, usually only the prosecution succeeds in submitting an expert opinion</w:t>
      </w:r>
      <w:r w:rsidRPr="00A2427B">
        <w:rPr>
          <w:rStyle w:val="StyleUnderline"/>
          <w:sz w:val="14"/>
          <w:u w:val="none"/>
        </w:rPr>
        <w:t>—</w:t>
      </w:r>
      <w:r w:rsidRPr="00A2427B">
        <w:rPr>
          <w:rStyle w:val="StyleUnderline"/>
        </w:rPr>
        <w:t>which is</w:t>
      </w:r>
      <w:r w:rsidRPr="00A2427B">
        <w:rPr>
          <w:rStyle w:val="StyleUnderline"/>
          <w:sz w:val="14"/>
          <w:u w:val="none"/>
        </w:rPr>
        <w:t xml:space="preserve"> most often </w:t>
      </w:r>
      <w:r w:rsidRPr="00A2427B">
        <w:rPr>
          <w:rStyle w:val="StyleUnderline"/>
        </w:rPr>
        <w:t>incriminating</w:t>
      </w:r>
      <w:r w:rsidRPr="00A2427B">
        <w:rPr>
          <w:rStyle w:val="StyleUnderline"/>
          <w:sz w:val="14"/>
          <w:u w:val="none"/>
        </w:rPr>
        <w:t>—</w:t>
      </w:r>
      <w:r w:rsidRPr="00A2427B">
        <w:rPr>
          <w:rStyle w:val="StyleUnderline"/>
        </w:rPr>
        <w:t xml:space="preserve">because defendants lack the necessary resources </w:t>
      </w:r>
      <w:r w:rsidRPr="00A2427B">
        <w:rPr>
          <w:rStyle w:val="StyleUnderline"/>
          <w:sz w:val="14"/>
          <w:u w:val="none"/>
        </w:rPr>
        <w:t xml:space="preserve">to submit expert opinions in their favor. Because </w:t>
      </w:r>
      <w:r w:rsidRPr="00A2427B">
        <w:rPr>
          <w:rStyle w:val="StyleUnderline"/>
        </w:rPr>
        <w:t xml:space="preserve">judges do not have expertise in all of the </w:t>
      </w:r>
      <w:r w:rsidRPr="00A2427B">
        <w:rPr>
          <w:rStyle w:val="StyleUnderline"/>
          <w:sz w:val="14"/>
          <w:u w:val="none"/>
        </w:rPr>
        <w:t xml:space="preserve">scientific or pseudoscientific </w:t>
      </w:r>
      <w:r w:rsidRPr="00A2427B">
        <w:rPr>
          <w:rStyle w:val="StyleUnderline"/>
        </w:rPr>
        <w:t>fields</w:t>
      </w:r>
      <w:r w:rsidRPr="00A2427B">
        <w:rPr>
          <w:rStyle w:val="StyleUnderline"/>
          <w:sz w:val="14"/>
          <w:u w:val="none"/>
        </w:rPr>
        <w:t xml:space="preserve"> presented to them, </w:t>
      </w:r>
      <w:r w:rsidRPr="00A2427B">
        <w:rPr>
          <w:rStyle w:val="StyleUnderline"/>
        </w:rPr>
        <w:t>they are often misled by the prosecution’s biased expert opinion,</w:t>
      </w:r>
      <w:r w:rsidRPr="00A2427B">
        <w:rPr>
          <w:rStyle w:val="StyleUnderline"/>
          <w:sz w:val="14"/>
          <w:u w:val="none"/>
        </w:rPr>
        <w:t xml:space="preserve"> whereas </w:t>
      </w:r>
      <w:r w:rsidRPr="00A2427B">
        <w:rPr>
          <w:rStyle w:val="StyleUnderline"/>
        </w:rPr>
        <w:t>the defense attorney lacks the tools for refuting it.</w:t>
      </w:r>
      <w:r w:rsidRPr="00A2427B">
        <w:rPr>
          <w:rStyle w:val="StyleUnderline"/>
          <w:sz w:val="14"/>
          <w:u w:val="none"/>
        </w:rPr>
        <w:t xml:space="preserve"> It is interesting to note that </w:t>
      </w:r>
      <w:r w:rsidRPr="00A2427B">
        <w:rPr>
          <w:rStyle w:val="StyleUnderline"/>
        </w:rPr>
        <w:t>in civil trials</w:t>
      </w:r>
      <w:r w:rsidRPr="00A2427B">
        <w:rPr>
          <w:rStyle w:val="StyleUnderline"/>
          <w:sz w:val="14"/>
          <w:u w:val="none"/>
        </w:rPr>
        <w:t>, especially tort lawsuits—</w:t>
      </w:r>
      <w:r w:rsidRPr="00A2427B">
        <w:rPr>
          <w:rStyle w:val="StyleUnderline"/>
        </w:rPr>
        <w:t>which</w:t>
      </w:r>
      <w:r w:rsidRPr="00A2427B">
        <w:rPr>
          <w:rStyle w:val="StyleUnderline"/>
          <w:sz w:val="14"/>
          <w:u w:val="none"/>
        </w:rPr>
        <w:t xml:space="preserve"> never involve capital cases or human liberty and </w:t>
      </w:r>
      <w:r w:rsidRPr="00A2427B">
        <w:rPr>
          <w:rStyle w:val="StyleUnderline"/>
        </w:rPr>
        <w:t>tend to revolve solely around matters of money</w:t>
      </w:r>
      <w:r w:rsidRPr="00A2427B">
        <w:rPr>
          <w:rStyle w:val="StyleUnderline"/>
          <w:sz w:val="14"/>
          <w:u w:val="none"/>
        </w:rPr>
        <w:t>—judg</w:t>
      </w:r>
      <w:r w:rsidRPr="00A2427B">
        <w:rPr>
          <w:rStyle w:val="StyleUnderline"/>
        </w:rPr>
        <w:t>es delve far more deeply into the evidence presented as scientific, and in practice, actually function as gatekeepers and prevent junk science from being admitted</w:t>
      </w:r>
      <w:r w:rsidRPr="00A2427B">
        <w:rPr>
          <w:rStyle w:val="StyleUnderline"/>
          <w:sz w:val="14"/>
          <w:u w:val="none"/>
        </w:rPr>
        <w:t xml:space="preserve"> at trial. How does this happen? </w:t>
      </w:r>
      <w:r w:rsidRPr="00A2427B">
        <w:rPr>
          <w:rStyle w:val="StyleUnderline"/>
        </w:rPr>
        <w:t>In civil law,</w:t>
      </w:r>
      <w:r w:rsidRPr="00A2427B">
        <w:rPr>
          <w:rStyle w:val="StyleUnderline"/>
          <w:sz w:val="14"/>
          <w:u w:val="none"/>
        </w:rPr>
        <w:t xml:space="preserve"> </w:t>
      </w:r>
      <w:r w:rsidRPr="00A2427B">
        <w:rPr>
          <w:rStyle w:val="StyleUnderline"/>
        </w:rPr>
        <w:t>expert opinions are often submitted by both parties to the litigatio</w:t>
      </w:r>
      <w:r w:rsidRPr="00A2427B">
        <w:rPr>
          <w:rStyle w:val="StyleUnderline"/>
          <w:sz w:val="14"/>
          <w:u w:val="none"/>
        </w:rPr>
        <w:t xml:space="preserve">n—the plaintiff and the defendant—which allows the judge to compare and confront the evidence and make a far deeper investigation into its reliability and validity.366 </w:t>
      </w:r>
      <w:r w:rsidRPr="00A2427B">
        <w:rPr>
          <w:rStyle w:val="StyleUnderline"/>
        </w:rPr>
        <w:t>In criminal law, judges tend to rely on the prosecution’s experts’ guarantees that they perform their work in line with precise scientific standards, and tend to rely on the defense attorneys to expose any imprecision in that work. Both these assumptions are misplaced.</w:t>
      </w:r>
      <w:r w:rsidRPr="00A2427B">
        <w:rPr>
          <w:rStyle w:val="StyleUnderline"/>
          <w:sz w:val="14"/>
          <w:u w:val="none"/>
        </w:rPr>
        <w:t xml:space="preserve">367 An additional problem is that </w:t>
      </w:r>
      <w:r w:rsidRPr="00A2427B">
        <w:rPr>
          <w:rStyle w:val="StyleUnderline"/>
        </w:rPr>
        <w:t>the professional expertise in the fields examined in crime laboratories is acquired in the framework of entities associated with the police and prosecution</w:t>
      </w:r>
      <w:r w:rsidRPr="00A2427B">
        <w:rPr>
          <w:rStyle w:val="StyleUnderline"/>
          <w:sz w:val="14"/>
          <w:u w:val="none"/>
        </w:rPr>
        <w:t xml:space="preserve">. The </w:t>
      </w:r>
      <w:r w:rsidRPr="00A2427B">
        <w:rPr>
          <w:rStyle w:val="Emphasis"/>
        </w:rPr>
        <w:t xml:space="preserve">experts who testify at criminal trials are almost always prosecution witnesses and almost always work for the police. </w:t>
      </w:r>
      <w:r w:rsidRPr="00A2427B">
        <w:rPr>
          <w:sz w:val="14"/>
        </w:rPr>
        <w:t>In</w:t>
      </w:r>
      <w:r w:rsidRPr="00A2427B">
        <w:rPr>
          <w:rStyle w:val="StyleUnderline"/>
          <w:sz w:val="14"/>
          <w:u w:val="none"/>
        </w:rPr>
        <w:t xml:space="preserve"> effect, </w:t>
      </w:r>
      <w:r w:rsidRPr="00A2427B">
        <w:rPr>
          <w:rStyle w:val="StyleUnderline"/>
        </w:rPr>
        <w:t>they see themselves as part of</w:t>
      </w:r>
      <w:r w:rsidRPr="00A2427B">
        <w:rPr>
          <w:rStyle w:val="StyleUnderline"/>
          <w:sz w:val="14"/>
          <w:u w:val="none"/>
        </w:rPr>
        <w:t xml:space="preserve"> the </w:t>
      </w:r>
      <w:r w:rsidRPr="00A2427B">
        <w:rPr>
          <w:rStyle w:val="StyleUnderline"/>
        </w:rPr>
        <w:t>law enforcement</w:t>
      </w:r>
      <w:r w:rsidRPr="00A2427B">
        <w:rPr>
          <w:rStyle w:val="StyleUnderline"/>
          <w:sz w:val="14"/>
          <w:u w:val="none"/>
        </w:rPr>
        <w:t xml:space="preserve"> system </w:t>
      </w:r>
      <w:r w:rsidRPr="00A2427B">
        <w:rPr>
          <w:rStyle w:val="StyleUnderline"/>
        </w:rPr>
        <w:t>and consider their job to be assisting law enforcement</w:t>
      </w:r>
      <w:r w:rsidRPr="00A2427B">
        <w:rPr>
          <w:rStyle w:val="StyleUnderline"/>
          <w:sz w:val="14"/>
          <w:u w:val="none"/>
        </w:rPr>
        <w:t xml:space="preserve"> in finding evidence </w:t>
      </w:r>
      <w:r w:rsidRPr="00A2427B">
        <w:rPr>
          <w:rStyle w:val="StyleUnderline"/>
        </w:rPr>
        <w:t>pointing to the suspect’s guilt</w:t>
      </w:r>
      <w:r w:rsidRPr="00A2427B">
        <w:rPr>
          <w:rStyle w:val="StyleUnderline"/>
          <w:sz w:val="14"/>
          <w:u w:val="none"/>
        </w:rPr>
        <w:t xml:space="preserve">. Here, again, we witness the destructive effect of preconceptions of the suspect’s guilt.368 An extreme example of such an “accomplished” expert was Fred Zain, the head of the West Virginia state crime lab. The Innocence Project’s work revealed that Zain would often falsify the results of tests to fabricate supposedly scientific evidence that would incriminate suspects.369 An investigation revealed that he had shamelessly lied in his testimonies as an expert before courts in two different states in the United States and had manipulated test results in 134 different cases over thirteen years.370 Moreover, Zain would often testify in court that he himself had performed the tests when in fact others had conducted them.371 </w:t>
      </w:r>
      <w:r w:rsidRPr="00A2427B">
        <w:rPr>
          <w:rStyle w:val="StyleUnderline"/>
        </w:rPr>
        <w:t>Forensic experts do not perform their examinations</w:t>
      </w:r>
      <w:r w:rsidRPr="00A2427B">
        <w:rPr>
          <w:rStyle w:val="StyleUnderline"/>
          <w:sz w:val="14"/>
          <w:u w:val="none"/>
        </w:rPr>
        <w:t xml:space="preserve"> as “blind tests”—that is, </w:t>
      </w:r>
      <w:r w:rsidRPr="00A2427B">
        <w:rPr>
          <w:rStyle w:val="StyleUnderline"/>
        </w:rPr>
        <w:t>without knowledge of additional information about</w:t>
      </w:r>
      <w:r w:rsidRPr="00A2427B">
        <w:rPr>
          <w:rStyle w:val="StyleUnderline"/>
          <w:sz w:val="14"/>
          <w:u w:val="none"/>
        </w:rPr>
        <w:t xml:space="preserve"> </w:t>
      </w:r>
      <w:r w:rsidRPr="00A2427B">
        <w:rPr>
          <w:rStyle w:val="StyleUnderline"/>
        </w:rPr>
        <w:t>the investigation—and in fact, police investigators often inform them on the details</w:t>
      </w:r>
      <w:r w:rsidRPr="00A2427B">
        <w:rPr>
          <w:rStyle w:val="StyleUnderline"/>
          <w:sz w:val="14"/>
          <w:u w:val="none"/>
        </w:rPr>
        <w:t xml:space="preserve"> of the investigation. It is only natural as human beings that </w:t>
      </w:r>
      <w:r w:rsidRPr="00A2427B">
        <w:rPr>
          <w:rStyle w:val="StyleUnderline"/>
        </w:rPr>
        <w:t>they are influenced by the knowledge</w:t>
      </w:r>
      <w:r w:rsidRPr="00A2427B">
        <w:rPr>
          <w:rStyle w:val="StyleUnderline"/>
          <w:sz w:val="14"/>
          <w:u w:val="none"/>
        </w:rPr>
        <w:t xml:space="preserve"> that additional evidence exists </w:t>
      </w:r>
      <w:r w:rsidRPr="00A2427B">
        <w:rPr>
          <w:rStyle w:val="StyleUnderline"/>
        </w:rPr>
        <w:t>supporting the suspect’s guilt</w:t>
      </w:r>
      <w:r w:rsidRPr="00A2427B">
        <w:rPr>
          <w:rStyle w:val="StyleUnderline"/>
          <w:sz w:val="14"/>
          <w:u w:val="none"/>
        </w:rPr>
        <w:t xml:space="preserve">, such as his identification by the victim, confession to the police, or even an additional piece of scientific evidence. </w:t>
      </w:r>
      <w:r w:rsidRPr="00A2427B">
        <w:rPr>
          <w:rStyle w:val="StyleUnderline"/>
        </w:rPr>
        <w:t>All tests have the subjective component of the expert’s assessment and interpretation</w:t>
      </w:r>
      <w:r w:rsidRPr="00A2427B">
        <w:rPr>
          <w:rStyle w:val="StyleUnderline"/>
          <w:sz w:val="14"/>
          <w:u w:val="none"/>
        </w:rPr>
        <w:t xml:space="preserve"> of the findings. </w:t>
      </w:r>
      <w:r w:rsidRPr="00A2427B">
        <w:rPr>
          <w:rStyle w:val="StyleUnderline"/>
        </w:rPr>
        <w:t>The knowledge that there are other pieces of evidence</w:t>
      </w:r>
      <w:r w:rsidRPr="00A2427B">
        <w:rPr>
          <w:rStyle w:val="StyleUnderline"/>
          <w:sz w:val="14"/>
          <w:u w:val="none"/>
        </w:rPr>
        <w:t xml:space="preserve"> against the suspect </w:t>
      </w:r>
      <w:r w:rsidRPr="00A2427B">
        <w:rPr>
          <w:rStyle w:val="StyleUnderline"/>
        </w:rPr>
        <w:t>is likely to bias the expert toward an incriminating interpretation</w:t>
      </w:r>
      <w:r w:rsidRPr="00A2427B">
        <w:rPr>
          <w:rStyle w:val="StyleUnderline"/>
          <w:sz w:val="14"/>
          <w:u w:val="none"/>
        </w:rPr>
        <w:t xml:space="preserve"> of findings that are not unequivocal.372 Moreover, in many cases, </w:t>
      </w:r>
      <w:r w:rsidRPr="00A2427B">
        <w:rPr>
          <w:rStyle w:val="StyleUnderline"/>
        </w:rPr>
        <w:t>experts have been prevented from performing tests that are likely to rule out the suspect’s involvement in the crime</w:t>
      </w:r>
      <w:r w:rsidRPr="00A2427B">
        <w:rPr>
          <w:rStyle w:val="StyleUnderline"/>
          <w:sz w:val="14"/>
          <w:u w:val="none"/>
        </w:rPr>
        <w:t xml:space="preserve">, and in other cases, </w:t>
      </w:r>
      <w:r w:rsidRPr="00A2427B">
        <w:rPr>
          <w:rStyle w:val="StyleUnderline"/>
        </w:rPr>
        <w:t>the prosecution withholds from the defense findings pointing to</w:t>
      </w:r>
      <w:r w:rsidRPr="00A2427B">
        <w:rPr>
          <w:rStyle w:val="StyleUnderline"/>
          <w:sz w:val="14"/>
          <w:u w:val="none"/>
        </w:rPr>
        <w:t xml:space="preserve"> the defendant’s </w:t>
      </w:r>
      <w:r w:rsidRPr="00A2427B">
        <w:rPr>
          <w:rStyle w:val="StyleUnderline"/>
        </w:rPr>
        <w:t>innocence</w:t>
      </w:r>
      <w:r w:rsidRPr="00A2427B">
        <w:rPr>
          <w:rStyle w:val="StyleUnderline"/>
          <w:sz w:val="14"/>
          <w:u w:val="none"/>
        </w:rPr>
        <w:t xml:space="preserve">. In their summations at trial, </w:t>
      </w:r>
      <w:r w:rsidRPr="00A2427B">
        <w:rPr>
          <w:rStyle w:val="StyleUnderline"/>
        </w:rPr>
        <w:t>prosecutors</w:t>
      </w:r>
      <w:r w:rsidRPr="00A2427B">
        <w:rPr>
          <w:rStyle w:val="StyleUnderline"/>
          <w:sz w:val="14"/>
          <w:u w:val="none"/>
        </w:rPr>
        <w:t xml:space="preserve"> often </w:t>
      </w:r>
      <w:r w:rsidRPr="00A2427B">
        <w:rPr>
          <w:rStyle w:val="StyleUnderline"/>
        </w:rPr>
        <w:t>present the lab findings in a misleading and erroneous manner</w:t>
      </w:r>
      <w:r w:rsidRPr="00A2427B">
        <w:rPr>
          <w:rStyle w:val="StyleUnderline"/>
          <w:sz w:val="14"/>
          <w:u w:val="none"/>
        </w:rPr>
        <w:t xml:space="preserve">, so that they will be perceived as incriminating.373 Another phenomenon that has emerged is that those </w:t>
      </w:r>
      <w:r w:rsidRPr="00A2427B">
        <w:rPr>
          <w:rStyle w:val="StyleUnderline"/>
        </w:rPr>
        <w:t>experts who give misleading and erroneous testimony are</w:t>
      </w:r>
      <w:r w:rsidRPr="00A2427B">
        <w:rPr>
          <w:rStyle w:val="StyleUnderline"/>
          <w:sz w:val="14"/>
          <w:u w:val="none"/>
        </w:rPr>
        <w:t xml:space="preserve"> not merely a few rotten apples, but are rather </w:t>
      </w:r>
      <w:r w:rsidRPr="00A2427B">
        <w:rPr>
          <w:rStyle w:val="StyleUnderline"/>
        </w:rPr>
        <w:t>quite numerous</w:t>
      </w:r>
      <w:r w:rsidRPr="00A2427B">
        <w:rPr>
          <w:rStyle w:val="StyleUnderline"/>
          <w:sz w:val="14"/>
          <w:u w:val="none"/>
        </w:rPr>
        <w:t xml:space="preserve">. According to the findings of the Innocence Project, from among the 250 first exonerations obtained in the framework of the Project, </w:t>
      </w:r>
      <w:r w:rsidRPr="00A2427B">
        <w:rPr>
          <w:rStyle w:val="StyleUnderline"/>
        </w:rPr>
        <w:t>81 different experts working in 54 different laboratories in 28 different states across the United States were found to have given faulty expert testimony</w:t>
      </w:r>
      <w:r w:rsidRPr="00A2427B">
        <w:rPr>
          <w:rStyle w:val="StyleUnderline"/>
          <w:sz w:val="14"/>
          <w:u w:val="none"/>
        </w:rPr>
        <w:t xml:space="preserve">.374 This should give one pause; </w:t>
      </w:r>
      <w:r w:rsidRPr="00A2427B">
        <w:rPr>
          <w:rStyle w:val="StyleUnderline"/>
        </w:rPr>
        <w:t>consider the thousands of other trials at which these same experts testified but the convicted defendants have not been retried and</w:t>
      </w:r>
      <w:r w:rsidRPr="00A2427B">
        <w:rPr>
          <w:rStyle w:val="StyleUnderline"/>
          <w:sz w:val="14"/>
          <w:u w:val="none"/>
        </w:rPr>
        <w:t xml:space="preserve">, in all likelihood, </w:t>
      </w:r>
      <w:r w:rsidRPr="00A2427B">
        <w:rPr>
          <w:rStyle w:val="StyleUnderline"/>
        </w:rPr>
        <w:t xml:space="preserve">will never be retried because, </w:t>
      </w:r>
      <w:r w:rsidRPr="00A2427B">
        <w:rPr>
          <w:rStyle w:val="StyleUnderline"/>
          <w:sz w:val="14"/>
          <w:u w:val="none"/>
        </w:rPr>
        <w:t xml:space="preserve">among other reasons, </w:t>
      </w:r>
      <w:r w:rsidRPr="00A2427B">
        <w:rPr>
          <w:rStyle w:val="StyleUnderline"/>
        </w:rPr>
        <w:t>there are no genetic samples that can be tested</w:t>
      </w:r>
      <w:r w:rsidRPr="00A2427B">
        <w:rPr>
          <w:rStyle w:val="StyleUnderline"/>
          <w:sz w:val="14"/>
          <w:u w:val="none"/>
        </w:rPr>
        <w:t xml:space="preserve"> in these cases.375 Here, again, we feel the effect of the Hidden Accidents Principle in criminal law. Even when (genuine) scientists indicate in their research that certain methods are in no way scientific and call for an improvement of laboratory work practices, and even with methods that are grounded in science (particularly genetic comparisons), </w:t>
      </w:r>
      <w:r w:rsidRPr="00A2427B">
        <w:rPr>
          <w:rStyle w:val="StyleUnderline"/>
        </w:rPr>
        <w:t>forensic scientists tend to resist the recommendations for improvement</w:t>
      </w:r>
      <w:r w:rsidRPr="00A2427B">
        <w:rPr>
          <w:rStyle w:val="StyleUnderline"/>
          <w:sz w:val="14"/>
          <w:u w:val="none"/>
        </w:rPr>
        <w:t xml:space="preserve">. They are used to the practices they learned in their training, have accepted them as correct, and followed them for many years; therefore, they see these suggestions for change as a personal attack that they almost instinctively attempt to fight.376 Yet, </w:t>
      </w:r>
      <w:r w:rsidRPr="00A2427B">
        <w:rPr>
          <w:rStyle w:val="StyleUnderline"/>
        </w:rPr>
        <w:t>to reduce the number of false convictions that stem from faulty expert testimony, there is an urgent need for fundamental changes in this field</w:t>
      </w:r>
      <w:r w:rsidRPr="00A2427B">
        <w:rPr>
          <w:rStyle w:val="StyleUnderline"/>
          <w:sz w:val="14"/>
          <w:u w:val="none"/>
        </w:rPr>
        <w:t xml:space="preserve">. This includes </w:t>
      </w:r>
      <w:r w:rsidRPr="00A2427B">
        <w:rPr>
          <w:rStyle w:val="StyleUnderline"/>
        </w:rPr>
        <w:t>separating the forensics lab work from the police work to enable the lab to conduct forensic testing in autonomou</w:t>
      </w:r>
      <w:r w:rsidRPr="00A2427B">
        <w:rPr>
          <w:rStyle w:val="StyleUnderline"/>
          <w:sz w:val="14"/>
          <w:u w:val="none"/>
        </w:rPr>
        <w:t xml:space="preserve">s, objective labs, </w:t>
      </w:r>
      <w:r w:rsidRPr="00A2427B">
        <w:rPr>
          <w:rStyle w:val="StyleUnderline"/>
        </w:rPr>
        <w:t>instituting</w:t>
      </w:r>
      <w:r w:rsidRPr="00A2427B">
        <w:rPr>
          <w:rStyle w:val="StyleUnderline"/>
          <w:sz w:val="14"/>
          <w:u w:val="none"/>
        </w:rPr>
        <w:t xml:space="preserve"> “blind” </w:t>
      </w:r>
      <w:r w:rsidRPr="00A2427B">
        <w:rPr>
          <w:rStyle w:val="StyleUnderline"/>
        </w:rPr>
        <w:t>expert checks where the experts do not know that their work is being checked</w:t>
      </w:r>
      <w:r w:rsidRPr="00A2427B">
        <w:rPr>
          <w:rStyle w:val="StyleUnderline"/>
          <w:sz w:val="14"/>
          <w:u w:val="none"/>
        </w:rPr>
        <w:t xml:space="preserve">, </w:t>
      </w:r>
      <w:r w:rsidRPr="00A2427B">
        <w:rPr>
          <w:rStyle w:val="StyleUnderline"/>
        </w:rPr>
        <w:t>requiring</w:t>
      </w:r>
      <w:r w:rsidRPr="00A2427B">
        <w:rPr>
          <w:rStyle w:val="StyleUnderline"/>
          <w:sz w:val="14"/>
          <w:u w:val="none"/>
        </w:rPr>
        <w:t xml:space="preserve"> that </w:t>
      </w:r>
      <w:r w:rsidRPr="00A2427B">
        <w:rPr>
          <w:rStyle w:val="StyleUnderline"/>
        </w:rPr>
        <w:t>experts base their work on data and provide the courts with precise data regarding</w:t>
      </w:r>
      <w:r w:rsidRPr="00A2427B">
        <w:rPr>
          <w:rStyle w:val="StyleUnderline"/>
          <w:sz w:val="14"/>
          <w:u w:val="none"/>
        </w:rPr>
        <w:t xml:space="preserve"> tests’ </w:t>
      </w:r>
      <w:r w:rsidRPr="00A2427B">
        <w:rPr>
          <w:rStyle w:val="StyleUnderline"/>
        </w:rPr>
        <w:t>error rates and adopting additional changes</w:t>
      </w:r>
      <w:r w:rsidRPr="00A2427B">
        <w:rPr>
          <w:rStyle w:val="StyleUnderline"/>
          <w:sz w:val="14"/>
          <w:u w:val="none"/>
        </w:rPr>
        <w:t xml:space="preserve"> recommended in the 2009 NAS Report.377</w:t>
      </w:r>
    </w:p>
    <w:p w14:paraId="5DA2ADB6" w14:textId="77777777" w:rsidR="00ED73E1" w:rsidRPr="00A2427B" w:rsidRDefault="00ED73E1" w:rsidP="00ED73E1"/>
    <w:p w14:paraId="29EDB59C" w14:textId="79000F64" w:rsidR="00C06178" w:rsidRPr="00A2427B" w:rsidRDefault="00C06178" w:rsidP="00C06178">
      <w:pPr>
        <w:pStyle w:val="Heading4"/>
      </w:pPr>
      <w:r w:rsidRPr="00A2427B">
        <w:t>The expansion of challenging forensic science testimony when introduced guaranteed by the plan is a significant protection and clarification of judicial confusion</w:t>
      </w:r>
    </w:p>
    <w:p w14:paraId="1F5CDD2B" w14:textId="77777777" w:rsidR="00C06178" w:rsidRPr="00A2427B" w:rsidRDefault="00C06178" w:rsidP="00C06178">
      <w:r w:rsidRPr="00A2427B">
        <w:rPr>
          <w:rStyle w:val="Style13ptBold"/>
        </w:rPr>
        <w:t>Luongo 2018</w:t>
      </w:r>
      <w:r w:rsidRPr="00A2427B">
        <w:t xml:space="preserve"> [Michael "Throwing out Junk Science: How a New Rule of Evidence Could Protect a Criminal Defendant's Right to Confront Forensic Scientists," Journal of Law and Policy 27, no. 1 (2018): 221-256]</w:t>
      </w:r>
    </w:p>
    <w:p w14:paraId="50BA9B0A" w14:textId="492F9C52" w:rsidR="00C06178" w:rsidRPr="00A2427B" w:rsidRDefault="00C06178" w:rsidP="00C06178">
      <w:pPr>
        <w:rPr>
          <w:sz w:val="16"/>
        </w:rPr>
      </w:pPr>
      <w:r w:rsidRPr="00A2427B">
        <w:rPr>
          <w:rStyle w:val="Emphasis"/>
        </w:rPr>
        <w:t xml:space="preserve">One solution </w:t>
      </w:r>
      <w:r w:rsidRPr="00A2427B">
        <w:rPr>
          <w:sz w:val="16"/>
        </w:rPr>
        <w:t xml:space="preserve">for this problem </w:t>
      </w:r>
      <w:r w:rsidRPr="00A2427B">
        <w:rPr>
          <w:rStyle w:val="Emphasis"/>
        </w:rPr>
        <w:t>would be for the Supreme Court to create a new rule of evidence specifically requiring forensic analysts to appear in court to testify when forensic science evidence is offered</w:t>
      </w:r>
      <w:r w:rsidRPr="00A2427B">
        <w:rPr>
          <w:sz w:val="16"/>
        </w:rPr>
        <w:t xml:space="preserve">. Congress gave the federal judiciary the power to create rules of evidence in the Rules Enabling Act,2 24 meaning that the Supreme Court has the power to prescribe rules that govern in federal district courts. 2 25 As many Justices and judges around the country have noted, the current rules surrounding the Confrontation Clause are unclear and difficult to apply,226 so a new evidence rule would provide much-needed clarity. </w:t>
      </w:r>
      <w:r w:rsidRPr="00A2427B">
        <w:rPr>
          <w:rStyle w:val="Emphasis"/>
        </w:rPr>
        <w:t>The federal judiciary plays an active role in amending the Federal Rules of Evidence. These rules are amended in accordance with 28 U.S.C. § 2072227 which states that "[t]he Supreme Court shall have the power to prescribe general rules of practice and procedure and rules of evidence for cases in the United States district courts .</w:t>
      </w:r>
      <w:r w:rsidRPr="00A2427B">
        <w:rPr>
          <w:sz w:val="16"/>
        </w:rPr>
        <w:t xml:space="preserve"> "..."228 To propose new federal rules, an advisory committee recommends proposed rules to a "Standing Committee" made up of "federal judges, practicing lawyers, law professors, state chief justices, and representatives of the Department of Justice," who consider and vote on proposed changes to the rules.2 29 These rules are then published for six months to allow for public comments.23 ° After the public comments are considered, the rules must be approved by the Standing Committee, the Judicial Conference, and then the Supreme Court.231 The proposed rules will become law if Congress does not enact a law to reject the new rules within at least seven months.232 If the federal judiciary were to utilize its power to propose and create new federal rules of evidence, it could correct some confusion caused by Williams without waiting for a Confrontation Clause case to come before the Supreme Court. Members of the Supreme Court have commented several times on the confusion and problems caused by the application of the Confrontation Clause to forensic science.233 </w:t>
      </w:r>
      <w:r w:rsidRPr="00A2427B">
        <w:rPr>
          <w:rStyle w:val="Emphasis"/>
        </w:rPr>
        <w:t>By actually amending the rules of evidence, they can do something to correct this confusion. An amendment to the Federal Rules of Evidence would not necessarily need to be perfectly congruent with the rights protected by the Confrontation Clause. The issues presented to the court in Melendez-Diaz, Bullcoming, and Williams were a matter of interpretation of the Sixth Amendment and the Confrontation Clause</w:t>
      </w:r>
      <w:r w:rsidRPr="00A2427B">
        <w:rPr>
          <w:sz w:val="16"/>
        </w:rPr>
        <w:t xml:space="preserve">.234 Justice Thomas' "formality and solemnity" test and Justice Alito's "primary purpose" test only speak to what is required by the Sixth Amendment. 235 </w:t>
      </w:r>
      <w:r w:rsidRPr="00A2427B">
        <w:rPr>
          <w:rStyle w:val="Emphasis"/>
        </w:rPr>
        <w:t>A new evidentiary rule concerning forensic analysts would have a prophylactic effect: for the Justices of the Williams dissent, the rule would codify what they already believe to be the Constitutional protections for criminal defendants; for Justice Thomas and the Williams plurality, the rule could serve as a useful expansion of protections in order to ensure that the evidence used against criminal defendants is reliable and discussed in court, and would also clarify a clearly messy Constitutional doctrine</w:t>
      </w:r>
      <w:r w:rsidRPr="00A2427B">
        <w:rPr>
          <w:sz w:val="16"/>
        </w:rPr>
        <w:t>. Though a new Federal Rule of Evidence would not control state evidence rules, 236 it could have an influential effect on how state courts approach forensic science. Given the influence that the Federal Rules of Evidence have on state evidentiary codes,237 similar rules may be proposed at the state level. By announcing a new federal rule, the Supreme Court would be signaling to the lower courts that the best way to protect the rights of criminal defendants would be to ensure that forensic reports are not admitted through hearsay exceptions, but that the analysts who conduct the reports actually come to court to testify.</w:t>
      </w:r>
    </w:p>
    <w:p w14:paraId="428CC5E3" w14:textId="2D9075F9" w:rsidR="0001219F" w:rsidRPr="00A2427B" w:rsidRDefault="0001219F" w:rsidP="00C06178"/>
    <w:p w14:paraId="1A0AA980" w14:textId="26155763" w:rsidR="0001219F" w:rsidRPr="00A2427B" w:rsidRDefault="0001219F" w:rsidP="00C06178"/>
    <w:p w14:paraId="0C5A12F2" w14:textId="7F95766A" w:rsidR="00BB665C" w:rsidRPr="00A2427B" w:rsidRDefault="00BB665C" w:rsidP="00BB665C">
      <w:pPr>
        <w:pStyle w:val="Heading1"/>
      </w:pPr>
      <w:r w:rsidRPr="00A2427B">
        <w:t>2AC CPs</w:t>
      </w:r>
    </w:p>
    <w:p w14:paraId="3638F9E5" w14:textId="7B426082" w:rsidR="00BB665C" w:rsidRPr="00A2427B" w:rsidRDefault="00BB665C" w:rsidP="00BB665C">
      <w:pPr>
        <w:pStyle w:val="Heading2"/>
      </w:pPr>
      <w:r w:rsidRPr="00A2427B">
        <w:t>Congress</w:t>
      </w:r>
    </w:p>
    <w:p w14:paraId="3C7D683E" w14:textId="5CF4FB5F" w:rsidR="00025F87" w:rsidRPr="00A2427B" w:rsidRDefault="00EA10DD" w:rsidP="00025F87">
      <w:pPr>
        <w:pStyle w:val="Heading3"/>
      </w:pPr>
      <w:r w:rsidRPr="00A2427B">
        <w:t xml:space="preserve">2AC – Perm </w:t>
      </w:r>
    </w:p>
    <w:p w14:paraId="289A8B48" w14:textId="7BE35C21" w:rsidR="005D0F7C" w:rsidRPr="00A2427B" w:rsidRDefault="005D0F7C" w:rsidP="005D0F7C">
      <w:pPr>
        <w:pStyle w:val="Heading4"/>
      </w:pPr>
      <w:r w:rsidRPr="00A2427B">
        <w:t>Perm do both - Federal Rules of Evidences are statutory and Congress delegated rule making to the courts</w:t>
      </w:r>
    </w:p>
    <w:p w14:paraId="4BDE20F9" w14:textId="77777777" w:rsidR="005D0F7C" w:rsidRPr="00A2427B" w:rsidRDefault="005D0F7C" w:rsidP="005D0F7C">
      <w:r w:rsidRPr="00A2427B">
        <w:rPr>
          <w:rStyle w:val="Style13ptBold"/>
        </w:rPr>
        <w:t xml:space="preserve">Dudley 94 </w:t>
      </w:r>
      <w:r w:rsidRPr="00A2427B">
        <w:t>Earl C. Jr. Dudley, Professor of Law, University of Virginia Law School. Federalism and Federal Rule of Evidence 501: Privilege and Vertical Choice of Law, 82 Geo. L.J. 1781 (1994). dw</w:t>
      </w:r>
    </w:p>
    <w:p w14:paraId="23A3C5CD" w14:textId="0B833312" w:rsidR="005D0F7C" w:rsidRPr="00A2427B" w:rsidRDefault="005D0F7C" w:rsidP="005D0F7C">
      <w:pPr>
        <w:rPr>
          <w:rStyle w:val="Emphasis"/>
        </w:rPr>
      </w:pPr>
      <w:r w:rsidRPr="00A2427B">
        <w:rPr>
          <w:sz w:val="14"/>
        </w:rPr>
        <w:t xml:space="preserve">Second, the problem is "legislative" in that, </w:t>
      </w:r>
      <w:r w:rsidRPr="00A2427B">
        <w:rPr>
          <w:rStyle w:val="StyleUnderline"/>
        </w:rPr>
        <w:t>where evidentiary rules implicate no constitutional issues, Congress has broad authority to enact rules of evidence</w:t>
      </w:r>
      <w:r w:rsidRPr="00A2427B">
        <w:rPr>
          <w:sz w:val="14"/>
        </w:rPr>
        <w:t xml:space="preserve"> to be applied in federal courts and to control choice-of law determinations with respect to those rules.23 </w:t>
      </w:r>
      <w:r w:rsidRPr="00A2427B">
        <w:rPr>
          <w:rStyle w:val="Emphasis"/>
        </w:rPr>
        <w:t>This authority is not subject to serious doubt, even in cases where state substantive law governs the claim or defense in litigation</w:t>
      </w:r>
      <w:r w:rsidRPr="00A2427B">
        <w:rPr>
          <w:sz w:val="14"/>
        </w:rPr>
        <w:t xml:space="preserve">. </w:t>
      </w:r>
      <w:r w:rsidRPr="00A2427B">
        <w:rPr>
          <w:rStyle w:val="StyleUnderline"/>
        </w:rPr>
        <w:t>The breadth of this power was originally unclear</w:t>
      </w:r>
      <w:r w:rsidRPr="00A2427B">
        <w:rPr>
          <w:sz w:val="14"/>
        </w:rPr>
        <w:t xml:space="preserve"> in the wake of the Supreme Court's revolutionary decision in Erie Railroad Co. v. Tompkins.24 Post-Erie decisions required federal courts deciding state-law claims to choose in individual cases between state and federal law with no clearer guidance than the murky distinction between "substance" and "procedure."25 But </w:t>
      </w:r>
      <w:r w:rsidRPr="00A2427B">
        <w:rPr>
          <w:rStyle w:val="StyleUnderline"/>
        </w:rPr>
        <w:t>in Hanna v. Plummer</w:t>
      </w:r>
      <w:r w:rsidRPr="00A2427B">
        <w:rPr>
          <w:sz w:val="14"/>
        </w:rPr>
        <w:t xml:space="preserve">,26 </w:t>
      </w:r>
      <w:r w:rsidRPr="00A2427B">
        <w:rPr>
          <w:rStyle w:val="StyleUnderline"/>
        </w:rPr>
        <w:t>the Court drastically-and helpfully-reoriented the analysis of conflicts between federal procedure and state substantive law</w:t>
      </w:r>
      <w:r w:rsidRPr="00A2427B">
        <w:rPr>
          <w:sz w:val="14"/>
        </w:rPr>
        <w:t xml:space="preserve">. Hanna teaches that </w:t>
      </w:r>
      <w:r w:rsidRPr="00A2427B">
        <w:rPr>
          <w:rStyle w:val="StyleUnderline"/>
        </w:rPr>
        <w:t xml:space="preserve">any rule promulgated pursuant to Congress's authority over federal procedure </w:t>
      </w:r>
      <w:r w:rsidRPr="00A2427B">
        <w:rPr>
          <w:sz w:val="14"/>
        </w:rPr>
        <w:t>(</w:t>
      </w:r>
      <w:r w:rsidRPr="00A2427B">
        <w:rPr>
          <w:rStyle w:val="Emphasis"/>
        </w:rPr>
        <w:t>whether enacted directly by Congress</w:t>
      </w:r>
      <w:r w:rsidRPr="00A2427B">
        <w:rPr>
          <w:sz w:val="14"/>
        </w:rPr>
        <w:t xml:space="preserve"> </w:t>
      </w:r>
      <w:r w:rsidRPr="00A2427B">
        <w:rPr>
          <w:rStyle w:val="Emphasis"/>
        </w:rPr>
        <w:t>or promulgated under a delegation such as that contained in the Rules Enabling Act</w:t>
      </w:r>
      <w:r w:rsidRPr="00A2427B">
        <w:rPr>
          <w:sz w:val="14"/>
        </w:rPr>
        <w:t xml:space="preserve">) </w:t>
      </w:r>
      <w:r w:rsidRPr="00A2427B">
        <w:rPr>
          <w:rStyle w:val="Emphasis"/>
        </w:rPr>
        <w:t>will pass constitutional muster-and trump a contrary rule of state law-if it is "rationally capable of classification" as either substantive or procedural</w:t>
      </w:r>
      <w:r w:rsidRPr="00A2427B">
        <w:rPr>
          <w:sz w:val="14"/>
        </w:rPr>
        <w:t>.27 I</w:t>
      </w:r>
      <w:r w:rsidRPr="00A2427B">
        <w:rPr>
          <w:rStyle w:val="Emphasis"/>
        </w:rPr>
        <w:t>t is hard to imagine a rule governing the admission of evidence in court that is not "rationally capable of classification" as procedural</w:t>
      </w:r>
      <w:r w:rsidRPr="00A2427B">
        <w:rPr>
          <w:sz w:val="14"/>
        </w:rPr>
        <w:t xml:space="preserve">.28 Moreover, </w:t>
      </w:r>
      <w:r w:rsidRPr="00A2427B">
        <w:rPr>
          <w:rStyle w:val="StyleUnderline"/>
        </w:rPr>
        <w:t>the Federal Rules of Evidence as enacted are statutory, even though they began as rules</w:t>
      </w:r>
      <w:r w:rsidRPr="00A2427B">
        <w:rPr>
          <w:sz w:val="14"/>
        </w:rPr>
        <w:t xml:space="preserve"> </w:t>
      </w:r>
      <w:r w:rsidRPr="00A2427B">
        <w:rPr>
          <w:rStyle w:val="StyleUnderline"/>
        </w:rPr>
        <w:t>promulgated</w:t>
      </w:r>
      <w:r w:rsidRPr="00A2427B">
        <w:rPr>
          <w:sz w:val="14"/>
        </w:rPr>
        <w:t xml:space="preserve"> </w:t>
      </w:r>
      <w:r w:rsidRPr="00A2427B">
        <w:rPr>
          <w:rStyle w:val="StyleUnderline"/>
        </w:rPr>
        <w:t>pursuant to a statutory grant of authority-the Rules Enabling Act</w:t>
      </w:r>
      <w:r w:rsidRPr="00A2427B">
        <w:rPr>
          <w:sz w:val="14"/>
        </w:rPr>
        <w:t xml:space="preserve">.29 Congress suspended the projected implementation of the Rules and made a number of modifications, most significantly to the article on privileges. As amended, </w:t>
      </w:r>
      <w:r w:rsidRPr="00A2427B">
        <w:rPr>
          <w:rStyle w:val="StyleUnderline"/>
        </w:rPr>
        <w:t>the Rules were passed by both Houses and signed into law by the President.</w:t>
      </w:r>
      <w:r w:rsidRPr="00A2427B">
        <w:rPr>
          <w:sz w:val="14"/>
        </w:rPr>
        <w:t xml:space="preserve">3 ° Thus </w:t>
      </w:r>
      <w:r w:rsidRPr="00A2427B">
        <w:rPr>
          <w:rStyle w:val="StyleUnderline"/>
        </w:rPr>
        <w:t xml:space="preserve">it is no objection to a properly </w:t>
      </w:r>
      <w:r w:rsidRPr="00A2427B">
        <w:rPr>
          <w:rStyle w:val="Emphasis"/>
        </w:rPr>
        <w:t>promulgated federal rule governing the admission of evidence in federal courts that it restricts or partially nullifies the operation of an otherwise valid state law.</w:t>
      </w:r>
    </w:p>
    <w:p w14:paraId="434AFCE6" w14:textId="13153C42" w:rsidR="00025F87" w:rsidRPr="00A2427B" w:rsidRDefault="00EA10DD" w:rsidP="00025F87">
      <w:pPr>
        <w:pStyle w:val="Heading3"/>
        <w:rPr>
          <w:rStyle w:val="Emphasis"/>
        </w:rPr>
      </w:pPr>
      <w:r w:rsidRPr="00A2427B">
        <w:t xml:space="preserve">2AC – Courts Key </w:t>
      </w:r>
    </w:p>
    <w:p w14:paraId="23DA9B1B" w14:textId="74D7636A" w:rsidR="00693A53" w:rsidRPr="00A2427B" w:rsidRDefault="00693A53" w:rsidP="00693A53">
      <w:pPr>
        <w:pStyle w:val="Heading4"/>
        <w:rPr>
          <w:rStyle w:val="Style13ptBold"/>
          <w:b/>
          <w:bCs w:val="0"/>
        </w:rPr>
      </w:pPr>
      <w:r w:rsidRPr="00A2427B">
        <w:rPr>
          <w:rStyle w:val="Style13ptBold"/>
          <w:b/>
          <w:bCs w:val="0"/>
        </w:rPr>
        <w:t>Federal court changes are key to solving state court decisions through habeas corpus</w:t>
      </w:r>
    </w:p>
    <w:p w14:paraId="776B6B85" w14:textId="405F5207" w:rsidR="00693A53" w:rsidRPr="00A2427B" w:rsidRDefault="00693A53" w:rsidP="00693A53">
      <w:r w:rsidRPr="00A2427B">
        <w:rPr>
          <w:rStyle w:val="Style13ptBold"/>
        </w:rPr>
        <w:t>Justia ND</w:t>
      </w:r>
      <w:r w:rsidRPr="00A2427B">
        <w:t>, Justia Law, "Conflicts of Jurisdiction: Federal Court Interference with State Courts," xx-xx-xxxx, https://law.justia.com/constitution/us/article-3/40-conflicts-of-jurisdiction-federal-court-interference-with-state-courts.html dw</w:t>
      </w:r>
    </w:p>
    <w:p w14:paraId="6F08D1A3" w14:textId="77777777" w:rsidR="00693A53" w:rsidRPr="00A2427B" w:rsidRDefault="00693A53" w:rsidP="00693A53">
      <w:pPr>
        <w:rPr>
          <w:sz w:val="14"/>
        </w:rPr>
      </w:pPr>
      <w:r w:rsidRPr="00A2427B">
        <w:rPr>
          <w:sz w:val="14"/>
        </w:rPr>
        <w:t xml:space="preserve">Moreover, </w:t>
      </w:r>
      <w:r w:rsidRPr="00A2427B">
        <w:rPr>
          <w:rStyle w:val="StyleUnderline"/>
        </w:rPr>
        <w:t>the Court</w:t>
      </w:r>
      <w:r w:rsidRPr="00A2427B">
        <w:rPr>
          <w:sz w:val="14"/>
        </w:rPr>
        <w:t xml:space="preserve"> shortly </w:t>
      </w:r>
      <w:r w:rsidRPr="00A2427B">
        <w:rPr>
          <w:rStyle w:val="StyleUnderline"/>
        </w:rPr>
        <w:t>abandoned its emphasis upon want of jurisdiction</w:t>
      </w:r>
      <w:r w:rsidRPr="00A2427B">
        <w:rPr>
          <w:sz w:val="14"/>
        </w:rPr>
        <w:t xml:space="preserve"> and held that the </w:t>
      </w:r>
      <w:r w:rsidRPr="00A2427B">
        <w:rPr>
          <w:rStyle w:val="StyleUnderline"/>
        </w:rPr>
        <w:t>writ was available to consider constitutional claims as well as questions of jurisdiction</w:t>
      </w:r>
      <w:r w:rsidRPr="00A2427B">
        <w:rPr>
          <w:sz w:val="14"/>
        </w:rPr>
        <w:t xml:space="preserve">.1409 The landmark case was </w:t>
      </w:r>
      <w:r w:rsidRPr="00A2427B">
        <w:rPr>
          <w:rStyle w:val="StyleUnderline"/>
        </w:rPr>
        <w:t>Brown v. Allen</w:t>
      </w:r>
      <w:r w:rsidRPr="00A2427B">
        <w:rPr>
          <w:sz w:val="14"/>
        </w:rPr>
        <w:t xml:space="preserve">,1410 in which </w:t>
      </w:r>
      <w:r w:rsidRPr="00A2427B">
        <w:rPr>
          <w:rStyle w:val="StyleUnderline"/>
        </w:rPr>
        <w:t>the Court laid down</w:t>
      </w:r>
      <w:r w:rsidRPr="00A2427B">
        <w:rPr>
          <w:sz w:val="14"/>
        </w:rPr>
        <w:t xml:space="preserve"> several principles of statutory construction of the habeas statute. First, all </w:t>
      </w:r>
      <w:r w:rsidRPr="00A2427B">
        <w:rPr>
          <w:rStyle w:val="StyleUnderline"/>
        </w:rPr>
        <w:t>federal constitutional questions raised by state prisoners are cognizable in federal habeas</w:t>
      </w:r>
      <w:r w:rsidRPr="00A2427B">
        <w:rPr>
          <w:sz w:val="14"/>
        </w:rPr>
        <w:t xml:space="preserve">. Second, </w:t>
      </w:r>
      <w:r w:rsidRPr="00A2427B">
        <w:rPr>
          <w:rStyle w:val="Emphasis"/>
        </w:rPr>
        <w:t>a federal court is not bound by state court judgments on federal questions</w:t>
      </w:r>
      <w:r w:rsidRPr="00A2427B">
        <w:rPr>
          <w:sz w:val="14"/>
        </w:rPr>
        <w:t xml:space="preserve">, </w:t>
      </w:r>
      <w:r w:rsidRPr="00A2427B">
        <w:rPr>
          <w:rStyle w:val="StyleUnderline"/>
        </w:rPr>
        <w:t>even though the state courts may have fully</w:t>
      </w:r>
      <w:r w:rsidRPr="00A2427B">
        <w:rPr>
          <w:sz w:val="14"/>
        </w:rPr>
        <w:t xml:space="preserve"> and fairly </w:t>
      </w:r>
      <w:r w:rsidRPr="00A2427B">
        <w:rPr>
          <w:rStyle w:val="StyleUnderline"/>
        </w:rPr>
        <w:t>considered</w:t>
      </w:r>
      <w:r w:rsidRPr="00A2427B">
        <w:rPr>
          <w:sz w:val="14"/>
        </w:rPr>
        <w:t xml:space="preserve"> the issues. Third, </w:t>
      </w:r>
      <w:r w:rsidRPr="00A2427B">
        <w:rPr>
          <w:rStyle w:val="Emphasis"/>
        </w:rPr>
        <w:t>a federal habeas court may inquire into issues of fact as well as of law</w:t>
      </w:r>
      <w:r w:rsidRPr="00A2427B">
        <w:rPr>
          <w:sz w:val="14"/>
        </w:rPr>
        <w:t xml:space="preserve">, although the federal court may defer to the state court if the prisoner received an adequate hearing. Fourth, </w:t>
      </w:r>
      <w:r w:rsidRPr="00A2427B">
        <w:rPr>
          <w:rStyle w:val="StyleUnderline"/>
        </w:rPr>
        <w:t xml:space="preserve">new evidentiary hearings must be held when there are unusual circumstances, </w:t>
      </w:r>
      <w:r w:rsidRPr="00A2427B">
        <w:rPr>
          <w:rStyle w:val="Emphasis"/>
        </w:rPr>
        <w:t>when there is a “vital ﬂaw” in the state proceedings</w:t>
      </w:r>
      <w:r w:rsidRPr="00A2427B">
        <w:rPr>
          <w:rStyle w:val="StyleUnderline"/>
        </w:rPr>
        <w:t xml:space="preserve">, </w:t>
      </w:r>
      <w:r w:rsidRPr="00A2427B">
        <w:rPr>
          <w:sz w:val="14"/>
        </w:rPr>
        <w:t xml:space="preserve">or when the state court record is incomplete or otherwise inadequate. </w:t>
      </w:r>
      <w:r w:rsidRPr="00A2427B">
        <w:rPr>
          <w:rStyle w:val="StyleUnderline"/>
        </w:rPr>
        <w:t>Almost plenary federal habeas review of state court convictions was authorized and rationalized in the Court’s famous “1963 trilogy</w:t>
      </w:r>
      <w:r w:rsidRPr="00A2427B">
        <w:rPr>
          <w:sz w:val="14"/>
        </w:rPr>
        <w:t xml:space="preserve">.”1411 First, the Court dealt with the established principle that a federal </w:t>
      </w:r>
      <w:r w:rsidRPr="00A2427B">
        <w:rPr>
          <w:rStyle w:val="StyleUnderline"/>
        </w:rPr>
        <w:t>habeas court is empowered, where a prisoner alleges facts which if proved would entitle him to relief, to relitigate facts, to receive evidence and try the facts anew, and sought to lay down broad guidelines as to when district courts must hold a hearing and find facts.</w:t>
      </w:r>
      <w:r w:rsidRPr="00A2427B">
        <w:rPr>
          <w:sz w:val="14"/>
        </w:rPr>
        <w:t xml:space="preserve">1412 “Where the facts are in dispute, </w:t>
      </w:r>
      <w:r w:rsidRPr="00A2427B">
        <w:rPr>
          <w:rStyle w:val="StyleUnderline"/>
        </w:rPr>
        <w:t>the federal court in habeas corpus must hold an evidentiary hearing if the habeas applicant did not receive a full and fair evidentiary hearing in a state court,</w:t>
      </w:r>
      <w:r w:rsidRPr="00A2427B">
        <w:rPr>
          <w:sz w:val="14"/>
        </w:rPr>
        <w:t xml:space="preserve"> either at the time of the trial or in a collateral proceeding.”1413 </w:t>
      </w:r>
      <w:r w:rsidRPr="00A2427B">
        <w:rPr>
          <w:rStyle w:val="StyleUnderline"/>
        </w:rPr>
        <w:t>To “particularize</w:t>
      </w:r>
      <w:r w:rsidRPr="00A2427B">
        <w:rPr>
          <w:sz w:val="14"/>
        </w:rPr>
        <w:t xml:space="preserve">” this general test, </w:t>
      </w:r>
      <w:r w:rsidRPr="00A2427B">
        <w:rPr>
          <w:rStyle w:val="StyleUnderline"/>
        </w:rPr>
        <w:t>the Court went on to hold that</w:t>
      </w:r>
      <w:r w:rsidRPr="00A2427B">
        <w:rPr>
          <w:sz w:val="14"/>
        </w:rPr>
        <w:t xml:space="preserve"> an evidentiary </w:t>
      </w:r>
      <w:r w:rsidRPr="00A2427B">
        <w:rPr>
          <w:rStyle w:val="StyleUnderline"/>
        </w:rPr>
        <w:t>hearing must take place when</w:t>
      </w:r>
      <w:r w:rsidRPr="00A2427B">
        <w:rPr>
          <w:sz w:val="14"/>
        </w:rPr>
        <w:t xml:space="preserve"> (1) the merits of the factual dispute were not resolved in the state hearing; (2) the state factual determination is not fairly supported by the record as a whole; (3) </w:t>
      </w:r>
      <w:r w:rsidRPr="00A2427B">
        <w:rPr>
          <w:rStyle w:val="Emphasis"/>
        </w:rPr>
        <w:t>the fact finding procedure employed was not adequate to afford a full and fair hearing</w:t>
      </w:r>
      <w:r w:rsidRPr="00A2427B">
        <w:rPr>
          <w:sz w:val="14"/>
        </w:rPr>
        <w:t xml:space="preserve">; (4) there is a substantial allegation of newly discovered evidence; (5) the material facts were not adequately developed at the state hearing; or (6) </w:t>
      </w:r>
      <w:r w:rsidRPr="00A2427B">
        <w:rPr>
          <w:rStyle w:val="Emphasis"/>
        </w:rPr>
        <w:t>for any reason it appears that the state trier of fact did not afford the habeas applicant a full and fair fact hearing</w:t>
      </w:r>
      <w:r w:rsidRPr="00A2427B">
        <w:rPr>
          <w:sz w:val="14"/>
        </w:rPr>
        <w:t>.1414</w:t>
      </w:r>
    </w:p>
    <w:p w14:paraId="25898AB2" w14:textId="77777777" w:rsidR="005D0F7C" w:rsidRPr="00A2427B" w:rsidRDefault="005D0F7C" w:rsidP="005D0F7C"/>
    <w:p w14:paraId="46E4DCA2" w14:textId="67E9AD24" w:rsidR="00BB665C" w:rsidRPr="00A2427B" w:rsidRDefault="00BB665C" w:rsidP="00BB665C">
      <w:pPr>
        <w:pStyle w:val="Heading2"/>
      </w:pPr>
      <w:r w:rsidRPr="00A2427B">
        <w:t>States</w:t>
      </w:r>
    </w:p>
    <w:p w14:paraId="62C2C141" w14:textId="77777777" w:rsidR="00EA10DD" w:rsidRPr="00A2427B" w:rsidRDefault="00EA10DD" w:rsidP="00EA10DD">
      <w:pPr>
        <w:pStyle w:val="Heading3"/>
        <w:rPr>
          <w:sz w:val="16"/>
        </w:rPr>
      </w:pPr>
      <w:r w:rsidRPr="00A2427B">
        <w:t xml:space="preserve">2AC – States CP </w:t>
      </w:r>
    </w:p>
    <w:p w14:paraId="647CBF04" w14:textId="77777777" w:rsidR="00EA10DD" w:rsidRPr="00A2427B" w:rsidRDefault="00EA10DD" w:rsidP="00EA10DD">
      <w:pPr>
        <w:pStyle w:val="Heading4"/>
      </w:pPr>
      <w:r w:rsidRPr="00A2427B">
        <w:t>Federal Rules of Evidences are statutory and the plan can override state law</w:t>
      </w:r>
    </w:p>
    <w:p w14:paraId="20B8E594" w14:textId="77777777" w:rsidR="00EA10DD" w:rsidRPr="00A2427B" w:rsidRDefault="00EA10DD" w:rsidP="00EA10DD">
      <w:r w:rsidRPr="00A2427B">
        <w:rPr>
          <w:rStyle w:val="Style13ptBold"/>
        </w:rPr>
        <w:t xml:space="preserve">Dudley 94 </w:t>
      </w:r>
      <w:r w:rsidRPr="00A2427B">
        <w:t>Earl C. Jr. Dudley, Professor of Law, University of Virginia Law School. Federalism and Federal Rule of Evidence 501: Privilege and Vertical Choice of Law, 82 Geo. L.J. 1781 (1994). dw</w:t>
      </w:r>
    </w:p>
    <w:p w14:paraId="704C3288" w14:textId="77777777" w:rsidR="00EA10DD" w:rsidRPr="00A2427B" w:rsidRDefault="00EA10DD" w:rsidP="00EA10DD">
      <w:pPr>
        <w:rPr>
          <w:rStyle w:val="Emphasis"/>
        </w:rPr>
      </w:pPr>
      <w:r w:rsidRPr="00A2427B">
        <w:rPr>
          <w:sz w:val="14"/>
        </w:rPr>
        <w:t xml:space="preserve">Second, the problem is "legislative" in that, </w:t>
      </w:r>
      <w:r w:rsidRPr="00A2427B">
        <w:rPr>
          <w:rStyle w:val="StyleUnderline"/>
        </w:rPr>
        <w:t>where evidentiary rules implicate no constitutional issues, Congress has broad authority to enact rules of evidence</w:t>
      </w:r>
      <w:r w:rsidRPr="00A2427B">
        <w:rPr>
          <w:sz w:val="14"/>
        </w:rPr>
        <w:t xml:space="preserve"> to be applied in federal courts and to control choice-of law determinations with respect to those rules.23 </w:t>
      </w:r>
      <w:r w:rsidRPr="00A2427B">
        <w:rPr>
          <w:rStyle w:val="Emphasis"/>
        </w:rPr>
        <w:t>This authority is not subject to serious doubt, even in cases where state substantive law governs the claim or defense in litigation</w:t>
      </w:r>
      <w:r w:rsidRPr="00A2427B">
        <w:rPr>
          <w:sz w:val="14"/>
        </w:rPr>
        <w:t xml:space="preserve">. </w:t>
      </w:r>
      <w:r w:rsidRPr="00A2427B">
        <w:rPr>
          <w:rStyle w:val="StyleUnderline"/>
        </w:rPr>
        <w:t>The breadth of this power was originally unclear</w:t>
      </w:r>
      <w:r w:rsidRPr="00A2427B">
        <w:rPr>
          <w:sz w:val="14"/>
        </w:rPr>
        <w:t xml:space="preserve"> in the wake of the Supreme Court's revolutionary decision in Erie Railroad Co. v. Tompkins.24 Post-Erie decisions required federal courts deciding state-law claims to choose in individual cases between state and federal law with no clearer guidance than the murky distinction between "substance" and "procedure."25 But </w:t>
      </w:r>
      <w:r w:rsidRPr="00A2427B">
        <w:rPr>
          <w:rStyle w:val="StyleUnderline"/>
        </w:rPr>
        <w:t>in Hanna v. Plummer</w:t>
      </w:r>
      <w:r w:rsidRPr="00A2427B">
        <w:rPr>
          <w:sz w:val="14"/>
        </w:rPr>
        <w:t xml:space="preserve">,26 </w:t>
      </w:r>
      <w:r w:rsidRPr="00A2427B">
        <w:rPr>
          <w:rStyle w:val="StyleUnderline"/>
        </w:rPr>
        <w:t>the Court drastically-and helpfully-reoriented the analysis of conflicts between federal procedure and state substantive law</w:t>
      </w:r>
      <w:r w:rsidRPr="00A2427B">
        <w:rPr>
          <w:sz w:val="14"/>
        </w:rPr>
        <w:t xml:space="preserve">. Hanna teaches that </w:t>
      </w:r>
      <w:r w:rsidRPr="00A2427B">
        <w:rPr>
          <w:rStyle w:val="StyleUnderline"/>
        </w:rPr>
        <w:t xml:space="preserve">any rule promulgated pursuant to Congress's authority over federal procedure </w:t>
      </w:r>
      <w:r w:rsidRPr="00A2427B">
        <w:rPr>
          <w:sz w:val="14"/>
        </w:rPr>
        <w:t>(</w:t>
      </w:r>
      <w:r w:rsidRPr="00A2427B">
        <w:rPr>
          <w:rStyle w:val="Emphasis"/>
        </w:rPr>
        <w:t>whether enacted directly by Congress</w:t>
      </w:r>
      <w:r w:rsidRPr="00A2427B">
        <w:rPr>
          <w:sz w:val="14"/>
        </w:rPr>
        <w:t xml:space="preserve"> </w:t>
      </w:r>
      <w:r w:rsidRPr="00A2427B">
        <w:rPr>
          <w:rStyle w:val="Emphasis"/>
        </w:rPr>
        <w:t>or promulgated under a delegation such as that contained in the Rules Enabling Act</w:t>
      </w:r>
      <w:r w:rsidRPr="00A2427B">
        <w:rPr>
          <w:sz w:val="14"/>
        </w:rPr>
        <w:t xml:space="preserve">) </w:t>
      </w:r>
      <w:r w:rsidRPr="00A2427B">
        <w:rPr>
          <w:rStyle w:val="Emphasis"/>
        </w:rPr>
        <w:t>will pass constitutional muster-and trump a contrary rule of state law-if it is "rationally capable of classification" as either substantive or procedural</w:t>
      </w:r>
      <w:r w:rsidRPr="00A2427B">
        <w:rPr>
          <w:sz w:val="14"/>
        </w:rPr>
        <w:t>.27 I</w:t>
      </w:r>
      <w:r w:rsidRPr="00A2427B">
        <w:rPr>
          <w:rStyle w:val="Emphasis"/>
        </w:rPr>
        <w:t>t is hard to imagine a rule governing the admission of evidence in court that is not "rationally capable of classification" as procedural</w:t>
      </w:r>
      <w:r w:rsidRPr="00A2427B">
        <w:rPr>
          <w:sz w:val="14"/>
        </w:rPr>
        <w:t xml:space="preserve">.28 Moreover, </w:t>
      </w:r>
      <w:r w:rsidRPr="00A2427B">
        <w:rPr>
          <w:rStyle w:val="StyleUnderline"/>
        </w:rPr>
        <w:t>the Federal Rules of Evidence as enacted are statutory, even though they began as rules</w:t>
      </w:r>
      <w:r w:rsidRPr="00A2427B">
        <w:rPr>
          <w:sz w:val="14"/>
        </w:rPr>
        <w:t xml:space="preserve"> </w:t>
      </w:r>
      <w:r w:rsidRPr="00A2427B">
        <w:rPr>
          <w:rStyle w:val="StyleUnderline"/>
        </w:rPr>
        <w:t>promulgated</w:t>
      </w:r>
      <w:r w:rsidRPr="00A2427B">
        <w:rPr>
          <w:sz w:val="14"/>
        </w:rPr>
        <w:t xml:space="preserve"> </w:t>
      </w:r>
      <w:r w:rsidRPr="00A2427B">
        <w:rPr>
          <w:rStyle w:val="StyleUnderline"/>
        </w:rPr>
        <w:t>pursuant to a statutory grant of authority-the Rules Enabling Act</w:t>
      </w:r>
      <w:r w:rsidRPr="00A2427B">
        <w:rPr>
          <w:sz w:val="14"/>
        </w:rPr>
        <w:t xml:space="preserve">.29 Congress suspended the projected implementation of the Rules and made a number of modifications, most significantly to the article on privileges. As amended, </w:t>
      </w:r>
      <w:r w:rsidRPr="00A2427B">
        <w:rPr>
          <w:rStyle w:val="StyleUnderline"/>
        </w:rPr>
        <w:t>the Rules were passed by both Houses and signed into law by the President.</w:t>
      </w:r>
      <w:r w:rsidRPr="00A2427B">
        <w:rPr>
          <w:sz w:val="14"/>
        </w:rPr>
        <w:t xml:space="preserve">3 ° Thus </w:t>
      </w:r>
      <w:r w:rsidRPr="00A2427B">
        <w:rPr>
          <w:rStyle w:val="StyleUnderline"/>
        </w:rPr>
        <w:t xml:space="preserve">it is no objection to a properly </w:t>
      </w:r>
      <w:r w:rsidRPr="00A2427B">
        <w:rPr>
          <w:rStyle w:val="Emphasis"/>
        </w:rPr>
        <w:t>promulgated federal rule governing the admission of evidence in federal courts that it restricts or partially nullifies the operation of an otherwise valid state law.</w:t>
      </w:r>
    </w:p>
    <w:p w14:paraId="346F23D2" w14:textId="175B3CE9" w:rsidR="00025F87" w:rsidRPr="00A2427B" w:rsidRDefault="00EA10DD" w:rsidP="00025F87">
      <w:pPr>
        <w:pStyle w:val="Heading3"/>
      </w:pPr>
      <w:r w:rsidRPr="00A2427B">
        <w:t xml:space="preserve">2AC – AT: Follow On </w:t>
      </w:r>
    </w:p>
    <w:p w14:paraId="44B8085B" w14:textId="0E9E4DF5" w:rsidR="00F50F0A" w:rsidRPr="00A2427B" w:rsidRDefault="00F50F0A" w:rsidP="00F50F0A">
      <w:pPr>
        <w:pStyle w:val="Heading4"/>
      </w:pPr>
      <w:r w:rsidRPr="00A2427B">
        <w:t xml:space="preserve">States </w:t>
      </w:r>
      <w:r w:rsidR="00025F87" w:rsidRPr="00A2427B">
        <w:t>largely</w:t>
      </w:r>
      <w:r w:rsidRPr="00A2427B">
        <w:t xml:space="preserve"> follow Federal Rules of Evidence</w:t>
      </w:r>
    </w:p>
    <w:p w14:paraId="349C5666" w14:textId="31EAF7A3" w:rsidR="00F50F0A" w:rsidRPr="00A2427B" w:rsidRDefault="00F50F0A" w:rsidP="00F50F0A">
      <w:r w:rsidRPr="00A2427B">
        <w:rPr>
          <w:rStyle w:val="Style13ptBold"/>
        </w:rPr>
        <w:t xml:space="preserve">Justia 18 </w:t>
      </w:r>
      <w:r w:rsidRPr="00A2427B">
        <w:t>Justia, April 2018, “Admissibility of Evidence”, https://www.justia.com/criminal/procedure/admissibility-evidence/</w:t>
      </w:r>
    </w:p>
    <w:p w14:paraId="1E94A259" w14:textId="07C63D58" w:rsidR="00F50F0A" w:rsidRPr="00A2427B" w:rsidRDefault="00F50F0A" w:rsidP="00F50F0A">
      <w:pPr>
        <w:rPr>
          <w:rStyle w:val="StyleUnderline"/>
        </w:rPr>
      </w:pPr>
      <w:r w:rsidRPr="00A2427B">
        <w:rPr>
          <w:sz w:val="14"/>
        </w:rPr>
        <w:t>Prosecutors and defendants in criminal proceedings may present evidence in support of their cases. The state has the burden of proving guilt beyond a reasonable doubt, while the defendant may present evidence to challenge the state’s case. Each side should have the opportunity to review the other side’s evidence before trial and object to the introduction of certain evidence before or during trial. In criminal cases, defendants may move the court to exclude evidence that the state obtained in violation of their constitutional rights</w:t>
      </w:r>
      <w:r w:rsidRPr="00A2427B">
        <w:rPr>
          <w:rStyle w:val="StyleUnderline"/>
        </w:rPr>
        <w:t>. The Federal Rules of Evidence govern the admission of evidence in the federal court system. Each state has its own evidence rules, which are often similar to the federal rules.</w:t>
      </w:r>
    </w:p>
    <w:p w14:paraId="5B2C118A" w14:textId="19894C67" w:rsidR="00025F87" w:rsidRPr="00A2427B" w:rsidRDefault="00EA10DD" w:rsidP="00025F87">
      <w:pPr>
        <w:pStyle w:val="Heading3"/>
        <w:rPr>
          <w:rStyle w:val="StyleUnderline"/>
        </w:rPr>
      </w:pPr>
      <w:r w:rsidRPr="00A2427B">
        <w:t xml:space="preserve">2AC – AT: Federalism </w:t>
      </w:r>
    </w:p>
    <w:p w14:paraId="7B053312" w14:textId="76CCCE53" w:rsidR="00165805" w:rsidRPr="00A2427B" w:rsidRDefault="00165805" w:rsidP="00165805">
      <w:pPr>
        <w:pStyle w:val="Heading4"/>
      </w:pPr>
      <w:r w:rsidRPr="00A2427B">
        <w:t>States don’t need to follow on – habeas corpus covers federal overturns of state rulings based on their “fact finding procedure” – avoids the link to federalism</w:t>
      </w:r>
    </w:p>
    <w:p w14:paraId="79906AEA" w14:textId="2B6C2304" w:rsidR="00165805" w:rsidRPr="00A2427B" w:rsidRDefault="00165805" w:rsidP="00165805">
      <w:r w:rsidRPr="00A2427B">
        <w:rPr>
          <w:rStyle w:val="Style13ptBold"/>
        </w:rPr>
        <w:t>Justia ND</w:t>
      </w:r>
      <w:r w:rsidRPr="00A2427B">
        <w:t>, Justia Law, "Conflicts of Jurisdiction: Federal Court Interference with State Courts," xx-xx-xxxx, https://law.justia.com/constitution/us/article-3/40-conflicts-of-jurisdiction-federal-court-interference-with-state-courts.html dw</w:t>
      </w:r>
    </w:p>
    <w:p w14:paraId="747C00B1" w14:textId="16DD61F1" w:rsidR="00165805" w:rsidRPr="00A2427B" w:rsidRDefault="00165805" w:rsidP="00165805">
      <w:pPr>
        <w:rPr>
          <w:sz w:val="14"/>
        </w:rPr>
      </w:pPr>
      <w:r w:rsidRPr="00A2427B">
        <w:rPr>
          <w:sz w:val="14"/>
        </w:rPr>
        <w:t xml:space="preserve">Moreover, </w:t>
      </w:r>
      <w:r w:rsidRPr="00A2427B">
        <w:rPr>
          <w:rStyle w:val="StyleUnderline"/>
        </w:rPr>
        <w:t>the Court</w:t>
      </w:r>
      <w:r w:rsidRPr="00A2427B">
        <w:rPr>
          <w:sz w:val="14"/>
        </w:rPr>
        <w:t xml:space="preserve"> shortly </w:t>
      </w:r>
      <w:r w:rsidRPr="00A2427B">
        <w:rPr>
          <w:rStyle w:val="StyleUnderline"/>
        </w:rPr>
        <w:t>abandoned its emphasis upon want of jurisdiction</w:t>
      </w:r>
      <w:r w:rsidRPr="00A2427B">
        <w:rPr>
          <w:sz w:val="14"/>
        </w:rPr>
        <w:t xml:space="preserve"> and held that the </w:t>
      </w:r>
      <w:r w:rsidRPr="00A2427B">
        <w:rPr>
          <w:rStyle w:val="StyleUnderline"/>
        </w:rPr>
        <w:t>writ was available to consider constitutional claims as well as questions of jurisdiction</w:t>
      </w:r>
      <w:r w:rsidRPr="00A2427B">
        <w:rPr>
          <w:sz w:val="14"/>
        </w:rPr>
        <w:t xml:space="preserve">.1409 The landmark case was </w:t>
      </w:r>
      <w:r w:rsidRPr="00A2427B">
        <w:rPr>
          <w:rStyle w:val="StyleUnderline"/>
        </w:rPr>
        <w:t>Brown v. Allen</w:t>
      </w:r>
      <w:r w:rsidRPr="00A2427B">
        <w:rPr>
          <w:sz w:val="14"/>
        </w:rPr>
        <w:t xml:space="preserve">,1410 in which </w:t>
      </w:r>
      <w:r w:rsidRPr="00A2427B">
        <w:rPr>
          <w:rStyle w:val="StyleUnderline"/>
        </w:rPr>
        <w:t>the Court laid down</w:t>
      </w:r>
      <w:r w:rsidRPr="00A2427B">
        <w:rPr>
          <w:sz w:val="14"/>
        </w:rPr>
        <w:t xml:space="preserve"> several principles of statutory construction of the habeas statute. First, all </w:t>
      </w:r>
      <w:r w:rsidRPr="00A2427B">
        <w:rPr>
          <w:rStyle w:val="StyleUnderline"/>
        </w:rPr>
        <w:t>federal constitutional questions raised by state prisoners are cognizable in federal habeas</w:t>
      </w:r>
      <w:r w:rsidRPr="00A2427B">
        <w:rPr>
          <w:sz w:val="14"/>
        </w:rPr>
        <w:t xml:space="preserve">. Second, </w:t>
      </w:r>
      <w:r w:rsidRPr="00A2427B">
        <w:rPr>
          <w:rStyle w:val="Emphasis"/>
        </w:rPr>
        <w:t>a federal court is not bound by state court judgments on federal questions</w:t>
      </w:r>
      <w:r w:rsidRPr="00A2427B">
        <w:rPr>
          <w:sz w:val="14"/>
        </w:rPr>
        <w:t xml:space="preserve">, </w:t>
      </w:r>
      <w:r w:rsidRPr="00A2427B">
        <w:rPr>
          <w:rStyle w:val="StyleUnderline"/>
        </w:rPr>
        <w:t>even though the state courts may have fully</w:t>
      </w:r>
      <w:r w:rsidRPr="00A2427B">
        <w:rPr>
          <w:sz w:val="14"/>
        </w:rPr>
        <w:t xml:space="preserve"> and fairly </w:t>
      </w:r>
      <w:r w:rsidRPr="00A2427B">
        <w:rPr>
          <w:rStyle w:val="StyleUnderline"/>
        </w:rPr>
        <w:t>considered</w:t>
      </w:r>
      <w:r w:rsidRPr="00A2427B">
        <w:rPr>
          <w:sz w:val="14"/>
        </w:rPr>
        <w:t xml:space="preserve"> the issues. Third, </w:t>
      </w:r>
      <w:r w:rsidRPr="00A2427B">
        <w:rPr>
          <w:rStyle w:val="Emphasis"/>
        </w:rPr>
        <w:t>a federal habeas court may inquire into issues of fact as well as of law</w:t>
      </w:r>
      <w:r w:rsidRPr="00A2427B">
        <w:rPr>
          <w:sz w:val="14"/>
        </w:rPr>
        <w:t xml:space="preserve">, although the federal court may defer to the state court if the prisoner received an adequate hearing. Fourth, </w:t>
      </w:r>
      <w:r w:rsidRPr="00A2427B">
        <w:rPr>
          <w:rStyle w:val="StyleUnderline"/>
        </w:rPr>
        <w:t xml:space="preserve">new evidentiary hearings must be held when there are unusual circumstances, </w:t>
      </w:r>
      <w:r w:rsidRPr="00A2427B">
        <w:rPr>
          <w:rStyle w:val="Emphasis"/>
        </w:rPr>
        <w:t>when there is a “vital ﬂaw” in the state proceedings</w:t>
      </w:r>
      <w:r w:rsidRPr="00A2427B">
        <w:rPr>
          <w:rStyle w:val="StyleUnderline"/>
        </w:rPr>
        <w:t xml:space="preserve">, </w:t>
      </w:r>
      <w:r w:rsidRPr="00A2427B">
        <w:rPr>
          <w:sz w:val="14"/>
        </w:rPr>
        <w:t xml:space="preserve">or when the state court record is incomplete or otherwise inadequate. </w:t>
      </w:r>
      <w:r w:rsidRPr="00A2427B">
        <w:rPr>
          <w:rStyle w:val="StyleUnderline"/>
        </w:rPr>
        <w:t>Almost plenary federal habeas review of state court convictions was authorized and rationalized in the Court’s famous “1963 trilogy</w:t>
      </w:r>
      <w:r w:rsidRPr="00A2427B">
        <w:rPr>
          <w:sz w:val="14"/>
        </w:rPr>
        <w:t xml:space="preserve">.”1411 First, the Court dealt with the established principle that a federal </w:t>
      </w:r>
      <w:r w:rsidRPr="00A2427B">
        <w:rPr>
          <w:rStyle w:val="StyleUnderline"/>
        </w:rPr>
        <w:t>habeas court is empowered, where a prisoner alleges facts which if proved would entitle him to relief, to relitigate facts, to receive evidence and try the facts anew, and sought to lay down broad guidelines as to when district courts must hold a hearing and find facts.</w:t>
      </w:r>
      <w:r w:rsidRPr="00A2427B">
        <w:rPr>
          <w:sz w:val="14"/>
        </w:rPr>
        <w:t xml:space="preserve">1412 “Where the facts are in dispute, </w:t>
      </w:r>
      <w:r w:rsidRPr="00A2427B">
        <w:rPr>
          <w:rStyle w:val="StyleUnderline"/>
        </w:rPr>
        <w:t>the federal court in habeas corpus must hold an evidentiary hearing if the habeas applicant did not receive a full and fair evidentiary hearing in a state court,</w:t>
      </w:r>
      <w:r w:rsidRPr="00A2427B">
        <w:rPr>
          <w:sz w:val="14"/>
        </w:rPr>
        <w:t xml:space="preserve"> either at the time of the trial or in a collateral proceeding.”1413 </w:t>
      </w:r>
      <w:r w:rsidRPr="00A2427B">
        <w:rPr>
          <w:rStyle w:val="StyleUnderline"/>
        </w:rPr>
        <w:t>To “particularize</w:t>
      </w:r>
      <w:r w:rsidRPr="00A2427B">
        <w:rPr>
          <w:sz w:val="14"/>
        </w:rPr>
        <w:t xml:space="preserve">” this general test, </w:t>
      </w:r>
      <w:r w:rsidRPr="00A2427B">
        <w:rPr>
          <w:rStyle w:val="StyleUnderline"/>
        </w:rPr>
        <w:t>the Court went on to hold that</w:t>
      </w:r>
      <w:r w:rsidRPr="00A2427B">
        <w:rPr>
          <w:sz w:val="14"/>
        </w:rPr>
        <w:t xml:space="preserve"> an evidentiary </w:t>
      </w:r>
      <w:r w:rsidRPr="00A2427B">
        <w:rPr>
          <w:rStyle w:val="StyleUnderline"/>
        </w:rPr>
        <w:t>hearing must take place when</w:t>
      </w:r>
      <w:r w:rsidRPr="00A2427B">
        <w:rPr>
          <w:sz w:val="14"/>
        </w:rPr>
        <w:t xml:space="preserve"> (1) the merits of the factual dispute were not resolved in the state hearing; (2) the state factual determination is not fairly supported by the record as a whole; (3) </w:t>
      </w:r>
      <w:r w:rsidRPr="00A2427B">
        <w:rPr>
          <w:rStyle w:val="Emphasis"/>
        </w:rPr>
        <w:t>the fact finding procedure employed was not adequate to afford a full and fair hearing</w:t>
      </w:r>
      <w:r w:rsidRPr="00A2427B">
        <w:rPr>
          <w:sz w:val="14"/>
        </w:rPr>
        <w:t xml:space="preserve">; (4) there is a substantial allegation of newly discovered evidence; (5) the material facts were not adequately developed at the state hearing; or (6) </w:t>
      </w:r>
      <w:r w:rsidRPr="00A2427B">
        <w:rPr>
          <w:rStyle w:val="Emphasis"/>
        </w:rPr>
        <w:t>for any reason it appears that the state trier of fact did not afford the habeas applicant a full and fair fact hearing</w:t>
      </w:r>
      <w:r w:rsidRPr="00A2427B">
        <w:rPr>
          <w:sz w:val="14"/>
        </w:rPr>
        <w:t>.1414</w:t>
      </w:r>
    </w:p>
    <w:p w14:paraId="23ECB15A" w14:textId="193FD40D" w:rsidR="00BB665C" w:rsidRPr="00A2427B" w:rsidRDefault="00BB665C" w:rsidP="00BB665C">
      <w:pPr>
        <w:pStyle w:val="Heading2"/>
      </w:pPr>
      <w:r w:rsidRPr="00A2427B">
        <w:t>Research Reform</w:t>
      </w:r>
    </w:p>
    <w:p w14:paraId="40B6B3CA" w14:textId="77777777" w:rsidR="00025F87" w:rsidRPr="00A2427B" w:rsidRDefault="00025F87" w:rsidP="00025F87"/>
    <w:p w14:paraId="659056DE" w14:textId="0BB6C241" w:rsidR="00BB665C" w:rsidRPr="00A2427B" w:rsidRDefault="00025F87" w:rsidP="00025F87">
      <w:pPr>
        <w:pStyle w:val="Heading3"/>
      </w:pPr>
      <w:r w:rsidRPr="00A2427B">
        <w:t>Solvency Deficit – Industry Backlash</w:t>
      </w:r>
    </w:p>
    <w:p w14:paraId="37672617" w14:textId="77777777" w:rsidR="00693A53" w:rsidRPr="00A2427B" w:rsidRDefault="00693A53" w:rsidP="00693A53">
      <w:pPr>
        <w:pStyle w:val="Heading4"/>
        <w:rPr>
          <w:rStyle w:val="Style13ptBold"/>
          <w:b/>
          <w:bCs w:val="0"/>
        </w:rPr>
      </w:pPr>
      <w:r w:rsidRPr="00A2427B">
        <w:rPr>
          <w:rStyle w:val="Style13ptBold"/>
          <w:b/>
          <w:bCs w:val="0"/>
        </w:rPr>
        <w:t>Plan key - Challenging forensic science in the realm of research doesn’t solve – they are committed to manipulating data and science to justify false science</w:t>
      </w:r>
    </w:p>
    <w:p w14:paraId="0B2D0585" w14:textId="77777777" w:rsidR="00693A53" w:rsidRPr="00A2427B" w:rsidRDefault="00693A53" w:rsidP="00693A53">
      <w:r w:rsidRPr="00A2427B">
        <w:rPr>
          <w:rStyle w:val="Style13ptBold"/>
        </w:rPr>
        <w:t>Segura and Smith 19</w:t>
      </w:r>
      <w:r w:rsidRPr="00A2427B">
        <w:t>, Liliana Segura, Jordan Smith, "Ten Years After a Landmark Study Blew the Whistle on Junk Science, the Fight Over Forensics Rages On," Intercept, 5-5-2019, https://theintercept.com/2019/05/05/forensic-evidence-aafs-junk-science/ dw</w:t>
      </w:r>
    </w:p>
    <w:p w14:paraId="59396587" w14:textId="77777777" w:rsidR="00693A53" w:rsidRPr="00A2427B" w:rsidRDefault="00693A53" w:rsidP="00693A53">
      <w:pPr>
        <w:rPr>
          <w:rStyle w:val="StyleUnderline"/>
        </w:rPr>
      </w:pPr>
      <w:r w:rsidRPr="00A2427B">
        <w:rPr>
          <w:sz w:val="14"/>
        </w:rPr>
        <w:t xml:space="preserve">Of all the forensic disciplines and practitioners thrown into turmoil since the release of the NAS report, perhaps </w:t>
      </w:r>
      <w:r w:rsidRPr="00A2427B">
        <w:rPr>
          <w:rStyle w:val="StyleUnderline"/>
        </w:rPr>
        <w:t>no group has melted down so publicly as the forensic dentists involved with bite-mark matching</w:t>
      </w:r>
      <w:r w:rsidRPr="00A2427B">
        <w:rPr>
          <w:sz w:val="14"/>
        </w:rPr>
        <w:t xml:space="preserve"> — </w:t>
      </w:r>
      <w:r w:rsidRPr="00A2427B">
        <w:rPr>
          <w:rStyle w:val="StyleUnderline"/>
        </w:rPr>
        <w:t>the process of deciding that a patterned injury left on a victim was made by human dentition and then attempting to match the impression of that injury to the teeth of a suspect</w:t>
      </w:r>
      <w:r w:rsidRPr="00A2427B">
        <w:rPr>
          <w:sz w:val="14"/>
        </w:rPr>
        <w:t xml:space="preserve">. </w:t>
      </w:r>
      <w:r w:rsidRPr="00A2427B">
        <w:rPr>
          <w:rStyle w:val="StyleUnderline"/>
        </w:rPr>
        <w:t xml:space="preserve">The practice rests on </w:t>
      </w:r>
      <w:r w:rsidRPr="00A2427B">
        <w:rPr>
          <w:sz w:val="14"/>
        </w:rPr>
        <w:t xml:space="preserve">a two-pronged foundation: First, that </w:t>
      </w:r>
      <w:r w:rsidRPr="00A2427B">
        <w:rPr>
          <w:rStyle w:val="StyleUnderline"/>
        </w:rPr>
        <w:t>human dentition</w:t>
      </w:r>
      <w:r w:rsidRPr="00A2427B">
        <w:rPr>
          <w:sz w:val="14"/>
        </w:rPr>
        <w:t xml:space="preserve">, like DNA, </w:t>
      </w:r>
      <w:r w:rsidRPr="00A2427B">
        <w:rPr>
          <w:rStyle w:val="StyleUnderline"/>
        </w:rPr>
        <w:t>is unique</w:t>
      </w:r>
      <w:r w:rsidRPr="00A2427B">
        <w:rPr>
          <w:sz w:val="14"/>
        </w:rPr>
        <w:t xml:space="preserve">; </w:t>
      </w:r>
      <w:r w:rsidRPr="00A2427B">
        <w:rPr>
          <w:rStyle w:val="StyleUnderline"/>
        </w:rPr>
        <w:t>second</w:t>
      </w:r>
      <w:r w:rsidRPr="00A2427B">
        <w:rPr>
          <w:sz w:val="14"/>
        </w:rPr>
        <w:t xml:space="preserve">, </w:t>
      </w:r>
      <w:r w:rsidRPr="00A2427B">
        <w:rPr>
          <w:rStyle w:val="StyleUnderline"/>
        </w:rPr>
        <w:t>that skin is a suitable medium for recording this uniqueness</w:t>
      </w:r>
      <w:r w:rsidRPr="00A2427B">
        <w:rPr>
          <w:sz w:val="14"/>
        </w:rPr>
        <w:t xml:space="preserve">. The problem is that </w:t>
      </w:r>
      <w:r w:rsidRPr="00A2427B">
        <w:rPr>
          <w:rStyle w:val="StyleUnderline"/>
        </w:rPr>
        <w:t>neither premise has been proven true</w:t>
      </w:r>
      <w:r w:rsidRPr="00A2427B">
        <w:rPr>
          <w:sz w:val="14"/>
        </w:rPr>
        <w:t xml:space="preserve">; in fact, </w:t>
      </w:r>
      <w:r w:rsidRPr="00A2427B">
        <w:rPr>
          <w:rStyle w:val="StyleUnderline"/>
        </w:rPr>
        <w:t>scientific research conducted to date has suggested</w:t>
      </w:r>
      <w:r w:rsidRPr="00A2427B">
        <w:rPr>
          <w:sz w:val="14"/>
        </w:rPr>
        <w:t xml:space="preserve"> the opposite — and </w:t>
      </w:r>
      <w:r w:rsidRPr="00A2427B">
        <w:rPr>
          <w:rStyle w:val="StyleUnderline"/>
        </w:rPr>
        <w:t xml:space="preserve">that bite-mark matching is an entirely subjective affair. </w:t>
      </w:r>
      <w:r w:rsidRPr="00A2427B">
        <w:rPr>
          <w:sz w:val="14"/>
        </w:rPr>
        <w:t xml:space="preserve">The NAS report, and an even more stinging critique of pattern-matching practices released by the President’s Council of Advisors on Science and Technology in 2016, were particularly critical of bite marks. </w:t>
      </w:r>
      <w:r w:rsidRPr="00A2427B">
        <w:rPr>
          <w:rStyle w:val="StyleUnderline"/>
        </w:rPr>
        <w:t>The “available scientific evidence strongly suggests that examiners cannot consistently agree on whether an injury is a human bite mark and cannot identify the source of [a] bite mark with reasonable accuracy</w:t>
      </w:r>
      <w:r w:rsidRPr="00A2427B">
        <w:rPr>
          <w:sz w:val="14"/>
        </w:rPr>
        <w:t>,” reads the PCAST report — a problem the group did not think could be rectified. “</w:t>
      </w:r>
      <w:r w:rsidRPr="00A2427B">
        <w:rPr>
          <w:rStyle w:val="StyleUnderline"/>
        </w:rPr>
        <w:t>PCAST considers the prospects of developing bite-mark analysis into a scientifically valid method to be low</w:t>
      </w:r>
      <w:r w:rsidRPr="00A2427B">
        <w:rPr>
          <w:sz w:val="14"/>
        </w:rPr>
        <w:t xml:space="preserve">. We advise against devoting significant resources to such efforts.” </w:t>
      </w:r>
      <w:r w:rsidRPr="00A2427B">
        <w:rPr>
          <w:rStyle w:val="StyleUnderline"/>
        </w:rPr>
        <w:t>Despite the conclusions of the NAS, the PCAST, and academic researchers in the field</w:t>
      </w:r>
      <w:r w:rsidRPr="00A2427B">
        <w:rPr>
          <w:sz w:val="14"/>
        </w:rPr>
        <w:t xml:space="preserve"> — notably, Drs. Mary and Peter Bush, whose findings have been damning — </w:t>
      </w:r>
      <w:r w:rsidRPr="00A2427B">
        <w:rPr>
          <w:rStyle w:val="Emphasis"/>
        </w:rPr>
        <w:t>the forensic odontologists have not gone quietly into the night.</w:t>
      </w:r>
      <w:r w:rsidRPr="00A2427B">
        <w:rPr>
          <w:sz w:val="14"/>
        </w:rPr>
        <w:t xml:space="preserve"> Instead, for </w:t>
      </w:r>
      <w:r w:rsidRPr="00A2427B">
        <w:rPr>
          <w:rStyle w:val="StyleUnderline"/>
        </w:rPr>
        <w:t>the majority of the last 10 years they have spent considerable energy avoiding serious research</w:t>
      </w:r>
      <w:r w:rsidRPr="00A2427B">
        <w:rPr>
          <w:sz w:val="14"/>
        </w:rPr>
        <w:t xml:space="preserve"> into bite-mark matching </w:t>
      </w:r>
      <w:r w:rsidRPr="00A2427B">
        <w:rPr>
          <w:rStyle w:val="StyleUnderline"/>
        </w:rPr>
        <w:t>and</w:t>
      </w:r>
      <w:r w:rsidRPr="00A2427B">
        <w:rPr>
          <w:sz w:val="14"/>
        </w:rPr>
        <w:t xml:space="preserve"> have instead </w:t>
      </w:r>
      <w:r w:rsidRPr="00A2427B">
        <w:rPr>
          <w:rStyle w:val="StyleUnderline"/>
        </w:rPr>
        <w:t>focused on attacking their detractors</w:t>
      </w:r>
      <w:r w:rsidRPr="00A2427B">
        <w:rPr>
          <w:sz w:val="14"/>
        </w:rPr>
        <w:t xml:space="preserve">, including skeptics among their ranks. Inevitably, </w:t>
      </w:r>
      <w:r w:rsidRPr="00A2427B">
        <w:rPr>
          <w:rStyle w:val="StyleUnderline"/>
        </w:rPr>
        <w:t xml:space="preserve">this vitriol has found a public stage </w:t>
      </w:r>
      <w:r w:rsidRPr="00A2427B">
        <w:rPr>
          <w:sz w:val="14"/>
        </w:rPr>
        <w:t xml:space="preserve">during the annual AAFS conference. </w:t>
      </w:r>
      <w:r w:rsidRPr="00A2427B">
        <w:rPr>
          <w:rStyle w:val="StyleUnderline"/>
        </w:rPr>
        <w:t>Lions of the discipline</w:t>
      </w:r>
      <w:r w:rsidRPr="00A2427B">
        <w:rPr>
          <w:sz w:val="14"/>
        </w:rPr>
        <w:t xml:space="preserve">, including David Senn, a professor at the University of Texas at San Antonio, </w:t>
      </w:r>
      <w:r w:rsidRPr="00A2427B">
        <w:rPr>
          <w:rStyle w:val="StyleUnderline"/>
        </w:rPr>
        <w:t>have aggressively pursued dubious ethics complaints against detractors in an effort to get them tossed out of AAFS</w:t>
      </w:r>
      <w:r w:rsidRPr="00A2427B">
        <w:rPr>
          <w:sz w:val="14"/>
        </w:rPr>
        <w:t xml:space="preserve">. Manhattan prosecutor Melissa Mourges, a chief bite-mark apologist, has repeatedly lashed out at Mary Bush, including by making childish public comments about her appearance. People like Senn and Mourges have consistently come to AAFS conferences with presentations meant to bolster their insistence that bite-mark comparison is a righteous endeavor. In Las Vegas, Mourges pulled out the safely-landing-airplanes analogy to make the case that just because bite-mark analysis isn’t perfect — indeed, bite-mark evidence, which is nowhere near as ubiquitous as say, fingerprints, has nonetheless been implicated in 31 wrongful convictions and faulty criminal indictments to date — that doesn’t mean it’s all bad. In Seattle in 2018, one dentist tried to elevate bite-mark evidence above the need for scientific scrutiny by claiming it was merely an “observational science” and thus not suited to empirical testing — “It’s like astronomy, folks! You just can’t control it.” That same year, another dentist, </w:t>
      </w:r>
      <w:r w:rsidRPr="00A2427B">
        <w:rPr>
          <w:rStyle w:val="StyleUnderline"/>
        </w:rPr>
        <w:t>Dr</w:t>
      </w:r>
      <w:r w:rsidRPr="00A2427B">
        <w:rPr>
          <w:sz w:val="14"/>
        </w:rPr>
        <w:t xml:space="preserve">. Robert </w:t>
      </w:r>
      <w:r w:rsidRPr="00A2427B">
        <w:rPr>
          <w:rStyle w:val="StyleUnderline"/>
        </w:rPr>
        <w:t>Dorion</w:t>
      </w:r>
      <w:r w:rsidRPr="00A2427B">
        <w:rPr>
          <w:sz w:val="14"/>
        </w:rPr>
        <w:t xml:space="preserve">, </w:t>
      </w:r>
      <w:r w:rsidRPr="00A2427B">
        <w:rPr>
          <w:rStyle w:val="StyleUnderline"/>
        </w:rPr>
        <w:t>opined that the focus on wrongful convictions was “fake news,”</w:t>
      </w:r>
      <w:r w:rsidRPr="00A2427B">
        <w:rPr>
          <w:sz w:val="14"/>
        </w:rPr>
        <w:t xml:space="preserve"> and suggested that there was a “moral, ethical, and legal obligation” to report on “rightful convictions.” In fact, he said, wrongful convictions connected to bite marks “had ceased.” When Chris Fabricant, director of strategic litigation at the Innocence Project and a relentless critic of bite-mark evidence, stood with a question challenging Dorion’s assertion (Fabricant was then working on two wrongful conviction cases connected to bite marks), the dentist said that his presentation time was up, but that he’d answer the question in 2019 (he didn’t). He then tootled off stage — before immediately returning to give a second presentation. Despite the general intransigence — an insistence that all is fine in the face of plain evidence to the contrary — </w:t>
      </w:r>
      <w:r w:rsidRPr="00A2427B">
        <w:rPr>
          <w:rStyle w:val="StyleUnderline"/>
        </w:rPr>
        <w:t>some key members of the community have broken ranks to embrace an inevitable truth: Junk science has no place in the criminal justice system</w:t>
      </w:r>
      <w:r w:rsidRPr="00A2427B">
        <w:rPr>
          <w:sz w:val="14"/>
        </w:rPr>
        <w:t xml:space="preserve">. At the 2015 conference in Orlando, two members of the community — Dr. Adam Freeman and Dr. Iain Pretty — presented the results of a study that were undeniably disastrous. </w:t>
      </w:r>
      <w:r w:rsidRPr="00A2427B">
        <w:rPr>
          <w:rStyle w:val="StyleUnderline"/>
        </w:rPr>
        <w:t>Thirty-nine bite-mark analysts certified by the American Board of Forensic Odontology were asked to review 100 case studies</w:t>
      </w:r>
      <w:r w:rsidRPr="00A2427B">
        <w:rPr>
          <w:sz w:val="14"/>
        </w:rPr>
        <w:t xml:space="preserve"> and render an opinion </w:t>
      </w:r>
      <w:r w:rsidRPr="00A2427B">
        <w:rPr>
          <w:rStyle w:val="StyleUnderline"/>
        </w:rPr>
        <w:t>on a most basic question: Is this injury a bite mark?</w:t>
      </w:r>
      <w:r w:rsidRPr="00A2427B">
        <w:rPr>
          <w:sz w:val="14"/>
        </w:rPr>
        <w:t xml:space="preserve"> </w:t>
      </w:r>
      <w:r w:rsidRPr="00A2427B">
        <w:rPr>
          <w:rStyle w:val="StyleUnderline"/>
        </w:rPr>
        <w:t>The</w:t>
      </w:r>
      <w:r w:rsidRPr="00A2427B">
        <w:rPr>
          <w:sz w:val="14"/>
        </w:rPr>
        <w:t xml:space="preserve"> veteran </w:t>
      </w:r>
      <w:r w:rsidRPr="00A2427B">
        <w:rPr>
          <w:rStyle w:val="Emphasis"/>
        </w:rPr>
        <w:t xml:space="preserve">practitioners came to unanimous agreement in just four cases. </w:t>
      </w:r>
      <w:r w:rsidRPr="00A2427B">
        <w:rPr>
          <w:sz w:val="14"/>
        </w:rPr>
        <w:t xml:space="preserve">(Notably, the study did not consider whether the decisions were correct.) The following year </w:t>
      </w:r>
      <w:r w:rsidRPr="00A2427B">
        <w:rPr>
          <w:rStyle w:val="StyleUnderline"/>
        </w:rPr>
        <w:t xml:space="preserve">the Texas Forensic Science Commission concluded that “there is no scientific basis for stating that a particular patterned injury can be associated to an individual’s dentition,” and recommended a moratorium on the use of bite-mark evidence. </w:t>
      </w:r>
      <w:r w:rsidRPr="00A2427B">
        <w:rPr>
          <w:sz w:val="14"/>
        </w:rPr>
        <w:t xml:space="preserve">Prompted by back-to-back blows to the credibility of the practice, a number of previous defenders of bite-mark comparison have begun to change their tune — including </w:t>
      </w:r>
      <w:r w:rsidRPr="00A2427B">
        <w:rPr>
          <w:rStyle w:val="StyleUnderline"/>
        </w:rPr>
        <w:t>Dr. Frank Wright</w:t>
      </w:r>
      <w:r w:rsidRPr="00A2427B">
        <w:rPr>
          <w:sz w:val="14"/>
        </w:rPr>
        <w:t xml:space="preserve">, who stood before his colleagues in Baltimore and offered a mea culpa. Wright, who participated in the Texas commission’s bite-mark case review process, noted that for years he had stood before his fellow odontologists to say that bite-mark evidence was valuable. “I stand before you now to say I was wrong.” He </w:t>
      </w:r>
      <w:r w:rsidRPr="00A2427B">
        <w:rPr>
          <w:rStyle w:val="StyleUnderline"/>
        </w:rPr>
        <w:t xml:space="preserve">said that there were members of the community who had “very strongly requested, if not demanded” that the results of the 2015 study not be made public </w:t>
      </w:r>
      <w:r w:rsidRPr="00A2427B">
        <w:rPr>
          <w:sz w:val="14"/>
        </w:rPr>
        <w:t xml:space="preserve">and revealed that a subsequent study involving a smaller group of the most veteran examiners had yielded even worse results. Looking at the outcome, he said, “the light went off in my head and I said, ‘Do we really know what we’re doing?’” Ultimately, </w:t>
      </w:r>
      <w:r w:rsidRPr="00A2427B">
        <w:rPr>
          <w:rStyle w:val="StyleUnderline"/>
        </w:rPr>
        <w:t>Wright said that the entire field of bite-mark comparison had been built on decades of folly</w:t>
      </w:r>
      <w:r w:rsidRPr="00A2427B">
        <w:rPr>
          <w:sz w:val="14"/>
        </w:rPr>
        <w:t>: “We learned it because patterns were shown to us and we were told they were bite marks. They went into our memory bank and that’s what we compare” casework to, he said. “</w:t>
      </w:r>
      <w:r w:rsidRPr="00A2427B">
        <w:rPr>
          <w:rStyle w:val="StyleUnderline"/>
        </w:rPr>
        <w:t>A 40-year history of confirmation bias as the sole support for bite-mark evidence</w:t>
      </w:r>
      <w:r w:rsidRPr="00A2427B">
        <w:rPr>
          <w:sz w:val="14"/>
        </w:rPr>
        <w:t>. It cannot go on.”</w:t>
      </w:r>
      <w:r w:rsidRPr="00A2427B">
        <w:rPr>
          <w:rStyle w:val="StyleUnderline"/>
        </w:rPr>
        <w:t xml:space="preserve"> </w:t>
      </w:r>
    </w:p>
    <w:p w14:paraId="21BC7DFD" w14:textId="702D19EF" w:rsidR="00BB665C" w:rsidRPr="00A2427B" w:rsidRDefault="005D0F7C" w:rsidP="00BB665C">
      <w:pPr>
        <w:pStyle w:val="Heading4"/>
        <w:rPr>
          <w:rStyle w:val="Style13ptBold"/>
          <w:b/>
          <w:bCs w:val="0"/>
        </w:rPr>
      </w:pPr>
      <w:r w:rsidRPr="00A2427B">
        <w:rPr>
          <w:rStyle w:val="Style13ptBold"/>
          <w:b/>
          <w:bCs w:val="0"/>
        </w:rPr>
        <w:t>There is substantial industry backlash to the counterplan – only the plan can solve</w:t>
      </w:r>
    </w:p>
    <w:p w14:paraId="573A0988" w14:textId="77777777" w:rsidR="00BB665C" w:rsidRPr="00A2427B" w:rsidRDefault="00BB665C" w:rsidP="00BB665C">
      <w:r w:rsidRPr="00A2427B">
        <w:rPr>
          <w:rStyle w:val="Style13ptBold"/>
        </w:rPr>
        <w:t>Segura and Smith 19</w:t>
      </w:r>
      <w:r w:rsidRPr="00A2427B">
        <w:t>, Liliana Segura, Jordan Smith, "Ten Years After a Landmark Study Blew the Whistle on Junk Science, the Fight Over Forensics Rages On," Intercept, 5-5-2019, https://theintercept.com/2019/05/05/forensic-evidence-aafs-junk-science/ dw</w:t>
      </w:r>
    </w:p>
    <w:p w14:paraId="688C9034" w14:textId="77777777" w:rsidR="00BB665C" w:rsidRPr="00A2427B" w:rsidRDefault="00BB665C" w:rsidP="00BB665C">
      <w:pPr>
        <w:rPr>
          <w:sz w:val="14"/>
        </w:rPr>
      </w:pPr>
      <w:r w:rsidRPr="00A2427B">
        <w:rPr>
          <w:sz w:val="14"/>
        </w:rPr>
        <w:t xml:space="preserve">All of this made </w:t>
      </w:r>
      <w:r w:rsidRPr="00A2427B">
        <w:rPr>
          <w:rStyle w:val="StyleUnderline"/>
        </w:rPr>
        <w:t>the opening plenary</w:t>
      </w:r>
      <w:r w:rsidRPr="00A2427B">
        <w:rPr>
          <w:sz w:val="14"/>
        </w:rPr>
        <w:t xml:space="preserve"> that much more vexing. Among AAFS regulars, the reactions ranged from weary indifference to indignation. Some were less bothered by Hunt’s haughty sermon — some version of which they have come to expect from him — than by the speech that preceded it. It </w:t>
      </w:r>
      <w:r w:rsidRPr="00A2427B">
        <w:rPr>
          <w:rStyle w:val="StyleUnderline"/>
        </w:rPr>
        <w:t>was delivered by Bonnie Armstrong</w:t>
      </w:r>
      <w:r w:rsidRPr="00A2427B">
        <w:rPr>
          <w:sz w:val="14"/>
        </w:rPr>
        <w:t xml:space="preserve">, founder and </w:t>
      </w:r>
      <w:r w:rsidRPr="00A2427B">
        <w:rPr>
          <w:rStyle w:val="StyleUnderline"/>
        </w:rPr>
        <w:t>president</w:t>
      </w:r>
      <w:r w:rsidRPr="00A2427B">
        <w:rPr>
          <w:sz w:val="14"/>
        </w:rPr>
        <w:t xml:space="preserve"> </w:t>
      </w:r>
      <w:r w:rsidRPr="00A2427B">
        <w:rPr>
          <w:rStyle w:val="StyleUnderline"/>
        </w:rPr>
        <w:t>of</w:t>
      </w:r>
      <w:r w:rsidRPr="00A2427B">
        <w:rPr>
          <w:sz w:val="14"/>
        </w:rPr>
        <w:t xml:space="preserve"> an organization called </w:t>
      </w:r>
      <w:r w:rsidRPr="00A2427B">
        <w:rPr>
          <w:rStyle w:val="StyleUnderline"/>
        </w:rPr>
        <w:t>the Shaken Baby Alliance</w:t>
      </w:r>
      <w:r w:rsidRPr="00A2427B">
        <w:rPr>
          <w:sz w:val="14"/>
        </w:rPr>
        <w:t xml:space="preserve">. Although it remains widely enshrined in medical literature, the diagnosis once known as </w:t>
      </w:r>
      <w:r w:rsidRPr="00A2427B">
        <w:rPr>
          <w:rStyle w:val="StyleUnderline"/>
        </w:rPr>
        <w:t>Shaken Baby Syndrome is a cautionary</w:t>
      </w:r>
      <w:r w:rsidRPr="00A2427B">
        <w:rPr>
          <w:sz w:val="14"/>
        </w:rPr>
        <w:t xml:space="preserve"> </w:t>
      </w:r>
      <w:r w:rsidRPr="00A2427B">
        <w:rPr>
          <w:rStyle w:val="StyleUnderline"/>
        </w:rPr>
        <w:t>tale</w:t>
      </w:r>
      <w:r w:rsidRPr="00A2427B">
        <w:rPr>
          <w:sz w:val="14"/>
        </w:rPr>
        <w:t xml:space="preserve">. First coined in 1971 by a pediatric neurosurgeon who identified a “triad” of symptoms as proof that an infant was subjected to violent shaking, </w:t>
      </w:r>
      <w:r w:rsidRPr="00A2427B">
        <w:rPr>
          <w:rStyle w:val="StyleUnderline"/>
        </w:rPr>
        <w:t>the concept has since been thoroughly debunked</w:t>
      </w:r>
      <w:r w:rsidRPr="00A2427B">
        <w:rPr>
          <w:sz w:val="14"/>
        </w:rPr>
        <w:t xml:space="preserve">. Today </w:t>
      </w:r>
      <w:r w:rsidRPr="00A2427B">
        <w:rPr>
          <w:rStyle w:val="StyleUnderline"/>
        </w:rPr>
        <w:t>SBS is an emblem of the kind of junk science that sends innocent people to prison</w:t>
      </w:r>
      <w:r w:rsidRPr="00A2427B">
        <w:rPr>
          <w:sz w:val="14"/>
        </w:rPr>
        <w:t xml:space="preserve">; </w:t>
      </w:r>
      <w:r w:rsidRPr="00A2427B">
        <w:rPr>
          <w:rStyle w:val="StyleUnderline"/>
        </w:rPr>
        <w:t>the National Registry of Exonerations lists 17 cases involving an SBS diagnosis</w:t>
      </w:r>
      <w:r w:rsidRPr="00A2427B">
        <w:rPr>
          <w:sz w:val="14"/>
        </w:rPr>
        <w:t xml:space="preserve"> — </w:t>
      </w:r>
      <w:r w:rsidRPr="00A2427B">
        <w:rPr>
          <w:rStyle w:val="StyleUnderline"/>
        </w:rPr>
        <w:t>in 16 of those, it was ultimately determined that there was no crime at all</w:t>
      </w:r>
      <w:r w:rsidRPr="00A2427B">
        <w:rPr>
          <w:sz w:val="14"/>
        </w:rPr>
        <w:t xml:space="preserve">. </w:t>
      </w:r>
      <w:r w:rsidRPr="00A2427B">
        <w:rPr>
          <w:rStyle w:val="StyleUnderline"/>
        </w:rPr>
        <w:t>The most recent exoneration took place last year</w:t>
      </w:r>
      <w:r w:rsidRPr="00A2427B">
        <w:rPr>
          <w:sz w:val="14"/>
        </w:rPr>
        <w:t xml:space="preserve">, in the case of Zavion Johnson, a Sacramento man accused of violently shaking his 4-month-old baby girl to death. Johnson was only 18 years old when he called 911 to report that his child was unresponsive. </w:t>
      </w:r>
      <w:r w:rsidRPr="00A2427B">
        <w:rPr>
          <w:rStyle w:val="StyleUnderline"/>
        </w:rPr>
        <w:t>He spent 10 years in prison before prosecutors finally dismissed the charges</w:t>
      </w:r>
      <w:r w:rsidRPr="00A2427B">
        <w:rPr>
          <w:sz w:val="14"/>
        </w:rPr>
        <w:t xml:space="preserve"> against him in January 2018. A former kindergarten teacher from Texas, </w:t>
      </w:r>
      <w:r w:rsidRPr="00A2427B">
        <w:rPr>
          <w:rStyle w:val="StyleUnderline"/>
        </w:rPr>
        <w:t>Armstrong did not address the controversy over SBS,</w:t>
      </w:r>
      <w:r w:rsidRPr="00A2427B">
        <w:rPr>
          <w:sz w:val="14"/>
        </w:rPr>
        <w:t xml:space="preserve"> except as a brief aside about the founding of her advocacy group (“Oh how I wish we’d never used that name”). She began with a harrowing description of being raped by a stranger at a rest stop when she was 13 years old, then moved to the story behind the Shaken Baby Alliance. The organization was inspired by her adoptive daughter, Tiffany, who was brutally attacked by her biological father when she was a baby in 1994. Tiffany had been “shaken violently and beaten with a baseball bat,” Armstrong said. Doctors gave a diagnosis of Shaken Baby Syndrome. Armstrong was certainly sympathetic — and her account deeply disturbing. But her speech raised red flags. For one, there was the rather salient question of how a finding of SBS might relate to a baby being beaten with a baseball bat. More importantly, </w:t>
      </w:r>
      <w:r w:rsidRPr="00A2427B">
        <w:rPr>
          <w:rStyle w:val="StyleUnderline"/>
        </w:rPr>
        <w:t xml:space="preserve">given the well-documented problems with SBS, why would AAFS place it center stage at an event ostensibly devoted to science? </w:t>
      </w:r>
      <w:r w:rsidRPr="00A2427B">
        <w:rPr>
          <w:sz w:val="14"/>
        </w:rPr>
        <w:t xml:space="preserve">One attendee, </w:t>
      </w:r>
      <w:r w:rsidRPr="00A2427B">
        <w:rPr>
          <w:rStyle w:val="StyleUnderline"/>
        </w:rPr>
        <w:t>Michael Risinger</w:t>
      </w:r>
      <w:r w:rsidRPr="00A2427B">
        <w:rPr>
          <w:sz w:val="14"/>
        </w:rPr>
        <w:t xml:space="preserve">, </w:t>
      </w:r>
      <w:r w:rsidRPr="00A2427B">
        <w:rPr>
          <w:rStyle w:val="StyleUnderline"/>
        </w:rPr>
        <w:t>a law professor and expert on forensic evidence</w:t>
      </w:r>
      <w:r w:rsidRPr="00A2427B">
        <w:rPr>
          <w:sz w:val="14"/>
        </w:rPr>
        <w:t xml:space="preserve">, walked out during the speech. He </w:t>
      </w:r>
      <w:r w:rsidRPr="00A2427B">
        <w:rPr>
          <w:rStyle w:val="StyleUnderline"/>
        </w:rPr>
        <w:t>was dismayed that there was no one to provide the necessary scientific balance or context. “If the point of this was not to rally the troops to</w:t>
      </w:r>
      <w:r w:rsidRPr="00A2427B">
        <w:rPr>
          <w:sz w:val="14"/>
        </w:rPr>
        <w:t xml:space="preserve"> … </w:t>
      </w:r>
      <w:r w:rsidRPr="00A2427B">
        <w:rPr>
          <w:rStyle w:val="StyleUnderline"/>
        </w:rPr>
        <w:t>evaluate the scientific basis</w:t>
      </w:r>
      <w:r w:rsidRPr="00A2427B">
        <w:rPr>
          <w:sz w:val="14"/>
        </w:rPr>
        <w:t xml:space="preserve"> of these things with a sort of rational and truth-conducive neutral eye, </w:t>
      </w:r>
      <w:r w:rsidRPr="00A2427B">
        <w:rPr>
          <w:rStyle w:val="StyleUnderline"/>
        </w:rPr>
        <w:t>then I don’t know what the point of it was</w:t>
      </w:r>
      <w:r w:rsidRPr="00A2427B">
        <w:rPr>
          <w:sz w:val="14"/>
        </w:rPr>
        <w:t xml:space="preserve">,” he said. </w:t>
      </w:r>
      <w:r w:rsidRPr="00A2427B">
        <w:rPr>
          <w:rStyle w:val="StyleUnderline"/>
        </w:rPr>
        <w:t>The presentation reminded Risinger of a past AAFS plenary</w:t>
      </w:r>
      <w:r w:rsidRPr="00A2427B">
        <w:rPr>
          <w:sz w:val="14"/>
        </w:rPr>
        <w:t xml:space="preserve"> featuring an “awful film about abused babies,” courtesy of the odontology section. </w:t>
      </w:r>
      <w:r w:rsidRPr="00A2427B">
        <w:rPr>
          <w:rStyle w:val="StyleUnderline"/>
        </w:rPr>
        <w:t>Such things might be powerful calls to action</w:t>
      </w:r>
      <w:r w:rsidRPr="00A2427B">
        <w:rPr>
          <w:sz w:val="14"/>
        </w:rPr>
        <w:t xml:space="preserve"> — as Armstrong put it, “your work matters” — but </w:t>
      </w:r>
      <w:r w:rsidRPr="00A2427B">
        <w:rPr>
          <w:rStyle w:val="StyleUnderline"/>
        </w:rPr>
        <w:t>they do nothing to contribute to sound science</w:t>
      </w:r>
      <w:r w:rsidRPr="00A2427B">
        <w:rPr>
          <w:sz w:val="14"/>
        </w:rPr>
        <w:t>. This was especially disconcerting given the recent backsliding in reform efforts. To be fair, several academy members pointed out that the plenary session is shaped by whoever is in charge year after year and not necessarily indicative of a larger shift in mission. John Lentini, a top fire scientist and longtime leader within the criminalistics section, said that in fact, AAFS has come a long way. Like forensic techniques themselves, which grew mostly out of the needs of law enforcement rather than the work of scientific researchers, the organization evolved from a prosecutorial mindset. “</w:t>
      </w:r>
      <w:r w:rsidRPr="00A2427B">
        <w:rPr>
          <w:rStyle w:val="StyleUnderline"/>
        </w:rPr>
        <w:t>If you look at the history of AAFS, they’ve always been a police laboratory organization</w:t>
      </w:r>
      <w:r w:rsidRPr="00A2427B">
        <w:rPr>
          <w:sz w:val="14"/>
        </w:rPr>
        <w:t xml:space="preserve">,” Lentini said. In the early 1970s, he said, </w:t>
      </w:r>
      <w:r w:rsidRPr="00A2427B">
        <w:rPr>
          <w:rStyle w:val="StyleUnderline"/>
        </w:rPr>
        <w:t>the organization refused to give fellowship status to Paul Kirk</w:t>
      </w:r>
      <w:r w:rsidRPr="00A2427B">
        <w:rPr>
          <w:sz w:val="14"/>
        </w:rPr>
        <w:t xml:space="preserve">, “one of the great forensic scientists of the 20th century,” </w:t>
      </w:r>
      <w:r w:rsidRPr="00A2427B">
        <w:rPr>
          <w:rStyle w:val="StyleUnderline"/>
        </w:rPr>
        <w:t>because he worked for famed criminal defense attorney Lee Bailey</w:t>
      </w:r>
      <w:r w:rsidRPr="00A2427B">
        <w:rPr>
          <w:sz w:val="14"/>
        </w:rPr>
        <w:t>. “The academy has certainly reformed because now the highest award in the criminalistics section is the Paul L. Kirk Award,” Lentini said. “He didn’t get the honor in his lifetime, but they came around to it.”</w:t>
      </w:r>
    </w:p>
    <w:p w14:paraId="080E2560" w14:textId="77777777" w:rsidR="00BB665C" w:rsidRPr="00A2427B" w:rsidRDefault="00BB665C" w:rsidP="00BB665C"/>
    <w:p w14:paraId="378DF85A" w14:textId="7481EE12" w:rsidR="00A95652" w:rsidRPr="00A2427B" w:rsidRDefault="00BB665C" w:rsidP="00BB665C">
      <w:pPr>
        <w:pStyle w:val="Heading1"/>
      </w:pPr>
      <w:r w:rsidRPr="00A2427B">
        <w:t>2</w:t>
      </w:r>
      <w:r w:rsidR="00EA10DD" w:rsidRPr="00A2427B">
        <w:t>AC</w:t>
      </w:r>
      <w:r w:rsidRPr="00A2427B">
        <w:t xml:space="preserve"> DAs</w:t>
      </w:r>
    </w:p>
    <w:p w14:paraId="6F620E6C" w14:textId="7D46F7AC" w:rsidR="00833213" w:rsidRPr="00A2427B" w:rsidRDefault="00833213" w:rsidP="00BB665C">
      <w:pPr>
        <w:pStyle w:val="Heading2"/>
      </w:pPr>
      <w:r w:rsidRPr="00A2427B">
        <w:t>Backlash</w:t>
      </w:r>
    </w:p>
    <w:p w14:paraId="26988D4D" w14:textId="5F127F37" w:rsidR="00025F87" w:rsidRPr="00A2427B" w:rsidRDefault="00EA10DD" w:rsidP="00025F87">
      <w:pPr>
        <w:pStyle w:val="Heading3"/>
      </w:pPr>
      <w:r w:rsidRPr="00A2427B">
        <w:t xml:space="preserve">2AC – Thumper </w:t>
      </w:r>
    </w:p>
    <w:p w14:paraId="1B0DD78F" w14:textId="26A98B8B" w:rsidR="00B06773" w:rsidRPr="00A2427B" w:rsidRDefault="00B06773" w:rsidP="00B06773">
      <w:pPr>
        <w:pStyle w:val="Heading4"/>
      </w:pPr>
      <w:r w:rsidRPr="00A2427B">
        <w:t>Massive forensic science reforms have already occurred under Obama</w:t>
      </w:r>
    </w:p>
    <w:p w14:paraId="74AD462A" w14:textId="5117A95B" w:rsidR="00833213" w:rsidRPr="00A2427B" w:rsidRDefault="00B06773" w:rsidP="00833213">
      <w:r w:rsidRPr="00A2427B">
        <w:rPr>
          <w:rStyle w:val="Style13ptBold"/>
        </w:rPr>
        <w:t>Wilson 17</w:t>
      </w:r>
      <w:r w:rsidR="00833213" w:rsidRPr="00A2427B">
        <w:t xml:space="preserve">, Mark Wilson, "Trump Administration Kills Obama’s Forensic Evidence Reliability Reform Efforts," </w:t>
      </w:r>
      <w:r w:rsidRPr="00A2427B">
        <w:t>Criminal Legal News</w:t>
      </w:r>
      <w:r w:rsidR="00833213" w:rsidRPr="00A2427B">
        <w:t>, 12-19-2017, https://www.criminallegalnews.org/news/2017/dec/19/trump-administration-kills-obamas-forensic-evidence-reliability-reform-efforts/ dw</w:t>
      </w:r>
    </w:p>
    <w:p w14:paraId="459C27D0" w14:textId="2E2AC8AE" w:rsidR="00833213" w:rsidRPr="00A2427B" w:rsidRDefault="00833213" w:rsidP="00833213">
      <w:pPr>
        <w:rPr>
          <w:rStyle w:val="StyleUnderline"/>
        </w:rPr>
      </w:pPr>
      <w:r w:rsidRPr="00A2427B">
        <w:rPr>
          <w:sz w:val="14"/>
        </w:rPr>
        <w:t xml:space="preserve">Nothing could have been further from the truth. </w:t>
      </w:r>
      <w:r w:rsidRPr="00A2427B">
        <w:rPr>
          <w:rStyle w:val="StyleUnderline"/>
        </w:rPr>
        <w:t>Throughout the Obama presidency</w:t>
      </w:r>
      <w:r w:rsidRPr="00A2427B">
        <w:rPr>
          <w:sz w:val="14"/>
        </w:rPr>
        <w:t xml:space="preserve">, </w:t>
      </w:r>
      <w:r w:rsidRPr="00A2427B">
        <w:rPr>
          <w:rStyle w:val="StyleUnderline"/>
        </w:rPr>
        <w:t>the commission prompted several important reforms</w:t>
      </w:r>
      <w:r w:rsidRPr="00A2427B">
        <w:rPr>
          <w:sz w:val="14"/>
        </w:rPr>
        <w:t xml:space="preserve">. For example, </w:t>
      </w:r>
      <w:r w:rsidRPr="00A2427B">
        <w:rPr>
          <w:rStyle w:val="StyleUnderline"/>
        </w:rPr>
        <w:t>Attorney General Loretta Lynch accepted</w:t>
      </w:r>
      <w:r w:rsidRPr="00A2427B">
        <w:rPr>
          <w:sz w:val="14"/>
        </w:rPr>
        <w:t xml:space="preserve"> commission </w:t>
      </w:r>
      <w:r w:rsidRPr="00A2427B">
        <w:rPr>
          <w:rStyle w:val="Emphasis"/>
        </w:rPr>
        <w:t>recommendations for the adoption of new accreditation and ethical standards for forensic labs and practitioners</w:t>
      </w:r>
      <w:r w:rsidRPr="00A2427B">
        <w:rPr>
          <w:sz w:val="14"/>
        </w:rPr>
        <w:t>. She did, however, reject an important recommendation that would have required expert witnesses to disclose error rates in their testimony and refrain from using methods that have not been scientifically verified.</w:t>
      </w:r>
      <w:r w:rsidR="00B06773" w:rsidRPr="00A2427B">
        <w:rPr>
          <w:sz w:val="14"/>
        </w:rPr>
        <w:t xml:space="preserve"> </w:t>
      </w:r>
      <w:r w:rsidRPr="00A2427B">
        <w:rPr>
          <w:rStyle w:val="StyleUnderline"/>
        </w:rPr>
        <w:t>Another recommendation resulted in a $20 million research project to study crime lab techniques used more than 100,000 times a year</w:t>
      </w:r>
      <w:r w:rsidRPr="00A2427B">
        <w:rPr>
          <w:sz w:val="14"/>
        </w:rPr>
        <w:t xml:space="preserve">, </w:t>
      </w:r>
      <w:r w:rsidRPr="00A2427B">
        <w:rPr>
          <w:rStyle w:val="StyleUnderline"/>
        </w:rPr>
        <w:t>including questions about how frequently claimed matches of pattern-based evidence such as complex DNA profile mixtures, firearms, and bite-mark tracing may be erroneous</w:t>
      </w:r>
      <w:r w:rsidRPr="00A2427B">
        <w:rPr>
          <w:sz w:val="14"/>
        </w:rPr>
        <w:t>. The Trump Administration has ignored other recommendations, including a proposal for new, department-wide standards for examining and reporting forensic evidence in criminal courts across the nation.</w:t>
      </w:r>
      <w:r w:rsidR="00B06773" w:rsidRPr="00A2427B">
        <w:rPr>
          <w:sz w:val="14"/>
        </w:rPr>
        <w:t xml:space="preserve"> </w:t>
      </w:r>
      <w:r w:rsidRPr="00A2427B">
        <w:rPr>
          <w:rStyle w:val="StyleUnderline"/>
        </w:rPr>
        <w:t>Other reforms are</w:t>
      </w:r>
      <w:r w:rsidRPr="00A2427B">
        <w:rPr>
          <w:sz w:val="14"/>
        </w:rPr>
        <w:t xml:space="preserve"> likely </w:t>
      </w:r>
      <w:r w:rsidRPr="00A2427B">
        <w:rPr>
          <w:rStyle w:val="StyleUnderline"/>
        </w:rPr>
        <w:t>an extension of the commission’s work</w:t>
      </w:r>
      <w:r w:rsidRPr="00A2427B">
        <w:rPr>
          <w:sz w:val="14"/>
        </w:rPr>
        <w:t xml:space="preserve">. In 2016, for example, FBI Director James </w:t>
      </w:r>
      <w:r w:rsidRPr="00A2427B">
        <w:rPr>
          <w:rStyle w:val="StyleUnderline"/>
        </w:rPr>
        <w:t>Comey</w:t>
      </w:r>
      <w:r w:rsidRPr="00A2427B">
        <w:rPr>
          <w:sz w:val="14"/>
        </w:rPr>
        <w:t xml:space="preserve">, who has since been fired by President Trump, </w:t>
      </w:r>
      <w:r w:rsidRPr="00A2427B">
        <w:rPr>
          <w:rStyle w:val="StyleUnderline"/>
        </w:rPr>
        <w:t>asked state and local crime labs to review FBI hair-comparison cases.</w:t>
      </w:r>
      <w:r w:rsidRPr="00A2427B">
        <w:rPr>
          <w:sz w:val="14"/>
        </w:rPr>
        <w:t xml:space="preserve"> Criminal convictions in at least a dozen states are currently under review, according to the National Association of Criminal Defense Lawyers (“NACDL”). “We want to make sure there aren’t other innocent people in jail based on our work,” Comey wrote in a June 2016 letter. “Unfortunately, in a large number of cases, our examiners made statements that went too far in explaining the significance of a hair comparison and could have misled a jury or judge.”</w:t>
      </w:r>
      <w:r w:rsidR="00B06773" w:rsidRPr="00A2427B">
        <w:rPr>
          <w:sz w:val="14"/>
        </w:rPr>
        <w:t xml:space="preserve"> </w:t>
      </w:r>
      <w:r w:rsidRPr="00A2427B">
        <w:rPr>
          <w:sz w:val="14"/>
        </w:rPr>
        <w:t>After the Justice Department and FBI admitted in 2015 that two dozen examiners in one of its forensic labs had given flawed testimony in hundreds of cases</w:t>
      </w:r>
      <w:r w:rsidRPr="00A2427B">
        <w:rPr>
          <w:rStyle w:val="StyleUnderline"/>
        </w:rPr>
        <w:t>, the Obama Justice Department also initiated a 2016 review of expert testimony across several disciplines</w:t>
      </w:r>
      <w:r w:rsidRPr="00A2427B">
        <w:rPr>
          <w:sz w:val="14"/>
        </w:rPr>
        <w:t xml:space="preserve">. </w:t>
      </w:r>
      <w:r w:rsidRPr="00A2427B">
        <w:rPr>
          <w:rStyle w:val="StyleUnderline"/>
        </w:rPr>
        <w:t>The review was based on findings that for years nearly all FBI experts overstated and gave scientifically misleading testimony</w:t>
      </w:r>
      <w:r w:rsidRPr="00A2427B">
        <w:rPr>
          <w:sz w:val="14"/>
        </w:rPr>
        <w:t xml:space="preserve"> concerning FBI laboratory techniques related to the tracing of crime scene hairs based on microscopic examinations and of bullets based on chemical composition.</w:t>
      </w:r>
      <w:r w:rsidR="00B06773" w:rsidRPr="00A2427B">
        <w:rPr>
          <w:sz w:val="14"/>
        </w:rPr>
        <w:t xml:space="preserve"> </w:t>
      </w:r>
      <w:r w:rsidRPr="00A2427B">
        <w:rPr>
          <w:sz w:val="14"/>
        </w:rPr>
        <w:t>“The authority afforded to scientific experts is second to none, and we must make sure that our statements are clearly supported by sound science,” wrote then-Deputy Attorney General Sally Yates, who was also terminated by President Trump. Yates said in February 2016 that the goal of the expanded Justice Department review was to determine whether “the same kind of ‘testimonial overstatement’...could have crept into other disciplines.”</w:t>
      </w:r>
      <w:r w:rsidR="00B06773" w:rsidRPr="00A2427B">
        <w:rPr>
          <w:sz w:val="14"/>
        </w:rPr>
        <w:t xml:space="preserve"> </w:t>
      </w:r>
      <w:r w:rsidRPr="00A2427B">
        <w:rPr>
          <w:sz w:val="14"/>
        </w:rPr>
        <w:t>Sessions announced that he is also suspending this wider review of expert testimony, according to Office of Legal Policy Senior Counsel Kira Antell.</w:t>
      </w:r>
      <w:r w:rsidR="00B06773" w:rsidRPr="00A2427B">
        <w:rPr>
          <w:sz w:val="14"/>
        </w:rPr>
        <w:t xml:space="preserve"> </w:t>
      </w:r>
      <w:r w:rsidRPr="00A2427B">
        <w:rPr>
          <w:sz w:val="14"/>
        </w:rPr>
        <w:t xml:space="preserve">“The reliance of law enforcement on questionable science and the overstatement of the reliability of that science has been a leading cause of the wrongful conviction of innocent people,” said NACDL President Barry Pollack. “The reason </w:t>
      </w:r>
      <w:r w:rsidRPr="00A2427B">
        <w:rPr>
          <w:rStyle w:val="StyleUnderline"/>
        </w:rPr>
        <w:t>the National Commission on Forensic Science has been so important is that it includes leading independent scientists, allowing an unbiased expert evaluation of which techniques are scientifically valid and which are not.”</w:t>
      </w:r>
    </w:p>
    <w:p w14:paraId="49B766E4" w14:textId="701F0964" w:rsidR="009F3EEF" w:rsidRPr="00A2427B" w:rsidRDefault="00EA10DD" w:rsidP="009F3EEF">
      <w:pPr>
        <w:pStyle w:val="Heading3"/>
      </w:pPr>
      <w:r w:rsidRPr="00A2427B">
        <w:t xml:space="preserve">2Ac – Link </w:t>
      </w:r>
    </w:p>
    <w:p w14:paraId="1BF30B67" w14:textId="77777777" w:rsidR="009F3EEF" w:rsidRPr="00A2427B" w:rsidRDefault="009F3EEF" w:rsidP="009F3EEF">
      <w:pPr>
        <w:pStyle w:val="Heading4"/>
      </w:pPr>
      <w:r w:rsidRPr="00A2427B">
        <w:t xml:space="preserve">Federal Rules of Evidence changes and court-centered rulemaking buffer from external environmental pressures – it rests with the courts not individual rule makers </w:t>
      </w:r>
    </w:p>
    <w:p w14:paraId="56092856" w14:textId="77777777" w:rsidR="009F3EEF" w:rsidRPr="00A2427B" w:rsidRDefault="009F3EEF" w:rsidP="009F3EEF">
      <w:r w:rsidRPr="00A2427B">
        <w:rPr>
          <w:rStyle w:val="Style13ptBold"/>
        </w:rPr>
        <w:t xml:space="preserve">Singer 19 </w:t>
      </w:r>
      <w:r w:rsidRPr="00A2427B">
        <w:t xml:space="preserve">Jordan M. Singer Professor of Law, New England Law | Boston , The Federal Courts’ Rulemaking Buffer, 60 Wm. &amp; Mary L. Rev. 2239 (2019), </w:t>
      </w:r>
      <w:hyperlink r:id="rId35" w:history="1">
        <w:r w:rsidRPr="00A2427B">
          <w:rPr>
            <w:rStyle w:val="Hyperlink"/>
          </w:rPr>
          <w:t>https://scholarship.law.wm.edu/wmlr/vol60/iss6/5</w:t>
        </w:r>
      </w:hyperlink>
      <w:r w:rsidRPr="00A2427B">
        <w:t xml:space="preserve"> dw</w:t>
      </w:r>
    </w:p>
    <w:p w14:paraId="385D54BE" w14:textId="77777777" w:rsidR="009F3EEF" w:rsidRPr="00A2427B" w:rsidRDefault="009F3EEF" w:rsidP="009F3EEF">
      <w:pPr>
        <w:rPr>
          <w:sz w:val="14"/>
        </w:rPr>
      </w:pPr>
      <w:r w:rsidRPr="00A2427B">
        <w:rPr>
          <w:sz w:val="14"/>
        </w:rPr>
        <w:t xml:space="preserve">For a coequal branch of the most powerful government on the planet, </w:t>
      </w:r>
      <w:r w:rsidRPr="00A2427B">
        <w:rPr>
          <w:rStyle w:val="StyleUnderline"/>
        </w:rPr>
        <w:t>the United States courts operate under a remarkable amount of environmental uncertainty</w:t>
      </w:r>
      <w:r w:rsidRPr="00A2427B">
        <w:rPr>
          <w:sz w:val="14"/>
        </w:rPr>
        <w:t xml:space="preserve">. Almost </w:t>
      </w:r>
      <w:r w:rsidRPr="00A2427B">
        <w:rPr>
          <w:rStyle w:val="StyleUnderline"/>
        </w:rPr>
        <w:t>every critical resource that the courts need to function must be obtained from somewhere else.</w:t>
      </w:r>
      <w:r w:rsidRPr="00A2427B">
        <w:rPr>
          <w:sz w:val="14"/>
        </w:rPr>
        <w:t xml:space="preserve"> The courts look to Congress for funding, judgeships, staffing, and jurisdiction; the executive branch for judicial nominations, budgeting input, courthouse security, and enforcement of decrees; the bar for a steady stream of justiciable cases and controversies; the media for dissemination of important messages; and the public for legitimacy. The federal courts depend on these providers to furnish resources not only in adequate amounts but also at predictable rates: the system cannot operate effectively, for example, if the number of incoming cases far exceeds the capacity of its courtrooms or judges. </w:t>
      </w:r>
      <w:r w:rsidRPr="00A2427B">
        <w:rPr>
          <w:rStyle w:val="StyleUnderline"/>
        </w:rPr>
        <w:t>The court system has a variety of methods for managing this resource dependency</w:t>
      </w:r>
      <w:r w:rsidRPr="00A2427B">
        <w:rPr>
          <w:sz w:val="14"/>
        </w:rPr>
        <w:t xml:space="preserve">. </w:t>
      </w:r>
      <w:r w:rsidRPr="00A2427B">
        <w:rPr>
          <w:rStyle w:val="StyleUnderline"/>
        </w:rPr>
        <w:t>Some strategies are</w:t>
      </w:r>
      <w:r w:rsidRPr="00A2427B">
        <w:rPr>
          <w:sz w:val="14"/>
        </w:rPr>
        <w:t xml:space="preserve"> outwardly focused, designed to extract additional support from external resource providers.1 Other strategies are </w:t>
      </w:r>
      <w:r w:rsidRPr="00A2427B">
        <w:rPr>
          <w:rStyle w:val="StyleUnderline"/>
        </w:rPr>
        <w:t>inwardly focused, designed to restructure the court system from within to help it manage its existing resources more effectively</w:t>
      </w:r>
      <w:r w:rsidRPr="00A2427B">
        <w:rPr>
          <w:sz w:val="14"/>
        </w:rPr>
        <w:t xml:space="preserve">.2 This Article focuses on one such internal strategy, known as buffering, and </w:t>
      </w:r>
      <w:r w:rsidRPr="00A2427B">
        <w:rPr>
          <w:rStyle w:val="StyleUnderline"/>
        </w:rPr>
        <w:t>one</w:t>
      </w:r>
      <w:r w:rsidRPr="00A2427B">
        <w:rPr>
          <w:sz w:val="14"/>
        </w:rPr>
        <w:t xml:space="preserve"> particularly potent </w:t>
      </w:r>
      <w:r w:rsidRPr="00A2427B">
        <w:rPr>
          <w:rStyle w:val="StyleUnderline"/>
        </w:rPr>
        <w:t>form of buffering—the crafting of procedural rules pursuant to the Rules Enabling Act.</w:t>
      </w:r>
      <w:r w:rsidRPr="00A2427B">
        <w:rPr>
          <w:sz w:val="14"/>
        </w:rPr>
        <w:t xml:space="preserve">3 </w:t>
      </w:r>
      <w:r w:rsidRPr="00A2427B">
        <w:rPr>
          <w:rStyle w:val="StyleUnderline"/>
        </w:rPr>
        <w:t>A buffer is a structure or process that is placed between an organization’s technical core and its external environment to protect the core from disruption</w:t>
      </w:r>
      <w:r w:rsidRPr="00A2427B">
        <w:rPr>
          <w:sz w:val="14"/>
        </w:rPr>
        <w:t xml:space="preserve">.4 Buffers absorb external shocks (such as changes in the flow of resources or demand for the organization’s services) so that the organization’s core operations can proceed under relatively stable and predictable conditions.5 A single organization can use several buffers in combination,6 and indeed, </w:t>
      </w:r>
      <w:r w:rsidRPr="00A2427B">
        <w:rPr>
          <w:rStyle w:val="StyleUnderline"/>
        </w:rPr>
        <w:t>the process of creating rules of procedure—what I shall call court-centered rulemaking—is but one of many internal buffers developed by the federal court system over the past century</w:t>
      </w:r>
      <w:r w:rsidRPr="00A2427B">
        <w:rPr>
          <w:sz w:val="14"/>
        </w:rPr>
        <w:t xml:space="preserve">. Court-centered rulemaking’s contribution to the federal court system’s network of buffers stems from its ability to regulate, in part, the flow of cases into and out of the system. The design of procedural rules can encourage or discourage case filing, make it easier or harder to end a case before trial, authorize greater or lesser expenditure of judicial time and resources, and invest district judges with more or less discretion to manage their individual dockets. </w:t>
      </w:r>
      <w:r w:rsidRPr="00A2427B">
        <w:rPr>
          <w:rStyle w:val="StyleUnderline"/>
        </w:rPr>
        <w:t>Procedural rules</w:t>
      </w:r>
      <w:r w:rsidRPr="00A2427B">
        <w:rPr>
          <w:sz w:val="14"/>
        </w:rPr>
        <w:t xml:space="preserve">, in other words, </w:t>
      </w:r>
      <w:r w:rsidRPr="00A2427B">
        <w:rPr>
          <w:rStyle w:val="StyleUnderline"/>
        </w:rPr>
        <w:t>act as safety valves for the court system</w:t>
      </w:r>
      <w:r w:rsidRPr="00A2427B">
        <w:rPr>
          <w:sz w:val="14"/>
        </w:rPr>
        <w:t xml:space="preserve">, allowing it to absorb an unexpected surge in filings or an unexpected drop in staffing or material resources. </w:t>
      </w:r>
      <w:r w:rsidRPr="00A2427B">
        <w:rPr>
          <w:rStyle w:val="StyleUnderline"/>
        </w:rPr>
        <w:t xml:space="preserve">The power to make procedural rules lowers the stakes of resource dependence, increasing the court system’s </w:t>
      </w:r>
      <w:r w:rsidRPr="00A2427B">
        <w:rPr>
          <w:rStyle w:val="Emphasis"/>
        </w:rPr>
        <w:t>overall autonomy</w:t>
      </w:r>
      <w:r w:rsidRPr="00A2427B">
        <w:rPr>
          <w:rStyle w:val="StyleUnderline"/>
        </w:rPr>
        <w:t xml:space="preserve"> and leaving it less susceptible to environmental disturbance. </w:t>
      </w:r>
      <w:r w:rsidRPr="00A2427B">
        <w:rPr>
          <w:sz w:val="14"/>
        </w:rPr>
        <w:t xml:space="preserve">Viewing court-centered rulemaking as a strategic buffer sheds light on two otherwise puzzling facts about the rulemaking process. First, it helps explain why an efficiency-driven, counter-majoritarian, adjudication-centered entity such as the federal court system chooses to engage in a time-consuming, quasi-democratic, and policy-driven activity such as procedural rulemaking. The disconnect between the demands of rulemaking and the traditional expertise of the court system could not be more evident: rulemaking is deliberately slow, forward-looking, and substantively flexible, while traditional adjudication prizes efficiency, adherence to historical facts, and substantive consistency.7 Yet the rulemaking buffer has proven to be so strategically important to the court system as an organization that it is willing to sublimate some of its core traditions and practices to maintain control over the rulemaking process.8 The buffering perspective also helps explain why the court system has allowed (and even encouraged) court-centered rulemaking to become progressively complex and hierarchical over time. Nearly all organizations prefer to operate their buffers privately and under strong internal supervision in order to maximize efficiency and minimize external interference.9 But </w:t>
      </w:r>
      <w:r w:rsidRPr="00A2427B">
        <w:rPr>
          <w:rStyle w:val="StyleUnderline"/>
        </w:rPr>
        <w:t>organizations with a strong public character, such as the federal court system, must also be sufficiently transparent about their procedures to preserve their legitimacy with the public</w:t>
      </w:r>
      <w:r w:rsidRPr="00A2427B">
        <w:rPr>
          <w:sz w:val="14"/>
        </w:rPr>
        <w:t xml:space="preserve">.10 </w:t>
      </w:r>
      <w:r w:rsidRPr="00A2427B">
        <w:rPr>
          <w:rStyle w:val="StyleUnderline"/>
        </w:rPr>
        <w:t>To view rulemaking as a buffer is to witness fully the tension between openness and control that pervades the federal court system’s internal operations</w:t>
      </w:r>
      <w:r w:rsidRPr="00A2427B">
        <w:rPr>
          <w:sz w:val="14"/>
        </w:rPr>
        <w:t xml:space="preserve">. The evolution of court-centered rulemaking, from the private deliberations of an elite group of lawyers in the 1930s to the far more complex and open process we see today, reflects the federal court system’s ongoing effort to find the right balance.11 More broadly, </w:t>
      </w:r>
      <w:r w:rsidRPr="00A2427B">
        <w:rPr>
          <w:rStyle w:val="Emphasis"/>
        </w:rPr>
        <w:t>the buffering perspective sees the federal court system—not individual rulemakers, judges, or lobbyists—as the chief protagonist in the rulemaking process</w:t>
      </w:r>
      <w:r w:rsidRPr="00A2427B">
        <w:rPr>
          <w:sz w:val="14"/>
        </w:rPr>
        <w:t>. To date, this view has been largely neglected. Committee- or judge-level analyses of rulemaking are surely important and add much to our understanding of group dynamics and rule interpretation. But only the organizational view can meaningfully situate the rulemaking process within the federal court system’s broader ambitions.</w:t>
      </w:r>
    </w:p>
    <w:p w14:paraId="3A6181A5" w14:textId="77777777" w:rsidR="009F3EEF" w:rsidRPr="00A2427B" w:rsidRDefault="009F3EEF" w:rsidP="00833213">
      <w:pPr>
        <w:rPr>
          <w:rStyle w:val="StyleUnderline"/>
        </w:rPr>
      </w:pPr>
    </w:p>
    <w:p w14:paraId="6D0B8F0C" w14:textId="46A2D213" w:rsidR="00BB665C" w:rsidRPr="00A2427B" w:rsidRDefault="00BB665C" w:rsidP="00BB665C">
      <w:pPr>
        <w:pStyle w:val="Heading2"/>
      </w:pPr>
      <w:r w:rsidRPr="00A2427B">
        <w:t>Court Clog</w:t>
      </w:r>
    </w:p>
    <w:p w14:paraId="60ADE703" w14:textId="577A2C53" w:rsidR="001E170A" w:rsidRPr="00A2427B" w:rsidRDefault="00EA10DD" w:rsidP="001E170A">
      <w:pPr>
        <w:pStyle w:val="Heading3"/>
      </w:pPr>
      <w:r w:rsidRPr="00A2427B">
        <w:t xml:space="preserve">2AC – UQ/LT </w:t>
      </w:r>
    </w:p>
    <w:p w14:paraId="37609608" w14:textId="4F61787F" w:rsidR="001E170A" w:rsidRPr="00A2427B" w:rsidRDefault="001E170A" w:rsidP="001E170A">
      <w:pPr>
        <w:pStyle w:val="Heading4"/>
      </w:pPr>
      <w:r w:rsidRPr="00A2427B">
        <w:t>Massive backlogs in forensic science processing thumps the DA – only the plan can solve by streamlining forensic resources</w:t>
      </w:r>
    </w:p>
    <w:p w14:paraId="6D01E18A" w14:textId="2CBFB508" w:rsidR="001E170A" w:rsidRPr="00A2427B" w:rsidRDefault="001E170A" w:rsidP="001E170A">
      <w:r w:rsidRPr="00A2427B">
        <w:rPr>
          <w:rStyle w:val="Style13ptBold"/>
        </w:rPr>
        <w:t>Roney 18</w:t>
      </w:r>
      <w:r w:rsidRPr="00A2427B">
        <w:t>, Marty Roney, "Justice delayed: Forensic scientists face crushing backlog that clogs judicial system," Montgomery Advertiser, 6-8-2018, https://www.montgomeryadvertiser.com/story/news/local/solutions-journalism/2018/06/08/justice-delayed-forensic-scientists-face-crushing-backlog-clogs-judicial-system/657299002/ dw</w:t>
      </w:r>
    </w:p>
    <w:p w14:paraId="15912B83" w14:textId="2C0E8679" w:rsidR="001E170A" w:rsidRPr="00A2427B" w:rsidRDefault="001E170A" w:rsidP="001E170A">
      <w:pPr>
        <w:rPr>
          <w:sz w:val="14"/>
        </w:rPr>
      </w:pPr>
      <w:r w:rsidRPr="00A2427B">
        <w:rPr>
          <w:rStyle w:val="StyleUnderline"/>
        </w:rPr>
        <w:t>Because of a backlog in key departments at the Alabama Department of Forensic Sciences</w:t>
      </w:r>
      <w:r w:rsidRPr="00A2427B">
        <w:rPr>
          <w:sz w:val="14"/>
        </w:rPr>
        <w:t xml:space="preserve">, </w:t>
      </w:r>
      <w:r w:rsidRPr="00A2427B">
        <w:rPr>
          <w:rStyle w:val="StyleUnderline"/>
        </w:rPr>
        <w:t>there is a delay in cases going to trial</w:t>
      </w:r>
      <w:r w:rsidRPr="00A2427B">
        <w:rPr>
          <w:sz w:val="14"/>
        </w:rPr>
        <w:t xml:space="preserve">. It’s not unusual to see </w:t>
      </w:r>
      <w:r w:rsidRPr="00A2427B">
        <w:rPr>
          <w:rStyle w:val="StyleUnderline"/>
        </w:rPr>
        <w:t>murder cases take two to three years to</w:t>
      </w:r>
      <w:r w:rsidRPr="00A2427B">
        <w:rPr>
          <w:sz w:val="14"/>
        </w:rPr>
        <w:t xml:space="preserve"> go before a jury, prosecutors in the state say. </w:t>
      </w:r>
      <w:r w:rsidRPr="00A2427B">
        <w:rPr>
          <w:rStyle w:val="StyleUnderline"/>
        </w:rPr>
        <w:t xml:space="preserve">Drug cases often </w:t>
      </w:r>
      <w:r w:rsidRPr="00A2427B">
        <w:rPr>
          <w:sz w:val="14"/>
        </w:rPr>
        <w:t xml:space="preserve">take </w:t>
      </w:r>
      <w:r w:rsidRPr="00A2427B">
        <w:rPr>
          <w:rStyle w:val="StyleUnderline"/>
        </w:rPr>
        <w:t>longer</w:t>
      </w:r>
      <w:r w:rsidRPr="00A2427B">
        <w:rPr>
          <w:sz w:val="14"/>
        </w:rPr>
        <w:t xml:space="preserve">, up to four years from time of arrest. The result: Victims, or their families, wait for resolution to often life-shattering events. There is the flip side to consider as well. </w:t>
      </w:r>
      <w:r w:rsidRPr="00A2427B">
        <w:rPr>
          <w:rStyle w:val="StyleUnderline"/>
        </w:rPr>
        <w:t>The accused</w:t>
      </w:r>
      <w:r w:rsidRPr="00A2427B">
        <w:rPr>
          <w:sz w:val="14"/>
        </w:rPr>
        <w:t xml:space="preserve"> have a right to clear their name. </w:t>
      </w:r>
      <w:r w:rsidRPr="00A2427B">
        <w:rPr>
          <w:rStyle w:val="StyleUnderline"/>
        </w:rPr>
        <w:t xml:space="preserve">If they happen to be out on bond on an unrelated case, that bond is often revoked if they are arrested again. That means staying in jail until their trial date. </w:t>
      </w:r>
      <w:r w:rsidRPr="00A2427B">
        <w:rPr>
          <w:sz w:val="14"/>
        </w:rPr>
        <w:t xml:space="preserve">Which leads to overcrowding at the county jail level. And sometimes, the wrong person is arrested. That’s why forensics results, which often offer the key pieces of evidence in any trial, are so important, said Montgomery County District Attorney Daryl Bailey. In his circuit, it’s not unusual to have a two-year delay on murder cases going to court. “No one wants to play a part in convicting the wrong person,” he said. “Our system depends on the public’s trust that the right person is held responsible. Also, if we don’t have the right person, the guilty party is still out there in the community. Still a threat. You can’t speed up forensics. They have to be given the time to do their jobs properly. “What they do is that important.” Forensics? Formed in 1935, the Alabama Department of Forensic Sciences is the second oldest state crime lab in the nation. It is an independent agency, among the few independent crime labs, joining Arkansas, Connecticut, Delaware, Virginia and the District of Columbia, said Angelo Della Manna, director of ADFS. In most states the crime lab falls under the direction of the state police. Alabama’s crime lab takes in evidence from 452 law enforcement agencies across the state. It is also charged with analyzing evidence submitted by defense attorneys. The agency’s purpose is to offer unbiased, scientific analysis of evidence in pursuit of justice, Della Manna said. </w:t>
      </w:r>
      <w:r w:rsidRPr="00A2427B">
        <w:rPr>
          <w:rStyle w:val="StyleUnderline"/>
        </w:rPr>
        <w:t>On average, 30,000 cases a year are submitted</w:t>
      </w:r>
      <w:r w:rsidRPr="00A2427B">
        <w:rPr>
          <w:sz w:val="14"/>
        </w:rPr>
        <w:t xml:space="preserve">. Della Manna stresses that </w:t>
      </w:r>
      <w:r w:rsidRPr="00A2427B">
        <w:rPr>
          <w:rStyle w:val="StyleUnderline"/>
        </w:rPr>
        <w:t>some cases</w:t>
      </w:r>
      <w:r w:rsidRPr="00A2427B">
        <w:rPr>
          <w:sz w:val="14"/>
        </w:rPr>
        <w:t xml:space="preserve">, murder cases being the most obvious, </w:t>
      </w:r>
      <w:r w:rsidRPr="00A2427B">
        <w:rPr>
          <w:rStyle w:val="StyleUnderline"/>
        </w:rPr>
        <w:t xml:space="preserve">can produce dozens of pieces of evidence that are reviewed by the different disciplines across the department. </w:t>
      </w:r>
      <w:r w:rsidRPr="00A2427B">
        <w:rPr>
          <w:sz w:val="14"/>
        </w:rPr>
        <w:t xml:space="preserve">So, just what does the ADFS do? This isn't "CSI" or any other TV series-related science. In the real world, a crime doesn’t occur and evidence isn’t analyzed over an hour with three commercial breaks. Most people know ADFS conducts autopsies where doctors, known as medical examiners, study bodies to determine the manner and cause of death. During the post-mortem process, evidence is collected and analyzed for presentation during trial. </w:t>
      </w:r>
      <w:r w:rsidRPr="00A2427B">
        <w:rPr>
          <w:rStyle w:val="StyleUnderline"/>
        </w:rPr>
        <w:t>The agency</w:t>
      </w:r>
      <w:r w:rsidRPr="00A2427B">
        <w:rPr>
          <w:sz w:val="14"/>
        </w:rPr>
        <w:t xml:space="preserve"> also </w:t>
      </w:r>
      <w:r w:rsidRPr="00A2427B">
        <w:rPr>
          <w:rStyle w:val="StyleUnderline"/>
        </w:rPr>
        <w:t>offers chemical analysis to help determine whether substances are legal or illegal drugs. DNA testing. Firearm and tool-mark analysis</w:t>
      </w:r>
      <w:r w:rsidRPr="00A2427B">
        <w:rPr>
          <w:sz w:val="14"/>
        </w:rPr>
        <w:t xml:space="preserve">, where ballistics can determine if a bullet recovered in a crime was fired from a certain firearm, </w:t>
      </w:r>
      <w:r w:rsidRPr="00A2427B">
        <w:rPr>
          <w:rStyle w:val="StyleUnderline"/>
        </w:rPr>
        <w:t>among other things</w:t>
      </w:r>
      <w:r w:rsidRPr="00A2427B">
        <w:rPr>
          <w:sz w:val="14"/>
        </w:rPr>
        <w:t xml:space="preserve">. The toxicology department determines what compounds were found in a person’s body. This is used in autopsies as well as cases involving driving under the influence charges. And it’s all about the science, Della Manna said. “People may have the impression that we would tend to side with law enforcement,” he said. “It’s the evidence for us. We have had officers turn in evidence in rape cases and tell us ‘This is the guy.’ But after DNA is analyzed, it's not the guy. And that’s what we tell the officers. “We don’t want the wrong person being convicted. We want the person that is guilty to be held accountable.” </w:t>
      </w:r>
      <w:r w:rsidRPr="00A2427B">
        <w:rPr>
          <w:rStyle w:val="StyleUnderline"/>
        </w:rPr>
        <w:t>Backlogs within the department began creeping in after 2009.</w:t>
      </w:r>
      <w:r w:rsidRPr="00A2427B">
        <w:rPr>
          <w:sz w:val="14"/>
        </w:rPr>
        <w:t xml:space="preserve"> And surprise, like most governmental operations in Alabama, its funding — or lack thereof — is to blame. The ADFS budget in 2009 went from about $14.3 million to about $8.5 million, Della Manna said. At the time, the department had 223 employees in laboratories across the state. After the budget knife did its damage, three smaller labs closed and were consolidated into their closest regional labs. The department began aggressive automation efforts to become more efficient, and started pursuing federal grants to help with the bottom line. Most departments within ADFS are completing work on cases within 90 days, Della Manna said. Firearms and tool marks and drug chemistry cases, however, are averaging about a one-year backlog. And since firearms are most often used in murders in Alabama, that is a major contributor to delays in such cases. The kicker is that </w:t>
      </w:r>
      <w:r w:rsidRPr="00A2427B">
        <w:rPr>
          <w:rStyle w:val="StyleUnderline"/>
        </w:rPr>
        <w:t>experienced scientists and technicians are either retiring or leaving for better-paying jobs</w:t>
      </w:r>
      <w:r w:rsidRPr="00A2427B">
        <w:rPr>
          <w:sz w:val="14"/>
        </w:rPr>
        <w:t xml:space="preserve"> elsewhere. And you just can’t bring in a new hire, put them in a white coat and point them to the microscope. In firearms and tool marks, for instance, </w:t>
      </w:r>
      <w:r w:rsidRPr="00A2427B">
        <w:rPr>
          <w:rStyle w:val="StyleUnderline"/>
        </w:rPr>
        <w:t>it takes 1 1/2 years of internal training to be certified</w:t>
      </w:r>
      <w:r w:rsidRPr="00A2427B">
        <w:rPr>
          <w:sz w:val="14"/>
        </w:rPr>
        <w:t xml:space="preserve">, said Michelle Cuenco, chief of the firearms and tool marks section in the Montgomery ADFS lab. “I like to use the comparison of an hour glass,” Della Manna said. “Each day we take in evidence from 452 law enforcement agencies, that’s the sand at the top. In the middle sits forensics sciences. The restrictions we have seen due to funding, hampers the sand from moving to the bottom of the hour glass, the courts and trials.” It’s not only Alabama’s crime lab seeing delays in cases. </w:t>
      </w:r>
      <w:r w:rsidRPr="00A2427B">
        <w:rPr>
          <w:rStyle w:val="StyleUnderline"/>
        </w:rPr>
        <w:t>The Arkansas State Crime Lab also sees backlogs in some departments</w:t>
      </w:r>
      <w:r w:rsidRPr="00A2427B">
        <w:rPr>
          <w:sz w:val="14"/>
        </w:rPr>
        <w:t xml:space="preserve">. The lab averages receiving 35,000 cases a year, said Cindy Herndon, assistant director. “A crime lab's case load is very unpredictable,” she said. “Once you see an increase in cases coming into the lab, you are already behind the power curve. We too have seen experienced scientists and technicians leave. They decide to go to medical school or law school. Or they go to better-paying jobs in related fields. So we lose that experience. “Training is key. We have to maintain our certifications and accreditation.” </w:t>
      </w:r>
      <w:r w:rsidRPr="00A2427B">
        <w:rPr>
          <w:rStyle w:val="StyleUnderline"/>
        </w:rPr>
        <w:t>The Virginia Department of Forensic Science</w:t>
      </w:r>
      <w:r w:rsidRPr="00A2427B">
        <w:rPr>
          <w:sz w:val="14"/>
        </w:rPr>
        <w:t xml:space="preserve"> posts a graphic on its website showing the average time it takes to complete cases. For April, drug, </w:t>
      </w:r>
      <w:r w:rsidRPr="00A2427B">
        <w:rPr>
          <w:rStyle w:val="StyleUnderline"/>
        </w:rPr>
        <w:t>firearms and forensic biology cases were averaging a 125-day turnaround</w:t>
      </w:r>
      <w:r w:rsidRPr="00A2427B">
        <w:rPr>
          <w:sz w:val="14"/>
        </w:rPr>
        <w:t xml:space="preserve">. In Virginia, the DFS doesn’t conduct autopsies, that falls to the state department of public health. The VDFS has 318 employees and just added six new positions. On average, the Virginia crime lab gets 30,000 drug cases a year, said Katya Herndon, chief deputy director. “Drug cases are getting more and more complicated,” she said. “We are seeing more synthetic drugs. You can see one compound changed slightly, or moved in the chain, and you’re looking at a completely different drug. It makes it very difficult to identify synthetic drugs.” Along with the scientific work, </w:t>
      </w:r>
      <w:r w:rsidRPr="00A2427B">
        <w:rPr>
          <w:rStyle w:val="StyleUnderline"/>
        </w:rPr>
        <w:t>many employees of ADFS have roles to play in trials</w:t>
      </w:r>
      <w:r w:rsidRPr="00A2427B">
        <w:rPr>
          <w:sz w:val="14"/>
        </w:rPr>
        <w:t xml:space="preserve">. </w:t>
      </w:r>
      <w:r w:rsidRPr="00A2427B">
        <w:rPr>
          <w:rStyle w:val="Emphasis"/>
        </w:rPr>
        <w:t xml:space="preserve">They are often called on to appear as witnesses for both the prosecution and defense, to present their reports and findings. That means time away from the lab so court duties can be handled. </w:t>
      </w:r>
      <w:r w:rsidRPr="00A2427B">
        <w:rPr>
          <w:sz w:val="14"/>
        </w:rPr>
        <w:t xml:space="preserve">Working back to the pre-2009 funding of $14.3 million isn’t required, but more money is needed, Della Manna said. “We have become more efficient through our automation program,” he said. “But we need more funding.” That’s a tall order, given the budget battles in Alabama during the past decade or so. But Della Manna has one influential legislator in his corner. “The Constitution guarantees a speedy and fair trial,” said state Sen. Clyde Chambliss, R-Prattville. “During the next session, I’ll do everything in my power to try and find a way to help them out.” The impacts </w:t>
      </w:r>
      <w:r w:rsidRPr="00A2427B">
        <w:rPr>
          <w:rStyle w:val="Emphasis"/>
        </w:rPr>
        <w:t>Delays in receiving completed forensics reports can mean logjams in the courts</w:t>
      </w:r>
      <w:r w:rsidRPr="00A2427B">
        <w:rPr>
          <w:sz w:val="14"/>
        </w:rPr>
        <w:t>. Obviously other factors can cause a delay in a case going to trial; conflicts with lawyers’ schedules, maybe having trouble getting an out of state witness to travel to Alabama. But forensics is the foundation that cases are built on.</w:t>
      </w:r>
    </w:p>
    <w:p w14:paraId="6F7BBA2A" w14:textId="634EEF54" w:rsidR="00BB665C" w:rsidRPr="00A2427B" w:rsidRDefault="00EA10DD" w:rsidP="00BB665C">
      <w:pPr>
        <w:pStyle w:val="Heading3"/>
      </w:pPr>
      <w:r w:rsidRPr="00A2427B">
        <w:t xml:space="preserve">2AC – </w:t>
      </w:r>
      <w:r w:rsidR="00BB665C" w:rsidRPr="00A2427B">
        <w:t xml:space="preserve">Link Turn </w:t>
      </w:r>
      <w:r w:rsidRPr="00A2427B">
        <w:t>–</w:t>
      </w:r>
      <w:r w:rsidR="00BB665C" w:rsidRPr="00A2427B">
        <w:t xml:space="preserve"> Witnesses</w:t>
      </w:r>
    </w:p>
    <w:p w14:paraId="78A1D25E" w14:textId="39D44E2C" w:rsidR="00BB665C" w:rsidRPr="00A2427B" w:rsidRDefault="00BB665C" w:rsidP="00BB665C">
      <w:pPr>
        <w:pStyle w:val="Heading4"/>
        <w:rPr>
          <w:rStyle w:val="Style13ptBold"/>
          <w:b/>
          <w:bCs w:val="0"/>
        </w:rPr>
      </w:pPr>
      <w:r w:rsidRPr="00A2427B">
        <w:rPr>
          <w:rStyle w:val="Style13ptBold"/>
          <w:b/>
          <w:bCs w:val="0"/>
        </w:rPr>
        <w:t>Strengthening Daubert eliminates expert sandbagging and forces quicker cases</w:t>
      </w:r>
    </w:p>
    <w:p w14:paraId="73105CC0" w14:textId="77777777" w:rsidR="00BB665C" w:rsidRPr="00A2427B" w:rsidRDefault="00BB665C" w:rsidP="00BB665C">
      <w:pPr>
        <w:rPr>
          <w:sz w:val="16"/>
          <w:szCs w:val="16"/>
        </w:rPr>
      </w:pPr>
      <w:r w:rsidRPr="00A2427B">
        <w:rPr>
          <w:rStyle w:val="Style13ptBold"/>
        </w:rPr>
        <w:t xml:space="preserve">Cino 17 </w:t>
      </w:r>
      <w:r w:rsidRPr="00A2427B">
        <w:rPr>
          <w:sz w:val="16"/>
          <w:szCs w:val="16"/>
        </w:rPr>
        <w:t xml:space="preserve">Jessica G. Cino is an associate professor at Georgia State University College of Law, 2/19/2017 “AN UNCIVIL ACTION: CRIMINALIZING DAUBERT IN PROCEDURE AND PRACTICE TO AVOID WRONGFUL CONVICTIONS” West Virginia Law Review, </w:t>
      </w:r>
      <w:hyperlink r:id="rId36" w:history="1">
        <w:r w:rsidRPr="00A2427B">
          <w:rPr>
            <w:rStyle w:val="Hyperlink"/>
            <w:sz w:val="16"/>
            <w:szCs w:val="16"/>
          </w:rPr>
          <w:t>https://wvlawreview.wvu.edu/files/d/f6920d83-9e3f-4b58-b2ce-0e3dd5f728f9/cino-monteleone-post-page-proof.pdf</w:t>
        </w:r>
      </w:hyperlink>
      <w:r w:rsidRPr="00A2427B">
        <w:rPr>
          <w:sz w:val="16"/>
          <w:szCs w:val="16"/>
        </w:rPr>
        <w:t xml:space="preserve"> dw</w:t>
      </w:r>
    </w:p>
    <w:p w14:paraId="55C334A6" w14:textId="77777777" w:rsidR="00BB665C" w:rsidRPr="00A2427B" w:rsidRDefault="00BB665C" w:rsidP="00BB665C">
      <w:pPr>
        <w:rPr>
          <w:rStyle w:val="StyleUnderline"/>
        </w:rPr>
      </w:pPr>
      <w:r w:rsidRPr="00A2427B">
        <w:rPr>
          <w:sz w:val="14"/>
        </w:rPr>
        <w:t xml:space="preserve">Some might argue that part of this is </w:t>
      </w:r>
      <w:r w:rsidRPr="00A2427B">
        <w:rPr>
          <w:rStyle w:val="StyleUnderline"/>
        </w:rPr>
        <w:t>the point of Daubert: to expose holes in the theory of the case and push it to a settlement</w:t>
      </w:r>
      <w:r w:rsidRPr="00A2427B">
        <w:rPr>
          <w:sz w:val="14"/>
        </w:rPr>
        <w:t xml:space="preserve">—at least on the civil side. </w:t>
      </w:r>
      <w:r w:rsidRPr="00A2427B">
        <w:rPr>
          <w:rStyle w:val="StyleUnderline"/>
        </w:rPr>
        <w:t xml:space="preserve">Daubert might also change charging and plea decisions on the criminal end. </w:t>
      </w:r>
      <w:r w:rsidRPr="00A2427B">
        <w:rPr>
          <w:sz w:val="14"/>
        </w:rPr>
        <w:t xml:space="preserve">Yes, </w:t>
      </w:r>
      <w:r w:rsidRPr="00A2427B">
        <w:rPr>
          <w:rStyle w:val="StyleUnderline"/>
        </w:rPr>
        <w:t>Daubert brings increased costs</w:t>
      </w:r>
      <w:r w:rsidRPr="00A2427B">
        <w:rPr>
          <w:sz w:val="14"/>
        </w:rPr>
        <w:t xml:space="preserve">, but </w:t>
      </w:r>
      <w:r w:rsidRPr="00A2427B">
        <w:rPr>
          <w:rStyle w:val="StyleUnderline"/>
        </w:rPr>
        <w:t xml:space="preserve">at the same time it also requires that the government truly prove a case to beyond a reasonable doubt and </w:t>
      </w:r>
      <w:r w:rsidRPr="00A2427B">
        <w:rPr>
          <w:rStyle w:val="Emphasis"/>
        </w:rPr>
        <w:t>it likewise prevents the parties from sandbagging each other with expert witnesses</w:t>
      </w:r>
      <w:r w:rsidRPr="00A2427B">
        <w:rPr>
          <w:sz w:val="14"/>
        </w:rPr>
        <w:t xml:space="preserve">.389 Moreover, </w:t>
      </w:r>
      <w:r w:rsidRPr="00A2427B">
        <w:rPr>
          <w:rStyle w:val="StyleUnderline"/>
        </w:rPr>
        <w:t>federal civil practice demonstrates</w:t>
      </w:r>
      <w:r w:rsidRPr="00A2427B">
        <w:rPr>
          <w:sz w:val="14"/>
        </w:rPr>
        <w:t xml:space="preserve"> that </w:t>
      </w:r>
      <w:r w:rsidRPr="00A2427B">
        <w:rPr>
          <w:rStyle w:val="StyleUnderline"/>
        </w:rPr>
        <w:t>courts can address Daubert motions in an organized and efficient manner</w:t>
      </w:r>
      <w:r w:rsidRPr="00A2427B">
        <w:rPr>
          <w:sz w:val="14"/>
        </w:rPr>
        <w:t xml:space="preserve">. </w:t>
      </w:r>
      <w:r w:rsidRPr="00A2427B">
        <w:rPr>
          <w:rStyle w:val="StyleUnderline"/>
        </w:rPr>
        <w:t>Daubert needs not be the four-factor hydra that its opponents make it out to be</w:t>
      </w:r>
      <w:r w:rsidRPr="00A2427B">
        <w:rPr>
          <w:sz w:val="14"/>
        </w:rPr>
        <w:t xml:space="preserve">. </w:t>
      </w:r>
      <w:r w:rsidRPr="00A2427B">
        <w:rPr>
          <w:rStyle w:val="StyleUnderline"/>
        </w:rPr>
        <w:t>Federal courts have emphasized that it is within a trial judge’s discretion to decide Daubert motions on briefing and argument alone, without</w:t>
      </w:r>
      <w:r w:rsidRPr="00A2427B">
        <w:rPr>
          <w:sz w:val="14"/>
        </w:rPr>
        <w:t xml:space="preserve"> the need for </w:t>
      </w:r>
      <w:r w:rsidRPr="00A2427B">
        <w:rPr>
          <w:rStyle w:val="StyleUnderline"/>
        </w:rPr>
        <w:t>evidentiary proceedings</w:t>
      </w:r>
      <w:r w:rsidRPr="00A2427B">
        <w:rPr>
          <w:sz w:val="14"/>
        </w:rPr>
        <w:t xml:space="preserve">.390 </w:t>
      </w:r>
      <w:r w:rsidRPr="00A2427B">
        <w:rPr>
          <w:rStyle w:val="StyleUnderline"/>
        </w:rPr>
        <w:t>This</w:t>
      </w:r>
      <w:r w:rsidRPr="00A2427B">
        <w:rPr>
          <w:sz w:val="14"/>
        </w:rPr>
        <w:t xml:space="preserve"> discretion </w:t>
      </w:r>
      <w:r w:rsidRPr="00A2427B">
        <w:rPr>
          <w:rStyle w:val="StyleUnderline"/>
        </w:rPr>
        <w:t>provides wide latitude for trial judges to assess more routine Daubert motions</w:t>
      </w:r>
      <w:r w:rsidRPr="00A2427B">
        <w:rPr>
          <w:sz w:val="14"/>
        </w:rPr>
        <w:t xml:space="preserve"> in a way </w:t>
      </w:r>
      <w:r w:rsidRPr="00A2427B">
        <w:rPr>
          <w:rStyle w:val="StyleUnderline"/>
        </w:rPr>
        <w:t>that keeps cost and time down</w:t>
      </w:r>
      <w:r w:rsidRPr="00A2427B">
        <w:rPr>
          <w:sz w:val="14"/>
        </w:rPr>
        <w:t xml:space="preserve">. Indeed, </w:t>
      </w:r>
      <w:r w:rsidRPr="00A2427B">
        <w:rPr>
          <w:rStyle w:val="StyleUnderline"/>
        </w:rPr>
        <w:t>a court could dispense with drawn-out evidentiary hearings for weaker motions</w:t>
      </w:r>
      <w:r w:rsidRPr="00A2427B">
        <w:rPr>
          <w:sz w:val="14"/>
        </w:rPr>
        <w:t xml:space="preserve">.391 </w:t>
      </w:r>
      <w:r w:rsidRPr="00A2427B">
        <w:rPr>
          <w:rStyle w:val="StyleUnderline"/>
        </w:rPr>
        <w:t>This would still afford litigants their due process rights to challenge expert evidence. If state courts can implement Daubert in a way that makes adoption less taxing, then Daubert should not overload the system or delay cases at the expense of the parties.</w:t>
      </w:r>
    </w:p>
    <w:p w14:paraId="3CC7AABB" w14:textId="2663212C" w:rsidR="00BB665C" w:rsidRPr="00A2427B" w:rsidRDefault="00EA10DD" w:rsidP="00693A53">
      <w:pPr>
        <w:pStyle w:val="Heading3"/>
      </w:pPr>
      <w:r w:rsidRPr="00A2427B">
        <w:t xml:space="preserve">2AC – </w:t>
      </w:r>
      <w:r w:rsidR="00693A53" w:rsidRPr="00A2427B">
        <w:t>Link Turn – Daubert Hearings</w:t>
      </w:r>
    </w:p>
    <w:p w14:paraId="2D75F341" w14:textId="2101D769" w:rsidR="00693A53" w:rsidRPr="00A2427B" w:rsidRDefault="00693A53" w:rsidP="00693A53">
      <w:pPr>
        <w:pStyle w:val="Heading4"/>
      </w:pPr>
      <w:r w:rsidRPr="00A2427B">
        <w:t>The plan eliminates the need for Daubert hearings by clarifying evidence standards – that solves massive delays</w:t>
      </w:r>
    </w:p>
    <w:p w14:paraId="3B85EAE6" w14:textId="773E5FD3" w:rsidR="00693A53" w:rsidRPr="00A2427B" w:rsidRDefault="00693A53" w:rsidP="00693A53">
      <w:r w:rsidRPr="00A2427B">
        <w:rPr>
          <w:rStyle w:val="Style13ptBold"/>
        </w:rPr>
        <w:t>O’Connor 19</w:t>
      </w:r>
      <w:r w:rsidRPr="00A2427B">
        <w:t>, Amy O'Connor, "How Daubert Standard Could Impact Florida Industry, Judicial Climate," Insurance Journal, 6-17-2019, https://www.insurancejournal.com/magazines/mag-features/2019/06/17/529350.htm dw</w:t>
      </w:r>
    </w:p>
    <w:p w14:paraId="05249B5C" w14:textId="41A3DF4E" w:rsidR="00693A53" w:rsidRPr="00A2427B" w:rsidRDefault="00693A53" w:rsidP="00693A53">
      <w:pPr>
        <w:rPr>
          <w:sz w:val="14"/>
        </w:rPr>
      </w:pPr>
      <w:r w:rsidRPr="00A2427B">
        <w:rPr>
          <w:sz w:val="14"/>
        </w:rPr>
        <w:t xml:space="preserve">The Florida Justice Association, however, which represents trial attorneys in the state and argued to the previous Florida Supreme Court that Daubert is unconstitutional, said </w:t>
      </w:r>
      <w:r w:rsidRPr="00A2427B">
        <w:rPr>
          <w:rStyle w:val="StyleUnderline"/>
        </w:rPr>
        <w:t>when Daubert was in effect, it was used by some opponents of the jury system to “clog the courts with meritless motions that drive up the costs of litigation for everyday people and put increased, unfunded burdens on the judicial branch.” When Daubert was in effect between 2013 and 2018, it caused “extra hearings, extra motions, more litigation,”</w:t>
      </w:r>
      <w:r w:rsidRPr="00A2427B">
        <w:rPr>
          <w:sz w:val="14"/>
        </w:rPr>
        <w:t xml:space="preserve"> said Bryan Gowdy, an attorney with Creed &amp; Gowdy in Jacksonville, Fla., and incoming chair of the FJA’s Amicus Committee.</w:t>
      </w:r>
    </w:p>
    <w:p w14:paraId="46BA950B" w14:textId="06791B0C" w:rsidR="00B06773" w:rsidRPr="00A2427B" w:rsidRDefault="00B06773" w:rsidP="00B06773">
      <w:pPr>
        <w:pStyle w:val="Heading2"/>
      </w:pPr>
      <w:r w:rsidRPr="00A2427B">
        <w:t>Elections</w:t>
      </w:r>
    </w:p>
    <w:p w14:paraId="6F0F61A4" w14:textId="7530B3F3" w:rsidR="008A0BBB" w:rsidRPr="00A2427B" w:rsidRDefault="008A0BBB" w:rsidP="008A0BBB">
      <w:pPr>
        <w:pStyle w:val="Heading3"/>
      </w:pPr>
      <w:r w:rsidRPr="00A2427B">
        <w:t xml:space="preserve">No Link </w:t>
      </w:r>
      <w:r w:rsidR="00EA10DD" w:rsidRPr="00A2427B">
        <w:t>–</w:t>
      </w:r>
      <w:r w:rsidRPr="00A2427B">
        <w:t xml:space="preserve"> Buffer</w:t>
      </w:r>
    </w:p>
    <w:p w14:paraId="5068B064" w14:textId="60931AD4" w:rsidR="008A0BBB" w:rsidRPr="00A2427B" w:rsidRDefault="008A0BBB" w:rsidP="008A0BBB">
      <w:pPr>
        <w:pStyle w:val="Heading4"/>
      </w:pPr>
      <w:r w:rsidRPr="00A2427B">
        <w:t xml:space="preserve">Federal Rules of Evidence changes and court-centered rulemaking buffer from external environmental pressures – it rests with the courts not individual rule makers </w:t>
      </w:r>
    </w:p>
    <w:p w14:paraId="19E97CA0" w14:textId="48E9ADD1" w:rsidR="00B06773" w:rsidRPr="00A2427B" w:rsidRDefault="008A0BBB" w:rsidP="00B06773">
      <w:r w:rsidRPr="00A2427B">
        <w:rPr>
          <w:rStyle w:val="Style13ptBold"/>
        </w:rPr>
        <w:t xml:space="preserve">Singer 19 </w:t>
      </w:r>
      <w:r w:rsidR="00B06773" w:rsidRPr="00A2427B">
        <w:t>Jordan M. Singer</w:t>
      </w:r>
      <w:r w:rsidRPr="00A2427B">
        <w:t xml:space="preserve"> Professor of Law, New England Law | Boston </w:t>
      </w:r>
      <w:r w:rsidR="00B06773" w:rsidRPr="00A2427B">
        <w:t>, The Federal Courts’ Rulemaking Buffer, 60 Wm. &amp; Mary L. Rev. 2239 (2019),</w:t>
      </w:r>
      <w:r w:rsidRPr="00A2427B">
        <w:t xml:space="preserve"> </w:t>
      </w:r>
      <w:hyperlink r:id="rId37" w:history="1">
        <w:r w:rsidRPr="00A2427B">
          <w:rPr>
            <w:rStyle w:val="Hyperlink"/>
          </w:rPr>
          <w:t>https://scholarship.law.wm.edu/wmlr/vol60/iss6/5</w:t>
        </w:r>
      </w:hyperlink>
      <w:r w:rsidRPr="00A2427B">
        <w:t xml:space="preserve"> dw</w:t>
      </w:r>
    </w:p>
    <w:p w14:paraId="46FD27C3" w14:textId="752246D6" w:rsidR="00B06773" w:rsidRPr="00A2427B" w:rsidRDefault="00B06773" w:rsidP="00B06773">
      <w:pPr>
        <w:rPr>
          <w:sz w:val="14"/>
        </w:rPr>
      </w:pPr>
      <w:r w:rsidRPr="00A2427B">
        <w:rPr>
          <w:sz w:val="14"/>
        </w:rPr>
        <w:t>For a coequal branch of the most powerful government on the</w:t>
      </w:r>
      <w:r w:rsidR="008A0BBB" w:rsidRPr="00A2427B">
        <w:rPr>
          <w:sz w:val="14"/>
        </w:rPr>
        <w:t xml:space="preserve"> </w:t>
      </w:r>
      <w:r w:rsidRPr="00A2427B">
        <w:rPr>
          <w:sz w:val="14"/>
        </w:rPr>
        <w:t xml:space="preserve">planet, </w:t>
      </w:r>
      <w:r w:rsidRPr="00A2427B">
        <w:rPr>
          <w:rStyle w:val="StyleUnderline"/>
        </w:rPr>
        <w:t>the United States courts operate under a remarkable</w:t>
      </w:r>
      <w:r w:rsidR="008A0BBB" w:rsidRPr="00A2427B">
        <w:rPr>
          <w:rStyle w:val="StyleUnderline"/>
        </w:rPr>
        <w:t xml:space="preserve"> </w:t>
      </w:r>
      <w:r w:rsidRPr="00A2427B">
        <w:rPr>
          <w:rStyle w:val="StyleUnderline"/>
        </w:rPr>
        <w:t>amount of environmental uncertainty</w:t>
      </w:r>
      <w:r w:rsidRPr="00A2427B">
        <w:rPr>
          <w:sz w:val="14"/>
        </w:rPr>
        <w:t xml:space="preserve">. Almost </w:t>
      </w:r>
      <w:r w:rsidRPr="00A2427B">
        <w:rPr>
          <w:rStyle w:val="StyleUnderline"/>
        </w:rPr>
        <w:t>every critical resource</w:t>
      </w:r>
      <w:r w:rsidR="008A0BBB" w:rsidRPr="00A2427B">
        <w:rPr>
          <w:rStyle w:val="StyleUnderline"/>
        </w:rPr>
        <w:t xml:space="preserve"> </w:t>
      </w:r>
      <w:r w:rsidRPr="00A2427B">
        <w:rPr>
          <w:rStyle w:val="StyleUnderline"/>
        </w:rPr>
        <w:t>that the courts need to function must be obtained from somewhere</w:t>
      </w:r>
      <w:r w:rsidR="008A0BBB" w:rsidRPr="00A2427B">
        <w:rPr>
          <w:rStyle w:val="StyleUnderline"/>
        </w:rPr>
        <w:t xml:space="preserve"> </w:t>
      </w:r>
      <w:r w:rsidRPr="00A2427B">
        <w:rPr>
          <w:rStyle w:val="StyleUnderline"/>
        </w:rPr>
        <w:t>else.</w:t>
      </w:r>
      <w:r w:rsidRPr="00A2427B">
        <w:rPr>
          <w:sz w:val="14"/>
        </w:rPr>
        <w:t xml:space="preserve"> The courts look to Congress for funding, judgeships, staffing,</w:t>
      </w:r>
      <w:r w:rsidR="008A0BBB" w:rsidRPr="00A2427B">
        <w:rPr>
          <w:sz w:val="14"/>
        </w:rPr>
        <w:t xml:space="preserve"> </w:t>
      </w:r>
      <w:r w:rsidRPr="00A2427B">
        <w:rPr>
          <w:sz w:val="14"/>
        </w:rPr>
        <w:t>and jurisdiction; the executive branch for judicial nominations,</w:t>
      </w:r>
      <w:r w:rsidR="008A0BBB" w:rsidRPr="00A2427B">
        <w:rPr>
          <w:sz w:val="14"/>
        </w:rPr>
        <w:t xml:space="preserve"> </w:t>
      </w:r>
      <w:r w:rsidRPr="00A2427B">
        <w:rPr>
          <w:sz w:val="14"/>
        </w:rPr>
        <w:t>budgeting input, courthouse security, and enforcement of decrees;</w:t>
      </w:r>
      <w:r w:rsidR="008A0BBB" w:rsidRPr="00A2427B">
        <w:rPr>
          <w:sz w:val="14"/>
        </w:rPr>
        <w:t xml:space="preserve"> </w:t>
      </w:r>
      <w:r w:rsidRPr="00A2427B">
        <w:rPr>
          <w:sz w:val="14"/>
        </w:rPr>
        <w:t>the bar for a steady stream of justiciable cases and controversies;</w:t>
      </w:r>
      <w:r w:rsidR="008A0BBB" w:rsidRPr="00A2427B">
        <w:rPr>
          <w:sz w:val="14"/>
        </w:rPr>
        <w:t xml:space="preserve"> </w:t>
      </w:r>
      <w:r w:rsidRPr="00A2427B">
        <w:rPr>
          <w:sz w:val="14"/>
        </w:rPr>
        <w:t>the media for dissemination of important messages; and the public</w:t>
      </w:r>
      <w:r w:rsidR="008A0BBB" w:rsidRPr="00A2427B">
        <w:rPr>
          <w:sz w:val="14"/>
        </w:rPr>
        <w:t xml:space="preserve"> </w:t>
      </w:r>
      <w:r w:rsidRPr="00A2427B">
        <w:rPr>
          <w:sz w:val="14"/>
        </w:rPr>
        <w:t>for legitimacy. The federal courts depend on these providers to furnish resources not only in adequate amounts but also at predictable</w:t>
      </w:r>
      <w:r w:rsidR="008A0BBB" w:rsidRPr="00A2427B">
        <w:rPr>
          <w:sz w:val="14"/>
        </w:rPr>
        <w:t xml:space="preserve"> </w:t>
      </w:r>
      <w:r w:rsidRPr="00A2427B">
        <w:rPr>
          <w:sz w:val="14"/>
        </w:rPr>
        <w:t>rates: the system cannot operate effectively, for example, if the</w:t>
      </w:r>
      <w:r w:rsidR="008A0BBB" w:rsidRPr="00A2427B">
        <w:rPr>
          <w:sz w:val="14"/>
        </w:rPr>
        <w:t xml:space="preserve"> </w:t>
      </w:r>
      <w:r w:rsidRPr="00A2427B">
        <w:rPr>
          <w:sz w:val="14"/>
        </w:rPr>
        <w:t>number of incoming cases far exceeds the capacity of its courtrooms</w:t>
      </w:r>
      <w:r w:rsidR="008A0BBB" w:rsidRPr="00A2427B">
        <w:rPr>
          <w:sz w:val="14"/>
        </w:rPr>
        <w:t xml:space="preserve"> </w:t>
      </w:r>
      <w:r w:rsidRPr="00A2427B">
        <w:rPr>
          <w:sz w:val="14"/>
        </w:rPr>
        <w:t>or judges.</w:t>
      </w:r>
      <w:r w:rsidR="008A0BBB" w:rsidRPr="00A2427B">
        <w:rPr>
          <w:sz w:val="14"/>
        </w:rPr>
        <w:t xml:space="preserve"> </w:t>
      </w:r>
      <w:r w:rsidRPr="00A2427B">
        <w:rPr>
          <w:rStyle w:val="StyleUnderline"/>
        </w:rPr>
        <w:t>The court system has a variety of methods for managing this</w:t>
      </w:r>
      <w:r w:rsidR="008A0BBB" w:rsidRPr="00A2427B">
        <w:rPr>
          <w:rStyle w:val="StyleUnderline"/>
        </w:rPr>
        <w:t xml:space="preserve"> </w:t>
      </w:r>
      <w:r w:rsidRPr="00A2427B">
        <w:rPr>
          <w:rStyle w:val="StyleUnderline"/>
        </w:rPr>
        <w:t>resource dependency</w:t>
      </w:r>
      <w:r w:rsidRPr="00A2427B">
        <w:rPr>
          <w:sz w:val="14"/>
        </w:rPr>
        <w:t xml:space="preserve">. </w:t>
      </w:r>
      <w:r w:rsidRPr="00A2427B">
        <w:rPr>
          <w:rStyle w:val="StyleUnderline"/>
        </w:rPr>
        <w:t>Some strategies are</w:t>
      </w:r>
      <w:r w:rsidRPr="00A2427B">
        <w:rPr>
          <w:sz w:val="14"/>
        </w:rPr>
        <w:t xml:space="preserve"> outwardly focused, designed to extract additional support from external resource providers.1</w:t>
      </w:r>
      <w:r w:rsidR="008A0BBB" w:rsidRPr="00A2427B">
        <w:rPr>
          <w:sz w:val="14"/>
        </w:rPr>
        <w:t xml:space="preserve"> </w:t>
      </w:r>
      <w:r w:rsidRPr="00A2427B">
        <w:rPr>
          <w:sz w:val="14"/>
        </w:rPr>
        <w:t xml:space="preserve">Other strategies are </w:t>
      </w:r>
      <w:r w:rsidRPr="00A2427B">
        <w:rPr>
          <w:rStyle w:val="StyleUnderline"/>
        </w:rPr>
        <w:t>inwardly focused, designed to restructure</w:t>
      </w:r>
      <w:r w:rsidR="008A0BBB" w:rsidRPr="00A2427B">
        <w:rPr>
          <w:rStyle w:val="StyleUnderline"/>
        </w:rPr>
        <w:t xml:space="preserve"> </w:t>
      </w:r>
      <w:r w:rsidRPr="00A2427B">
        <w:rPr>
          <w:rStyle w:val="StyleUnderline"/>
        </w:rPr>
        <w:t>the court system from within to help it manage its existing resources more effectively</w:t>
      </w:r>
      <w:r w:rsidRPr="00A2427B">
        <w:rPr>
          <w:sz w:val="14"/>
        </w:rPr>
        <w:t>.2</w:t>
      </w:r>
      <w:r w:rsidR="008A0BBB" w:rsidRPr="00A2427B">
        <w:rPr>
          <w:sz w:val="14"/>
        </w:rPr>
        <w:t xml:space="preserve"> </w:t>
      </w:r>
      <w:r w:rsidRPr="00A2427B">
        <w:rPr>
          <w:sz w:val="14"/>
        </w:rPr>
        <w:t>This Article focuses on one such internal</w:t>
      </w:r>
      <w:r w:rsidR="008A0BBB" w:rsidRPr="00A2427B">
        <w:rPr>
          <w:sz w:val="14"/>
        </w:rPr>
        <w:t xml:space="preserve"> </w:t>
      </w:r>
      <w:r w:rsidRPr="00A2427B">
        <w:rPr>
          <w:sz w:val="14"/>
        </w:rPr>
        <w:t xml:space="preserve">strategy, known as buffering, and </w:t>
      </w:r>
      <w:r w:rsidRPr="00A2427B">
        <w:rPr>
          <w:rStyle w:val="StyleUnderline"/>
        </w:rPr>
        <w:t>one</w:t>
      </w:r>
      <w:r w:rsidRPr="00A2427B">
        <w:rPr>
          <w:sz w:val="14"/>
        </w:rPr>
        <w:t xml:space="preserve"> particularly potent </w:t>
      </w:r>
      <w:r w:rsidRPr="00A2427B">
        <w:rPr>
          <w:rStyle w:val="StyleUnderline"/>
        </w:rPr>
        <w:t>form of</w:t>
      </w:r>
      <w:r w:rsidR="008A0BBB" w:rsidRPr="00A2427B">
        <w:rPr>
          <w:rStyle w:val="StyleUnderline"/>
        </w:rPr>
        <w:t xml:space="preserve"> </w:t>
      </w:r>
      <w:r w:rsidRPr="00A2427B">
        <w:rPr>
          <w:rStyle w:val="StyleUnderline"/>
        </w:rPr>
        <w:t>buffering—the crafting of procedural rules pursuant to the Rules</w:t>
      </w:r>
      <w:r w:rsidR="008A0BBB" w:rsidRPr="00A2427B">
        <w:rPr>
          <w:rStyle w:val="StyleUnderline"/>
        </w:rPr>
        <w:t xml:space="preserve"> </w:t>
      </w:r>
      <w:r w:rsidRPr="00A2427B">
        <w:rPr>
          <w:rStyle w:val="StyleUnderline"/>
        </w:rPr>
        <w:t>Enabling Act.</w:t>
      </w:r>
      <w:r w:rsidRPr="00A2427B">
        <w:rPr>
          <w:sz w:val="14"/>
        </w:rPr>
        <w:t>3</w:t>
      </w:r>
      <w:r w:rsidR="008A0BBB" w:rsidRPr="00A2427B">
        <w:rPr>
          <w:sz w:val="14"/>
        </w:rPr>
        <w:t xml:space="preserve"> </w:t>
      </w:r>
      <w:r w:rsidRPr="00A2427B">
        <w:rPr>
          <w:rStyle w:val="StyleUnderline"/>
        </w:rPr>
        <w:t>A buffer is a structure or process that is placed between an organization’s technical core and its external environment to protect the</w:t>
      </w:r>
      <w:r w:rsidR="008A0BBB" w:rsidRPr="00A2427B">
        <w:rPr>
          <w:rStyle w:val="StyleUnderline"/>
        </w:rPr>
        <w:t xml:space="preserve"> </w:t>
      </w:r>
      <w:r w:rsidRPr="00A2427B">
        <w:rPr>
          <w:rStyle w:val="StyleUnderline"/>
        </w:rPr>
        <w:t>core from disruption</w:t>
      </w:r>
      <w:r w:rsidRPr="00A2427B">
        <w:rPr>
          <w:sz w:val="14"/>
        </w:rPr>
        <w:t>.4</w:t>
      </w:r>
      <w:r w:rsidR="008A0BBB" w:rsidRPr="00A2427B">
        <w:rPr>
          <w:sz w:val="14"/>
        </w:rPr>
        <w:t xml:space="preserve"> </w:t>
      </w:r>
      <w:r w:rsidRPr="00A2427B">
        <w:rPr>
          <w:sz w:val="14"/>
        </w:rPr>
        <w:t>Buffers absorb external shocks (such as</w:t>
      </w:r>
      <w:r w:rsidR="008A0BBB" w:rsidRPr="00A2427B">
        <w:rPr>
          <w:sz w:val="14"/>
        </w:rPr>
        <w:t xml:space="preserve"> </w:t>
      </w:r>
      <w:r w:rsidRPr="00A2427B">
        <w:rPr>
          <w:sz w:val="14"/>
        </w:rPr>
        <w:t>changes in the flow of resources or demand for the organization’s</w:t>
      </w:r>
      <w:r w:rsidR="008A0BBB" w:rsidRPr="00A2427B">
        <w:rPr>
          <w:sz w:val="14"/>
        </w:rPr>
        <w:t xml:space="preserve"> </w:t>
      </w:r>
      <w:r w:rsidRPr="00A2427B">
        <w:rPr>
          <w:sz w:val="14"/>
        </w:rPr>
        <w:t>services) so that the organization’s core operations can proceed</w:t>
      </w:r>
      <w:r w:rsidR="008A0BBB" w:rsidRPr="00A2427B">
        <w:rPr>
          <w:sz w:val="14"/>
        </w:rPr>
        <w:t xml:space="preserve"> </w:t>
      </w:r>
      <w:r w:rsidRPr="00A2427B">
        <w:rPr>
          <w:sz w:val="14"/>
        </w:rPr>
        <w:t>under relatively stable and predictable conditions.5</w:t>
      </w:r>
      <w:r w:rsidR="008A0BBB" w:rsidRPr="00A2427B">
        <w:rPr>
          <w:sz w:val="14"/>
        </w:rPr>
        <w:t xml:space="preserve"> </w:t>
      </w:r>
      <w:r w:rsidRPr="00A2427B">
        <w:rPr>
          <w:sz w:val="14"/>
        </w:rPr>
        <w:t>A single organization can use several buffers in combination,6</w:t>
      </w:r>
      <w:r w:rsidR="008A0BBB" w:rsidRPr="00A2427B">
        <w:rPr>
          <w:sz w:val="14"/>
        </w:rPr>
        <w:t xml:space="preserve"> </w:t>
      </w:r>
      <w:r w:rsidRPr="00A2427B">
        <w:rPr>
          <w:sz w:val="14"/>
        </w:rPr>
        <w:t xml:space="preserve">and indeed, </w:t>
      </w:r>
      <w:r w:rsidRPr="00A2427B">
        <w:rPr>
          <w:rStyle w:val="StyleUnderline"/>
        </w:rPr>
        <w:t>the process of creating rules of procedure—what I shall call court-centered</w:t>
      </w:r>
      <w:r w:rsidR="008A0BBB" w:rsidRPr="00A2427B">
        <w:rPr>
          <w:rStyle w:val="StyleUnderline"/>
        </w:rPr>
        <w:t xml:space="preserve"> </w:t>
      </w:r>
      <w:r w:rsidRPr="00A2427B">
        <w:rPr>
          <w:rStyle w:val="StyleUnderline"/>
        </w:rPr>
        <w:t>rulemaking—is but one of many internal buffers developed by the</w:t>
      </w:r>
      <w:r w:rsidR="008A0BBB" w:rsidRPr="00A2427B">
        <w:rPr>
          <w:rStyle w:val="StyleUnderline"/>
        </w:rPr>
        <w:t xml:space="preserve"> </w:t>
      </w:r>
      <w:r w:rsidRPr="00A2427B">
        <w:rPr>
          <w:rStyle w:val="StyleUnderline"/>
        </w:rPr>
        <w:t>federal court system over the past century</w:t>
      </w:r>
      <w:r w:rsidRPr="00A2427B">
        <w:rPr>
          <w:sz w:val="14"/>
        </w:rPr>
        <w:t>.</w:t>
      </w:r>
      <w:r w:rsidR="008A0BBB" w:rsidRPr="00A2427B">
        <w:rPr>
          <w:sz w:val="14"/>
        </w:rPr>
        <w:t xml:space="preserve"> </w:t>
      </w:r>
      <w:r w:rsidRPr="00A2427B">
        <w:rPr>
          <w:sz w:val="14"/>
        </w:rPr>
        <w:t>Court-centered rulemaking’s contribution to the federal court</w:t>
      </w:r>
      <w:r w:rsidR="008A0BBB" w:rsidRPr="00A2427B">
        <w:rPr>
          <w:sz w:val="14"/>
        </w:rPr>
        <w:t xml:space="preserve"> </w:t>
      </w:r>
      <w:r w:rsidRPr="00A2427B">
        <w:rPr>
          <w:sz w:val="14"/>
        </w:rPr>
        <w:t>system’s network of buffers stems from its ability to regulate, in</w:t>
      </w:r>
      <w:r w:rsidR="008A0BBB" w:rsidRPr="00A2427B">
        <w:rPr>
          <w:sz w:val="14"/>
        </w:rPr>
        <w:t xml:space="preserve"> </w:t>
      </w:r>
      <w:r w:rsidRPr="00A2427B">
        <w:rPr>
          <w:sz w:val="14"/>
        </w:rPr>
        <w:t>part, the flow of cases into and out of the system. The design of procedural rules can encourage or discourage case filing, make it</w:t>
      </w:r>
      <w:r w:rsidR="008A0BBB" w:rsidRPr="00A2427B">
        <w:rPr>
          <w:sz w:val="14"/>
        </w:rPr>
        <w:t xml:space="preserve"> </w:t>
      </w:r>
      <w:r w:rsidRPr="00A2427B">
        <w:rPr>
          <w:sz w:val="14"/>
        </w:rPr>
        <w:t>easier or harder to end a case before trial, authorize greater or</w:t>
      </w:r>
      <w:r w:rsidR="008A0BBB" w:rsidRPr="00A2427B">
        <w:rPr>
          <w:sz w:val="14"/>
        </w:rPr>
        <w:t xml:space="preserve"> </w:t>
      </w:r>
      <w:r w:rsidRPr="00A2427B">
        <w:rPr>
          <w:sz w:val="14"/>
        </w:rPr>
        <w:t>lesser expenditure of judicial time and resources, and invest district</w:t>
      </w:r>
      <w:r w:rsidR="008A0BBB" w:rsidRPr="00A2427B">
        <w:rPr>
          <w:sz w:val="14"/>
        </w:rPr>
        <w:t xml:space="preserve"> </w:t>
      </w:r>
      <w:r w:rsidRPr="00A2427B">
        <w:rPr>
          <w:sz w:val="14"/>
        </w:rPr>
        <w:t>judges with more or less discretion to manage their individual</w:t>
      </w:r>
      <w:r w:rsidR="008A0BBB" w:rsidRPr="00A2427B">
        <w:rPr>
          <w:sz w:val="14"/>
        </w:rPr>
        <w:t xml:space="preserve"> </w:t>
      </w:r>
      <w:r w:rsidRPr="00A2427B">
        <w:rPr>
          <w:sz w:val="14"/>
        </w:rPr>
        <w:t xml:space="preserve">dockets. </w:t>
      </w:r>
      <w:r w:rsidRPr="00A2427B">
        <w:rPr>
          <w:rStyle w:val="StyleUnderline"/>
        </w:rPr>
        <w:t>Procedural rules</w:t>
      </w:r>
      <w:r w:rsidRPr="00A2427B">
        <w:rPr>
          <w:sz w:val="14"/>
        </w:rPr>
        <w:t xml:space="preserve">, in other words, </w:t>
      </w:r>
      <w:r w:rsidRPr="00A2427B">
        <w:rPr>
          <w:rStyle w:val="StyleUnderline"/>
        </w:rPr>
        <w:t>act as safety valves for the</w:t>
      </w:r>
      <w:r w:rsidR="008A0BBB" w:rsidRPr="00A2427B">
        <w:rPr>
          <w:rStyle w:val="StyleUnderline"/>
        </w:rPr>
        <w:t xml:space="preserve"> </w:t>
      </w:r>
      <w:r w:rsidRPr="00A2427B">
        <w:rPr>
          <w:rStyle w:val="StyleUnderline"/>
        </w:rPr>
        <w:t>court system</w:t>
      </w:r>
      <w:r w:rsidRPr="00A2427B">
        <w:rPr>
          <w:sz w:val="14"/>
        </w:rPr>
        <w:t>, allowing it to absorb an unexpected surge in filings or</w:t>
      </w:r>
      <w:r w:rsidR="008A0BBB" w:rsidRPr="00A2427B">
        <w:rPr>
          <w:sz w:val="14"/>
        </w:rPr>
        <w:t xml:space="preserve"> </w:t>
      </w:r>
      <w:r w:rsidRPr="00A2427B">
        <w:rPr>
          <w:sz w:val="14"/>
        </w:rPr>
        <w:t xml:space="preserve">an unexpected drop in staffing or material resources. </w:t>
      </w:r>
      <w:r w:rsidRPr="00A2427B">
        <w:rPr>
          <w:rStyle w:val="StyleUnderline"/>
        </w:rPr>
        <w:t>The power to</w:t>
      </w:r>
      <w:r w:rsidR="008A0BBB" w:rsidRPr="00A2427B">
        <w:rPr>
          <w:rStyle w:val="StyleUnderline"/>
        </w:rPr>
        <w:t xml:space="preserve"> </w:t>
      </w:r>
      <w:r w:rsidRPr="00A2427B">
        <w:rPr>
          <w:rStyle w:val="StyleUnderline"/>
        </w:rPr>
        <w:t>make procedural rules lowers the stakes of resource dependence,</w:t>
      </w:r>
      <w:r w:rsidR="008A0BBB" w:rsidRPr="00A2427B">
        <w:rPr>
          <w:rStyle w:val="StyleUnderline"/>
        </w:rPr>
        <w:t xml:space="preserve"> </w:t>
      </w:r>
      <w:r w:rsidRPr="00A2427B">
        <w:rPr>
          <w:rStyle w:val="StyleUnderline"/>
        </w:rPr>
        <w:t xml:space="preserve">increasing the court system’s </w:t>
      </w:r>
      <w:r w:rsidRPr="00A2427B">
        <w:rPr>
          <w:rStyle w:val="Emphasis"/>
        </w:rPr>
        <w:t>overall autonomy</w:t>
      </w:r>
      <w:r w:rsidRPr="00A2427B">
        <w:rPr>
          <w:rStyle w:val="StyleUnderline"/>
        </w:rPr>
        <w:t xml:space="preserve"> and leaving it less</w:t>
      </w:r>
      <w:r w:rsidR="008A0BBB" w:rsidRPr="00A2427B">
        <w:rPr>
          <w:rStyle w:val="StyleUnderline"/>
        </w:rPr>
        <w:t xml:space="preserve"> </w:t>
      </w:r>
      <w:r w:rsidRPr="00A2427B">
        <w:rPr>
          <w:rStyle w:val="StyleUnderline"/>
        </w:rPr>
        <w:t>susceptible to environmental disturbance.</w:t>
      </w:r>
      <w:r w:rsidR="008A0BBB" w:rsidRPr="00A2427B">
        <w:rPr>
          <w:rStyle w:val="StyleUnderline"/>
        </w:rPr>
        <w:t xml:space="preserve"> </w:t>
      </w:r>
      <w:r w:rsidRPr="00A2427B">
        <w:rPr>
          <w:sz w:val="14"/>
        </w:rPr>
        <w:t>Viewing court-centered rulemaking as a strategic buffer sheds</w:t>
      </w:r>
      <w:r w:rsidR="008A0BBB" w:rsidRPr="00A2427B">
        <w:rPr>
          <w:sz w:val="14"/>
        </w:rPr>
        <w:t xml:space="preserve"> </w:t>
      </w:r>
      <w:r w:rsidRPr="00A2427B">
        <w:rPr>
          <w:sz w:val="14"/>
        </w:rPr>
        <w:t>light on two otherwise puzzling facts about the rulemaking process.</w:t>
      </w:r>
      <w:r w:rsidR="008A0BBB" w:rsidRPr="00A2427B">
        <w:rPr>
          <w:sz w:val="14"/>
        </w:rPr>
        <w:t xml:space="preserve"> </w:t>
      </w:r>
      <w:r w:rsidRPr="00A2427B">
        <w:rPr>
          <w:sz w:val="14"/>
        </w:rPr>
        <w:t>First, it helps explain why an efficiency-driven, counter-majoritarian, adjudication-centered entity such as the federal court system chooses to engage in a time-consuming, quasi-democratic, and</w:t>
      </w:r>
      <w:r w:rsidR="008A0BBB" w:rsidRPr="00A2427B">
        <w:rPr>
          <w:sz w:val="14"/>
        </w:rPr>
        <w:t xml:space="preserve"> </w:t>
      </w:r>
      <w:r w:rsidRPr="00A2427B">
        <w:rPr>
          <w:sz w:val="14"/>
        </w:rPr>
        <w:t>policy-driven activity such as procedural rulemaking. The disconnect between the demands of rulemaking and the traditional expertise of the court system could not be more evident: rulemaking is</w:t>
      </w:r>
      <w:r w:rsidR="008A0BBB" w:rsidRPr="00A2427B">
        <w:rPr>
          <w:sz w:val="14"/>
        </w:rPr>
        <w:t xml:space="preserve"> </w:t>
      </w:r>
      <w:r w:rsidRPr="00A2427B">
        <w:rPr>
          <w:sz w:val="14"/>
        </w:rPr>
        <w:t>deliberately slow, forward-looking, and substantively flexible, while</w:t>
      </w:r>
      <w:r w:rsidR="008A0BBB" w:rsidRPr="00A2427B">
        <w:rPr>
          <w:sz w:val="14"/>
        </w:rPr>
        <w:t xml:space="preserve"> </w:t>
      </w:r>
      <w:r w:rsidRPr="00A2427B">
        <w:rPr>
          <w:sz w:val="14"/>
        </w:rPr>
        <w:t>traditional adjudication prizes efficiency, adherence to historical</w:t>
      </w:r>
      <w:r w:rsidR="008A0BBB" w:rsidRPr="00A2427B">
        <w:rPr>
          <w:sz w:val="14"/>
        </w:rPr>
        <w:t xml:space="preserve"> </w:t>
      </w:r>
      <w:r w:rsidRPr="00A2427B">
        <w:rPr>
          <w:sz w:val="14"/>
        </w:rPr>
        <w:t>facts, and substantive consistency.7</w:t>
      </w:r>
      <w:r w:rsidR="008A0BBB" w:rsidRPr="00A2427B">
        <w:rPr>
          <w:sz w:val="14"/>
        </w:rPr>
        <w:t xml:space="preserve"> </w:t>
      </w:r>
      <w:r w:rsidRPr="00A2427B">
        <w:rPr>
          <w:sz w:val="14"/>
        </w:rPr>
        <w:t>Yet the rulemaking buffer has</w:t>
      </w:r>
      <w:r w:rsidR="008A0BBB" w:rsidRPr="00A2427B">
        <w:rPr>
          <w:sz w:val="14"/>
        </w:rPr>
        <w:t xml:space="preserve"> </w:t>
      </w:r>
      <w:r w:rsidRPr="00A2427B">
        <w:rPr>
          <w:sz w:val="14"/>
        </w:rPr>
        <w:t>proven to be so strategically important to the court system as an</w:t>
      </w:r>
      <w:r w:rsidR="008A0BBB" w:rsidRPr="00A2427B">
        <w:rPr>
          <w:sz w:val="14"/>
        </w:rPr>
        <w:t xml:space="preserve"> </w:t>
      </w:r>
      <w:r w:rsidRPr="00A2427B">
        <w:rPr>
          <w:sz w:val="14"/>
        </w:rPr>
        <w:t>organization that it is willing to sublimate some of its core traditions and practices to maintain control over the rulemaking</w:t>
      </w:r>
      <w:r w:rsidR="008A0BBB" w:rsidRPr="00A2427B">
        <w:rPr>
          <w:sz w:val="14"/>
        </w:rPr>
        <w:t xml:space="preserve"> </w:t>
      </w:r>
      <w:r w:rsidRPr="00A2427B">
        <w:rPr>
          <w:sz w:val="14"/>
        </w:rPr>
        <w:t>process.8</w:t>
      </w:r>
      <w:r w:rsidR="008A0BBB" w:rsidRPr="00A2427B">
        <w:rPr>
          <w:sz w:val="14"/>
        </w:rPr>
        <w:t xml:space="preserve"> </w:t>
      </w:r>
      <w:r w:rsidRPr="00A2427B">
        <w:rPr>
          <w:sz w:val="14"/>
        </w:rPr>
        <w:t>The buffering perspective also helps explain why the court system</w:t>
      </w:r>
      <w:r w:rsidR="008A0BBB" w:rsidRPr="00A2427B">
        <w:rPr>
          <w:sz w:val="14"/>
        </w:rPr>
        <w:t xml:space="preserve"> </w:t>
      </w:r>
      <w:r w:rsidRPr="00A2427B">
        <w:rPr>
          <w:sz w:val="14"/>
        </w:rPr>
        <w:t>has allowed (and even encouraged) court-centered rulemaking to</w:t>
      </w:r>
      <w:r w:rsidR="008A0BBB" w:rsidRPr="00A2427B">
        <w:rPr>
          <w:sz w:val="14"/>
        </w:rPr>
        <w:t xml:space="preserve"> </w:t>
      </w:r>
      <w:r w:rsidRPr="00A2427B">
        <w:rPr>
          <w:sz w:val="14"/>
        </w:rPr>
        <w:t>become progressively complex and hierarchical over time. Nearly all</w:t>
      </w:r>
      <w:r w:rsidR="008A0BBB" w:rsidRPr="00A2427B">
        <w:rPr>
          <w:sz w:val="14"/>
        </w:rPr>
        <w:t xml:space="preserve"> </w:t>
      </w:r>
      <w:r w:rsidRPr="00A2427B">
        <w:rPr>
          <w:sz w:val="14"/>
        </w:rPr>
        <w:t>organizations prefer to operate their buffers privately and under</w:t>
      </w:r>
      <w:r w:rsidR="008A0BBB" w:rsidRPr="00A2427B">
        <w:rPr>
          <w:sz w:val="14"/>
        </w:rPr>
        <w:t xml:space="preserve"> </w:t>
      </w:r>
      <w:r w:rsidRPr="00A2427B">
        <w:rPr>
          <w:sz w:val="14"/>
        </w:rPr>
        <w:t>strong internal supervision in order to maximize efficiency and minimize external interference.9</w:t>
      </w:r>
      <w:r w:rsidR="008A0BBB" w:rsidRPr="00A2427B">
        <w:rPr>
          <w:sz w:val="14"/>
        </w:rPr>
        <w:t xml:space="preserve"> </w:t>
      </w:r>
      <w:r w:rsidRPr="00A2427B">
        <w:rPr>
          <w:sz w:val="14"/>
        </w:rPr>
        <w:t xml:space="preserve">But </w:t>
      </w:r>
      <w:r w:rsidRPr="00A2427B">
        <w:rPr>
          <w:rStyle w:val="StyleUnderline"/>
        </w:rPr>
        <w:t>organizations with a strong public</w:t>
      </w:r>
      <w:r w:rsidR="008A0BBB" w:rsidRPr="00A2427B">
        <w:rPr>
          <w:rStyle w:val="StyleUnderline"/>
        </w:rPr>
        <w:t xml:space="preserve"> </w:t>
      </w:r>
      <w:r w:rsidRPr="00A2427B">
        <w:rPr>
          <w:rStyle w:val="StyleUnderline"/>
        </w:rPr>
        <w:t>character, such as the federal court system, must also be sufficiently</w:t>
      </w:r>
      <w:r w:rsidR="008A0BBB" w:rsidRPr="00A2427B">
        <w:rPr>
          <w:rStyle w:val="StyleUnderline"/>
        </w:rPr>
        <w:t xml:space="preserve"> </w:t>
      </w:r>
      <w:r w:rsidRPr="00A2427B">
        <w:rPr>
          <w:rStyle w:val="StyleUnderline"/>
        </w:rPr>
        <w:t>transparent about their procedures to preserve their legitimacy with</w:t>
      </w:r>
      <w:r w:rsidR="008A0BBB" w:rsidRPr="00A2427B">
        <w:rPr>
          <w:rStyle w:val="StyleUnderline"/>
        </w:rPr>
        <w:t xml:space="preserve"> </w:t>
      </w:r>
      <w:r w:rsidRPr="00A2427B">
        <w:rPr>
          <w:rStyle w:val="StyleUnderline"/>
        </w:rPr>
        <w:t>the public</w:t>
      </w:r>
      <w:r w:rsidRPr="00A2427B">
        <w:rPr>
          <w:sz w:val="14"/>
        </w:rPr>
        <w:t xml:space="preserve">.10 </w:t>
      </w:r>
      <w:r w:rsidRPr="00A2427B">
        <w:rPr>
          <w:rStyle w:val="StyleUnderline"/>
        </w:rPr>
        <w:t>To view rulemaking as a buffer is to witness fully the</w:t>
      </w:r>
      <w:r w:rsidR="008A0BBB" w:rsidRPr="00A2427B">
        <w:rPr>
          <w:rStyle w:val="StyleUnderline"/>
        </w:rPr>
        <w:t xml:space="preserve"> </w:t>
      </w:r>
      <w:r w:rsidRPr="00A2427B">
        <w:rPr>
          <w:rStyle w:val="StyleUnderline"/>
        </w:rPr>
        <w:t>tension between openness and control that pervades the federal</w:t>
      </w:r>
      <w:r w:rsidR="008A0BBB" w:rsidRPr="00A2427B">
        <w:rPr>
          <w:rStyle w:val="StyleUnderline"/>
        </w:rPr>
        <w:t xml:space="preserve"> </w:t>
      </w:r>
      <w:r w:rsidRPr="00A2427B">
        <w:rPr>
          <w:rStyle w:val="StyleUnderline"/>
        </w:rPr>
        <w:t>court system’s internal operations</w:t>
      </w:r>
      <w:r w:rsidRPr="00A2427B">
        <w:rPr>
          <w:sz w:val="14"/>
        </w:rPr>
        <w:t>. The evolution of court-centered</w:t>
      </w:r>
      <w:r w:rsidR="008A0BBB" w:rsidRPr="00A2427B">
        <w:rPr>
          <w:sz w:val="14"/>
        </w:rPr>
        <w:t xml:space="preserve"> </w:t>
      </w:r>
      <w:r w:rsidRPr="00A2427B">
        <w:rPr>
          <w:sz w:val="14"/>
        </w:rPr>
        <w:t>rulemaking, from the private deliberations of an elite group of</w:t>
      </w:r>
      <w:r w:rsidR="008A0BBB" w:rsidRPr="00A2427B">
        <w:rPr>
          <w:sz w:val="14"/>
        </w:rPr>
        <w:t xml:space="preserve"> </w:t>
      </w:r>
      <w:r w:rsidRPr="00A2427B">
        <w:rPr>
          <w:sz w:val="14"/>
        </w:rPr>
        <w:t>lawyers in the 1930s to the far more complex and open process we</w:t>
      </w:r>
      <w:r w:rsidR="008A0BBB" w:rsidRPr="00A2427B">
        <w:rPr>
          <w:sz w:val="14"/>
        </w:rPr>
        <w:t xml:space="preserve"> </w:t>
      </w:r>
      <w:r w:rsidRPr="00A2427B">
        <w:rPr>
          <w:sz w:val="14"/>
        </w:rPr>
        <w:t>see today, reflects the federal court system’s ongoing effort to find</w:t>
      </w:r>
      <w:r w:rsidR="008A0BBB" w:rsidRPr="00A2427B">
        <w:rPr>
          <w:sz w:val="14"/>
        </w:rPr>
        <w:t xml:space="preserve"> </w:t>
      </w:r>
      <w:r w:rsidRPr="00A2427B">
        <w:rPr>
          <w:sz w:val="14"/>
        </w:rPr>
        <w:t>the right balance.11</w:t>
      </w:r>
      <w:r w:rsidR="008A0BBB" w:rsidRPr="00A2427B">
        <w:rPr>
          <w:sz w:val="14"/>
        </w:rPr>
        <w:t xml:space="preserve"> </w:t>
      </w:r>
      <w:r w:rsidRPr="00A2427B">
        <w:rPr>
          <w:sz w:val="14"/>
        </w:rPr>
        <w:t xml:space="preserve">More broadly, </w:t>
      </w:r>
      <w:r w:rsidRPr="00A2427B">
        <w:rPr>
          <w:rStyle w:val="Emphasis"/>
        </w:rPr>
        <w:t>the buffering perspective sees the federal court</w:t>
      </w:r>
      <w:r w:rsidR="008A0BBB" w:rsidRPr="00A2427B">
        <w:rPr>
          <w:rStyle w:val="Emphasis"/>
        </w:rPr>
        <w:t xml:space="preserve"> </w:t>
      </w:r>
      <w:r w:rsidRPr="00A2427B">
        <w:rPr>
          <w:rStyle w:val="Emphasis"/>
        </w:rPr>
        <w:t>system—not individual rulemakers, judges, or lobbyists—as the</w:t>
      </w:r>
      <w:r w:rsidR="008A0BBB" w:rsidRPr="00A2427B">
        <w:rPr>
          <w:rStyle w:val="Emphasis"/>
        </w:rPr>
        <w:t xml:space="preserve"> </w:t>
      </w:r>
      <w:r w:rsidRPr="00A2427B">
        <w:rPr>
          <w:rStyle w:val="Emphasis"/>
        </w:rPr>
        <w:t>chief protagonist in the rulemaking process</w:t>
      </w:r>
      <w:r w:rsidRPr="00A2427B">
        <w:rPr>
          <w:sz w:val="14"/>
        </w:rPr>
        <w:t>. To date, this view has</w:t>
      </w:r>
      <w:r w:rsidR="008A0BBB" w:rsidRPr="00A2427B">
        <w:rPr>
          <w:sz w:val="14"/>
        </w:rPr>
        <w:t xml:space="preserve"> </w:t>
      </w:r>
      <w:r w:rsidRPr="00A2427B">
        <w:rPr>
          <w:sz w:val="14"/>
        </w:rPr>
        <w:t>been largely neglected. Committee- or judge-level analyses of</w:t>
      </w:r>
      <w:r w:rsidR="008A0BBB" w:rsidRPr="00A2427B">
        <w:rPr>
          <w:sz w:val="14"/>
        </w:rPr>
        <w:t xml:space="preserve"> </w:t>
      </w:r>
      <w:r w:rsidRPr="00A2427B">
        <w:rPr>
          <w:sz w:val="14"/>
        </w:rPr>
        <w:t>rulemaking are surely important and add much to our understanding of group dynamics and rule interpretation. But only the organizational view can meaningfully situate the rulemaking process</w:t>
      </w:r>
      <w:r w:rsidR="008A0BBB" w:rsidRPr="00A2427B">
        <w:rPr>
          <w:sz w:val="14"/>
        </w:rPr>
        <w:t xml:space="preserve"> </w:t>
      </w:r>
      <w:r w:rsidRPr="00A2427B">
        <w:rPr>
          <w:sz w:val="14"/>
        </w:rPr>
        <w:t>within the federal court system’s broader ambitions.</w:t>
      </w:r>
    </w:p>
    <w:p w14:paraId="3DFF3A86" w14:textId="03E55B68" w:rsidR="00BB665C" w:rsidRPr="00A2427B" w:rsidRDefault="00BB665C" w:rsidP="00BB665C">
      <w:pPr>
        <w:pStyle w:val="Heading1"/>
      </w:pPr>
      <w:r w:rsidRPr="00A2427B">
        <w:t>2AC Ks</w:t>
      </w:r>
    </w:p>
    <w:p w14:paraId="10F04BF9" w14:textId="3658CBD3" w:rsidR="00BB665C" w:rsidRPr="00A2427B" w:rsidRDefault="00BB665C" w:rsidP="00BB665C">
      <w:pPr>
        <w:pStyle w:val="Heading2"/>
      </w:pPr>
      <w:r w:rsidRPr="00A2427B">
        <w:t>Abolition</w:t>
      </w:r>
    </w:p>
    <w:p w14:paraId="329951A6" w14:textId="3EDE1277" w:rsidR="009E1D75" w:rsidRPr="00A2427B" w:rsidRDefault="009E1D75" w:rsidP="009E1D75"/>
    <w:p w14:paraId="43A6D099" w14:textId="77777777" w:rsidR="00B1430C" w:rsidRPr="00A2427B" w:rsidRDefault="00B1430C" w:rsidP="009E1D75">
      <w:pPr>
        <w:rPr>
          <w:rStyle w:val="Style13ptBold"/>
        </w:rPr>
      </w:pPr>
    </w:p>
    <w:p w14:paraId="6097E267" w14:textId="34A74589" w:rsidR="009E1D75" w:rsidRPr="00A2427B" w:rsidRDefault="00741001" w:rsidP="00741001">
      <w:pPr>
        <w:pStyle w:val="Heading3"/>
      </w:pPr>
      <w:r w:rsidRPr="00A2427B">
        <w:t xml:space="preserve">2AC – Perm </w:t>
      </w:r>
    </w:p>
    <w:p w14:paraId="334F29AE" w14:textId="4A410723" w:rsidR="009E1D75" w:rsidRPr="00A2427B" w:rsidRDefault="009E1D75" w:rsidP="00741001">
      <w:pPr>
        <w:pStyle w:val="Heading4"/>
      </w:pPr>
      <w:r w:rsidRPr="00A2427B">
        <w:t>Perm</w:t>
      </w:r>
      <w:r w:rsidR="00814595" w:rsidRPr="00A2427B">
        <w:t xml:space="preserve"> – view the affirmative as a step in the direction of abolitionism and have a discerning view of the link. Not all reform is reform to save the system.</w:t>
      </w:r>
    </w:p>
    <w:p w14:paraId="2F575B8A" w14:textId="3BBBAC05" w:rsidR="009E1D75" w:rsidRPr="00A2427B" w:rsidRDefault="009E1D75" w:rsidP="009E1D75">
      <w:r w:rsidRPr="00A2427B">
        <w:rPr>
          <w:rStyle w:val="Style13ptBold"/>
        </w:rPr>
        <w:t>Ben-Moshe 2018</w:t>
      </w:r>
      <w:r w:rsidRPr="00A2427B">
        <w:t xml:space="preserve"> [Liat. "Dis-epistemologies of Abolition." Critical Criminology 26, no. 3 (2018): 341-355.]</w:t>
      </w:r>
    </w:p>
    <w:p w14:paraId="69578461" w14:textId="45363A81" w:rsidR="009E1D75" w:rsidRPr="00A2427B" w:rsidRDefault="009E1D75" w:rsidP="009E1D75">
      <w:pPr>
        <w:rPr>
          <w:sz w:val="16"/>
        </w:rPr>
      </w:pPr>
      <w:r w:rsidRPr="00A2427B">
        <w:rPr>
          <w:sz w:val="16"/>
        </w:rPr>
        <w:t xml:space="preserve">Abolition efforts are often described as not being prescriptive and not offering specific solutions and therefore as being not useful. Some opponents (be it progressives who believe in reform or those wanting to maintain the status quo) posit this stance as “if you can’t offer a specific solution, then you are part of the problem.” But as an epistemology and ethical stance, abolition politics invites us to abandon our attachment to knowing and especially to knowing all(s). Following Mathiesen, abolition is triggered by making people aware of the necessary dilemma they are faced with- continuing with the existing order with some changes (i.e. reform) or transitioning to something unknown. </w:t>
      </w:r>
      <w:r w:rsidRPr="00A2427B">
        <w:rPr>
          <w:rStyle w:val="Emphasis"/>
        </w:rPr>
        <w:t>The question becomes not “what is the best alternative” in its final formulation, but how this new order shall begin from the old</w:t>
      </w:r>
      <w:r w:rsidRPr="00A2427B">
        <w:rPr>
          <w:sz w:val="16"/>
        </w:rPr>
        <w:t xml:space="preserve">. In this sense a question that emerges from the “unfinished” as alternative, is how to maintain it as such, a sketch, not a final result but a process (Mathiesen </w:t>
      </w:r>
      <w:hyperlink r:id="rId38" w:anchor="ref-CR38" w:tooltip="Mathiesen, T. (1974). The politics of abolition. New York: Halsted Press." w:history="1">
        <w:r w:rsidRPr="00A2427B">
          <w:rPr>
            <w:rStyle w:val="Hyperlink"/>
            <w:sz w:val="16"/>
          </w:rPr>
          <w:t>1974</w:t>
        </w:r>
      </w:hyperlink>
      <w:r w:rsidRPr="00A2427B">
        <w:rPr>
          <w:sz w:val="16"/>
        </w:rPr>
        <w:t>). It is precisely for this reason that Mathiesen’s work has often been criticized for lacking any concrete suggestions for penology or even activism, and therefore perceived as abstract and detached from specific activist and policy stances. The common sense (common sense gun policy, common sense policy, common sense policing) obstructs the undercommons as Harney and Moten (</w:t>
      </w:r>
      <w:hyperlink r:id="rId39" w:anchor="ref-CR60" w:tooltip="Harney, S., &amp; Moten, F. (2013). The undercommons: Fugitive planning and black study. Wivenhoe: Minor Compositions." w:history="1">
        <w:r w:rsidRPr="00A2427B">
          <w:rPr>
            <w:rStyle w:val="Hyperlink"/>
            <w:sz w:val="16"/>
          </w:rPr>
          <w:t>2013</w:t>
        </w:r>
      </w:hyperlink>
      <w:r w:rsidRPr="00A2427B">
        <w:rPr>
          <w:sz w:val="16"/>
        </w:rPr>
        <w:t>) refer to it. Reclaiming abolition as dis-epistemology and its lack of certainty would solidify abolition as fashioning new ways of envisioning the world and opening up opportunities that are not closed off by readymade prescriptions. A related critique posed against abolition, is that carceral abolition also actively opposes certain kinds of solutions and desires. Abolition critiques the carceral system and carceral logics, but also critiques efforts to reform carceral sites, because some of the factors leading to the growth of the carceral State were the direct result of attempts to reform the system. This is also directly linked to the lineage of abolition of slavery. As Kim Gilmore (</w:t>
      </w:r>
      <w:hyperlink r:id="rId40" w:anchor="ref-CR20" w:tooltip="Gilmore, K. (2000). Slavery and prison—Understanding the connections. Social Justice, 27(3), 195–205." w:history="1">
        <w:r w:rsidRPr="00A2427B">
          <w:rPr>
            <w:rStyle w:val="Hyperlink"/>
            <w:sz w:val="16"/>
          </w:rPr>
          <w:t>2000</w:t>
        </w:r>
      </w:hyperlink>
      <w:r w:rsidRPr="00A2427B">
        <w:rPr>
          <w:sz w:val="16"/>
        </w:rPr>
        <w:t>) explains, “The connections between slavery and imprisonment have been used by abolitionists as a historical explanation and as part of a radical political strategy that questions the feasibility of “reform” as an appropriate response to prison expansion.” In practice, reform and abolition are on a continuum. For example, in Politics of Abolition, Mathiesen (</w:t>
      </w:r>
      <w:hyperlink r:id="rId41" w:anchor="ref-CR38" w:tooltip="Mathiesen, T. (1974). The politics of abolition. New York: Halsted Press." w:history="1">
        <w:r w:rsidRPr="00A2427B">
          <w:rPr>
            <w:rStyle w:val="Hyperlink"/>
            <w:sz w:val="16"/>
          </w:rPr>
          <w:t>1974</w:t>
        </w:r>
      </w:hyperlink>
      <w:r w:rsidRPr="00A2427B">
        <w:rPr>
          <w:sz w:val="16"/>
        </w:rPr>
        <w:t xml:space="preserve">) follows Andre Gorz’s distinction between reformist and ‘non-reformist’ reforms. Reformist reforms are situated in the status quo, so that any changes are made within or against this existing framework. Non reformist reforms imagine a different horizon and are not limited by a discussion of what is possible at present. Mathiesen states that non-reformist reforms that are effective need to be of the abolishing kind. </w:t>
      </w:r>
      <w:r w:rsidRPr="00A2427B">
        <w:rPr>
          <w:rStyle w:val="Emphasis"/>
        </w:rPr>
        <w:t>The question is what kinds of reforms are sought and whether they will strengthen the system in the long run</w:t>
      </w:r>
      <w:r w:rsidRPr="00A2427B">
        <w:rPr>
          <w:sz w:val="16"/>
        </w:rPr>
        <w:t xml:space="preserve"> (Ben-Moshe </w:t>
      </w:r>
      <w:hyperlink r:id="rId42" w:anchor="ref-CR6" w:tooltip="Ben-Moshe, L. (2013). The tension between abolition and reform. In M. Nagel &amp; A. J. Nocella II (Eds.), The end of prisons: Reflections from the decarceration movement. Value inquiry book series. Amsterdam: Rodopi Press." w:history="1">
        <w:r w:rsidRPr="00A2427B">
          <w:rPr>
            <w:rStyle w:val="Hyperlink"/>
            <w:sz w:val="16"/>
          </w:rPr>
          <w:t>2013</w:t>
        </w:r>
      </w:hyperlink>
      <w:r w:rsidRPr="00A2427B">
        <w:rPr>
          <w:sz w:val="16"/>
        </w:rPr>
        <w:t xml:space="preserve">; Kaba </w:t>
      </w:r>
      <w:hyperlink r:id="rId43" w:anchor="ref-CR32" w:tooltip="Kaba, M. (2014). Prison reform’s in vogue and other strange things… In Truthout Magazine, March 21, 2014, from &#10;                    http://www.truth-out.org/news/item/22604-prison-reforms-in-vogue-and-other-strange-things&#10;                    &#10;                 " w:history="1">
        <w:r w:rsidRPr="00A2427B">
          <w:rPr>
            <w:rStyle w:val="Hyperlink"/>
            <w:sz w:val="16"/>
          </w:rPr>
          <w:t>2014</w:t>
        </w:r>
      </w:hyperlink>
      <w:r w:rsidRPr="00A2427B">
        <w:rPr>
          <w:sz w:val="16"/>
        </w:rPr>
        <w:t xml:space="preserve">). For instance, </w:t>
      </w:r>
      <w:r w:rsidRPr="00A2427B">
        <w:rPr>
          <w:rStyle w:val="Emphasis"/>
        </w:rPr>
        <w:t>fighting for adequate health care for prisoners is something abolitionists often support, as a non-reformist reform</w:t>
      </w:r>
      <w:r w:rsidRPr="00A2427B">
        <w:rPr>
          <w:sz w:val="16"/>
        </w:rPr>
        <w:t>. However, some initiatives such as mental health jails are opposed by abolitionists, as these would only expand the scope of incarceration in the long haul. But, critics say, if everything offered can be conceived as being reformist, what solutions does the abolitionist offer? I suggest that this question is rooted in the kind of epistemological assumptions that are better abandoned by abolitionists. This demand only makes sense if it is engrained in privileged positionality and not in intersectional subjugated knowledge, or maroonage, as those already oppressed do not feel secure in the first place. In short, as Ahmed (</w:t>
      </w:r>
      <w:hyperlink r:id="rId44" w:anchor="ref-CR1" w:tooltip="Ahmed, S. (2010a). Killing joy: Feminism and the history of happiness. Signs, 35(3), 571–594." w:history="1">
        <w:r w:rsidRPr="00A2427B">
          <w:rPr>
            <w:rStyle w:val="Hyperlink"/>
            <w:sz w:val="16"/>
          </w:rPr>
          <w:t>2010a</w:t>
        </w:r>
      </w:hyperlink>
      <w:r w:rsidRPr="00A2427B">
        <w:rPr>
          <w:sz w:val="16"/>
        </w:rPr>
        <w:t>) explains, this is the work of the feminist killjoy: “Feminists, by declaring themselves feminists, are already read as destroying something that is thought of by others not only as being good but as the cause of happiness” (</w:t>
      </w:r>
      <w:hyperlink r:id="rId45" w:anchor="ref-CR1" w:tooltip="Ahmed, S. (2010a). Killing joy: Feminism and the history of happiness. Signs, 35(3), 571–594." w:history="1">
        <w:r w:rsidRPr="00A2427B">
          <w:rPr>
            <w:rStyle w:val="Hyperlink"/>
            <w:sz w:val="16"/>
          </w:rPr>
          <w:t>2010a</w:t>
        </w:r>
      </w:hyperlink>
      <w:r w:rsidRPr="00A2427B">
        <w:rPr>
          <w:sz w:val="16"/>
        </w:rPr>
        <w:t>: 581). Feminists (and other affect aliens, as Ahmed refers to them, including abolitionists) “hence brings others down, not only by talking about unhappy topics such as sexism but by exposing how happiness is sustained, by erasing the signs of not getting along” (</w:t>
      </w:r>
      <w:hyperlink r:id="rId46" w:anchor="ref-CR1" w:tooltip="Ahmed, S. (2010a). Killing joy: Feminism and the history of happiness. Signs, 35(3), 571–594." w:history="1">
        <w:r w:rsidRPr="00A2427B">
          <w:rPr>
            <w:rStyle w:val="Hyperlink"/>
            <w:sz w:val="16"/>
          </w:rPr>
          <w:t>2010a</w:t>
        </w:r>
      </w:hyperlink>
      <w:r w:rsidRPr="00A2427B">
        <w:rPr>
          <w:sz w:val="16"/>
        </w:rPr>
        <w:t>: 582). If we take this one step further to intersectional struggles “The angry black woman can be described as a killjoy; she may even kill feminist joy, for example, by pointing out forms of racism within feminist politics” (</w:t>
      </w:r>
      <w:hyperlink r:id="rId47" w:anchor="ref-CR1" w:tooltip="Ahmed, S. (2010a). Killing joy: Feminism and the history of happiness. Signs, 35(3), 571–594." w:history="1">
        <w:r w:rsidRPr="00A2427B">
          <w:rPr>
            <w:rStyle w:val="Hyperlink"/>
            <w:sz w:val="16"/>
          </w:rPr>
          <w:t>2010a</w:t>
        </w:r>
      </w:hyperlink>
      <w:r w:rsidRPr="00A2427B">
        <w:rPr>
          <w:sz w:val="16"/>
        </w:rPr>
        <w:t xml:space="preserve">: 583). </w:t>
      </w:r>
      <w:r w:rsidRPr="00A2427B">
        <w:rPr>
          <w:rStyle w:val="Emphasis"/>
        </w:rPr>
        <w:t>The call of “don’t talk about it unless you have a solution” assumes there is a monolithic answer to the question of ‘what is to be done’.</w:t>
      </w:r>
      <w:r w:rsidRPr="00A2427B">
        <w:rPr>
          <w:sz w:val="16"/>
        </w:rPr>
        <w:t xml:space="preserve"> As Davis (</w:t>
      </w:r>
      <w:hyperlink r:id="rId48" w:anchor="ref-CR13" w:tooltip="Davis, A. Y. (2003). Are prisons obsolete?. New York: Seven Stories Press." w:history="1">
        <w:r w:rsidRPr="00A2427B">
          <w:rPr>
            <w:rStyle w:val="Hyperlink"/>
            <w:sz w:val="16"/>
          </w:rPr>
          <w:t>2003</w:t>
        </w:r>
      </w:hyperlink>
      <w:r w:rsidRPr="00A2427B">
        <w:rPr>
          <w:sz w:val="16"/>
        </w:rPr>
        <w:t xml:space="preserve">) contends, as abolitionists, thinking about substitutions to prisons or incarceration is inapt. Instead </w:t>
      </w:r>
      <w:r w:rsidRPr="00A2427B">
        <w:rPr>
          <w:rStyle w:val="Emphasis"/>
        </w:rPr>
        <w:t>we should conceptualize a world without the footprint of the prison. That is exactly the problem with carceral locales—such as detention centers, psych hospitals, prisons—they become catch all solutions to diverse social issues. One of the difficulties of conceptualizing a world without prisons is that many think about a monolithic system that will replace the punitive one we have now</w:t>
      </w:r>
      <w:r w:rsidRPr="00A2427B">
        <w:rPr>
          <w:sz w:val="16"/>
        </w:rPr>
        <w:t>. Instead, we will need to deal with to handle certain harms and their effects in a myriad of ways.</w:t>
      </w:r>
    </w:p>
    <w:p w14:paraId="7F8B9BFD" w14:textId="74D060B2" w:rsidR="009E1D75" w:rsidRPr="00A2427B" w:rsidRDefault="009E1D75" w:rsidP="009E1D75"/>
    <w:p w14:paraId="1AB22EB2" w14:textId="10237635" w:rsidR="00814595" w:rsidRPr="00A2427B" w:rsidRDefault="00814595" w:rsidP="00741001">
      <w:pPr>
        <w:pStyle w:val="Heading4"/>
      </w:pPr>
      <w:r w:rsidRPr="00A2427B">
        <w:t>The affirmative is an instance of forensic abolitionism – this means that we link turn the criticism.</w:t>
      </w:r>
    </w:p>
    <w:p w14:paraId="258EDD65" w14:textId="3B7A9623" w:rsidR="00F3449B" w:rsidRPr="00A2427B" w:rsidRDefault="00F3449B" w:rsidP="009E1D75">
      <w:r w:rsidRPr="00A2427B">
        <w:rPr>
          <w:rStyle w:val="Style13ptBold"/>
        </w:rPr>
        <w:t>Roady 2017</w:t>
      </w:r>
      <w:r w:rsidRPr="00A2427B">
        <w:rPr>
          <w:color w:val="222222"/>
          <w:sz w:val="20"/>
          <w:szCs w:val="20"/>
          <w:shd w:val="clear" w:color="auto" w:fill="FFFFFF"/>
        </w:rPr>
        <w:t xml:space="preserve"> [Jack D. "The PCAST Report: A Review and Moving Forward-A Prosecutor's Perspective." </w:t>
      </w:r>
      <w:r w:rsidRPr="00A2427B">
        <w:rPr>
          <w:i/>
          <w:iCs/>
          <w:color w:val="222222"/>
          <w:sz w:val="20"/>
          <w:szCs w:val="20"/>
          <w:shd w:val="clear" w:color="auto" w:fill="FFFFFF"/>
        </w:rPr>
        <w:t>Crim. Just.</w:t>
      </w:r>
      <w:r w:rsidRPr="00A2427B">
        <w:rPr>
          <w:color w:val="222222"/>
          <w:sz w:val="20"/>
          <w:szCs w:val="20"/>
          <w:shd w:val="clear" w:color="auto" w:fill="FFFFFF"/>
        </w:rPr>
        <w:t> 32 (2017): 9.]</w:t>
      </w:r>
    </w:p>
    <w:p w14:paraId="710EB1DB" w14:textId="54B7D303" w:rsidR="00F3449B" w:rsidRPr="00A2427B" w:rsidRDefault="00F3449B" w:rsidP="009E1D75">
      <w:pPr>
        <w:rPr>
          <w:sz w:val="16"/>
        </w:rPr>
      </w:pPr>
      <w:r w:rsidRPr="00A2427B">
        <w:rPr>
          <w:rStyle w:val="Emphasis"/>
        </w:rPr>
        <w:t>So how do all of the stakeholders in this discussion—scientists, judges, prosecutors, and defense counsel—move forward? The adversarial nature of many of these relationships does not often facilitate calm and reasoned discussions for improvement.</w:t>
      </w:r>
      <w:r w:rsidRPr="00A2427B">
        <w:rPr>
          <w:sz w:val="16"/>
        </w:rPr>
        <w:t xml:space="preserve"> Indeed, many of the initial extreme reactions following release of the PCAST Report left little room to collaboratively plot a path forward. </w:t>
      </w:r>
      <w:r w:rsidRPr="00A2427B">
        <w:rPr>
          <w:rStyle w:val="Emphasis"/>
        </w:rPr>
        <w:t xml:space="preserve">With some calling for complete abolition of forensic science evidence and others calling for complete dismissal of PCAST and its </w:t>
      </w:r>
      <w:r w:rsidR="00814595" w:rsidRPr="00A2427B">
        <w:rPr>
          <w:rStyle w:val="Emphasis"/>
        </w:rPr>
        <w:t>f</w:t>
      </w:r>
      <w:r w:rsidRPr="00A2427B">
        <w:rPr>
          <w:rStyle w:val="Emphasis"/>
        </w:rPr>
        <w:t>indings, it is inevitable that lines would be drawn with faint hope for compromise</w:t>
      </w:r>
      <w:r w:rsidRPr="00A2427B">
        <w:rPr>
          <w:sz w:val="16"/>
        </w:rPr>
        <w:t xml:space="preserve">. At the risk of appearing Texocentric, I suggest that the approach taken in my home state of Texas by the Texas Forensic Science Commission (FSC) is a good example of one way to make progress while still taking all interests into account. </w:t>
      </w:r>
      <w:r w:rsidRPr="00A2427B">
        <w:rPr>
          <w:rStyle w:val="Emphasis"/>
        </w:rPr>
        <w:t>The Texas legislature created the FSC in May 2005, charging it with investigating allegations of professional negligence or misconduct that would substantially affect the integrity of the results of a forensic analysis conducted by an accredited laboratory.</w:t>
      </w:r>
      <w:r w:rsidRPr="00A2427B">
        <w:rPr>
          <w:sz w:val="16"/>
        </w:rPr>
        <w:t xml:space="preserve"> The FSC was also required to develop and implement a reporting system through which accredited laboratories could report professional negligence or misconduct. The FSC is also authorized to investigate complaints involving forensic disciplines that are not subject to accreditation under Texas law. And, the FSC was recently tasked with overseeing the accreditation of Texas’s crime laboratories and licensing all of its forensic analysts. The FSC is comprised of nine members appointed by the governor to staggered terms—seven scientists, one defense attorney, and one prosecutor.</w:t>
      </w:r>
    </w:p>
    <w:p w14:paraId="5F975263" w14:textId="4C66DD9F" w:rsidR="00F3449B" w:rsidRPr="00A2427B" w:rsidRDefault="00741001" w:rsidP="00741001">
      <w:pPr>
        <w:pStyle w:val="Heading3"/>
      </w:pPr>
      <w:r w:rsidRPr="00A2427B">
        <w:t>2AC – Suffering DA</w:t>
      </w:r>
    </w:p>
    <w:p w14:paraId="07FFF24C" w14:textId="704AA002" w:rsidR="00F3449B" w:rsidRPr="00A2427B" w:rsidRDefault="00A84675" w:rsidP="00A84675">
      <w:pPr>
        <w:pStyle w:val="Heading4"/>
      </w:pPr>
      <w:r w:rsidRPr="00A2427B">
        <w:t>Suffering disad – abolitionist theorizing must account for the real suffering that happens in prisons. Evaluate the affirmative versus the criticism in terms of proximate actions to resolve this impact.</w:t>
      </w:r>
    </w:p>
    <w:p w14:paraId="62263E47" w14:textId="68DE901C" w:rsidR="00FB6F31" w:rsidRPr="00A2427B" w:rsidRDefault="00FB6F31" w:rsidP="00FB6F31">
      <w:r w:rsidRPr="00A2427B">
        <w:rPr>
          <w:rStyle w:val="Style13ptBold"/>
        </w:rPr>
        <w:t>Brown 2019</w:t>
      </w:r>
      <w:r w:rsidRPr="00A2427B">
        <w:rPr>
          <w:color w:val="222222"/>
          <w:sz w:val="20"/>
          <w:szCs w:val="20"/>
          <w:shd w:val="clear" w:color="auto" w:fill="FFFFFF"/>
        </w:rPr>
        <w:t xml:space="preserve"> [Michelle. "Transformative justice and new abolition in the United States." </w:t>
      </w:r>
      <w:r w:rsidRPr="00A2427B">
        <w:rPr>
          <w:i/>
          <w:iCs/>
          <w:color w:val="222222"/>
          <w:sz w:val="20"/>
          <w:szCs w:val="20"/>
          <w:shd w:val="clear" w:color="auto" w:fill="FFFFFF"/>
        </w:rPr>
        <w:t>Justice Alternatives</w:t>
      </w:r>
      <w:r w:rsidRPr="00A2427B">
        <w:rPr>
          <w:color w:val="222222"/>
          <w:sz w:val="20"/>
          <w:szCs w:val="20"/>
          <w:shd w:val="clear" w:color="auto" w:fill="FFFFFF"/>
        </w:rPr>
        <w:t> (2019): 73-87.]</w:t>
      </w:r>
    </w:p>
    <w:p w14:paraId="4C46CEC3" w14:textId="29F075D2" w:rsidR="00FB6F31" w:rsidRPr="00A2427B" w:rsidRDefault="00FB6F31" w:rsidP="00FB6F31">
      <w:pPr>
        <w:rPr>
          <w:sz w:val="16"/>
        </w:rPr>
      </w:pPr>
      <w:r w:rsidRPr="00A2427B">
        <w:rPr>
          <w:sz w:val="16"/>
        </w:rPr>
        <w:t xml:space="preserve">Practically speaking, we might think of this in terms of Owen Daniel-​ McCarter’s pragmatic advice about how to facilitate a discussion directed toward abolition and transformation around sex registries: I ask the group whether there are any ways to prevent sexual violence without courts, cages, registries, or electronic monitoring. Responses vary: mental health treatment and social support at a young age; increased involvement in spiritual or faith communities; comprehensive sexual health education and a more sex-​ positive culture; less sexual violence in media, television, and pornography. While these ideas may not be precisely my vision of a world without prisons, these ‘alternatives’ are better than a world with prisons. Of course, some answer this question with a resounding ‘no’ ‒ there are no preventive measures outside of prisons. But I try to leave the group with an understanding that human beings are not ‘born’ as ‘child molesters’ or ‘sexual predators,’ and in fact the notion that someone could be born inherently sexually aggressive is racist. It is an ideology that fuels oppression and gets politicians elected. If examined closely, it is recognized as an ideology that clarifies that the criminal legal system is not about preventing sexual violence. Daniel-​ McCarter, Meiners and Noll 2016: 119 At the heart of these local, intimate struggles is a deep dive into the failures and contradictions of criminal justice, out of which develops a structural critique grounded in the insurgency of transformative justice. As Meghan McDowell writes, In contradistinction to carceral safety then, insurgent safety names locally determined anticapitalist ethics and practices that work within and against the racist carceral state to build a world where safety is not predicated on banishment, mass criminalization, or policing in any form. McDowell 2017: 8–​ 9 This insurgency is not one in which readily prescribed solutions are available or desirable; rather, pushing back against foreclosure of possibilities, opening up the space to think expansively and accountably is key to abolitionist organizing. Because of the above, </w:t>
      </w:r>
      <w:r w:rsidRPr="00A2427B">
        <w:rPr>
          <w:rStyle w:val="Emphasis"/>
        </w:rPr>
        <w:t>abolition materializes across a continuum of everyday acts that do not occlude policy or reform, but are directed toward the practice of a new world.</w:t>
      </w:r>
      <w:r w:rsidRPr="00A2427B">
        <w:rPr>
          <w:sz w:val="16"/>
        </w:rPr>
        <w:t xml:space="preserve"> Reforms are part of that order but only in a nonreformist sense (Gorz 1967), defined and evaluated via a structural analysis that is abolitionist in its aims, ‘adopting uncompromising positions that resist liberal attempts at co-​ optation, incorporation, and/​ or reconciliation’ (McDowell and Fernandez 2018: online first; pagination unavailable at time of writing). </w:t>
      </w:r>
      <w:r w:rsidRPr="00A2427B">
        <w:rPr>
          <w:rStyle w:val="Emphasis"/>
        </w:rPr>
        <w:t>This radical position of refusal is not incommensurable with a commitment to a plane of immediacy: reducing carceral suffering now</w:t>
      </w:r>
      <w:r w:rsidRPr="00A2427B">
        <w:rPr>
          <w:sz w:val="16"/>
        </w:rPr>
        <w:t xml:space="preserve"> (ending solitary confinement, fighting for better prison conditions or health care, etc., which are, on their own, reformist) </w:t>
      </w:r>
      <w:r w:rsidRPr="00A2427B">
        <w:rPr>
          <w:rStyle w:val="Emphasis"/>
        </w:rPr>
        <w:t>is abolitionist as long as it does not strengthen, reify, or extend the state’s footprint of harm . Much of abolition work then looks, from the political perspective, like small-​ scale campaigns and projects that mark first steps in the perpetual movement toward a world without prisons and police.</w:t>
      </w:r>
      <w:r w:rsidRPr="00A2427B">
        <w:rPr>
          <w:sz w:val="16"/>
        </w:rPr>
        <w:t xml:space="preserve"> Meticulous, case by case, local and contextual, these contingent efforts slow, if not stop, prison siting and construction (Ryerson and Schept 2018). Against the history of criminalization, they make demands grounded in freedom. For instance, the demand to end cash bail 16 has motivated nationwide bail reform campaigning and training, most notably evident in National Bail Out direct actions on Mother’s and Father’s Day holidays. Intense, fast, tangible events, these interventions are abolitionist precisely because they publicly ground their work in the longstanding historical legacy in the US of buying black people’s freedom and providing direct services through the community in the face of nonfunctional government. Other campaigns set historical precedents and previously unimaginable markers, such as the achievement by Mariame Kaba and other community organizers of police torture reparations in Chicago, a feat which forced public acknowledgment and official apologies for gross human rights violations by the police, changed public education curricula, installed a permanent public memorial and brought counseling services, free college tuition and job placement to the communities directly impacted.</w:t>
      </w:r>
    </w:p>
    <w:p w14:paraId="546E9CEB" w14:textId="3286C801" w:rsidR="00F3449B" w:rsidRPr="00A2427B" w:rsidRDefault="00F3449B" w:rsidP="009E1D75"/>
    <w:p w14:paraId="77B38B21" w14:textId="03C882C6" w:rsidR="00F3449B" w:rsidRPr="00A2427B" w:rsidRDefault="00741001" w:rsidP="00741001">
      <w:pPr>
        <w:pStyle w:val="Heading3"/>
      </w:pPr>
      <w:r w:rsidRPr="00A2427B">
        <w:t xml:space="preserve">2AC – Reform Key </w:t>
      </w:r>
    </w:p>
    <w:p w14:paraId="55258446" w14:textId="34D8BE26" w:rsidR="00F3449B" w:rsidRPr="00A2427B" w:rsidRDefault="00A84675" w:rsidP="00F3449B">
      <w:pPr>
        <w:pStyle w:val="Heading4"/>
      </w:pPr>
      <w:r w:rsidRPr="00A2427B">
        <w:t>State action key – forensic science in the American criminal justice system decentralized, only the affirmative has a mechanism to solve the aff in terms of the kritik.</w:t>
      </w:r>
    </w:p>
    <w:p w14:paraId="76FE3A14" w14:textId="21510836" w:rsidR="00F3449B" w:rsidRPr="00A2427B" w:rsidRDefault="00F3449B" w:rsidP="00F3449B">
      <w:r w:rsidRPr="00A2427B">
        <w:rPr>
          <w:rStyle w:val="Style13ptBold"/>
        </w:rPr>
        <w:t>Roach</w:t>
      </w:r>
      <w:r w:rsidR="00814595" w:rsidRPr="00A2427B">
        <w:rPr>
          <w:rStyle w:val="Style13ptBold"/>
        </w:rPr>
        <w:t xml:space="preserve"> 2009</w:t>
      </w:r>
      <w:r w:rsidRPr="00A2427B">
        <w:rPr>
          <w:color w:val="222222"/>
          <w:sz w:val="20"/>
          <w:szCs w:val="20"/>
          <w:shd w:val="clear" w:color="auto" w:fill="FFFFFF"/>
        </w:rPr>
        <w:t xml:space="preserve"> </w:t>
      </w:r>
      <w:r w:rsidR="00814595" w:rsidRPr="00A2427B">
        <w:rPr>
          <w:color w:val="222222"/>
          <w:sz w:val="20"/>
          <w:szCs w:val="20"/>
          <w:shd w:val="clear" w:color="auto" w:fill="FFFFFF"/>
        </w:rPr>
        <w:t>[</w:t>
      </w:r>
      <w:r w:rsidRPr="00A2427B">
        <w:rPr>
          <w:color w:val="222222"/>
          <w:sz w:val="20"/>
          <w:szCs w:val="20"/>
          <w:shd w:val="clear" w:color="auto" w:fill="FFFFFF"/>
        </w:rPr>
        <w:t>Kent. "Forensic science and miscarriages of justice: Some lessons from comparative experience." </w:t>
      </w:r>
      <w:r w:rsidRPr="00A2427B">
        <w:rPr>
          <w:i/>
          <w:iCs/>
          <w:color w:val="222222"/>
          <w:sz w:val="20"/>
          <w:szCs w:val="20"/>
          <w:shd w:val="clear" w:color="auto" w:fill="FFFFFF"/>
        </w:rPr>
        <w:t>Jurimetrics</w:t>
      </w:r>
      <w:r w:rsidRPr="00A2427B">
        <w:rPr>
          <w:color w:val="222222"/>
          <w:sz w:val="20"/>
          <w:szCs w:val="20"/>
          <w:shd w:val="clear" w:color="auto" w:fill="FFFFFF"/>
        </w:rPr>
        <w:t> (2009): 67-92.</w:t>
      </w:r>
      <w:r w:rsidR="00814595" w:rsidRPr="00A2427B">
        <w:rPr>
          <w:color w:val="222222"/>
          <w:sz w:val="20"/>
          <w:szCs w:val="20"/>
          <w:shd w:val="clear" w:color="auto" w:fill="FFFFFF"/>
        </w:rPr>
        <w:t>]</w:t>
      </w:r>
    </w:p>
    <w:p w14:paraId="35808B8B" w14:textId="77D49D6F" w:rsidR="00F3449B" w:rsidRPr="00A2427B" w:rsidRDefault="00F3449B" w:rsidP="00F3449B">
      <w:pPr>
        <w:rPr>
          <w:sz w:val="16"/>
        </w:rPr>
      </w:pPr>
      <w:r w:rsidRPr="00A2427B">
        <w:rPr>
          <w:sz w:val="16"/>
        </w:rPr>
        <w:t xml:space="preserve">The recent report of the National Research Council (NRC) on strengthen- ing forensic science focuses exclusively on the American experience.1 This orientation follows the mandate that the committee was given by Congress. It also reflects the extensive American experience with the contribution of foren- sic science to wrongful convictions.2 Nevertheless, Strengthening Forensic Science in the United States: A Path Forward (the NRC report) could have been enriched by attention to comparative experience Attention to comparative experience could have strengthened the case for reform by providing some support for the idea that </w:t>
      </w:r>
      <w:r w:rsidRPr="00A2427B">
        <w:rPr>
          <w:rStyle w:val="Emphasis"/>
        </w:rPr>
        <w:t>the United States lags be- hind some other democracies in the delivery of reliable forensic science</w:t>
      </w:r>
      <w:r w:rsidRPr="00A2427B">
        <w:rPr>
          <w:sz w:val="16"/>
        </w:rPr>
        <w:t xml:space="preserve">.4 Comparative analysis might have revealed the unique challenges faced by the United States. </w:t>
      </w:r>
      <w:r w:rsidRPr="00A2427B">
        <w:rPr>
          <w:rStyle w:val="Emphasis"/>
        </w:rPr>
        <w:t>These challenges are related to the radical decentralization of the American criminal justice and forensic science systems and the heavy use in the United States of the criminal sanction.</w:t>
      </w:r>
      <w:r w:rsidRPr="00A2427B">
        <w:rPr>
          <w:sz w:val="16"/>
        </w:rPr>
        <w:t xml:space="preserve"> Comparative analysis also would have revealed numerous common chal- lenges that many countries face with respect to reform of the forensic sciences. </w:t>
      </w:r>
      <w:r w:rsidRPr="00A2427B">
        <w:rPr>
          <w:rStyle w:val="Emphasis"/>
        </w:rPr>
        <w:t>An important common challenge is the disciplinary fragmentation of the fo- rensic sciences into separate disciplines without much thought to scientific and regulatory issues that are common to all forensic sciences.</w:t>
      </w:r>
      <w:r w:rsidRPr="00A2427B">
        <w:rPr>
          <w:sz w:val="16"/>
        </w:rPr>
        <w:t xml:space="preserve"> Federalism adds jurisdictional fragmentation to the disciplinary fragmentation of the forensic sciences in Australia and Canada, as well as in the United States. Attention to comparative reform proposals might have revealed the viability of more in- cremental reforms that stop short of the NRC's proposed abolition of coroner systems and of laboratories affiliated with policing and prosecutorial agencies. Finally, comparative analysis would have indicated that other jurisdictions, rightly or wrongly, are moving towards Daubert-stylc judicial gatekeeping5 with respect to unreliable science even while the NRC eschews reliance on such measures.</w:t>
      </w:r>
    </w:p>
    <w:p w14:paraId="1C49F8F8" w14:textId="77777777" w:rsidR="00741001" w:rsidRPr="00A2427B" w:rsidRDefault="00741001" w:rsidP="00741001">
      <w:pPr>
        <w:pStyle w:val="Heading4"/>
        <w:rPr>
          <w:rStyle w:val="Style13ptBold"/>
        </w:rPr>
      </w:pPr>
      <w:r w:rsidRPr="00A2427B">
        <w:rPr>
          <w:rStyle w:val="Style13ptBold"/>
        </w:rPr>
        <w:t>Unique disadvantage to abolitionism – the system just pushes surveillance methods outside of the prison into probation and parole.</w:t>
      </w:r>
    </w:p>
    <w:p w14:paraId="5CE0FA37" w14:textId="77777777" w:rsidR="00741001" w:rsidRPr="00A2427B" w:rsidRDefault="00741001" w:rsidP="00741001">
      <w:r w:rsidRPr="00A2427B">
        <w:rPr>
          <w:rStyle w:val="Style13ptBold"/>
        </w:rPr>
        <w:t>Rengifo and Stemen 2015</w:t>
      </w:r>
      <w:r w:rsidRPr="00A2427B">
        <w:rPr>
          <w:color w:val="222222"/>
          <w:sz w:val="20"/>
          <w:szCs w:val="20"/>
          <w:shd w:val="clear" w:color="auto" w:fill="FFFFFF"/>
        </w:rPr>
        <w:t xml:space="preserve"> [Andres F., and Don Stemen. "The unintended effects of penal reform: African American presence, incarceration, and the abolition of discretionary parole in the United States." </w:t>
      </w:r>
      <w:r w:rsidRPr="00A2427B">
        <w:rPr>
          <w:i/>
          <w:iCs/>
          <w:color w:val="222222"/>
          <w:sz w:val="20"/>
          <w:szCs w:val="20"/>
          <w:shd w:val="clear" w:color="auto" w:fill="FFFFFF"/>
        </w:rPr>
        <w:t>Crime &amp; Delinquency</w:t>
      </w:r>
      <w:r w:rsidRPr="00A2427B">
        <w:rPr>
          <w:color w:val="222222"/>
          <w:sz w:val="20"/>
          <w:szCs w:val="20"/>
          <w:shd w:val="clear" w:color="auto" w:fill="FFFFFF"/>
        </w:rPr>
        <w:t> 61, no. 5 (2015): 719-741.]</w:t>
      </w:r>
    </w:p>
    <w:p w14:paraId="3DEBEBB1" w14:textId="77777777" w:rsidR="00741001" w:rsidRPr="00A2427B" w:rsidRDefault="00741001" w:rsidP="00741001">
      <w:pPr>
        <w:rPr>
          <w:sz w:val="16"/>
        </w:rPr>
      </w:pPr>
      <w:r w:rsidRPr="00A2427B">
        <w:rPr>
          <w:sz w:val="16"/>
        </w:rPr>
        <w:t>Research has highlighted the relevance of racial threat and minority presence to explain both variations in levels of punishment and the uses of punishment across different populations (for a review, see Jacobs &amp; Carmichael, 2001, Western, 2006). However, as Greenberg and West (2001) noted, prior analyses have often conceived of the relationship between social forces and incarceration rates “mechanically, as if state conditions automatically produced a given type and level of penal response . . . slight[ing] the policy choices that structure a state’s responses to its circumstances” (p. 616). This study contributes to ongoing efforts to further specify the relationship between policies and imprisonment. Specifically, it explores whether the relationship between African American presence and incarceration rates is a historically contingent process and whether the implementation of legal changes altering the structuring of prisoner releases enhanced or mitigated the influence of this social force on incarceration rates. Our results confirm some findings from prior research: Controlling for socioeconomic and political covariates—including crime levels and law enforcement patterns—variations in incarceration rates are positively associated with larger African American populations and negatively associated with determinate sentencing. Contrary to other studies, however, we find that the strength of the relationship between the size of African American populations and imprisonment weakened throughout the study period; in other words, although greater African American presence continues to be related to higher imprisonment rates, the magnitude of this relationship decreased between 1978 and 2004. We suggest that this inconsistency vis-à-vis past research may be derived from differences in the scope of prior studies and the operationalization of African American presence. Greenberg and West (2001), for example, use three waves of data through 1990 and define Black population more narrowly (see also Jacobs &amp; Carmichael, 2001). These two factors are critical as we argue that the declining visibility of race to explain variation in imprisonment may be linked to the emergence of competing categories of offenders increasingly defined as “dangerous” based on nonracialized factors (Jacobson, 2005). Over time, but particularly since the early 1990s, the definition of “dangerous populations” has expanded to include a growing number of administratively defined offenders classified as dangerous on the basis of actuarial instruments (Garland, 2001) or in terms of their ultimate impact in prison populations (Jacobson, 2005).5 For example</w:t>
      </w:r>
      <w:r w:rsidRPr="00A2427B">
        <w:rPr>
          <w:rStyle w:val="Emphasis"/>
        </w:rPr>
        <w:t>, as the justice system has become increasingly focused on managing risk</w:t>
      </w:r>
      <w:r w:rsidRPr="00A2427B">
        <w:rPr>
          <w:sz w:val="16"/>
        </w:rPr>
        <w:t xml:space="preserve"> (Feeley &amp; Simon, 1992</w:t>
      </w:r>
      <w:r w:rsidRPr="00A2427B">
        <w:rPr>
          <w:rStyle w:val="Emphasis"/>
        </w:rPr>
        <w:t>), probation and parole violators have become the target of sentencing and corrections policies that seek to contain that risk</w:t>
      </w:r>
      <w:r w:rsidRPr="00A2427B">
        <w:rPr>
          <w:sz w:val="16"/>
        </w:rPr>
        <w:t xml:space="preserve"> (Jacobson, 2005). In 2000, state prisons admitted roughly 203,000 parole violators, up from approximately 27,000 violators in 1980; between 1977 and 2000, there has been a sevenfold expansion in the number of parole violators entering prison (Travis &amp; Lawrence, 2002). Furthermore</w:t>
      </w:r>
      <w:r w:rsidRPr="00A2427B">
        <w:rPr>
          <w:rStyle w:val="Emphasis"/>
        </w:rPr>
        <w:t>, it is likely that the increasing conservatism of the citizenry or government has triggered an emerging rhetoric of “law and order” that emphasizes general surveillance and control</w:t>
      </w:r>
      <w:r w:rsidRPr="00A2427B">
        <w:rPr>
          <w:sz w:val="16"/>
        </w:rPr>
        <w:t xml:space="preserve"> (see, for example, King &amp; Wheelock, 2007; Stucky, Heimer, &amp; Lang, 2005). Our argument does not discount the role of race in triggering more punitive responses, or as an engine of rhetorical strategies of politicians and media outlets. However, we suggest that prison systems are increasingly influenced by emerging categories of offenders that have progressively obscured the significance of race (Zatz, 1984). </w:t>
      </w:r>
      <w:r w:rsidRPr="00A2427B">
        <w:rPr>
          <w:rStyle w:val="Emphasis"/>
        </w:rPr>
        <w:t xml:space="preserve">Broad initiatives of sentencing reform seeking to reduce discretion by various courtroom actors may also affect the role of race in the configuration of overall levels of punishment. However, these policies have not always shaped processes and outcomes of the justice system in the intended ways, partially because they interact with broader social forces through mechanisms often overlooked by policy makers and scholars. </w:t>
      </w:r>
      <w:r w:rsidRPr="00A2427B">
        <w:rPr>
          <w:sz w:val="16"/>
        </w:rPr>
        <w:t>One such policy is determinate sentencing. Our results indicate that in states with low levels of African American presence, the abolition of discretionary parole release has mitigated the positive association between the size of African American populations and imprisonment levels. This is largely consistent with the literature on the main effects of determinate sentencing (e.g., Greenberg &amp; West, 2001; Stemen &amp; Rengifo, 2011). In states with higher African American presence, however, the abolition of discretionary parole release has strengthened the relationship between the size of African American population and incarceration rates. This unintended pattern, we argue, is explained by the fact that coercive responses to the threat posed by greater minority populations cannot be mobilized toward specific subpopulations of offenders.</w:t>
      </w:r>
    </w:p>
    <w:p w14:paraId="662435C7" w14:textId="3CFEB1C5" w:rsidR="00D4714C" w:rsidRPr="00A2427B" w:rsidRDefault="00693A53" w:rsidP="00693A53">
      <w:pPr>
        <w:pStyle w:val="Heading1"/>
      </w:pPr>
      <w:r w:rsidRPr="00A2427B">
        <w:t xml:space="preserve">Case </w:t>
      </w:r>
      <w:r w:rsidR="00D4714C" w:rsidRPr="00A2427B">
        <w:t>Negative</w:t>
      </w:r>
    </w:p>
    <w:p w14:paraId="5225CF56" w14:textId="0F980CE6" w:rsidR="004A1573" w:rsidRPr="00A2427B" w:rsidRDefault="00741001" w:rsidP="004A1573">
      <w:pPr>
        <w:pStyle w:val="Heading3"/>
        <w:rPr>
          <w:shd w:val="clear" w:color="auto" w:fill="FFFFFF"/>
        </w:rPr>
      </w:pPr>
      <w:r w:rsidRPr="00A2427B">
        <w:rPr>
          <w:shd w:val="clear" w:color="auto" w:fill="FFFFFF"/>
        </w:rPr>
        <w:t xml:space="preserve">1NC – Solvency </w:t>
      </w:r>
    </w:p>
    <w:p w14:paraId="0F9002D1" w14:textId="77777777" w:rsidR="004A1573" w:rsidRPr="00A2427B" w:rsidRDefault="004A1573" w:rsidP="004A1573">
      <w:pPr>
        <w:rPr>
          <w:color w:val="222222"/>
          <w:sz w:val="20"/>
          <w:szCs w:val="20"/>
          <w:shd w:val="clear" w:color="auto" w:fill="FFFFFF"/>
        </w:rPr>
      </w:pPr>
    </w:p>
    <w:p w14:paraId="3A4C5715" w14:textId="7DACC14E" w:rsidR="00DB32BA" w:rsidRPr="00A2427B" w:rsidRDefault="00DB32BA" w:rsidP="00741001">
      <w:pPr>
        <w:pStyle w:val="Heading4"/>
        <w:rPr>
          <w:shd w:val="clear" w:color="auto" w:fill="FFFFFF"/>
        </w:rPr>
      </w:pPr>
      <w:r w:rsidRPr="00A2427B">
        <w:rPr>
          <w:shd w:val="clear" w:color="auto" w:fill="FFFFFF"/>
        </w:rPr>
        <w:t>Affirmative doesn’t solve – Forensic scientists’ language and findings can be misinterpreted by prosecutors, investigators, and juries.</w:t>
      </w:r>
    </w:p>
    <w:p w14:paraId="2D62A6B4" w14:textId="6780C0B9" w:rsidR="004A1573" w:rsidRPr="00A2427B" w:rsidRDefault="004A1573" w:rsidP="004A1573">
      <w:r w:rsidRPr="00A2427B">
        <w:rPr>
          <w:rStyle w:val="Style13ptBold"/>
        </w:rPr>
        <w:t>LaPorte</w:t>
      </w:r>
      <w:r w:rsidR="00DB32BA" w:rsidRPr="00A2427B">
        <w:rPr>
          <w:rStyle w:val="Style13ptBold"/>
        </w:rPr>
        <w:t xml:space="preserve"> 2017</w:t>
      </w:r>
      <w:r w:rsidRPr="00A2427B">
        <w:rPr>
          <w:color w:val="222222"/>
          <w:sz w:val="20"/>
          <w:szCs w:val="20"/>
          <w:shd w:val="clear" w:color="auto" w:fill="FFFFFF"/>
        </w:rPr>
        <w:t xml:space="preserve"> </w:t>
      </w:r>
      <w:r w:rsidR="00DB32BA" w:rsidRPr="00A2427B">
        <w:rPr>
          <w:color w:val="222222"/>
          <w:sz w:val="20"/>
          <w:szCs w:val="20"/>
          <w:shd w:val="clear" w:color="auto" w:fill="FFFFFF"/>
        </w:rPr>
        <w:t>[Gerald</w:t>
      </w:r>
      <w:r w:rsidRPr="00A2427B">
        <w:rPr>
          <w:color w:val="222222"/>
          <w:sz w:val="20"/>
          <w:szCs w:val="20"/>
          <w:shd w:val="clear" w:color="auto" w:fill="FFFFFF"/>
        </w:rPr>
        <w:t>. "Wrongful convictions and DNA exonerations: Understanding the role of forensic science." </w:t>
      </w:r>
      <w:r w:rsidRPr="00A2427B">
        <w:rPr>
          <w:i/>
          <w:iCs/>
          <w:color w:val="222222"/>
          <w:sz w:val="20"/>
          <w:szCs w:val="20"/>
          <w:shd w:val="clear" w:color="auto" w:fill="FFFFFF"/>
        </w:rPr>
        <w:t>NIJ Journal</w:t>
      </w:r>
      <w:r w:rsidRPr="00A2427B">
        <w:rPr>
          <w:color w:val="222222"/>
          <w:sz w:val="20"/>
          <w:szCs w:val="20"/>
          <w:shd w:val="clear" w:color="auto" w:fill="FFFFFF"/>
        </w:rPr>
        <w:t> 279 (2017): 250705.</w:t>
      </w:r>
      <w:r w:rsidR="00DB32BA" w:rsidRPr="00A2427B">
        <w:rPr>
          <w:color w:val="222222"/>
          <w:sz w:val="20"/>
          <w:szCs w:val="20"/>
          <w:shd w:val="clear" w:color="auto" w:fill="FFFFFF"/>
        </w:rPr>
        <w:t>]</w:t>
      </w:r>
    </w:p>
    <w:p w14:paraId="310FFB0F" w14:textId="77777777" w:rsidR="004A1573" w:rsidRPr="00A2427B" w:rsidRDefault="004A1573" w:rsidP="004A1573">
      <w:pPr>
        <w:rPr>
          <w:sz w:val="16"/>
        </w:rPr>
      </w:pPr>
      <w:r w:rsidRPr="00A2427B">
        <w:rPr>
          <w:rStyle w:val="Emphasis"/>
        </w:rPr>
        <w:t>Unpredictable juror decision-making, the unknown impact of other contributing factors, subjective assessments of information, and lack of complete information result in some uncertainty in how much forensic science has contributed to wrongful convictions</w:t>
      </w:r>
      <w:r w:rsidRPr="00A2427B">
        <w:rPr>
          <w:sz w:val="16"/>
        </w:rPr>
        <w:t xml:space="preserve">. However, there are some critical lessons that forensic scientists can take away from these findings. First, forensic misconduct is fervently unacceptable; it has a pervasive and infectious effect on the entire criminal justice system. All forensic laboratories and forensic scientists are obliged to make every effort to prevent forensic misconduct. Accreditation, implementation and enforcement of a code of ethics, and appropriate training should mitigate forensic misconduct. Second, </w:t>
      </w:r>
      <w:r w:rsidRPr="00A2427B">
        <w:rPr>
          <w:rStyle w:val="Emphasis"/>
        </w:rPr>
        <w:t>forensic scientists must avoid ambiguous terminology in their reports and testimony because they will mislead investigators, litigators, and factfinders</w:t>
      </w:r>
      <w:r w:rsidRPr="00A2427B">
        <w:rPr>
          <w:sz w:val="16"/>
        </w:rPr>
        <w:t xml:space="preserve">. Forensic science professionals strive to convey their findings accurately and reliably. </w:t>
      </w:r>
      <w:r w:rsidRPr="00A2427B">
        <w:rPr>
          <w:rStyle w:val="Emphasis"/>
        </w:rPr>
        <w:t>But terminology</w:t>
      </w:r>
      <w:r w:rsidRPr="00A2427B">
        <w:rPr>
          <w:sz w:val="16"/>
        </w:rPr>
        <w:t xml:space="preserve"> such as “consistent with,” “similar to,” and “cannot be differentiated” — qualitative terms that forensic scientists often use to avoid making conclusive statements that two or more items are not from the same source — </w:t>
      </w:r>
      <w:r w:rsidRPr="00A2427B">
        <w:rPr>
          <w:rStyle w:val="Emphasis"/>
        </w:rPr>
        <w:t xml:space="preserve">may be interpreted differently by courts and juries when used in a certain context and not fully explained. These ambiguous phrases can have repercussions beyond what they were originally intended to do, </w:t>
      </w:r>
      <w:r w:rsidRPr="00A2427B">
        <w:rPr>
          <w:sz w:val="16"/>
        </w:rPr>
        <w:t>which is for the forensic scientist to communicate uncertainty. Therefore, all forensic disciplines need to clearly define the language they will use and be cognizant of potential misinterpretation by nonscientists. Third, and along related lines, forensic scientists must convey impartial and objective conclusions based on accurate and reliable techniques. It is also just as important to clearly articulate limitations and uncertainty so that all users understand the confines of the forensic findings. In reviewing the erroneous convictions that involved forensic serology, there appears to be an underlying issue with mixture interpretation and statistical assessments. Forensic scientists need to demonstrate core competency in the use of and interpretation of statistics. Having an advanced level of statistical training through undergraduate and graduate forensic science programs is essential. Fourth, errors are often inevitable; when they do occur, it is critical to focus on the underlying problems that contributed to the event — and then to learn from the error. This is an especially challenging issue because the general tendency is to blame an individual. The final recommendation is best stated in a quote from Dr. Paul Camille Hippolyte Brouardel, a French pathologist: “If the law has made you a witness, remain a man of science. You have no victim to avenge, no guilty or innocent person to convict or save — you must bear testimony within the limits of science.”18</w:t>
      </w:r>
    </w:p>
    <w:p w14:paraId="4D1F30E9" w14:textId="0C9E7E96" w:rsidR="004A1573" w:rsidRPr="00A2427B" w:rsidRDefault="00741001" w:rsidP="00741001">
      <w:pPr>
        <w:pStyle w:val="Heading3"/>
      </w:pPr>
      <w:r w:rsidRPr="00A2427B">
        <w:t xml:space="preserve">2NC – Solvency </w:t>
      </w:r>
    </w:p>
    <w:p w14:paraId="70E20BD6" w14:textId="1F268B5C" w:rsidR="005C55B8" w:rsidRPr="00A2427B" w:rsidRDefault="005C55B8" w:rsidP="00741001">
      <w:pPr>
        <w:pStyle w:val="Heading4"/>
      </w:pPr>
      <w:r w:rsidRPr="00A2427B">
        <w:t>Forensic science is not decisive and often cases are solved before forensic data is used.</w:t>
      </w:r>
    </w:p>
    <w:p w14:paraId="3B91C999" w14:textId="376B0188" w:rsidR="005C55B8" w:rsidRPr="00A2427B" w:rsidRDefault="005C55B8" w:rsidP="005C55B8">
      <w:r w:rsidRPr="00A2427B">
        <w:rPr>
          <w:rStyle w:val="Style13ptBold"/>
        </w:rPr>
        <w:t>Bitzer</w:t>
      </w:r>
      <w:r w:rsidRPr="00A2427B">
        <w:rPr>
          <w:color w:val="222222"/>
          <w:sz w:val="20"/>
          <w:szCs w:val="20"/>
          <w:shd w:val="clear" w:color="auto" w:fill="FFFFFF"/>
        </w:rPr>
        <w:t>, Sonja, Pierr</w:t>
      </w:r>
      <w:r w:rsidR="00702F08" w:rsidRPr="00A2427B">
        <w:rPr>
          <w:color w:val="222222"/>
          <w:sz w:val="20"/>
          <w:szCs w:val="20"/>
          <w:shd w:val="clear" w:color="auto" w:fill="FFFFFF"/>
        </w:rPr>
        <w:t xml:space="preserve">e Margot, and Olivier </w:t>
      </w:r>
      <w:r w:rsidR="00702F08" w:rsidRPr="00A2427B">
        <w:rPr>
          <w:rStyle w:val="Style13ptBold"/>
        </w:rPr>
        <w:t>Delémont 2019</w:t>
      </w:r>
      <w:r w:rsidR="00702F08" w:rsidRPr="00A2427B">
        <w:rPr>
          <w:color w:val="222222"/>
          <w:sz w:val="20"/>
          <w:szCs w:val="20"/>
          <w:shd w:val="clear" w:color="auto" w:fill="FFFFFF"/>
        </w:rPr>
        <w:t xml:space="preserve"> [</w:t>
      </w:r>
      <w:r w:rsidRPr="00A2427B">
        <w:rPr>
          <w:color w:val="222222"/>
          <w:sz w:val="20"/>
          <w:szCs w:val="20"/>
          <w:shd w:val="clear" w:color="auto" w:fill="FFFFFF"/>
        </w:rPr>
        <w:t>"Is forensic science worth it?." </w:t>
      </w:r>
      <w:r w:rsidRPr="00A2427B">
        <w:rPr>
          <w:i/>
          <w:iCs/>
          <w:color w:val="222222"/>
          <w:sz w:val="20"/>
          <w:szCs w:val="20"/>
          <w:shd w:val="clear" w:color="auto" w:fill="FFFFFF"/>
        </w:rPr>
        <w:t>Policing: A Journal of Policy and Practice</w:t>
      </w:r>
      <w:r w:rsidRPr="00A2427B">
        <w:rPr>
          <w:color w:val="222222"/>
          <w:sz w:val="20"/>
          <w:szCs w:val="20"/>
          <w:shd w:val="clear" w:color="auto" w:fill="FFFFFF"/>
        </w:rPr>
        <w:t> 13, no. 1 (2019): 12-20.</w:t>
      </w:r>
      <w:r w:rsidR="00702F08" w:rsidRPr="00A2427B">
        <w:rPr>
          <w:color w:val="222222"/>
          <w:sz w:val="20"/>
          <w:szCs w:val="20"/>
          <w:shd w:val="clear" w:color="auto" w:fill="FFFFFF"/>
        </w:rPr>
        <w:t>]</w:t>
      </w:r>
    </w:p>
    <w:p w14:paraId="257671EA" w14:textId="0FA8C882" w:rsidR="005C55B8" w:rsidRPr="00A2427B" w:rsidRDefault="005C55B8" w:rsidP="005C55B8">
      <w:pPr>
        <w:rPr>
          <w:sz w:val="16"/>
        </w:rPr>
      </w:pPr>
      <w:r w:rsidRPr="00A2427B">
        <w:rPr>
          <w:sz w:val="16"/>
        </w:rPr>
        <w:t xml:space="preserve">The complexity of the criminal enquiry and the multiple potential dimensions of the contribution of forensic science should be taken into account to discover and measure the utility of forensic science which then appears much more diverse and nuanced, described within the individual steps of the decision-making process. Forensic science can contribute in manifold manners and have a substantial impact on the criminal justice process and beyond (Dele´mont et al., 2014; Ribaux, 2014; Ribaux et al., 2015). As mentioned previously, these dimensions can take obvious forms such as the identification of a suspect or its confirmation when he/she was previously identified. Forensic science (in its broad understanding including forensic intelligence) can itself influence the very first step of the process, notably the decision to attend a crime scene. The inference of a case belonging to a series of cases (e.g. sharing similar modus operandi as identified by the type of tool used) can engender a change in the perceived importance of the case and thus lead to its investigation by crime scene examiners and also can lead to preventive measures by alerting a population on precautions that may inhibit further crimes in a series. When considering the contributions of forensic science in the investigation phase, one needs also to differentiate between cases which can be considered solved (in the investigative sense) before the analysis of collected traces, i.e. all suspects have been identified notwithstanding the fact that a given suspect is further charged or convicted for that offence, and cases where at least one person (author/suspect) remains to be identified before analysis. In these two cases, the potential utility of the clue prior to analysis is not the same. In cases that are considered solved with regards to the identification of the suspect(s), the utility dimension of identification is secondary and may not be pursued. Whereas in cases where at least one suspect still remains to be identified, one primary potential utility is the identification of the suspect. </w:t>
      </w:r>
      <w:r w:rsidRPr="00A2427B">
        <w:rPr>
          <w:rStyle w:val="Emphasis"/>
        </w:rPr>
        <w:t>In</w:t>
      </w:r>
      <w:r w:rsidRPr="00A2427B">
        <w:rPr>
          <w:sz w:val="16"/>
        </w:rPr>
        <w:t xml:space="preserve"> our study on </w:t>
      </w:r>
      <w:r w:rsidRPr="00A2427B">
        <w:rPr>
          <w:rStyle w:val="Emphasis"/>
        </w:rPr>
        <w:t>robbery cases, the predominantly determined contribution appeared to be for identification purposes, followed by confirmation</w:t>
      </w:r>
      <w:r w:rsidRPr="00A2427B">
        <w:rPr>
          <w:sz w:val="16"/>
        </w:rPr>
        <w:t xml:space="preserve"> (Bitzer, 2016). Indeed, in 16% of these robbery cases, </w:t>
      </w:r>
      <w:r w:rsidRPr="00A2427B">
        <w:rPr>
          <w:rStyle w:val="Emphasis"/>
        </w:rPr>
        <w:t>the first information regarding the identity of the alleged offender was determined by the results of trace analysis</w:t>
      </w:r>
      <w:r w:rsidRPr="00A2427B">
        <w:rPr>
          <w:sz w:val="16"/>
        </w:rPr>
        <w:t xml:space="preserve">. When subtracting the cases that were solved prior to analysis (15 out of the 101 robbery cases were ‘solved’ prior to any analysis, through police enquiry), forensic science contributed to the identification of 16 out of 86 cases, or 19% of cases. </w:t>
      </w:r>
      <w:r w:rsidRPr="00A2427B">
        <w:rPr>
          <w:rStyle w:val="Emphasis"/>
        </w:rPr>
        <w:t>When considering solely the identification purpose, the utility of the clue can be questioned as, at the end, identification was achieved through multiple means, such as police enquiry and trace analysis, among which the contribution of the inquiry was more important. In 13 of the studied cases, hits</w:t>
      </w:r>
      <w:r w:rsidRPr="00A2427B">
        <w:rPr>
          <w:sz w:val="16"/>
        </w:rPr>
        <w:t xml:space="preserve"> (linking the suspect to the crime or the victim) </w:t>
      </w:r>
      <w:r w:rsidRPr="00A2427B">
        <w:rPr>
          <w:rStyle w:val="Emphasis"/>
        </w:rPr>
        <w:t>were obtained, but the suspect had already been identified through police enquiry</w:t>
      </w:r>
      <w:r w:rsidRPr="00A2427B">
        <w:rPr>
          <w:sz w:val="16"/>
        </w:rPr>
        <w:t>. In all of these cases, on the basis of the available information, the contribution of biological traces to the investigation could, however, be attributed to confirmation or reconstruction of events. Forensic science contributed further to case-linking in 21 cases. Compared with the 16 cases which contributed to finding the suspect, five additional cases demonstrated a crime-linking utility. One through shoe mark comparison, and four additional links through biological traces. In addition to these obvious utility dimensions, there are several other indirect dimensions that are difficult to outline. An example is shoe marks— whose use as evidence for court was questioned by the PCAST report—which may provide valuable information for the collection of other traces. Their combination may play a catalytic role for the detection of other traces, revealing the path that was taken by a person (following one shoe pattern) and leading to the localization of contact points (catalytic role for the detection of traces). Shoe marks, or better their quick analysis on the crime scene, might also complement the offender profile provided by the police (i.e. shoe brand worn by alleged offender), and thus direct their investigations. Traces and their determination can also help establish the legal classification of the offense. In one of the cases we studied, a confession was yielded after the police investigator told the suspect that his co-suspect was linked to the case through a match between his profile and that extracted from the trace collected on the crime scene (role as a catalyst of information). This demonstrates the complexity of the contribution that forensic science can offer, far beyond the quasi mechanistic approach taken by many laboratories and institutions around the world.</w:t>
      </w:r>
    </w:p>
    <w:p w14:paraId="015F59DC" w14:textId="77777777" w:rsidR="00741001" w:rsidRPr="00A2427B" w:rsidRDefault="00741001" w:rsidP="00741001">
      <w:pPr>
        <w:pStyle w:val="Heading3"/>
      </w:pPr>
      <w:r w:rsidRPr="00A2427B">
        <w:t xml:space="preserve">1NC – Squo Solves </w:t>
      </w:r>
    </w:p>
    <w:p w14:paraId="4206FB01" w14:textId="77777777" w:rsidR="00741001" w:rsidRPr="00A2427B" w:rsidRDefault="00741001" w:rsidP="00741001">
      <w:pPr>
        <w:pStyle w:val="Heading4"/>
      </w:pPr>
      <w:r w:rsidRPr="00A2427B">
        <w:t>The status quo solves – the DOJ is already implementing forensic science review processes to check against misuses of evidence and testimony.</w:t>
      </w:r>
    </w:p>
    <w:p w14:paraId="20D8240B" w14:textId="77777777" w:rsidR="00741001" w:rsidRPr="00A2427B" w:rsidRDefault="00741001" w:rsidP="00741001">
      <w:r w:rsidRPr="00A2427B">
        <w:rPr>
          <w:rStyle w:val="Style13ptBold"/>
        </w:rPr>
        <w:t>Goldsmith 2018</w:t>
      </w:r>
      <w:r w:rsidRPr="00A2427B">
        <w:t xml:space="preserve"> [Andrew D. "The Reliability of the Adversarial System to Assess the Scientific Validity of Forensic Evidence," Fordham Law Review Online 86 (2018): 16-23]</w:t>
      </w:r>
    </w:p>
    <w:p w14:paraId="1EEB6E4C" w14:textId="77777777" w:rsidR="00741001" w:rsidRPr="00A2427B" w:rsidRDefault="00741001" w:rsidP="00741001">
      <w:pPr>
        <w:rPr>
          <w:sz w:val="16"/>
        </w:rPr>
      </w:pPr>
      <w:r w:rsidRPr="00A2427B">
        <w:rPr>
          <w:sz w:val="16"/>
        </w:rPr>
        <w:t xml:space="preserve">The DOJ remains committed to strengthening forensic science and its courtroom use by all stakeholders. </w:t>
      </w:r>
      <w:r w:rsidRPr="00A2427B">
        <w:rPr>
          <w:rStyle w:val="Emphasis"/>
        </w:rPr>
        <w:t xml:space="preserve">The DOJ is advancing forensic research and development so that evidence can be compared to a known source with increasingly sensitive and precise means. The DOJ is also working to ensure that the conclusions offered by its forensic experts in reports and testimony do not exceed the limitations of the method or discipline in question. The DOJ has also devoted substantial funding to forensic science research and development. </w:t>
      </w:r>
      <w:r w:rsidRPr="00A2427B">
        <w:rPr>
          <w:sz w:val="16"/>
        </w:rPr>
        <w:t xml:space="preserve">The National Institute of Justice (NIJ), the Federal Bureau of Investigation, and the DOJ's other forensic laboratories have made significant efforts to engage in and support relevant research. NIJ also supports fellowships to improve the collaboration between researchers and practitioners. In addition, the DOJ, in partnership with the National Institute of Standards and Technology and other institutions, is developing a comprehensive research agenda to continually advance the state of forensic knowledge. In August 2017, Deputy Attorney General Rod J. Rosenstein announced that the DOJ would continue with a project to develop guidance documents governing the DOJ's forensic testimony and reports.32 These guidance documents, Uniform Language for Testimony and Reports, are designed to clarify the acceptable range of scientific conclusions that may be offered in laboratory reports and testimony.3 3 </w:t>
      </w:r>
      <w:r w:rsidRPr="00A2427B">
        <w:rPr>
          <w:rStyle w:val="Emphasis"/>
        </w:rPr>
        <w:t>The DOJ is also developing a program to continually monitor the accuracy of courtroom testimony provided by DOJ forensic examiners. A new DOJ-wide program that monitors testimony will ensure that examiners provide testimony consistent with scientific principles</w:t>
      </w:r>
      <w:r w:rsidRPr="00A2427B">
        <w:rPr>
          <w:sz w:val="16"/>
        </w:rPr>
        <w:t>. Implementation of this monitoring program will begin when the Uniform Language program is finalized. These and other ongoing initiatives demonstrate the DOJ's long-term commitment to continually strengthen forensic science through policy, practice, and research.</w:t>
      </w:r>
    </w:p>
    <w:p w14:paraId="14FD2B13" w14:textId="77777777" w:rsidR="00741001" w:rsidRPr="00A2427B" w:rsidRDefault="00741001" w:rsidP="00741001">
      <w:pPr>
        <w:pStyle w:val="Heading3"/>
      </w:pPr>
      <w:r w:rsidRPr="00A2427B">
        <w:t xml:space="preserve">1NC – AT: DNA </w:t>
      </w:r>
    </w:p>
    <w:p w14:paraId="4F6A3E69" w14:textId="77777777" w:rsidR="00741001" w:rsidRPr="00A2427B" w:rsidRDefault="00741001" w:rsidP="00741001">
      <w:pPr>
        <w:pStyle w:val="Heading4"/>
      </w:pPr>
      <w:r w:rsidRPr="00A2427B">
        <w:t>DNA is not more reliable inherently nor immune to the institutional problems within the forensic science community.</w:t>
      </w:r>
    </w:p>
    <w:p w14:paraId="39E91910" w14:textId="77777777" w:rsidR="00741001" w:rsidRPr="00A2427B" w:rsidRDefault="00741001" w:rsidP="00741001">
      <w:r w:rsidRPr="00A2427B">
        <w:rPr>
          <w:rStyle w:val="Style13ptBold"/>
        </w:rPr>
        <w:t>Cooley 2007</w:t>
      </w:r>
      <w:r w:rsidRPr="00A2427B">
        <w:t xml:space="preserve"> [Craig M. "Forensic Science and Capital Punishment Reform: An Intellectually Honest Assessment," George Mason University Civil Rights Law Journal 17, no. 2 (Spring 2007): 299-422]</w:t>
      </w:r>
    </w:p>
    <w:p w14:paraId="3E734943" w14:textId="77777777" w:rsidR="00741001" w:rsidRPr="00A2427B" w:rsidRDefault="00741001" w:rsidP="00741001">
      <w:pPr>
        <w:rPr>
          <w:sz w:val="16"/>
        </w:rPr>
      </w:pPr>
      <w:r w:rsidRPr="00A2427B">
        <w:rPr>
          <w:sz w:val="16"/>
        </w:rPr>
        <w:t xml:space="preserve">Before delving into why DNA evidence differs from other forensic identification evidence, it needs to be stressed that </w:t>
      </w:r>
      <w:r w:rsidRPr="00A2427B">
        <w:rPr>
          <w:rStyle w:val="Emphasis"/>
        </w:rPr>
        <w:t>recovering DNA from a crime scene does not 1) tell the entire story or 2) automatically guarantee perfect results</w:t>
      </w:r>
      <w:r w:rsidRPr="00A2427B">
        <w:rPr>
          <w:sz w:val="16"/>
        </w:rPr>
        <w:t xml:space="preserve"> (as already demonstrated by the VDFS's mistakes which mistakenly sent Earl Washington to Virginia's death row). With respect to the former, as Professor James Starrs has written, "[like Superman, </w:t>
      </w:r>
      <w:r w:rsidRPr="00A2427B">
        <w:rPr>
          <w:rStyle w:val="Emphasis"/>
        </w:rPr>
        <w:t>DNA has its kryptonite," in that it cannot tell the complete story</w:t>
      </w:r>
      <w:r w:rsidRPr="00A2427B">
        <w:rPr>
          <w:sz w:val="16"/>
        </w:rPr>
        <w:t xml:space="preserve">.0 7 In regards to the latter, as the DNA revolution continues to be played out, </w:t>
      </w:r>
      <w:r w:rsidRPr="00A2427B">
        <w:rPr>
          <w:rStyle w:val="Emphasis"/>
        </w:rPr>
        <w:t>it is increasingly apparent that our nation's crime labs are not always equipped with the necessary funding, technology, management, or competence to take advantage of DNA's crime-solving capabilities. 2°8 As a result, DNA testing is far from infallible and false positives are "now broadly recognized</w:t>
      </w:r>
      <w:r w:rsidRPr="00A2427B">
        <w:rPr>
          <w:sz w:val="16"/>
        </w:rPr>
        <w:t xml:space="preserve">, although the rate at which they occur is difficult to estimate due to the paucity of research on the issue. </w:t>
      </w:r>
    </w:p>
    <w:p w14:paraId="67CE6FFF" w14:textId="77777777" w:rsidR="00741001" w:rsidRPr="00A2427B" w:rsidRDefault="00741001" w:rsidP="00741001"/>
    <w:p w14:paraId="75AB6F9C" w14:textId="77777777" w:rsidR="00741001" w:rsidRPr="00A2427B" w:rsidRDefault="00741001" w:rsidP="00741001"/>
    <w:p w14:paraId="4CE5BC0A" w14:textId="77777777" w:rsidR="00741001" w:rsidRPr="00A2427B" w:rsidRDefault="00741001" w:rsidP="00741001"/>
    <w:p w14:paraId="5920EA2F" w14:textId="4A672879" w:rsidR="00702F08" w:rsidRPr="00A2427B" w:rsidRDefault="00741001" w:rsidP="00741001">
      <w:pPr>
        <w:pStyle w:val="Heading3"/>
      </w:pPr>
      <w:r w:rsidRPr="00A2427B">
        <w:t>1NC – AT: Scientific Validity</w:t>
      </w:r>
    </w:p>
    <w:p w14:paraId="64437273" w14:textId="24BD10CE" w:rsidR="00702F08" w:rsidRPr="00A2427B" w:rsidRDefault="00702F08" w:rsidP="00741001">
      <w:pPr>
        <w:pStyle w:val="Heading4"/>
      </w:pPr>
      <w:r w:rsidRPr="00A2427B">
        <w:t>The scientific validity matters less to jurors than the forensic scientist themselves, this means the affirmative’s mechanism doesn’t solve.</w:t>
      </w:r>
    </w:p>
    <w:p w14:paraId="6660BF96" w14:textId="043A7426" w:rsidR="00702F08" w:rsidRPr="00A2427B" w:rsidRDefault="00702F08" w:rsidP="005C55B8">
      <w:r w:rsidRPr="00A2427B">
        <w:rPr>
          <w:rStyle w:val="Style13ptBold"/>
        </w:rPr>
        <w:t>Koehler et al 2016</w:t>
      </w:r>
      <w:r w:rsidRPr="00A2427B">
        <w:rPr>
          <w:color w:val="222222"/>
          <w:sz w:val="20"/>
          <w:szCs w:val="20"/>
          <w:shd w:val="clear" w:color="auto" w:fill="FFFFFF"/>
        </w:rPr>
        <w:t xml:space="preserve"> [Jonathan J., N. J. Schweitzer, Michael J. Saks, and Dawn E. McQuiston. "Science, technology, or the expert witness: What influences jurors’ judgments about forensic science testimony?." </w:t>
      </w:r>
      <w:r w:rsidRPr="00A2427B">
        <w:rPr>
          <w:i/>
          <w:iCs/>
          <w:color w:val="222222"/>
          <w:sz w:val="20"/>
          <w:szCs w:val="20"/>
          <w:shd w:val="clear" w:color="auto" w:fill="FFFFFF"/>
        </w:rPr>
        <w:t>Psychology, Public Policy, and Law</w:t>
      </w:r>
      <w:r w:rsidRPr="00A2427B">
        <w:rPr>
          <w:color w:val="222222"/>
          <w:sz w:val="20"/>
          <w:szCs w:val="20"/>
          <w:shd w:val="clear" w:color="auto" w:fill="FFFFFF"/>
        </w:rPr>
        <w:t> 22, no. 4 (2016): 401.]</w:t>
      </w:r>
    </w:p>
    <w:p w14:paraId="0B1447DB" w14:textId="1E95B319" w:rsidR="00702F08" w:rsidRPr="00A2427B" w:rsidRDefault="00702F08" w:rsidP="005C55B8">
      <w:pPr>
        <w:rPr>
          <w:sz w:val="16"/>
        </w:rPr>
      </w:pPr>
      <w:r w:rsidRPr="00A2427B">
        <w:rPr>
          <w:sz w:val="16"/>
        </w:rPr>
        <w:t xml:space="preserve">Contrary to scientific norms, </w:t>
      </w:r>
      <w:r w:rsidRPr="00A2427B">
        <w:rPr>
          <w:rStyle w:val="Emphasis"/>
        </w:rPr>
        <w:t>we found little indication that the scientific validation or lack of such validation of the fingerprint technique made any difference to jurors who watched the video trial.</w:t>
      </w:r>
      <w:r w:rsidRPr="00A2427B">
        <w:rPr>
          <w:sz w:val="16"/>
        </w:rPr>
        <w:t xml:space="preserve"> The testing variable manipulated did not exert a main effect or interactive effect on any dependent measure. This null result did not arise because jurors simply missed the testing manipulations in the trial. Our manipulation check showed that jurors picked up on whether the fingerprint method had been scientifically tested or not. However, it may be that jurors simply didn’t perceive a connection between the scientific validation of a forensic technique and its accuracy. Support for this idea also appears in McQuiston-Surrett and Saks (2009) who found that admission by a microscopic hair analyst that the assumptions underlying his opinion had been subject to little scientific testing had almost no impact on jurors’ judgments. As in the online experiment</w:t>
      </w:r>
      <w:r w:rsidRPr="00A2427B">
        <w:rPr>
          <w:rStyle w:val="Emphasis"/>
        </w:rPr>
        <w:t xml:space="preserve">, jurors assigned more weight to the forensic science evidence when the testifying witness was a highly experienced examiner. Why do we find effects for experience but not for testing? One possibility is that people believe fingerprint analyses are quite reliable when performed by the right person. Under this belief system, an examiner who has a great deal of experience is also one who has great expertise and competence. Extending this logic, an expert examiner wouldn’t use a method that isn’t reliable, and so it really doesn’t matter whether the method has been tested or not. </w:t>
      </w:r>
      <w:r w:rsidRPr="00A2427B">
        <w:rPr>
          <w:sz w:val="16"/>
        </w:rPr>
        <w:t>In this manner, a characteristic of the examiner, experience, serves as a proxy for scientific validity. Further, people’s prior beliefs about the soundness of fingerprint methods and outcomes may be so strong that those beliefs do not budge upon learning that the method has not yet been scientifically tested. The fact that trial judges who conduct Daubert hearings on forensic science evidence are rarely affected by learning that fingerprint methods have minimal (if any) empirical validation provides some support for this idea (Faigman et al., 2014, Chapter 32).</w:t>
      </w:r>
    </w:p>
    <w:p w14:paraId="7004798E" w14:textId="76B8349E" w:rsidR="00702F08" w:rsidRPr="00A2427B" w:rsidRDefault="00702F08" w:rsidP="005C55B8"/>
    <w:p w14:paraId="13C7914E" w14:textId="77777777" w:rsidR="00702F08" w:rsidRPr="00A2427B" w:rsidRDefault="00702F08" w:rsidP="005C55B8"/>
    <w:p w14:paraId="7727E316" w14:textId="2FAC561A" w:rsidR="004A1573" w:rsidRPr="00A2427B" w:rsidRDefault="00741001" w:rsidP="004A1573">
      <w:pPr>
        <w:pStyle w:val="Heading3"/>
      </w:pPr>
      <w:r w:rsidRPr="00A2427B">
        <w:t>2NC – AT: Scientific Validity</w:t>
      </w:r>
    </w:p>
    <w:p w14:paraId="372D9DFC" w14:textId="72887B7A" w:rsidR="004A1573" w:rsidRPr="00A2427B" w:rsidRDefault="00BE3B40" w:rsidP="00741001">
      <w:pPr>
        <w:pStyle w:val="Heading4"/>
      </w:pPr>
      <w:r w:rsidRPr="00A2427B">
        <w:t>The affirmative’s evidence standard goes too far and disallows some forms of evidence from being considered.</w:t>
      </w:r>
    </w:p>
    <w:p w14:paraId="6C12AEB3" w14:textId="6A0F06B4" w:rsidR="004A1573" w:rsidRPr="00A2427B" w:rsidRDefault="004A1573" w:rsidP="004A1573">
      <w:r w:rsidRPr="00A2427B">
        <w:rPr>
          <w:rStyle w:val="Style13ptBold"/>
        </w:rPr>
        <w:t>Goldsmith</w:t>
      </w:r>
      <w:r w:rsidR="00DB32BA" w:rsidRPr="00A2427B">
        <w:rPr>
          <w:rStyle w:val="Style13ptBold"/>
        </w:rPr>
        <w:t xml:space="preserve"> 2018</w:t>
      </w:r>
      <w:r w:rsidRPr="00A2427B">
        <w:t xml:space="preserve"> </w:t>
      </w:r>
      <w:r w:rsidR="00DB32BA" w:rsidRPr="00A2427B">
        <w:t xml:space="preserve">[Andrew D. </w:t>
      </w:r>
      <w:r w:rsidRPr="00A2427B">
        <w:t>"The Reliability of the Adversarial System to Assess the Scientific Validity of Forensic Evidence," Fordham Law Review Online 86 (2018): 16-23</w:t>
      </w:r>
      <w:r w:rsidR="00DB32BA" w:rsidRPr="00A2427B">
        <w:t>]</w:t>
      </w:r>
    </w:p>
    <w:p w14:paraId="58B5318B" w14:textId="3C01849C" w:rsidR="004A1573" w:rsidRPr="00A2427B" w:rsidRDefault="004A1573" w:rsidP="004A1573">
      <w:pPr>
        <w:rPr>
          <w:sz w:val="16"/>
        </w:rPr>
      </w:pPr>
      <w:r w:rsidRPr="00A2427B">
        <w:rPr>
          <w:sz w:val="16"/>
        </w:rPr>
        <w:t>The DOJ believes that the adversarial system-where both sides are adequately prepared, have received the discovery to which they are entitled, and call their own experts and cross-examine their adversaries' witnesses</w:t>
      </w:r>
      <w:r w:rsidR="00DB32BA" w:rsidRPr="00A2427B">
        <w:rPr>
          <w:sz w:val="16"/>
        </w:rPr>
        <w:t xml:space="preserve"> </w:t>
      </w:r>
      <w:r w:rsidRPr="00A2427B">
        <w:rPr>
          <w:sz w:val="16"/>
        </w:rPr>
        <w:t xml:space="preserve">is the best way to determine the truth. Federal prosecutors go further than required by Rule 16 of the Federal Rules of Criminal Procedure when providing forensic-related discovery. In January 2017, the Deputy Attorney General's Office issued Supplemental Guidance for Prosecutors Regarding Criminal Discovery Involving Forensic Evidence and Experts ("Supplemental Guidance").21 The Supplemental Guidance specifically describes the four steps that prosecutors should take to meet their disclosure obligations for forensic evidence under the federal rules, 22 Supreme Court precedent, 23 and statutory obligations. 24 In 2017, these obligations were part of mandatory criminal discovery training for all 6000 federal prosecutors. </w:t>
      </w:r>
      <w:r w:rsidRPr="00A2427B">
        <w:rPr>
          <w:rStyle w:val="Emphasis"/>
        </w:rPr>
        <w:t xml:space="preserve">Based on the information provided in discovery for forensics, defense counsel can decide whether to seek Daubert hearings, consider pursuing their own expert witnesses, and better prepare their defense in general. </w:t>
      </w:r>
      <w:r w:rsidRPr="00A2427B">
        <w:rPr>
          <w:sz w:val="16"/>
        </w:rPr>
        <w:t xml:space="preserve">The DOJ firmly supports the fundamental Wigmore axiom that crossexamination is "beyond any doubt the greatest legal engine ever invented for the discovery of truth." 25 The adversarial system is based on the principle that the truth emerges when opposing parties have the opportunity to call their own witnesses, confront opposing experts during crossexamination, and introduce competing evidence. </w:t>
      </w:r>
      <w:r w:rsidRPr="00A2427B">
        <w:rPr>
          <w:rStyle w:val="Emphasis"/>
        </w:rPr>
        <w:t>The American legal system does not require that evidence be indisputable to be admissible. Rather, it asks that judges review the evidence, that juries evaluate the evidence, and then decide whether the government has met its burden of proof. The proposed amendments to Rule 702 would likely lead to the exclusion of evidence and dilute the importance of cross-examination</w:t>
      </w:r>
      <w:r w:rsidRPr="00A2427B">
        <w:rPr>
          <w:sz w:val="16"/>
        </w:rPr>
        <w:t xml:space="preserve">. This ignores the adversarial nature of the criminal justice system. Whether or not any type of scientific evidence has a well-grounded empirical basis, crossexamination is key. As Justice Blackmun wrote in Daubert, "[v]igorous cross-examination, presentation of contrary evidence, and careful instruction on the burden of proof are the traditional and appropriate means of attacking shaky but admissible evidence." 26 The DOJ also disagrees with the notion that federally-funded public defenders, and private criminal defense attorneys, 27 are not capable of adequately representing their clients and that the solution is to reduce the requirements of defense counsel. Professor Erin Murphy, law professor and former federal public defender, has written that the adversarial process does not work in cases involving forensic science because of the quality of defense counsel. 28 While we respect Professor Murphy's point of view about her colleagues in the federal system, this has not been our experience. 29 Prosecutors and defense attorneys have a professional obligation to learn about the evidence offered by an opposing expert and its application to the case at hand.30 </w:t>
      </w:r>
      <w:r w:rsidRPr="00A2427B">
        <w:rPr>
          <w:rStyle w:val="Emphasis"/>
        </w:rPr>
        <w:t xml:space="preserve">The DOJ does not agree that the federal defense bar lacks the requisite competence. </w:t>
      </w:r>
      <w:r w:rsidRPr="00A2427B">
        <w:rPr>
          <w:sz w:val="16"/>
        </w:rPr>
        <w:t xml:space="preserve">1 </w:t>
      </w:r>
      <w:r w:rsidRPr="00A2427B">
        <w:rPr>
          <w:rStyle w:val="Emphasis"/>
        </w:rPr>
        <w:t>Proponents of amending Rule 702 claim that the adversarial system in federal court does not work, but rather than working to address the perceived deficiencies of defense counsel, they call for radical change</w:t>
      </w:r>
      <w:r w:rsidRPr="00A2427B">
        <w:rPr>
          <w:sz w:val="16"/>
        </w:rPr>
        <w:t>.</w:t>
      </w:r>
    </w:p>
    <w:p w14:paraId="73DD2535" w14:textId="066CA9AA" w:rsidR="005C55B8" w:rsidRPr="00A2427B" w:rsidRDefault="005C55B8" w:rsidP="005C55B8">
      <w:pPr>
        <w:pStyle w:val="Heading4"/>
        <w:rPr>
          <w:rStyle w:val="Style13ptBold"/>
          <w:b/>
          <w:bCs w:val="0"/>
        </w:rPr>
      </w:pPr>
      <w:r w:rsidRPr="00A2427B">
        <w:rPr>
          <w:rStyle w:val="Style13ptBold"/>
          <w:b/>
          <w:bCs w:val="0"/>
        </w:rPr>
        <w:t>Scientists themselves can become biased by information about the suspect as well as working backwards from a presumed guilt.</w:t>
      </w:r>
    </w:p>
    <w:p w14:paraId="230FA9D2" w14:textId="246BBBF4" w:rsidR="005C55B8" w:rsidRPr="00A2427B" w:rsidRDefault="005C55B8" w:rsidP="005C55B8">
      <w:r w:rsidRPr="00A2427B">
        <w:rPr>
          <w:rStyle w:val="Style13ptBold"/>
        </w:rPr>
        <w:t>Dror 2018</w:t>
      </w:r>
      <w:r w:rsidRPr="00A2427B">
        <w:rPr>
          <w:color w:val="222222"/>
          <w:sz w:val="20"/>
          <w:szCs w:val="20"/>
          <w:shd w:val="clear" w:color="auto" w:fill="FFFFFF"/>
        </w:rPr>
        <w:t xml:space="preserve"> [Itiel E. "Biases in forensic experts." (2018): 243-243.]</w:t>
      </w:r>
    </w:p>
    <w:p w14:paraId="27F6D5F7" w14:textId="51A98B88" w:rsidR="005C55B8" w:rsidRPr="00A2427B" w:rsidRDefault="005C55B8" w:rsidP="005C55B8">
      <w:pPr>
        <w:rPr>
          <w:sz w:val="16"/>
        </w:rPr>
      </w:pPr>
      <w:r w:rsidRPr="00A2427B">
        <w:rPr>
          <w:rStyle w:val="Emphasis"/>
        </w:rPr>
        <w:t>Forensic experts are too often exposed to irrelevant contextual information, largely because they work with the police and prosecution. Extraneous information—from a suspect's ethnicity or criminal record to eyewitness identifications, confessions, and other lines of evidence—can potentially cause bias</w:t>
      </w:r>
      <w:r w:rsidRPr="00A2427B">
        <w:rPr>
          <w:sz w:val="16"/>
        </w:rPr>
        <w:t xml:space="preserve">. </w:t>
      </w:r>
      <w:r w:rsidRPr="00A2427B">
        <w:rPr>
          <w:rStyle w:val="Emphasis"/>
        </w:rPr>
        <w:t>This can give rise to conclusions that are incorrect or overstated, rather than what forensic decisions should be: impartial decisions</w:t>
      </w:r>
      <w:r w:rsidRPr="00A2427B">
        <w:rPr>
          <w:sz w:val="16"/>
        </w:rPr>
        <w:t xml:space="preserve">, appropriately circumscribed by what the evidence actually supports. A consequence of cognitive biases is that science is misused, and sometimes even abused, in court. Not only can irrelevant information bias a particular aspect of an investigation, it often causes “bias cascade” from one component of an investigation to another and “bias snowball,” whereby the bias increases in strength and momentum as different components of an investigation influence one another. </w:t>
      </w:r>
      <w:r w:rsidRPr="00A2427B">
        <w:rPr>
          <w:rStyle w:val="Emphasis"/>
        </w:rPr>
        <w:t>Bias also arises when forensic experts work backward: Rather than having the evidence drive the forensic decision-making process, experts work from the target suspect to the evidence. These problems in forensic decision-making have been largely ignored by the courts, even though there are simple procedural and context management solutions at hand. Biases that arise from exposure to irrelevant contextual information can be minimized by case managers who ensure that only relevant information gets to the appropriate expert</w:t>
      </w:r>
      <w:r w:rsidRPr="00A2427B">
        <w:rPr>
          <w:sz w:val="16"/>
        </w:rPr>
        <w:t>. By blinding experts to extraneous information, they only get the particulars that are appropriate for them to have. Bias cascade and bias snowball can be minimized by compartmentalization. For example, the person collecting evidence from a crime scene should not be the expert who analyzes that data in the laboratory. In that way, any exposure to extraneous information at a crime scene does not influence the subsequent analysis. Such measures to minimize bias are standard scientific practices and are commonly used in applied sciences, but forensic science has yet to fully adopt them in practice. Target suspect–driven bias could be minimized by tools such as Linear Sequential Unmasking (LSU), whereby experts are only exposed to the target suspect after they have fully analyzed and documented the actual evidence (such as latent fingerprints, DNA, handwriting, or bullet cartridges found at the crime scene). A major obstacle in adopting such countermeasures is that many forensic experts have a “bias blind spot” to these implicit biases and therefore tend to deny their existence. Forensic experts frequently present their decisions to the court with great confidence and then incorrectly take the court's acceptance of their findings as confirmation that they have not been biased or made a mistake. Acknowledging that bias can influence forensic science experts would be a substantial step toward implementing countermeasures that could greatly improve forensic evidence and the fair administration of justice. If we want science to serve society, then it must be properly used in the halls of justice.</w:t>
      </w:r>
    </w:p>
    <w:p w14:paraId="584C2D58" w14:textId="77777777" w:rsidR="005C55B8" w:rsidRPr="00A2427B" w:rsidRDefault="005C55B8" w:rsidP="005C55B8"/>
    <w:p w14:paraId="178FD9B3" w14:textId="47E9BD0E" w:rsidR="000B1845" w:rsidRPr="00A2427B" w:rsidRDefault="00741001" w:rsidP="00741001">
      <w:pPr>
        <w:pStyle w:val="Heading2"/>
      </w:pPr>
      <w:r w:rsidRPr="00A2427B">
        <w:t xml:space="preserve">Cong CP </w:t>
      </w:r>
    </w:p>
    <w:p w14:paraId="18E3AEAA" w14:textId="048CB71B" w:rsidR="004A1573" w:rsidRPr="00A2427B" w:rsidRDefault="00741001" w:rsidP="00025F87">
      <w:pPr>
        <w:pStyle w:val="Heading3"/>
      </w:pPr>
      <w:r w:rsidRPr="00A2427B">
        <w:t xml:space="preserve">2NC – Solvency </w:t>
      </w:r>
    </w:p>
    <w:p w14:paraId="49C99448" w14:textId="77777777" w:rsidR="00025F87" w:rsidRPr="00A2427B" w:rsidRDefault="00025F87" w:rsidP="00025F87">
      <w:pPr>
        <w:pStyle w:val="Heading4"/>
        <w:rPr>
          <w:rStyle w:val="Style13ptBold"/>
          <w:b/>
          <w:bCs w:val="0"/>
        </w:rPr>
      </w:pPr>
      <w:r w:rsidRPr="00A2427B">
        <w:rPr>
          <w:rStyle w:val="Style13ptBold"/>
          <w:b/>
          <w:bCs w:val="0"/>
        </w:rPr>
        <w:t xml:space="preserve">Forensic science failings and the suggestions to resolve them – also gestures at a fed key warrant about database </w:t>
      </w:r>
    </w:p>
    <w:p w14:paraId="554A59AF" w14:textId="77777777" w:rsidR="00025F87" w:rsidRPr="00A2427B" w:rsidRDefault="00025F87" w:rsidP="00025F87">
      <w:pPr>
        <w:rPr>
          <w:rStyle w:val="Style13ptBold"/>
          <w:b w:val="0"/>
          <w:bCs w:val="0"/>
        </w:rPr>
      </w:pPr>
      <w:r w:rsidRPr="00A2427B">
        <w:rPr>
          <w:rStyle w:val="Style13ptBold"/>
        </w:rPr>
        <w:t xml:space="preserve">Chin et al 19 </w:t>
      </w:r>
      <w:r w:rsidRPr="00A2427B">
        <w:rPr>
          <w:rStyle w:val="Style13ptBold"/>
          <w:b w:val="0"/>
          <w:bCs w:val="0"/>
        </w:rPr>
        <w:t xml:space="preserve">Jason M Chin, Gianni Ribeiro, Alicia Rairden, Open forensic science, Journal of Law and the Biosciences, Volume 6, Issue 1, October 2019, Pages 255–288, </w:t>
      </w:r>
      <w:hyperlink r:id="rId49" w:history="1">
        <w:r w:rsidRPr="00A2427B">
          <w:rPr>
            <w:rStyle w:val="Hyperlink"/>
            <w:sz w:val="26"/>
          </w:rPr>
          <w:t>https://doi.org/10.1093/jlb/lsz009</w:t>
        </w:r>
      </w:hyperlink>
      <w:r w:rsidRPr="00A2427B">
        <w:rPr>
          <w:rStyle w:val="Style13ptBold"/>
          <w:b w:val="0"/>
          <w:bCs w:val="0"/>
        </w:rPr>
        <w:t xml:space="preserve"> dw</w:t>
      </w:r>
    </w:p>
    <w:p w14:paraId="205F6C03" w14:textId="77777777" w:rsidR="00025F87" w:rsidRPr="00300030" w:rsidRDefault="00025F87" w:rsidP="00025F87">
      <w:pPr>
        <w:rPr>
          <w:rStyle w:val="StyleUnderline"/>
        </w:rPr>
      </w:pPr>
      <w:r w:rsidRPr="00A2427B">
        <w:rPr>
          <w:rStyle w:val="Emphasis"/>
        </w:rPr>
        <w:t>Forensic science's shortcomings are well-documented</w:t>
      </w:r>
      <w:r w:rsidRPr="00A2427B">
        <w:rPr>
          <w:rStyle w:val="Style13ptBold"/>
          <w:b w:val="0"/>
          <w:bCs w:val="0"/>
          <w:sz w:val="14"/>
        </w:rPr>
        <w:t xml:space="preserve">, so this section will provide only a brief review with a focus on the areas that may be enhanced through open science reforms.16 From the beginning, </w:t>
      </w:r>
      <w:r w:rsidRPr="00A2427B">
        <w:rPr>
          <w:rStyle w:val="StyleUnderline"/>
        </w:rPr>
        <w:t>many forensic scientific practices</w:t>
      </w:r>
      <w:r w:rsidRPr="00A2427B">
        <w:rPr>
          <w:rStyle w:val="Style13ptBold"/>
          <w:b w:val="0"/>
          <w:bCs w:val="0"/>
          <w:sz w:val="14"/>
        </w:rPr>
        <w:t>—especially those based on feature comparison—</w:t>
      </w:r>
      <w:r w:rsidRPr="00A2427B">
        <w:rPr>
          <w:rStyle w:val="StyleUnderline"/>
        </w:rPr>
        <w:t>had no basis in academic science</w:t>
      </w:r>
      <w:r w:rsidRPr="00A2427B">
        <w:rPr>
          <w:rStyle w:val="Style13ptBold"/>
          <w:b w:val="0"/>
          <w:bCs w:val="0"/>
          <w:sz w:val="14"/>
        </w:rPr>
        <w:t xml:space="preserve">.17 Rather, </w:t>
      </w:r>
      <w:r w:rsidRPr="00A2427B">
        <w:rPr>
          <w:rStyle w:val="StyleUnderline"/>
        </w:rPr>
        <w:t>they arose ad hoc in criminal investigations</w:t>
      </w:r>
      <w:r w:rsidRPr="00A2427B">
        <w:rPr>
          <w:rStyle w:val="Style13ptBold"/>
          <w:b w:val="0"/>
          <w:bCs w:val="0"/>
          <w:sz w:val="14"/>
        </w:rPr>
        <w:t xml:space="preserve">, their development </w:t>
      </w:r>
      <w:r w:rsidRPr="00A2427B">
        <w:rPr>
          <w:rStyle w:val="StyleUnderline"/>
        </w:rPr>
        <w:t>driven by the investigators themselves</w:t>
      </w:r>
      <w:r w:rsidRPr="00A2427B">
        <w:rPr>
          <w:rStyle w:val="Style13ptBold"/>
          <w:b w:val="0"/>
          <w:bCs w:val="0"/>
          <w:sz w:val="14"/>
        </w:rPr>
        <w:t xml:space="preserve"> (</w:t>
      </w:r>
      <w:r w:rsidRPr="00A2427B">
        <w:rPr>
          <w:rStyle w:val="StyleUnderline"/>
        </w:rPr>
        <w:t>rather than independent bodies with scientific training</w:t>
      </w:r>
      <w:r w:rsidRPr="00A2427B">
        <w:rPr>
          <w:rStyle w:val="Style13ptBold"/>
          <w:b w:val="0"/>
          <w:bCs w:val="0"/>
          <w:sz w:val="14"/>
        </w:rPr>
        <w:t xml:space="preserve">).18 This meant that </w:t>
      </w:r>
      <w:r w:rsidRPr="00A2427B">
        <w:rPr>
          <w:rStyle w:val="StyleUnderline"/>
        </w:rPr>
        <w:t>many forensic practices developed in a manner that was substantially divorced from scientific structures like the empirical testing of claims, blinding, randomization, and measuring error</w:t>
      </w:r>
      <w:r w:rsidRPr="00A2427B">
        <w:rPr>
          <w:rStyle w:val="Style13ptBold"/>
          <w:b w:val="0"/>
          <w:bCs w:val="0"/>
          <w:sz w:val="14"/>
        </w:rPr>
        <w:t xml:space="preserve">.19 </w:t>
      </w:r>
      <w:r w:rsidRPr="00A2427B">
        <w:rPr>
          <w:rStyle w:val="StyleUnderline"/>
        </w:rPr>
        <w:t>Fingerprint identification</w:t>
      </w:r>
      <w:r w:rsidRPr="00A2427B">
        <w:rPr>
          <w:rStyle w:val="Style13ptBold"/>
          <w:b w:val="0"/>
          <w:bCs w:val="0"/>
          <w:sz w:val="14"/>
        </w:rPr>
        <w:t xml:space="preserve">, for instance, </w:t>
      </w:r>
      <w:r w:rsidRPr="00A2427B">
        <w:rPr>
          <w:rStyle w:val="StyleUnderline"/>
        </w:rPr>
        <w:t>has appeared</w:t>
      </w:r>
      <w:r w:rsidRPr="00A2427B">
        <w:rPr>
          <w:rStyle w:val="Style13ptBold"/>
          <w:b w:val="0"/>
          <w:bCs w:val="0"/>
          <w:sz w:val="14"/>
        </w:rPr>
        <w:t xml:space="preserve"> in U.S. courts </w:t>
      </w:r>
      <w:r w:rsidRPr="00A2427B">
        <w:rPr>
          <w:rStyle w:val="StyleUnderline"/>
        </w:rPr>
        <w:t>since 1911</w:t>
      </w:r>
      <w:r w:rsidRPr="00A2427B">
        <w:rPr>
          <w:rStyle w:val="Style13ptBold"/>
          <w:b w:val="0"/>
          <w:bCs w:val="0"/>
          <w:sz w:val="14"/>
        </w:rPr>
        <w:t xml:space="preserve">.20 Examiners regularly made identifications about the source of a fingerprint as against all the world and expressly stated that their practice was infallible.21 Only in the past two decades have appropriately designed studies been performed and published, supporting the validity of the practice.22 </w:t>
      </w:r>
      <w:r w:rsidRPr="00A2427B">
        <w:rPr>
          <w:rStyle w:val="StyleUnderline"/>
        </w:rPr>
        <w:t>This nonscientific character of forensic science drew scathing criticism from attentive legal and scientific scholars</w:t>
      </w:r>
      <w:r w:rsidRPr="00A2427B">
        <w:rPr>
          <w:rStyle w:val="Style13ptBold"/>
          <w:b w:val="0"/>
          <w:bCs w:val="0"/>
          <w:sz w:val="14"/>
        </w:rPr>
        <w:t xml:space="preserve">.23 Still, </w:t>
      </w:r>
      <w:r w:rsidRPr="00A2427B">
        <w:rPr>
          <w:rStyle w:val="Emphasis"/>
        </w:rPr>
        <w:t>courts remained deferential to forensic witnesses</w:t>
      </w:r>
      <w:r w:rsidRPr="00A2427B">
        <w:rPr>
          <w:rStyle w:val="Style13ptBold"/>
          <w:b w:val="0"/>
          <w:bCs w:val="0"/>
          <w:sz w:val="14"/>
        </w:rPr>
        <w:t xml:space="preserve">. There are many reasons for this. For one, </w:t>
      </w:r>
      <w:r w:rsidRPr="00A2427B">
        <w:rPr>
          <w:rStyle w:val="StyleUnderline"/>
        </w:rPr>
        <w:t>legal actors lack the scientific training to appropriately question forensic practices</w:t>
      </w:r>
      <w:r w:rsidRPr="00A2427B">
        <w:rPr>
          <w:rStyle w:val="Style13ptBold"/>
          <w:b w:val="0"/>
          <w:bCs w:val="0"/>
          <w:sz w:val="14"/>
        </w:rPr>
        <w:t xml:space="preserve">.24 Moreover, </w:t>
      </w:r>
      <w:r w:rsidRPr="00A2427B">
        <w:rPr>
          <w:rStyle w:val="Emphasis"/>
        </w:rPr>
        <w:t>forensic scientists have historically been associated with the police and prosecution, making it difficult for the criminally accused to find an independent expert, let alone pay for one.</w:t>
      </w:r>
      <w:r w:rsidRPr="00A2427B">
        <w:rPr>
          <w:rStyle w:val="Style13ptBold"/>
          <w:b w:val="0"/>
          <w:bCs w:val="0"/>
          <w:sz w:val="14"/>
        </w:rPr>
        <w:t xml:space="preserve">25 With regard to legal structures and safeguards, </w:t>
      </w:r>
      <w:r w:rsidRPr="00A2427B">
        <w:rPr>
          <w:rStyle w:val="StyleUnderline"/>
        </w:rPr>
        <w:t>foundational concepts like stare decisis provide little assistance when invalid evidence has historically been admitted into court</w:t>
      </w:r>
      <w:r w:rsidRPr="00A2427B">
        <w:rPr>
          <w:rStyle w:val="Style13ptBold"/>
          <w:b w:val="0"/>
          <w:bCs w:val="0"/>
          <w:sz w:val="14"/>
        </w:rPr>
        <w:t xml:space="preserve">. </w:t>
      </w:r>
      <w:r w:rsidRPr="00A2427B">
        <w:rPr>
          <w:rStyle w:val="StyleUnderline"/>
        </w:rPr>
        <w:t>Changing the legal standard for admitting evidence from one that defers to the scientific community to one that requires that trial judges engage with scientific concepts seems to have made little difference</w:t>
      </w:r>
      <w:r w:rsidRPr="00A2427B">
        <w:rPr>
          <w:rStyle w:val="Style13ptBold"/>
          <w:b w:val="0"/>
          <w:bCs w:val="0"/>
          <w:sz w:val="14"/>
        </w:rPr>
        <w:t xml:space="preserve">.26 Perhaps not surprisingly, </w:t>
      </w:r>
      <w:r w:rsidRPr="00A2427B">
        <w:rPr>
          <w:rStyle w:val="Emphasis"/>
        </w:rPr>
        <w:t>the widespread admission of untested, invalid, or misleading forensic evidence has contributed to several wrongful convictions</w:t>
      </w:r>
      <w:r w:rsidRPr="00A2427B">
        <w:rPr>
          <w:rStyle w:val="Style13ptBold"/>
          <w:b w:val="0"/>
          <w:bCs w:val="0"/>
          <w:sz w:val="14"/>
        </w:rPr>
        <w:t xml:space="preserve">.27 Many of </w:t>
      </w:r>
      <w:r w:rsidRPr="00A2427B">
        <w:rPr>
          <w:rStyle w:val="StyleUnderline"/>
        </w:rPr>
        <w:t>these convictions came to light due to the rise of DNA analysis, one of the few forensic sciences to emerge from the mainstream sciences and withstand thorough validation</w:t>
      </w:r>
      <w:r w:rsidRPr="00A2427B">
        <w:rPr>
          <w:rStyle w:val="Style13ptBold"/>
          <w:b w:val="0"/>
          <w:bCs w:val="0"/>
          <w:sz w:val="14"/>
        </w:rPr>
        <w:t xml:space="preserve"> testing.28 Acknowledgement of </w:t>
      </w:r>
      <w:r w:rsidRPr="00A2427B">
        <w:rPr>
          <w:rStyle w:val="StyleUnderline"/>
        </w:rPr>
        <w:t>these wrongful convictions inspired</w:t>
      </w:r>
      <w:r w:rsidRPr="00A2427B">
        <w:rPr>
          <w:rStyle w:val="Style13ptBold"/>
          <w:b w:val="0"/>
          <w:bCs w:val="0"/>
          <w:sz w:val="14"/>
        </w:rPr>
        <w:t xml:space="preserve"> a great deal of research, but none was as momentous as a 2009 report drafted by a National Research Council committee of the National Academy of Sciences (</w:t>
      </w:r>
      <w:r w:rsidRPr="00A2427B">
        <w:rPr>
          <w:rStyle w:val="StyleUnderline"/>
        </w:rPr>
        <w:t>the ‘NAS Report’</w:t>
      </w:r>
      <w:r w:rsidRPr="00A2427B">
        <w:rPr>
          <w:rStyle w:val="Style13ptBold"/>
          <w:b w:val="0"/>
          <w:bCs w:val="0"/>
          <w:sz w:val="14"/>
        </w:rPr>
        <w:t xml:space="preserve">).29 </w:t>
      </w:r>
      <w:r w:rsidRPr="00A2427B">
        <w:rPr>
          <w:rStyle w:val="StyleUnderline"/>
        </w:rPr>
        <w:t>The report, confirming longstanding worries, catalogued a host of problems</w:t>
      </w:r>
      <w:r w:rsidRPr="00A2427B">
        <w:rPr>
          <w:rStyle w:val="Style13ptBold"/>
          <w:b w:val="0"/>
          <w:bCs w:val="0"/>
          <w:sz w:val="14"/>
        </w:rPr>
        <w:t xml:space="preserve">: • </w:t>
      </w:r>
      <w:r w:rsidRPr="00A2427B">
        <w:rPr>
          <w:rStyle w:val="StyleUnderline"/>
        </w:rPr>
        <w:t>deficient training and education among forensic scientists</w:t>
      </w:r>
      <w:r w:rsidRPr="00A2427B">
        <w:rPr>
          <w:sz w:val="14"/>
        </w:rPr>
        <w:t xml:space="preserve">;30 </w:t>
      </w:r>
      <w:r w:rsidRPr="00A2427B">
        <w:rPr>
          <w:rStyle w:val="Style13ptBold"/>
          <w:b w:val="0"/>
          <w:bCs w:val="0"/>
          <w:sz w:val="14"/>
        </w:rPr>
        <w:t xml:space="preserve">• </w:t>
      </w:r>
      <w:r w:rsidRPr="00A2427B">
        <w:rPr>
          <w:rStyle w:val="StyleUnderline"/>
        </w:rPr>
        <w:t>lack of peer-reviewed and published foundational research establishing the validity of forensic methods;</w:t>
      </w:r>
      <w:r w:rsidRPr="00A2427B">
        <w:rPr>
          <w:rStyle w:val="Style13ptBold"/>
          <w:b w:val="0"/>
          <w:bCs w:val="0"/>
          <w:sz w:val="14"/>
        </w:rPr>
        <w:t xml:space="preserve">31 • </w:t>
      </w:r>
      <w:r w:rsidRPr="00A2427B">
        <w:rPr>
          <w:rStyle w:val="StyleUnderline"/>
        </w:rPr>
        <w:t>lack of protocols to minimize cognitive bias</w:t>
      </w:r>
      <w:r w:rsidRPr="00A2427B">
        <w:rPr>
          <w:rStyle w:val="Style13ptBold"/>
          <w:b w:val="0"/>
          <w:bCs w:val="0"/>
          <w:sz w:val="14"/>
        </w:rPr>
        <w:t xml:space="preserve">; 32 • </w:t>
      </w:r>
      <w:r w:rsidRPr="00A2427B">
        <w:rPr>
          <w:rStyle w:val="StyleUnderline"/>
        </w:rPr>
        <w:t>insufficient standards for reporting findings and giving testimony;</w:t>
      </w:r>
      <w:r w:rsidRPr="00A2427B">
        <w:rPr>
          <w:rStyle w:val="Style13ptBold"/>
          <w:b w:val="0"/>
          <w:bCs w:val="0"/>
          <w:sz w:val="14"/>
        </w:rPr>
        <w:t xml:space="preserve">33 and • </w:t>
      </w:r>
      <w:r w:rsidRPr="00A2427B">
        <w:rPr>
          <w:rStyle w:val="StyleUnderline"/>
        </w:rPr>
        <w:t>scarce funding to support improvements to any of the foregoing</w:t>
      </w:r>
      <w:r w:rsidRPr="00A2427B">
        <w:rPr>
          <w:rStyle w:val="Style13ptBold"/>
          <w:b w:val="0"/>
          <w:bCs w:val="0"/>
          <w:sz w:val="14"/>
        </w:rPr>
        <w:t xml:space="preserve">.34 </w:t>
      </w:r>
      <w:r w:rsidRPr="00A2427B">
        <w:rPr>
          <w:rStyle w:val="StyleUnderline"/>
        </w:rPr>
        <w:t>Two federal bodies were created as a result of the NAS Report</w:t>
      </w:r>
      <w:r w:rsidRPr="00A2427B">
        <w:rPr>
          <w:rStyle w:val="Style13ptBold"/>
          <w:b w:val="0"/>
          <w:bCs w:val="0"/>
          <w:sz w:val="14"/>
        </w:rPr>
        <w:t xml:space="preserve">, but </w:t>
      </w:r>
      <w:r w:rsidRPr="00A2427B">
        <w:rPr>
          <w:rStyle w:val="StyleUnderline"/>
        </w:rPr>
        <w:t xml:space="preserve">neither has proven </w:t>
      </w:r>
      <w:r w:rsidRPr="00A2427B">
        <w:rPr>
          <w:sz w:val="14"/>
        </w:rPr>
        <w:t>as</w:t>
      </w:r>
      <w:r w:rsidRPr="00A2427B">
        <w:rPr>
          <w:rStyle w:val="StyleUnderline"/>
        </w:rPr>
        <w:t xml:space="preserve"> effective</w:t>
      </w:r>
      <w:r w:rsidRPr="00A2427B">
        <w:rPr>
          <w:rStyle w:val="Style13ptBold"/>
          <w:b w:val="0"/>
          <w:bCs w:val="0"/>
          <w:sz w:val="14"/>
        </w:rPr>
        <w:t xml:space="preserve"> as the Committee wished. </w:t>
      </w:r>
      <w:r w:rsidRPr="00A2427B">
        <w:rPr>
          <w:rStyle w:val="StyleUnderline"/>
        </w:rPr>
        <w:t>The Report called for an independent central regulatory body for the forensic sciences</w:t>
      </w:r>
      <w:r w:rsidRPr="00A2427B">
        <w:rPr>
          <w:rStyle w:val="Style13ptBold"/>
          <w:b w:val="0"/>
          <w:bCs w:val="0"/>
          <w:sz w:val="14"/>
        </w:rPr>
        <w:t xml:space="preserve">.35 While </w:t>
      </w:r>
      <w:r w:rsidRPr="00A2427B">
        <w:rPr>
          <w:rStyle w:val="StyleUnderline"/>
        </w:rPr>
        <w:t>that did not come to be</w:t>
      </w:r>
      <w:r w:rsidRPr="00A2427B">
        <w:rPr>
          <w:rStyle w:val="Style13ptBold"/>
          <w:b w:val="0"/>
          <w:bCs w:val="0"/>
          <w:sz w:val="14"/>
        </w:rPr>
        <w:t xml:space="preserve">, </w:t>
      </w:r>
      <w:r w:rsidRPr="00A2427B">
        <w:rPr>
          <w:rStyle w:val="StyleUnderline"/>
        </w:rPr>
        <w:t>the</w:t>
      </w:r>
      <w:r w:rsidRPr="00A2427B">
        <w:rPr>
          <w:rStyle w:val="Style13ptBold"/>
          <w:b w:val="0"/>
          <w:bCs w:val="0"/>
          <w:sz w:val="14"/>
        </w:rPr>
        <w:t xml:space="preserve"> U.S. Department of Justice (</w:t>
      </w:r>
      <w:r w:rsidRPr="00A2427B">
        <w:rPr>
          <w:rStyle w:val="StyleUnderline"/>
        </w:rPr>
        <w:t>DOJ</w:t>
      </w:r>
      <w:r w:rsidRPr="00A2427B">
        <w:rPr>
          <w:rStyle w:val="Style13ptBold"/>
          <w:b w:val="0"/>
          <w:bCs w:val="0"/>
          <w:sz w:val="14"/>
        </w:rPr>
        <w:t xml:space="preserve">) </w:t>
      </w:r>
      <w:r w:rsidRPr="00A2427B">
        <w:rPr>
          <w:rStyle w:val="StyleUnderline"/>
        </w:rPr>
        <w:t xml:space="preserve">eventually formed the </w:t>
      </w:r>
      <w:r w:rsidRPr="00A2427B">
        <w:rPr>
          <w:rStyle w:val="Style13ptBold"/>
          <w:b w:val="0"/>
          <w:bCs w:val="0"/>
          <w:sz w:val="14"/>
        </w:rPr>
        <w:t>National Commission on Forensic Science (</w:t>
      </w:r>
      <w:r w:rsidRPr="00A2427B">
        <w:rPr>
          <w:rStyle w:val="StyleUnderline"/>
        </w:rPr>
        <w:t>NCFS</w:t>
      </w:r>
      <w:r w:rsidRPr="00A2427B">
        <w:rPr>
          <w:rStyle w:val="Style13ptBold"/>
          <w:b w:val="0"/>
          <w:bCs w:val="0"/>
          <w:sz w:val="14"/>
        </w:rPr>
        <w:t xml:space="preserve">), an advisory body </w:t>
      </w:r>
      <w:r w:rsidRPr="00A2427B">
        <w:rPr>
          <w:rStyle w:val="Style13ptBold"/>
          <w:b w:val="0"/>
          <w:bCs w:val="0"/>
          <w:sz w:val="22"/>
          <w:u w:val="single"/>
        </w:rPr>
        <w:t>aimed at providing policy recommendations to the Attorney General.</w:t>
      </w:r>
      <w:r w:rsidRPr="00A2427B">
        <w:rPr>
          <w:sz w:val="14"/>
        </w:rPr>
        <w:t>36 Some</w:t>
      </w:r>
      <w:r w:rsidRPr="00A2427B">
        <w:rPr>
          <w:rStyle w:val="Style13ptBold"/>
          <w:b w:val="0"/>
          <w:bCs w:val="0"/>
          <w:sz w:val="14"/>
        </w:rPr>
        <w:t xml:space="preserve"> progress was also made with the DOJ adopting the NCFS’s first recommendations regarding </w:t>
      </w:r>
      <w:r w:rsidRPr="00A2427B">
        <w:rPr>
          <w:sz w:val="14"/>
        </w:rPr>
        <w:t>accreditation</w:t>
      </w:r>
      <w:r w:rsidRPr="00A2427B">
        <w:rPr>
          <w:rStyle w:val="Style13ptBold"/>
          <w:b w:val="0"/>
          <w:bCs w:val="0"/>
          <w:sz w:val="14"/>
        </w:rPr>
        <w:t xml:space="preserve">.37 Just four years after its formation, however, </w:t>
      </w:r>
      <w:r w:rsidRPr="00A2427B">
        <w:rPr>
          <w:rStyle w:val="StyleUnderline"/>
        </w:rPr>
        <w:t>the NCFS was abruptly decommissioned under the new presidential regime</w:t>
      </w:r>
      <w:r w:rsidRPr="00A2427B">
        <w:rPr>
          <w:rStyle w:val="Style13ptBold"/>
          <w:b w:val="0"/>
          <w:bCs w:val="0"/>
          <w:sz w:val="14"/>
        </w:rPr>
        <w:t xml:space="preserve">. As recommended by the NAS Report, the National Institute of Standards and Technology (NIST) also took on some new responsibilities. In particular, </w:t>
      </w:r>
      <w:r w:rsidRPr="00A2427B">
        <w:rPr>
          <w:rStyle w:val="StyleUnderline"/>
        </w:rPr>
        <w:t>it created</w:t>
      </w:r>
      <w:r w:rsidRPr="00A2427B">
        <w:rPr>
          <w:rStyle w:val="Style13ptBold"/>
          <w:b w:val="0"/>
          <w:bCs w:val="0"/>
          <w:sz w:val="14"/>
        </w:rPr>
        <w:t xml:space="preserve"> the Organization of Scientific Area Committees (</w:t>
      </w:r>
      <w:r w:rsidRPr="00A2427B">
        <w:rPr>
          <w:rStyle w:val="StyleUnderline"/>
        </w:rPr>
        <w:t>OSAC</w:t>
      </w:r>
      <w:r w:rsidRPr="00A2427B">
        <w:rPr>
          <w:rStyle w:val="Style13ptBold"/>
          <w:b w:val="0"/>
          <w:bCs w:val="0"/>
          <w:sz w:val="14"/>
        </w:rPr>
        <w:t xml:space="preserve">), which oversees several committees and subcommittees that create and maintain standards for the forensic scientific disciplines. Only </w:t>
      </w:r>
      <w:r w:rsidRPr="00A2427B">
        <w:rPr>
          <w:sz w:val="14"/>
        </w:rPr>
        <w:t>time</w:t>
      </w:r>
      <w:r w:rsidRPr="00A2427B">
        <w:rPr>
          <w:rStyle w:val="Style13ptBold"/>
          <w:b w:val="0"/>
          <w:bCs w:val="0"/>
          <w:sz w:val="14"/>
        </w:rPr>
        <w:t xml:space="preserve"> will tell how effective standard-setting can be in regulating forensic science and, more generally, how effective OSAC—the last institutional vestige of the NAS Report—can be.38 </w:t>
      </w:r>
      <w:r w:rsidRPr="00A2427B">
        <w:rPr>
          <w:rStyle w:val="StyleUnderline"/>
        </w:rPr>
        <w:t xml:space="preserve">The main limitation of OSAC will likely be that it has no express powers to enforce standards and thus they may operate as mere recommendations. </w:t>
      </w:r>
      <w:r w:rsidRPr="00A2427B">
        <w:rPr>
          <w:rStyle w:val="Style13ptBold"/>
          <w:b w:val="0"/>
          <w:bCs w:val="0"/>
          <w:sz w:val="14"/>
        </w:rPr>
        <w:t xml:space="preserve">While </w:t>
      </w:r>
      <w:r w:rsidRPr="00A2427B">
        <w:rPr>
          <w:rStyle w:val="StyleUnderline"/>
        </w:rPr>
        <w:t>the shuttering of the NCFS was undoubtedly a setback for those concerned about the state of forensic science</w:t>
      </w:r>
      <w:r w:rsidRPr="00A2427B">
        <w:rPr>
          <w:rStyle w:val="Style13ptBold"/>
          <w:b w:val="0"/>
          <w:bCs w:val="0"/>
          <w:sz w:val="14"/>
        </w:rPr>
        <w:t xml:space="preserve">, there is reason to think that </w:t>
      </w:r>
      <w:r w:rsidRPr="00A2427B">
        <w:rPr>
          <w:rStyle w:val="StyleUnderline"/>
        </w:rPr>
        <w:t>forensic science finds itself at an inflection point</w:t>
      </w:r>
      <w:r w:rsidRPr="00A2427B">
        <w:rPr>
          <w:rStyle w:val="Style13ptBold"/>
          <w:b w:val="0"/>
          <w:bCs w:val="0"/>
          <w:sz w:val="14"/>
        </w:rPr>
        <w:t xml:space="preserve">.39 Notably, </w:t>
      </w:r>
      <w:r w:rsidRPr="00A2427B">
        <w:rPr>
          <w:rStyle w:val="StyleUnderline"/>
        </w:rPr>
        <w:t>the NAS Report and a similar</w:t>
      </w:r>
      <w:r w:rsidRPr="00A2427B">
        <w:rPr>
          <w:rStyle w:val="Style13ptBold"/>
          <w:b w:val="0"/>
          <w:bCs w:val="0"/>
          <w:sz w:val="14"/>
        </w:rPr>
        <w:t xml:space="preserve"> 2016 report of the U.S. President's Council of Advisors on Science and Technology (the ‘</w:t>
      </w:r>
      <w:r w:rsidRPr="00A2427B">
        <w:rPr>
          <w:rStyle w:val="StyleUnderline"/>
        </w:rPr>
        <w:t>PCAST Report’</w:t>
      </w:r>
      <w:r w:rsidRPr="00A2427B">
        <w:rPr>
          <w:rStyle w:val="Style13ptBold"/>
          <w:b w:val="0"/>
          <w:bCs w:val="0"/>
          <w:sz w:val="14"/>
        </w:rPr>
        <w:t xml:space="preserve">, more on this below) </w:t>
      </w:r>
      <w:r w:rsidRPr="00A2427B">
        <w:rPr>
          <w:rStyle w:val="StyleUnderline"/>
        </w:rPr>
        <w:t>drew attention to longstanding</w:t>
      </w:r>
      <w:r w:rsidRPr="00A2427B">
        <w:rPr>
          <w:rStyle w:val="Style13ptBold"/>
          <w:b w:val="0"/>
          <w:bCs w:val="0"/>
          <w:sz w:val="14"/>
        </w:rPr>
        <w:t xml:space="preserve"> </w:t>
      </w:r>
      <w:r w:rsidRPr="00A2427B">
        <w:rPr>
          <w:rStyle w:val="StyleUnderline"/>
        </w:rPr>
        <w:t>problems</w:t>
      </w:r>
      <w:r w:rsidRPr="00A2427B">
        <w:rPr>
          <w:rStyle w:val="Style13ptBold"/>
          <w:b w:val="0"/>
          <w:bCs w:val="0"/>
          <w:sz w:val="14"/>
        </w:rPr>
        <w:t xml:space="preserve"> in the forensic sciences. The reports appear to have (re)invigorated academic scientific efforts aimed at the forensic sciences.40 These efforts are girded by the fact that funding bodies continue to support research in the forensic sciences (although certainly not to the extent many would prefer).41 Moreover, the media continues to be interested in forensic science-driven controversies.42 Usefully, </w:t>
      </w:r>
      <w:r w:rsidRPr="00A2427B">
        <w:rPr>
          <w:rStyle w:val="StyleUnderline"/>
        </w:rPr>
        <w:t>the PCAST Report delineated a clear framework by which to evaluate the state of forensic science practices</w:t>
      </w:r>
      <w:r w:rsidRPr="00A2427B">
        <w:rPr>
          <w:rStyle w:val="Style13ptBold"/>
          <w:b w:val="0"/>
          <w:bCs w:val="0"/>
          <w:sz w:val="14"/>
        </w:rPr>
        <w:t xml:space="preserve">, and then compared several feature-comparison disciplines against that standard.43 In short, the PCAST Report said that </w:t>
      </w:r>
      <w:r w:rsidRPr="00A2427B">
        <w:rPr>
          <w:rStyle w:val="StyleUnderline"/>
        </w:rPr>
        <w:t>forensic evidence must be both foundationally valid and then applied in a demonstrably valid way</w:t>
      </w:r>
      <w:r w:rsidRPr="00A2427B">
        <w:rPr>
          <w:rStyle w:val="Style13ptBold"/>
          <w:b w:val="0"/>
          <w:bCs w:val="0"/>
          <w:sz w:val="14"/>
        </w:rPr>
        <w:t xml:space="preserve">.44 As we will discuss in Parts III and IV, </w:t>
      </w:r>
      <w:r w:rsidRPr="00A2427B">
        <w:rPr>
          <w:rStyle w:val="Emphasis"/>
        </w:rPr>
        <w:t xml:space="preserve">transparency and openness assist with both mandates. </w:t>
      </w:r>
      <w:r w:rsidRPr="00A2427B">
        <w:rPr>
          <w:rStyle w:val="StyleUnderline"/>
        </w:rPr>
        <w:t>By foundationally valid</w:t>
      </w:r>
      <w:r w:rsidRPr="00A2427B">
        <w:rPr>
          <w:rStyle w:val="Style13ptBold"/>
          <w:b w:val="0"/>
          <w:bCs w:val="0"/>
          <w:sz w:val="14"/>
        </w:rPr>
        <w:t xml:space="preserve">, the PCAST Report authors meant that </w:t>
      </w:r>
      <w:r w:rsidRPr="00A2427B">
        <w:rPr>
          <w:rStyle w:val="StyleUnderline"/>
        </w:rPr>
        <w:t>the method must have been empirically tested to demonstrate that it is ‘repeatable, reproducible, and accurate, at levels that have been measured and are appropriate to the intended application</w:t>
      </w:r>
      <w:r w:rsidRPr="00A2427B">
        <w:rPr>
          <w:rStyle w:val="Style13ptBold"/>
          <w:b w:val="0"/>
          <w:bCs w:val="0"/>
          <w:sz w:val="14"/>
        </w:rPr>
        <w:t xml:space="preserve">’.45 </w:t>
      </w:r>
      <w:r w:rsidRPr="00A2427B">
        <w:rPr>
          <w:rStyle w:val="StyleUnderline"/>
        </w:rPr>
        <w:t>Repeatable in this formulation, refers to intra-examiner reliability</w:t>
      </w:r>
      <w:r w:rsidRPr="00A2427B">
        <w:rPr>
          <w:rStyle w:val="Style13ptBold"/>
          <w:b w:val="0"/>
          <w:bCs w:val="0"/>
          <w:sz w:val="14"/>
        </w:rPr>
        <w:t>—</w:t>
      </w:r>
      <w:r w:rsidRPr="00A2427B">
        <w:rPr>
          <w:rStyle w:val="StyleUnderline"/>
        </w:rPr>
        <w:t>the same examiner should come to the same result over time</w:t>
      </w:r>
      <w:r w:rsidRPr="00A2427B">
        <w:rPr>
          <w:rStyle w:val="Style13ptBold"/>
          <w:b w:val="0"/>
          <w:bCs w:val="0"/>
          <w:sz w:val="14"/>
        </w:rPr>
        <w:t xml:space="preserve">. </w:t>
      </w:r>
      <w:r w:rsidRPr="00A2427B">
        <w:rPr>
          <w:rStyle w:val="StyleUnderline"/>
        </w:rPr>
        <w:t>Reproducible refers to inter-examiner reliability—different examiners should come to the same conclusions</w:t>
      </w:r>
      <w:r w:rsidRPr="00A2427B">
        <w:rPr>
          <w:rStyle w:val="Style13ptBold"/>
          <w:b w:val="0"/>
          <w:bCs w:val="0"/>
          <w:sz w:val="14"/>
        </w:rPr>
        <w:t xml:space="preserve">. And finally, </w:t>
      </w:r>
      <w:r w:rsidRPr="00A2427B">
        <w:rPr>
          <w:rStyle w:val="StyleUnderline"/>
        </w:rPr>
        <w:t>accuracy can be thought of as error control</w:t>
      </w:r>
      <w:r w:rsidRPr="00A2427B">
        <w:rPr>
          <w:rStyle w:val="Style13ptBold"/>
          <w:b w:val="0"/>
          <w:bCs w:val="0"/>
          <w:sz w:val="14"/>
        </w:rPr>
        <w:t xml:space="preserve">. The method should have a known and tolerable level of error, </w:t>
      </w:r>
      <w:r w:rsidRPr="00A2427B">
        <w:rPr>
          <w:rStyle w:val="StyleUnderline"/>
        </w:rPr>
        <w:t>avoiding false positives and false negatives</w:t>
      </w:r>
      <w:r w:rsidRPr="00A2427B">
        <w:rPr>
          <w:rStyle w:val="Style13ptBold"/>
          <w:b w:val="0"/>
          <w:bCs w:val="0"/>
          <w:sz w:val="14"/>
        </w:rPr>
        <w:t xml:space="preserve">. Of the feature-comparison disciplines reviewed by PCAST in 2016, </w:t>
      </w:r>
      <w:r w:rsidRPr="00A2427B">
        <w:rPr>
          <w:rStyle w:val="StyleUnderline"/>
        </w:rPr>
        <w:t>only DNA analysis of single-source samples and fingerprint analysis were foundationally valid</w:t>
      </w:r>
      <w:r w:rsidRPr="00A2427B">
        <w:rPr>
          <w:sz w:val="14"/>
        </w:rPr>
        <w:t>.46</w:t>
      </w:r>
      <w:r w:rsidRPr="00A2427B">
        <w:rPr>
          <w:rStyle w:val="StyleUnderline"/>
        </w:rPr>
        <w:t xml:space="preserve"> As to applied validity</w:t>
      </w:r>
      <w:r w:rsidRPr="00A2427B">
        <w:rPr>
          <w:rStyle w:val="Style13ptBold"/>
          <w:b w:val="0"/>
          <w:bCs w:val="0"/>
          <w:sz w:val="14"/>
        </w:rPr>
        <w:t xml:space="preserve">, the PCAST Report explained that </w:t>
      </w:r>
      <w:r w:rsidRPr="00A2427B">
        <w:rPr>
          <w:rStyle w:val="StyleUnderline"/>
        </w:rPr>
        <w:t>it has two components</w:t>
      </w:r>
      <w:r w:rsidRPr="00A2427B">
        <w:rPr>
          <w:rStyle w:val="Style13ptBold"/>
          <w:b w:val="0"/>
          <w:bCs w:val="0"/>
          <w:sz w:val="14"/>
        </w:rPr>
        <w:t xml:space="preserve">.47 First, </w:t>
      </w:r>
      <w:r w:rsidRPr="00A2427B">
        <w:rPr>
          <w:rStyle w:val="StyleUnderline"/>
        </w:rPr>
        <w:t>the examiner must be demonstrably capable of applying the method</w:t>
      </w:r>
      <w:r w:rsidRPr="00A2427B">
        <w:rPr>
          <w:rStyle w:val="Style13ptBold"/>
          <w:b w:val="0"/>
          <w:bCs w:val="0"/>
          <w:sz w:val="14"/>
        </w:rPr>
        <w:t>. This capacity should typically be sup</w:t>
      </w:r>
      <w:r w:rsidRPr="00A2427B">
        <w:rPr>
          <w:rStyle w:val="StyleUnderline"/>
        </w:rPr>
        <w:t>ported by proficiency tests</w:t>
      </w:r>
      <w:r w:rsidRPr="00A2427B">
        <w:rPr>
          <w:rStyle w:val="Style13ptBold"/>
          <w:b w:val="0"/>
          <w:bCs w:val="0"/>
          <w:sz w:val="14"/>
        </w:rPr>
        <w:t xml:space="preserve">.48 Proficiency tests are empirical demonstrations that the examiner can accurately make the relevant judgment in realistic situations. Ideally, these tests should be inserted into the examiner's coursework such that he or she is unaware that he or she is being tested. Second, </w:t>
      </w:r>
      <w:r w:rsidRPr="00A2427B">
        <w:rPr>
          <w:rStyle w:val="StyleUnderline"/>
        </w:rPr>
        <w:t>the examiner must have faithfully applied that method and reported any uncertainty in the conclusion</w:t>
      </w:r>
      <w:r w:rsidRPr="00A2427B">
        <w:rPr>
          <w:rStyle w:val="Style13ptBold"/>
          <w:b w:val="0"/>
          <w:bCs w:val="0"/>
          <w:sz w:val="14"/>
        </w:rPr>
        <w:t xml:space="preserve"> (eg the false positive rate of the method).49 While </w:t>
      </w:r>
      <w:r w:rsidRPr="00A2427B">
        <w:rPr>
          <w:rStyle w:val="StyleUnderline"/>
        </w:rPr>
        <w:t>the exigency of establishing foundational and applied validity may seem obvious</w:t>
      </w:r>
      <w:r w:rsidRPr="00A2427B">
        <w:rPr>
          <w:rStyle w:val="Style13ptBold"/>
          <w:b w:val="0"/>
          <w:bCs w:val="0"/>
          <w:sz w:val="14"/>
        </w:rPr>
        <w:t xml:space="preserve"> to outside observers, </w:t>
      </w:r>
      <w:r w:rsidRPr="00A2427B">
        <w:rPr>
          <w:rStyle w:val="StyleUnderline"/>
        </w:rPr>
        <w:t>the PCAST Report found that substantial hurdles still exist in establishing them across most of forensic science</w:t>
      </w:r>
      <w:r w:rsidRPr="00A2427B">
        <w:rPr>
          <w:rStyle w:val="Style13ptBold"/>
          <w:b w:val="0"/>
          <w:bCs w:val="0"/>
          <w:sz w:val="14"/>
        </w:rPr>
        <w:t xml:space="preserve">. Indeed, it found that considerable work still needed to be done in all of the feature comparison disciplines it reviewed. For instance, </w:t>
      </w:r>
      <w:r w:rsidRPr="00A2427B">
        <w:rPr>
          <w:rStyle w:val="StyleUnderline"/>
        </w:rPr>
        <w:t>although the report found that fingerprint analysis is foundationally valid, proficiency testing should be improved</w:t>
      </w:r>
      <w:r w:rsidRPr="00A2427B">
        <w:rPr>
          <w:rStyle w:val="Style13ptBold"/>
          <w:b w:val="0"/>
          <w:bCs w:val="0"/>
          <w:sz w:val="14"/>
        </w:rPr>
        <w:t xml:space="preserve"> (eg the tests should be more representative of actual casework), </w:t>
      </w:r>
      <w:r w:rsidRPr="00A2427B">
        <w:rPr>
          <w:rStyle w:val="StyleUnderline"/>
        </w:rPr>
        <w:t>and examiners do not always faithfully apply the method</w:t>
      </w:r>
      <w:r w:rsidRPr="00A2427B">
        <w:rPr>
          <w:rStyle w:val="Style13ptBold"/>
          <w:b w:val="0"/>
          <w:bCs w:val="0"/>
          <w:sz w:val="14"/>
        </w:rPr>
        <w:t xml:space="preserve">.50 Finally, </w:t>
      </w:r>
      <w:r w:rsidRPr="00A2427B">
        <w:rPr>
          <w:rStyle w:val="StyleUnderline"/>
        </w:rPr>
        <w:t>the</w:t>
      </w:r>
      <w:r w:rsidRPr="00A2427B">
        <w:rPr>
          <w:rStyle w:val="Style13ptBold"/>
          <w:b w:val="0"/>
          <w:bCs w:val="0"/>
          <w:sz w:val="14"/>
        </w:rPr>
        <w:t xml:space="preserve"> PCAST </w:t>
      </w:r>
      <w:r w:rsidRPr="00A2427B">
        <w:rPr>
          <w:rStyle w:val="StyleUnderline"/>
        </w:rPr>
        <w:t>Report strongly recommended that forensic science develop more objective methods</w:t>
      </w:r>
      <w:r w:rsidRPr="00A2427B">
        <w:rPr>
          <w:rStyle w:val="Style13ptBold"/>
          <w:b w:val="0"/>
          <w:bCs w:val="0"/>
          <w:sz w:val="14"/>
        </w:rPr>
        <w:t xml:space="preserve"> (ie those generally less reliant on subjective judgment), often through automated image analysis.51 It did so for several reasons: </w:t>
      </w:r>
      <w:r w:rsidRPr="00A2427B">
        <w:rPr>
          <w:rStyle w:val="StyleUnderline"/>
        </w:rPr>
        <w:t>objective methods are generally more transparent and reliable, and they present a lower risk of human error and bias</w:t>
      </w:r>
      <w:r w:rsidRPr="00A2427B">
        <w:rPr>
          <w:rStyle w:val="Style13ptBold"/>
          <w:b w:val="0"/>
          <w:bCs w:val="0"/>
          <w:sz w:val="14"/>
        </w:rPr>
        <w:t xml:space="preserve">.52 Significant progress has been made towards developing objective systems for fingerprint and firearms analysis. However, </w:t>
      </w:r>
      <w:r w:rsidRPr="00A2427B">
        <w:rPr>
          <w:rStyle w:val="Emphasis"/>
        </w:rPr>
        <w:t>a key limitation going forward is the lack of a large body of stimuli</w:t>
      </w:r>
      <w:r w:rsidRPr="00A2427B">
        <w:rPr>
          <w:rStyle w:val="Style13ptBold"/>
          <w:b w:val="0"/>
          <w:bCs w:val="0"/>
          <w:sz w:val="14"/>
        </w:rPr>
        <w:t xml:space="preserve"> (</w:t>
      </w:r>
      <w:r w:rsidRPr="00A2427B">
        <w:rPr>
          <w:rStyle w:val="StyleUnderline"/>
        </w:rPr>
        <w:t>eg a database containing images of fingerprints with a known ground truth</w:t>
      </w:r>
      <w:r w:rsidRPr="00A2427B">
        <w:rPr>
          <w:rStyle w:val="Style13ptBold"/>
          <w:b w:val="0"/>
          <w:bCs w:val="0"/>
          <w:sz w:val="14"/>
        </w:rPr>
        <w:t xml:space="preserve">). As we will see, </w:t>
      </w:r>
      <w:r w:rsidRPr="00A2427B">
        <w:rPr>
          <w:rStyle w:val="StyleUnderline"/>
        </w:rPr>
        <w:t>open science may provide viable responses to such limitations.</w:t>
      </w:r>
    </w:p>
    <w:sectPr w:rsidR="00025F87" w:rsidRPr="00300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B3D5B79"/>
    <w:multiLevelType w:val="hybridMultilevel"/>
    <w:tmpl w:val="290E41AE"/>
    <w:lvl w:ilvl="0" w:tplc="C5DE715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734423141952"/>
    <w:docVar w:name="VerbatimVersion" w:val="5.1"/>
  </w:docVars>
  <w:rsids>
    <w:rsidRoot w:val="008116EC"/>
    <w:rsid w:val="00007CCC"/>
    <w:rsid w:val="0001219F"/>
    <w:rsid w:val="000139A3"/>
    <w:rsid w:val="00015CCB"/>
    <w:rsid w:val="00025F87"/>
    <w:rsid w:val="00057E44"/>
    <w:rsid w:val="000B1845"/>
    <w:rsid w:val="000E3D9D"/>
    <w:rsid w:val="00100833"/>
    <w:rsid w:val="00104529"/>
    <w:rsid w:val="00105942"/>
    <w:rsid w:val="00107396"/>
    <w:rsid w:val="00144A4C"/>
    <w:rsid w:val="00165805"/>
    <w:rsid w:val="00176AB0"/>
    <w:rsid w:val="00177B7D"/>
    <w:rsid w:val="0018322D"/>
    <w:rsid w:val="001A30EB"/>
    <w:rsid w:val="001B5776"/>
    <w:rsid w:val="001E170A"/>
    <w:rsid w:val="001E527A"/>
    <w:rsid w:val="001F78CE"/>
    <w:rsid w:val="002047E8"/>
    <w:rsid w:val="00251FC7"/>
    <w:rsid w:val="00264935"/>
    <w:rsid w:val="002855A7"/>
    <w:rsid w:val="002B146A"/>
    <w:rsid w:val="002B5E17"/>
    <w:rsid w:val="002C1F1D"/>
    <w:rsid w:val="00315690"/>
    <w:rsid w:val="00316B75"/>
    <w:rsid w:val="00325646"/>
    <w:rsid w:val="003460F2"/>
    <w:rsid w:val="0038158C"/>
    <w:rsid w:val="003902BA"/>
    <w:rsid w:val="003A09E2"/>
    <w:rsid w:val="003F5930"/>
    <w:rsid w:val="00407037"/>
    <w:rsid w:val="00430E30"/>
    <w:rsid w:val="004605D6"/>
    <w:rsid w:val="004A1573"/>
    <w:rsid w:val="004C60E8"/>
    <w:rsid w:val="004E3579"/>
    <w:rsid w:val="004E728B"/>
    <w:rsid w:val="004F39E0"/>
    <w:rsid w:val="00526D84"/>
    <w:rsid w:val="00537BD5"/>
    <w:rsid w:val="00563BDF"/>
    <w:rsid w:val="0057268A"/>
    <w:rsid w:val="005C55B8"/>
    <w:rsid w:val="005D0F7C"/>
    <w:rsid w:val="005D2912"/>
    <w:rsid w:val="006065BD"/>
    <w:rsid w:val="00645FA9"/>
    <w:rsid w:val="00647866"/>
    <w:rsid w:val="00665003"/>
    <w:rsid w:val="006850F7"/>
    <w:rsid w:val="00693A53"/>
    <w:rsid w:val="006A2AD0"/>
    <w:rsid w:val="006C2375"/>
    <w:rsid w:val="006D4ECC"/>
    <w:rsid w:val="00702F08"/>
    <w:rsid w:val="007173C4"/>
    <w:rsid w:val="00722258"/>
    <w:rsid w:val="007243E5"/>
    <w:rsid w:val="00741001"/>
    <w:rsid w:val="00766EA0"/>
    <w:rsid w:val="007A2226"/>
    <w:rsid w:val="007B036A"/>
    <w:rsid w:val="007B300D"/>
    <w:rsid w:val="007F5B66"/>
    <w:rsid w:val="008116EC"/>
    <w:rsid w:val="00814595"/>
    <w:rsid w:val="00823A1C"/>
    <w:rsid w:val="00833213"/>
    <w:rsid w:val="00845B9D"/>
    <w:rsid w:val="00860984"/>
    <w:rsid w:val="008A0BBB"/>
    <w:rsid w:val="008B3ECB"/>
    <w:rsid w:val="008B4E85"/>
    <w:rsid w:val="008C1B2E"/>
    <w:rsid w:val="008C7C22"/>
    <w:rsid w:val="0091627E"/>
    <w:rsid w:val="0097032B"/>
    <w:rsid w:val="009D2EAD"/>
    <w:rsid w:val="009D54B2"/>
    <w:rsid w:val="009E1922"/>
    <w:rsid w:val="009E1D75"/>
    <w:rsid w:val="009F3EEF"/>
    <w:rsid w:val="009F7ED2"/>
    <w:rsid w:val="00A04587"/>
    <w:rsid w:val="00A2427B"/>
    <w:rsid w:val="00A84675"/>
    <w:rsid w:val="00A93661"/>
    <w:rsid w:val="00A95652"/>
    <w:rsid w:val="00AC0AB8"/>
    <w:rsid w:val="00B06773"/>
    <w:rsid w:val="00B1430C"/>
    <w:rsid w:val="00B33C6D"/>
    <w:rsid w:val="00B35D55"/>
    <w:rsid w:val="00B4508F"/>
    <w:rsid w:val="00B55AD5"/>
    <w:rsid w:val="00B8057C"/>
    <w:rsid w:val="00BB665C"/>
    <w:rsid w:val="00BD6238"/>
    <w:rsid w:val="00BE3B40"/>
    <w:rsid w:val="00BF593B"/>
    <w:rsid w:val="00BF773A"/>
    <w:rsid w:val="00BF7E81"/>
    <w:rsid w:val="00C06178"/>
    <w:rsid w:val="00C13773"/>
    <w:rsid w:val="00C17AB9"/>
    <w:rsid w:val="00C17CC8"/>
    <w:rsid w:val="00C402FF"/>
    <w:rsid w:val="00C83417"/>
    <w:rsid w:val="00C9180C"/>
    <w:rsid w:val="00C9523C"/>
    <w:rsid w:val="00C9604F"/>
    <w:rsid w:val="00CA19AA"/>
    <w:rsid w:val="00CB0AF0"/>
    <w:rsid w:val="00CB474A"/>
    <w:rsid w:val="00CC5298"/>
    <w:rsid w:val="00CD736E"/>
    <w:rsid w:val="00CD798D"/>
    <w:rsid w:val="00CE161E"/>
    <w:rsid w:val="00CF59A8"/>
    <w:rsid w:val="00D325A9"/>
    <w:rsid w:val="00D35337"/>
    <w:rsid w:val="00D36A8A"/>
    <w:rsid w:val="00D4714C"/>
    <w:rsid w:val="00D61409"/>
    <w:rsid w:val="00D6691E"/>
    <w:rsid w:val="00D71170"/>
    <w:rsid w:val="00D977DB"/>
    <w:rsid w:val="00DA1C92"/>
    <w:rsid w:val="00DA25D4"/>
    <w:rsid w:val="00DA6538"/>
    <w:rsid w:val="00DB32BA"/>
    <w:rsid w:val="00E15E75"/>
    <w:rsid w:val="00E5262C"/>
    <w:rsid w:val="00EA10DD"/>
    <w:rsid w:val="00EC7DC4"/>
    <w:rsid w:val="00ED30CF"/>
    <w:rsid w:val="00ED73E1"/>
    <w:rsid w:val="00F176EF"/>
    <w:rsid w:val="00F3449B"/>
    <w:rsid w:val="00F45E10"/>
    <w:rsid w:val="00F50F0A"/>
    <w:rsid w:val="00F6364A"/>
    <w:rsid w:val="00F83428"/>
    <w:rsid w:val="00F9113A"/>
    <w:rsid w:val="00FA7D3F"/>
    <w:rsid w:val="00FB6F31"/>
    <w:rsid w:val="00FC4351"/>
    <w:rsid w:val="00FD316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8D40A"/>
  <w15:chartTrackingRefBased/>
  <w15:docId w15:val="{7A847C1D-23B4-4B54-9296-DC5B748D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2427B"/>
    <w:rPr>
      <w:rFonts w:ascii="Arial" w:hAnsi="Arial" w:cs="Arial"/>
    </w:rPr>
  </w:style>
  <w:style w:type="paragraph" w:styleId="Heading1">
    <w:name w:val="heading 1"/>
    <w:aliases w:val="Pocket"/>
    <w:basedOn w:val="Normal"/>
    <w:next w:val="Normal"/>
    <w:link w:val="Heading1Char"/>
    <w:qFormat/>
    <w:rsid w:val="00A242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242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242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2427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242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427B"/>
  </w:style>
  <w:style w:type="character" w:customStyle="1" w:styleId="Heading1Char">
    <w:name w:val="Heading 1 Char"/>
    <w:aliases w:val="Pocket Char"/>
    <w:basedOn w:val="DefaultParagraphFont"/>
    <w:link w:val="Heading1"/>
    <w:rsid w:val="00A2427B"/>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A2427B"/>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A2427B"/>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A2427B"/>
    <w:rPr>
      <w:rFonts w:ascii="Arial" w:eastAsiaTheme="majorEastAsia" w:hAnsi="Arial" w:cstheme="majorBidi"/>
      <w:b/>
      <w:iCs/>
      <w:sz w:val="26"/>
    </w:rPr>
  </w:style>
  <w:style w:type="character" w:styleId="Emphasis">
    <w:name w:val="Emphasis"/>
    <w:basedOn w:val="DefaultParagraphFont"/>
    <w:uiPriority w:val="7"/>
    <w:qFormat/>
    <w:rsid w:val="00A2427B"/>
    <w:rPr>
      <w:rFonts w:ascii="Arial" w:hAnsi="Arial" w:cs="Arial"/>
      <w:b/>
      <w:i w:val="0"/>
      <w:iCs/>
      <w:sz w:val="22"/>
      <w:u w:val="single"/>
      <w:bdr w:val="single" w:sz="8" w:space="0" w:color="auto"/>
    </w:rPr>
  </w:style>
  <w:style w:type="character" w:customStyle="1" w:styleId="Style13ptBold">
    <w:name w:val="Style 13 pt Bold"/>
    <w:aliases w:val="Cite"/>
    <w:basedOn w:val="DefaultParagraphFont"/>
    <w:uiPriority w:val="5"/>
    <w:qFormat/>
    <w:rsid w:val="00A2427B"/>
    <w:rPr>
      <w:b/>
      <w:bCs/>
      <w:sz w:val="26"/>
      <w:u w:val="none"/>
    </w:rPr>
  </w:style>
  <w:style w:type="character" w:customStyle="1" w:styleId="StyleUnderline">
    <w:name w:val="Style Underline"/>
    <w:aliases w:val="Underline"/>
    <w:basedOn w:val="DefaultParagraphFont"/>
    <w:uiPriority w:val="6"/>
    <w:qFormat/>
    <w:rsid w:val="00A2427B"/>
    <w:rPr>
      <w:b w:val="0"/>
      <w:sz w:val="22"/>
      <w:u w:val="single"/>
    </w:rPr>
  </w:style>
  <w:style w:type="character" w:styleId="Hyperlink">
    <w:name w:val="Hyperlink"/>
    <w:basedOn w:val="DefaultParagraphFont"/>
    <w:uiPriority w:val="99"/>
    <w:unhideWhenUsed/>
    <w:rsid w:val="00A2427B"/>
    <w:rPr>
      <w:color w:val="auto"/>
      <w:u w:val="none"/>
    </w:rPr>
  </w:style>
  <w:style w:type="character" w:styleId="FollowedHyperlink">
    <w:name w:val="FollowedHyperlink"/>
    <w:basedOn w:val="DefaultParagraphFont"/>
    <w:uiPriority w:val="99"/>
    <w:semiHidden/>
    <w:unhideWhenUsed/>
    <w:rsid w:val="00A2427B"/>
    <w:rPr>
      <w:color w:val="auto"/>
      <w:u w:val="none"/>
    </w:rPr>
  </w:style>
  <w:style w:type="paragraph" w:styleId="ListParagraph">
    <w:name w:val="List Paragraph"/>
    <w:basedOn w:val="Normal"/>
    <w:uiPriority w:val="99"/>
    <w:unhideWhenUsed/>
    <w:qFormat/>
    <w:rsid w:val="008116EC"/>
    <w:pPr>
      <w:ind w:left="720"/>
      <w:contextualSpacing/>
    </w:pPr>
  </w:style>
  <w:style w:type="paragraph" w:styleId="NormalWeb">
    <w:name w:val="Normal (Web)"/>
    <w:basedOn w:val="Normal"/>
    <w:uiPriority w:val="99"/>
    <w:semiHidden/>
    <w:unhideWhenUsed/>
    <w:rsid w:val="009E1D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8A0BBB"/>
    <w:rPr>
      <w:color w:val="605E5C"/>
      <w:shd w:val="clear" w:color="auto" w:fill="E1DFDD"/>
    </w:rPr>
  </w:style>
  <w:style w:type="paragraph" w:customStyle="1" w:styleId="para">
    <w:name w:val="para"/>
    <w:basedOn w:val="Normal"/>
    <w:rsid w:val="000121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ref">
    <w:name w:val="citationref"/>
    <w:basedOn w:val="DefaultParagraphFont"/>
    <w:rsid w:val="0001219F"/>
  </w:style>
  <w:style w:type="character" w:customStyle="1" w:styleId="ref-lnk">
    <w:name w:val="ref-lnk"/>
    <w:basedOn w:val="DefaultParagraphFont"/>
    <w:rsid w:val="007B3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0830213">
      <w:bodyDiv w:val="1"/>
      <w:marLeft w:val="0"/>
      <w:marRight w:val="0"/>
      <w:marTop w:val="0"/>
      <w:marBottom w:val="0"/>
      <w:divBdr>
        <w:top w:val="none" w:sz="0" w:space="0" w:color="auto"/>
        <w:left w:val="none" w:sz="0" w:space="0" w:color="auto"/>
        <w:bottom w:val="none" w:sz="0" w:space="0" w:color="auto"/>
        <w:right w:val="none" w:sz="0" w:space="0" w:color="auto"/>
      </w:divBdr>
    </w:div>
    <w:div w:id="766269212">
      <w:bodyDiv w:val="1"/>
      <w:marLeft w:val="0"/>
      <w:marRight w:val="0"/>
      <w:marTop w:val="0"/>
      <w:marBottom w:val="0"/>
      <w:divBdr>
        <w:top w:val="none" w:sz="0" w:space="0" w:color="auto"/>
        <w:left w:val="none" w:sz="0" w:space="0" w:color="auto"/>
        <w:bottom w:val="none" w:sz="0" w:space="0" w:color="auto"/>
        <w:right w:val="none" w:sz="0" w:space="0" w:color="auto"/>
      </w:divBdr>
      <w:divsChild>
        <w:div w:id="1913463857">
          <w:marLeft w:val="0"/>
          <w:marRight w:val="0"/>
          <w:marTop w:val="0"/>
          <w:marBottom w:val="0"/>
          <w:divBdr>
            <w:top w:val="none" w:sz="0" w:space="0" w:color="auto"/>
            <w:left w:val="none" w:sz="0" w:space="0" w:color="auto"/>
            <w:bottom w:val="none" w:sz="0" w:space="0" w:color="auto"/>
            <w:right w:val="none" w:sz="0" w:space="0" w:color="auto"/>
          </w:divBdr>
        </w:div>
      </w:divsChild>
    </w:div>
    <w:div w:id="1088035591">
      <w:bodyDiv w:val="1"/>
      <w:marLeft w:val="0"/>
      <w:marRight w:val="0"/>
      <w:marTop w:val="0"/>
      <w:marBottom w:val="0"/>
      <w:divBdr>
        <w:top w:val="none" w:sz="0" w:space="0" w:color="auto"/>
        <w:left w:val="none" w:sz="0" w:space="0" w:color="auto"/>
        <w:bottom w:val="none" w:sz="0" w:space="0" w:color="auto"/>
        <w:right w:val="none" w:sz="0" w:space="0" w:color="auto"/>
      </w:divBdr>
    </w:div>
    <w:div w:id="1101531843">
      <w:bodyDiv w:val="1"/>
      <w:marLeft w:val="0"/>
      <w:marRight w:val="0"/>
      <w:marTop w:val="0"/>
      <w:marBottom w:val="0"/>
      <w:divBdr>
        <w:top w:val="none" w:sz="0" w:space="0" w:color="auto"/>
        <w:left w:val="none" w:sz="0" w:space="0" w:color="auto"/>
        <w:bottom w:val="none" w:sz="0" w:space="0" w:color="auto"/>
        <w:right w:val="none" w:sz="0" w:space="0" w:color="auto"/>
      </w:divBdr>
    </w:div>
    <w:div w:id="1406688878">
      <w:bodyDiv w:val="1"/>
      <w:marLeft w:val="0"/>
      <w:marRight w:val="0"/>
      <w:marTop w:val="0"/>
      <w:marBottom w:val="0"/>
      <w:divBdr>
        <w:top w:val="none" w:sz="0" w:space="0" w:color="auto"/>
        <w:left w:val="none" w:sz="0" w:space="0" w:color="auto"/>
        <w:bottom w:val="none" w:sz="0" w:space="0" w:color="auto"/>
        <w:right w:val="none" w:sz="0" w:space="0" w:color="auto"/>
      </w:divBdr>
    </w:div>
    <w:div w:id="1414085418">
      <w:bodyDiv w:val="1"/>
      <w:marLeft w:val="0"/>
      <w:marRight w:val="0"/>
      <w:marTop w:val="0"/>
      <w:marBottom w:val="0"/>
      <w:divBdr>
        <w:top w:val="none" w:sz="0" w:space="0" w:color="auto"/>
        <w:left w:val="none" w:sz="0" w:space="0" w:color="auto"/>
        <w:bottom w:val="none" w:sz="0" w:space="0" w:color="auto"/>
        <w:right w:val="none" w:sz="0" w:space="0" w:color="auto"/>
      </w:divBdr>
      <w:divsChild>
        <w:div w:id="1376003238">
          <w:marLeft w:val="0"/>
          <w:marRight w:val="0"/>
          <w:marTop w:val="0"/>
          <w:marBottom w:val="0"/>
          <w:divBdr>
            <w:top w:val="none" w:sz="0" w:space="0" w:color="auto"/>
            <w:left w:val="none" w:sz="0" w:space="0" w:color="auto"/>
            <w:bottom w:val="none" w:sz="0" w:space="0" w:color="auto"/>
            <w:right w:val="none" w:sz="0" w:space="0" w:color="auto"/>
          </w:divBdr>
        </w:div>
      </w:divsChild>
    </w:div>
    <w:div w:id="1960795793">
      <w:bodyDiv w:val="1"/>
      <w:marLeft w:val="0"/>
      <w:marRight w:val="0"/>
      <w:marTop w:val="0"/>
      <w:marBottom w:val="0"/>
      <w:divBdr>
        <w:top w:val="none" w:sz="0" w:space="0" w:color="auto"/>
        <w:left w:val="none" w:sz="0" w:space="0" w:color="auto"/>
        <w:bottom w:val="none" w:sz="0" w:space="0" w:color="auto"/>
        <w:right w:val="none" w:sz="0" w:space="0" w:color="auto"/>
      </w:divBdr>
    </w:div>
    <w:div w:id="2010600048">
      <w:bodyDiv w:val="1"/>
      <w:marLeft w:val="0"/>
      <w:marRight w:val="0"/>
      <w:marTop w:val="0"/>
      <w:marBottom w:val="0"/>
      <w:divBdr>
        <w:top w:val="none" w:sz="0" w:space="0" w:color="auto"/>
        <w:left w:val="none" w:sz="0" w:space="0" w:color="auto"/>
        <w:bottom w:val="none" w:sz="0" w:space="0" w:color="auto"/>
        <w:right w:val="none" w:sz="0" w:space="0" w:color="auto"/>
      </w:divBdr>
      <w:divsChild>
        <w:div w:id="3178819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topics/biochemistry-genetics-and-molecular-biology/dna-profiling" TargetMode="External"/><Relationship Id="rId18" Type="http://schemas.openxmlformats.org/officeDocument/2006/relationships/hyperlink" Target="https://link-springer-com.pitt.idm.oclc.org/chapter/10.1007/978-3-030-22811-8_26" TargetMode="External"/><Relationship Id="rId26" Type="http://schemas.openxmlformats.org/officeDocument/2006/relationships/hyperlink" Target="https://www.tandfonline.com/doi/full/10.1080/00131946.2016.1190367?casa_token=D0rCo0hG_5cAAAAA:q40BbhlXuxgvgKckqnmCXdUj_7VOsD66iHTgauxSW2SSiaeZV9wOqJXYG4tlRClBWbFAd9FjKvc" TargetMode="External"/><Relationship Id="rId39" Type="http://schemas.openxmlformats.org/officeDocument/2006/relationships/hyperlink" Target="https://link.springer.com/article/10.1007/s10612-018-9403-1" TargetMode="External"/><Relationship Id="rId21" Type="http://schemas.openxmlformats.org/officeDocument/2006/relationships/hyperlink" Target="https://link-springer-com.pitt.idm.oclc.org/chapter/10.1007/978-3-030-22811-8_26" TargetMode="External"/><Relationship Id="rId34" Type="http://schemas.openxmlformats.org/officeDocument/2006/relationships/hyperlink" Target="https://readingroom.law.gsu.edu/gsulr/vol34/iss4/8" TargetMode="External"/><Relationship Id="rId42" Type="http://schemas.openxmlformats.org/officeDocument/2006/relationships/hyperlink" Target="https://link.springer.com/article/10.1007/s10612-018-9403-1" TargetMode="External"/><Relationship Id="rId47" Type="http://schemas.openxmlformats.org/officeDocument/2006/relationships/hyperlink" Target="https://link.springer.com/article/10.1007/s10612-018-9403-1" TargetMode="External"/><Relationship Id="rId50" Type="http://schemas.openxmlformats.org/officeDocument/2006/relationships/fontTable" Target="fontTable.xml"/><Relationship Id="rId7" Type="http://schemas.openxmlformats.org/officeDocument/2006/relationships/hyperlink" Target="https://www.sciencedirect.com/topics/medicine-and-dentistry/finger-dermatoglyphics" TargetMode="External"/><Relationship Id="rId2" Type="http://schemas.openxmlformats.org/officeDocument/2006/relationships/numbering" Target="numbering.xml"/><Relationship Id="rId16" Type="http://schemas.openxmlformats.org/officeDocument/2006/relationships/hyperlink" Target="https://link-springer-com.pitt.idm.oclc.org/chapter/10.1007/978-3-030-22811-8_26" TargetMode="External"/><Relationship Id="rId29" Type="http://schemas.openxmlformats.org/officeDocument/2006/relationships/hyperlink" Target="https://www.tandfonline.com/doi/full/10.1080/00131946.2016.1190367?casa_token=D0rCo0hG_5cAAAAA:q40BbhlXuxgvgKckqnmCXdUj_7VOsD66iHTgauxSW2SSiaeZV9wOqJXYG4tlRClBWbFAd9FjKvc" TargetMode="External"/><Relationship Id="rId11" Type="http://schemas.openxmlformats.org/officeDocument/2006/relationships/hyperlink" Target="https://www.sciencedirect.com/topics/biochemistry-genetics-and-molecular-biology/assertiveness" TargetMode="External"/><Relationship Id="rId24" Type="http://schemas.openxmlformats.org/officeDocument/2006/relationships/hyperlink" Target="https://link-springer-com.pitt.idm.oclc.org/chapter/10.1007/978-3-030-22811-8_26" TargetMode="External"/><Relationship Id="rId32" Type="http://schemas.openxmlformats.org/officeDocument/2006/relationships/hyperlink" Target="https://www.tandfonline.com/doi/full/10.1080/00131946.2016.1190367?casa_token=D0rCo0hG_5cAAAAA:q40BbhlXuxgvgKckqnmCXdUj_7VOsD66iHTgauxSW2SSiaeZV9wOqJXYG4tlRClBWbFAd9FjKvc" TargetMode="External"/><Relationship Id="rId37" Type="http://schemas.openxmlformats.org/officeDocument/2006/relationships/hyperlink" Target="https://scholarship.law.wm.edu/wmlr/vol60/iss6/5" TargetMode="External"/><Relationship Id="rId40" Type="http://schemas.openxmlformats.org/officeDocument/2006/relationships/hyperlink" Target="https://link.springer.com/article/10.1007/s10612-018-9403-1" TargetMode="External"/><Relationship Id="rId45" Type="http://schemas.openxmlformats.org/officeDocument/2006/relationships/hyperlink" Target="https://link.springer.com/article/10.1007/s10612-018-9403-1" TargetMode="External"/><Relationship Id="rId5" Type="http://schemas.openxmlformats.org/officeDocument/2006/relationships/webSettings" Target="webSettings.xml"/><Relationship Id="rId15" Type="http://schemas.openxmlformats.org/officeDocument/2006/relationships/hyperlink" Target="https://www.colorado.edu/law/academics/public-service/korey-wise-innocence-project" TargetMode="External"/><Relationship Id="rId23" Type="http://schemas.openxmlformats.org/officeDocument/2006/relationships/hyperlink" Target="https://link-springer-com.pitt.idm.oclc.org/chapter/10.1007/978-3-030-22811-8_26" TargetMode="External"/><Relationship Id="rId28" Type="http://schemas.openxmlformats.org/officeDocument/2006/relationships/hyperlink" Target="https://www.tandfonline.com/doi/full/10.1080/00131946.2016.1190367?casa_token=D0rCo0hG_5cAAAAA:q40BbhlXuxgvgKckqnmCXdUj_7VOsD66iHTgauxSW2SSiaeZV9wOqJXYG4tlRClBWbFAd9FjKvc" TargetMode="External"/><Relationship Id="rId36" Type="http://schemas.openxmlformats.org/officeDocument/2006/relationships/hyperlink" Target="https://wvlawreview.wvu.edu/files/d/f6920d83-9e3f-4b58-b2ce-0e3dd5f728f9/cino-monteleone-post-page-proof.pdf" TargetMode="External"/><Relationship Id="rId49" Type="http://schemas.openxmlformats.org/officeDocument/2006/relationships/hyperlink" Target="https://doi.org/10.1093/jlb/lsz009" TargetMode="External"/><Relationship Id="rId10" Type="http://schemas.openxmlformats.org/officeDocument/2006/relationships/hyperlink" Target="https://www.sciencedirect.com/topics/psychology/criminal-justice-system" TargetMode="External"/><Relationship Id="rId19" Type="http://schemas.openxmlformats.org/officeDocument/2006/relationships/hyperlink" Target="https://link-springer-com.pitt.idm.oclc.org/chapter/10.1007/978-3-030-22811-8_26" TargetMode="External"/><Relationship Id="rId31" Type="http://schemas.openxmlformats.org/officeDocument/2006/relationships/hyperlink" Target="https://www.tandfonline.com/doi/full/10.1080/00131946.2016.1190367?casa_token=D0rCo0hG_5cAAAAA:q40BbhlXuxgvgKckqnmCXdUj_7VOsD66iHTgauxSW2SSiaeZV9wOqJXYG4tlRClBWbFAd9FjKvc" TargetMode="External"/><Relationship Id="rId44" Type="http://schemas.openxmlformats.org/officeDocument/2006/relationships/hyperlink" Target="https://link.springer.com/article/10.1007/s10612-018-9403-1" TargetMode="External"/><Relationship Id="rId4" Type="http://schemas.openxmlformats.org/officeDocument/2006/relationships/settings" Target="settings.xml"/><Relationship Id="rId9" Type="http://schemas.openxmlformats.org/officeDocument/2006/relationships/hyperlink" Target="https://www.sciencedirect.com/topics/pharmacology-toxicology-and-pharmaceutical-science/cadaver" TargetMode="External"/><Relationship Id="rId14" Type="http://schemas.openxmlformats.org/officeDocument/2006/relationships/hyperlink" Target="https://www.colorado.edu/law/2020/04/13/when-they-see-him" TargetMode="External"/><Relationship Id="rId22" Type="http://schemas.openxmlformats.org/officeDocument/2006/relationships/hyperlink" Target="https://link-springer-com.pitt.idm.oclc.org/chapter/10.1007/978-3-030-22811-8_26" TargetMode="External"/><Relationship Id="rId27" Type="http://schemas.openxmlformats.org/officeDocument/2006/relationships/hyperlink" Target="https://www.tandfonline.com/doi/full/10.1080/00131946.2016.1190367?casa_token=D0rCo0hG_5cAAAAA:q40BbhlXuxgvgKckqnmCXdUj_7VOsD66iHTgauxSW2SSiaeZV9wOqJXYG4tlRClBWbFAd9FjKvc" TargetMode="External"/><Relationship Id="rId30" Type="http://schemas.openxmlformats.org/officeDocument/2006/relationships/hyperlink" Target="https://www.tandfonline.com/doi/full/10.1080/00131946.2016.1190367?casa_token=D0rCo0hG_5cAAAAA:q40BbhlXuxgvgKckqnmCXdUj_7VOsD66iHTgauxSW2SSiaeZV9wOqJXYG4tlRClBWbFAd9FjKvc" TargetMode="External"/><Relationship Id="rId35" Type="http://schemas.openxmlformats.org/officeDocument/2006/relationships/hyperlink" Target="https://scholarship.law.wm.edu/wmlr/vol60/iss6/5" TargetMode="External"/><Relationship Id="rId43" Type="http://schemas.openxmlformats.org/officeDocument/2006/relationships/hyperlink" Target="https://link.springer.com/article/10.1007/s10612-018-9403-1" TargetMode="External"/><Relationship Id="rId48" Type="http://schemas.openxmlformats.org/officeDocument/2006/relationships/hyperlink" Target="https://link.springer.com/article/10.1007/s10612-018-9403-1" TargetMode="External"/><Relationship Id="rId8" Type="http://schemas.openxmlformats.org/officeDocument/2006/relationships/hyperlink" Target="https://www.sciencedirect.com/topics/psychology/victims-of-violence"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sciencedirect.com/topics/medicine-and-dentistry/forensic-odontology" TargetMode="External"/><Relationship Id="rId17" Type="http://schemas.openxmlformats.org/officeDocument/2006/relationships/hyperlink" Target="https://link-springer-com.pitt.idm.oclc.org/chapter/10.1007/978-3-030-22811-8_26" TargetMode="External"/><Relationship Id="rId25" Type="http://schemas.openxmlformats.org/officeDocument/2006/relationships/hyperlink" Target="https://link-springer-com.pitt.idm.oclc.org/chapter/10.1007/978-3-030-22811-8_26" TargetMode="External"/><Relationship Id="rId33" Type="http://schemas.openxmlformats.org/officeDocument/2006/relationships/hyperlink" Target="https://repository.law.umich.edu/mlr/vol117/iss1/5" TargetMode="External"/><Relationship Id="rId38" Type="http://schemas.openxmlformats.org/officeDocument/2006/relationships/hyperlink" Target="https://link.springer.com/article/10.1007/s10612-018-9403-1" TargetMode="External"/><Relationship Id="rId46" Type="http://schemas.openxmlformats.org/officeDocument/2006/relationships/hyperlink" Target="https://link.springer.com/article/10.1007/s10612-018-9403-1" TargetMode="External"/><Relationship Id="rId20" Type="http://schemas.openxmlformats.org/officeDocument/2006/relationships/hyperlink" Target="https://link-springer-com.pitt.idm.oclc.org/chapter/10.1007/978-3-030-22811-8_26" TargetMode="External"/><Relationship Id="rId41" Type="http://schemas.openxmlformats.org/officeDocument/2006/relationships/hyperlink" Target="https://link.springer.com/article/10.1007/s10612-018-9403-1" TargetMode="External"/><Relationship Id="rId1" Type="http://schemas.openxmlformats.org/officeDocument/2006/relationships/customXml" Target="../customXml/item1.xml"/><Relationship Id="rId6" Type="http://schemas.openxmlformats.org/officeDocument/2006/relationships/hyperlink" Target="https://readingroom.law.gsu.edu/gsulr/vol34/iss4/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E429F-C376-4AD3-96C6-C93CADF90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165</TotalTime>
  <Pages>1</Pages>
  <Words>30468</Words>
  <Characters>173673</Characters>
  <Application>Microsoft Office Word</Application>
  <DocSecurity>0</DocSecurity>
  <Lines>1447</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dc:creator>
  <cp:keywords>5.1.1</cp:keywords>
  <dc:description/>
  <cp:lastModifiedBy>Nate</cp:lastModifiedBy>
  <cp:revision>11</cp:revision>
  <dcterms:created xsi:type="dcterms:W3CDTF">2020-05-28T20:59:00Z</dcterms:created>
  <dcterms:modified xsi:type="dcterms:W3CDTF">2020-06-15T02:24:00Z</dcterms:modified>
</cp:coreProperties>
</file>