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E0C241" w14:textId="77777777" w:rsidR="005D793D" w:rsidRDefault="005D793D" w:rsidP="005D793D">
      <w:pPr>
        <w:pStyle w:val="Heading1"/>
      </w:pPr>
      <w:r>
        <w:t>Forensic Science Aff &amp; Neg Supplement – GDI Scholars 2020</w:t>
      </w:r>
    </w:p>
    <w:p w14:paraId="6DC22D62" w14:textId="298CBD4F" w:rsidR="00E348F9" w:rsidRDefault="00617030" w:rsidP="00E348F9">
      <w:pPr>
        <w:pStyle w:val="Heading1"/>
      </w:pPr>
      <w:r>
        <w:lastRenderedPageBreak/>
        <w:t>***</w:t>
      </w:r>
      <w:r w:rsidR="00E348F9">
        <w:t>Aff</w:t>
      </w:r>
      <w:r w:rsidR="005D793D">
        <w:t>***</w:t>
      </w:r>
    </w:p>
    <w:p w14:paraId="65F86A00" w14:textId="77777777" w:rsidR="00FF6277" w:rsidRDefault="00FF6277" w:rsidP="00FF6277">
      <w:pPr>
        <w:pStyle w:val="Heading2"/>
      </w:pPr>
      <w:r>
        <w:lastRenderedPageBreak/>
        <w:t xml:space="preserve">Solvency </w:t>
      </w:r>
    </w:p>
    <w:p w14:paraId="06077E9C" w14:textId="77777777" w:rsidR="00FF6277" w:rsidRDefault="00FF6277" w:rsidP="00FF6277">
      <w:pPr>
        <w:pStyle w:val="Heading3"/>
      </w:pPr>
      <w:r>
        <w:lastRenderedPageBreak/>
        <w:t>AT – OSACs solve</w:t>
      </w:r>
    </w:p>
    <w:p w14:paraId="6890DCC5" w14:textId="77777777" w:rsidR="00FF6277" w:rsidRDefault="00FF6277" w:rsidP="00FF6277">
      <w:pPr>
        <w:pStyle w:val="Heading4"/>
      </w:pPr>
      <w:r>
        <w:t>Forensics Science has taken steps backwards because OSACs were not as efficient as the national commission</w:t>
      </w:r>
    </w:p>
    <w:p w14:paraId="187250F4" w14:textId="6FA4C012" w:rsidR="00FF6277" w:rsidRDefault="00FF6277" w:rsidP="00FF6277">
      <w:r>
        <w:rPr>
          <w:b/>
          <w:sz w:val="26"/>
          <w:szCs w:val="26"/>
        </w:rPr>
        <w:t>Wallace, CrimeCenter Law Enforcement Consultant, 18</w:t>
      </w:r>
      <w:r>
        <w:t xml:space="preserve"> [Edward, 12-4-18, CrimeCenter, “How Better Forensic Science Standards Improve Criminal Investigations” </w:t>
      </w:r>
      <w:r>
        <w:rPr>
          <w:color w:val="000000"/>
        </w:rPr>
        <w:t>https://crimecenter.com/better-forensic-science-standards-improve-criminal-investigations/</w:t>
      </w:r>
      <w:r>
        <w:t>, accessed 7-15-2020, BN]</w:t>
      </w:r>
    </w:p>
    <w:p w14:paraId="74985CE1" w14:textId="77777777" w:rsidR="00FF6277" w:rsidRDefault="00FF6277" w:rsidP="00FF6277">
      <w:r>
        <w:t>This is the power of forensic science: it often makes the difference between clearing the innocent and convicting the guilty or making wrongful convictions and freeing criminals. While forensic practices have come a long way, work must be done to improve standards in order for law enforcement to conduct more efficient and trustworthy criminal investigations.</w:t>
      </w:r>
    </w:p>
    <w:p w14:paraId="14302571" w14:textId="77777777" w:rsidR="00FF6277" w:rsidRDefault="00FF6277" w:rsidP="00FF6277">
      <w:r>
        <w:t>The past decade has seen a flurry of activity in the forensic science community in response to two specific national reports:</w:t>
      </w:r>
    </w:p>
    <w:p w14:paraId="161923B7" w14:textId="77777777" w:rsidR="00FF6277" w:rsidRDefault="00FF6277" w:rsidP="00FF6277">
      <w:r>
        <w:t>The National Academy of Science (NAS) 2009 report titled “Strengthening Forensic Science in the Unites States: A Path Forward”</w:t>
      </w:r>
    </w:p>
    <w:p w14:paraId="5D7BD7C7" w14:textId="77777777" w:rsidR="00FF6277" w:rsidRDefault="00FF6277" w:rsidP="00FF6277">
      <w:r>
        <w:t>The 2014 National Science and Technology Council (NSTC) report on “Strengthening the Forensic Sciences” via the Committee on Science and Subcommittee on Forensic Science.</w:t>
      </w:r>
    </w:p>
    <w:p w14:paraId="7311E540" w14:textId="77777777" w:rsidR="00FF6277" w:rsidRDefault="00FF6277" w:rsidP="00FF6277">
      <w:r>
        <w:t>From the formation of new organizations and committees to the proposal of new legislation, forensic science standards have been carefully examined and molded into a nationally cohesive effort. Today, we’re going to concentrate on a few of these developments and take a look at how we can improve forensic science standards – and, in turn, the larger criminal investigations they affect.</w:t>
      </w:r>
    </w:p>
    <w:p w14:paraId="1094C10A" w14:textId="77777777" w:rsidR="00FF6277" w:rsidRDefault="00FF6277" w:rsidP="00FF6277">
      <w:r>
        <w:t xml:space="preserve">The </w:t>
      </w:r>
      <w:r>
        <w:rPr>
          <w:b/>
          <w:u w:val="single"/>
        </w:rPr>
        <w:t>Organization of Scientific Area Committees for Forensic Science</w:t>
      </w:r>
    </w:p>
    <w:p w14:paraId="35BE489E" w14:textId="77777777" w:rsidR="00FF6277" w:rsidRDefault="00FF6277" w:rsidP="00FF6277">
      <w:pPr>
        <w:rPr>
          <w:b/>
          <w:u w:val="single"/>
        </w:rPr>
      </w:pPr>
      <w:r>
        <w:rPr>
          <w:b/>
          <w:u w:val="single"/>
        </w:rPr>
        <w:t>In 2013, the National Institute of Standards and Technology (NIST) formed the Organization of Scientific Area Committees (OSACs) for forensic science. Ultimately, these committees took control of, standardized and expanded the forensic scientific workings groups (SWGs) of several organizations, including the United States Department of Justice (DOJ), Office of Justice Programs (OJP), National Institute of Justice (NIJ) and Federal Bureau of Investigation (FBI).</w:t>
      </w:r>
    </w:p>
    <w:p w14:paraId="5FF4A0C6" w14:textId="77777777" w:rsidR="00FF6277" w:rsidRDefault="00FF6277" w:rsidP="00FF6277">
      <w:r>
        <w:t xml:space="preserve">In total, </w:t>
      </w:r>
      <w:r>
        <w:rPr>
          <w:b/>
          <w:u w:val="single"/>
        </w:rPr>
        <w:t>there are 25 subcommittees of the OSAC tasked with the development and validation of forensic standards, guidelines and codes of practices for five disciplines</w:t>
      </w:r>
      <w:r>
        <w:t>: chemistry/instrumental analysis, physics/pattern interpretation, crime scene/death investigation, digital/multimedia and biology/DNA.</w:t>
      </w:r>
    </w:p>
    <w:p w14:paraId="46C8C1CB" w14:textId="77777777" w:rsidR="00FF6277" w:rsidRDefault="00FF6277" w:rsidP="00FF6277">
      <w:r>
        <w:t>Efforts to Improve Forensic Science Standards</w:t>
      </w:r>
    </w:p>
    <w:p w14:paraId="1EBF57DF" w14:textId="77777777" w:rsidR="00FF6277" w:rsidRDefault="00FF6277" w:rsidP="00FF6277">
      <w:r>
        <w:t xml:space="preserve">The </w:t>
      </w:r>
      <w:r>
        <w:rPr>
          <w:b/>
          <w:u w:val="single"/>
        </w:rPr>
        <w:t>2014 NSTC report offered various suggestions for improving the forensic sciences</w:t>
      </w:r>
      <w:r>
        <w:t>. Four of which, for the purposes of this discussion, are especially important to concentrate on:</w:t>
      </w:r>
    </w:p>
    <w:p w14:paraId="2D9AD8A9" w14:textId="77777777" w:rsidR="00FF6277" w:rsidRDefault="00FF6277" w:rsidP="00FF6277">
      <w:pPr>
        <w:rPr>
          <w:b/>
          <w:u w:val="single"/>
        </w:rPr>
      </w:pPr>
      <w:r>
        <w:rPr>
          <w:b/>
          <w:u w:val="single"/>
        </w:rPr>
        <w:t>Accreditation of providers</w:t>
      </w:r>
    </w:p>
    <w:p w14:paraId="28768C49" w14:textId="77777777" w:rsidR="00FF6277" w:rsidRDefault="00FF6277" w:rsidP="00FF6277">
      <w:pPr>
        <w:rPr>
          <w:b/>
          <w:u w:val="single"/>
        </w:rPr>
      </w:pPr>
      <w:r>
        <w:rPr>
          <w:b/>
          <w:u w:val="single"/>
        </w:rPr>
        <w:t>Certifications of analysts and examiners</w:t>
      </w:r>
    </w:p>
    <w:p w14:paraId="66F08B88" w14:textId="77777777" w:rsidR="00FF6277" w:rsidRDefault="00FF6277" w:rsidP="00FF6277">
      <w:pPr>
        <w:rPr>
          <w:b/>
          <w:u w:val="single"/>
        </w:rPr>
      </w:pPr>
      <w:r>
        <w:rPr>
          <w:b/>
          <w:u w:val="single"/>
        </w:rPr>
        <w:t>Proficiency testing</w:t>
      </w:r>
    </w:p>
    <w:p w14:paraId="3525D765" w14:textId="77777777" w:rsidR="00FF6277" w:rsidRDefault="00FF6277" w:rsidP="00FF6277">
      <w:pPr>
        <w:rPr>
          <w:b/>
          <w:u w:val="single"/>
        </w:rPr>
      </w:pPr>
      <w:r>
        <w:rPr>
          <w:b/>
          <w:u w:val="single"/>
        </w:rPr>
        <w:lastRenderedPageBreak/>
        <w:t>Code of ethics for forensic practitioners</w:t>
      </w:r>
    </w:p>
    <w:p w14:paraId="07C50241" w14:textId="77777777" w:rsidR="00FF6277" w:rsidRDefault="00FF6277" w:rsidP="00FF6277">
      <w:pPr>
        <w:rPr>
          <w:b/>
          <w:u w:val="single"/>
        </w:rPr>
      </w:pPr>
      <w:r>
        <w:rPr>
          <w:b/>
          <w:u w:val="single"/>
        </w:rPr>
        <w:t>Proposal of New Legislation</w:t>
      </w:r>
    </w:p>
    <w:p w14:paraId="2BF432CF" w14:textId="77777777" w:rsidR="00FF6277" w:rsidRDefault="00FF6277" w:rsidP="00FF6277">
      <w:pPr>
        <w:rPr>
          <w:b/>
          <w:u w:val="single"/>
        </w:rPr>
      </w:pPr>
      <w:r>
        <w:rPr>
          <w:b/>
          <w:u w:val="single"/>
        </w:rPr>
        <w:t>In March of 2014, Senators Leahy and Cornyn proposed the Criminal Justice and Forensic Science Reform Act (S. 2177). This bill, if enacted into law, will promote national standards for forensic: accreditation, certification, oversight for labs and practitioners, the development of standards and a national research strategy.</w:t>
      </w:r>
    </w:p>
    <w:p w14:paraId="524DF5B5" w14:textId="77777777" w:rsidR="00FF6277" w:rsidRDefault="00FF6277" w:rsidP="00FF6277">
      <w:r>
        <w:t>Essentially, this law proposes tangible steps to implement the findings and recommendations of the OSAC and the NSTC report.</w:t>
      </w:r>
    </w:p>
    <w:p w14:paraId="13D7F7AC" w14:textId="77777777" w:rsidR="00FF6277" w:rsidRDefault="00FF6277" w:rsidP="00FF6277">
      <w:r>
        <w:t>The State of Forensic Science Standards</w:t>
      </w:r>
    </w:p>
    <w:p w14:paraId="5F454FEF" w14:textId="77777777" w:rsidR="00FF6277" w:rsidRDefault="00FF6277" w:rsidP="00FF6277">
      <w:r>
        <w:t>As we turn the corner into 2019, how have the actions of the past decade progressed?</w:t>
      </w:r>
    </w:p>
    <w:p w14:paraId="0118647C" w14:textId="77777777" w:rsidR="00FF6277" w:rsidRDefault="00FF6277" w:rsidP="00FF6277">
      <w:pPr>
        <w:rPr>
          <w:b/>
          <w:u w:val="single"/>
        </w:rPr>
      </w:pPr>
      <w:r>
        <w:rPr>
          <w:b/>
          <w:u w:val="single"/>
        </w:rPr>
        <w:t>In April of 2017, Attorney General Jeff Sessions did not renew the funding or charter for the National Commission on Forensic Science (NCFS).</w:t>
      </w:r>
    </w:p>
    <w:p w14:paraId="1FD3A8AA" w14:textId="77777777" w:rsidR="00FF6277" w:rsidRDefault="00FF6277" w:rsidP="00FF6277">
      <w:r>
        <w:t>Prior to this, though, the US DOJ adopted many of the commission’s recommendations – though somewhat inconsistently. For example, it didn’t mandate that state and local forensic labs, crime scene investigators or medicolegal death investigators adopt these recommendations. But it did redraft grants for state and local forensic practitioners to incentivize them to adopt these NCFS, NIST and OSAC recommendations.</w:t>
      </w:r>
    </w:p>
    <w:p w14:paraId="15FA3D68" w14:textId="77777777" w:rsidR="00FF6277" w:rsidRDefault="00FF6277" w:rsidP="00FF6277">
      <w:pPr>
        <w:rPr>
          <w:b/>
          <w:u w:val="single"/>
        </w:rPr>
      </w:pPr>
      <w:r>
        <w:rPr>
          <w:b/>
          <w:u w:val="single"/>
        </w:rPr>
        <w:t>NIST and OSAC are still working very hard at creating additional standards and trying to find ways for forensic practitioners to adopt their standards, as they put it, via the “carrot or stick” approach.</w:t>
      </w:r>
    </w:p>
    <w:p w14:paraId="3C126DE0" w14:textId="77777777" w:rsidR="00FF6277" w:rsidRDefault="00FF6277" w:rsidP="00FF6277">
      <w:r>
        <w:t>As for the NCFS, as I stated earlier, the charter was not renewed so they are no longer in existence. But in August 2018, Deputy Attorney General Rosenstein announced at the International Association for Identification’s (IAI) annual conference the creation of a DOJ Forensic Science Working Group, headed by Ted Hunt, an experienced prosecutor.</w:t>
      </w:r>
    </w:p>
    <w:p w14:paraId="2A0DF737" w14:textId="77777777" w:rsidR="00FF6277" w:rsidRDefault="00FF6277" w:rsidP="00FF6277">
      <w:pPr>
        <w:rPr>
          <w:b/>
          <w:u w:val="single"/>
        </w:rPr>
      </w:pPr>
      <w:r>
        <w:rPr>
          <w:b/>
          <w:u w:val="single"/>
        </w:rPr>
        <w:t>This is a good thing, but I fear it will not be as strong or effective as its predecessor.</w:t>
      </w:r>
    </w:p>
    <w:p w14:paraId="74D1CA0D" w14:textId="77777777" w:rsidR="00FF6277" w:rsidRDefault="00FF6277" w:rsidP="00FF6277">
      <w:r>
        <w:t>In addition, the DOJ, OJP, NIJ have awarded numerous grants for research and development to strengthen the forensic science disciplines.</w:t>
      </w:r>
    </w:p>
    <w:p w14:paraId="2F414318" w14:textId="77777777" w:rsidR="00FF6277" w:rsidRDefault="00FF6277" w:rsidP="00FF6277">
      <w:r>
        <w:t>As for the Criminal Justice and Forensic Science Reform Act (S. 2177), it went nowhere. It died in the Senate Judiciary Committee, where it was sent after it was introduced.</w:t>
      </w:r>
    </w:p>
    <w:p w14:paraId="75B7B89F" w14:textId="77777777" w:rsidR="00FF6277" w:rsidRDefault="00FF6277" w:rsidP="00FF6277">
      <w:r>
        <w:t>Forensic Science Standards Moving Forward</w:t>
      </w:r>
    </w:p>
    <w:p w14:paraId="2432A1DA" w14:textId="77777777" w:rsidR="00FF6277" w:rsidRDefault="00FF6277" w:rsidP="00FF6277">
      <w:pPr>
        <w:rPr>
          <w:b/>
          <w:u w:val="single"/>
        </w:rPr>
      </w:pPr>
      <w:r>
        <w:rPr>
          <w:b/>
          <w:u w:val="single"/>
        </w:rPr>
        <w:t>In the past decade, forensic science standards have taken a few steps forward – followed by a few steps back.</w:t>
      </w:r>
    </w:p>
    <w:p w14:paraId="4577E5DC" w14:textId="77777777" w:rsidR="00FF6277" w:rsidRDefault="00FF6277" w:rsidP="00FF6277">
      <w:r>
        <w:t>So how do we tangibly move forward without getting bumped back to where we started?</w:t>
      </w:r>
    </w:p>
    <w:p w14:paraId="23BA1592" w14:textId="77777777" w:rsidR="00FF6277" w:rsidRDefault="00FF6277" w:rsidP="00FF6277">
      <w:r>
        <w:t>Here’s the answer: we need definitive “National Forensic Standards” without so much back and forth.</w:t>
      </w:r>
    </w:p>
    <w:p w14:paraId="34DA440D" w14:textId="77777777" w:rsidR="00FF6277" w:rsidRDefault="00FF6277" w:rsidP="00FF6277">
      <w:r>
        <w:t>All forensic practitioners, whether they have private, local, state, tribal or federal agency affiliation or geography, should utilize the same standards.</w:t>
      </w:r>
    </w:p>
    <w:p w14:paraId="34718189" w14:textId="77777777" w:rsidR="00FF6277" w:rsidRDefault="00FF6277" w:rsidP="00FF6277">
      <w:r>
        <w:rPr>
          <w:b/>
          <w:u w:val="single"/>
        </w:rPr>
        <w:lastRenderedPageBreak/>
        <w:t>We also need more than accreditations and certifications for laboratories and practitioners</w:t>
      </w:r>
      <w:r>
        <w:t>. We should have government issued licenses and regulatory authorities overseeing our forensic practices – and we need effective legislation and funding to enact and maintain all of this.</w:t>
      </w:r>
    </w:p>
    <w:p w14:paraId="0183444F" w14:textId="77777777" w:rsidR="00FF6277" w:rsidRDefault="00FF6277" w:rsidP="00FF6277">
      <w:r>
        <w:t>Through my experiences and observations as a certified Senior Crime Scene Analyst and former First Grade Detective for the NYPD, I recognize the need for more discussion on these issues. I hope that we can take all of the great work that has been performed to date and bring it to where it needs to be, in order to strengthen the forensic sciences and instill the trust of citizens with its use in criminal investigations.</w:t>
      </w:r>
    </w:p>
    <w:p w14:paraId="09C4ADAB" w14:textId="77777777" w:rsidR="00FF6277" w:rsidRDefault="00FF6277" w:rsidP="00FF6277">
      <w:pPr>
        <w:pStyle w:val="Heading2"/>
      </w:pPr>
      <w:r>
        <w:lastRenderedPageBreak/>
        <w:t xml:space="preserve">Wrongful Convictions </w:t>
      </w:r>
    </w:p>
    <w:p w14:paraId="59473D88" w14:textId="307411D8" w:rsidR="00FF6277" w:rsidRDefault="00205354" w:rsidP="00FF6277">
      <w:pPr>
        <w:pStyle w:val="Heading3"/>
      </w:pPr>
      <w:r>
        <w:lastRenderedPageBreak/>
        <w:t xml:space="preserve">Wrongful Conviction- </w:t>
      </w:r>
      <w:r w:rsidR="00FF6277">
        <w:t>AT: Democracy Stable</w:t>
      </w:r>
      <w:r>
        <w:t xml:space="preserve"> SQ</w:t>
      </w:r>
      <w:r w:rsidR="00FF6277">
        <w:t xml:space="preserve"> </w:t>
      </w:r>
    </w:p>
    <w:p w14:paraId="1D105E07" w14:textId="77777777" w:rsidR="00FF6277" w:rsidRDefault="00FF6277" w:rsidP="00FF6277">
      <w:pPr>
        <w:pStyle w:val="Heading4"/>
      </w:pPr>
      <w:r>
        <w:t>Democracy is fragile- Trump can erode it from the inside and spill over globally</w:t>
      </w:r>
    </w:p>
    <w:p w14:paraId="17F4014C" w14:textId="699E213A" w:rsidR="00FF6277" w:rsidRDefault="00FF6277" w:rsidP="00FF6277">
      <w:r>
        <w:rPr>
          <w:b/>
          <w:sz w:val="26"/>
          <w:szCs w:val="26"/>
        </w:rPr>
        <w:t>Grant, The GroundTruth Project Co-founder,19</w:t>
      </w:r>
      <w:r>
        <w:t xml:space="preserve"> (Kevin Douglas Grant, The GroundTruth Project Co-founder, October 17, 2019, The GroundTruth Project, “Democracy Undone: The Authoritarian’s Playbook – Overview”, </w:t>
      </w:r>
      <w:r>
        <w:rPr>
          <w:color w:val="000000"/>
        </w:rPr>
        <w:t>https://thegroundtruthproject.org/the-authoritarians-playbook-seven-steps-populists-worldwide-are-taking-to-undermine-the-democracies-that-elected-them/</w:t>
      </w:r>
      <w:r>
        <w:t>, accessed 7/15/20, EM)</w:t>
      </w:r>
    </w:p>
    <w:p w14:paraId="06E2706B" w14:textId="77777777" w:rsidR="00FF6277" w:rsidRDefault="00FF6277" w:rsidP="00FF6277">
      <w:r>
        <w:t>As Arturo Sarukhan, Mexico’s former ambassador to the United States, said on Twitter, “</w:t>
      </w:r>
      <w:r>
        <w:rPr>
          <w:b/>
          <w:u w:val="single"/>
        </w:rPr>
        <w:t>What happens to democracy in the US reverberates globally. Trump’s further erosion of democracy would have a domino effect felt around the world</w:t>
      </w:r>
      <w:r>
        <w:t>.”</w:t>
      </w:r>
    </w:p>
    <w:p w14:paraId="37FF6800" w14:textId="77777777" w:rsidR="00FF6277" w:rsidRDefault="00FF6277" w:rsidP="00FF6277"/>
    <w:p w14:paraId="5C45AB81" w14:textId="77777777" w:rsidR="00FF6277" w:rsidRDefault="00FF6277" w:rsidP="00FF6277">
      <w:r>
        <w:rPr>
          <w:b/>
          <w:u w:val="single"/>
        </w:rPr>
        <w:t>Democracy is fragile, and susceptible to attack from the inside. Drawing strength from economic resentment and underlying prejudice, populist authoritarian leaders have a knack for turning election victories into mandates to dramatically reshape power structures that reinforce the power of the few over the many.</w:t>
      </w:r>
      <w:r>
        <w:t xml:space="preserve"> That paradox is explained by Jan-Werner Müller, a political scientist at Princeton University, in his 2016 book What Is Populism? </w:t>
      </w:r>
    </w:p>
    <w:p w14:paraId="77D15617" w14:textId="77777777" w:rsidR="00FF6277" w:rsidRDefault="00FF6277" w:rsidP="00FF6277"/>
    <w:p w14:paraId="34E0B594" w14:textId="77777777" w:rsidR="00FF6277" w:rsidRDefault="00FF6277" w:rsidP="00FF6277">
      <w:r>
        <w:t>“In addition to being anti-elitist, populists are always anti-pluralist. Populists claim that they, and they alone, represent the people,” Müller wrote.</w:t>
      </w:r>
    </w:p>
    <w:p w14:paraId="2BA2C71C" w14:textId="77777777" w:rsidR="00FF6277" w:rsidRDefault="00FF6277" w:rsidP="00FF6277"/>
    <w:p w14:paraId="1EBD3692" w14:textId="77777777" w:rsidR="00FF6277" w:rsidRDefault="00FF6277" w:rsidP="00FF6277">
      <w:pPr>
        <w:rPr>
          <w:b/>
          <w:u w:val="single"/>
        </w:rPr>
      </w:pPr>
      <w:r>
        <w:t xml:space="preserve">In accepting the presidential nomination at the Republican National Convention, for example, </w:t>
      </w:r>
      <w:r>
        <w:rPr>
          <w:b/>
          <w:u w:val="single"/>
        </w:rPr>
        <w:t>President Trump proclaimed. “Nobody knows the system better than me, which is why I alone can fix it.”</w:t>
      </w:r>
    </w:p>
    <w:p w14:paraId="5BE337C2" w14:textId="77777777" w:rsidR="00FF6277" w:rsidRDefault="00FF6277" w:rsidP="00FF6277"/>
    <w:p w14:paraId="36DEFA93" w14:textId="77777777" w:rsidR="00FF6277" w:rsidRDefault="00FF6277" w:rsidP="00FF6277">
      <w:pPr>
        <w:rPr>
          <w:b/>
          <w:u w:val="single"/>
        </w:rPr>
      </w:pPr>
      <w:r>
        <w:rPr>
          <w:b/>
          <w:u w:val="single"/>
        </w:rPr>
        <w:t>But the logic goes deeper, with insinuations and outright proclamations that certain groups are more entitled to the resources and protections of the country.</w:t>
      </w:r>
    </w:p>
    <w:p w14:paraId="233F9EDD" w14:textId="77777777" w:rsidR="00FF6277" w:rsidRDefault="00FF6277" w:rsidP="00FF6277"/>
    <w:p w14:paraId="5ABE465F" w14:textId="45AA961B" w:rsidR="00FF6277" w:rsidRDefault="00FF6277" w:rsidP="00FF6277">
      <w:r>
        <w:rPr>
          <w:b/>
          <w:u w:val="single"/>
        </w:rPr>
        <w:t>In authoritarian governments and those leaning in that direction, even the veneer of protecting all of the people is ripped away, opening the door for mass incarceration, police and military executions and new laws limiting the freedom of religious and ethnic minorities.</w:t>
      </w:r>
      <w:r>
        <w:t xml:space="preserve"> Mass displacement in regions destabilized by violence, economic weakness and climate disruption only exacerbates this process, while those same leaders deny the science confirming climate change.</w:t>
      </w:r>
    </w:p>
    <w:p w14:paraId="30DFF2E7" w14:textId="7E5E235C" w:rsidR="004474E5" w:rsidRDefault="004474E5" w:rsidP="004474E5">
      <w:pPr>
        <w:pStyle w:val="Heading3"/>
      </w:pPr>
      <w:r>
        <w:lastRenderedPageBreak/>
        <w:t xml:space="preserve">Wrongful Conviction - </w:t>
      </w:r>
      <w:r>
        <w:t>Democracy Solves Climate</w:t>
      </w:r>
    </w:p>
    <w:p w14:paraId="1A76473C" w14:textId="77777777" w:rsidR="004474E5" w:rsidRDefault="004474E5" w:rsidP="004474E5">
      <w:pPr>
        <w:pStyle w:val="Heading4"/>
        <w:rPr>
          <w:sz w:val="30"/>
          <w:szCs w:val="30"/>
        </w:rPr>
      </w:pPr>
      <w:r>
        <w:rPr>
          <w:sz w:val="30"/>
          <w:szCs w:val="30"/>
        </w:rPr>
        <w:t>Democracies are better equipped to deal with climate change than authoritarian governments.</w:t>
      </w:r>
    </w:p>
    <w:p w14:paraId="46978EEE" w14:textId="77777777" w:rsidR="004474E5" w:rsidRDefault="004474E5" w:rsidP="004474E5">
      <w:pPr>
        <w:rPr>
          <w:b/>
          <w:sz w:val="26"/>
          <w:szCs w:val="26"/>
        </w:rPr>
      </w:pPr>
      <w:r>
        <w:rPr>
          <w:b/>
          <w:sz w:val="26"/>
          <w:szCs w:val="26"/>
        </w:rPr>
        <w:t>Looney, Naval Postgrad School Economics teacher, 16</w:t>
      </w:r>
    </w:p>
    <w:p w14:paraId="3F531AE6" w14:textId="77777777" w:rsidR="004474E5" w:rsidRDefault="004474E5" w:rsidP="004474E5">
      <w:pPr>
        <w:rPr>
          <w:sz w:val="24"/>
        </w:rPr>
      </w:pPr>
      <w:r>
        <w:rPr>
          <w:sz w:val="24"/>
        </w:rPr>
        <w:t xml:space="preserve">(Robert, 6/1/16, </w:t>
      </w:r>
      <w:r>
        <w:rPr>
          <w:i/>
          <w:sz w:val="24"/>
        </w:rPr>
        <w:t>Foreign Policy</w:t>
      </w:r>
      <w:r>
        <w:rPr>
          <w:sz w:val="24"/>
        </w:rPr>
        <w:t xml:space="preserve">, “Democracy Is the Answer to Climate Change”, </w:t>
      </w:r>
      <w:r>
        <w:rPr>
          <w:color w:val="000000"/>
          <w:sz w:val="24"/>
        </w:rPr>
        <w:t>https://foreignpolicy.com/2016/06/01/democracy-is-the-answer-to-climate-change/</w:t>
      </w:r>
      <w:r>
        <w:rPr>
          <w:sz w:val="24"/>
        </w:rPr>
        <w:t>, accessed 7/15/20, zC)</w:t>
      </w:r>
    </w:p>
    <w:p w14:paraId="723BCC9B" w14:textId="77777777" w:rsidR="004474E5" w:rsidRDefault="004474E5" w:rsidP="004474E5">
      <w:r>
        <w:t xml:space="preserve">In the United States, for example, </w:t>
      </w:r>
      <w:r>
        <w:rPr>
          <w:b/>
          <w:u w:val="single"/>
        </w:rPr>
        <w:t>lack of political will has forced policymakers to choose from a number of “second best” policies. Pressure from large domestic energy companies, anti-tax groups and climate change deniers — including many in Congress — has forced the executive branch to tax carbon indirectly or to subsidize wind and solar power.</w:t>
      </w:r>
      <w:r>
        <w:t xml:space="preserve"> Unfortunately, such measures do little to discourage the continued use of fossil fuels.</w:t>
      </w:r>
    </w:p>
    <w:p w14:paraId="7B255B74" w14:textId="77777777" w:rsidR="004474E5" w:rsidRDefault="004474E5" w:rsidP="004474E5">
      <w:pPr>
        <w:rPr>
          <w:b/>
          <w:u w:val="single"/>
        </w:rPr>
      </w:pPr>
      <w:r>
        <w:t xml:space="preserve">Pointing to the susceptibility of democratic governments to interest groups that have an economic stake in maintaining the status quo, environmental ethicist Dale Jamieson questions whether democracy is up to the challenge of climate change at all. Dale </w:t>
      </w:r>
      <w:r>
        <w:rPr>
          <w:b/>
          <w:u w:val="single"/>
        </w:rPr>
        <w:t>Jamieson questions whether democracy is up to the challenge of climate change at all. Scientist James Lovelock is similarly pessimistic, noting that human inertia is so great that, barring a catastrophic event, the best democratic governments can do is to adapt to climate change — i.e., building sea walls around vulnerable cities. Lovelock argues that, to make the hard decisions needed to deal effectively with climate change, it may be eventually be necessary to put democracy on hold, opting instead for some kind of environmental authoritarianism.</w:t>
      </w:r>
    </w:p>
    <w:p w14:paraId="633268CD" w14:textId="77777777" w:rsidR="004474E5" w:rsidRDefault="004474E5" w:rsidP="004474E5">
      <w:pPr>
        <w:rPr>
          <w:b/>
          <w:u w:val="single"/>
        </w:rPr>
      </w:pPr>
      <w:r>
        <w:t xml:space="preserve">But </w:t>
      </w:r>
      <w:r>
        <w:rPr>
          <w:rFonts w:ascii="Times New Roman" w:eastAsia="Times New Roman" w:hAnsi="Times New Roman" w:cs="Times New Roman"/>
          <w:b/>
          <w:u w:val="single"/>
        </w:rPr>
        <w:t>is it really necessary to choose between democracy and saving the planet?</w:t>
      </w:r>
      <w:r>
        <w:t xml:space="preserve"> </w:t>
      </w:r>
      <w:r>
        <w:rPr>
          <w:b/>
          <w:u w:val="single"/>
        </w:rPr>
        <w:t>A comprehensive review of various countries’ progress towards environmental sustainability suggests otherwise. In fact, the case against democracy as a vehicle for environmental sustainability may be grossly overstated, based less on the actions of the world’s democracies as a whole than on the failures of a conspicuous few.</w:t>
      </w:r>
    </w:p>
    <w:p w14:paraId="1FEB5D76" w14:textId="77777777" w:rsidR="004474E5" w:rsidRDefault="004474E5" w:rsidP="004474E5">
      <w:pPr>
        <w:rPr>
          <w:b/>
          <w:u w:val="single"/>
        </w:rPr>
      </w:pPr>
      <w:r>
        <w:rPr>
          <w:b/>
          <w:u w:val="single"/>
        </w:rPr>
        <w:t>Two data sets can help us identify the impact of democracy on climate change</w:t>
      </w:r>
      <w:r>
        <w:t>: The Economist Intelligence Unit’s (</w:t>
      </w:r>
      <w:r>
        <w:rPr>
          <w:b/>
          <w:u w:val="single"/>
        </w:rPr>
        <w:t>EIU) Democracy Index 2015 and the World Energy Council’s Energy Trilemma Index. The Democracy Index divides 167 countries into four main groups: full democracies, flawed democracies, hybrid regimes, and authoritarian regimes. The countries are ranked best (Norway) to worst (North Korea). The Energy Trilemma Index ranks 130 countries in terms of their progress in three key energy performance measures: energy security (the availability of reliable supplies of energy), energy equity (the domestic price of energy) and environmental sustainability (the effect of the country’s energy sources on greenhouse gas emissions). Based on these measures, countries are ranked from best (Switzerland) to worst (South Africa).</w:t>
      </w:r>
    </w:p>
    <w:p w14:paraId="236D3B4E" w14:textId="77777777" w:rsidR="004474E5" w:rsidRDefault="004474E5" w:rsidP="004474E5">
      <w:pPr>
        <w:rPr>
          <w:b/>
          <w:u w:val="single"/>
        </w:rPr>
      </w:pPr>
      <w:r>
        <w:rPr>
          <w:b/>
          <w:u w:val="single"/>
        </w:rPr>
        <w:t>In 2015, the twenty countries grouped by the EIU as democracies had an average ranking of 34.2 on the energy sustainability index, while the 27 authoritarian regimes for which climate data existed scored much worse, with an average ranking of 85.6.</w:t>
      </w:r>
      <w:r>
        <w:t xml:space="preserve"> In the two intermediate regime types, environmental sustainability fell off with democracy, with flawed democracies having an average ranking of 62.9 compared to hybrid countries at 67.5. </w:t>
      </w:r>
      <w:r>
        <w:rPr>
          <w:b/>
          <w:u w:val="single"/>
        </w:rPr>
        <w:t xml:space="preserve">The bad reputation of democracies in combatting </w:t>
      </w:r>
      <w:r>
        <w:rPr>
          <w:b/>
          <w:u w:val="single"/>
        </w:rPr>
        <w:lastRenderedPageBreak/>
        <w:t>climate change likely reflects the extremely low environmental sustainability scores of several of the more prominent members of this group, namely Canada (71), the United States (95), and Australia (110).</w:t>
      </w:r>
    </w:p>
    <w:p w14:paraId="3088E518" w14:textId="77777777" w:rsidR="004474E5" w:rsidRDefault="004474E5" w:rsidP="004474E5">
      <w:r>
        <w:rPr>
          <w:b/>
          <w:u w:val="single"/>
        </w:rPr>
        <w:t>As the name “Energy Trilemma” suggests, countries are forced to make trade-offs between energy security, energy equity, and environmental sustainability when determining their energy policies.</w:t>
      </w:r>
      <w:r>
        <w:t xml:space="preserve"> For instance, </w:t>
      </w:r>
      <w:r>
        <w:rPr>
          <w:b/>
          <w:u w:val="single"/>
        </w:rPr>
        <w:t>a country that prioritizes energy equity might opt to import cheap fossil fuels at the expense of energy security and environmental sustainability until it can develop low-cost green domestic energy sources.</w:t>
      </w:r>
      <w:r>
        <w:t xml:space="preserve"> Thus, the Energy Trilemma Index can provide insights not just into a country’s performance, but also into its priorities.</w:t>
      </w:r>
    </w:p>
    <w:p w14:paraId="0EC9A7AF" w14:textId="77777777" w:rsidR="004474E5" w:rsidRDefault="004474E5" w:rsidP="004474E5">
      <w:pPr>
        <w:rPr>
          <w:b/>
          <w:u w:val="single"/>
        </w:rPr>
      </w:pPr>
      <w:r>
        <w:t xml:space="preserve">As it turns out, </w:t>
      </w:r>
      <w:r>
        <w:rPr>
          <w:b/>
          <w:u w:val="single"/>
        </w:rPr>
        <w:t>countries that prioritized environmental sustainability ranked considerably higher on democracy than those that didn’t (75.4 vs. 103.5). These countries also had somewhat lower average per capita income ($25,015 vs. $37,095), demonstrating that taking action against climate change is far from a luxury that only the richest nations can afford.</w:t>
      </w:r>
    </w:p>
    <w:p w14:paraId="69328F82" w14:textId="77777777" w:rsidR="004474E5" w:rsidRDefault="004474E5" w:rsidP="004474E5">
      <w:pPr>
        <w:rPr>
          <w:b/>
          <w:u w:val="single"/>
        </w:rPr>
      </w:pPr>
      <w:r>
        <w:t xml:space="preserve">As these patterns clearly show, </w:t>
      </w:r>
      <w:r>
        <w:rPr>
          <w:rFonts w:ascii="Times New Roman" w:eastAsia="Times New Roman" w:hAnsi="Times New Roman" w:cs="Times New Roman"/>
          <w:b/>
          <w:u w:val="single"/>
        </w:rPr>
        <w:t xml:space="preserve">democracies are much more likely than authoritarian regimes to give environmental sustainability priority over either energy security or affordable energy supplies. </w:t>
      </w:r>
      <w:r>
        <w:rPr>
          <w:b/>
          <w:u w:val="single"/>
        </w:rPr>
        <w:t>This fact appears counter-intuitive, given that an often-cited flaw of democracy is that politicians are forced to make short-run decisions based on the election cycle. However, the effects of climate change, in the form of more severe storms, damaging droughts, falling agricultural yields, and increased flooding of coastal areas, are already being felt.</w:t>
      </w:r>
      <w:r>
        <w:t xml:space="preserve"> And </w:t>
      </w:r>
      <w:r>
        <w:rPr>
          <w:b/>
          <w:u w:val="single"/>
        </w:rPr>
        <w:t>voters whose lives and livelihoods are increasingly impacted by climate change are beginning to demand immediate action, effectively forcing politicians to take a longer-run view. As a result, democratic governments become more likely to comply with global agreements that set specific targets for carbon reduction.</w:t>
      </w:r>
    </w:p>
    <w:p w14:paraId="53B84B23" w14:textId="77777777" w:rsidR="004474E5" w:rsidRDefault="004474E5" w:rsidP="004474E5">
      <w:r>
        <w:t xml:space="preserve">Nevertheless, as noted above, several of the </w:t>
      </w:r>
      <w:r>
        <w:rPr>
          <w:b/>
          <w:u w:val="single"/>
        </w:rPr>
        <w:t>more prominent democracies — in particular, Canada, the United States, and Australia — have failed to adopt a national strategy for combatting climate change.</w:t>
      </w:r>
      <w:r>
        <w:t xml:space="preserve"> The governments of these countries have not only come under pressure from their domestic fossil fuel industries, but from other constituencies that oppose changing the status quo, due in particular to the perception that environmentalism comes at the expense of jobs and low energy prices. In the U.S., a long-term campaign of disinformation funded by the fossil fuel sector has given rise to a large group of climate-change naysayers, although their numbers may be shrinking.</w:t>
      </w:r>
    </w:p>
    <w:p w14:paraId="6027608B" w14:textId="77777777" w:rsidR="004474E5" w:rsidRDefault="004474E5" w:rsidP="004474E5">
      <w:pPr>
        <w:rPr>
          <w:b/>
          <w:u w:val="single"/>
        </w:rPr>
      </w:pPr>
      <w:r>
        <w:rPr>
          <w:b/>
          <w:u w:val="single"/>
        </w:rPr>
        <w:t>Even in these countries, however, democracy is at work subtly prodding the government toward greater environmental responsibility. For now, this work is taking place at the provincial, state, and municipal levels. British Columbia has imposed a carbon tax, California has initiated a cap-and-trade carbon plan, and Melbourne has set a goal of zero net emissions by 2020. In most cases where local action has taken place, the effects of climate change have already begun to affect people’s lives. Once the consequences of climate change begin to be felt in other parts of these countries, it is reasonable to expect movements of this sort to gain momentum.</w:t>
      </w:r>
    </w:p>
    <w:p w14:paraId="61AFA4BD" w14:textId="77777777" w:rsidR="004474E5" w:rsidRDefault="004474E5" w:rsidP="004474E5">
      <w:pPr>
        <w:rPr>
          <w:b/>
          <w:u w:val="single"/>
        </w:rPr>
      </w:pPr>
      <w:r>
        <w:rPr>
          <w:b/>
          <w:u w:val="single"/>
        </w:rPr>
        <w:t xml:space="preserve">Public concerns about the effects of climate change are unlikely to have the same force in authoritarian regimes as in democracies for two basic reasons. Authoritarian regimes almost invariably prioritize energy security and equity over environmental sustainability, since rising fuel prices risk social unrest. </w:t>
      </w:r>
      <w:r>
        <w:t xml:space="preserve">This overarching concern with keeping energy prices low encourages increased usage of fossil fuels and a bias against green technologies. </w:t>
      </w:r>
      <w:r>
        <w:rPr>
          <w:b/>
          <w:u w:val="single"/>
        </w:rPr>
        <w:t xml:space="preserve">At the same time, authoritarian </w:t>
      </w:r>
      <w:r>
        <w:rPr>
          <w:b/>
          <w:u w:val="single"/>
        </w:rPr>
        <w:lastRenderedPageBreak/>
        <w:t>governments control information through state dominance of the media and access to official data. For example, China recently reported a sizable drop in coal consumption to placate citizens’ concerns about the country’s choking air pollution.</w:t>
      </w:r>
      <w:r>
        <w:t xml:space="preserve"> According to the New York Times, however, </w:t>
      </w:r>
      <w:r>
        <w:rPr>
          <w:b/>
          <w:u w:val="single"/>
        </w:rPr>
        <w:t xml:space="preserve">Chinese coal consumption during the period of supposed reduction actually rose by 600 million tons, an increase equal to 70 percent of annual coal usage in the United States. Even as Chinese greenhouse gas emissions from coal grew, a Pew Research report noted the number of Chinese who expressed serious concern about global warming fell from 41 percent in 2010 to just 18 percent in 2015. </w:t>
      </w:r>
      <w:r>
        <w:rPr>
          <w:rFonts w:ascii="Times New Roman" w:eastAsia="Times New Roman" w:hAnsi="Times New Roman" w:cs="Times New Roman"/>
          <w:b/>
          <w:u w:val="single"/>
        </w:rPr>
        <w:t>The only explanation for the drop the report’s author could suggest was a relative lack of public discussion of climate change.</w:t>
      </w:r>
    </w:p>
    <w:p w14:paraId="2A4FC43F" w14:textId="77777777" w:rsidR="004474E5" w:rsidRDefault="004474E5" w:rsidP="004474E5">
      <w:pPr>
        <w:rPr>
          <w:b/>
          <w:u w:val="single"/>
        </w:rPr>
      </w:pPr>
      <w:r>
        <w:t xml:space="preserve">Fortunately, </w:t>
      </w:r>
      <w:r>
        <w:rPr>
          <w:rFonts w:ascii="Times New Roman" w:eastAsia="Times New Roman" w:hAnsi="Times New Roman" w:cs="Times New Roman"/>
          <w:b/>
          <w:u w:val="single"/>
        </w:rPr>
        <w:t>one of democracy’s greatest advantages is the ability of a free press to facilitate the dissemination of information and knowledge</w:t>
      </w:r>
      <w:r>
        <w:t xml:space="preserve">. </w:t>
      </w:r>
      <w:r>
        <w:rPr>
          <w:b/>
          <w:u w:val="single"/>
        </w:rPr>
        <w:t>Journalists have already begun to press home the direct link between human-induced climate change and weather-driven events, such as California’s record drought and the increased number and intensity of Australian bushfires. As voters become better informed, so too will democratic governments adopt better policies to promote climate stability.</w:t>
      </w:r>
    </w:p>
    <w:p w14:paraId="512879B4" w14:textId="77777777" w:rsidR="004474E5" w:rsidRDefault="004474E5" w:rsidP="004474E5">
      <w:pPr>
        <w:pStyle w:val="Heading4"/>
        <w:rPr>
          <w:sz w:val="30"/>
          <w:szCs w:val="30"/>
        </w:rPr>
      </w:pPr>
      <w:r>
        <w:rPr>
          <w:sz w:val="30"/>
          <w:szCs w:val="30"/>
        </w:rPr>
        <w:t>Only democracies can protect the environment, authoritarian backsliding causes climate change and terrorism because of regional instability</w:t>
      </w:r>
    </w:p>
    <w:p w14:paraId="18D1DFE9" w14:textId="77777777" w:rsidR="004474E5" w:rsidRDefault="004474E5" w:rsidP="004474E5">
      <w:pPr>
        <w:rPr>
          <w:b/>
          <w:sz w:val="26"/>
          <w:szCs w:val="26"/>
        </w:rPr>
      </w:pPr>
      <w:r>
        <w:rPr>
          <w:b/>
          <w:sz w:val="26"/>
          <w:szCs w:val="26"/>
        </w:rPr>
        <w:t>Gabaude, International Relations Professor, 9</w:t>
      </w:r>
    </w:p>
    <w:p w14:paraId="4687A83D" w14:textId="77777777" w:rsidR="004474E5" w:rsidRDefault="004474E5" w:rsidP="004474E5">
      <w:pPr>
        <w:rPr>
          <w:b/>
          <w:sz w:val="24"/>
        </w:rPr>
      </w:pPr>
      <w:r>
        <w:rPr>
          <w:sz w:val="24"/>
        </w:rPr>
        <w:t>(Alix, 8/1/19 Shuddhashar, “Democracy, Populism, Authoritarianism, and Climate Change”,</w:t>
      </w:r>
      <w:r>
        <w:rPr>
          <w:b/>
          <w:sz w:val="24"/>
        </w:rPr>
        <w:t xml:space="preserve"> </w:t>
      </w:r>
      <w:r>
        <w:rPr>
          <w:color w:val="000000"/>
          <w:sz w:val="24"/>
        </w:rPr>
        <w:t>https://shuddhashar.com/democracy-populism-authoritarianism-and-climate-change-alix-gabaude/</w:t>
      </w:r>
      <w:r>
        <w:rPr>
          <w:sz w:val="24"/>
        </w:rPr>
        <w:t>, accessed 7/15/20, zC)</w:t>
      </w:r>
    </w:p>
    <w:p w14:paraId="5D4E07A5" w14:textId="77777777" w:rsidR="004474E5" w:rsidRDefault="004474E5" w:rsidP="004474E5">
      <w:r>
        <w:rPr>
          <w:b/>
          <w:u w:val="single"/>
        </w:rPr>
        <w:t>One might argue that autocracies would be effective at fighting climate change because their centralisation and limited civil liberties help to implement costly and unpopular measures. Still, for a successful long-term implementation, there is a need for coordination and support from lower administrative levels</w:t>
      </w:r>
      <w:r>
        <w:t xml:space="preserve">[1]. </w:t>
      </w:r>
      <w:r>
        <w:rPr>
          <w:rFonts w:ascii="Times New Roman" w:eastAsia="Times New Roman" w:hAnsi="Times New Roman" w:cs="Times New Roman"/>
          <w:b/>
          <w:u w:val="single"/>
        </w:rPr>
        <w:t>Quantitative research on several countries’ policies has shown that authoritarian regimes do not do better than democracies at reducing their emissions and fighting climate change</w:t>
      </w:r>
      <w:r>
        <w:t>, on the contrary[2].</w:t>
      </w:r>
    </w:p>
    <w:p w14:paraId="15883CD4" w14:textId="77777777" w:rsidR="004474E5" w:rsidRDefault="004474E5" w:rsidP="004474E5">
      <w:pPr>
        <w:rPr>
          <w:b/>
          <w:u w:val="single"/>
        </w:rPr>
      </w:pPr>
      <w:r>
        <w:rPr>
          <w:rFonts w:ascii="Times New Roman" w:eastAsia="Times New Roman" w:hAnsi="Times New Roman" w:cs="Times New Roman"/>
          <w:b/>
          <w:u w:val="single"/>
        </w:rPr>
        <w:t>Protecting the environment, on the other hand, tends to be more of a priority for democracies.</w:t>
      </w:r>
      <w:r>
        <w:t xml:space="preserve"> </w:t>
      </w:r>
      <w:r>
        <w:rPr>
          <w:b/>
          <w:u w:val="single"/>
        </w:rPr>
        <w:t>This is thanks to their more effective governance, their higher engagement with the global climate institutions, voters’ pressure on the government, and the freedom of science and of information[3].</w:t>
      </w:r>
      <w:r>
        <w:t xml:space="preserve"> However, </w:t>
      </w:r>
      <w:r>
        <w:rPr>
          <w:b/>
          <w:u w:val="single"/>
        </w:rPr>
        <w:t>even with democracies, climate action can be difficult. Governance can be hindered by corruption, which can severely affect the progress of climate policies. Business interests can lobby against those policies, and governments can be short-sighted[4]. Moreover, democratisation and unsustainable economic development can lead to deforestation and other environmental degradations[5].</w:t>
      </w:r>
      <w:r>
        <w:t xml:space="preserve"> </w:t>
      </w:r>
      <w:r>
        <w:rPr>
          <w:rFonts w:ascii="Times New Roman" w:eastAsia="Times New Roman" w:hAnsi="Times New Roman" w:cs="Times New Roman"/>
          <w:b/>
          <w:u w:val="single"/>
        </w:rPr>
        <w:t>Still, democracies are the most effective system to fight climate change compared to authoritarian regimes</w:t>
      </w:r>
      <w:r>
        <w:t xml:space="preserve">. </w:t>
      </w:r>
      <w:r>
        <w:rPr>
          <w:b/>
          <w:u w:val="single"/>
        </w:rPr>
        <w:t>As a result, the sustainable democratisation of autocracies and the protection of democratic institutions is not just desirable, it is of the utmost importance[6].</w:t>
      </w:r>
    </w:p>
    <w:p w14:paraId="26925C78" w14:textId="77777777" w:rsidR="004474E5" w:rsidRDefault="004474E5" w:rsidP="004474E5">
      <w:r>
        <w:rPr>
          <w:b/>
          <w:u w:val="single"/>
        </w:rPr>
        <w:t xml:space="preserve">The consequences of the climate crisis and associated environmental stress are already being felt in some countries. This makes the process of democratisation even more important to enable appropriate responses to crises. Environmental crises are already leading to political destabilisation, </w:t>
      </w:r>
      <w:r>
        <w:rPr>
          <w:b/>
          <w:u w:val="single"/>
        </w:rPr>
        <w:lastRenderedPageBreak/>
        <w:t xml:space="preserve">such as in the Middle East where </w:t>
      </w:r>
      <w:r>
        <w:rPr>
          <w:rFonts w:ascii="Times New Roman" w:eastAsia="Times New Roman" w:hAnsi="Times New Roman" w:cs="Times New Roman"/>
          <w:b/>
          <w:u w:val="single"/>
        </w:rPr>
        <w:t>farmers joined ISIS following droughts</w:t>
      </w:r>
      <w:r>
        <w:t xml:space="preserve">[7]. </w:t>
      </w:r>
      <w:r>
        <w:rPr>
          <w:b/>
          <w:u w:val="single"/>
        </w:rPr>
        <w:t>The instrumentalisation of the 2015 so-called “migrant crisis” fuelled people’s sense of insecurity and instability. In the future, the number of environmentally displaced persons will grow. This could lead to a further instrumentalisation of people’s fears and growing nationalist and populist sentiments in more developed countries</w:t>
      </w:r>
      <w:r>
        <w:t>[8]. Additionally, national crises make governments vulnerable to becoming authoritarian regimes, as is the case with the Maldives, where the pro-climate Prime Minister was deposed in a coup and replaced by a new government whose goal is development, regardless of its sustainability[9].</w:t>
      </w:r>
    </w:p>
    <w:p w14:paraId="57F23E0F" w14:textId="77777777" w:rsidR="004474E5" w:rsidRPr="00B245FB" w:rsidRDefault="004474E5" w:rsidP="004474E5"/>
    <w:p w14:paraId="0343B6D2" w14:textId="77777777" w:rsidR="004474E5" w:rsidRPr="00E2667B" w:rsidRDefault="004474E5" w:rsidP="004474E5"/>
    <w:p w14:paraId="011F9B88" w14:textId="77777777" w:rsidR="004474E5" w:rsidRDefault="004474E5" w:rsidP="004474E5">
      <w:pPr>
        <w:pStyle w:val="Heading3"/>
        <w:rPr>
          <w:rFonts w:eastAsia="Times New Roman"/>
        </w:rPr>
      </w:pPr>
      <w:r>
        <w:rPr>
          <w:rFonts w:eastAsia="Times New Roman"/>
        </w:rPr>
        <w:lastRenderedPageBreak/>
        <w:t>Wrongful Convictions – Env. Democracy Sustainable</w:t>
      </w:r>
    </w:p>
    <w:p w14:paraId="349E5CD7" w14:textId="77777777" w:rsidR="004474E5" w:rsidRPr="00D70F69" w:rsidRDefault="004474E5" w:rsidP="004474E5">
      <w:pPr>
        <w:pStyle w:val="Heading4"/>
      </w:pPr>
      <w:r w:rsidRPr="00D70F69">
        <w:t>Eco-democracy addresses many of the flaws of liberal democracy</w:t>
      </w:r>
    </w:p>
    <w:p w14:paraId="3A5C72EF" w14:textId="77777777" w:rsidR="004474E5" w:rsidRPr="00A57E90" w:rsidRDefault="004474E5" w:rsidP="004474E5">
      <w:r w:rsidRPr="00A57E90">
        <w:rPr>
          <w:rStyle w:val="Style13ptBold"/>
        </w:rPr>
        <w:t>Mitchell, Stantec Senior Socioeconomic Impact Assessment Specialist, 06</w:t>
      </w:r>
      <w:r w:rsidRPr="00A57E90">
        <w:t xml:space="preserve"> [Ross E.</w:t>
      </w:r>
      <w:r>
        <w:t xml:space="preserve">, Alberta Innovates Environmental Sociologist, University of Alberta Resource Economics and Environmental Sociology International Relations Officer, 10-1-2006, Sage Publications, “Green politics or environmental blues? Analyzing ecological democracy,” </w:t>
      </w:r>
      <w:r w:rsidRPr="00B06ED0">
        <w:t>https://pdfs.semanticscholar.org/3ec3/5fcafdde3a3b70120cadf89276ce4af742ae.pdf</w:t>
      </w:r>
      <w:r>
        <w:t>, accessed 7-16-2020, JL]</w:t>
      </w:r>
    </w:p>
    <w:p w14:paraId="07B1FD1A" w14:textId="77777777" w:rsidR="004474E5" w:rsidRDefault="004474E5" w:rsidP="004474E5">
      <w:r w:rsidRPr="00D70F69">
        <w:rPr>
          <w:u w:val="single"/>
        </w:rPr>
        <w:t>Democracy has unquestionably achieved much around the globe during the past century. Nonetheless, some critics feel that its triumphs have mostly benefited privileged social sectors and wealthy nation-states</w:t>
      </w:r>
      <w:r>
        <w:t xml:space="preserve"> (Dryzek, 1996a; Korten, 1995). According to many observers, </w:t>
      </w:r>
      <w:r w:rsidRPr="00323F80">
        <w:rPr>
          <w:u w:val="single"/>
        </w:rPr>
        <w:t>political and neo-liberal institutional arrangements on a global scale have encouraged environmental degradation, shifting social and environmental costs to marginalized peoples</w:t>
      </w:r>
      <w:r>
        <w:t xml:space="preserve"> (Barndt, 1999; Boyce, 1994; Hill, 2001; Martinez-Alier, 2002; Morton, 2000; Obi, 2000; Stephen, 2001; Williams, 1998). Existing societal institutions have done little to stem the spread of environmental crises such as global warming, severe water scarcities, urban smog, unchecked deforestation, and escalating species extinctions (Beck, 1999; Bunker, 1985; Lafferty and Meadowcroft, 1996). </w:t>
      </w:r>
    </w:p>
    <w:p w14:paraId="52478824" w14:textId="77777777" w:rsidR="004474E5" w:rsidRDefault="004474E5" w:rsidP="004474E5">
      <w:r w:rsidRPr="00323F80">
        <w:rPr>
          <w:u w:val="single"/>
        </w:rPr>
        <w:t>While declining environmental conditions are worrisome, and although most democracies are inextricably linked to global markets and capitalism, it would be unfair to single out democracy, and in particular, “liberal” democracy, as the main culprit. Nonetheless, several troubling weaknesses in many liberal democratic arrangements can be singled out,</w:t>
      </w:r>
      <w:r>
        <w:t xml:space="preserve"> some of which could be at least indirectly linked to deteriorating environments. Some feel that </w:t>
      </w:r>
      <w:r w:rsidRPr="00323F80">
        <w:rPr>
          <w:u w:val="single"/>
        </w:rPr>
        <w:t xml:space="preserve">liberal democracies and their associated governance mechanisms have been ineffective at instilling participatory forms of decision-making </w:t>
      </w:r>
      <w:r>
        <w:t xml:space="preserve">(Dryzek, 1992) </w:t>
      </w:r>
      <w:r w:rsidRPr="00323F80">
        <w:rPr>
          <w:u w:val="single"/>
        </w:rPr>
        <w:t>or in balancing the “paradoxes” of liberal and democratic traditions</w:t>
      </w:r>
      <w:r>
        <w:t xml:space="preserve"> (Mouffe, 2000).1 </w:t>
      </w:r>
      <w:r w:rsidRPr="00323F80">
        <w:rPr>
          <w:u w:val="single"/>
        </w:rPr>
        <w:t xml:space="preserve">Elected representatives may not offer much for the common citizen to become involved beyond periodic elections, and often ignore minority voices </w:t>
      </w:r>
      <w:r>
        <w:t xml:space="preserve">(Williams, 1998). Other types of democracies also have their challenges. For instance, “direct democracy” with its face-to-face, participatory decision-making is relatively inefficient and infrequent beyond small-scale settings. Likewise, “deliberative democracy,” which maintains that decisions must be deliberated among free and equal citizens, has been criticized for, among other reasons, its ambiguity over concepts such as “rationality” and “equality” (Mouffe, 1999), or its failure to accommodate activist concerns (Young, 2001). Thus, </w:t>
      </w:r>
      <w:r w:rsidRPr="00323F80">
        <w:rPr>
          <w:u w:val="single"/>
        </w:rPr>
        <w:t>although liberal democracy is far from perfect, it has achieved widespread acceptance</w:t>
      </w:r>
      <w:r>
        <w:t xml:space="preserve"> and will likely continue its expansive trend, even among environmentalists. Indeed, the environmental philosopher Simon Hailwood maintains that green values can likely be accommodated within liberalism compared to radical alternatives such as eco-anarchism (Hailwood, 2004). </w:t>
      </w:r>
    </w:p>
    <w:p w14:paraId="1D3EA1AD" w14:textId="77777777" w:rsidR="004474E5" w:rsidRDefault="004474E5" w:rsidP="004474E5">
      <w:r>
        <w:t>It is also worth highlighting that the “neo-liberal” political and economic arrangements referred to above differ from liberal democracy. The former denotes a particular deference of free market, capitalist relations, or organizational mechanisms that are not necessarily compatible with liberal rights and guarantees for minorities and others. In short, many analysts blame our environmental woes more on these neo-liberal arrangements than due to weaknesses inherent to liberal democracies (e.g., Dryzek, 1992; Foster, 2000; Luke, 1999; cf. Ungaro, 2005).</w:t>
      </w:r>
    </w:p>
    <w:p w14:paraId="06CD2019" w14:textId="77777777" w:rsidR="004474E5" w:rsidRDefault="004474E5" w:rsidP="004474E5">
      <w:r>
        <w:lastRenderedPageBreak/>
        <w:t xml:space="preserve">Key distinctions among liberal and neo-liberal democracies notwithstanding, </w:t>
      </w:r>
      <w:r w:rsidRPr="00323F80">
        <w:rPr>
          <w:u w:val="single"/>
        </w:rPr>
        <w:t>such challenges have led to calls for ecological and civic renewal, and various “green” political arrangements to achieve these aims</w:t>
      </w:r>
      <w:r>
        <w:t xml:space="preserve"> (Dobson, 1995; Doherty and de Geus, 1996; Hailwood, 2004; Torgerson, 1999). </w:t>
      </w:r>
      <w:r w:rsidRPr="00323F80">
        <w:rPr>
          <w:u w:val="single"/>
        </w:rPr>
        <w:t>Dominant paradigms in these debates include sustainable development and ecological modernization</w:t>
      </w:r>
      <w:r>
        <w:t xml:space="preserve"> (Barry, 2003; Daly and Cobb, 1989; Jacobs, 1999; Novek and Kampen, 1992; Spaargaren and Mol, 1992), although these terms are often mistakenly equated; with the latter, </w:t>
      </w:r>
      <w:r w:rsidRPr="00323F80">
        <w:rPr>
          <w:u w:val="single"/>
        </w:rPr>
        <w:t>ecological problems are treated as “technocratic” issues to be solved with adequate ingenuity, resources, and political will, but often disregarding the ecological limits to industrial expansion or rejecting demands for social equity and justice</w:t>
      </w:r>
      <w:r>
        <w:t xml:space="preserve"> (Langhelle, 2000). Furthermore, according to some critics (Greer and Bruno, 1996; MacKendrick, 2003; Tokar, 1997), these theories or practices of environmental governance simply prescribe business as usual with a green tint. In contrast, </w:t>
      </w:r>
      <w:r w:rsidRPr="00323F80">
        <w:rPr>
          <w:u w:val="single"/>
        </w:rPr>
        <w:t>the concept of “ecological democracy” appears to evoke participatory governance centered on healthy environments, social justice, and vigorous citizenship.</w:t>
      </w:r>
      <w:r>
        <w:t xml:space="preserve"> However, given its similarity to related terms (e.g., political ecology, civic environmentalism, environmental justice), and lacking sufficient evidence to assess its utility, a sounder conceptualization of ecological democracy is seriously needed</w:t>
      </w:r>
    </w:p>
    <w:p w14:paraId="0655260B" w14:textId="77777777" w:rsidR="004474E5" w:rsidRDefault="004474E5" w:rsidP="004474E5"/>
    <w:p w14:paraId="0BA12800" w14:textId="77777777" w:rsidR="004474E5" w:rsidRDefault="004474E5" w:rsidP="004474E5">
      <w:pPr>
        <w:pStyle w:val="Heading4"/>
      </w:pPr>
      <w:r>
        <w:t>Eco-democracy improves existing structures and is sustainable</w:t>
      </w:r>
    </w:p>
    <w:p w14:paraId="40883DB9" w14:textId="77777777" w:rsidR="004474E5" w:rsidRPr="00A57E90" w:rsidRDefault="004474E5" w:rsidP="004474E5">
      <w:r w:rsidRPr="00A57E90">
        <w:rPr>
          <w:rStyle w:val="Style13ptBold"/>
        </w:rPr>
        <w:t>Mitchell, Stantec Senior Socioeconomic Impact Assessment Specialist, 06</w:t>
      </w:r>
      <w:r w:rsidRPr="00A57E90">
        <w:t xml:space="preserve"> [Ross E.</w:t>
      </w:r>
      <w:r>
        <w:t xml:space="preserve">, Alberta Innovates Environmental Sociologist, University of Alberta Resource Economics and Environmental Sociology International Relations Officer, 10-1-2006, Sage Publications, “Green politics or environmental blues? Analyzing ecological democracy,” </w:t>
      </w:r>
      <w:r w:rsidRPr="00B06ED0">
        <w:t>https://pdfs.semanticscholar.org/3ec3/5fcafdde3a3b70120cadf89276ce4af742ae.pdf</w:t>
      </w:r>
      <w:r>
        <w:t>, accessed 7-16-2020, JL]</w:t>
      </w:r>
    </w:p>
    <w:p w14:paraId="45B4C51D" w14:textId="77777777" w:rsidR="004474E5" w:rsidRDefault="004474E5" w:rsidP="004474E5">
      <w:r>
        <w:t xml:space="preserve">Facilitating factors </w:t>
      </w:r>
    </w:p>
    <w:p w14:paraId="42FABA62" w14:textId="77777777" w:rsidR="004474E5" w:rsidRDefault="004474E5" w:rsidP="004474E5">
      <w:r w:rsidRPr="00D70F69">
        <w:rPr>
          <w:u w:val="single"/>
        </w:rPr>
        <w:t>Many factors also facilitate ecological democracy. Five factors that may be particularly relevant include environmental altruism, discursive democracy, perceptions of environmental crises, cultures supportive of participatory democracy, and local–global networks.</w:t>
      </w:r>
      <w:r>
        <w:t xml:space="preserve"> </w:t>
      </w:r>
    </w:p>
    <w:p w14:paraId="27CD1B11" w14:textId="77777777" w:rsidR="004474E5" w:rsidRDefault="004474E5" w:rsidP="004474E5">
      <w:r w:rsidRPr="00D70F69">
        <w:rPr>
          <w:u w:val="single"/>
        </w:rPr>
        <w:t>First, environmental altruism, defined by one’s degree of selflessness with respect to the environment, would be necessary to the emergence of ecological democracy.</w:t>
      </w:r>
      <w:r>
        <w:t xml:space="preserve"> Recent theoretical work suggests, ironically, that </w:t>
      </w:r>
      <w:r w:rsidRPr="00D70F69">
        <w:rPr>
          <w:u w:val="single"/>
        </w:rPr>
        <w:t>the structurally disadvantaged in society are more likely to shun narrow self-interest in favor of positions that take into account the situation of others</w:t>
      </w:r>
      <w:r>
        <w:t xml:space="preserve"> (Stern et al., 1999). This may be especially so concerning one’s family, health, and the environment. For example, Linda Kalof and her colleagues measured altruism and other values on environmentalism (Kalof et al., 2002). Their findings included that </w:t>
      </w:r>
      <w:r w:rsidRPr="00D70F69">
        <w:rPr>
          <w:u w:val="single"/>
        </w:rPr>
        <w:t xml:space="preserve">White men as a group were less environmentally altruistic compared to other groups (e.g., Black women, Black men, Hispanic men, etc.). </w:t>
      </w:r>
      <w:r>
        <w:t xml:space="preserve">Some differences were attributable to factors such as risk perception, shared experiences of repression, and dependence on “common pool” resources (Kalof et al., 2002). In contrast, it has been contended that self-interest or neighborhood concerns may spur people into civic engagement more than altruism (Greenberg, 2001). </w:t>
      </w:r>
      <w:r w:rsidRPr="00D70F69">
        <w:rPr>
          <w:u w:val="single"/>
        </w:rPr>
        <w:t>Yet, given that certain groups have historically been subjects of discrimination and disadvantage (e.g., on the basis of gender, race, or ethnicity), it could be posited that their empowerment may facilitate altruistic dialogue</w:t>
      </w:r>
      <w:r>
        <w:t xml:space="preserve"> (Dietz et al., 2001). Nevertheless, altruistic dialogue among disempowered groups may only apply to certain circumstances or certain groups. It is also likely that some repressed groups, such as marginalized </w:t>
      </w:r>
      <w:r>
        <w:lastRenderedPageBreak/>
        <w:t xml:space="preserve">minority groups in large urban centers fighting for clean neighborhoods, would prefer retributive and compensatory justice for past wrongs rather than democratic dialogue with power holders. </w:t>
      </w:r>
    </w:p>
    <w:p w14:paraId="02943060" w14:textId="77777777" w:rsidR="004474E5" w:rsidRPr="00D70F69" w:rsidRDefault="004474E5" w:rsidP="004474E5">
      <w:pPr>
        <w:rPr>
          <w:u w:val="single"/>
        </w:rPr>
      </w:pPr>
      <w:r>
        <w:t xml:space="preserve">Second, </w:t>
      </w:r>
      <w:r w:rsidRPr="00D70F69">
        <w:rPr>
          <w:u w:val="single"/>
        </w:rPr>
        <w:t>ecological democracy could be facilitated by discursive modes of communication that invigorate citizenship to deal with environmental problems. Deliberation, or deliberative democracy as elucidated by sociologist Jurgen Habermas, among others, is open ¨ discussion and debate that attempts to produce reasonable, well-informed opinion within a representative body of citizens, or stakeholders.</w:t>
      </w:r>
      <w:r>
        <w:t xml:space="preserve"> Yet, few examples exist where the public has been adequately considered in environmental planning or policy setting exercises; by “adequate,” this should mean inclusiveness, openness, trust-building, and informed, among other values or conditions (Brechin, 1999; Hull and Robinson, 2000; Parkins and Mitchell, 2005; Warren, 1999; Williams, 1998; Young, 2000). </w:t>
      </w:r>
      <w:r w:rsidRPr="00D70F69">
        <w:rPr>
          <w:u w:val="single"/>
        </w:rPr>
        <w:t xml:space="preserve">Public input is often sacrificed by administrative operations of environmental agencies in the name of efficiency </w:t>
      </w:r>
      <w:r>
        <w:t xml:space="preserve">(Torgerson, 1999). </w:t>
      </w:r>
      <w:r w:rsidRPr="00D70F69">
        <w:rPr>
          <w:u w:val="single"/>
        </w:rPr>
        <w:t>In contrast, deliberative democracy insists on citizens as active players in decisionmaking rather than simply offering them the opportunity to become involved, with green spaces that are “inherently committed to [public] debate—not just to tolerate but to cultivate and provoke disagreements”</w:t>
      </w:r>
      <w:r>
        <w:t xml:space="preserve"> (Torgerson, 1999: 161), particularly among societal actors with heterogeneous views. </w:t>
      </w:r>
      <w:r w:rsidRPr="00D70F69">
        <w:rPr>
          <w:u w:val="single"/>
        </w:rPr>
        <w:t>Focused attention to expanded sources of “facts” and opinions from diverse sources to inform environmental decision-making could invoke discursive modes of democracy</w:t>
      </w:r>
      <w:r>
        <w:t xml:space="preserve"> (Dryzek, 1992). </w:t>
      </w:r>
      <w:r w:rsidRPr="00D70F69">
        <w:rPr>
          <w:u w:val="single"/>
        </w:rPr>
        <w:t>The development of a green public sphere would be premised upon an ecologically motivated citizenship, whereby citizens assume a strong sense of civic responsibility for developing local solutions to environmental problems</w:t>
      </w:r>
      <w:r>
        <w:t xml:space="preserve"> (Shutkin, 2000). </w:t>
      </w:r>
      <w:r w:rsidRPr="00D70F69">
        <w:rPr>
          <w:u w:val="single"/>
        </w:rPr>
        <w:t>Participating in environmental issues may also instill greater confidence in government and industry. Hence, discursive democracy may counter the failure of market and state decisionmakers to facilitate citizenship in forestry and watershed management.</w:t>
      </w:r>
    </w:p>
    <w:p w14:paraId="0A107426" w14:textId="77777777" w:rsidR="004474E5" w:rsidRDefault="004474E5" w:rsidP="004474E5">
      <w:r>
        <w:t xml:space="preserve"> Third, </w:t>
      </w:r>
      <w:r w:rsidRPr="00D70F69">
        <w:rPr>
          <w:u w:val="single"/>
        </w:rPr>
        <w:t>studies of environmental justice imply that perceptions of environmental crisis re-stimulate the pursuit of democratic principles, and ultimately improve mediating structures through the mobilization of concerned citizens</w:t>
      </w:r>
      <w:r>
        <w:t xml:space="preserve"> (Capek, 1993; Shrader-Frechette, 2002).5 This literature also suggests that </w:t>
      </w:r>
      <w:r w:rsidRPr="00D70F69">
        <w:rPr>
          <w:u w:val="single"/>
        </w:rPr>
        <w:t>those suffering from environmental injustices should be afforded greater influence in decision-making. Moreover, many citizens are more likely to become involved in issues involving neighborhood and family health, which describes many ecological dilemmas</w:t>
      </w:r>
      <w:r>
        <w:t xml:space="preserve"> (see, e.g., Shutkin, 2000; Torgerson, 1999). </w:t>
      </w:r>
      <w:r w:rsidRPr="00D70F69">
        <w:rPr>
          <w:u w:val="single"/>
        </w:rPr>
        <w:t>Where citizens have suffered ecological and social injustices, they may feel intrinsically motivated to become environmental advocates, possibly leading to formalize environmental management mechanisms. Examples in the United States include the late Judi Bari of EarthFirst! and Lois Marie Gibbs of the Citizens Clearinghouse for Hazardous Waste. Environmental advocates often remain politically active long after their initial activism, extending their democratic experiences into other arenas of benefit to society</w:t>
      </w:r>
      <w:r w:rsidRPr="00D70F69">
        <w:t xml:space="preserve"> (</w:t>
      </w:r>
      <w:r>
        <w:t xml:space="preserve">Krauss, 1989). </w:t>
      </w:r>
    </w:p>
    <w:p w14:paraId="34447BCC" w14:textId="77777777" w:rsidR="004474E5" w:rsidRPr="00D70F69" w:rsidRDefault="004474E5" w:rsidP="004474E5">
      <w:pPr>
        <w:rPr>
          <w:u w:val="single"/>
        </w:rPr>
      </w:pPr>
      <w:r w:rsidRPr="00D70F69">
        <w:rPr>
          <w:u w:val="single"/>
        </w:rPr>
        <w:t>Fourth, certain cultures supportive of participatory democracy may be more amenable to ecological democracy. In some societal circles where exceptionally formalized, technocratic decision-making predominates</w:t>
      </w:r>
      <w:r>
        <w:t xml:space="preserve">, and as discussed above in the fourth hindering factor, </w:t>
      </w:r>
      <w:r w:rsidRPr="00D70F69">
        <w:rPr>
          <w:u w:val="single"/>
        </w:rPr>
        <w:t xml:space="preserve">participation in environmental planning and management may be restricted. </w:t>
      </w:r>
      <w:r>
        <w:t xml:space="preserve">Impediments for public participation may also arise due to cultural factors (for example, language difficulties or traditional protocol may prevent certain individuals from speaking out), procedural impediments (such as when allotted time for discussion and debate is limited), or strategic motives (inadequate communication and information sharing may be used to group advantage). </w:t>
      </w:r>
      <w:r w:rsidRPr="00D70F69">
        <w:rPr>
          <w:u w:val="single"/>
        </w:rPr>
        <w:t xml:space="preserve">In contrast, some cultures have a shared tradition of strong cooperative relationships and organizational practices, collective land ownership and management, and well-engrained cultural </w:t>
      </w:r>
      <w:r w:rsidRPr="00D70F69">
        <w:rPr>
          <w:u w:val="single"/>
        </w:rPr>
        <w:lastRenderedPageBreak/>
        <w:t>patterns that reinforce long-held local decision-making mechanisms</w:t>
      </w:r>
      <w:r>
        <w:t xml:space="preserve"> (Cohen, 1999). </w:t>
      </w:r>
      <w:r w:rsidRPr="00D70F69">
        <w:rPr>
          <w:u w:val="single"/>
        </w:rPr>
        <w:t>Together with the deference for generational benefits (i.e., long term) exhibited by certain cultures, these socio-cultural strengths may actually favor ecological democracy under the right set of circumstances.</w:t>
      </w:r>
      <w:r w:rsidRPr="00D70F69">
        <w:t xml:space="preserve">6 </w:t>
      </w:r>
    </w:p>
    <w:p w14:paraId="424E0F1A" w14:textId="77777777" w:rsidR="004474E5" w:rsidRPr="00B55AD5" w:rsidRDefault="004474E5" w:rsidP="004474E5">
      <w:r w:rsidRPr="00D70F69">
        <w:rPr>
          <w:u w:val="single"/>
        </w:rPr>
        <w:t xml:space="preserve">Fifth, the rise and spread of local–global social networks may facilitate ecological democracy. Such networks include anti-globalization social movements (e.g., anti-World Trade Organization (WTO) protests and the Chiapas rebellion), as well as localized struggles such as NIMBYs (Not In My Backyard). </w:t>
      </w:r>
      <w:r>
        <w:t xml:space="preserve">While this seems to refute arguments made earlier about ineffective mediating structures, </w:t>
      </w:r>
      <w:r w:rsidRPr="00D70F69">
        <w:rPr>
          <w:u w:val="single"/>
        </w:rPr>
        <w:t>social networks have helped to advance international awareness on socio-ecological challenges, recent or not</w:t>
      </w:r>
      <w:r>
        <w:t xml:space="preserve"> (Dreiling and Wolf, 2001; Gills, 2000; Lipschutz and Mayer, 1996; Princen and Finger, 1994). </w:t>
      </w:r>
      <w:r w:rsidRPr="00D70F69">
        <w:rPr>
          <w:u w:val="single"/>
        </w:rPr>
        <w:t xml:space="preserve">The rapid rise in communication technologies has reached even the remotest corners of the globe, and brought the plights of isolated people to the media forefront. For example, during the 1990s, the case of the Ogoni of Nigeria and Shell Oil made international headlines as local and global NGOs worked together </w:t>
      </w:r>
      <w:r>
        <w:t xml:space="preserve">(Obi, 2000). Still, </w:t>
      </w:r>
      <w:r w:rsidRPr="00D70F69">
        <w:rPr>
          <w:u w:val="single"/>
        </w:rPr>
        <w:t>while NGOs may represent an important option for citizens to address environmental injustice</w:t>
      </w:r>
      <w:r>
        <w:t xml:space="preserve"> (Shrader-Frechette, 2002), </w:t>
      </w:r>
      <w:r w:rsidRPr="00D70F69">
        <w:rPr>
          <w:u w:val="single"/>
        </w:rPr>
        <w:t>they may be most applicable to citizens of those nations with unsupportive or authoritarian governments. Under such circumstances, local–global networks could foster solidarity or shared citizenship across racial, gender, class, and North–South lines.</w:t>
      </w:r>
      <w:r>
        <w:t xml:space="preserve"> This occurred to some extent during the 1992 Rio Summit on the United Nations Conference on Environment and Development (UNCED).</w:t>
      </w:r>
    </w:p>
    <w:p w14:paraId="47A62668" w14:textId="77777777" w:rsidR="004474E5" w:rsidRPr="000C6D46" w:rsidRDefault="004474E5" w:rsidP="004474E5"/>
    <w:p w14:paraId="4C1C50BA" w14:textId="77777777" w:rsidR="004474E5" w:rsidRDefault="004474E5" w:rsidP="004474E5">
      <w:pPr>
        <w:pStyle w:val="Heading3"/>
        <w:rPr>
          <w:rFonts w:eastAsia="Times New Roman"/>
        </w:rPr>
      </w:pPr>
      <w:r>
        <w:rPr>
          <w:rFonts w:eastAsia="Times New Roman"/>
        </w:rPr>
        <w:lastRenderedPageBreak/>
        <w:t>Wrongful Convictions – AT: Authoritarianism Good -Environment</w:t>
      </w:r>
    </w:p>
    <w:p w14:paraId="7551CD74" w14:textId="77777777" w:rsidR="004474E5" w:rsidRDefault="004474E5" w:rsidP="004474E5">
      <w:pPr>
        <w:pStyle w:val="Heading4"/>
      </w:pPr>
      <w:r w:rsidRPr="00DD7D89">
        <w:t xml:space="preserve">Eco-Authoritarianism </w:t>
      </w:r>
      <w:r>
        <w:t>will lead to poor responses to environmental crises and would exacerbate the problems of society right now leading to even worse conditions</w:t>
      </w:r>
    </w:p>
    <w:p w14:paraId="5E43CBD5" w14:textId="77777777" w:rsidR="004474E5" w:rsidRPr="00DD7D89" w:rsidRDefault="004474E5" w:rsidP="004474E5">
      <w:pPr>
        <w:rPr>
          <w:rStyle w:val="Style13ptBold"/>
        </w:rPr>
      </w:pPr>
      <w:r w:rsidRPr="00DD7D89">
        <w:rPr>
          <w:rStyle w:val="Style13ptBold"/>
        </w:rPr>
        <w:t>Shahar, University of New Orleans assistant professor of philosophy, 15</w:t>
      </w:r>
    </w:p>
    <w:p w14:paraId="69EF8B69" w14:textId="77777777" w:rsidR="004474E5" w:rsidRPr="00DD7D89" w:rsidRDefault="004474E5" w:rsidP="004474E5">
      <w:r>
        <w:t>(</w:t>
      </w:r>
      <w:r w:rsidRPr="00DD7D89">
        <w:t>Dan Coby Shahar, June 2015, The W</w:t>
      </w:r>
      <w:r>
        <w:t xml:space="preserve">hite Horse Press, “Rejecting Eco-Authoritarianism, Again”, Vol. 24, P. 24-25, WY) </w:t>
      </w:r>
    </w:p>
    <w:p w14:paraId="25C41D9A" w14:textId="77777777" w:rsidR="004474E5" w:rsidRDefault="004474E5" w:rsidP="004474E5">
      <w:r>
        <w:t xml:space="preserve">If this is true, then </w:t>
      </w:r>
      <w:r w:rsidRPr="00DD7D89">
        <w:rPr>
          <w:u w:val="single"/>
        </w:rPr>
        <w:t xml:space="preserve">the remaining case for Eco-Authoritarianism crumbles. </w:t>
      </w:r>
      <w:r w:rsidRPr="00DD7D89">
        <w:t>In the</w:t>
      </w:r>
      <w:r>
        <w:t xml:space="preserve"> </w:t>
      </w:r>
      <w:r w:rsidRPr="00DD7D89">
        <w:t>previous section</w:t>
      </w:r>
      <w:r>
        <w:t xml:space="preserve">, I argued that a shift toward authoritarianism could be defended if the capacity to impose politically unpopular policies were sufficiently valuable, </w:t>
      </w:r>
      <w:r w:rsidRPr="00DD7D89">
        <w:rPr>
          <w:u w:val="single"/>
        </w:rPr>
        <w:t>even if it turned</w:t>
      </w:r>
      <w:r>
        <w:rPr>
          <w:u w:val="single"/>
        </w:rPr>
        <w:t xml:space="preserve"> </w:t>
      </w:r>
      <w:r w:rsidRPr="00DD7D89">
        <w:rPr>
          <w:u w:val="single"/>
        </w:rPr>
        <w:t>out that an Eco-Authoritarian regime would likely be populated by administrators of</w:t>
      </w:r>
      <w:r>
        <w:rPr>
          <w:u w:val="single"/>
        </w:rPr>
        <w:t xml:space="preserve"> </w:t>
      </w:r>
      <w:r w:rsidRPr="00DD7D89">
        <w:rPr>
          <w:u w:val="single"/>
        </w:rPr>
        <w:t>imperfect capacity and benevolence. But now it seems that this apparent advantage is</w:t>
      </w:r>
      <w:r>
        <w:rPr>
          <w:u w:val="single"/>
        </w:rPr>
        <w:t xml:space="preserve"> </w:t>
      </w:r>
      <w:r w:rsidRPr="00DD7D89">
        <w:rPr>
          <w:u w:val="single"/>
        </w:rPr>
        <w:t>essentially worthless</w:t>
      </w:r>
      <w:r>
        <w:t xml:space="preserve">. In order to employ its capacity to impose favored measures in the face of public opposition, </w:t>
      </w:r>
      <w:r w:rsidRPr="00DD7D89">
        <w:rPr>
          <w:u w:val="single"/>
        </w:rPr>
        <w:t>an authoritarian regime would have to employ repressive tactics that</w:t>
      </w:r>
      <w:r>
        <w:rPr>
          <w:u w:val="single"/>
        </w:rPr>
        <w:t xml:space="preserve"> </w:t>
      </w:r>
      <w:r w:rsidRPr="00DD7D89">
        <w:rPr>
          <w:u w:val="single"/>
        </w:rPr>
        <w:t>would predictably erode its efficacy in formulating and implementing policies</w:t>
      </w:r>
      <w:r>
        <w:t xml:space="preserve">. And if it did not employ this capacity, then it would find itself bound by the same political realities that supposedly render democratic market liberal regimes incapable of addressing the environmental crisis. </w:t>
      </w:r>
      <w:r w:rsidRPr="00DD7D89">
        <w:rPr>
          <w:u w:val="single"/>
        </w:rPr>
        <w:t>At best, then, Eco-Authoritarianism would seem to be capable of more</w:t>
      </w:r>
      <w:r>
        <w:rPr>
          <w:u w:val="single"/>
        </w:rPr>
        <w:t xml:space="preserve"> </w:t>
      </w:r>
      <w:r w:rsidRPr="00DD7D89">
        <w:rPr>
          <w:u w:val="single"/>
        </w:rPr>
        <w:t>or less matching the performance of market liberalism: at worst, its officials would find</w:t>
      </w:r>
      <w:r>
        <w:rPr>
          <w:u w:val="single"/>
        </w:rPr>
        <w:t xml:space="preserve"> </w:t>
      </w:r>
      <w:r w:rsidRPr="00DD7D89">
        <w:rPr>
          <w:u w:val="single"/>
        </w:rPr>
        <w:t>themselves trapped in a bubble of suppressive, uncompromising inefficacy.</w:t>
      </w:r>
      <w:r>
        <w:rPr>
          <w:u w:val="single"/>
        </w:rPr>
        <w:t xml:space="preserve"> </w:t>
      </w:r>
      <w:r w:rsidRPr="00DD7D89">
        <w:rPr>
          <w:u w:val="single"/>
        </w:rPr>
        <w:t>If Eco-Authoritarians cannot claim the capacity to implement unpopular policies as a</w:t>
      </w:r>
      <w:r>
        <w:rPr>
          <w:u w:val="single"/>
        </w:rPr>
        <w:t xml:space="preserve"> </w:t>
      </w:r>
      <w:r w:rsidRPr="00DD7D89">
        <w:rPr>
          <w:u w:val="single"/>
        </w:rPr>
        <w:t>point in their favor, then it is not clear what they can say to assuage our concerns about</w:t>
      </w:r>
      <w:r>
        <w:rPr>
          <w:u w:val="single"/>
        </w:rPr>
        <w:t xml:space="preserve"> </w:t>
      </w:r>
      <w:r w:rsidRPr="00DD7D89">
        <w:rPr>
          <w:u w:val="single"/>
        </w:rPr>
        <w:t>giving essentially unlimited power to only moderately capable and imperfectly benevolent</w:t>
      </w:r>
      <w:r>
        <w:rPr>
          <w:u w:val="single"/>
        </w:rPr>
        <w:t xml:space="preserve"> </w:t>
      </w:r>
      <w:r w:rsidRPr="00DD7D89">
        <w:rPr>
          <w:u w:val="single"/>
        </w:rPr>
        <w:t>administrators</w:t>
      </w:r>
      <w:r>
        <w:t xml:space="preserve">. The objection would not necessarily be that a political transition of this sort would be disastrous: after all, I </w:t>
      </w:r>
      <w:r w:rsidRPr="00DD7D89">
        <w:rPr>
          <w:u w:val="single"/>
        </w:rPr>
        <w:t>have suggested that “hybridized” authoritarian regimes might</w:t>
      </w:r>
      <w:r>
        <w:rPr>
          <w:u w:val="single"/>
        </w:rPr>
        <w:t xml:space="preserve"> </w:t>
      </w:r>
      <w:r w:rsidRPr="00DD7D89">
        <w:rPr>
          <w:u w:val="single"/>
        </w:rPr>
        <w:t>potentially be able to achieve a level of functioning equal to that enjoyed in democratic</w:t>
      </w:r>
      <w:r>
        <w:rPr>
          <w:u w:val="single"/>
        </w:rPr>
        <w:t xml:space="preserve"> </w:t>
      </w:r>
      <w:r w:rsidRPr="00DD7D89">
        <w:rPr>
          <w:u w:val="single"/>
        </w:rPr>
        <w:t>countries. Rather, the point would be that this transition would come at a clear cost – namely,</w:t>
      </w:r>
      <w:r>
        <w:rPr>
          <w:u w:val="single"/>
        </w:rPr>
        <w:t xml:space="preserve"> </w:t>
      </w:r>
      <w:r w:rsidRPr="00DD7D89">
        <w:rPr>
          <w:u w:val="single"/>
        </w:rPr>
        <w:t>our individual and political rights – and it would present us with no clear benefit.</w:t>
      </w:r>
      <w:r>
        <w:rPr>
          <w:u w:val="single"/>
        </w:rPr>
        <w:t xml:space="preserve"> </w:t>
      </w:r>
      <w:r>
        <w:t>Accordingly, it is hard to see why we should accept Eco-Authoritarianism even if it looks like democratic market liberalism is unlikely to deliver favorable results.</w:t>
      </w:r>
    </w:p>
    <w:p w14:paraId="6FB06A58" w14:textId="77777777" w:rsidR="004474E5" w:rsidRDefault="004474E5" w:rsidP="004474E5">
      <w:r>
        <w:t>Conclusion</w:t>
      </w:r>
    </w:p>
    <w:p w14:paraId="5DECA428" w14:textId="77777777" w:rsidR="004474E5" w:rsidRPr="00DD7D89" w:rsidRDefault="004474E5" w:rsidP="004474E5">
      <w:pPr>
        <w:rPr>
          <w:u w:val="single"/>
        </w:rPr>
      </w:pPr>
      <w:r>
        <w:t xml:space="preserve">As we have seen, continuing concerns about an impending environmental crisis have led to the re-emergence of authoritarian prescriptions in today’s public discourse. This time, however, Eco-Authoritarians have learned from the mistakes of their intellectual predecessors and offer proposals that dodge many of the criticisms that rightly felled the arguments of Heilbroner and Ophuls. Contemporary Eco-Authoritarianism cannot be dismissed simply by pointing to the failures of 20th century socialism as a real-world test of central planning. In this essay, I have attempted to take today’s </w:t>
      </w:r>
      <w:r w:rsidRPr="00DD7D89">
        <w:rPr>
          <w:u w:val="single"/>
        </w:rPr>
        <w:t>Eco-Authoritarians on their own terms</w:t>
      </w:r>
      <w:r>
        <w:rPr>
          <w:u w:val="single"/>
        </w:rPr>
        <w:t xml:space="preserve"> </w:t>
      </w:r>
      <w:r w:rsidRPr="00DD7D89">
        <w:rPr>
          <w:u w:val="single"/>
        </w:rPr>
        <w:t>in order to show why authoritarianism is still not the right answer to the problems embodied</w:t>
      </w:r>
      <w:r>
        <w:rPr>
          <w:u w:val="single"/>
        </w:rPr>
        <w:t xml:space="preserve"> </w:t>
      </w:r>
      <w:r w:rsidRPr="00DD7D89">
        <w:rPr>
          <w:u w:val="single"/>
        </w:rPr>
        <w:t>by our current ecological predicament. Even if market liberal democracies will predictably</w:t>
      </w:r>
      <w:r>
        <w:rPr>
          <w:u w:val="single"/>
        </w:rPr>
        <w:t xml:space="preserve"> </w:t>
      </w:r>
      <w:r w:rsidRPr="00DD7D89">
        <w:rPr>
          <w:u w:val="single"/>
        </w:rPr>
        <w:t>perform poorly in responding to an impending environmental crisis, it is unlikely that a</w:t>
      </w:r>
      <w:r>
        <w:rPr>
          <w:u w:val="single"/>
        </w:rPr>
        <w:t xml:space="preserve"> </w:t>
      </w:r>
      <w:r w:rsidRPr="00DD7D89">
        <w:rPr>
          <w:u w:val="single"/>
        </w:rPr>
        <w:t>transition to authoritarianism would produce better results, and there is good reason to think</w:t>
      </w:r>
      <w:r>
        <w:rPr>
          <w:u w:val="single"/>
        </w:rPr>
        <w:t xml:space="preserve"> </w:t>
      </w:r>
      <w:r w:rsidRPr="00DD7D89">
        <w:rPr>
          <w:u w:val="single"/>
        </w:rPr>
        <w:t>that such a transition would merely exacerbate our problems. Accordingly, I think it is fair to</w:t>
      </w:r>
      <w:r>
        <w:rPr>
          <w:u w:val="single"/>
        </w:rPr>
        <w:t xml:space="preserve"> </w:t>
      </w:r>
      <w:r w:rsidRPr="00DD7D89">
        <w:rPr>
          <w:u w:val="single"/>
        </w:rPr>
        <w:t>say once again that if a solution is to be found to the environmental crisis, it will not come</w:t>
      </w:r>
      <w:r>
        <w:rPr>
          <w:u w:val="single"/>
        </w:rPr>
        <w:t xml:space="preserve"> </w:t>
      </w:r>
      <w:r w:rsidRPr="00DD7D89">
        <w:rPr>
          <w:u w:val="single"/>
        </w:rPr>
        <w:t>from Eco-Authoritarianism</w:t>
      </w:r>
    </w:p>
    <w:p w14:paraId="3C4D6B71" w14:textId="77777777" w:rsidR="004474E5" w:rsidRDefault="004474E5" w:rsidP="00FF6277"/>
    <w:p w14:paraId="4D53F16D" w14:textId="15792B11" w:rsidR="00E348F9" w:rsidRDefault="00E348F9" w:rsidP="00E348F9">
      <w:pPr>
        <w:pStyle w:val="Heading2"/>
      </w:pPr>
      <w:r>
        <w:lastRenderedPageBreak/>
        <w:t>Science Literacy</w:t>
      </w:r>
    </w:p>
    <w:p w14:paraId="56C234A6" w14:textId="77777777" w:rsidR="000640D4" w:rsidRDefault="000640D4" w:rsidP="000640D4">
      <w:pPr>
        <w:pStyle w:val="Heading3"/>
      </w:pPr>
      <w:r w:rsidRPr="004470A1">
        <w:lastRenderedPageBreak/>
        <w:t>1AC – Science Literacy ADV</w:t>
      </w:r>
    </w:p>
    <w:p w14:paraId="736AAA6E" w14:textId="77777777" w:rsidR="000640D4" w:rsidRPr="0007423E" w:rsidRDefault="000640D4" w:rsidP="000640D4"/>
    <w:p w14:paraId="5E192DE7" w14:textId="1E47A998" w:rsidR="000640D4" w:rsidRPr="00CB2805" w:rsidRDefault="000640D4" w:rsidP="000640D4">
      <w:pPr>
        <w:pStyle w:val="Heading4"/>
        <w:rPr>
          <w:rFonts w:cs="Times New Roman"/>
        </w:rPr>
      </w:pPr>
      <w:r>
        <w:rPr>
          <w:rFonts w:cs="Times New Roman"/>
        </w:rPr>
        <w:t>Current forensic</w:t>
      </w:r>
      <w:r w:rsidRPr="00CB2805">
        <w:rPr>
          <w:rFonts w:cs="Times New Roman"/>
        </w:rPr>
        <w:t xml:space="preserve"> standards</w:t>
      </w:r>
      <w:r>
        <w:rPr>
          <w:rFonts w:cs="Times New Roman"/>
        </w:rPr>
        <w:t xml:space="preserve"> are failing to ensure accuracy in expert scientific testimony – only oversight and</w:t>
      </w:r>
      <w:r w:rsidRPr="00CB2805">
        <w:rPr>
          <w:rFonts w:cs="Times New Roman"/>
        </w:rPr>
        <w:t xml:space="preserve"> improve</w:t>
      </w:r>
      <w:r>
        <w:rPr>
          <w:rFonts w:cs="Times New Roman"/>
        </w:rPr>
        <w:t>d</w:t>
      </w:r>
      <w:r w:rsidRPr="00CB2805">
        <w:rPr>
          <w:rFonts w:cs="Times New Roman"/>
        </w:rPr>
        <w:t xml:space="preserve"> </w:t>
      </w:r>
      <w:r>
        <w:rPr>
          <w:rFonts w:cs="Times New Roman"/>
        </w:rPr>
        <w:t xml:space="preserve">accountability can </w:t>
      </w:r>
      <w:r w:rsidR="00622B3F">
        <w:rPr>
          <w:rFonts w:cs="Times New Roman"/>
        </w:rPr>
        <w:t xml:space="preserve">improve science literacy and </w:t>
      </w:r>
      <w:r>
        <w:rPr>
          <w:rFonts w:cs="Times New Roman"/>
        </w:rPr>
        <w:t xml:space="preserve">resolve the failings under the </w:t>
      </w:r>
      <w:r w:rsidR="00622B3F">
        <w:rPr>
          <w:rFonts w:cs="Times New Roman"/>
        </w:rPr>
        <w:t xml:space="preserve">current </w:t>
      </w:r>
      <w:r>
        <w:rPr>
          <w:rFonts w:cs="Times New Roman"/>
        </w:rPr>
        <w:t xml:space="preserve">Daubert </w:t>
      </w:r>
      <w:r w:rsidR="003D373E">
        <w:rPr>
          <w:rFonts w:cs="Times New Roman"/>
        </w:rPr>
        <w:t xml:space="preserve">admissibility </w:t>
      </w:r>
      <w:r>
        <w:rPr>
          <w:rFonts w:cs="Times New Roman"/>
        </w:rPr>
        <w:t>standard</w:t>
      </w:r>
    </w:p>
    <w:p w14:paraId="0702DF26" w14:textId="77777777" w:rsidR="000640D4" w:rsidRDefault="000640D4" w:rsidP="000640D4">
      <w:pPr>
        <w:rPr>
          <w:rStyle w:val="Style13ptBold"/>
        </w:rPr>
      </w:pPr>
      <w:r w:rsidRPr="0036540C">
        <w:rPr>
          <w:rStyle w:val="Style13ptBold"/>
        </w:rPr>
        <w:t>National Academy of Sciences</w:t>
      </w:r>
      <w:r>
        <w:rPr>
          <w:rStyle w:val="Style13ptBold"/>
        </w:rPr>
        <w:t>,</w:t>
      </w:r>
      <w:r w:rsidRPr="0036540C">
        <w:rPr>
          <w:rStyle w:val="Style13ptBold"/>
        </w:rPr>
        <w:t xml:space="preserve"> </w:t>
      </w:r>
      <w:r>
        <w:rPr>
          <w:rStyle w:val="Style13ptBold"/>
        </w:rPr>
        <w:t>9</w:t>
      </w:r>
    </w:p>
    <w:p w14:paraId="14375B52" w14:textId="3447E1CF" w:rsidR="000640D4" w:rsidRPr="0036540C" w:rsidRDefault="000640D4" w:rsidP="000640D4">
      <w:pPr>
        <w:rPr>
          <w:rStyle w:val="Style13ptBold"/>
        </w:rPr>
      </w:pPr>
      <w:r w:rsidRPr="0036540C">
        <w:t>[</w:t>
      </w:r>
      <w:r>
        <w:t xml:space="preserve">2009, National Criminal Justice Reference System, “Strengthening Forensic Science in the United States: A Path Forward,” </w:t>
      </w:r>
      <w:r w:rsidRPr="001E736C">
        <w:t>https://www.ncjrs.gov/pdffiles1/nij/grants/228091.pdf</w:t>
      </w:r>
      <w:r>
        <w:t>, p. 106-109 accessed 6-24-20, JL]</w:t>
      </w:r>
    </w:p>
    <w:p w14:paraId="2AB71A34" w14:textId="77777777" w:rsidR="000640D4" w:rsidRDefault="000640D4" w:rsidP="000640D4">
      <w:r>
        <w:t xml:space="preserve">Judicial Dispositions of Questions Relating to Other Forensic Disciplines </w:t>
      </w:r>
    </w:p>
    <w:p w14:paraId="4D750652" w14:textId="77777777" w:rsidR="000640D4" w:rsidRPr="00973CD3" w:rsidRDefault="000640D4" w:rsidP="000640D4">
      <w:pPr>
        <w:rPr>
          <w:rStyle w:val="StyleUnderline"/>
        </w:rPr>
      </w:pPr>
      <w:r>
        <w:t xml:space="preserve">Review of reported judicial opinions reveals that, at least in criminal cases, </w:t>
      </w:r>
      <w:r w:rsidRPr="00973CD3">
        <w:rPr>
          <w:u w:val="single"/>
        </w:rPr>
        <w:t xml:space="preserve">forensic </w:t>
      </w:r>
      <w:r w:rsidRPr="00973CD3">
        <w:rPr>
          <w:rStyle w:val="StyleUnderline"/>
        </w:rPr>
        <w:t>science evidence is not routinely scrutinized pursuant to the standard of reliability enunciated in Daubert. The Supreme Court in Daubert indicated that the subject of an expert’s testimony should be “scientific knowledge”—which implies that such knowledge is based on scientific methods—to ensure that “evidentiary reliability will be based upon scientific validity.”</w:t>
      </w:r>
      <w:r w:rsidRPr="007E3626">
        <w:t xml:space="preserve"> The standard is admittedly “flexible,” but that does not render it meaningless</w:t>
      </w:r>
      <w:r w:rsidRPr="00973CD3">
        <w:rPr>
          <w:rStyle w:val="StyleUnderline"/>
        </w:rPr>
        <w:t xml:space="preserve">. Any reasonable reading of Daubert strongly suggests that, when faced with forensic evidence, “trial judge[s] must ensure that any and all scientific testimony or evidence admitted is not only relevant, but reliable.” As the reported cases suggest, however, Daubert has done little to improve the use of forensic science evidence in criminal cases. </w:t>
      </w:r>
    </w:p>
    <w:p w14:paraId="1D8051EE" w14:textId="77777777" w:rsidR="000640D4" w:rsidRPr="00973CD3" w:rsidRDefault="000640D4" w:rsidP="000640D4">
      <w:pPr>
        <w:rPr>
          <w:u w:val="single"/>
        </w:rPr>
      </w:pPr>
      <w:r w:rsidRPr="00973CD3">
        <w:rPr>
          <w:u w:val="single"/>
        </w:rPr>
        <w:t xml:space="preserve">For years in the forensic science community, the dominant argument against regulating experts was that </w:t>
      </w:r>
      <w:r w:rsidRPr="007E3626">
        <w:t>every time a forensic scientist steps into a courtroom, his work is vigorously peer reviewed and scrutinized by opposing counsel</w:t>
      </w:r>
      <w:r w:rsidRPr="00973CD3">
        <w:rPr>
          <w:u w:val="single"/>
        </w:rPr>
        <w:t xml:space="preserve">. A forensic scientist might occasionally make an error </w:t>
      </w:r>
      <w:r w:rsidRPr="007E3626">
        <w:t>in the crime laboratory</w:t>
      </w:r>
      <w:r w:rsidRPr="00973CD3">
        <w:rPr>
          <w:u w:val="single"/>
        </w:rPr>
        <w:t xml:space="preserve">, but the crucible of courtroom cross-examination would expose it at trial. </w:t>
      </w:r>
      <w:r w:rsidRPr="00973CD3">
        <w:rPr>
          <w:rStyle w:val="Emphasis"/>
        </w:rPr>
        <w:t>This “crucible,” however, turned out to be utterly ineffective</w:t>
      </w:r>
      <w:r>
        <w:t>. . . . Unlike the extremely well-litigated civil challenges</w:t>
      </w:r>
      <w:r w:rsidRPr="007E3626">
        <w:t>, the criminal defendant’s challenge is usually perfunctory.</w:t>
      </w:r>
      <w:r w:rsidRPr="00973CD3">
        <w:rPr>
          <w:u w:val="single"/>
        </w:rPr>
        <w:t xml:space="preserve"> Even when the most vulnerable forensic sciences—hair microscopy, bite marks, and handwriting—are attacked, the courts routinely affirm admissibility citing earlier decisions rather than facts </w:t>
      </w:r>
      <w:r w:rsidRPr="007E3626">
        <w:t xml:space="preserve">established at a hearing. Defense lawyers generally fail to build a challenge with appropriate witnesses and new data. Thus, even if inclined to mount a Daubert challenge, they lack the requisite knowledge and skills, as well as the funds, to succeed.80 </w:t>
      </w:r>
    </w:p>
    <w:p w14:paraId="5ED3DEA4" w14:textId="77777777" w:rsidR="000640D4" w:rsidRDefault="000640D4" w:rsidP="000640D4">
      <w:r>
        <w:t xml:space="preserve">The reported decisions dealing with </w:t>
      </w:r>
      <w:r w:rsidRPr="007E3626">
        <w:t>judicial dispositions of Daubert-type questions appear to confirm this assessment. As noted above, the courts often “affirm admissibility citing earlier decisions rather than facts established at a hearing.” Much forensic evidence—including, for example, bite marks81 and firearm and toolmark identifications82—is introduced in criminal trials without any meaningful scientific validation, determination of error rates, or reliability testing to explain the limits of the discipline.</w:t>
      </w:r>
      <w:r w:rsidRPr="00973CD3">
        <w:rPr>
          <w:u w:val="single"/>
        </w:rPr>
        <w:t xml:space="preserve"> </w:t>
      </w:r>
      <w:r>
        <w:t xml:space="preserve">One recent judicial decision highlights the problem. </w:t>
      </w:r>
      <w:r w:rsidRPr="00973CD3">
        <w:rPr>
          <w:u w:val="single"/>
        </w:rPr>
        <w:t>In United States v. Green, Judge Gertner acknowledged that toolmark identification testimony ought not be considered admissible under Daubert.</w:t>
      </w:r>
      <w:r>
        <w:t xml:space="preserve"> 83 But </w:t>
      </w:r>
      <w:r w:rsidRPr="00973CD3">
        <w:rPr>
          <w:u w:val="single"/>
        </w:rPr>
        <w:t>the judge pointed out that “</w:t>
      </w:r>
      <w:r w:rsidRPr="00973CD3">
        <w:rPr>
          <w:rStyle w:val="Emphasis"/>
        </w:rPr>
        <w:t>the problem for the defense is that every single court post-Daubert has admitted this testimony</w:t>
      </w:r>
      <w:r w:rsidRPr="00973CD3">
        <w:rPr>
          <w:u w:val="single"/>
        </w:rPr>
        <w:t>, sometimes without any searching review, much less a hearing</w:t>
      </w:r>
      <w:r>
        <w:t xml:space="preserve">.”84 Judge Gertner allowed the prosecution’s expert to describe the similarities between the shell casings at issue, </w:t>
      </w:r>
      <w:r>
        <w:lastRenderedPageBreak/>
        <w:t xml:space="preserve">but prohibited him from testifying that there was a definitive match. Obviously feeling bound by circuit precedent, the judge stated: </w:t>
      </w:r>
    </w:p>
    <w:p w14:paraId="011128DA" w14:textId="77777777" w:rsidR="000640D4" w:rsidRDefault="000640D4" w:rsidP="000640D4">
      <w:r w:rsidRPr="007E3626">
        <w:t>I reluctantly [admit the evidence] because of my confidence that any other decision will be rejected by appellate courts, in light of precedents across the country, regardless of the findings I have made. While</w:t>
      </w:r>
      <w:r>
        <w:t xml:space="preserve"> I recognize that the Daubert-Kumho standard does not require the illusory perfection of a television </w:t>
      </w:r>
      <w:r w:rsidRPr="007E3626">
        <w:t>show (CSI, this wasn’t), when liberty hangs in the balance—and, in the case of the defendants facing the death penalty, life itself—the standards should be higher than were met in this case, and than have been imposed across the country. The more courts admit this type of toolmark evidence without requiring documentation, proficiency testing, or evidence of reliability, the more sloppy practices will endure; we should require more.85</w:t>
      </w:r>
      <w:r>
        <w:t xml:space="preserve"> </w:t>
      </w:r>
    </w:p>
    <w:p w14:paraId="0A58DC8F" w14:textId="77777777" w:rsidR="000640D4" w:rsidRPr="00A03DED" w:rsidRDefault="000640D4" w:rsidP="000640D4">
      <w:r w:rsidRPr="007E3626">
        <w:rPr>
          <w:rStyle w:val="StyleUnderline"/>
        </w:rPr>
        <w:t>“[T]he undeniable reality is that the community of forensic science professionals has not done nearly as much as it reasonably could have done to establish either the validity of its approach or the accuracy of its practitioners’ conclusions</w:t>
      </w:r>
      <w:r>
        <w:t xml:space="preserve">,”86 </w:t>
      </w:r>
      <w:r w:rsidRPr="007E3626">
        <w:rPr>
          <w:rStyle w:val="StyleUnderline"/>
        </w:rPr>
        <w:t>and the co</w:t>
      </w:r>
      <w:r w:rsidRPr="0036540C">
        <w:rPr>
          <w:u w:val="single"/>
        </w:rPr>
        <w:t>urts have been “utterly ineffective” in addressing this problem</w:t>
      </w:r>
      <w:r>
        <w:t>.87</w:t>
      </w:r>
    </w:p>
    <w:p w14:paraId="0E12179F" w14:textId="77777777" w:rsidR="000640D4" w:rsidRDefault="000640D4" w:rsidP="000640D4">
      <w:pPr>
        <w:pStyle w:val="Heading4"/>
      </w:pPr>
      <w:r>
        <w:t>Unfortunately, judges in climate litigation are reliant on the Daubert standard to determine scientific validity</w:t>
      </w:r>
    </w:p>
    <w:p w14:paraId="6720DA2E" w14:textId="77777777" w:rsidR="000640D4" w:rsidRDefault="000640D4" w:rsidP="000640D4">
      <w:pPr>
        <w:rPr>
          <w:rStyle w:val="Style13ptBold"/>
        </w:rPr>
      </w:pPr>
      <w:r>
        <w:rPr>
          <w:rStyle w:val="Style13ptBold"/>
        </w:rPr>
        <w:t>Banda, Toronto Law Faculty Fellow 20</w:t>
      </w:r>
    </w:p>
    <w:p w14:paraId="725F0DBB" w14:textId="77777777" w:rsidR="000640D4" w:rsidRPr="0007423E" w:rsidRDefault="000640D4" w:rsidP="000640D4">
      <w:r w:rsidRPr="0007423E">
        <w:t xml:space="preserve">(Maria L., 4/21/20, Environmental Law Institute, “Climate Science in the Courts A Review of U.S. and International Judicial Pronouncements”, https://www.eli.org/sites/default/files/eli-pubs/banda-final-4-21-2020.pdf, accessed 7/1/20, zC)  </w:t>
      </w:r>
    </w:p>
    <w:p w14:paraId="439EC08F" w14:textId="77777777" w:rsidR="000640D4" w:rsidRDefault="000640D4" w:rsidP="000640D4">
      <w:r>
        <w:t>4. Judicial Assists in Technically Complex Cases</w:t>
      </w:r>
    </w:p>
    <w:p w14:paraId="3C4E1114" w14:textId="77777777" w:rsidR="000640D4" w:rsidRDefault="000640D4" w:rsidP="000640D4">
      <w:r>
        <w:t xml:space="preserve">In many circumstances,48 </w:t>
      </w:r>
      <w:r w:rsidRPr="007E3626">
        <w:rPr>
          <w:rStyle w:val="StyleUnderline"/>
        </w:rPr>
        <w:t>tools are available to courts to enhance judicial understanding of highly technical matters, including experts</w:t>
      </w:r>
      <w:r>
        <w:t xml:space="preserve"> and special masters appointed by the court, and the taking of judicial notice of authoritative reports and information in the public domain. With such tools available, judicial assessment is not necessarily limited by the quality or completeness of evidence brought forward by advocates themselves.</w:t>
      </w:r>
    </w:p>
    <w:p w14:paraId="19F21205" w14:textId="77777777" w:rsidR="000640D4" w:rsidRDefault="000640D4" w:rsidP="000640D4">
      <w:r>
        <w:t xml:space="preserve">For example, courts have appointed special masters or court-appointed experts to perform a variety of pre- and post-trial functions,49 which are regulated by Federal Rule of Civil Procedure 53.50 Masters with expert knowledge of patents, for example, can aid in the court’s interpretation of patent claims.51 Courts review the master’s findings de novo,52 but initial determination by a master can make the judicial process more effective and timely than disposition by the judge acting alone.53 Courts can also rely on a post-trial master where, for instance, a complex decree requires complex policing, or when a party has proved resistant or intransigent.54 </w:t>
      </w:r>
      <w:r w:rsidRPr="007E3626">
        <w:rPr>
          <w:rStyle w:val="StyleUnderline"/>
        </w:rPr>
        <w:t>Courts have appointed special masters to oversee complex environmental cases,</w:t>
      </w:r>
      <w:r>
        <w:t xml:space="preserve"> including multi-year litigation over environmental contamination. A special master was also appointed by the Supreme Court in Florida v. Georgia, a complex original jurisdiction proceeding over water apportionment.55</w:t>
      </w:r>
    </w:p>
    <w:p w14:paraId="76AA16EA" w14:textId="77777777" w:rsidR="000640D4" w:rsidRDefault="000640D4" w:rsidP="000640D4">
      <w:r>
        <w:t xml:space="preserve">Courts can also take judicial notice of relevant facts in specific circumstances. Under the Federal Rules of Evidence, courts may take judicial notice of “adjudicative” facts—the facts of the particular case—at any stage in the proceedings.56 The “court may judicially notice a fact that is not subject to reasonable </w:t>
      </w:r>
      <w:r>
        <w:lastRenderedPageBreak/>
        <w:t xml:space="preserve">dispute because it: (1) is generally known within the trial court’s territorial jurisdiction; or (2) can be accurately and readily determined from sources whose accuracy cannot reasonably be questioned.”57 The court may take judicial notice sua sponte, or it “must take judicial notice if a party requests it and the court is supplied with the necessary information.”58 </w:t>
      </w:r>
      <w:r w:rsidRPr="007E3626">
        <w:rPr>
          <w:rStyle w:val="StyleUnderline"/>
        </w:rPr>
        <w:t>Courts have used this tool in climate cases,</w:t>
      </w:r>
      <w:r>
        <w:t xml:space="preserve"> as discussed below.59</w:t>
      </w:r>
    </w:p>
    <w:p w14:paraId="763E0BAF" w14:textId="77777777" w:rsidR="000640D4" w:rsidRDefault="000640D4" w:rsidP="000640D4">
      <w:r>
        <w:t>5. Expert Testimony</w:t>
      </w:r>
    </w:p>
    <w:p w14:paraId="4553425E" w14:textId="77777777" w:rsidR="000640D4" w:rsidRDefault="000640D4" w:rsidP="000640D4">
      <w:r w:rsidRPr="007E3626">
        <w:rPr>
          <w:rStyle w:val="StyleUnderline"/>
        </w:rPr>
        <w:t>Expert testimony, regardless of the nature of the proceeding, is subject to rigorous admissibility standards in U.S. courts</w:t>
      </w:r>
      <w:r>
        <w:t xml:space="preserve">.60 </w:t>
      </w:r>
      <w:r w:rsidRPr="007E3626">
        <w:rPr>
          <w:rStyle w:val="StyleUnderline"/>
        </w:rPr>
        <w:t>In Daubert</w:t>
      </w:r>
      <w:r>
        <w:t xml:space="preserve"> v. MerrellDow Pharmaceuticals, </w:t>
      </w:r>
      <w:r w:rsidRPr="007E3626">
        <w:rPr>
          <w:rStyle w:val="StyleUnderline"/>
        </w:rPr>
        <w:t>the Supreme Court tasked trial judges with the responsibility of acting as gatekeeper to exclude unreliable expert testimony</w:t>
      </w:r>
      <w:r>
        <w:t>.61 The proponent has the burden of establishing that the pertinent admissibility requirements are met by a preponderance of the evidence.</w:t>
      </w:r>
      <w:r w:rsidRPr="007E3626">
        <w:rPr>
          <w:rStyle w:val="StyleUnderline"/>
        </w:rPr>
        <w:t>62 The purpose of Dauberis gatekeeping requirement “is to make certain that an expert, whether basing testimony upon professional studies or personal experience, employs in the courtroom the same level of intellectual rigor that characterizes the practice of an expert in the relevant field.</w:t>
      </w:r>
      <w:r>
        <w:t xml:space="preserve">”63 </w:t>
      </w:r>
      <w:r w:rsidRPr="007E3626">
        <w:rPr>
          <w:rStyle w:val="StyleUnderline"/>
        </w:rPr>
        <w:t>However, as the Court in Daubert stated, “[vigorous cross-examination, presentation of contrary evidence, and careful instruction on the burden of proof are the traditional and appropriate means of attacking shaky but admissible evidence</w:t>
      </w:r>
      <w:r>
        <w:t>.”64</w:t>
      </w:r>
    </w:p>
    <w:p w14:paraId="2625EB7D" w14:textId="77777777" w:rsidR="000640D4" w:rsidRDefault="000640D4" w:rsidP="000640D4"/>
    <w:p w14:paraId="17C7DE00" w14:textId="3DE7571F" w:rsidR="000640D4" w:rsidRDefault="00A122BA" w:rsidP="000640D4">
      <w:pPr>
        <w:pStyle w:val="Heading4"/>
      </w:pPr>
      <w:r>
        <w:t>D</w:t>
      </w:r>
      <w:r w:rsidR="000640D4">
        <w:t>eclining scientific literacy is leading to distrust of science, accelerating climate change and generating resistance to the changes necessary to avert global devastation</w:t>
      </w:r>
    </w:p>
    <w:p w14:paraId="699C5354" w14:textId="77777777" w:rsidR="000640D4" w:rsidRPr="00057B86" w:rsidRDefault="000640D4" w:rsidP="000640D4">
      <w:pPr>
        <w:pStyle w:val="NormalWeb"/>
        <w:spacing w:before="0" w:beforeAutospacing="0" w:after="160" w:afterAutospacing="0"/>
        <w:rPr>
          <w:color w:val="000000"/>
          <w:sz w:val="22"/>
        </w:rPr>
      </w:pPr>
      <w:r w:rsidRPr="00B80492">
        <w:rPr>
          <w:rStyle w:val="Style13ptBold"/>
        </w:rPr>
        <w:t>Clough, former secretary of the Smithsonian, 10,</w:t>
      </w:r>
      <w:r w:rsidRPr="00B80492">
        <w:rPr>
          <w:color w:val="000000"/>
          <w:sz w:val="22"/>
        </w:rPr>
        <w:t xml:space="preserve"> [Gerald, 02/27/2010, Smithsonian, “INCREASING SCIENTIFIC LITERACY</w:t>
      </w:r>
      <w:r>
        <w:rPr>
          <w:rFonts w:asciiTheme="minorHAnsi" w:hAnsiTheme="minorHAnsi" w:cstheme="minorHAnsi"/>
          <w:color w:val="000000"/>
          <w:sz w:val="22"/>
        </w:rPr>
        <w:t>: A SHARED RESPONSIBILITY</w:t>
      </w:r>
      <w:r w:rsidRPr="00922F58">
        <w:rPr>
          <w:rFonts w:asciiTheme="minorHAnsi" w:hAnsiTheme="minorHAnsi" w:cstheme="minorHAnsi"/>
          <w:color w:val="000000"/>
          <w:sz w:val="22"/>
        </w:rPr>
        <w:t>,”</w:t>
      </w:r>
      <w:r>
        <w:rPr>
          <w:rFonts w:asciiTheme="minorHAnsi" w:hAnsiTheme="minorHAnsi" w:cstheme="minorHAnsi"/>
          <w:color w:val="000000"/>
          <w:sz w:val="22"/>
        </w:rPr>
        <w:t xml:space="preserve"> https://www.si.edu/Content/Pdf/About/Secretary/Increasing-Scientific-Literacy-a-Shared-Responsibility.pdf</w:t>
      </w:r>
      <w:r>
        <w:rPr>
          <w:color w:val="000000"/>
          <w:sz w:val="22"/>
        </w:rPr>
        <w:t>, pp. 33, accessed on 07/01/2020, BS]</w:t>
      </w:r>
    </w:p>
    <w:p w14:paraId="2D35B999" w14:textId="77777777" w:rsidR="000640D4" w:rsidRDefault="000640D4" w:rsidP="000640D4">
      <w:r w:rsidRPr="003D6638">
        <w:rPr>
          <w:rStyle w:val="StyleUnderline"/>
        </w:rPr>
        <w:t>The decline of scientific literacy leads to a growing distrust of science and scientists, and with it a decline in public support for scientific discovery</w:t>
      </w:r>
      <w:r>
        <w:t xml:space="preserve">. Exhibit A is the recent supercharged rhetoric and mixed messages about climate change. We know that climate change has been occurring for a very long time — long before Homo sapiens was on Earth. Many different mechanisms provoke climate change; some are cyclical, such as the gradual change in exposure of the Earth to the sun as a result of the tilt of its axis, while others are episodic, such as large volcanic eruptions. The geologic record documents large, prolonged changes in climate; </w:t>
      </w:r>
      <w:r w:rsidRPr="007A7CA1">
        <w:rPr>
          <w:rStyle w:val="StyleUnderline"/>
        </w:rPr>
        <w:t xml:space="preserve">one such is termed </w:t>
      </w:r>
      <w:r w:rsidRPr="007A7CA1">
        <w:rPr>
          <w:rStyle w:val="Emphasis"/>
        </w:rPr>
        <w:t>the Paleocene-Eocene Thermal Maximum (PETM</w:t>
      </w:r>
      <w:r w:rsidRPr="007A7CA1">
        <w:rPr>
          <w:rStyle w:val="StyleUnderline"/>
        </w:rPr>
        <w:t>), a period of significant global warming that occurred 55 million years ago</w:t>
      </w:r>
      <w:r>
        <w:t xml:space="preserve">. Smithsonian paleobotanist Scott Wing discovered rock exposures in the Bighorn Basin of Wyoming dating back to this period, and decades of digging have uncovered fossils that demonstrate the extensive warming the planet experienced. </w:t>
      </w:r>
      <w:r w:rsidRPr="007A7CA1">
        <w:rPr>
          <w:rStyle w:val="StyleUnderline"/>
        </w:rPr>
        <w:t>By collaborating with colleagues from other specialties, Wing has been able to describe what it was like for the mammals, fish, and plants of the time. As temperatures rose, Wyoming’s climate became much like that of northern Mexico or parts of southern Georgia and Florida today</w:t>
      </w:r>
      <w:r>
        <w:t xml:space="preserve">.30 </w:t>
      </w:r>
    </w:p>
    <w:p w14:paraId="011DF4A2" w14:textId="77777777" w:rsidR="000640D4" w:rsidRDefault="000640D4" w:rsidP="000640D4">
      <w:pPr>
        <w:rPr>
          <w:rStyle w:val="StyleUnderline"/>
        </w:rPr>
      </w:pPr>
      <w:r>
        <w:t xml:space="preserve">When the work of Wing and his team is combined with that of </w:t>
      </w:r>
      <w:r w:rsidRPr="007A7CA1">
        <w:rPr>
          <w:rStyle w:val="StyleUnderline"/>
        </w:rPr>
        <w:t xml:space="preserve">scientists who study cores drilled from the ocean floor that show sweeping patterns of climate change stretching back millions of years, the PETM emerges as a world where polar ice melted, sea levels rose by as much as 300 feet above those of today, the ocean acidified, and life often lost the struggle to adapt. </w:t>
      </w:r>
    </w:p>
    <w:p w14:paraId="753E9A5A" w14:textId="77777777" w:rsidR="000640D4" w:rsidRDefault="000640D4" w:rsidP="000640D4">
      <w:r w:rsidRPr="007A7CA1">
        <w:rPr>
          <w:rStyle w:val="StyleUnderline"/>
        </w:rPr>
        <w:lastRenderedPageBreak/>
        <w:t xml:space="preserve">Many of the findings about the PETM are well established and make clear that largescale warming would be </w:t>
      </w:r>
      <w:r w:rsidRPr="007A7CA1">
        <w:rPr>
          <w:rStyle w:val="Emphasis"/>
        </w:rPr>
        <w:t>devastating to life as we know it</w:t>
      </w:r>
      <w:r>
        <w:t xml:space="preserve">. It is all the more important given that in the past 100,000 years, our species has expanded from a mere handful to seven billion today and is expected to increase to more than nine billion by 2050.31 </w:t>
      </w:r>
      <w:r w:rsidRPr="0000707C">
        <w:rPr>
          <w:rStyle w:val="StyleUnderline"/>
        </w:rPr>
        <w:t>While human beings did not exist during the PETM, we now have become a documented agent of change. We generate substantial amounts of greenhouse gases and cut down large areas of forest that would otherwise help absorb them.</w:t>
      </w:r>
      <w:r>
        <w:t xml:space="preserve"> Scientists are nearly unanimous in their expectation that </w:t>
      </w:r>
      <w:r w:rsidRPr="0000707C">
        <w:rPr>
          <w:rStyle w:val="StyleUnderline"/>
        </w:rPr>
        <w:t>such activities will have an impact on our future, though they do not know exactly how the different natural elements involved in climate change will interact with each other or precisely what role our own activities will play in those interaction</w:t>
      </w:r>
      <w:r>
        <w:t xml:space="preserve">s. Scientists have gained much knowledge and insight into climate change, but we still have much to learn. Admitting we do not know it all is hard for some to do, and there are those who would use such an admission to advocate that we should do nothing. Still, the case must be presented on its merits and the debate engaged on the appropriate terms. </w:t>
      </w:r>
    </w:p>
    <w:p w14:paraId="7DB4750A" w14:textId="77777777" w:rsidR="000640D4" w:rsidRDefault="000640D4" w:rsidP="000640D4">
      <w:pPr>
        <w:rPr>
          <w:rStyle w:val="StyleUnderline"/>
        </w:rPr>
      </w:pPr>
      <w:r w:rsidRPr="0000707C">
        <w:rPr>
          <w:rStyle w:val="StyleUnderline"/>
        </w:rPr>
        <w:t>Recent surveys show that while a majority of Americans believe global warming is occurring, their belief is currently based on immediate impressions rather than a grasp of basic science</w:t>
      </w:r>
      <w:r>
        <w:t xml:space="preserve">. A January </w:t>
      </w:r>
      <w:r w:rsidRPr="00BF788B">
        <w:t>2010 survey by Yale and George Mason Universities shortly after the release of controversial e-mails by climate scientists showed a significant drop from a year earlier in the number of American adults who believed global warming was happening and who trusted scientists as a source of information about it.32 By the time of a parallel June survey, the numbers had begun to rebound — according to Anthony Leiserowitz of Yale, a reflection of the waning of “climategate” from the daily news, as well as other factors such as an improving economy and the BP oil spill in the Gulf of Mexico, which called attention to the dark side of reliance on fossil fuels</w:t>
      </w:r>
      <w:r>
        <w:t xml:space="preserve">.33 </w:t>
      </w:r>
      <w:r w:rsidRPr="00BF788B">
        <w:rPr>
          <w:rStyle w:val="StyleUnderline"/>
        </w:rPr>
        <w:t>If we are to garner the</w:t>
      </w:r>
      <w:r w:rsidRPr="005F1E4B">
        <w:rPr>
          <w:rStyle w:val="StyleUnderline"/>
        </w:rPr>
        <w:t xml:space="preserve"> consistent public support that will be needed for the long-term response that climate change requires, we need to find ways to clearly communicate what we know and do not know. </w:t>
      </w:r>
    </w:p>
    <w:p w14:paraId="0EFB003D" w14:textId="77777777" w:rsidR="000640D4" w:rsidRDefault="000640D4" w:rsidP="000640D4">
      <w:r>
        <w:t xml:space="preserve">Ironically, </w:t>
      </w:r>
      <w:r w:rsidRPr="00BF788B">
        <w:rPr>
          <w:rStyle w:val="Emphasis"/>
        </w:rPr>
        <w:t>even as we continue to struggle with what are often abstract debates about the causes of climate change, it is beginning to have a very real impact</w:t>
      </w:r>
      <w:r>
        <w:t>. I recently traveled to Alaska to open a new exhibit, “Living Our Cultures, Sharing Our Heritage: The First Peoples of Alaska,” at our National Museum of Natural History’s Arctic Studies Center at the Anchorage Museum of History and Art. While in Alaska, I traveled with two Smithsonian scientists to the Yupik village of Gambell, located on St. Lawrence Island in the Bering Strait. St. Lawrence Island is a low-lying land mass formed from volcanic rock and accumulated deposits of sand and gravel on the coasts. The day we arrived it snowed and small icebergs floated in the sea. It seemed an odd place to talk about global warming.</w:t>
      </w:r>
    </w:p>
    <w:p w14:paraId="4E44E486" w14:textId="77777777" w:rsidR="000640D4" w:rsidRPr="00BF788B" w:rsidRDefault="000640D4" w:rsidP="000640D4">
      <w:r>
        <w:t xml:space="preserve">The Yupik are an ancient people who have survived for thousands of years as subsistence hunters, using the land, ice, and sea to hunt whales, walrus, fish, and waterfowl. At the local high school we met with the village elders, men who for a lifetime have hunted from small open boats in the face of one of the most hostile climates in the world. Evidence of the year’s hunt was on the beach in the form of the bones of five whales killed recently. While the whale hunt had been good, it did not take long for climate change to come up, and once mentioned, each of the elders had a story to tell. The ramifications are multifold. </w:t>
      </w:r>
      <w:r w:rsidRPr="00BF788B">
        <w:rPr>
          <w:rStyle w:val="StyleUnderline"/>
        </w:rPr>
        <w:t>Permafrost is melting,</w:t>
      </w:r>
      <w:r>
        <w:t xml:space="preserve"> weakening the bottom of the island lakes and allowing the water to drain. Ducks and geese no longer land there. The sea ice is no longer thick enough for the walrus to haul out close to the island, and the boats cannot be relied upon to reach the thicker ice far to the north. The warming seas spawn summer storms that erode the land, undermining the foundations of buildings, and prevent hunters from hunting. For the first time in anyone’s memory, subarctic sharks have been seen </w:t>
      </w:r>
      <w:r>
        <w:lastRenderedPageBreak/>
        <w:t xml:space="preserve">on the hunts. </w:t>
      </w:r>
      <w:r w:rsidRPr="00BF788B">
        <w:t xml:space="preserve">The elders are concerned for their children and grandchildren and their future. At the conclusion of the discussion, they asked us why more people are not worried about the very real changes they see day to day. Good question. </w:t>
      </w:r>
    </w:p>
    <w:p w14:paraId="43FFC3A5" w14:textId="77777777" w:rsidR="000640D4" w:rsidRDefault="000640D4" w:rsidP="000640D4">
      <w:r w:rsidRPr="00BF788B">
        <w:t>Farther south, the citizens of New Orleans also have reasons to be concerned about climate change. With much of the city lying below sea level, the levees and flood walls surrounding it are crucial to warding off the effects of storm surges from hurricanes</w:t>
      </w:r>
      <w:r w:rsidRPr="00827845">
        <w:rPr>
          <w:rStyle w:val="StyleUnderline"/>
        </w:rPr>
        <w:t>.</w:t>
      </w:r>
      <w:r>
        <w:t xml:space="preserve"> Hurricane Katrina was a wake-up call in more ways than the obvious damage that citizens around the world saw during the event itself. In the aftermath of the hurricane, I was asked to chair the National Academies Committee on Hurricane Protection for New Orleans to provide oversight for the reconstruction of the hurricane protection system. Early on in our work, we came face to face with an issue related to global warming. </w:t>
      </w:r>
    </w:p>
    <w:p w14:paraId="4601580C" w14:textId="77777777" w:rsidR="000640D4" w:rsidRDefault="000640D4" w:rsidP="000640D4">
      <w:r>
        <w:t xml:space="preserve">One of the first actions undertaken after the disaster was to measure the height of the levees that remained. This task proved to be problematic, because the original elevations set for the levees were based on sea level. But sea level is not the constant it once was perceived to be. </w:t>
      </w:r>
      <w:r w:rsidRPr="00827845">
        <w:rPr>
          <w:rStyle w:val="StyleUnderline"/>
        </w:rPr>
        <w:t xml:space="preserve">Because of global warming, sea level has been rising for about the last century </w:t>
      </w:r>
      <w:r w:rsidRPr="00BF788B">
        <w:t xml:space="preserve">at a rate of two to three millimeters per year. Over a century, the rise in sea level amounts to between 0.7 and 1.0 feet. </w:t>
      </w:r>
      <w:r>
        <w:t xml:space="preserve">Although few of the levees had been around for a century, the effective height of all the levees in terms of flood protection was less than believed because the level of the waters of the Gulf had risen over time. </w:t>
      </w:r>
    </w:p>
    <w:p w14:paraId="3C9BACA9" w14:textId="77777777" w:rsidR="000640D4" w:rsidRDefault="000640D4" w:rsidP="000640D4">
      <w:r>
        <w:t xml:space="preserve">This reality was food for thought in itself, but it became a critical issue in the design of the reconstructed flood protection system. Looking ahead, the levees should ideally provide protection for a long time — one century or more — and prudent design should take into account sea-level rise over that time. </w:t>
      </w:r>
      <w:r w:rsidRPr="00FE3AC6">
        <w:rPr>
          <w:rStyle w:val="StyleUnderline"/>
        </w:rPr>
        <w:t xml:space="preserve">How much higher should the levees be built to accommodate rising sea levels? </w:t>
      </w:r>
      <w:r w:rsidRPr="00BF788B">
        <w:t>This question is not easy to answer, because recent evidence points to an acceleration of the rate of sea-level rise. Designers could easily justify projecting two to three feet in sea-level rise, causing a significant increase in the required height and size of the levees.</w:t>
      </w:r>
      <w:r w:rsidRPr="00FE3AC6">
        <w:rPr>
          <w:rStyle w:val="StyleUnderline"/>
        </w:rPr>
        <w:t xml:space="preserve"> </w:t>
      </w:r>
      <w:r w:rsidRPr="00BF788B">
        <w:rPr>
          <w:rStyle w:val="StyleUnderline"/>
        </w:rPr>
        <w:t>The choice</w:t>
      </w:r>
      <w:r w:rsidRPr="00FE3AC6">
        <w:rPr>
          <w:rStyle w:val="StyleUnderline"/>
        </w:rPr>
        <w:t xml:space="preserve"> is not an abstract one; it is a matter of the potential for enormous property damage and loss of life. It is a matter that </w:t>
      </w:r>
      <w:r w:rsidRPr="00FE3AC6">
        <w:rPr>
          <w:rStyle w:val="Emphasis"/>
        </w:rPr>
        <w:t>threatens the future of one of America’s great cities</w:t>
      </w:r>
      <w:r w:rsidRPr="00FE3AC6">
        <w:rPr>
          <w:rStyle w:val="StyleUnderline"/>
        </w:rPr>
        <w:t>.</w:t>
      </w:r>
      <w:r>
        <w:t xml:space="preserve"> </w:t>
      </w:r>
    </w:p>
    <w:p w14:paraId="3B3BA33D" w14:textId="77777777" w:rsidR="000640D4" w:rsidRPr="00BF788B" w:rsidRDefault="000640D4" w:rsidP="000640D4">
      <w:pPr>
        <w:rPr>
          <w:rStyle w:val="Emphasis"/>
        </w:rPr>
      </w:pPr>
      <w:r w:rsidRPr="00FE3AC6">
        <w:rPr>
          <w:rStyle w:val="StyleUnderline"/>
        </w:rPr>
        <w:t>Whether you live in the far north of our nation on St. Lawrence Island or the far south in New Orleans, the impact of climate change is very real.</w:t>
      </w:r>
      <w:r>
        <w:t xml:space="preserve"> Both of these locations are seeing harbingers of the future, a future that will require us to make critical decisions</w:t>
      </w:r>
      <w:r w:rsidRPr="00BF788B">
        <w:rPr>
          <w:rStyle w:val="Emphasis"/>
        </w:rPr>
        <w:t xml:space="preserve">. If we are to provide future generations with a chance to meet the challenges they will face, we have to understand and appreciate the science behind climate change. </w:t>
      </w:r>
    </w:p>
    <w:p w14:paraId="79F23ED0" w14:textId="77777777" w:rsidR="000640D4" w:rsidRDefault="000640D4" w:rsidP="000640D4">
      <w:r w:rsidRPr="00BF788B">
        <w:rPr>
          <w:rStyle w:val="StyleUnderline"/>
        </w:rPr>
        <w:t>Is our situation hopeless? Those charged with helping the public understand science and technology struggle in light of an accelerating knowledge base and ever-increasing specialization.</w:t>
      </w:r>
      <w:r>
        <w:t xml:space="preserve"> </w:t>
      </w:r>
      <w:r w:rsidRPr="00BF788B">
        <w:rPr>
          <w:rStyle w:val="StyleUnderline"/>
        </w:rPr>
        <w:t>It is time to sort out the real issues from the false, to work on reducing the unneeded complexity that surrounds science, and to seek common ground</w:t>
      </w:r>
      <w:r>
        <w:t xml:space="preserve">, as Harvard’s E.O. Wilson makes clear in his book, The Creation: An Appeal to Save Life on Earth.34 Arrogance has no place here; </w:t>
      </w:r>
      <w:r w:rsidRPr="00BF788B">
        <w:rPr>
          <w:rStyle w:val="StyleUnderline"/>
        </w:rPr>
        <w:t>too much is at stake</w:t>
      </w:r>
      <w:r>
        <w:t xml:space="preserve">. </w:t>
      </w:r>
      <w:r w:rsidRPr="00BF788B">
        <w:rPr>
          <w:rStyle w:val="Emphasis"/>
        </w:rPr>
        <w:t>Such attitudes are a threat to the vitality of science and technology and hence our ability to sustain our standard of living</w:t>
      </w:r>
      <w:r>
        <w:t>. In the next chapter, I will suggest a few ideas that I believe can help increase scientific literacy.</w:t>
      </w:r>
    </w:p>
    <w:p w14:paraId="5D60A1BB" w14:textId="4D2AEB0A" w:rsidR="000640D4" w:rsidRDefault="000640D4" w:rsidP="000640D4"/>
    <w:p w14:paraId="2B6C4F40" w14:textId="77777777" w:rsidR="00222CE7" w:rsidRPr="00FF597F" w:rsidRDefault="00222CE7" w:rsidP="00222CE7">
      <w:pPr>
        <w:pStyle w:val="Heading4"/>
        <w:rPr>
          <w:rFonts w:cs="Times New Roman"/>
        </w:rPr>
      </w:pPr>
      <w:r w:rsidRPr="00FF597F">
        <w:rPr>
          <w:rFonts w:cs="Times New Roman"/>
        </w:rPr>
        <w:lastRenderedPageBreak/>
        <w:t>Climate change is an existential threat: The collapse of agriculture, billions displaced and the destruction of the international order all mean climate change causes extinction – only acting now can solve</w:t>
      </w:r>
    </w:p>
    <w:p w14:paraId="752923F0" w14:textId="77777777" w:rsidR="00222CE7" w:rsidRPr="00FF597F" w:rsidRDefault="00222CE7" w:rsidP="00222CE7">
      <w:pPr>
        <w:rPr>
          <w:rStyle w:val="Style13ptBold"/>
        </w:rPr>
      </w:pPr>
      <w:r w:rsidRPr="00FF597F">
        <w:rPr>
          <w:rStyle w:val="Style13ptBold"/>
        </w:rPr>
        <w:t>Ahmed, Vice investigative journalist, 19</w:t>
      </w:r>
    </w:p>
    <w:p w14:paraId="4654AF4A" w14:textId="77777777" w:rsidR="00222CE7" w:rsidRPr="00FF597F" w:rsidRDefault="00222CE7" w:rsidP="00222CE7">
      <w:r w:rsidRPr="00FF597F">
        <w:t>(Nafeez, 6/3/2019, Vice, “New Report Suggests ‘High Likelihood of Human Civilization Coming to an End’ Starting in 2050,” vice.com/en_us/article/597kpd/new-report-suggests-high-likelihood-of-human-civilization-coming-to-an-end-in-2050, accessed 7/3/2020, MM)</w:t>
      </w:r>
    </w:p>
    <w:p w14:paraId="39D58286" w14:textId="77777777" w:rsidR="00222CE7" w:rsidRPr="00FF597F" w:rsidRDefault="00222CE7" w:rsidP="00222CE7">
      <w:r w:rsidRPr="00FF597F">
        <w:rPr>
          <w:rStyle w:val="StyleUnderline"/>
        </w:rPr>
        <w:t>A harrowing scenario analysis of how human civilization might collapse in coming decades due to climate change has been endorsed by a former Australian defense chief and senior royal navy commander</w:t>
      </w:r>
      <w:r w:rsidRPr="00FF597F">
        <w:t>.</w:t>
      </w:r>
    </w:p>
    <w:p w14:paraId="4EFD23F3" w14:textId="77777777" w:rsidR="00222CE7" w:rsidRPr="00FF597F" w:rsidRDefault="00222CE7" w:rsidP="00222CE7">
      <w:pPr>
        <w:rPr>
          <w:u w:val="single"/>
        </w:rPr>
      </w:pPr>
      <w:r w:rsidRPr="00FF597F">
        <w:rPr>
          <w:rStyle w:val="StyleUnderline"/>
        </w:rPr>
        <w:t>The analysis</w:t>
      </w:r>
      <w:r w:rsidRPr="00FF597F">
        <w:t xml:space="preserve">, published by the Breakthrough National Centre for Climate Restoration, a think-tank in Melbourne, Australia, </w:t>
      </w:r>
      <w:r w:rsidRPr="00FF597F">
        <w:rPr>
          <w:rStyle w:val="StyleUnderline"/>
        </w:rPr>
        <w:t>describes climate change as “a near- to mid-term existential threat to human civilization” and sets out a plausible scenario of where business-as-usual could lead over the next 30 years.</w:t>
      </w:r>
    </w:p>
    <w:p w14:paraId="6058EFE0" w14:textId="77777777" w:rsidR="00222CE7" w:rsidRPr="00FF597F" w:rsidRDefault="00222CE7" w:rsidP="00222CE7">
      <w:pPr>
        <w:rPr>
          <w:u w:val="single"/>
        </w:rPr>
      </w:pPr>
      <w:r w:rsidRPr="00FF597F">
        <w:t xml:space="preserve">The paper argues that the </w:t>
      </w:r>
      <w:r w:rsidRPr="00FF597F">
        <w:rPr>
          <w:rStyle w:val="StyleUnderline"/>
        </w:rPr>
        <w:t>potentially “extremely serious outcomes” of climate-related security threats are often far more probable than conventionally assumed, but almost impossible to quantify because they “fall outside the human experience of the last thousand years.”</w:t>
      </w:r>
    </w:p>
    <w:p w14:paraId="4EF752F8" w14:textId="77777777" w:rsidR="00222CE7" w:rsidRPr="00FF597F" w:rsidRDefault="00222CE7" w:rsidP="00222CE7">
      <w:pPr>
        <w:rPr>
          <w:u w:val="single"/>
        </w:rPr>
      </w:pPr>
      <w:r w:rsidRPr="00FF597F">
        <w:rPr>
          <w:rStyle w:val="StyleUnderline"/>
        </w:rPr>
        <w:t>On our current trajectory</w:t>
      </w:r>
      <w:r w:rsidRPr="00FF597F">
        <w:t>, the report warns, “</w:t>
      </w:r>
      <w:r w:rsidRPr="00FF597F">
        <w:rPr>
          <w:rStyle w:val="StyleUnderline"/>
        </w:rPr>
        <w:t>planetary and human systems [are] reaching a ‘point of no return’ by mid-century, in which the prospect of a largely uninhabitable Earth leads to the breakdown of nations and the international order.”</w:t>
      </w:r>
    </w:p>
    <w:p w14:paraId="0136D1D5" w14:textId="77777777" w:rsidR="00222CE7" w:rsidRPr="00FF597F" w:rsidRDefault="00222CE7" w:rsidP="00222CE7">
      <w:r w:rsidRPr="00FF597F">
        <w:t>The only way to avoid the risks of this scenario is what the report describes as “akin in scale to the World War II emergency mobilization”—but this time focused on rapidly building out a zero-emissions industrial system to set in train the restoration of a safe climate.</w:t>
      </w:r>
    </w:p>
    <w:p w14:paraId="2F1C94C6" w14:textId="77777777" w:rsidR="00222CE7" w:rsidRPr="00FF597F" w:rsidRDefault="00222CE7" w:rsidP="00222CE7">
      <w:r w:rsidRPr="00FF597F">
        <w:t>The scenario warns that our current trajectory will likely lock in at least 3 degrees Celsius (C) of global heating, which in turn could trigger further amplifying feedbacks unleashing further warming. This would drive the accelerating collapse of key ecosystems “including coral reef systems, the Amazon rainforest and in the Arctic.”</w:t>
      </w:r>
    </w:p>
    <w:p w14:paraId="768432D7" w14:textId="77777777" w:rsidR="00222CE7" w:rsidRPr="00FF597F" w:rsidRDefault="00222CE7" w:rsidP="00222CE7">
      <w:r w:rsidRPr="00FF597F">
        <w:rPr>
          <w:rStyle w:val="StyleUnderline"/>
        </w:rPr>
        <w:t>The results would be devastating. Some one billion people would be forced to attempt to relocate from unlivable conditions, and two billion would face scarcity of water supplies. Agriculture would collapse in the sub-tropics, and food production would suffer dramatically worldwide. The internal cohesion of nation-states like the US and China would unravel</w:t>
      </w:r>
      <w:r w:rsidRPr="00FF597F">
        <w:t>.</w:t>
      </w:r>
    </w:p>
    <w:p w14:paraId="489F4F50" w14:textId="77777777" w:rsidR="00222CE7" w:rsidRPr="00FF597F" w:rsidRDefault="00222CE7" w:rsidP="00222CE7">
      <w:r w:rsidRPr="00FF597F">
        <w:t>“</w:t>
      </w:r>
      <w:r w:rsidRPr="00FF597F">
        <w:rPr>
          <w:rStyle w:val="StyleUnderline"/>
        </w:rPr>
        <w:t>Even for 2°C of warming, more than a billion people may need to be relocated and in high-end scenarios, the scale of destruction is beyond our capacity to model with a high likelihood of human civilization coming to an end</w:t>
      </w:r>
      <w:r w:rsidRPr="00FF597F">
        <w:t>,” the report notes.</w:t>
      </w:r>
    </w:p>
    <w:p w14:paraId="22B29332" w14:textId="77777777" w:rsidR="00222CE7" w:rsidRPr="00FF597F" w:rsidRDefault="00222CE7" w:rsidP="00222CE7">
      <w:r w:rsidRPr="00FF597F">
        <w:t>The new policy briefing is written by David Spratt, Breakthrough’s research director and Ian Dunlop, a former senior executive of Royal Dutch Shell who previously chaired the Australian Coal Association.</w:t>
      </w:r>
    </w:p>
    <w:p w14:paraId="37C5A48E" w14:textId="77777777" w:rsidR="00222CE7" w:rsidRPr="00FF597F" w:rsidRDefault="00222CE7" w:rsidP="00222CE7">
      <w:r w:rsidRPr="00FF597F">
        <w:lastRenderedPageBreak/>
        <w:t>In the briefing’s foreword, retired Admiral Chris Barrie—Chief of the Australian Defence Force from 1998 to 2002 and former Deputy Chief of the Australian Navy—commends the paper for laying “bare the unvarnished truth about the desperate situation humans, and our planet, are in, painting a disturbing picture of the real possibility that human life on Earth may be on the way to extinction, in the most horrible way.”</w:t>
      </w:r>
    </w:p>
    <w:p w14:paraId="3446A8B0" w14:textId="77777777" w:rsidR="00222CE7" w:rsidRPr="00FF597F" w:rsidRDefault="00222CE7" w:rsidP="00222CE7">
      <w:r w:rsidRPr="00FF597F">
        <w:t>Barrie now works for the Climate Change Institute at Australian National University, Canberra.</w:t>
      </w:r>
    </w:p>
    <w:p w14:paraId="15C23E42" w14:textId="77777777" w:rsidR="00222CE7" w:rsidRPr="00FF597F" w:rsidRDefault="00222CE7" w:rsidP="00222CE7">
      <w:pPr>
        <w:rPr>
          <w:u w:val="single"/>
        </w:rPr>
      </w:pPr>
      <w:r w:rsidRPr="00FF597F">
        <w:t xml:space="preserve">Spratt told Motherboard that </w:t>
      </w:r>
      <w:r w:rsidRPr="00FF597F">
        <w:rPr>
          <w:rStyle w:val="StyleUnderline"/>
        </w:rPr>
        <w:t xml:space="preserve">a key reason the risks are not understood is that “much knowledge produced for policymakers is too conservative. Because </w:t>
      </w:r>
      <w:r w:rsidRPr="00FF597F">
        <w:rPr>
          <w:rStyle w:val="Emphasis"/>
        </w:rPr>
        <w:t>the risks are now existential</w:t>
      </w:r>
      <w:r w:rsidRPr="00FF597F">
        <w:rPr>
          <w:rStyle w:val="StyleUnderline"/>
        </w:rPr>
        <w:t>, a new approach to climate and security risk assessment is required using scenario analysis.”</w:t>
      </w:r>
    </w:p>
    <w:p w14:paraId="57DB270B" w14:textId="77777777" w:rsidR="00222CE7" w:rsidRPr="00FF597F" w:rsidRDefault="00222CE7" w:rsidP="00222CE7">
      <w:r w:rsidRPr="00FF597F">
        <w:t xml:space="preserve">Last October, Motherboard reported on scientific evidence that </w:t>
      </w:r>
      <w:r w:rsidRPr="00FF597F">
        <w:rPr>
          <w:rStyle w:val="StyleUnderline"/>
        </w:rPr>
        <w:t>the UN’s summary report for government policymakers on climate change—whose findings were widely recognized as “devastating”—were in fact too optimistic</w:t>
      </w:r>
      <w:r w:rsidRPr="00FF597F">
        <w:t>.</w:t>
      </w:r>
    </w:p>
    <w:p w14:paraId="0D75AC43" w14:textId="77777777" w:rsidR="00222CE7" w:rsidRPr="00FF597F" w:rsidRDefault="00222CE7" w:rsidP="00222CE7">
      <w:pPr>
        <w:rPr>
          <w:u w:val="single"/>
        </w:rPr>
      </w:pPr>
      <w:r w:rsidRPr="00FF597F">
        <w:t xml:space="preserve">While the Breakthrough scenario sets out some of the more ‘high end’ risk possibilities, it is often not possible to meaningfully quantify their probabilities. As a result, the authors emphasize that </w:t>
      </w:r>
      <w:r w:rsidRPr="00FF597F">
        <w:rPr>
          <w:rStyle w:val="StyleUnderline"/>
        </w:rPr>
        <w:t>conventional risk approaches tend to downplay worst-case scenarios despite their plausibility.</w:t>
      </w:r>
    </w:p>
    <w:p w14:paraId="765E42F4" w14:textId="77777777" w:rsidR="00222CE7" w:rsidRPr="00FF597F" w:rsidRDefault="00222CE7" w:rsidP="00222CE7">
      <w:r w:rsidRPr="00FF597F">
        <w:t>Spratt and Dunlop’s 2050 scenario illustrates how easy it could be to end up in an accelerating runaway climate scenario which would lead to a largely uninhabitable planet within just a few decades.</w:t>
      </w:r>
    </w:p>
    <w:p w14:paraId="193B88D3" w14:textId="77777777" w:rsidR="00222CE7" w:rsidRDefault="00222CE7" w:rsidP="00222CE7">
      <w:pPr>
        <w:rPr>
          <w:rStyle w:val="StyleUnderline"/>
        </w:rPr>
      </w:pPr>
      <w:r w:rsidRPr="00FF597F">
        <w:t>“</w:t>
      </w:r>
      <w:r w:rsidRPr="00FF597F">
        <w:rPr>
          <w:rStyle w:val="StyleUnderline"/>
        </w:rPr>
        <w:t>A high-end 2050 scenario finds a world in social breakdown and outright chaos,” said Spratt. “But a short window of opportunity exists for an emergency, global mobilization of resources, in which the logistical and planning experiences of the national security sector could play a valuable role.”</w:t>
      </w:r>
    </w:p>
    <w:p w14:paraId="0287B661" w14:textId="77777777" w:rsidR="00222CE7" w:rsidRPr="00E25D81" w:rsidRDefault="00222CE7" w:rsidP="000640D4"/>
    <w:p w14:paraId="5F2959A0" w14:textId="77777777" w:rsidR="000640D4" w:rsidRPr="00FF597F" w:rsidRDefault="000640D4" w:rsidP="000640D4">
      <w:pPr>
        <w:pStyle w:val="Heading4"/>
        <w:rPr>
          <w:rFonts w:cs="Times New Roman"/>
        </w:rPr>
      </w:pPr>
      <w:r>
        <w:rPr>
          <w:rFonts w:cs="Times New Roman"/>
        </w:rPr>
        <w:t>F</w:t>
      </w:r>
      <w:r w:rsidRPr="00FF597F">
        <w:rPr>
          <w:rFonts w:cs="Times New Roman"/>
        </w:rPr>
        <w:t>orensic science reforms spill up into broader scientific literacy</w:t>
      </w:r>
    </w:p>
    <w:p w14:paraId="50602F08" w14:textId="77777777" w:rsidR="000640D4" w:rsidRPr="00FF597F" w:rsidRDefault="000640D4" w:rsidP="000640D4">
      <w:pPr>
        <w:rPr>
          <w:rStyle w:val="Style13ptBold"/>
        </w:rPr>
      </w:pPr>
      <w:r w:rsidRPr="00FF597F">
        <w:rPr>
          <w:rStyle w:val="Style13ptBold"/>
        </w:rPr>
        <w:t>Howes and Kemp, U Tasmania Senior Criminology Lecturer, and Psychologist 17</w:t>
      </w:r>
    </w:p>
    <w:p w14:paraId="14F932EE" w14:textId="1C2407C7" w:rsidR="000640D4" w:rsidRPr="0007423E" w:rsidRDefault="000640D4" w:rsidP="000640D4">
      <w:r w:rsidRPr="0007423E">
        <w:t xml:space="preserve">(Loene M. and Nenagh, January 2017, Journal of Language and Social Psychology 36(1):96-111 , “Discord in the Communication of Forensic Science: Can the Science of Language Help Foster Shared Understanding?”, </w:t>
      </w:r>
      <w:r w:rsidRPr="001E736C">
        <w:t>https://doi.org/10.1177/0261927X16663589</w:t>
      </w:r>
      <w:r w:rsidRPr="0007423E">
        <w:t>, p. 12, accessed 7/1/20, zC</w:t>
      </w:r>
    </w:p>
    <w:p w14:paraId="372392F4" w14:textId="77777777" w:rsidR="000640D4" w:rsidRPr="00FF597F" w:rsidRDefault="000640D4" w:rsidP="000640D4">
      <w:r w:rsidRPr="00FF597F">
        <w:t>Implications</w:t>
      </w:r>
    </w:p>
    <w:p w14:paraId="6AC960D9" w14:textId="77777777" w:rsidR="000640D4" w:rsidRPr="00FF597F" w:rsidRDefault="000640D4" w:rsidP="000640D4">
      <w:r w:rsidRPr="00FF597F">
        <w:rPr>
          <w:rStyle w:val="StyleUnderline"/>
        </w:rPr>
        <w:t xml:space="preserve">The issues raised above have some more general implications for the communication of science. </w:t>
      </w:r>
      <w:r w:rsidRPr="00FF597F">
        <w:rPr>
          <w:rStyle w:val="Emphasis"/>
        </w:rPr>
        <w:t>Forensic science is science applied to law, so that nonscientist decision makers have access to expertise to assist in their decision making.</w:t>
      </w:r>
      <w:r w:rsidRPr="00FF597F">
        <w:t xml:space="preserve"> Although some unique communication challenges arise in the context of the criminal justice system, </w:t>
      </w:r>
      <w:r w:rsidRPr="00FF597F">
        <w:rPr>
          <w:rStyle w:val="StyleUnderline"/>
        </w:rPr>
        <w:t>some of the research findings from this area may transfer to other contexts, such as</w:t>
      </w:r>
      <w:r w:rsidRPr="00FF597F">
        <w:rPr>
          <w:rStyle w:val="Emphasis"/>
        </w:rPr>
        <w:t xml:space="preserve"> science communication that informs governmental policy and organisational practice.</w:t>
      </w:r>
      <w:r w:rsidRPr="00FF597F">
        <w:t xml:space="preserve"> Transferable implications include the principles used to guide written communication and the need for science communication to be explicitly taught and enacted with appropriate guidelines, so that professional integrity is not compromised.</w:t>
      </w:r>
    </w:p>
    <w:p w14:paraId="4A95463D" w14:textId="77777777" w:rsidR="000640D4" w:rsidRPr="00FF597F" w:rsidRDefault="000640D4" w:rsidP="000640D4">
      <w:r w:rsidRPr="00FF597F">
        <w:t xml:space="preserve">The principles of the written guidelines that have been developed to assist forensic scientists to write readable reports were drawn from theory and research (Howes, 2015a). Such principles have been used </w:t>
      </w:r>
      <w:r w:rsidRPr="00FF597F">
        <w:lastRenderedPageBreak/>
        <w:t>in other fields such as medical patients’ health literacy (e.g., Clerehan, Buchbinder, &amp; Moodie, 2005; Feufel, Schneider, &amp; Berkel, 2010) and may also be applied to writing for nonscientists about other fields of scientific endeavour. In written communication, to facilitate understanding by nonscientists, it is essential to sequence the text logically to walk the reader through the scientist’s reasoning process, outline key limitations and assumptions of the scientific techniques used, and explain the basis for the opinion in lay terms, defining all necessary specialist terms</w:t>
      </w:r>
      <w:r w:rsidRPr="00FF597F">
        <w:rPr>
          <w:rStyle w:val="Emphasis"/>
        </w:rPr>
        <w:t>. When verbal communication is also possible, it allows a chance for mutually beneficial exchanges, for nonscientists to deepen their understanding of science, and for both parties to negotiate meaning of the scientific findings and expert opinion in the specific context</w:t>
      </w:r>
      <w:r w:rsidRPr="00FF597F">
        <w:t xml:space="preserve"> (about which the nonscientist has valuable knowledge).</w:t>
      </w:r>
    </w:p>
    <w:p w14:paraId="5BB47118" w14:textId="77777777" w:rsidR="000640D4" w:rsidRPr="00FF597F" w:rsidRDefault="000640D4" w:rsidP="000640D4">
      <w:pPr>
        <w:rPr>
          <w:rStyle w:val="StyleUnderline"/>
        </w:rPr>
      </w:pPr>
      <w:r w:rsidRPr="00FF597F">
        <w:t xml:space="preserve">It is evident that </w:t>
      </w:r>
      <w:r w:rsidRPr="00FF597F">
        <w:rPr>
          <w:rStyle w:val="Emphasis"/>
        </w:rPr>
        <w:t>science communication is an important aspect of many science related careers</w:t>
      </w:r>
      <w:r w:rsidRPr="00FF597F">
        <w:t xml:space="preserve">: </w:t>
      </w:r>
      <w:r w:rsidRPr="00FF597F">
        <w:rPr>
          <w:rStyle w:val="StyleUnderline"/>
        </w:rPr>
        <w:t>Science communicators help foster scientific literacy in the communities with which they work.</w:t>
      </w:r>
      <w:r w:rsidRPr="00FF597F">
        <w:t xml:space="preserve"> There is a need for a science communication component to be included in science degrees and professional development workshops. A number of universities offer science communication courses as part of science or journalism degrees (Longnecker, 2009). Such courses encourage students to break away from disciplinary norms and develop flexibility in their writing (and speaking) about science. Some universities also offer cross-disciplinary courses, which foster interaction between prospective forensic scientists and law students (Biedermann et al., 2014). Similar </w:t>
      </w:r>
      <w:r w:rsidRPr="00FF597F">
        <w:rPr>
          <w:rStyle w:val="StyleUnderline"/>
        </w:rPr>
        <w:t>cross-disciplinary courses could be offered, for example, for students of climate and political sciences</w:t>
      </w:r>
      <w:r w:rsidRPr="00FF597F">
        <w:t>.</w:t>
      </w:r>
      <w:r w:rsidRPr="00FF597F">
        <w:rPr>
          <w:rStyle w:val="Emphasis"/>
        </w:rPr>
        <w:t xml:space="preserve"> </w:t>
      </w:r>
      <w:r w:rsidRPr="00FF597F">
        <w:t xml:space="preserve">In such courses, </w:t>
      </w:r>
      <w:r w:rsidRPr="00FF597F">
        <w:rPr>
          <w:rStyle w:val="StyleUnderline"/>
        </w:rPr>
        <w:t>consideration should be given to how audiences can be involved in negotiating meaning for greater understanding through dialogue- and participation-based approaches to science communication.</w:t>
      </w:r>
    </w:p>
    <w:p w14:paraId="346384E1" w14:textId="77777777" w:rsidR="000640D4" w:rsidRDefault="000640D4" w:rsidP="000640D4">
      <w:r w:rsidRPr="00FF597F">
        <w:t>In this article, as part of the special issue on using the science of language to help translate the language of science, we have highlighted some of the contentious aspects of communicating effectively about forensic science in the criminal justice system. We have argued that</w:t>
      </w:r>
      <w:r w:rsidRPr="00FF597F">
        <w:rPr>
          <w:rStyle w:val="StyleUnderline"/>
        </w:rPr>
        <w:t xml:space="preserve"> in light of past failings, forensic science is in an era of increased accountability and transparency. It is incumbent on actors in the criminal justice process to communicate clearly and understand adequately the forensic scientific evidence presented in the criminal justice process.</w:t>
      </w:r>
      <w:r w:rsidRPr="00FF597F">
        <w:t xml:space="preserve"> We argued that </w:t>
      </w:r>
      <w:r w:rsidRPr="00FF597F">
        <w:rPr>
          <w:rStyle w:val="StyleUnderline"/>
        </w:rPr>
        <w:t xml:space="preserve">the science of language can assist in translating the language of science in the criminal justice system. </w:t>
      </w:r>
      <w:r w:rsidRPr="00FF597F">
        <w:t xml:space="preserve">However, we contended that the attempts to improve language must be part of an overall approach that considers the practices and processes of communication more broadly. </w:t>
      </w:r>
      <w:r w:rsidRPr="00FF597F">
        <w:rPr>
          <w:rStyle w:val="Emphasis"/>
        </w:rPr>
        <w:t xml:space="preserve">Discussion and participation models of communication facilitate understanding through negotiation of meaning. </w:t>
      </w:r>
      <w:r w:rsidRPr="00FF597F">
        <w:t>In the criminal justice system, we acknowledged that various initiatives offering the opportunity for discussion and participation are already in place, and we have offered here a theoretical basis to explain their value. We hope that this illustration may be of interest to others who aim to communicate scientific findings from diverse scientific disciplines to nonscientists.</w:t>
      </w:r>
    </w:p>
    <w:p w14:paraId="68ED7970" w14:textId="77777777" w:rsidR="000640D4" w:rsidRDefault="000640D4" w:rsidP="000640D4"/>
    <w:p w14:paraId="7958A563" w14:textId="77777777" w:rsidR="000640D4" w:rsidRPr="00DD57D2" w:rsidRDefault="000640D4" w:rsidP="000640D4">
      <w:pPr>
        <w:pStyle w:val="Heading4"/>
        <w:rPr>
          <w:rFonts w:cs="Times New Roman"/>
        </w:rPr>
      </w:pPr>
      <w:r>
        <w:rPr>
          <w:rFonts w:cs="Times New Roman"/>
        </w:rPr>
        <w:t>Effective d</w:t>
      </w:r>
      <w:r w:rsidRPr="00DD57D2">
        <w:rPr>
          <w:rFonts w:cs="Times New Roman"/>
        </w:rPr>
        <w:t xml:space="preserve">omestic climate litigation solves – it influences climate discourses, fills national legal gaps, and ensures government accountability </w:t>
      </w:r>
    </w:p>
    <w:p w14:paraId="58CDAFCA" w14:textId="77777777" w:rsidR="000640D4" w:rsidRPr="00BF788B" w:rsidRDefault="000640D4" w:rsidP="000640D4">
      <w:pPr>
        <w:rPr>
          <w:rStyle w:val="Style13ptBold"/>
        </w:rPr>
      </w:pPr>
      <w:r w:rsidRPr="00BF788B">
        <w:rPr>
          <w:rStyle w:val="Style13ptBold"/>
        </w:rPr>
        <w:t>Saiger, Institute for Media and Information Law Academic Assistant, 19</w:t>
      </w:r>
    </w:p>
    <w:p w14:paraId="65DDB6B7" w14:textId="0AD4FAB3" w:rsidR="000640D4" w:rsidRPr="00BF788B" w:rsidRDefault="000640D4" w:rsidP="000640D4">
      <w:r w:rsidRPr="00BF788B">
        <w:t xml:space="preserve">[Anna-Julia, 12/5/19, Transnational Environmental Law, “Domestic Courts and the Paris Agreement’s Climate Goals: The Need for a Comparative Approach”, </w:t>
      </w:r>
      <w:r w:rsidRPr="001E736C">
        <w:lastRenderedPageBreak/>
        <w:t>https://www.researchgate.net/publication/337771178_Domestic_Courts_and_the_Paris_Agreement's_Climate_Goals_The_Need_for_a_Comparative_Approach</w:t>
      </w:r>
      <w:r w:rsidRPr="00BF788B">
        <w:t>, Vol. 9, No. 1, p. 6-8, accessed 7/14/20, MZK]</w:t>
      </w:r>
    </w:p>
    <w:p w14:paraId="05B77EA0" w14:textId="77777777" w:rsidR="000640D4" w:rsidRPr="00DD57D2" w:rsidRDefault="000640D4" w:rsidP="000640D4">
      <w:r w:rsidRPr="00DD57D2">
        <w:rPr>
          <w:u w:val="single"/>
        </w:rPr>
        <w:t>There is an extensive body of literature on the role of domestic courts in the international climate change regime.</w:t>
      </w:r>
      <w:r w:rsidRPr="00DD57D2">
        <w:t xml:space="preserve">35 However, the contributions refer only rarely to the methodological debate in international legal scholarship concerning the role of domestic courts in international law.36 Instead, </w:t>
      </w:r>
      <w:r w:rsidRPr="00DD57D2">
        <w:rPr>
          <w:u w:val="single"/>
        </w:rPr>
        <w:t>they focus on the ability of domestic courts to contribute to the global governance challenge of climate change</w:t>
      </w:r>
      <w:r w:rsidRPr="00DD57D2">
        <w:t xml:space="preserve">.37 </w:t>
      </w:r>
      <w:r w:rsidRPr="00DD57D2">
        <w:rPr>
          <w:u w:val="single"/>
        </w:rPr>
        <w:t>As Elizabeth Fisher states, ‘[j]udicial reasoning is of less importance than the actual bringing of the litigation and the outcome of such litigation’</w:t>
      </w:r>
      <w:r w:rsidRPr="00DD57D2">
        <w:t>. 38</w:t>
      </w:r>
    </w:p>
    <w:p w14:paraId="6B816211" w14:textId="77777777" w:rsidR="000640D4" w:rsidRPr="00DD57D2" w:rsidRDefault="000640D4" w:rsidP="000640D4">
      <w:r w:rsidRPr="00DD57D2">
        <w:t xml:space="preserve">The underlying motivation of many scholarly contributions is to solve the complex governance problem of climate change. </w:t>
      </w:r>
      <w:r w:rsidRPr="00DD57D2">
        <w:rPr>
          <w:u w:val="single"/>
        </w:rPr>
        <w:t>Litigation is viewed through the lens of possible responses to institutional failures within other branches of government.</w:t>
      </w:r>
      <w:r w:rsidRPr="00DD57D2">
        <w:t xml:space="preserve">39 In this regard the successful first instance Urgenda decision in 2015 sets an ‘example for the world’. 40 </w:t>
      </w:r>
      <w:r w:rsidRPr="00DD57D2">
        <w:rPr>
          <w:u w:val="single"/>
        </w:rPr>
        <w:t>Scholars emphasize the effects of domestic court decisions on global governance challenges.</w:t>
      </w:r>
      <w:r w:rsidRPr="00DD57D2">
        <w:t xml:space="preserve"> Scholarly accounts of climate change litigation and adjudication follow the multi-layered governance perspective established in earlier literature.41</w:t>
      </w:r>
    </w:p>
    <w:p w14:paraId="5D9C0AE1" w14:textId="77777777" w:rsidR="000640D4" w:rsidRPr="00DD57D2" w:rsidRDefault="000640D4" w:rsidP="000640D4">
      <w:r w:rsidRPr="00DD57D2">
        <w:rPr>
          <w:u w:val="single"/>
        </w:rPr>
        <w:t>The roles attributed to courts are varied and numerous. They fill legal gaps between international objectives and national policies, put pressure on governments and corporations, and influence public discourses.</w:t>
      </w:r>
      <w:r w:rsidRPr="00DD57D2">
        <w:t xml:space="preserve">42 </w:t>
      </w:r>
      <w:r w:rsidRPr="00DD57D2">
        <w:rPr>
          <w:u w:val="single"/>
        </w:rPr>
        <w:t>Courts also realize climate justice in individual cases,</w:t>
      </w:r>
      <w:r w:rsidRPr="00DD57D2">
        <w:t xml:space="preserve">43 </w:t>
      </w:r>
      <w:r w:rsidRPr="00DD57D2">
        <w:rPr>
          <w:u w:val="single"/>
        </w:rPr>
        <w:t>give legal meaning to the provisions of the Paris Agreement</w:t>
      </w:r>
      <w:r w:rsidRPr="00DD57D2">
        <w:t xml:space="preserve">44 </w:t>
      </w:r>
      <w:r w:rsidRPr="00DD57D2">
        <w:rPr>
          <w:u w:val="single"/>
        </w:rPr>
        <w:t>and ensure that governments are held accountable.</w:t>
      </w:r>
      <w:r w:rsidRPr="00DD57D2">
        <w:t xml:space="preserve">45 </w:t>
      </w:r>
      <w:r w:rsidRPr="00DD57D2">
        <w:rPr>
          <w:u w:val="single"/>
        </w:rPr>
        <w:t>Courts stress the urgency of policy changes,46 and develop and promote climate change governance.</w:t>
      </w:r>
      <w:r w:rsidRPr="00DD57D2">
        <w:t>47</w:t>
      </w:r>
    </w:p>
    <w:p w14:paraId="465A385F" w14:textId="77777777" w:rsidR="000640D4" w:rsidRPr="00DD57D2" w:rsidRDefault="000640D4" w:rsidP="000640D4">
      <w:r w:rsidRPr="00DD57D2">
        <w:t>To illustrate this point, it is helpful to take a look at the literature advocating a sceptical stance towards climate change litigation. For example, in his 2007 contribution Eric Posner questions the ability of the courts to contribute to climate protection.48</w:t>
      </w:r>
    </w:p>
    <w:p w14:paraId="0E317E2A" w14:textId="77777777" w:rsidR="000640D4" w:rsidRPr="00DD57D2" w:rsidRDefault="000640D4" w:rsidP="000640D4">
      <w:r w:rsidRPr="00DD57D2">
        <w:t>Jacqueline Peel, Lee Godden and Rodney Keenan point towards procedural barriers and view courts as mediators acting indirectly on climate governance.49 Others point to the high volume of unsuccessful cases50 and warn against backlashes.51 All of these contributions share the initial governance perspective on domestic courts in the climate change regime and ‘emphasize the actors over the structures’. 52</w:t>
      </w:r>
    </w:p>
    <w:p w14:paraId="1BC1C915" w14:textId="77777777" w:rsidR="000640D4" w:rsidRPr="00DD57D2" w:rsidRDefault="000640D4" w:rsidP="000640D4">
      <w:r w:rsidRPr="00DD57D2">
        <w:rPr>
          <w:u w:val="single"/>
        </w:rPr>
        <w:t>There are several reasons for the focus on domestic courts as actors in global climate change governance. It has been stated that the literature pays particular attention to certain ‘high profile climate change cases’.</w:t>
      </w:r>
      <w:r w:rsidRPr="00DD57D2">
        <w:t xml:space="preserve"> 53 One of the first examples is the academic discussion of Massachusetts v. EPA in 2007.54 At that time, the Kyoto Protocol was about to enter into force.55 Its first commitment period spanned 2008 to 2012. The United States (US) never ratified the Kyoto Protocol and was therefore bound only by the general objectives of the UNFCCC. Domestic courts became new fora in which climate protection efforts could be pursued: </w:t>
      </w:r>
      <w:r w:rsidRPr="00DD57D2">
        <w:rPr>
          <w:u w:val="single"/>
        </w:rPr>
        <w:t>In the US, the refusal of the Bush Administration</w:t>
      </w:r>
      <w:r w:rsidRPr="00DD57D2">
        <w:t xml:space="preserve"> (January 2001–January 2009) </w:t>
      </w:r>
      <w:r w:rsidRPr="00DD57D2">
        <w:rPr>
          <w:u w:val="single"/>
        </w:rPr>
        <w:t>to undertake climate change regulation under existing environmental laws or to support the promulgation of any new climate change laws caused deep frustration and undeniably prompted action through the courts to put pressure on the executive branch to act on climate change.</w:t>
      </w:r>
      <w:r w:rsidRPr="00DD57D2">
        <w:t>56</w:t>
      </w:r>
    </w:p>
    <w:p w14:paraId="744BEA77" w14:textId="77777777" w:rsidR="000640D4" w:rsidRPr="00DD57D2" w:rsidRDefault="000640D4" w:rsidP="000640D4">
      <w:r w:rsidRPr="00A36768">
        <w:rPr>
          <w:rStyle w:val="StyleUnderline"/>
        </w:rPr>
        <w:t>The search for alternative climate protection drivers was intensified by the role of the US as a major emitter of greenhouse gases</w:t>
      </w:r>
      <w:r w:rsidRPr="00DD57D2">
        <w:t xml:space="preserve"> (GHGs); this also holds true for Australia.57 Moreover, most climate change litigation has taken place in these two jurisdictions. Accordingly, the literature predominantly </w:t>
      </w:r>
      <w:r w:rsidRPr="00DD57D2">
        <w:lastRenderedPageBreak/>
        <w:t>assesses these two jurisdictions. From its inception the debate was closely focused on common law systems.</w:t>
      </w:r>
    </w:p>
    <w:p w14:paraId="1F6ECE25" w14:textId="77777777" w:rsidR="000640D4" w:rsidRDefault="000640D4" w:rsidP="000640D4">
      <w:r w:rsidRPr="00DD57D2">
        <w:rPr>
          <w:u w:val="single"/>
        </w:rPr>
        <w:t>The deadlock in international negotiations in relation to the second commitment period of the Kyoto Protocol</w:t>
      </w:r>
      <w:r w:rsidRPr="00DD57D2">
        <w:t xml:space="preserve">, from 2009 in Copenhagen to 2012 in Doha, </w:t>
      </w:r>
      <w:r w:rsidRPr="00A36768">
        <w:rPr>
          <w:rStyle w:val="StyleUnderline"/>
        </w:rPr>
        <w:t>led to a lack of confidence in international law</w:t>
      </w:r>
      <w:r w:rsidRPr="00DD57D2">
        <w:t xml:space="preserve">.58 </w:t>
      </w:r>
      <w:r w:rsidRPr="00DD57D2">
        <w:rPr>
          <w:u w:val="single"/>
        </w:rPr>
        <w:t xml:space="preserve">At the same time, a growing body of climate change litigation in other jurisdictions provoked </w:t>
      </w:r>
      <w:r w:rsidRPr="00A36768">
        <w:t>scholarly</w:t>
      </w:r>
      <w:r w:rsidRPr="00DD57D2">
        <w:rPr>
          <w:u w:val="single"/>
        </w:rPr>
        <w:t xml:space="preserve"> responses.</w:t>
      </w:r>
      <w:r w:rsidRPr="00DD57D2">
        <w:t xml:space="preserve"> </w:t>
      </w:r>
      <w:r w:rsidRPr="00A36768">
        <w:t>The governance approach to</w:t>
      </w:r>
      <w:r w:rsidRPr="00A36768">
        <w:rPr>
          <w:rStyle w:val="StyleUnderline"/>
        </w:rPr>
        <w:t xml:space="preserve"> domestic courts </w:t>
      </w:r>
      <w:r w:rsidRPr="00A36768">
        <w:t>thus</w:t>
      </w:r>
      <w:r w:rsidRPr="00A36768">
        <w:rPr>
          <w:rStyle w:val="StyleUnderline"/>
        </w:rPr>
        <w:t xml:space="preserve"> expanded </w:t>
      </w:r>
      <w:r w:rsidRPr="00A36768">
        <w:t>to other jurisdictions</w:t>
      </w:r>
      <w:r w:rsidRPr="00DD57D2">
        <w:t>.59</w:t>
      </w:r>
    </w:p>
    <w:p w14:paraId="78E71F1B" w14:textId="77777777" w:rsidR="000640D4" w:rsidRPr="00DD57D2" w:rsidRDefault="000640D4" w:rsidP="000640D4">
      <w:pPr>
        <w:pStyle w:val="Heading3"/>
      </w:pPr>
      <w:r>
        <w:lastRenderedPageBreak/>
        <w:t xml:space="preserve">Sci Literacy - </w:t>
      </w:r>
      <w:r w:rsidRPr="00DD57D2">
        <w:t>Climate Litigation</w:t>
      </w:r>
      <w:r>
        <w:t xml:space="preserve"> Solvency</w:t>
      </w:r>
    </w:p>
    <w:p w14:paraId="55A13B74" w14:textId="77777777" w:rsidR="000640D4" w:rsidRPr="00DD57D2" w:rsidRDefault="000640D4" w:rsidP="000640D4">
      <w:pPr>
        <w:pStyle w:val="Heading4"/>
        <w:rPr>
          <w:rFonts w:cs="Times New Roman"/>
        </w:rPr>
      </w:pPr>
      <w:r w:rsidRPr="00DD57D2">
        <w:rPr>
          <w:rFonts w:cs="Times New Roman"/>
        </w:rPr>
        <w:t>Domestic climate litigation spills up into national climate change efforts</w:t>
      </w:r>
    </w:p>
    <w:p w14:paraId="2572B9AB" w14:textId="77777777" w:rsidR="000640D4" w:rsidRPr="00DD57D2" w:rsidRDefault="000640D4" w:rsidP="000640D4">
      <w:pPr>
        <w:rPr>
          <w:b/>
        </w:rPr>
      </w:pPr>
      <w:r w:rsidRPr="00DD57D2">
        <w:rPr>
          <w:b/>
        </w:rPr>
        <w:t>Mitkidis, Aarhus Associate Professor of Law, Valkanou, Copenhagen University Law PhD Fellow, 20</w:t>
      </w:r>
    </w:p>
    <w:p w14:paraId="3D499782" w14:textId="77777777" w:rsidR="000640D4" w:rsidRPr="00DD57D2" w:rsidRDefault="000640D4" w:rsidP="000640D4">
      <w:r w:rsidRPr="00DD57D2">
        <w:t xml:space="preserve">[Katerina, Theodore, 3/6/20, Transnational Environmental Law, “Climate Change Litigation: Trends, Policy Implications, and the Way Forward”, </w:t>
      </w:r>
      <w:r w:rsidRPr="00DD57D2">
        <w:rPr>
          <w:rFonts w:eastAsiaTheme="majorEastAsia"/>
        </w:rPr>
        <w:t>https://www.researchgate.net/publication/339751528_Climate_Change_Litigation_Trends_Policy_Implications_and_the_Way_Forward</w:t>
      </w:r>
      <w:r w:rsidRPr="00DD57D2">
        <w:t>, Vol. 9, No. 1, p. 14, accessed 7/14/20, MZK]</w:t>
      </w:r>
    </w:p>
    <w:p w14:paraId="4B462D85" w14:textId="77777777" w:rsidR="000640D4" w:rsidRPr="00DD57D2" w:rsidRDefault="000640D4" w:rsidP="000640D4">
      <w:r w:rsidRPr="00DD57D2">
        <w:rPr>
          <w:u w:val="single"/>
        </w:rPr>
        <w:t>In the midst of the ever-increasing interest of legal scholars in the phenomenon of climate change,</w:t>
      </w:r>
      <w:r w:rsidRPr="00DD57D2">
        <w:t xml:space="preserve"> fuelled by the decision of the court of first instance in the Urgenda case in the Netherlands and awaiting the decision of the Hague Court of Appeal,10 </w:t>
      </w:r>
      <w:r w:rsidRPr="00DD57D2">
        <w:rPr>
          <w:u w:val="single"/>
        </w:rPr>
        <w:t xml:space="preserve">the International and Transnational Tendencies in Law Center </w:t>
      </w:r>
      <w:r w:rsidRPr="00DD57D2">
        <w:t xml:space="preserve">(INTRAlaw) </w:t>
      </w:r>
      <w:r w:rsidRPr="00DD57D2">
        <w:rPr>
          <w:u w:val="single"/>
        </w:rPr>
        <w:t>at Aarhus University (Denmark) convened a workshop entitled ‘Climate Change Litigation: Trends, Policy Implications and the Way Forward’.</w:t>
      </w:r>
      <w:r w:rsidRPr="00DD57D2">
        <w:t xml:space="preserve"> The workshop took place at the Aarhus University Department of Law on 14 and 15 June 2018. It gathered participants representing both academics and practitioners from around the world to reflect on the current state of climate litigation, its implications and future prospects. </w:t>
      </w:r>
      <w:r w:rsidRPr="00DD57D2">
        <w:rPr>
          <w:u w:val="single"/>
        </w:rPr>
        <w:t>The participants of the workshop first discussed recent advancements in the area of climate litigation, such as the engagement of national courts with the Paris Agreement, the implications of climate litigation for business, and the emerging ‘human rights turn’.</w:t>
      </w:r>
      <w:r w:rsidRPr="00DD57D2">
        <w:t xml:space="preserve"> 11 The discussion subsequently addressed the intersections of law and policy not only within the environmental field but also in a broader context, such as that of international investment law. The workshop concluded with the prospects for future climate litigation, exploring possible new legal bases for future cases, such as financial regulation, international criminal law, and the law of restitution. The articles in this Symposium Collection were inspired by the various discussions at the workshop.</w:t>
      </w:r>
    </w:p>
    <w:p w14:paraId="5E4D123E" w14:textId="77777777" w:rsidR="000640D4" w:rsidRPr="00DD57D2" w:rsidRDefault="000640D4" w:rsidP="000640D4">
      <w:pPr>
        <w:rPr>
          <w:u w:val="single"/>
        </w:rPr>
      </w:pPr>
      <w:r w:rsidRPr="00DD57D2">
        <w:t xml:space="preserve">The Symposium Collection opens with two articles that engage with the interaction (and potential cross-fertilization) between international and domestic climate change law. The authors, however, take different points of departure. </w:t>
      </w:r>
      <w:r w:rsidRPr="00DD57D2">
        <w:rPr>
          <w:u w:val="single"/>
        </w:rPr>
        <w:t>Lennart Wegener, in his article ‘Can the Paris Agreement Help Climate Change Litigation and Vice Versa?’, hypothesizes that the ‘dynamic interaction between domestic litigation and the Paris Agreement may improve the overall efficacy of both regimes’.</w:t>
      </w:r>
      <w:r w:rsidRPr="00DD57D2">
        <w:t xml:space="preserve"> 12 </w:t>
      </w:r>
      <w:r w:rsidRPr="00DD57D2">
        <w:rPr>
          <w:u w:val="single"/>
        </w:rPr>
        <w:t>He unfolds the argument that the rather soft nature of the provisions of the Paris Agreement and its bottom-up architecture, on the one hand, and litigation before domestic courts, on the other hand, are mutually reinforcing. Domestic litigation may trigger internalization processes with regard to the norms and goals of the Paris Agreement and subsequently activate national action</w:t>
      </w:r>
      <w:r w:rsidRPr="00DD57D2">
        <w:t xml:space="preserve">. </w:t>
      </w:r>
      <w:r w:rsidRPr="00DD57D2">
        <w:rPr>
          <w:u w:val="single"/>
        </w:rPr>
        <w:t>In turn, the review of nationally set climate change policies as expressed in nationally determined contributions (NDCs) through domestic litigation may lead to effectuating the international regime by giving soft goals in NDCs a hard law edge.</w:t>
      </w:r>
      <w:r w:rsidRPr="00DD57D2">
        <w:t xml:space="preserve"> The author warns that the legal value of the Paris Agreement might be overshadowed by national law, namely constitutional and procedural law, which has a more direct impact on the outcomes of domestic litigation. </w:t>
      </w:r>
      <w:r w:rsidRPr="00DD57D2">
        <w:rPr>
          <w:u w:val="single"/>
        </w:rPr>
        <w:t>Yet, Wegener underscores the significant and meaningful role of the Paris Agreement in coordinating global efforts to combat climate change and calls for closer attention to be paid to the ‘normative and functional interlinkages and interactions’ between the international and domestic level of climate change regulation.</w:t>
      </w:r>
    </w:p>
    <w:p w14:paraId="4DC1C6F0" w14:textId="77777777" w:rsidR="000640D4" w:rsidRPr="00DD57D2" w:rsidRDefault="000640D4" w:rsidP="000640D4">
      <w:r w:rsidRPr="00DD57D2">
        <w:t xml:space="preserve">The second article, ‘Domestic Courts and the Paris Agreement’s Climate Goals: The Need for a Comparative Approach’ by Anna-Julia Saiger,13 brings into focus the methodological challenges of </w:t>
      </w:r>
      <w:r w:rsidRPr="00DD57D2">
        <w:lastRenderedPageBreak/>
        <w:t xml:space="preserve">studying the relationship between international and domestic climate change law. Saiger adopts a critical attitude towards legal scholarship on climate change litigation for rarely engaging in a methodological discussion. She highlights the need for a more traditional, yet nuanced, legal approach to the examination of the role of domestic courts in the creation and enforcement of international law. The author proposes a context-sensitive comparative approach as a possible avenue that is sensitive to national peculiarities and circumstances while permitting the comparison of cases from diverse jurisdictions. </w:t>
      </w:r>
      <w:r w:rsidRPr="00DD57D2">
        <w:rPr>
          <w:u w:val="single"/>
        </w:rPr>
        <w:t>Such an approach allows for considering courts’ motivations and self-conception when delivering judgments on climate change-related issues in national contexts as well as taking into account the national institutional setting and power balance among various state powers and organs.</w:t>
      </w:r>
      <w:r w:rsidRPr="00DD57D2">
        <w:t xml:space="preserve">14 Saiger aspires to bring (and succeeds in bringing) attention back to the underlying legal analysis of the manoeuvring space of domestic courts in relation to international climate change law. Providing as an example the international obligations of conduct under the Paris Agreement, on the one hand, and the nationally set obligations of result, on the other hand, </w:t>
      </w:r>
      <w:r w:rsidRPr="00DD57D2">
        <w:rPr>
          <w:u w:val="single"/>
        </w:rPr>
        <w:t>the author contends that the role of domestic courts in international law creation and enforcement is determined by their ability to link these two types of obligation.</w:t>
      </w:r>
      <w:r w:rsidRPr="00DD57D2">
        <w:t xml:space="preserve"> </w:t>
      </w:r>
      <w:r w:rsidRPr="00DD57D2">
        <w:rPr>
          <w:u w:val="single"/>
        </w:rPr>
        <w:t>Saiger concludes that ‘climate change litigation may become an opportunity to (re)discuss the role of domestic courts in the international legal architecture’.</w:t>
      </w:r>
      <w:r w:rsidRPr="00DD57D2">
        <w:t xml:space="preserve"> 15</w:t>
      </w:r>
    </w:p>
    <w:p w14:paraId="1DF9CD0A" w14:textId="77777777" w:rsidR="000640D4" w:rsidRPr="00DD57D2" w:rsidRDefault="000640D4" w:rsidP="000640D4"/>
    <w:p w14:paraId="133BC909" w14:textId="77777777" w:rsidR="000640D4" w:rsidRPr="00DD57D2" w:rsidRDefault="000640D4" w:rsidP="000640D4">
      <w:pPr>
        <w:pStyle w:val="Heading3"/>
        <w:rPr>
          <w:rFonts w:cs="Times New Roman"/>
        </w:rPr>
      </w:pPr>
      <w:r>
        <w:rPr>
          <w:rFonts w:cs="Times New Roman"/>
        </w:rPr>
        <w:lastRenderedPageBreak/>
        <w:t xml:space="preserve">Sci Literacy - </w:t>
      </w:r>
      <w:r w:rsidRPr="00DD57D2">
        <w:rPr>
          <w:rFonts w:cs="Times New Roman"/>
        </w:rPr>
        <w:t>Climate Litigation Democracy Add-On</w:t>
      </w:r>
    </w:p>
    <w:p w14:paraId="779C0DEC" w14:textId="77777777" w:rsidR="000640D4" w:rsidRPr="00DD57D2" w:rsidRDefault="000640D4" w:rsidP="000640D4">
      <w:pPr>
        <w:pStyle w:val="Heading4"/>
        <w:rPr>
          <w:rFonts w:cs="Times New Roman"/>
        </w:rPr>
      </w:pPr>
      <w:r w:rsidRPr="00DD57D2">
        <w:rPr>
          <w:rFonts w:cs="Times New Roman"/>
        </w:rPr>
        <w:t>Climate Litigation is a prerequisite to democracy</w:t>
      </w:r>
    </w:p>
    <w:p w14:paraId="38CF04A8" w14:textId="77777777" w:rsidR="000640D4" w:rsidRPr="00DD57D2" w:rsidRDefault="000640D4" w:rsidP="000640D4">
      <w:pPr>
        <w:rPr>
          <w:b/>
        </w:rPr>
      </w:pPr>
      <w:r w:rsidRPr="00DD57D2">
        <w:rPr>
          <w:b/>
        </w:rPr>
        <w:t>Mitkidis, Aarhus Associate Professor of Law, Valkanou, Copenhagen University Law PhD Fellow, 20</w:t>
      </w:r>
    </w:p>
    <w:p w14:paraId="78F2667D" w14:textId="77777777" w:rsidR="000640D4" w:rsidRPr="00DD57D2" w:rsidRDefault="000640D4" w:rsidP="000640D4">
      <w:r w:rsidRPr="00DD57D2">
        <w:t xml:space="preserve">[Katerina, Theodore, 3/6/20, Transnational Environmental Law, “Climate Change Litigation: Trends, Policy Implications, and the Way Forward”, </w:t>
      </w:r>
      <w:r w:rsidRPr="00DD57D2">
        <w:rPr>
          <w:rFonts w:eastAsiaTheme="majorEastAsia"/>
        </w:rPr>
        <w:t>https://www.researchgate.net/publication/339751528_Climate_Change_Litigation_Trends_Policy_Implications_and_the_Way_Forward</w:t>
      </w:r>
      <w:r w:rsidRPr="00DD57D2">
        <w:t>, Vol. 9, No. 1, p. 14, accessed 7/14/20, MZK]</w:t>
      </w:r>
    </w:p>
    <w:p w14:paraId="0652B1DD" w14:textId="77777777" w:rsidR="000640D4" w:rsidRPr="00DD57D2" w:rsidRDefault="000640D4" w:rsidP="000640D4">
      <w:pPr>
        <w:rPr>
          <w:u w:val="single"/>
        </w:rPr>
      </w:pPr>
      <w:r w:rsidRPr="00DD57D2">
        <w:rPr>
          <w:u w:val="single"/>
        </w:rPr>
        <w:t>In her article, ‘Should Judges Make Climate Change Law?’,</w:t>
      </w:r>
      <w:r w:rsidRPr="00DD57D2">
        <w:t xml:space="preserve"> 16 </w:t>
      </w:r>
      <w:r w:rsidRPr="00DD57D2">
        <w:rPr>
          <w:u w:val="single"/>
        </w:rPr>
        <w:t>Laura Burgers shifts the discussion from the interaction between international and national climate change law to the interplay between law and politics</w:t>
      </w:r>
      <w:r w:rsidRPr="00DD57D2">
        <w:t>. She addresses the doctrine of the separation of powers in light of the growing trend of climate litigation</w:t>
      </w:r>
      <w:r w:rsidRPr="00DD57D2">
        <w:rPr>
          <w:u w:val="single"/>
        </w:rPr>
        <w:t>. The question sought to be answered is whether the judiciary has the competence to adjudicate matters of high political sensitivity – in the case of climate change – or whether it acts ultra vires by doing so.</w:t>
      </w:r>
      <w:r w:rsidRPr="00DD57D2">
        <w:t xml:space="preserve"> Burgers thereby tackles the tension between law and politics as demonstrated in climate litigation. </w:t>
      </w:r>
      <w:r w:rsidRPr="00DD57D2">
        <w:rPr>
          <w:u w:val="single"/>
        </w:rPr>
        <w:t>With a view to identifying the confines of legitimate judicial lawmaking in a constitutional democracy, she draws inspiration from the political theory on deliberative democracy of the German philosopher and sociologist Jürgen Habermas.</w:t>
      </w:r>
      <w:r w:rsidRPr="00DD57D2">
        <w:t xml:space="preserve">17 Based on this theory, Burgers argues that the law derives legitimacy from the societal discursive process among citizens in the public sphere on how law should be formulated (which is ultimately echoed by the democratically elected parliament and government). When adjudicating, courts in turn should follow suit and reflect in their judgments society’s established beliefs.18 </w:t>
      </w:r>
      <w:r w:rsidRPr="00DD57D2">
        <w:rPr>
          <w:u w:val="single"/>
        </w:rPr>
        <w:t>The judiciary may make a decision that opposes democratic majorities only if such a deviation is founded on the protection of fundamental rights</w:t>
      </w:r>
      <w:r w:rsidRPr="00DD57D2">
        <w:t xml:space="preserve">. </w:t>
      </w:r>
      <w:r w:rsidRPr="00DD57D2">
        <w:rPr>
          <w:u w:val="single"/>
        </w:rPr>
        <w:t xml:space="preserve">As argued by Burgers, a legal transition most notably marked by the constitutionalization of the environment in various jurisdictions has been identified. </w:t>
      </w:r>
      <w:r w:rsidRPr="00DD57D2">
        <w:t xml:space="preserve">Not only does such legal transition affirm that climate change has entered the legal (and constitutional) domain (as opposed to its perceived existence as a political matter alone), but it also constitutes one of the state’s foundations.19 </w:t>
      </w:r>
      <w:r w:rsidRPr="00DD57D2">
        <w:rPr>
          <w:u w:val="single"/>
        </w:rPr>
        <w:t>Burgers concludes that climate change litigation reflects a ‘growing consensus’ that the environment is of constitutional value and, in turn, a prerequisite for democracy – and such qualification is the basis of the democratic legitimacy of judicial lawmaking on climate change.</w:t>
      </w:r>
    </w:p>
    <w:p w14:paraId="2D7E26DB" w14:textId="77777777" w:rsidR="000640D4" w:rsidRPr="00DD57D2" w:rsidRDefault="000640D4" w:rsidP="000640D4"/>
    <w:p w14:paraId="5BA5628B" w14:textId="77777777" w:rsidR="000640D4" w:rsidRPr="00DD57D2" w:rsidRDefault="000640D4" w:rsidP="000640D4">
      <w:pPr>
        <w:pStyle w:val="Heading4"/>
        <w:rPr>
          <w:rFonts w:cs="Times New Roman"/>
        </w:rPr>
      </w:pPr>
      <w:r w:rsidRPr="00DD57D2">
        <w:rPr>
          <w:rFonts w:cs="Times New Roman"/>
        </w:rPr>
        <w:t>Climate litigation increases the democratic legitimacy of judicial lawmaking</w:t>
      </w:r>
    </w:p>
    <w:p w14:paraId="72C2572B" w14:textId="77777777" w:rsidR="000640D4" w:rsidRPr="00DD57D2" w:rsidRDefault="000640D4" w:rsidP="000640D4">
      <w:pPr>
        <w:rPr>
          <w:b/>
        </w:rPr>
      </w:pPr>
      <w:r w:rsidRPr="00DD57D2">
        <w:rPr>
          <w:b/>
        </w:rPr>
        <w:t>Burgers, University of Amsterdam Contract Law PhD Candidate, 20</w:t>
      </w:r>
    </w:p>
    <w:p w14:paraId="2497034F" w14:textId="607D6822" w:rsidR="000640D4" w:rsidRPr="00DD57D2" w:rsidRDefault="000640D4" w:rsidP="000640D4">
      <w:r w:rsidRPr="00DD57D2">
        <w:t xml:space="preserve">[Laura, 1/15/20, Transnational Environmental Law, “Should Judges Make Climate Change Law?”, </w:t>
      </w:r>
      <w:r w:rsidRPr="001E736C">
        <w:t>https://www.researchgate.net/publication/338610538_Should_Judges_Make_Climate_Change_Law</w:t>
      </w:r>
      <w:r w:rsidRPr="00DD57D2">
        <w:t>, Vol. 9, No. 1, p. 74-75, accessed 7/14/20, MZK]</w:t>
      </w:r>
    </w:p>
    <w:p w14:paraId="5066BCBF" w14:textId="77777777" w:rsidR="000640D4" w:rsidRPr="00DD57D2" w:rsidRDefault="000640D4" w:rsidP="000640D4">
      <w:pPr>
        <w:rPr>
          <w:u w:val="single"/>
        </w:rPr>
      </w:pPr>
      <w:r w:rsidRPr="00DD57D2">
        <w:rPr>
          <w:u w:val="single"/>
        </w:rPr>
        <w:t>The added value of law, as opposed to politics, is that once the political debate has resulted in legislation, rules may be enforced</w:t>
      </w:r>
      <w:r w:rsidRPr="00DD57D2">
        <w:t xml:space="preserve">. Climate activists feel the urgency to undertake action now, and claim that we have moved beyond the stage of political debate. </w:t>
      </w:r>
      <w:r w:rsidRPr="00DD57D2">
        <w:rPr>
          <w:u w:val="single"/>
        </w:rPr>
        <w:t>Where political institutions fail to implement adequate measures, they resort to the judiciary.</w:t>
      </w:r>
      <w:r w:rsidRPr="00DD57D2">
        <w:t xml:space="preserve"> </w:t>
      </w:r>
      <w:r w:rsidRPr="00DD57D2">
        <w:rPr>
          <w:u w:val="single"/>
        </w:rPr>
        <w:t>However, the judiciary can legitimately oppose democratic majoritarian decisions only when fundamental rights are at stake.</w:t>
      </w:r>
      <w:r w:rsidRPr="00DD57D2">
        <w:t xml:space="preserve"> </w:t>
      </w:r>
      <w:r w:rsidRPr="00DD57D2">
        <w:rPr>
          <w:u w:val="single"/>
        </w:rPr>
        <w:t xml:space="preserve">Therefore, the increasing success of litigating environmentalists can be understood only in combination with the ongoing </w:t>
      </w:r>
      <w:r w:rsidRPr="00DD57D2">
        <w:rPr>
          <w:u w:val="single"/>
        </w:rPr>
        <w:lastRenderedPageBreak/>
        <w:t>constitutionalization of the environment.</w:t>
      </w:r>
      <w:r w:rsidRPr="00DD57D2">
        <w:t xml:space="preserve"> This environmental constitutionalism does not provide the definitive answer to the climate problem, as enforcement and implementation are still tasks for the executive branches of government</w:t>
      </w:r>
      <w:r w:rsidRPr="00DD57D2">
        <w:rPr>
          <w:u w:val="single"/>
        </w:rPr>
        <w:t>. Climate change litigation therefore demonstrates how the climate is pulled from the political towards the legal domain and, especially when successful, how this forces the climate to reappear in the political arena so as to be addressed more thoroughly.</w:t>
      </w:r>
    </w:p>
    <w:p w14:paraId="1063DD6E" w14:textId="77777777" w:rsidR="000640D4" w:rsidRPr="00DD57D2" w:rsidRDefault="000640D4" w:rsidP="000640D4">
      <w:pPr>
        <w:rPr>
          <w:u w:val="single"/>
        </w:rPr>
      </w:pPr>
      <w:r w:rsidRPr="00DD57D2">
        <w:t xml:space="preserve">My central claim is that </w:t>
      </w:r>
      <w:r w:rsidRPr="00DD57D2">
        <w:rPr>
          <w:u w:val="single"/>
        </w:rPr>
        <w:t>the international climate litigation trend is indicative of the growing consensus that the environment is a constitutional matter and therefore a prerequisite for democracy.</w:t>
      </w:r>
      <w:r w:rsidRPr="00DD57D2">
        <w:t xml:space="preserve"> </w:t>
      </w:r>
      <w:r w:rsidRPr="00DD57D2">
        <w:rPr>
          <w:u w:val="single"/>
        </w:rPr>
        <w:t>Although the role of the judiciary as such remains unchanged, this legal dynamic is likely to increase the democratic legitimacy of judicial lawmaking on climate change.</w:t>
      </w:r>
      <w:r w:rsidRPr="00DD57D2">
        <w:t xml:space="preserve"> This is a circular and ongoing process: </w:t>
      </w:r>
      <w:r w:rsidRPr="00DD57D2">
        <w:rPr>
          <w:u w:val="single"/>
        </w:rPr>
        <w:t>as this perspective is shared more widely across society, more judges feel able to adopt it in their verdicts, which in turn leads to debate about those judicial decisions, which increases awareness of climate change and, at least at present, appears to result in an even greater acceptance of a constitutionalized environment.</w:t>
      </w:r>
    </w:p>
    <w:p w14:paraId="623289F8" w14:textId="77777777" w:rsidR="000640D4" w:rsidRPr="00DD57D2" w:rsidRDefault="000640D4" w:rsidP="000640D4">
      <w:r w:rsidRPr="00DD57D2">
        <w:t>It is important to acknowledge certain limitations with the argument put forward in this article. Firstly, it is naturally the case that factors other than constitutionalization also contribute to the different outcomes in climate cases. Differences between legal systems play a role, as do the particularities of each lawsuit. The transnational trend is not moving at the same pace in every country.</w:t>
      </w:r>
    </w:p>
    <w:p w14:paraId="47E3D419" w14:textId="77777777" w:rsidR="000640D4" w:rsidRPr="00DD57D2" w:rsidRDefault="000640D4" w:rsidP="000640D4">
      <w:r w:rsidRPr="00DD57D2">
        <w:t xml:space="preserve">Secondly, most climate cases have been unsuccessful. For example, while the court of first instance in Austria agreed with the climate litigants, this decision was subsequently overturned. Certain US attorneys-general have said they will ‘aggressively fight a suite of lawsuits against fossil fuel companies over climate change damages’. 129 </w:t>
      </w:r>
      <w:r w:rsidRPr="00DD57D2">
        <w:rPr>
          <w:u w:val="single"/>
        </w:rPr>
        <w:t>Moreover, climate sceptics slow down the climate change litigation trend by continuing to challenge the very existence and causes of global heating.</w:t>
      </w:r>
      <w:r w:rsidRPr="00DD57D2">
        <w:t xml:space="preserve"> Most climate lawsuits are conducted in the US, where a climate sceptic holds office in the White House.130 Indeed, some US lawsuits contest rather than claim that climate change action should be taken.131 </w:t>
      </w:r>
      <w:r w:rsidRPr="00DD57D2">
        <w:rPr>
          <w:u w:val="single"/>
        </w:rPr>
        <w:t>Yet, at the same time, many local governments remain convinced of their obligation to comply with the Paris Agreement, even while the Trump administration withdraws from it.</w:t>
      </w:r>
      <w:r w:rsidRPr="00DD57D2">
        <w:t xml:space="preserve">132 Recently, two towns adopted ordinances recognizing the right to a healthy climate.133 </w:t>
      </w:r>
      <w:r w:rsidRPr="00DD57D2">
        <w:rPr>
          <w:u w:val="single"/>
        </w:rPr>
        <w:t>Whereas all this could be characterized as an extremely divisive political atmosphere, it also indicates that these local authorities have a deep conviction that climate change is no longer solely in the domain of politics and instead is a legalconstitutional matter.</w:t>
      </w:r>
      <w:r w:rsidRPr="00DD57D2">
        <w:t xml:space="preserve"> It remains to be seen whether this conviction will become as widespread and accepted as, for instance, our disapproval of racial discrimination.</w:t>
      </w:r>
    </w:p>
    <w:p w14:paraId="0A4C973B" w14:textId="77777777" w:rsidR="000640D4" w:rsidRDefault="000640D4" w:rsidP="000640D4">
      <w:pPr>
        <w:pStyle w:val="Heading3"/>
      </w:pPr>
      <w:r>
        <w:lastRenderedPageBreak/>
        <w:t>Sci Literacy – Democracy Impact</w:t>
      </w:r>
    </w:p>
    <w:p w14:paraId="3752653C" w14:textId="77777777" w:rsidR="000640D4" w:rsidRPr="00D91E52" w:rsidRDefault="000640D4" w:rsidP="000640D4">
      <w:pPr>
        <w:pStyle w:val="Heading4"/>
      </w:pPr>
      <w:r>
        <w:t>Scientific literacy promotes critical thinking---key to uphold democratic principles</w:t>
      </w:r>
    </w:p>
    <w:p w14:paraId="6F028E7A" w14:textId="77777777" w:rsidR="000640D4" w:rsidRPr="00DC2643" w:rsidRDefault="000640D4" w:rsidP="000640D4">
      <w:pPr>
        <w:rPr>
          <w:rStyle w:val="Style13ptBold"/>
        </w:rPr>
      </w:pPr>
      <w:r w:rsidRPr="00DC2643">
        <w:rPr>
          <w:rStyle w:val="Style13ptBold"/>
        </w:rPr>
        <w:t xml:space="preserve">Nugent, </w:t>
      </w:r>
      <w:r>
        <w:rPr>
          <w:rStyle w:val="Style13ptBold"/>
        </w:rPr>
        <w:t>Southern New Hampshire University</w:t>
      </w:r>
      <w:r w:rsidRPr="00DC2643">
        <w:rPr>
          <w:rStyle w:val="Style13ptBold"/>
        </w:rPr>
        <w:t xml:space="preserve"> science dean, 18</w:t>
      </w:r>
    </w:p>
    <w:p w14:paraId="5020DCCC" w14:textId="1D40718E" w:rsidR="000640D4" w:rsidRDefault="000640D4" w:rsidP="000640D4">
      <w:r>
        <w:t xml:space="preserve">[Jill, 4/6/18, Southern New Hampshire University, “Why Science Matters in Today’s Knowledge Economy,” </w:t>
      </w:r>
      <w:r w:rsidRPr="001E736C">
        <w:t>https://www.snhu.edu/about-us/newsroom/2018/04/why-science-matters-in-todays-knowledge-economy#:~:text=Scientific%20literacy%20refers%20to%20an,and%20foster%20a%20productive%20economy</w:t>
      </w:r>
      <w:r>
        <w:t>., accessed on 7/15/20, BS]</w:t>
      </w:r>
    </w:p>
    <w:p w14:paraId="17C36F54" w14:textId="77777777" w:rsidR="000640D4" w:rsidRPr="00343FD9" w:rsidRDefault="000640D4" w:rsidP="000640D4">
      <w:pPr>
        <w:rPr>
          <w:rStyle w:val="StyleUnderline"/>
        </w:rPr>
      </w:pPr>
      <w:r w:rsidRPr="00343FD9">
        <w:rPr>
          <w:rStyle w:val="StyleUnderline"/>
        </w:rPr>
        <w:t>Being scientifically literate and using a scientific lens to investigate the natural world can be an empowering set of skills, vital in today’s knowledge economy where information and data are doubling at an astounding, never-before-seen rate.</w:t>
      </w:r>
    </w:p>
    <w:p w14:paraId="3F92AE9A" w14:textId="77777777" w:rsidR="000640D4" w:rsidRPr="00343FD9" w:rsidRDefault="000640D4" w:rsidP="000640D4">
      <w:pPr>
        <w:rPr>
          <w:rStyle w:val="StyleUnderline"/>
        </w:rPr>
      </w:pPr>
      <w:r>
        <w:t xml:space="preserve">Scientific literacy refers to an individual’s ability to understand scientific concepts and processes that are necessary to make personal decisions, participate in civic and cultural affairs, and foster a productive economy. Robert Hazen, a scientist, prolific writer, and professional trumpeter considers scientific literacy as a way to help us understand the issues we come across in the news, such as those relating to science education, research, the management of natural resources, and protecting the environment.  </w:t>
      </w:r>
      <w:r w:rsidRPr="00343FD9">
        <w:rPr>
          <w:rStyle w:val="StyleUnderline"/>
        </w:rPr>
        <w:t>If we as a society are not informed or scientifically literate, it could impact and impede some of the most fundamental objectives of our nation</w:t>
      </w:r>
      <w:r>
        <w:t xml:space="preserve">. Tania Lombrozo, an Associate Professor at UC Berkeley exploring topics within cognitive psychology and Jane Maienschein, a University Professor specializing in biology and the role it plays in society, go even further, stating </w:t>
      </w:r>
      <w:r w:rsidRPr="00343FD9">
        <w:rPr>
          <w:rStyle w:val="StyleUnderline"/>
        </w:rPr>
        <w:t>that scientific literacy doesn’t solely rely on the possession of scientific knowledge – it also relies on an individual’s ability to weed through the world of misinformation or to discern fact from fiction.  Scientifically literate individuals possess the ability to ask questions and find answers to curiosities they may have about everyday experiences.  They possess the ability to think critically and creatively about the natural world around us.</w:t>
      </w:r>
    </w:p>
    <w:p w14:paraId="79410F8D" w14:textId="77777777" w:rsidR="000640D4" w:rsidRDefault="000640D4" w:rsidP="000640D4">
      <w:r>
        <w:t>Science is in everything that happens around us and even to us.  Consider how many of us:</w:t>
      </w:r>
    </w:p>
    <w:p w14:paraId="4FFE8A9C" w14:textId="77777777" w:rsidR="000640D4" w:rsidRDefault="000640D4" w:rsidP="000640D4">
      <w:r>
        <w:t>Have been protected from disease by vaccinations?</w:t>
      </w:r>
    </w:p>
    <w:p w14:paraId="73185C35" w14:textId="77777777" w:rsidR="000640D4" w:rsidRDefault="000640D4" w:rsidP="000640D4">
      <w:r>
        <w:t>Understand how climate change may be impacting our planet?</w:t>
      </w:r>
    </w:p>
    <w:p w14:paraId="08965FC8" w14:textId="77777777" w:rsidR="000640D4" w:rsidRDefault="000640D4" w:rsidP="000640D4">
      <w:r>
        <w:t>Have had questions about what we eat and where it comes from?</w:t>
      </w:r>
    </w:p>
    <w:p w14:paraId="0BE53F52" w14:textId="77777777" w:rsidR="000640D4" w:rsidRDefault="000640D4" w:rsidP="000640D4">
      <w:r>
        <w:t>Have wondered about sources of energy to power our cars and homes?</w:t>
      </w:r>
    </w:p>
    <w:p w14:paraId="74BAE116" w14:textId="77777777" w:rsidR="000640D4" w:rsidRDefault="000640D4" w:rsidP="000640D4">
      <w:pPr>
        <w:rPr>
          <w:rStyle w:val="StyleUnderline"/>
        </w:rPr>
      </w:pPr>
      <w:r w:rsidRPr="00343FD9">
        <w:rPr>
          <w:rStyle w:val="StyleUnderline"/>
        </w:rPr>
        <w:t>In the digital age of the twenty-first century, we are bombarded by an abundance of information. How are we to process it all? How do we know what is reliable?  In order to answer these questions, we should first understand the method scientists use to explore the natural world.  I believe we’ll see that science is an “entire exercise in finding what is true.”</w:t>
      </w:r>
    </w:p>
    <w:p w14:paraId="405A00F4" w14:textId="77777777" w:rsidR="000640D4" w:rsidRDefault="000640D4" w:rsidP="000640D4">
      <w:pPr>
        <w:pStyle w:val="Heading3"/>
      </w:pPr>
      <w:r>
        <w:lastRenderedPageBreak/>
        <w:t>Sci Literacy - Economy Impact</w:t>
      </w:r>
    </w:p>
    <w:p w14:paraId="57E36323" w14:textId="77777777" w:rsidR="000640D4" w:rsidRPr="002B4DC6" w:rsidRDefault="000640D4" w:rsidP="000640D4">
      <w:pPr>
        <w:pStyle w:val="Heading4"/>
      </w:pPr>
      <w:r>
        <w:t>Scientific literacy is uniquely key for the survival of capitalist nations</w:t>
      </w:r>
    </w:p>
    <w:p w14:paraId="495F0F07" w14:textId="77777777" w:rsidR="000640D4" w:rsidRPr="008316BD" w:rsidRDefault="000640D4" w:rsidP="000640D4">
      <w:pPr>
        <w:rPr>
          <w:rStyle w:val="Style13ptBold"/>
        </w:rPr>
      </w:pPr>
      <w:r>
        <w:rPr>
          <w:rStyle w:val="Style13ptBold"/>
        </w:rPr>
        <w:t xml:space="preserve">Walberg, University of Illinois at Chicago education professor, 83, </w:t>
      </w:r>
    </w:p>
    <w:p w14:paraId="5ED06D29" w14:textId="77777777" w:rsidR="000640D4" w:rsidRDefault="000640D4" w:rsidP="000640D4">
      <w:r>
        <w:t>[Herbert J., Spring 1983, Daedalus, “Scientific Literacy and Economic Productivity in International Perspective,” Vol. 112, No. 2, p. 2-3, BS]</w:t>
      </w:r>
    </w:p>
    <w:p w14:paraId="7CF8B421" w14:textId="77777777" w:rsidR="000640D4" w:rsidRPr="00AC0E1A" w:rsidRDefault="000640D4" w:rsidP="000640D4">
      <w:pPr>
        <w:rPr>
          <w:rStyle w:val="StyleUnderline"/>
        </w:rPr>
      </w:pPr>
      <w:r>
        <w:t xml:space="preserve"> </w:t>
      </w:r>
      <w:r w:rsidRPr="00AC0E1A">
        <w:rPr>
          <w:rStyle w:val="StyleUnderline"/>
        </w:rPr>
        <w:t xml:space="preserve">In his research, Schultz shows how investments in education and other forms of human capital raise economic productivity. He cites a number of studies which reveal that throughout the world?includ ing the less industrialized countries?the abilities of people, together with advances in knowledge, have raised their economic standing, and with it, other aspects of life that contribute to their overall sense of well-being. </w:t>
      </w:r>
      <w:r>
        <w:t xml:space="preserve">Improved child care, information and skills acquired in school and through work experience, and other human investments in health and education have paid high economic returns. </w:t>
      </w:r>
      <w:r w:rsidRPr="00DE4D69">
        <w:rPr>
          <w:rStyle w:val="Emphasis"/>
        </w:rPr>
        <w:t>The wealth of a nation</w:t>
      </w:r>
      <w:r w:rsidRPr="00AC0E1A">
        <w:rPr>
          <w:rStyle w:val="StyleUnderline"/>
        </w:rPr>
        <w:t xml:space="preserve">, as Adam Smith held two centuries ago, </w:t>
      </w:r>
      <w:r w:rsidRPr="00DE4D69">
        <w:rPr>
          <w:rStyle w:val="Emphasis"/>
        </w:rPr>
        <w:t xml:space="preserve">depends </w:t>
      </w:r>
      <w:r w:rsidRPr="00AC0E1A">
        <w:rPr>
          <w:rStyle w:val="StyleUnderline"/>
        </w:rPr>
        <w:t xml:space="preserve">in part </w:t>
      </w:r>
      <w:r w:rsidRPr="00DE4D69">
        <w:rPr>
          <w:rStyle w:val="Emphasis"/>
        </w:rPr>
        <w:t>on the skills and knowledge of its people</w:t>
      </w:r>
      <w:r w:rsidRPr="00AC0E1A">
        <w:rPr>
          <w:rStyle w:val="StyleUnderline"/>
        </w:rPr>
        <w:t>.</w:t>
      </w:r>
    </w:p>
    <w:p w14:paraId="6C2347F4" w14:textId="77777777" w:rsidR="000640D4" w:rsidRPr="00572C76" w:rsidRDefault="000640D4" w:rsidP="000640D4">
      <w:pPr>
        <w:rPr>
          <w:rStyle w:val="StyleUnderline"/>
        </w:rPr>
      </w:pPr>
      <w:r>
        <w:t xml:space="preserve"> Schultz points out that during the period from 1900 to 1970, when the U.S. economy grew enormously, the total financial stock of education embodied in the labor force increased thirteenfold, from $63 to $815 billion. This vast increase in investment did not, in general, result in observable diminishing returns; education, it appears, still pays. </w:t>
      </w:r>
      <w:r w:rsidRPr="00572C76">
        <w:rPr>
          <w:rStyle w:val="StyleUnderline"/>
        </w:rPr>
        <w:t>Growth rates in economic productivity for the United States?and England?however, have fallen behind those of other countries,4 notably Japan and the Federal Republic of Germany, apparently because of lagging or misallocated investments in human capital in recent decades.</w:t>
      </w:r>
    </w:p>
    <w:p w14:paraId="208C401F" w14:textId="77777777" w:rsidR="000640D4" w:rsidRDefault="000640D4" w:rsidP="000640D4">
      <w:pPr>
        <w:rPr>
          <w:rStyle w:val="StyleUnderline"/>
        </w:rPr>
      </w:pPr>
      <w:r>
        <w:t xml:space="preserve"> </w:t>
      </w:r>
      <w:r w:rsidRPr="00572C76">
        <w:rPr>
          <w:rStyle w:val="StyleUnderline"/>
        </w:rPr>
        <w:t>Science, Schultz says, is a special form of "human-made" capital; it is embodied in scientific literature, in economically productive developments such as computers and hybrid corn, and in human beings</w:t>
      </w:r>
      <w:r>
        <w:t xml:space="preserve">. To broaden knowledge of it requires the investment of scarce re sources?mainly the time and effort of people?to gain future returns and satisfactions. </w:t>
      </w:r>
      <w:r w:rsidRPr="00572C76">
        <w:rPr>
          <w:rStyle w:val="StyleUnderline"/>
        </w:rPr>
        <w:t xml:space="preserve">The </w:t>
      </w:r>
      <w:r w:rsidRPr="00572C76">
        <w:rPr>
          <w:rStyle w:val="Emphasis"/>
        </w:rPr>
        <w:t>improved literacy?scientific, technological, and other kinds?that is the result of such sacrifices has been far more important to the industrialization of the West</w:t>
      </w:r>
      <w:r w:rsidRPr="00572C76">
        <w:rPr>
          <w:rStyle w:val="StyleUnderline"/>
        </w:rPr>
        <w:t xml:space="preserve"> than is generally acknowledged. And it will continue to be as vital to the well-being of postindustrial or information societies as it is for low-income countries seeking to modernize.</w:t>
      </w:r>
    </w:p>
    <w:p w14:paraId="3F84AF11" w14:textId="77777777" w:rsidR="000640D4" w:rsidRDefault="000640D4" w:rsidP="000640D4">
      <w:pPr>
        <w:rPr>
          <w:rStyle w:val="Style13ptBold"/>
        </w:rPr>
      </w:pPr>
    </w:p>
    <w:p w14:paraId="603CF5CB" w14:textId="77777777" w:rsidR="000640D4" w:rsidRPr="002031BD" w:rsidRDefault="000640D4" w:rsidP="000640D4">
      <w:pPr>
        <w:pStyle w:val="Heading4"/>
        <w:rPr>
          <w:rStyle w:val="Style13ptBold"/>
          <w:b/>
          <w:bCs w:val="0"/>
        </w:rPr>
      </w:pPr>
      <w:r w:rsidRPr="002031BD">
        <w:rPr>
          <w:rStyle w:val="Style13ptBold"/>
          <w:b/>
        </w:rPr>
        <w:t>Increased scientific literacy increases economic productivity growth by 67 percent</w:t>
      </w:r>
    </w:p>
    <w:p w14:paraId="1DAE45B0" w14:textId="77777777" w:rsidR="000640D4" w:rsidRPr="008316BD" w:rsidRDefault="000640D4" w:rsidP="000640D4">
      <w:pPr>
        <w:rPr>
          <w:rStyle w:val="Style13ptBold"/>
        </w:rPr>
      </w:pPr>
      <w:r>
        <w:rPr>
          <w:rStyle w:val="Style13ptBold"/>
        </w:rPr>
        <w:t xml:space="preserve">Walberg, University of Illinois at Chicago education professor, 83, </w:t>
      </w:r>
    </w:p>
    <w:p w14:paraId="41B43BB7" w14:textId="77777777" w:rsidR="000640D4" w:rsidRPr="00590A82" w:rsidRDefault="000640D4" w:rsidP="000640D4">
      <w:pPr>
        <w:rPr>
          <w:rStyle w:val="StyleUnderline"/>
        </w:rPr>
      </w:pPr>
      <w:r>
        <w:t>[Herbert J., Spring 1983, Daedalus, “Scientific Literacy and Economic Productivity in International Perspective,” Vol. 112, No. 2, p. 23-8, BS]</w:t>
      </w:r>
    </w:p>
    <w:p w14:paraId="3A63BFF6" w14:textId="77777777" w:rsidR="000640D4" w:rsidRPr="00D513A3" w:rsidRDefault="000640D4" w:rsidP="000640D4">
      <w:r w:rsidRPr="00D513A3">
        <w:t xml:space="preserve">An increasing store of valuable knowledge requires that </w:t>
      </w:r>
      <w:r w:rsidRPr="00F45BC2">
        <w:rPr>
          <w:rStyle w:val="StyleUnderline"/>
        </w:rPr>
        <w:t>the common men and women of nations that intend to be internationally competitive in world markets and to increase their material well being, must possess a high standard of literacy, especially scientific</w:t>
      </w:r>
      <w:r w:rsidRPr="00D513A3">
        <w:t>,</w:t>
      </w:r>
      <w:r>
        <w:t xml:space="preserve"> </w:t>
      </w:r>
      <w:r w:rsidRPr="00D513A3">
        <w:t xml:space="preserve">quantitative, and technical literacy. </w:t>
      </w:r>
      <w:r w:rsidRPr="00F45BC2">
        <w:rPr>
          <w:rStyle w:val="StyleUnderline"/>
        </w:rPr>
        <w:t>The United States, however, is declining in scientific literacy</w:t>
      </w:r>
      <w:r w:rsidRPr="00D513A3">
        <w:t>, and for the period 1960-80, exceeded</w:t>
      </w:r>
      <w:r>
        <w:t xml:space="preserve"> </w:t>
      </w:r>
      <w:r w:rsidRPr="00D513A3">
        <w:t>only England and Italy in economic performance in a list that includ</w:t>
      </w:r>
      <w:r>
        <w:t xml:space="preserve"> </w:t>
      </w:r>
      <w:r w:rsidRPr="00D513A3">
        <w:t xml:space="preserve">ed Canada, Japan, and the major countries of Western Europe.40 </w:t>
      </w:r>
      <w:r w:rsidRPr="00F45BC2">
        <w:rPr>
          <w:rStyle w:val="StyleUnderline"/>
        </w:rPr>
        <w:t xml:space="preserve">In 1965 General Motors earned twice as much as the combined totals of the top thirty </w:t>
      </w:r>
      <w:r w:rsidRPr="00F45BC2">
        <w:rPr>
          <w:rStyle w:val="StyleUnderline"/>
        </w:rPr>
        <w:lastRenderedPageBreak/>
        <w:t>German and top thirty Japanese industrial compa nies; in 1980 GM reported its first deficit since the Great Depression, and in 1982 announced that it would import and sell Japanese cars. From 1965 to 1980, the U.S. share of companies with world sales over $i billion declined from 70 to 40 percent. From 1870 to 1950, while American education and literacy expanded, GNP per worker grew only 0.7 percent faster than that of Europe as a whole, but it was sufficient to place the United States first in the world in economic growth and per capita income. Yet for the postwar period, the pro ductivity growth of Japan and West Germany exceeded ours by 3 to 6 percent</w:t>
      </w:r>
      <w:r w:rsidRPr="00D513A3">
        <w:t>.41</w:t>
      </w:r>
    </w:p>
    <w:p w14:paraId="1FC80A19" w14:textId="77777777" w:rsidR="000640D4" w:rsidRPr="00D513A3" w:rsidRDefault="000640D4" w:rsidP="000640D4">
      <w:r w:rsidRPr="00430364">
        <w:rPr>
          <w:rStyle w:val="StyleUnderline"/>
        </w:rPr>
        <w:t>The recent superior performance of other countries is of course partly attributable to their faster growth from a smaller, devastated industrial base after the war</w:t>
      </w:r>
      <w:r w:rsidRPr="00D513A3">
        <w:t>. Economists agree, however, that there</w:t>
      </w:r>
      <w:r>
        <w:t xml:space="preserve"> </w:t>
      </w:r>
      <w:r w:rsidRPr="00D513A3">
        <w:t>is more to the story: the two most comprehensive analyses suggest</w:t>
      </w:r>
      <w:r>
        <w:t xml:space="preserve"> </w:t>
      </w:r>
      <w:r w:rsidRPr="00D513A3">
        <w:t xml:space="preserve">that </w:t>
      </w:r>
      <w:r w:rsidRPr="00430364">
        <w:rPr>
          <w:rStyle w:val="StyleUnderline"/>
        </w:rPr>
        <w:t xml:space="preserve">an estimated </w:t>
      </w:r>
      <w:r w:rsidRPr="00430364">
        <w:rPr>
          <w:rStyle w:val="Emphasis"/>
        </w:rPr>
        <w:t>67 percent of the productivity growth in the United States</w:t>
      </w:r>
      <w:r w:rsidRPr="00430364">
        <w:rPr>
          <w:rStyle w:val="StyleUnderline"/>
        </w:rPr>
        <w:t xml:space="preserve"> from 1948 to 1973 </w:t>
      </w:r>
      <w:r w:rsidRPr="00430364">
        <w:rPr>
          <w:rStyle w:val="Emphasis"/>
        </w:rPr>
        <w:t>was attributable to advances in applied knowledge</w:t>
      </w:r>
      <w:r w:rsidRPr="00430364">
        <w:rPr>
          <w:rStyle w:val="StyleUnderline"/>
        </w:rPr>
        <w:t xml:space="preserve">, technology, and in the education </w:t>
      </w:r>
      <w:r w:rsidRPr="00430364">
        <w:rPr>
          <w:rStyle w:val="Emphasis"/>
        </w:rPr>
        <w:t>and experience of the labor force.</w:t>
      </w:r>
      <w:r w:rsidRPr="00D513A3">
        <w:t>42 A country's past accomplishments and current invest</w:t>
      </w:r>
      <w:r>
        <w:t xml:space="preserve"> </w:t>
      </w:r>
      <w:r w:rsidRPr="00D513A3">
        <w:t>ments in high science, however, seem relatively unimportant to such</w:t>
      </w:r>
      <w:r>
        <w:t xml:space="preserve"> </w:t>
      </w:r>
      <w:r w:rsidRPr="00D513A3">
        <w:t>growth, since science is by definition public knowledge that can be</w:t>
      </w:r>
      <w:r>
        <w:t xml:space="preserve"> </w:t>
      </w:r>
      <w:r w:rsidRPr="00D513A3">
        <w:t>adapted by other countries (Japan and the Soviet Union are notable</w:t>
      </w:r>
      <w:r>
        <w:t xml:space="preserve"> </w:t>
      </w:r>
      <w:r w:rsidRPr="00D513A3">
        <w:t>examples), and since decades of effort, great sums of money, and</w:t>
      </w:r>
      <w:r>
        <w:t xml:space="preserve"> </w:t>
      </w:r>
      <w:r w:rsidRPr="00D513A3">
        <w:t>high risks are required to translate science into marketable services</w:t>
      </w:r>
      <w:r>
        <w:t xml:space="preserve"> </w:t>
      </w:r>
      <w:r w:rsidRPr="00D513A3">
        <w:t>and products. Nor are total research and development appropriations or private industrial funds for nonmilitary and nonspace</w:t>
      </w:r>
      <w:r>
        <w:t xml:space="preserve"> </w:t>
      </w:r>
      <w:r w:rsidRPr="00D513A3">
        <w:t>related research and development vital; the United Kingdom and the</w:t>
      </w:r>
      <w:r>
        <w:t xml:space="preserve"> </w:t>
      </w:r>
      <w:r w:rsidRPr="00D513A3">
        <w:t>United States, the productivity-growth laggards, spend more on both</w:t>
      </w:r>
      <w:r>
        <w:t xml:space="preserve"> </w:t>
      </w:r>
      <w:r w:rsidRPr="00D513A3">
        <w:t>as percentages of GNP than Japan and West Germany, the leaders.43</w:t>
      </w:r>
      <w:r>
        <w:t xml:space="preserve"> </w:t>
      </w:r>
      <w:r w:rsidRPr="009C783E">
        <w:rPr>
          <w:rStyle w:val="StyleUnderline"/>
        </w:rPr>
        <w:t>Although scientific and engineering breakthroughs occasionally raise productivity dramatically, progress comes mainly from adaption of scientific and technological ideas</w:t>
      </w:r>
      <w:r w:rsidRPr="00D513A3">
        <w:t>, some of them quite old;</w:t>
      </w:r>
      <w:r>
        <w:t xml:space="preserve"> </w:t>
      </w:r>
      <w:r w:rsidRPr="00D513A3">
        <w:t>small, incremental improvements in services, manufacturing procedures, and materials; redesign or substitution of activities, compo</w:t>
      </w:r>
      <w:r>
        <w:t xml:space="preserve"> </w:t>
      </w:r>
      <w:r w:rsidRPr="00D513A3">
        <w:t>nents, and products; reductions in costs; steady advances in perform</w:t>
      </w:r>
      <w:r>
        <w:t xml:space="preserve"> </w:t>
      </w:r>
      <w:r w:rsidRPr="00D513A3">
        <w:t>ance, quality, style, and consumer appeals; and intelligent attention</w:t>
      </w:r>
      <w:r>
        <w:t xml:space="preserve"> </w:t>
      </w:r>
      <w:r w:rsidRPr="00D513A3">
        <w:t xml:space="preserve">to details by the work force. </w:t>
      </w:r>
      <w:r w:rsidRPr="009C783E">
        <w:rPr>
          <w:rStyle w:val="StyleUnderline"/>
        </w:rPr>
        <w:t xml:space="preserve">To discover, plan, implement, and mea sure the results of such changes in traditional or high technology requires manufacturing, service, and sales forces that are knowledge able and motivated; </w:t>
      </w:r>
      <w:r w:rsidRPr="009C783E">
        <w:rPr>
          <w:rStyle w:val="Emphasis"/>
        </w:rPr>
        <w:t>it requires not necessarily</w:t>
      </w:r>
      <w:r w:rsidRPr="009C783E">
        <w:rPr>
          <w:rStyle w:val="StyleUnderline"/>
        </w:rPr>
        <w:t xml:space="preserve"> superior </w:t>
      </w:r>
      <w:r w:rsidRPr="009C783E">
        <w:rPr>
          <w:rStyle w:val="Emphasis"/>
        </w:rPr>
        <w:t>scientists,</w:t>
      </w:r>
      <w:r w:rsidRPr="009C783E">
        <w:rPr>
          <w:rStyle w:val="StyleUnderline"/>
        </w:rPr>
        <w:t xml:space="preserve"> en gineers, and managers</w:t>
      </w:r>
      <w:r w:rsidRPr="009C783E">
        <w:rPr>
          <w:rStyle w:val="Emphasis"/>
        </w:rPr>
        <w:t>, but educated workers</w:t>
      </w:r>
      <w:r w:rsidRPr="009C783E">
        <w:rPr>
          <w:rStyle w:val="StyleUnderline"/>
        </w:rPr>
        <w:t xml:space="preserve"> who are skilled with materials, technology, and quantitative data; </w:t>
      </w:r>
      <w:r w:rsidRPr="009C783E">
        <w:rPr>
          <w:rStyle w:val="Emphasis"/>
        </w:rPr>
        <w:t xml:space="preserve">who can absorb and propagate </w:t>
      </w:r>
      <w:r w:rsidRPr="009C783E">
        <w:rPr>
          <w:rStyle w:val="StyleUnderline"/>
        </w:rPr>
        <w:t xml:space="preserve">applied </w:t>
      </w:r>
      <w:r w:rsidRPr="009C783E">
        <w:rPr>
          <w:rStyle w:val="Emphasis"/>
        </w:rPr>
        <w:t>science</w:t>
      </w:r>
      <w:r w:rsidRPr="009C783E">
        <w:rPr>
          <w:rStyle w:val="StyleUnderline"/>
        </w:rPr>
        <w:t xml:space="preserve">; </w:t>
      </w:r>
      <w:r w:rsidRPr="009C783E">
        <w:rPr>
          <w:rStyle w:val="Emphasis"/>
        </w:rPr>
        <w:t>and who can communicate</w:t>
      </w:r>
      <w:r w:rsidRPr="009C783E">
        <w:rPr>
          <w:rStyle w:val="StyleUnderline"/>
        </w:rPr>
        <w:t xml:space="preserve"> and cooperate with one another for the individual as well as the corporate and national good</w:t>
      </w:r>
      <w:r w:rsidRPr="00D513A3">
        <w:t>.44</w:t>
      </w:r>
    </w:p>
    <w:p w14:paraId="583830BB" w14:textId="77777777" w:rsidR="000640D4" w:rsidRPr="001C4FE1" w:rsidRDefault="000640D4" w:rsidP="000640D4">
      <w:pPr>
        <w:rPr>
          <w:rStyle w:val="StyleUnderline"/>
        </w:rPr>
      </w:pPr>
      <w:r w:rsidRPr="00D513A3">
        <w:t>Education, of course, enlarges both theoretical and applied knowl</w:t>
      </w:r>
      <w:r>
        <w:t xml:space="preserve"> </w:t>
      </w:r>
      <w:r w:rsidRPr="00D513A3">
        <w:t>edge, as well as the capacity and motivation to acquire more of it.</w:t>
      </w:r>
      <w:r>
        <w:t xml:space="preserve"> </w:t>
      </w:r>
      <w:r w:rsidRPr="001C4FE1">
        <w:rPr>
          <w:rStyle w:val="StyleUnderline"/>
        </w:rPr>
        <w:t>Recent evidence shows that education also raises personal productiv ity</w:t>
      </w:r>
      <w:r w:rsidRPr="00D513A3">
        <w:t>. Although the evidence is hardly certain, it is plausible and con</w:t>
      </w:r>
      <w:r>
        <w:t xml:space="preserve"> </w:t>
      </w:r>
      <w:r w:rsidRPr="00D513A3">
        <w:t xml:space="preserve">sistent, and its implications should not be ignored. </w:t>
      </w:r>
      <w:r w:rsidRPr="001C4FE1">
        <w:rPr>
          <w:rStyle w:val="StyleUnderline"/>
        </w:rPr>
        <w:t>Case studies, for example, show that doctors who are better and more recently edu cated are the earliest adopters of new pharmaceuticals, and that better-educated farmers acquire more efficient technologies more rapidly</w:t>
      </w:r>
      <w:r w:rsidRPr="00D513A3">
        <w:t>.45 Nearly all studies of various professions and occupations</w:t>
      </w:r>
      <w:r>
        <w:t xml:space="preserve"> </w:t>
      </w:r>
      <w:r w:rsidRPr="00D513A3">
        <w:t>show that school, college, and professional school grade point aver</w:t>
      </w:r>
      <w:r>
        <w:t xml:space="preserve"> </w:t>
      </w:r>
      <w:r w:rsidRPr="00D513A3">
        <w:t>ages positively predict occupation-success indicators such as earnings</w:t>
      </w:r>
      <w:r>
        <w:t xml:space="preserve"> </w:t>
      </w:r>
      <w:r w:rsidRPr="00D513A3">
        <w:t>and supervisor and peer-effectiveness ratings;46 and the predictions</w:t>
      </w:r>
      <w:r>
        <w:t xml:space="preserve"> </w:t>
      </w:r>
      <w:r w:rsidRPr="00D513A3">
        <w:t>are stronger and remain positive when the quality of the institution</w:t>
      </w:r>
      <w:r>
        <w:t xml:space="preserve"> </w:t>
      </w:r>
      <w:r w:rsidRPr="00D513A3">
        <w:t xml:space="preserve">granting the grades and other factors are taken into account.47 </w:t>
      </w:r>
      <w:r w:rsidRPr="001C4FE1">
        <w:rPr>
          <w:rStyle w:val="StyleUnderline"/>
        </w:rPr>
        <w:t>Work ers with higher educational attainments, moreover, often gravitate to firms employing new technology, are quick to learn by doing, and can shift flexibly from one complex task to another.48</w:t>
      </w:r>
    </w:p>
    <w:p w14:paraId="7EB252FE" w14:textId="77777777" w:rsidR="000640D4" w:rsidRPr="00D513A3" w:rsidRDefault="000640D4" w:rsidP="000640D4">
      <w:r w:rsidRPr="009958BA">
        <w:rPr>
          <w:rStyle w:val="StyleUnderline"/>
        </w:rPr>
        <w:lastRenderedPageBreak/>
        <w:t>Even if what is learned in school and college is considered superfi cial verbal competence, it predicts income?a partial indicator of what the individual's pecuniary worth to society will be, as well as the quality of life</w:t>
      </w:r>
      <w:r w:rsidRPr="00D513A3">
        <w:t xml:space="preserve"> an individual can expect to have. The only U.S.</w:t>
      </w:r>
      <w:r>
        <w:t xml:space="preserve"> </w:t>
      </w:r>
      <w:r w:rsidRPr="00D513A3">
        <w:t>national study that provides direct evidence on the weighting of sev</w:t>
      </w:r>
      <w:r>
        <w:t xml:space="preserve"> </w:t>
      </w:r>
      <w:r w:rsidRPr="00D513A3">
        <w:t>eral factors showed that a short general vocabulary test provided a</w:t>
      </w:r>
      <w:r>
        <w:t xml:space="preserve"> </w:t>
      </w:r>
      <w:r w:rsidRPr="00D513A3">
        <w:t>better prediction of adult income than did years of education and</w:t>
      </w:r>
      <w:r>
        <w:t xml:space="preserve"> </w:t>
      </w:r>
      <w:r w:rsidRPr="00D513A3">
        <w:t>parental social class; and verbal competence thus measured remained</w:t>
      </w:r>
      <w:r>
        <w:t xml:space="preserve"> </w:t>
      </w:r>
      <w:r w:rsidRPr="00D513A3">
        <w:t>the only significant predictor among the three when they were simul</w:t>
      </w:r>
      <w:r>
        <w:t xml:space="preserve"> </w:t>
      </w:r>
      <w:r w:rsidRPr="00D513A3">
        <w:t>taneously controlled for one another.49</w:t>
      </w:r>
    </w:p>
    <w:p w14:paraId="1A26CB0B" w14:textId="77777777" w:rsidR="000640D4" w:rsidRPr="0078490B" w:rsidRDefault="000640D4" w:rsidP="000640D4">
      <w:pPr>
        <w:rPr>
          <w:rStyle w:val="StyleUnderline"/>
        </w:rPr>
      </w:pPr>
      <w:r w:rsidRPr="00D513A3">
        <w:t>If the term "scientific literacy" includes the social sciences and the</w:t>
      </w:r>
      <w:r>
        <w:t xml:space="preserve"> </w:t>
      </w:r>
      <w:r w:rsidRPr="00D513A3">
        <w:t>application of scientific teamwork in solving problems, improved sci</w:t>
      </w:r>
      <w:r>
        <w:t xml:space="preserve"> </w:t>
      </w:r>
      <w:r w:rsidRPr="00D513A3">
        <w:t>entific education and technological training can further contribute to</w:t>
      </w:r>
      <w:r>
        <w:t xml:space="preserve"> </w:t>
      </w:r>
      <w:r w:rsidRPr="00D513A3">
        <w:t>economic well-being. Japanese "quality circles"?which use statisti</w:t>
      </w:r>
      <w:r>
        <w:t xml:space="preserve"> </w:t>
      </w:r>
      <w:r w:rsidRPr="00D513A3">
        <w:t>cal procedures, graphics, and group discussion to identify defects in</w:t>
      </w:r>
      <w:r>
        <w:t xml:space="preserve"> </w:t>
      </w:r>
      <w:r w:rsidRPr="00D513A3">
        <w:t>products, procedures, and services, as well as employ generally the</w:t>
      </w:r>
      <w:r>
        <w:t xml:space="preserve"> </w:t>
      </w:r>
      <w:r w:rsidRPr="00D513A3">
        <w:t>minds and hearts and hands of workers to improve productivity?</w:t>
      </w:r>
      <w:r>
        <w:t xml:space="preserve"> </w:t>
      </w:r>
      <w:r w:rsidRPr="00D513A3">
        <w:t>are traceable to long-standing views of American psychologists such</w:t>
      </w:r>
      <w:r>
        <w:t xml:space="preserve"> </w:t>
      </w:r>
      <w:r w:rsidRPr="00D513A3">
        <w:t>as Chris Argyris, Kurt Lewin, Rensis Likert, and Douglas McGregor.</w:t>
      </w:r>
      <w:r>
        <w:t xml:space="preserve"> </w:t>
      </w:r>
      <w:r w:rsidRPr="0078490B">
        <w:rPr>
          <w:rStyle w:val="StyleUnderline"/>
        </w:rPr>
        <w:t>The United States, however, may have to reacquire the concrete skills of applying such participatory techniques from the Japanese; for ex ample, three years after Matsushita (Panasonic) bought Motorola's television assembly plant in Franklin Park, Illinois, production, with essentially the same equipment but with reeducated American managers and workers, increased 30 percent; more important, defects fell from 150 to less than 4 per hundred set</w:t>
      </w:r>
    </w:p>
    <w:p w14:paraId="5D4826B5" w14:textId="77777777" w:rsidR="000640D4" w:rsidRDefault="000640D4" w:rsidP="000640D4">
      <w:pPr>
        <w:rPr>
          <w:rStyle w:val="StyleUnderline"/>
        </w:rPr>
      </w:pPr>
      <w:r w:rsidRPr="00D513A3">
        <w:t>T</w:t>
      </w:r>
      <w:r w:rsidRPr="0078490B">
        <w:rPr>
          <w:rStyle w:val="StyleUnderline"/>
        </w:rPr>
        <w:t>he United States still leads the world in total national wealth, economic productivity, and scientific discovery, but it is falling be hind other countries in per capita income, growth in productivity and other economic criteria, and in indexes of the quality of modern life, goods, and services</w:t>
      </w:r>
      <w:r w:rsidRPr="00D513A3">
        <w:t xml:space="preserve">. </w:t>
      </w:r>
      <w:r w:rsidRPr="0078490B">
        <w:rPr>
          <w:rStyle w:val="StyleUnderline"/>
        </w:rPr>
        <w:t>Increasing the effectiveness of the schools</w:t>
      </w:r>
      <w:r>
        <w:t xml:space="preserve"> </w:t>
      </w:r>
      <w:r w:rsidRPr="00D513A3">
        <w:t>with respect to English, foreign languages, civics, history, mathemat</w:t>
      </w:r>
      <w:r>
        <w:t xml:space="preserve"> </w:t>
      </w:r>
      <w:r w:rsidRPr="00D513A3">
        <w:t>ics, and science, and especially with respect to scientific and technical</w:t>
      </w:r>
      <w:r>
        <w:t xml:space="preserve"> </w:t>
      </w:r>
      <w:r w:rsidRPr="00D513A3">
        <w:t xml:space="preserve">literacy, </w:t>
      </w:r>
      <w:r w:rsidRPr="0078490B">
        <w:rPr>
          <w:rStyle w:val="StyleUnderline"/>
        </w:rPr>
        <w:t>by employing the methods suggested by educational re search that I have discussed, should be a part of a long-term solution to the problems before us.</w:t>
      </w:r>
    </w:p>
    <w:p w14:paraId="3401D30F" w14:textId="77777777" w:rsidR="000640D4" w:rsidRDefault="000640D4" w:rsidP="000640D4">
      <w:pPr>
        <w:rPr>
          <w:rStyle w:val="StyleUnderline"/>
        </w:rPr>
      </w:pPr>
    </w:p>
    <w:p w14:paraId="450AB01B" w14:textId="77777777" w:rsidR="000640D4" w:rsidRPr="007E13E0" w:rsidRDefault="000640D4" w:rsidP="000640D4">
      <w:pPr>
        <w:pStyle w:val="Heading3"/>
      </w:pPr>
      <w:r>
        <w:lastRenderedPageBreak/>
        <w:t xml:space="preserve">Sci Literacy – Climate Change Scenario </w:t>
      </w:r>
    </w:p>
    <w:p w14:paraId="4612C47D" w14:textId="77777777" w:rsidR="000640D4" w:rsidRDefault="000640D4" w:rsidP="000640D4">
      <w:pPr>
        <w:pStyle w:val="Heading4"/>
      </w:pPr>
      <w:r>
        <w:t>Lack of understanding in public sphere surrounding climate change creates dichotomy between science and opinion, resulting in lack of action due to misunderstandings</w:t>
      </w:r>
    </w:p>
    <w:p w14:paraId="5908D097" w14:textId="77777777" w:rsidR="000640D4" w:rsidRDefault="000640D4" w:rsidP="000640D4">
      <w:pPr>
        <w:rPr>
          <w:rStyle w:val="Style13ptBold"/>
        </w:rPr>
      </w:pPr>
      <w:r>
        <w:rPr>
          <w:rStyle w:val="Style13ptBold"/>
        </w:rPr>
        <w:t>Weber, Colombia University and Center for Research on Environmental Decisions and Stern, National Research Council, 2011</w:t>
      </w:r>
    </w:p>
    <w:p w14:paraId="42372140" w14:textId="47509F1C" w:rsidR="000640D4" w:rsidRPr="00FB0013" w:rsidRDefault="000640D4" w:rsidP="000640D4">
      <w:pPr>
        <w:rPr>
          <w:rStyle w:val="Style13ptBold"/>
          <w:b w:val="0"/>
          <w:bCs w:val="0"/>
        </w:rPr>
      </w:pPr>
      <w:r w:rsidRPr="00FB0013">
        <w:rPr>
          <w:rStyle w:val="Style13ptBold"/>
          <w:szCs w:val="18"/>
        </w:rPr>
        <w:t xml:space="preserve">[Elke U. Weber and Paul C. Stern, May-June 2011, American Psychological Association, “ Public Understanding of Climate Change in the United States”, </w:t>
      </w:r>
      <w:r w:rsidRPr="001E736C">
        <w:rPr>
          <w:szCs w:val="18"/>
        </w:rPr>
        <w:t>https://sciencepolicy.colorado.edu/students/envs_4800/weber_2011.pdf</w:t>
      </w:r>
      <w:r w:rsidRPr="00FB0013">
        <w:rPr>
          <w:szCs w:val="18"/>
        </w:rPr>
        <w:t>, Date Accessed: 07/15/20, M.S.]</w:t>
      </w:r>
    </w:p>
    <w:p w14:paraId="58035968" w14:textId="77777777" w:rsidR="000640D4" w:rsidRDefault="000640D4" w:rsidP="000640D4">
      <w:r>
        <w:t xml:space="preserve">Why No Convergence in Scientists’ and Nonscientists’ Understandings? </w:t>
      </w:r>
    </w:p>
    <w:p w14:paraId="1389DDB9" w14:textId="77777777" w:rsidR="000640D4" w:rsidRPr="001051DC" w:rsidRDefault="000640D4" w:rsidP="000640D4">
      <w:pPr>
        <w:rPr>
          <w:rStyle w:val="Emphasis"/>
        </w:rPr>
      </w:pPr>
      <w:r w:rsidRPr="001051DC">
        <w:rPr>
          <w:rStyle w:val="Emphasis"/>
        </w:rPr>
        <w:t>Physical, psychological, and social factors together help explain why public understanding in the United States has not tracked scientific understanding</w:t>
      </w:r>
      <w:r>
        <w:t>. First</w:t>
      </w:r>
      <w:r w:rsidRPr="001051DC">
        <w:rPr>
          <w:rStyle w:val="Emphasis"/>
        </w:rPr>
        <w:t>, climate change as a set of physical phenomena in interaction with their human causes and consequences is intrinsically challenging to understand. Second, scientists and nonscientists have different ways of understanding these phenomena, which makes divergence of beliefs possible. Moreover, when people apply their conventional modes of understanding to climate change, they are likely to be misled. Third, nonscientists’ views in the United States and some other countries are being shaped by an ongoing struggle to impose conceptual frames on climate change as a policy issue, in which a well-funded and orchestrated campaign has had success in promoting frames that are at striking variance with the scientific evidence and the solidifying scientific consensus.</w:t>
      </w:r>
    </w:p>
    <w:p w14:paraId="2B0BCE1C" w14:textId="77777777" w:rsidR="000640D4" w:rsidRDefault="000640D4" w:rsidP="000640D4">
      <w:r>
        <w:t xml:space="preserve">Physical Phenomena: Climate Change Is Intrinsically Difficult to Understand </w:t>
      </w:r>
    </w:p>
    <w:p w14:paraId="7EEEE215" w14:textId="77777777" w:rsidR="000640D4" w:rsidRPr="001051DC" w:rsidRDefault="000640D4" w:rsidP="000640D4">
      <w:pPr>
        <w:rPr>
          <w:rStyle w:val="Emphasis"/>
        </w:rPr>
      </w:pPr>
      <w:r>
        <w:t xml:space="preserve">Some fundamental attributes of climate change make it hard to understand.5 The main causes of climate change (greenhouse gases) are invisible, its impacts are geographically and temporally distant for most Americans, and, as discussed below, its signals are hard to detect (Moser, 2009; National Research Council, 2009). Unlike a heat wave or a hurricane, climate change is not a single hazard. A small number of climate “drivers”—fossil fuel consumption being by far the most important—can cause a multiplicity of causally linked hazards (National Research Council, 2010a). Thinking about climate change in terms of any one or two of these hazards leads to an underestimate of the total threat. Another key attribute is the long-lasting environmental residence of the main greenhouse gases (Solomon, Plattner, Knutti, &amp; Friedlingstein, 2009). These gases are unlike the air pollutants that cause smog; reducing emissions will not quickly “clear the air.” Long residence times are hard to understand; well-educated nonspecialists systematically underestimate the degree to which carbon dioxide emissions must be reduced in order to stabilize overall concentrations (Sterman &amp; Booth Sweeney, 2007). Another climate fact of life is that climate history is a poor measurements and peer-reviewing research studies to catch errors; and (e) scientific debate and deliberation about the meaning of the evidence, with special attention given to new evidence that calls previous ideas into question. Scientific communities sometimes organize consensus processes such as those used in the IPCC and National Research Council studies to clarify which conclusions are robust and which remain in dispute. These methods lie at the core of science, and deliberative methods are key to developing understanding at the frontiers of science—including climate science (Longino, 1990). Although these methods do not prevent </w:t>
      </w:r>
      <w:r>
        <w:lastRenderedPageBreak/>
        <w:t xml:space="preserve">all error, and errors in climate change research—as in other areas of scientific inquiry—have occurred and can be expected to occur in the future, the scientific methods clarify the unresolved issues and allow for continuing correction of error. Nonscientists’ ways of understanding climate change leave them more vulnerable to systematic misunderstanding. </w:t>
      </w:r>
      <w:r w:rsidRPr="001051DC">
        <w:rPr>
          <w:rStyle w:val="Emphasis"/>
        </w:rPr>
        <w:t>Personal experience can easily mislead (Weber, 1997); simple mental models are likely to be wrong when applied to climate change</w:t>
      </w:r>
      <w:r>
        <w:t xml:space="preserve"> (Bostrom, Morgan, Fischhoff, &amp; Read, 1994); </w:t>
      </w:r>
      <w:r w:rsidRPr="001051DC">
        <w:rPr>
          <w:rStyle w:val="Emphasis"/>
        </w:rPr>
        <w:t>and judgment can be driven more by affect, values, and worldviews than by evidence (Slovic, 1987). For a valid understanding of climate change, most people must rely on secondary sources. But as discussed below, these information sources are not always trustworthy.</w:t>
      </w:r>
    </w:p>
    <w:p w14:paraId="2D643EA2" w14:textId="77777777" w:rsidR="000640D4" w:rsidRDefault="000640D4" w:rsidP="000640D4">
      <w:pPr>
        <w:pStyle w:val="Heading4"/>
      </w:pPr>
      <w:r>
        <w:t xml:space="preserve">Experts in Climate Literacy say public understanding must expand now for climate to be in a state where impacts are still preventable </w:t>
      </w:r>
    </w:p>
    <w:p w14:paraId="79C3A231" w14:textId="77777777" w:rsidR="000640D4" w:rsidRDefault="000640D4" w:rsidP="000640D4">
      <w:pPr>
        <w:rPr>
          <w:rStyle w:val="Style13ptBold"/>
        </w:rPr>
      </w:pPr>
      <w:bookmarkStart w:id="0" w:name="_Hlk45709482"/>
      <w:r>
        <w:rPr>
          <w:rStyle w:val="Style13ptBold"/>
        </w:rPr>
        <w:t>Weber, Colombia University and Center for Research on Environmental Decisions and Stern, National Research Council, 2011</w:t>
      </w:r>
    </w:p>
    <w:p w14:paraId="61322DBB" w14:textId="597D1B1D" w:rsidR="000640D4" w:rsidRPr="00FB0013" w:rsidRDefault="000640D4" w:rsidP="000640D4">
      <w:pPr>
        <w:rPr>
          <w:rStyle w:val="Style13ptBold"/>
          <w:b w:val="0"/>
          <w:bCs w:val="0"/>
        </w:rPr>
      </w:pPr>
      <w:r w:rsidRPr="00FB0013">
        <w:rPr>
          <w:rStyle w:val="Style13ptBold"/>
          <w:szCs w:val="18"/>
        </w:rPr>
        <w:t xml:space="preserve">[Elke U. Weber and Paul C. Stern, May-June 2011, American Psychological Association, “ Public Understanding of Climate Change in the United States”, </w:t>
      </w:r>
      <w:r w:rsidRPr="001E736C">
        <w:rPr>
          <w:szCs w:val="18"/>
        </w:rPr>
        <w:t>https://sciencepolicy.colorado.edu/students/envs_4800/weber_2011.pdf</w:t>
      </w:r>
      <w:r w:rsidRPr="00FB0013">
        <w:rPr>
          <w:szCs w:val="18"/>
        </w:rPr>
        <w:t>, Date Accessed: 07/15/20, M.S.]</w:t>
      </w:r>
    </w:p>
    <w:bookmarkEnd w:id="0"/>
    <w:p w14:paraId="5D11498E" w14:textId="77777777" w:rsidR="000640D4" w:rsidRDefault="000640D4" w:rsidP="000640D4">
      <w:r>
        <w:t xml:space="preserve">The Future of Public Understanding and Its Relation to Action </w:t>
      </w:r>
    </w:p>
    <w:p w14:paraId="7B3FB8A1" w14:textId="77777777" w:rsidR="000640D4" w:rsidRPr="001051DC" w:rsidRDefault="000640D4" w:rsidP="000640D4">
      <w:pPr>
        <w:rPr>
          <w:rStyle w:val="Style13ptBold"/>
        </w:rPr>
      </w:pPr>
      <w:r w:rsidRPr="001051DC">
        <w:rPr>
          <w:rStyle w:val="Emphasis"/>
        </w:rPr>
        <w:t xml:space="preserve">The trajectory of public understanding frustrates many climate scientists and educators who see climate risks growing, understand that delayed action will increase the risks further, and believe that concerted action is needed now to reduce them (e.g., Hansen, 2009). Many of these concerned individuals see climate literacy and continuing efforts by scientists to explain what they know as the way to accomplish the objectives of improved public understanding, increased public concern about climate change, and increased public support and action to reduce climate risks. However, unless existing behavioral science evidence collected in different domains of application is brought to bear on climate literacy and education, there is no reason to believe that future efforts will be any more successful in improving public understanding or willingness to take action related to climate change than past efforts have been. </w:t>
      </w:r>
      <w:r>
        <w:t>Conventional educational and informational programs are unlikely to have a major effect on aggregate public opinion, and more effective strategies need to be devised to improve public understanding and to increase individual and collective action</w:t>
      </w:r>
      <w:r w:rsidRPr="001051DC">
        <w:rPr>
          <w:rStyle w:val="Emphasis"/>
        </w:rPr>
        <w:t>. As political ideology plays a large role in people’s beliefs about climate change and their policy support, problems with public understanding are not mainly due to a knowledge deficit but often result from a deficit in trust in the conveyors of climate models and data (</w:t>
      </w:r>
      <w:r>
        <w:t>Malka &amp; Krosnick, 2009).</w:t>
      </w:r>
    </w:p>
    <w:p w14:paraId="569AF5D8" w14:textId="77777777" w:rsidR="000640D4" w:rsidRDefault="000640D4" w:rsidP="000640D4">
      <w:pPr>
        <w:pStyle w:val="Heading4"/>
      </w:pPr>
      <w:r>
        <w:t xml:space="preserve">People often look to secondary sources to retain climate knowledge, lack of actual scientists involved in climate news and decision making creates misinformation and non-functioning policy plans </w:t>
      </w:r>
    </w:p>
    <w:p w14:paraId="11D634F7" w14:textId="77777777" w:rsidR="000640D4" w:rsidRDefault="000640D4" w:rsidP="000640D4">
      <w:pPr>
        <w:rPr>
          <w:rStyle w:val="Style13ptBold"/>
        </w:rPr>
      </w:pPr>
      <w:r>
        <w:rPr>
          <w:rStyle w:val="Style13ptBold"/>
        </w:rPr>
        <w:t>Weber, Colombia University and Center for Research on Environmental Decisions and Stern, National Research Council, 2011</w:t>
      </w:r>
    </w:p>
    <w:p w14:paraId="61BAA4DF" w14:textId="66ED9F8B" w:rsidR="000640D4" w:rsidRPr="00692CA6" w:rsidRDefault="000640D4" w:rsidP="000640D4">
      <w:pPr>
        <w:rPr>
          <w:rStyle w:val="Style13ptBold"/>
          <w:b w:val="0"/>
          <w:bCs w:val="0"/>
        </w:rPr>
      </w:pPr>
      <w:r w:rsidRPr="00FB0013">
        <w:rPr>
          <w:rStyle w:val="Style13ptBold"/>
          <w:szCs w:val="18"/>
        </w:rPr>
        <w:t xml:space="preserve">[Elke U. Weber and Paul C. Stern, May-June 2011, American Psychological Association, “ Public Understanding of Climate Change in the United States”, </w:t>
      </w:r>
      <w:r w:rsidRPr="001E736C">
        <w:rPr>
          <w:szCs w:val="18"/>
        </w:rPr>
        <w:lastRenderedPageBreak/>
        <w:t>https://sciencepolicy.colorado.edu/students/envs_4800/weber_2011.pdf</w:t>
      </w:r>
      <w:r w:rsidRPr="00FB0013">
        <w:rPr>
          <w:szCs w:val="18"/>
        </w:rPr>
        <w:t>, Date Accessed: 07/15/20, M.S.]</w:t>
      </w:r>
    </w:p>
    <w:p w14:paraId="5053E13E" w14:textId="77777777" w:rsidR="000640D4" w:rsidRDefault="000640D4" w:rsidP="000640D4">
      <w:r>
        <w:t>Social Factors: The Struggle to “Frame” Climate Change</w:t>
      </w:r>
    </w:p>
    <w:p w14:paraId="3CF4E662" w14:textId="775228CB" w:rsidR="000640D4" w:rsidRDefault="000640D4" w:rsidP="000640D4">
      <w:pPr>
        <w:rPr>
          <w:rStyle w:val="Emphasis"/>
        </w:rPr>
      </w:pPr>
      <w:r w:rsidRPr="00692CA6">
        <w:rPr>
          <w:rStyle w:val="Emphasis"/>
        </w:rPr>
        <w:t>Because it is hard to understand climate change from personal experience, people often rely on others presumed to be more expert to answer their questions about climate change. For the most part, they do not go to climate scientists directly but rather to intermediary sources, predominantly in the mass media, that present information and opinions in language and graphics that are easy to comprehend (Soroka, 2002</w:t>
      </w:r>
      <w:r>
        <w:t xml:space="preserve">). </w:t>
      </w:r>
      <w:r w:rsidRPr="00692CA6">
        <w:rPr>
          <w:rStyle w:val="Emphasis"/>
        </w:rPr>
        <w:t>For most Americans, exposure to “climate change” has been almost entirely indirect, mediated by news coverage, Internet postings, informal conversations, and documentaries and video footage of events in distant regions</w:t>
      </w:r>
      <w:r>
        <w:t xml:space="preserve"> </w:t>
      </w:r>
      <w:r w:rsidRPr="00692CA6">
        <w:rPr>
          <w:rStyle w:val="Emphasis"/>
        </w:rPr>
        <w:t>(such as melting glaciers in Greenland) that describe these events in relation to climate change. Media reporting follows rules different from those of science. Accurate description of the world is only one objective of an enterprise that also seeks to maximize audience share and to conform to the interests or values of the media outlet’s owners or advertisers</w:t>
      </w:r>
      <w:r>
        <w:t xml:space="preserve"> (Hoggan, 2009; Hulme, 2009). American news media tend to frame stories dramatically (e.g., as impending dangers or as controversies with two sharply opposing sides) and to report “breaking” news stories in preference to stories of slow-onset or chronic phenomena. These concerns and routines can introduce bias, but most audience members have limited resources to evaluate the accuracy and motivation behind media reports. Accurate or not, media reports influence people’s thoughts and feelings (Krosnick &amp; Kinder, 1990). The long tradition of psychological research in risk communication has included studies of the effects of risk messages about climate change impacts (e.g., Moser &amp; Dilling, 2007; O’Connor, Bord, Yarnal, &amp; Wiefek, 2002). In the climate policy debate, the American mass media have, sometimes inadvertently, promoted the view that even aspects of climate change that are uncontroversial among scientists are matters of serious scientific debate (Boykoff &amp; Boykoff, 2004). On one side of the controversy portrayed in the media are predictions emanating from some environmental movement organizations, supported by scientists concerned about the potential consequences of climate change, of catastrophes resulting from climate change, including famine and political instability in developing countries, loss of species and ecosystems, and new public health disasters. Advocates have publicized vivid images of the future they fear, in films such as An Inconvenient Truth (David, Bender, Burns, &amp; Guggenheim,</w:t>
      </w:r>
      <w:r w:rsidRPr="00FB0013">
        <w:t xml:space="preserve"> </w:t>
      </w:r>
      <w:r>
        <w:t xml:space="preserve">2006), and emphasized the growing scientific consensus about many climate change conclusions and the human responsibility for climate change. This narrative emphasizes elements of dread and unknown risk, which induce concern and make for a dramatic media story, and activates personal moral norms to act to reduce such risks through its claims that negative consequences from climate change will be large and highly probable and that people are responsible. This view has sometimes been characterized as a “Pandora’s box” frame (Nisbet &amp; Scheufele, 2009). By suggesting that future catastrophe is certain unless action is taken, it goes beyond what many scientists consider defensible. </w:t>
      </w:r>
      <w:r w:rsidRPr="00692CA6">
        <w:rPr>
          <w:rStyle w:val="Emphasis"/>
        </w:rPr>
        <w:t>However, the idea that continued emissions of greenhouse gases increase the likelihood of catastrophe is entirely consistent with scientific knowledge (National Research Council, 2010a).</w:t>
      </w:r>
    </w:p>
    <w:p w14:paraId="1BFF164C" w14:textId="77777777" w:rsidR="00594729" w:rsidRDefault="00594729" w:rsidP="00594729">
      <w:pPr>
        <w:pStyle w:val="Heading3"/>
        <w:rPr>
          <w:rFonts w:eastAsia="Times New Roman"/>
        </w:rPr>
      </w:pPr>
      <w:r>
        <w:rPr>
          <w:rFonts w:eastAsia="Times New Roman"/>
        </w:rPr>
        <w:lastRenderedPageBreak/>
        <w:t>Sci Literacy – Public Literacy Key COVID</w:t>
      </w:r>
    </w:p>
    <w:p w14:paraId="24073096" w14:textId="77777777" w:rsidR="00594729" w:rsidRPr="00056CDC" w:rsidRDefault="00594729" w:rsidP="00594729"/>
    <w:p w14:paraId="42DFAF34" w14:textId="77777777" w:rsidR="00594729" w:rsidRPr="00056CDC" w:rsidRDefault="00594729" w:rsidP="00594729">
      <w:pPr>
        <w:shd w:val="clear" w:color="auto" w:fill="FFFFFF"/>
        <w:spacing w:before="40" w:after="0" w:line="278" w:lineRule="atLeast"/>
        <w:outlineLvl w:val="3"/>
        <w:rPr>
          <w:rFonts w:eastAsia="Times New Roman" w:cs="Calibri"/>
          <w:b/>
          <w:bCs/>
          <w:color w:val="222222"/>
          <w:sz w:val="26"/>
          <w:szCs w:val="26"/>
        </w:rPr>
      </w:pPr>
      <w:r w:rsidRPr="00056CDC">
        <w:rPr>
          <w:rFonts w:eastAsia="Times New Roman" w:cs="Calibri"/>
          <w:b/>
          <w:bCs/>
          <w:color w:val="222222"/>
          <w:sz w:val="26"/>
          <w:szCs w:val="26"/>
        </w:rPr>
        <w:t>Public scientific literacy key to stopping coronavirus spread</w:t>
      </w:r>
    </w:p>
    <w:p w14:paraId="1A512706" w14:textId="77777777" w:rsidR="00594729" w:rsidRPr="00056CDC" w:rsidRDefault="00594729" w:rsidP="00594729">
      <w:pPr>
        <w:shd w:val="clear" w:color="auto" w:fill="FFFFFF"/>
        <w:spacing w:line="235" w:lineRule="atLeast"/>
        <w:rPr>
          <w:rFonts w:eastAsia="Times New Roman" w:cs="Calibri"/>
          <w:color w:val="222222"/>
        </w:rPr>
      </w:pPr>
      <w:r w:rsidRPr="00056CDC">
        <w:rPr>
          <w:rFonts w:eastAsia="Times New Roman" w:cs="Calibri"/>
          <w:b/>
          <w:bCs/>
          <w:color w:val="222222"/>
          <w:sz w:val="26"/>
          <w:szCs w:val="26"/>
        </w:rPr>
        <w:t>Sinclair, Discovery CEO, Heidi, Immunize Nevada executive director, Eaton, Sierra Nevada Journeys CEO, 20</w:t>
      </w:r>
    </w:p>
    <w:p w14:paraId="3652CF72" w14:textId="77777777" w:rsidR="00594729" w:rsidRPr="00056CDC" w:rsidRDefault="00594729" w:rsidP="00594729">
      <w:r w:rsidRPr="00056CDC">
        <w:t>[Mat, Heidi, Eaton, 5/9/20, Reno Gazette Journal, “COVID-19 pandemic highlights need for science literacy | Sinclair, Parker and Dunkelberger,” https://www.rgj.com/story/opinion/voices/2020/05/09/pandemic-shows-need-science-literacy-sinclair-parker-dunkelberger/3103490001/, accessed on 7/16/20, BS]</w:t>
      </w:r>
    </w:p>
    <w:p w14:paraId="21ED2015" w14:textId="77777777" w:rsidR="00594729" w:rsidRPr="00056CDC" w:rsidRDefault="00594729" w:rsidP="00594729">
      <w:pPr>
        <w:shd w:val="clear" w:color="auto" w:fill="FFFFFF"/>
        <w:spacing w:line="235" w:lineRule="atLeast"/>
        <w:rPr>
          <w:rStyle w:val="StyleUnderline"/>
        </w:rPr>
      </w:pPr>
      <w:r w:rsidRPr="00056CDC">
        <w:rPr>
          <w:rStyle w:val="StyleUnderline"/>
        </w:rPr>
        <w:t>As COVID-19 continues to touch every part of life around the globe, it is vitally important that we understand the science of our new realities and have an informed citizenry. Never before in modern times have we seen such an overwhelming demonstration of the need for science literacy.</w:t>
      </w:r>
    </w:p>
    <w:p w14:paraId="20F48D0A" w14:textId="77777777" w:rsidR="00594729" w:rsidRPr="00056CDC" w:rsidRDefault="00594729" w:rsidP="00594729">
      <w:pPr>
        <w:shd w:val="clear" w:color="auto" w:fill="FFFFFF"/>
        <w:spacing w:line="235" w:lineRule="atLeast"/>
        <w:rPr>
          <w:rFonts w:eastAsia="Times New Roman" w:cs="Calibri"/>
          <w:color w:val="222222"/>
        </w:rPr>
      </w:pPr>
      <w:r w:rsidRPr="00056CDC">
        <w:rPr>
          <w:rStyle w:val="StyleUnderline"/>
        </w:rPr>
        <w:t>We are battling a deadly pandemic — and we will ultimately win this fight because of those working overtime in science, technology, engineering and math (STEM) based careers</w:t>
      </w:r>
      <w:r w:rsidRPr="00056CDC">
        <w:rPr>
          <w:rFonts w:eastAsia="Times New Roman" w:cs="Calibri"/>
          <w:color w:val="222222"/>
        </w:rPr>
        <w:t>. Innovation through STEM is informing our responses to COVID-19. Some examples include: 3-D printing of personal protection equipment, distilleries pivoting to produce hand sanitizer, and research and development of more than 100 vaccine candidates.</w:t>
      </w:r>
    </w:p>
    <w:p w14:paraId="60D37014" w14:textId="77777777" w:rsidR="00594729" w:rsidRPr="00056CDC" w:rsidRDefault="00594729" w:rsidP="00594729">
      <w:pPr>
        <w:shd w:val="clear" w:color="auto" w:fill="FFFFFF"/>
        <w:spacing w:line="235" w:lineRule="atLeast"/>
        <w:rPr>
          <w:rFonts w:eastAsia="Times New Roman" w:cs="Calibri"/>
          <w:color w:val="222222"/>
        </w:rPr>
      </w:pPr>
      <w:r w:rsidRPr="00056CDC">
        <w:rPr>
          <w:rStyle w:val="StyleUnderline"/>
        </w:rPr>
        <w:t>We’ve also seen our regional, state and local leaders unite behind science to help stop the spread of infection and flatten the curve. Physical distancing, protective face coverings and quarantine are all ways to fight a deadly virus without a cure or vaccine. And we know this because of the scientists who identified the virus, understood its transmission, calculated its contagiousness, are researching treatments, and potentially, a ground-breaking vaccine. The science of this pandemic has already saved an immeasurable number of lives</w:t>
      </w:r>
      <w:r w:rsidRPr="00056CDC">
        <w:rPr>
          <w:rFonts w:eastAsia="Times New Roman" w:cs="Calibri"/>
          <w:color w:val="222222"/>
        </w:rPr>
        <w:t> and will continue to save many more.</w:t>
      </w:r>
    </w:p>
    <w:p w14:paraId="2A7F98FE" w14:textId="77777777" w:rsidR="00594729" w:rsidRPr="00056CDC" w:rsidRDefault="00594729" w:rsidP="00594729">
      <w:pPr>
        <w:shd w:val="clear" w:color="auto" w:fill="FFFFFF"/>
        <w:spacing w:line="235" w:lineRule="atLeast"/>
        <w:rPr>
          <w:rFonts w:eastAsia="Times New Roman" w:cs="Calibri"/>
          <w:color w:val="222222"/>
        </w:rPr>
      </w:pPr>
      <w:r w:rsidRPr="00056CDC">
        <w:rPr>
          <w:rStyle w:val="StyleUnderline"/>
        </w:rPr>
        <w:t>And when the curve drops and restrictions are lifted, the need for cutting-edge research and science education will be crucial in how we respond to future threats</w:t>
      </w:r>
      <w:r w:rsidRPr="00056CDC">
        <w:rPr>
          <w:rFonts w:eastAsia="Times New Roman" w:cs="Calibri"/>
          <w:color w:val="222222"/>
        </w:rPr>
        <w:t>. Science-literate next generations could literally save us. And our planet. Investing today will pave the way for tomorrow’s triumphs.</w:t>
      </w:r>
    </w:p>
    <w:p w14:paraId="7C1D070F" w14:textId="77777777" w:rsidR="00594729" w:rsidRPr="00056CDC" w:rsidRDefault="00594729" w:rsidP="00594729">
      <w:pPr>
        <w:shd w:val="clear" w:color="auto" w:fill="FFFFFF"/>
        <w:spacing w:line="235" w:lineRule="atLeast"/>
        <w:rPr>
          <w:rFonts w:eastAsia="Times New Roman" w:cs="Calibri"/>
          <w:color w:val="222222"/>
        </w:rPr>
      </w:pPr>
      <w:r w:rsidRPr="00056CDC">
        <w:rPr>
          <w:rFonts w:eastAsia="Times New Roman" w:cs="Calibri"/>
          <w:color w:val="222222"/>
        </w:rPr>
        <w:t>Long before we were staying home because of COVID-19, The Discovery, Immunize Nevada and Sierra Nevada Journeys were cultivating science literacy in our community, collectively through our in-person, online, school and outdoor-based programs.</w:t>
      </w:r>
    </w:p>
    <w:p w14:paraId="00A4D2E6" w14:textId="77777777" w:rsidR="00594729" w:rsidRPr="00056CDC" w:rsidRDefault="00594729" w:rsidP="00594729">
      <w:pPr>
        <w:shd w:val="clear" w:color="auto" w:fill="FFFFFF"/>
        <w:spacing w:line="235" w:lineRule="atLeast"/>
        <w:rPr>
          <w:rFonts w:eastAsia="Times New Roman" w:cs="Calibri"/>
          <w:color w:val="222222"/>
        </w:rPr>
      </w:pPr>
      <w:r w:rsidRPr="00056CDC">
        <w:rPr>
          <w:rFonts w:eastAsia="Times New Roman" w:cs="Calibri"/>
          <w:color w:val="222222"/>
        </w:rPr>
        <w:t>These are scary times. And with everything changing so fast, it can be tough to make sense of it all. But one thing remains certain: the need for science education</w:t>
      </w:r>
      <w:r w:rsidRPr="00056CDC">
        <w:rPr>
          <w:rStyle w:val="Emphasis"/>
        </w:rPr>
        <w:t xml:space="preserve">. Science is crucial in fighting and controlling the spread of disease. </w:t>
      </w:r>
      <w:r w:rsidRPr="00056CDC">
        <w:rPr>
          <w:rFonts w:eastAsia="Times New Roman" w:cs="Calibri"/>
          <w:color w:val="222222"/>
        </w:rPr>
        <w:t>That’s why The Discovery exists; we’re here to inspire the next generation of scientists, researchers and innovators who will help us overcome the challenges like what we’re facing today.</w:t>
      </w:r>
    </w:p>
    <w:p w14:paraId="4E3B6C30" w14:textId="77777777" w:rsidR="00594729" w:rsidRPr="00056CDC" w:rsidRDefault="00594729" w:rsidP="00594729">
      <w:pPr>
        <w:shd w:val="clear" w:color="auto" w:fill="FFFFFF"/>
        <w:spacing w:line="235" w:lineRule="atLeast"/>
        <w:rPr>
          <w:rFonts w:eastAsia="Times New Roman" w:cs="Calibri"/>
          <w:color w:val="222222"/>
        </w:rPr>
      </w:pPr>
      <w:r w:rsidRPr="00056CDC">
        <w:rPr>
          <w:rFonts w:eastAsia="Times New Roman" w:cs="Calibri"/>
          <w:color w:val="222222"/>
        </w:rPr>
        <w:t>Keeping our distance from misinformation is easier said than done, and Immunize Nevada continues to be a trusted resource, guiding Nevadans with credible, evidence-based facts and resources. </w:t>
      </w:r>
      <w:r w:rsidRPr="00056CDC">
        <w:rPr>
          <w:rStyle w:val="StyleUnderline"/>
        </w:rPr>
        <w:t>As rapidly as this virus has spread, misinformation has spread faster, causing the WHO to coin it an “infodemic.”</w:t>
      </w:r>
      <w:r w:rsidRPr="00056CDC">
        <w:rPr>
          <w:rStyle w:val="Emphasis"/>
        </w:rPr>
        <w:t> We can all stop the spread by fact-checking, listening to credible experts and dispelling and debunking alternative theories</w:t>
      </w:r>
      <w:r w:rsidRPr="00056CDC">
        <w:rPr>
          <w:rFonts w:eastAsia="Times New Roman" w:cs="Calibri"/>
          <w:color w:val="222222"/>
        </w:rPr>
        <w:t xml:space="preserve">, </w:t>
      </w:r>
      <w:r w:rsidRPr="00056CDC">
        <w:rPr>
          <w:rStyle w:val="StyleUnderline"/>
        </w:rPr>
        <w:t>dangerous cures and myths</w:t>
      </w:r>
      <w:r w:rsidRPr="00056CDC">
        <w:rPr>
          <w:rFonts w:eastAsia="Times New Roman" w:cs="Calibri"/>
          <w:color w:val="222222"/>
        </w:rPr>
        <w:t>. Try out your fact-checking skills with the News Literacy Project at </w:t>
      </w:r>
      <w:r w:rsidRPr="00056CDC">
        <w:rPr>
          <w:rFonts w:eastAsia="Times New Roman" w:cs="Calibri"/>
          <w:color w:val="1155CC"/>
          <w:u w:val="single"/>
        </w:rPr>
        <w:t>newslit.org/coronavirus</w:t>
      </w:r>
      <w:r w:rsidRPr="00056CDC">
        <w:rPr>
          <w:rFonts w:eastAsia="Times New Roman" w:cs="Calibri"/>
          <w:color w:val="222222"/>
        </w:rPr>
        <w:t> and if you have distance learners, their Checkology curriculum is now available for free.</w:t>
      </w:r>
    </w:p>
    <w:p w14:paraId="58B254D7" w14:textId="77777777" w:rsidR="00594729" w:rsidRPr="00056CDC" w:rsidRDefault="00594729" w:rsidP="00594729">
      <w:pPr>
        <w:shd w:val="clear" w:color="auto" w:fill="FFFFFF"/>
        <w:spacing w:line="235" w:lineRule="atLeast"/>
        <w:rPr>
          <w:rStyle w:val="StyleUnderline"/>
        </w:rPr>
      </w:pPr>
      <w:r w:rsidRPr="00056CDC">
        <w:rPr>
          <w:rFonts w:eastAsia="Times New Roman" w:cs="Calibri"/>
          <w:color w:val="222222"/>
        </w:rPr>
        <w:lastRenderedPageBreak/>
        <w:t>Sierra Nevada Journeys serves two-thirds of the elementary schools across northwest Nevada with STEM education annually. Our educators have worked to transition our in-person programs to support digital learning, and they are planning to serve 15,000 students this spring to support the region's move to distance learning</w:t>
      </w:r>
      <w:r w:rsidRPr="00056CDC">
        <w:rPr>
          <w:rStyle w:val="StyleUnderline"/>
        </w:rPr>
        <w:t>. In a time when our next generation will be relied upon to solve the next pandemic, taking a six-month leave of absence on science education is not an option.</w:t>
      </w:r>
    </w:p>
    <w:p w14:paraId="4C6D9485" w14:textId="77777777" w:rsidR="00594729" w:rsidRDefault="00594729" w:rsidP="00594729">
      <w:pPr>
        <w:shd w:val="clear" w:color="auto" w:fill="FFFFFF"/>
        <w:spacing w:line="235" w:lineRule="atLeast"/>
        <w:rPr>
          <w:rFonts w:eastAsia="Times New Roman" w:cs="Calibri"/>
          <w:color w:val="222222"/>
        </w:rPr>
      </w:pPr>
      <w:r w:rsidRPr="00056CDC">
        <w:rPr>
          <w:rFonts w:eastAsia="Times New Roman" w:cs="Calibri"/>
          <w:color w:val="222222"/>
        </w:rPr>
        <w:t>Right now, we may not be able to serve our community the way you’re used to, but we’re still here and we are still serving you</w:t>
      </w:r>
      <w:r w:rsidRPr="00056CDC">
        <w:rPr>
          <w:rStyle w:val="Emphasis"/>
        </w:rPr>
        <w:t>! Science matters and we can see it in the care that our loved ones receive, in the skill of our health care providers and in every aspect of our economic engin</w:t>
      </w:r>
      <w:r w:rsidRPr="00056CDC">
        <w:rPr>
          <w:rFonts w:eastAsia="Times New Roman" w:cs="Calibri"/>
          <w:b/>
          <w:bCs/>
          <w:color w:val="222222"/>
          <w:bdr w:val="none" w:sz="0" w:space="0" w:color="auto" w:frame="1"/>
        </w:rPr>
        <w:t>es</w:t>
      </w:r>
      <w:r w:rsidRPr="00056CDC">
        <w:rPr>
          <w:rFonts w:eastAsia="Times New Roman" w:cs="Calibri"/>
          <w:color w:val="222222"/>
        </w:rPr>
        <w:t>. Be a champion for science and in the meantime, stay safe and healthy, take care of each other, and never stop learning!</w:t>
      </w:r>
      <w:r>
        <w:rPr>
          <w:rFonts w:eastAsia="Times New Roman" w:cs="Calibri"/>
          <w:color w:val="222222"/>
        </w:rPr>
        <w:br/>
      </w:r>
    </w:p>
    <w:p w14:paraId="22E7990C" w14:textId="77777777" w:rsidR="00594729" w:rsidRDefault="00594729" w:rsidP="00594729">
      <w:pPr>
        <w:pStyle w:val="Heading4"/>
      </w:pPr>
      <w:r>
        <w:t>Trump’s lack of scientific literacy- undermines scientists’ ability to combat Covid-19 via public information</w:t>
      </w:r>
    </w:p>
    <w:p w14:paraId="29E715F6" w14:textId="77777777" w:rsidR="00594729" w:rsidRPr="00EC366C" w:rsidRDefault="00594729" w:rsidP="00594729">
      <w:r w:rsidRPr="00EC366C">
        <w:rPr>
          <w:b/>
          <w:bCs/>
          <w:sz w:val="26"/>
          <w:szCs w:val="26"/>
        </w:rPr>
        <w:t>Robinson, Deputy editor-Chemistry World, 20</w:t>
      </w:r>
      <w:r>
        <w:t xml:space="preserve"> (Philip Robinson, Deputy editor- Chemistry World, 22 May 2020, Chemistry World, “Covid-19 poses trust issues for science”, </w:t>
      </w:r>
      <w:r w:rsidRPr="00B06ED0">
        <w:t>https://www.chemistryworld.com/opinion/covid-19-poses-trust-issues-for-science/4011797.article</w:t>
      </w:r>
      <w:r>
        <w:t>, accessed 7/6/20, EM)</w:t>
      </w:r>
    </w:p>
    <w:p w14:paraId="2142457A" w14:textId="77777777" w:rsidR="00594729" w:rsidRPr="00EC366C" w:rsidRDefault="00594729" w:rsidP="00594729">
      <w:pPr>
        <w:rPr>
          <w:rStyle w:val="StyleUnderline"/>
        </w:rPr>
      </w:pPr>
      <w:r>
        <w:t xml:space="preserve">Amid the grim hardships and gloomy forecasts of a world living with Covid-19, there are also reasons to be positive. </w:t>
      </w:r>
      <w:r w:rsidRPr="00EC366C">
        <w:rPr>
          <w:rStyle w:val="StyleUnderline"/>
        </w:rPr>
        <w:t>Thanks to the work of scientists around the world, potential therapies and vaccines are emerging, and rates of infection and mortality are falling in many countries. The benefits of scientific advice, research infrastructure and the pharmaceutical and chemical industries are increasingly evident to governments and society everywhere.</w:t>
      </w:r>
      <w:r>
        <w:t xml:space="preserve"> No surprise perhaps that a Survation poll released early in May found that public trust in scientists has grown during the Covid-19 pandemic. And that is particularly welcome news, because</w:t>
      </w:r>
      <w:r w:rsidRPr="00EC366C">
        <w:rPr>
          <w:rStyle w:val="Emphasis"/>
        </w:rPr>
        <w:t xml:space="preserve"> it has never been more important for the public to have faith in science, </w:t>
      </w:r>
      <w:r w:rsidRPr="00EC366C">
        <w:rPr>
          <w:rStyle w:val="StyleUnderline"/>
        </w:rPr>
        <w:t xml:space="preserve">and in the advice of scientists. </w:t>
      </w:r>
    </w:p>
    <w:p w14:paraId="06701B43" w14:textId="77777777" w:rsidR="00594729" w:rsidRDefault="00594729" w:rsidP="00594729">
      <w:r w:rsidRPr="00EC366C">
        <w:rPr>
          <w:rStyle w:val="StyleUnderline"/>
        </w:rPr>
        <w:t xml:space="preserve">There is a long road ahead through Covid-19, and along the way, </w:t>
      </w:r>
      <w:r w:rsidRPr="00EC366C">
        <w:rPr>
          <w:rStyle w:val="Emphasis"/>
        </w:rPr>
        <w:t>careless communication, misinformation and outright attacks on science all threaten to erode that</w:t>
      </w:r>
      <w:r w:rsidRPr="00EC366C">
        <w:rPr>
          <w:rStyle w:val="StyleUnderline"/>
        </w:rPr>
        <w:t xml:space="preserve"> hard-won </w:t>
      </w:r>
      <w:r w:rsidRPr="00EC366C">
        <w:rPr>
          <w:rStyle w:val="Emphasis"/>
        </w:rPr>
        <w:t>trust.</w:t>
      </w:r>
      <w:r w:rsidRPr="00EC366C">
        <w:rPr>
          <w:rStyle w:val="StyleUnderline"/>
        </w:rPr>
        <w:t xml:space="preserve"> For example, as Phillip Broadwith has noted, the news that the antiviral drug remdisivir might be effective in treating severe cases of Covid-19 must be handled responsibly</w:t>
      </w:r>
      <w:r>
        <w:t>. Our desperation for good news – and the willingness of administrations and the media to provide it – make it all too easy to misrepresent progress by taking a snapshot of the lengthy process of developing a treatment. Covid-19 testing and vaccines face the same treacherous path.</w:t>
      </w:r>
    </w:p>
    <w:p w14:paraId="15D286D3" w14:textId="77777777" w:rsidR="00594729" w:rsidRDefault="00594729" w:rsidP="00594729">
      <w:r>
        <w:t>It’s particularly important to bear this in mind for scientific advice</w:t>
      </w:r>
      <w:r w:rsidRPr="00EC366C">
        <w:rPr>
          <w:rStyle w:val="StyleUnderline"/>
        </w:rPr>
        <w:t xml:space="preserve">. In the UK, the government has daily emphasised that it is ‘following the science’. We should welcome, indeed insist upon, evidence-based Covid-19 policies, but we must also be wary of an oversimplified message that belies the complex relationship between science and politics. The notion that science supplies unequivocal answers that dictate a clear course of action is simply not true, nor is it the case that scientific advice will always be followed. Scientists gather the evidence and provide the advice: it is government that must then take heed, take action and take responsibility. </w:t>
      </w:r>
      <w:r>
        <w:t>When the work and pensions secretary Thérèse Coffey recently appeared to defend aspects of the government’s Covid-19 response by blaming ‘wrong’ science, No 10 rightly distanced itself from the remarks. But it still left scientists concerned that, wittingly or not, they are being framed as decision makers, and therefore politicised.</w:t>
      </w:r>
    </w:p>
    <w:p w14:paraId="488B09F2" w14:textId="77777777" w:rsidR="00594729" w:rsidRDefault="00594729" w:rsidP="00594729">
      <w:r>
        <w:lastRenderedPageBreak/>
        <w:t>Members of the UK’s Sage (Science Advisory Group for Emergencies) committee expressed similar concerns in the wake of Neil Ferguson’s decision to stand down from the group, after it emerged he had ignored the rules on social distancing. Ferguson had been one of Sage’s most visible members – the modelling by his Imperial College London team was key to swaying opinion towards lockdown. Discussing Ferguson’s resignation, the health minister Matt Hancock said he would not back him to remain, which angered other Sage members who felt that Ferguson’s mistake did not warrant resignation from what is an unpaid, voluntary role, nor such widely publicised opprobrium.</w:t>
      </w:r>
    </w:p>
    <w:p w14:paraId="190952B9" w14:textId="77777777" w:rsidR="00594729" w:rsidRDefault="00594729" w:rsidP="00594729">
      <w:r>
        <w:t>However, if we are to emphasise any aspect of Ferguson’s conduct, it should be his decision to step down. When the Scottish chief medical adviser Catherine Calderwood showed similarly poor judgement by visiting her second home during lockdown, she too stepped down from her advisory role, saying the public ‘must have complete trust in those who give them advice’. For scientists, integrity is not a political gambit.</w:t>
      </w:r>
    </w:p>
    <w:p w14:paraId="15B73377" w14:textId="77777777" w:rsidR="00594729" w:rsidRPr="00EC366C" w:rsidRDefault="00594729" w:rsidP="00594729">
      <w:pPr>
        <w:rPr>
          <w:rStyle w:val="Emphasis"/>
        </w:rPr>
      </w:pPr>
      <w:r w:rsidRPr="00EC366C">
        <w:rPr>
          <w:rStyle w:val="StyleUnderline"/>
        </w:rPr>
        <w:t xml:space="preserve">It is a great shame that we do not expect the same of politicians, and there is a sense that some politicians view science as just another stratagem in the political playbook. In the worst cases, world leaders are ignoring or contradicting science altogether. President Trump seemingly posited intravenous administration of disinfectant as a treatment for Covid-19, and then simply weathered the rebukes – </w:t>
      </w:r>
      <w:r w:rsidRPr="00EC366C">
        <w:rPr>
          <w:rStyle w:val="Emphasis"/>
        </w:rPr>
        <w:t>science literacy is clearly not a plank of his reelection strategy.</w:t>
      </w:r>
      <w:r>
        <w:t xml:space="preserve"> </w:t>
      </w:r>
      <w:r w:rsidRPr="00EC366C">
        <w:rPr>
          <w:rStyle w:val="StyleUnderline"/>
        </w:rPr>
        <w:t xml:space="preserve">And his recent admission that </w:t>
      </w:r>
      <w:r w:rsidRPr="00EC366C">
        <w:rPr>
          <w:rStyle w:val="Emphasis"/>
        </w:rPr>
        <w:t xml:space="preserve">he </w:t>
      </w:r>
      <w:r w:rsidRPr="00EC366C">
        <w:rPr>
          <w:rStyle w:val="StyleUnderline"/>
        </w:rPr>
        <w:t xml:space="preserve">has been using hydroxychloroquine as a prophylactic against Covid-19 infection, despite its effectiveness still being unproven, </w:t>
      </w:r>
      <w:r w:rsidRPr="00EC366C">
        <w:rPr>
          <w:rStyle w:val="Emphasis"/>
        </w:rPr>
        <w:t>undermines scientists’ work by suggesting that the results of safety and efficacy trials are no more valid than one’s personal opinion.</w:t>
      </w:r>
    </w:p>
    <w:p w14:paraId="303E0ECF" w14:textId="77777777" w:rsidR="00594729" w:rsidRDefault="00594729" w:rsidP="00594729">
      <w:r w:rsidRPr="00EC366C">
        <w:rPr>
          <w:rStyle w:val="Emphasis"/>
        </w:rPr>
        <w:t>Trust in science is vital, and it should be nurtured not taken for granted.</w:t>
      </w:r>
      <w:r>
        <w:t xml:space="preserve"> As the unity of purpose that defined the early response to the pandemic is beginning to fragment, and as tensions mount with people bridling against the economic and social privations of lockdown, the need for the public to trust scientific advice is more important than ever. </w:t>
      </w:r>
      <w:r w:rsidRPr="00EC366C">
        <w:rPr>
          <w:rStyle w:val="StyleUnderline"/>
        </w:rPr>
        <w:t>If the public loses its faith, the job of persuading people to willingly participate in public health measures becomes much more difficult. And then administrative fiat is all that remains to keep us safe, which will make the months ahead very hard indeed.</w:t>
      </w:r>
    </w:p>
    <w:p w14:paraId="1A3715CB" w14:textId="77777777" w:rsidR="000640D4" w:rsidRDefault="000640D4" w:rsidP="000640D4">
      <w:pPr>
        <w:pStyle w:val="Heading3"/>
      </w:pPr>
      <w:r>
        <w:lastRenderedPageBreak/>
        <w:t>Sci Literacy - U.S. Leadership in Climate Crisis</w:t>
      </w:r>
    </w:p>
    <w:p w14:paraId="4E4BDE91" w14:textId="77777777" w:rsidR="000640D4" w:rsidRDefault="000640D4" w:rsidP="000640D4">
      <w:pPr>
        <w:pStyle w:val="Heading4"/>
      </w:pPr>
      <w:r>
        <w:t>America is one of the largest producers of CO2 – that makes U.S. leadership in climate key</w:t>
      </w:r>
    </w:p>
    <w:p w14:paraId="4FA64800" w14:textId="77777777" w:rsidR="000640D4" w:rsidRPr="00766ECC" w:rsidRDefault="000640D4" w:rsidP="000640D4">
      <w:pPr>
        <w:rPr>
          <w:rStyle w:val="Style13ptBold"/>
        </w:rPr>
      </w:pPr>
      <w:r w:rsidRPr="00766ECC">
        <w:rPr>
          <w:rStyle w:val="Style13ptBold"/>
        </w:rPr>
        <w:t xml:space="preserve">World Wildlife Fund, 17 </w:t>
      </w:r>
    </w:p>
    <w:p w14:paraId="39251459" w14:textId="77777777" w:rsidR="000640D4" w:rsidRPr="0060794C" w:rsidRDefault="000640D4" w:rsidP="000640D4">
      <w:r>
        <w:t>(3/6/17, World Wildlife Fund, “US should continue to lead the way on climate change action,” worldwildlife.org/stories/making-action-on-climate-change-a-priority-at-home-and-abroad, accessed 7/15/2020)</w:t>
      </w:r>
    </w:p>
    <w:p w14:paraId="5E8A66D5" w14:textId="77777777" w:rsidR="000640D4" w:rsidRDefault="000640D4" w:rsidP="000640D4">
      <w:r>
        <w:t>Reduce US carbon emissions</w:t>
      </w:r>
    </w:p>
    <w:p w14:paraId="7E97E4AC" w14:textId="77777777" w:rsidR="000640D4" w:rsidRDefault="000640D4" w:rsidP="000640D4">
      <w:r w:rsidRPr="0060794C">
        <w:rPr>
          <w:rStyle w:val="StyleUnderline"/>
        </w:rPr>
        <w:t>As the largest historical emitter of fossil fuels and the world’s largest economy</w:t>
      </w:r>
      <w:r>
        <w:t xml:space="preserve">, </w:t>
      </w:r>
      <w:r w:rsidRPr="0060794C">
        <w:rPr>
          <w:rStyle w:val="StyleUnderline"/>
        </w:rPr>
        <w:t>the US has a leading role to play in reducing global emissions and driving the transition toward cleaner forms of energy</w:t>
      </w:r>
      <w:r>
        <w:t xml:space="preserve">. The </w:t>
      </w:r>
      <w:r w:rsidRPr="0060794C">
        <w:rPr>
          <w:rStyle w:val="StyleUnderline"/>
        </w:rPr>
        <w:t>American people strongly support these objectives</w:t>
      </w:r>
      <w:r>
        <w:t xml:space="preserve">, as do businesses, municipalities, and many state and local governments. Under the Clean Air Act, the US is legally required to regulate carbon pollution to protect human health and welfare. </w:t>
      </w:r>
    </w:p>
    <w:p w14:paraId="242C9EE2" w14:textId="77777777" w:rsidR="000640D4" w:rsidRDefault="000640D4" w:rsidP="000640D4">
      <w:pPr>
        <w:rPr>
          <w:rStyle w:val="StyleUnderline"/>
        </w:rPr>
      </w:pPr>
      <w:r w:rsidRPr="0060794C">
        <w:rPr>
          <w:rStyle w:val="StyleUnderline"/>
        </w:rPr>
        <w:t>The US government has taken several steps to achieve this</w:t>
      </w:r>
      <w:r>
        <w:t xml:space="preserve">, including limiting power plant emissions via the Clean Power Plan, increasing car and truck fuel efficiency standards, improving building efficiency codes, and providing incentives for the development and deployment of clean and renewable forms of energy. All of </w:t>
      </w:r>
      <w:r w:rsidRPr="0060794C">
        <w:rPr>
          <w:rStyle w:val="StyleUnderline"/>
        </w:rPr>
        <w:t>these steps are necessary. But additional action will be needed from Congress and the Administration to achieve US commitments and help the world meet the Paris Agreement’s target of limiting global average temperature rise to well below 2 degrees Celsius.</w:t>
      </w:r>
    </w:p>
    <w:p w14:paraId="5ED81C71" w14:textId="77777777" w:rsidR="000640D4" w:rsidRPr="00FC1959" w:rsidRDefault="000640D4" w:rsidP="000640D4">
      <w:pPr>
        <w:pStyle w:val="Heading3"/>
      </w:pPr>
      <w:r w:rsidRPr="00FC1959">
        <w:lastRenderedPageBreak/>
        <w:t>Sci Literacy – Pandemics &amp; Climate</w:t>
      </w:r>
    </w:p>
    <w:p w14:paraId="23C7FAD0" w14:textId="77777777" w:rsidR="000640D4" w:rsidRPr="008C74A9" w:rsidRDefault="000640D4" w:rsidP="000640D4"/>
    <w:p w14:paraId="49EDB648" w14:textId="77777777" w:rsidR="000640D4" w:rsidRPr="00504ED7" w:rsidRDefault="000640D4" w:rsidP="000640D4">
      <w:pPr>
        <w:pStyle w:val="Heading4"/>
      </w:pPr>
      <w:r>
        <w:t>Science literacy and credibility key to handling global crises like pandemics and climate</w:t>
      </w:r>
    </w:p>
    <w:p w14:paraId="3F76D541" w14:textId="77777777" w:rsidR="000640D4" w:rsidRPr="00504ED7" w:rsidRDefault="000640D4" w:rsidP="000640D4">
      <w:pPr>
        <w:rPr>
          <w:rStyle w:val="Style13ptBold"/>
        </w:rPr>
      </w:pPr>
      <w:r w:rsidRPr="00504ED7">
        <w:rPr>
          <w:rStyle w:val="Style13ptBold"/>
        </w:rPr>
        <w:t xml:space="preserve">Boot, </w:t>
      </w:r>
      <w:r>
        <w:rPr>
          <w:rStyle w:val="Style13ptBold"/>
        </w:rPr>
        <w:t xml:space="preserve">Council on Foreign Relations </w:t>
      </w:r>
      <w:r w:rsidRPr="00504ED7">
        <w:rPr>
          <w:rStyle w:val="Style13ptBold"/>
        </w:rPr>
        <w:t>National Security Studies</w:t>
      </w:r>
      <w:r>
        <w:rPr>
          <w:rStyle w:val="Style13ptBold"/>
        </w:rPr>
        <w:t xml:space="preserve"> senior fellow &amp; Washington Post columnist, 7-8-</w:t>
      </w:r>
      <w:r w:rsidRPr="00504ED7">
        <w:rPr>
          <w:rStyle w:val="Style13ptBold"/>
        </w:rPr>
        <w:t>20</w:t>
      </w:r>
    </w:p>
    <w:p w14:paraId="4CDFE412" w14:textId="77777777" w:rsidR="000640D4" w:rsidRPr="00B6577D" w:rsidRDefault="000640D4" w:rsidP="000640D4">
      <w:r w:rsidRPr="00B6577D">
        <w:t>[Max, 7/8/20, Washington Post, “Foes of science faced ridicule at the Scopes trial. We’re paying the price 95 years later”, https://www.washingtonpost.com/opinions/2020/07/08/foes-science-faced-ridicule-scopes-trial-were-paying-price-95-years-later/?utm_campaign=wp_opinions_pm&amp;utm_medium=email&amp;utm_source=newsletter&amp;wpisrc=nl_popns, accessed 7/9/20, MZK]</w:t>
      </w:r>
    </w:p>
    <w:p w14:paraId="443D6EFD" w14:textId="77777777" w:rsidR="000640D4" w:rsidRPr="00B6577D" w:rsidRDefault="000640D4" w:rsidP="000640D4"/>
    <w:p w14:paraId="03D7C1B2" w14:textId="5D5DE3F8" w:rsidR="000640D4" w:rsidRPr="00B6577D" w:rsidRDefault="000640D4" w:rsidP="000640D4">
      <w:pPr>
        <w:rPr>
          <w:rStyle w:val="StyleUnderline"/>
        </w:rPr>
      </w:pPr>
      <w:r w:rsidRPr="00B6577D">
        <w:rPr>
          <w:rStyle w:val="StyleUnderline"/>
        </w:rPr>
        <w:t>Why is the United States the only wealthy country where novel coronavirus cases are hitting new highs while elsewhere the virus is being contained? A lot of it has to do with the rejection of science by many on the right. A Gallup survey reports that while 98 percent of Democrats reported wearing a mask outside the home, only 66 percent of Republicans did. The same denialism extends to other important issues: A Pew survey reports that 75 percent of Democrats regard climate change as a top policy priority, compared with only 25 percent of Republicans.</w:t>
      </w:r>
    </w:p>
    <w:p w14:paraId="072E7EB8" w14:textId="54D29B18" w:rsidR="000640D4" w:rsidRPr="00C239B1" w:rsidRDefault="000640D4" w:rsidP="000640D4">
      <w:r w:rsidRPr="00C239B1">
        <w:t xml:space="preserve">President </w:t>
      </w:r>
      <w:r w:rsidRPr="00B6577D">
        <w:rPr>
          <w:rStyle w:val="StyleUnderline"/>
        </w:rPr>
        <w:t>Trump — who rejects his own government’s warnings about global warming and keeps insisting that the coronavirus will “miraculously” disappear on its own — is more a symptom than the cause of the problem.</w:t>
      </w:r>
      <w:r w:rsidRPr="00C239B1">
        <w:t xml:space="preserve"> The right’s reign of unreason long predates his presidency.</w:t>
      </w:r>
    </w:p>
    <w:p w14:paraId="1DBFFD09" w14:textId="49A2BA46" w:rsidR="000640D4" w:rsidRDefault="000640D4" w:rsidP="000640D4">
      <w:r w:rsidRPr="00B6577D">
        <w:rPr>
          <w:rStyle w:val="StyleUnderline"/>
        </w:rPr>
        <w:t>This week marks the 95th anniversary of the Scopes Monkey Trial</w:t>
      </w:r>
      <w:r w:rsidRPr="00C239B1">
        <w:t xml:space="preserve"> — the most famous battle of the early 20th century between science and religious fundamentalism. The story is well told in Edward J. Larson’s Pulitzer Prize-winning account, “</w:t>
      </w:r>
      <w:r w:rsidRPr="001E736C">
        <w:t>Summer for the Gods: The Scopes Trial and America’s Continuing Debate Over Science and Religion</w:t>
      </w:r>
      <w:r w:rsidRPr="00C239B1">
        <w:t>,” which is even more timely now than when it was published in 1997.</w:t>
      </w:r>
    </w:p>
    <w:p w14:paraId="695B11D7" w14:textId="77777777" w:rsidR="000640D4" w:rsidRPr="00C239B1" w:rsidRDefault="000640D4" w:rsidP="000640D4">
      <w:r w:rsidRPr="00C239B1">
        <w:t>On July 10, 1925, high school science teacher John T. Scopes went on trial in Dayton, Tenn., for teaching Charles Darwin’s theory of evolution. While “Modernist” (liberal) Protestants and most Catholics and Jews had accepted evolution as a manifestation of God’s design, conservative evangelicals known as “fundamentalists” insisted that God had created the earth in six days and denied that mankind is related to monkeys. At the urging of the fundamentalists, Tennessee passed a law forbidding the teaching of evolution. The prosecution of Scopes was a test case contrived by the town fathers of Dayton to put their sleepy burg on the map.</w:t>
      </w:r>
    </w:p>
    <w:p w14:paraId="65C8618F" w14:textId="77777777" w:rsidR="000640D4" w:rsidRPr="00C239B1" w:rsidRDefault="000640D4" w:rsidP="000640D4">
      <w:r w:rsidRPr="00C239B1">
        <w:t>They succeeded beyond their wildest dreams. Two of the most famous orators in America volunteered to try the case — William Jennings Bryan, a former secretary of state and three-time presidential candidate for the prosecution, and Clarence Darrow, “attorney for the damned,” for the defense. About two hundred reporters flocked to Dayton to cover the carnival-like proceedings, which were broadcast on radio and filmed for newsreels, and later inspired the play and film “Inherit the Wind.”</w:t>
      </w:r>
    </w:p>
    <w:p w14:paraId="53539FD6" w14:textId="77777777" w:rsidR="000640D4" w:rsidRPr="00C239B1" w:rsidRDefault="000640D4" w:rsidP="000640D4">
      <w:r w:rsidRPr="00C239B1">
        <w:lastRenderedPageBreak/>
        <w:t>The culmination of the trial was Darrow’s July 20 cross-examination of Bryan — a populist on economic issues but a conservative on social ones — about whether he took the Bible literally.</w:t>
      </w:r>
    </w:p>
    <w:p w14:paraId="4A27BC5E" w14:textId="77777777" w:rsidR="000640D4" w:rsidRPr="00C239B1" w:rsidRDefault="000640D4" w:rsidP="000640D4">
      <w:r w:rsidRPr="00C239B1">
        <w:t>“Do you believe Joshua made the sun stand still?” Darrow asked about a biblical passage that speaks of a miraculously lengthened day.</w:t>
      </w:r>
    </w:p>
    <w:p w14:paraId="71724401" w14:textId="77777777" w:rsidR="000640D4" w:rsidRPr="00C239B1" w:rsidRDefault="000640D4" w:rsidP="000640D4">
      <w:r w:rsidRPr="00C239B1">
        <w:t>“I believe what the Bible says. I suppose you mean that the earth stood still?” Bryan replied.</w:t>
      </w:r>
    </w:p>
    <w:p w14:paraId="47A7BCBE" w14:textId="77777777" w:rsidR="000640D4" w:rsidRPr="00C239B1" w:rsidRDefault="000640D4" w:rsidP="000640D4">
      <w:r w:rsidRPr="00C239B1">
        <w:t>Darrow first feigned innocence (“I don’t know”) and then sprang his trap: “Now, Mr. Bryan, have you ever pondered what would have happened to the earth if it had stood still?”</w:t>
      </w:r>
    </w:p>
    <w:p w14:paraId="0900B1E6" w14:textId="77777777" w:rsidR="000640D4" w:rsidRPr="00C239B1" w:rsidRDefault="000640D4" w:rsidP="000640D4">
      <w:r w:rsidRPr="00C239B1">
        <w:t>“No,” Bryan replied. “The God I believe in could have taken care of that.”</w:t>
      </w:r>
    </w:p>
    <w:p w14:paraId="7AB5751B" w14:textId="77777777" w:rsidR="000640D4" w:rsidRPr="00C239B1" w:rsidRDefault="000640D4" w:rsidP="000640D4">
      <w:r w:rsidRPr="00C239B1">
        <w:t>Darrow: “Don’t you know it would have been converted into a molten mass of matter?”</w:t>
      </w:r>
    </w:p>
    <w:p w14:paraId="1E5A81A0" w14:textId="298CA406" w:rsidR="000640D4" w:rsidRPr="00B6577D" w:rsidRDefault="000640D4" w:rsidP="000640D4">
      <w:pPr>
        <w:rPr>
          <w:rStyle w:val="StyleUnderline"/>
        </w:rPr>
      </w:pPr>
      <w:r w:rsidRPr="00C239B1">
        <w:t>The jury found Scopes guilty, and the judge fined him $100. The </w:t>
      </w:r>
      <w:r w:rsidRPr="001E736C">
        <w:t>Tennessee Supreme Court</w:t>
      </w:r>
      <w:r w:rsidRPr="00C239B1">
        <w:t> vacated the fine on a technicality but upheld the anti-evolution law, which remained on the books </w:t>
      </w:r>
      <w:r w:rsidRPr="001E736C">
        <w:t>until 1967</w:t>
      </w:r>
      <w:r w:rsidRPr="00C239B1">
        <w:t xml:space="preserve">. But the popular verdict was that the anti-evolution side had been defeated by being made to look ridiculous. </w:t>
      </w:r>
      <w:r w:rsidRPr="00B6577D">
        <w:rPr>
          <w:rStyle w:val="StyleUnderline"/>
        </w:rPr>
        <w:t>As Harper’s Magazine editor Frederick Lewis Allen wrote: “Theoretically, Fundamentalism had won, for the law stood. Yet really Fundamentalism had lost … and the slow drift from Fundamentalist certainty continued.”</w:t>
      </w:r>
    </w:p>
    <w:p w14:paraId="112B917F" w14:textId="77777777" w:rsidR="000640D4" w:rsidRPr="00C239B1" w:rsidRDefault="000640D4" w:rsidP="000640D4">
      <w:r w:rsidRPr="00C239B1">
        <w:t xml:space="preserve">It’s true that </w:t>
      </w:r>
      <w:r w:rsidRPr="00B6577D">
        <w:rPr>
          <w:rStyle w:val="StyleUnderline"/>
        </w:rPr>
        <w:t>fundamentalism became less assertive after the Scopes trial, but it hardly went away. By the 1980s, it had migrated to the Republican Party (Bryan was a Democrat) and had become a political force to be reckoned with.</w:t>
      </w:r>
      <w:r w:rsidRPr="00C239B1">
        <w:rPr>
          <w:u w:val="single"/>
        </w:rPr>
        <w:t xml:space="preserve"> </w:t>
      </w:r>
      <w:r w:rsidRPr="00C239B1">
        <w:t>Jerry Falwell, leader of the Moral Majority, actually thought that Bryan was a sellout for admitting, under Darrow’s cross-examination, that the world was not created in six 24-hour days. Falwell said that Bryan “lost the respect of Fundamentalists” for conceding that the Book of Genesis was referring to longer periods of time.</w:t>
      </w:r>
    </w:p>
    <w:p w14:paraId="4F797BB8" w14:textId="240B8D5B" w:rsidR="000640D4" w:rsidRPr="00C239B1" w:rsidRDefault="000640D4" w:rsidP="000640D4">
      <w:pPr>
        <w:rPr>
          <w:u w:val="single"/>
        </w:rPr>
      </w:pPr>
      <w:r w:rsidRPr="00B6577D">
        <w:rPr>
          <w:rStyle w:val="StyleUnderline"/>
        </w:rPr>
        <w:t>Today, the theory of evolution is accepted by most Americans — including most religious believers — but still resisted by a significant minority. According to a Pew poll in 2018, 18 percent of American adults deny the theory of evolution. Among white evangelical Protestants (a core part of the Trump base), 38 percent say that humans have always existed in their present form.</w:t>
      </w:r>
      <w:r w:rsidRPr="00C239B1">
        <w:rPr>
          <w:u w:val="single"/>
        </w:rPr>
        <w:t xml:space="preserve"> </w:t>
      </w:r>
      <w:r w:rsidRPr="00B6577D">
        <w:rPr>
          <w:rStyle w:val="StyleUnderline"/>
        </w:rPr>
        <w:t>Having 18 percent of the adult population in the anti-evolution camp might not seem like a lot, but it translates to roughly 37.6 million people — the population of Canada — who reject a core tenet of modern science.</w:t>
      </w:r>
    </w:p>
    <w:p w14:paraId="028C1FBC" w14:textId="77777777" w:rsidR="000640D4" w:rsidRDefault="000640D4" w:rsidP="000640D4">
      <w:r w:rsidRPr="00C239B1">
        <w:t xml:space="preserve">I suspect </w:t>
      </w:r>
      <w:r w:rsidRPr="00B6577D">
        <w:rPr>
          <w:rStyle w:val="StyleUnderline"/>
        </w:rPr>
        <w:t>there is a lot of overlap between anti-evolutionists, anti-maskers and climate deniers. That hostility to science, found far more on the right than the left, makes it much harder to deal with major crises such as global warming or the coronavirus. Ninety-five years after the Scopes trial, the foes of science are more potent politically than ever — and we are all paying the price.</w:t>
      </w:r>
    </w:p>
    <w:p w14:paraId="54AA1343" w14:textId="77777777" w:rsidR="000640D4" w:rsidRDefault="000640D4" w:rsidP="000640D4">
      <w:pPr>
        <w:pStyle w:val="Heading3"/>
      </w:pPr>
      <w:r>
        <w:lastRenderedPageBreak/>
        <w:t xml:space="preserve">Sci Literacy  - Covid Impact </w:t>
      </w:r>
    </w:p>
    <w:p w14:paraId="1BB1D260" w14:textId="77777777" w:rsidR="000640D4" w:rsidRDefault="000640D4" w:rsidP="000640D4">
      <w:pPr>
        <w:pStyle w:val="Heading4"/>
      </w:pPr>
      <w:r>
        <w:t xml:space="preserve">Scientific Literacy is key to solving Covid-19 and Climate crises </w:t>
      </w:r>
    </w:p>
    <w:p w14:paraId="0FE07FF9" w14:textId="77777777" w:rsidR="000640D4" w:rsidRPr="0028559D" w:rsidRDefault="000640D4" w:rsidP="000640D4">
      <w:pPr>
        <w:rPr>
          <w:rStyle w:val="Style13ptBold"/>
        </w:rPr>
      </w:pPr>
      <w:r w:rsidRPr="0028559D">
        <w:rPr>
          <w:rStyle w:val="Style13ptBold"/>
        </w:rPr>
        <w:t>Martin, Arizona State University science professor, 20</w:t>
      </w:r>
    </w:p>
    <w:p w14:paraId="329A37CB" w14:textId="7228924F" w:rsidR="000640D4" w:rsidRDefault="000640D4" w:rsidP="000640D4">
      <w:r>
        <w:t>(Thomas</w:t>
      </w:r>
      <w:r w:rsidRPr="0028559D">
        <w:t>, 6-10-2020,</w:t>
      </w:r>
      <w:r>
        <w:t xml:space="preserve"> Port Alberni valley news,</w:t>
      </w:r>
      <w:r w:rsidRPr="0028559D">
        <w:t xml:space="preserve"> "LETTER: COVID-19 pandemic shows the need for scientific literacy," </w:t>
      </w:r>
      <w:r w:rsidRPr="001E736C">
        <w:t>https://www.albernivalleynews.com/opinion/letter-covid-19-pandemic-shows-the-need-for-scientific-literacy/</w:t>
      </w:r>
      <w:r>
        <w:t xml:space="preserve"> Accessed 7-15-2020/WY)</w:t>
      </w:r>
    </w:p>
    <w:p w14:paraId="615B3365" w14:textId="77777777" w:rsidR="000640D4" w:rsidRDefault="000640D4" w:rsidP="000640D4">
      <w:r>
        <w:t>To the Editor,</w:t>
      </w:r>
    </w:p>
    <w:p w14:paraId="02CFA2EE" w14:textId="77777777" w:rsidR="000640D4" w:rsidRDefault="000640D4" w:rsidP="000640D4">
      <w:r>
        <w:t>Re: COVID-19 taught us we can act now on climate change measures, Letters, June 10, 2020</w:t>
      </w:r>
    </w:p>
    <w:p w14:paraId="72AA33E3" w14:textId="77777777" w:rsidR="000640D4" w:rsidRDefault="000640D4" w:rsidP="000640D4">
      <w:r>
        <w:t>I want to thank Chris Alemany for an important letter.</w:t>
      </w:r>
    </w:p>
    <w:p w14:paraId="06958AD9" w14:textId="77777777" w:rsidR="000640D4" w:rsidRPr="0028559D" w:rsidRDefault="000640D4" w:rsidP="000640D4">
      <w:pPr>
        <w:rPr>
          <w:u w:val="single"/>
        </w:rPr>
      </w:pPr>
      <w:r w:rsidRPr="0028559D">
        <w:rPr>
          <w:u w:val="single"/>
        </w:rPr>
        <w:t>The COVID-19 and climate crises demonstrate that scientific literacy is critical to a nation’s well-being. According to Arizona State University science professor Thomas Martin:</w:t>
      </w:r>
    </w:p>
    <w:p w14:paraId="31FC694B" w14:textId="77777777" w:rsidR="000640D4" w:rsidRPr="0028559D" w:rsidRDefault="000640D4" w:rsidP="000640D4">
      <w:pPr>
        <w:rPr>
          <w:u w:val="single"/>
        </w:rPr>
      </w:pPr>
      <w:r>
        <w:t>“</w:t>
      </w:r>
      <w:r w:rsidRPr="0028559D">
        <w:rPr>
          <w:u w:val="single"/>
        </w:rPr>
        <w:t>In the present cultural climate, altering one’s beliefs in response to anything (facts included) is considered a sign of weakness. Students must be convinced that changing one’s mind in light of the evidence is not weakness: Changing one’s mind is the essence of intellectual growth…The responsibility for fostering scientific literacy of this sort—that is, literacy construed as an ongoing commitment to evidence over preconception—falls upon all of us in our discussions both formal and informal, both public and private.”</w:t>
      </w:r>
    </w:p>
    <w:p w14:paraId="3B604082" w14:textId="77777777" w:rsidR="000640D4" w:rsidRDefault="000640D4" w:rsidP="000640D4">
      <w:r w:rsidRPr="0028559D">
        <w:rPr>
          <w:u w:val="single"/>
        </w:rPr>
        <w:t>Observing the bias and animosity common in political debate</w:t>
      </w:r>
      <w:r>
        <w:t xml:space="preserve">, the late Irish philosopher John O’Donohue stated that </w:t>
      </w:r>
      <w:r w:rsidRPr="0028559D">
        <w:rPr>
          <w:u w:val="single"/>
        </w:rPr>
        <w:t>we need more legislators, media, etc. who are not already loyal to one side or the other. It has been said that to practice philosophy, and also science, is to follow the question wherever it lead</w:t>
      </w:r>
      <w:r>
        <w:t>s. This was the important loyalty for O’Donohue, which he called “loyalty to the voyage of the question.”</w:t>
      </w:r>
    </w:p>
    <w:p w14:paraId="76978208" w14:textId="77777777" w:rsidR="000640D4" w:rsidRDefault="000640D4" w:rsidP="000640D4">
      <w:r>
        <w:t>Let’s hold ourselves and others to higher standards of truth-seeking.</w:t>
      </w:r>
    </w:p>
    <w:p w14:paraId="2D645FB3" w14:textId="692AB9BD" w:rsidR="000640D4" w:rsidRDefault="004F343C" w:rsidP="000640D4">
      <w:pPr>
        <w:pStyle w:val="Heading3"/>
      </w:pPr>
      <w:r>
        <w:lastRenderedPageBreak/>
        <w:t xml:space="preserve">Sci Literacy - </w:t>
      </w:r>
      <w:r w:rsidR="000640D4">
        <w:t>AT: Climate Change Irreversible</w:t>
      </w:r>
    </w:p>
    <w:p w14:paraId="7EB813FD" w14:textId="77777777" w:rsidR="000640D4" w:rsidRDefault="000640D4" w:rsidP="000640D4">
      <w:pPr>
        <w:pStyle w:val="Heading4"/>
      </w:pPr>
      <w:r>
        <w:t>Climate change is already happening – but, the worst effects can be mitigated through policy action – continuing to wait just exacerbates those impacts</w:t>
      </w:r>
    </w:p>
    <w:p w14:paraId="76E3D96D" w14:textId="77777777" w:rsidR="000640D4" w:rsidRPr="00766ECC" w:rsidRDefault="000640D4" w:rsidP="000640D4">
      <w:pPr>
        <w:rPr>
          <w:rStyle w:val="Style13ptBold"/>
        </w:rPr>
      </w:pPr>
      <w:r w:rsidRPr="00766ECC">
        <w:rPr>
          <w:rStyle w:val="Style13ptBold"/>
        </w:rPr>
        <w:t xml:space="preserve">Letzter, Live Science Staff Writer, 19 </w:t>
      </w:r>
    </w:p>
    <w:p w14:paraId="1E192901" w14:textId="6952EDC2" w:rsidR="000640D4" w:rsidRDefault="000640D4" w:rsidP="000640D4">
      <w:r>
        <w:t xml:space="preserve">(Rafi, 9/26/2019, Live Science, “Are We Really Running Out of Time to Stop Climate Change?” </w:t>
      </w:r>
      <w:r w:rsidRPr="001E736C">
        <w:t>https://www.livescience.com/12-years-to-stop-climate-change.html</w:t>
      </w:r>
      <w:r>
        <w:t>, Accessed 7/15/2020, MM)</w:t>
      </w:r>
    </w:p>
    <w:p w14:paraId="4646CF53" w14:textId="77777777" w:rsidR="000640D4" w:rsidRDefault="000640D4" w:rsidP="000640D4">
      <w:r>
        <w:t>Are we running out of time to stop climate change</w:t>
      </w:r>
      <w:r w:rsidRPr="00A91298">
        <w:rPr>
          <w:rStyle w:val="StyleUnderline"/>
        </w:rPr>
        <w:t>? Nearly a year has passed since the</w:t>
      </w:r>
      <w:r>
        <w:t xml:space="preserve"> Intergovernmental Panel on Climate Change </w:t>
      </w:r>
      <w:r w:rsidRPr="00A91298">
        <w:rPr>
          <w:rStyle w:val="StyleUnderline"/>
        </w:rPr>
        <w:t>(IPCC) warned that limiting global warming to the 1.5-degree Celsius</w:t>
      </w:r>
      <w:r>
        <w:t xml:space="preserve"> (2.6 degrees Fahrenheit) </w:t>
      </w:r>
      <w:r w:rsidRPr="00A91298">
        <w:rPr>
          <w:rStyle w:val="StyleUnderline"/>
        </w:rPr>
        <w:t xml:space="preserve">mark by the end of the century — a goal set to stave off the worst impacts of climate change </w:t>
      </w:r>
      <w:r>
        <w:t xml:space="preserve">— "would require rapid, far-reaching and unprecedented changes in all aspects of society." </w:t>
      </w:r>
    </w:p>
    <w:p w14:paraId="258C7354" w14:textId="77777777" w:rsidR="000640D4" w:rsidRDefault="000640D4" w:rsidP="000640D4">
      <w:r w:rsidRPr="00A91298">
        <w:rPr>
          <w:rStyle w:val="StyleUnderline"/>
        </w:rPr>
        <w:t>Some politicians and writers have thrown their hands up in the air and argued that it's too late, and that human civilization is simply not up to the task.</w:t>
      </w:r>
      <w:r>
        <w:t xml:space="preserve"> Others, meanwhile, took the report as a call to arms, reframing one of its points as a political organizing message: We have only 12 years to stop climate change, and the clock is ticking. (A year later, we're down to 11.)</w:t>
      </w:r>
    </w:p>
    <w:p w14:paraId="18311EA2" w14:textId="77777777" w:rsidR="000640D4" w:rsidRDefault="000640D4" w:rsidP="000640D4">
      <w:r>
        <w:t xml:space="preserve">But the full picture is both more and less dire than a slogan can capture. </w:t>
      </w:r>
      <w:r w:rsidRPr="00A91298">
        <w:rPr>
          <w:rStyle w:val="StyleUnderline"/>
        </w:rPr>
        <w:t>We can't stop climate change — because it's already here</w:t>
      </w:r>
      <w:r>
        <w:t xml:space="preserve">, and it's already too late to reverse many of its catastrophic effects. </w:t>
      </w:r>
      <w:r w:rsidRPr="00A91298">
        <w:rPr>
          <w:rStyle w:val="StyleUnderline"/>
        </w:rPr>
        <w:t>What's true is that things are on track to get much worse</w:t>
      </w:r>
      <w:r>
        <w:t xml:space="preserve"> over the course of this century, and that </w:t>
      </w:r>
      <w:r w:rsidRPr="00A91298">
        <w:rPr>
          <w:rStyle w:val="StyleUnderline"/>
        </w:rPr>
        <w:t>if we're going to stop those things from happening, society is going to have to start hitting some important deadlines fast</w:t>
      </w:r>
      <w:r>
        <w:t>. There's a big one coming 12 years after the IPCC report. Blowing through it won't immediately plunge society into a "Mad Max"-style dystopia, as some have suggested — perhaps tongue in cheek — but it will make sure everything keeps getting steadily worse, and it will make turning things around down the road that much harder.</w:t>
      </w:r>
    </w:p>
    <w:p w14:paraId="2F70DA69" w14:textId="77777777" w:rsidR="000640D4" w:rsidRPr="00A91298" w:rsidRDefault="000640D4" w:rsidP="000640D4">
      <w:pPr>
        <w:rPr>
          <w:b/>
          <w:u w:val="single"/>
        </w:rPr>
      </w:pPr>
      <w:r w:rsidRPr="00A91298">
        <w:rPr>
          <w:rStyle w:val="StyleUnderline"/>
        </w:rPr>
        <w:t>Some scientists are nervous that overemphasizing the 2030 deadline might mislead the public about the nuances of climate change. But others pointed out</w:t>
      </w:r>
      <w:r>
        <w:t xml:space="preserve"> to Live Science that </w:t>
      </w:r>
      <w:r w:rsidRPr="00A91298">
        <w:rPr>
          <w:rStyle w:val="StyleUnderline"/>
        </w:rPr>
        <w:t>activists have a task that's different from that of researchers — one that requires straightforward goals and clear, simple ideas.</w:t>
      </w:r>
    </w:p>
    <w:p w14:paraId="1777B268" w14:textId="77777777" w:rsidR="000640D4" w:rsidRDefault="000640D4" w:rsidP="000640D4">
      <w:r w:rsidRPr="00A91298">
        <w:rPr>
          <w:rStyle w:val="StyleUnderline"/>
        </w:rPr>
        <w:t>The IPCC report</w:t>
      </w:r>
      <w:r>
        <w:t xml:space="preserve">, which the U.N. climate science body released Oct. 8, 2018, </w:t>
      </w:r>
      <w:r w:rsidRPr="00A91298">
        <w:rPr>
          <w:rStyle w:val="StyleUnderline"/>
        </w:rPr>
        <w:t>revealed</w:t>
      </w:r>
      <w:r>
        <w:t xml:space="preserve"> that </w:t>
      </w:r>
      <w:r w:rsidRPr="00A91298">
        <w:rPr>
          <w:rStyle w:val="StyleUnderline"/>
        </w:rPr>
        <w:t>the best path to limiting warming</w:t>
      </w:r>
      <w:r>
        <w:t xml:space="preserve"> to an increase of 1.5 C by 2100 </w:t>
      </w:r>
      <w:r w:rsidRPr="00A91298">
        <w:rPr>
          <w:rStyle w:val="StyleUnderline"/>
        </w:rPr>
        <w:t>involves cutting net human carbon dioxide</w:t>
      </w:r>
      <w:r>
        <w:t xml:space="preserve"> (CO2) </w:t>
      </w:r>
      <w:r w:rsidRPr="00A91298">
        <w:rPr>
          <w:rStyle w:val="StyleUnderline"/>
        </w:rPr>
        <w:t>emissions 45% by 2030</w:t>
      </w:r>
      <w:r>
        <w:t xml:space="preserve"> (12 years after the report was published) and then cutting emissions further to net zero by 2050. It was far from the first dire warning that the agency had issued. But this one seemed to take root in the public discourse around climate change, possibly because of how news stories summarized the report. An Oct. 8, 2018, headline in The Guardian read, "We have 12 years to limit climate change catastrophe, warns UN." Vox headlined its article "Report: we have just 12 years to limit devastating global warming." Smithsonian.com wrote, "The World Was Just Issued 12-Year Ultimatum On Climate Change."</w:t>
      </w:r>
    </w:p>
    <w:p w14:paraId="66040576" w14:textId="77777777" w:rsidR="000640D4" w:rsidRDefault="000640D4" w:rsidP="000640D4">
      <w:r>
        <w:t>In an interview with writer Ta-Nehisi Coates three months later, on Jan. 21, Rep. Alexandria Ocasio-Cortez, D.-N.Y., spelled out how the report's conclusions had entered the zeitgeist:</w:t>
      </w:r>
    </w:p>
    <w:p w14:paraId="43527D39" w14:textId="77777777" w:rsidR="000640D4" w:rsidRDefault="000640D4" w:rsidP="000640D4">
      <w:r>
        <w:lastRenderedPageBreak/>
        <w:t>"Millennials and Gen Z and all these folks that come after us are looking up, and we're like, 'The world is going to end in 12 years if we don't address climate change, and your biggest issue is how are we gonna pay for it?'"</w:t>
      </w:r>
    </w:p>
    <w:p w14:paraId="4E9AC920" w14:textId="77777777" w:rsidR="000640D4" w:rsidRDefault="000640D4" w:rsidP="000640D4">
      <w:r>
        <w:t xml:space="preserve">Here's the thing: </w:t>
      </w:r>
      <w:r w:rsidRPr="00A91298">
        <w:rPr>
          <w:rStyle w:val="StyleUnderline"/>
        </w:rPr>
        <w:t>Scientists never said the world was going to end in 12 years if we don't stop climate change</w:t>
      </w:r>
      <w:r>
        <w:t xml:space="preserve">. Even researchers known for ringing the alarm bells on climate change are far more likely to speak in terms of decimal places and nonlinear effects than to talk about the end of civilization as we know. </w:t>
      </w:r>
    </w:p>
    <w:p w14:paraId="2322AD2A" w14:textId="77777777" w:rsidR="000640D4" w:rsidRDefault="000640D4" w:rsidP="000640D4">
      <w:r>
        <w:t>Prominent activists rarely bring up doomsday, either. Messages from the Global Climate Strike organizers and the U.S.-based Sunrise Movement focus on long-term climate shifts, not an impending, sudden disaster. Still, the 12-year deadline looms large in the culture.</w:t>
      </w:r>
    </w:p>
    <w:p w14:paraId="0459E440" w14:textId="77777777" w:rsidR="000640D4" w:rsidRDefault="000640D4" w:rsidP="000640D4">
      <w:r>
        <w:t>"It has achieved an absoluteness in its role in societal dialogue that's not in line with scientific fact," said Katharine Mach, a climate scientist at the University of Miami and one of several lead authors of the IPCC report.</w:t>
      </w:r>
    </w:p>
    <w:p w14:paraId="07962360" w14:textId="77777777" w:rsidR="000640D4" w:rsidRDefault="000640D4" w:rsidP="000640D4">
      <w:r>
        <w:t xml:space="preserve">"The world will not end if we pass 1.5 degrees Celsius of warming above preindustrial levels," Mach said. </w:t>
      </w:r>
    </w:p>
    <w:p w14:paraId="25D7CF3A" w14:textId="77777777" w:rsidR="000640D4" w:rsidRDefault="000640D4" w:rsidP="000640D4">
      <w:r>
        <w:t>And failing to hit a 45% reduction target won't lead to 1.5 C of warming by 2030, as Lini Wollenberg, a University of Vermont climate researcher and leader of the CGIAR Research Program on Climate Change, Agriculture and Food Security, told Live Science. It does, however, increase the chances of hitting 1.5 degrees C by 2100 and experiencing many more climate catastrophes on our way through the 21st century, Wollenberg said.</w:t>
      </w:r>
    </w:p>
    <w:p w14:paraId="6335A422" w14:textId="77777777" w:rsidR="000640D4" w:rsidRDefault="000640D4" w:rsidP="000640D4">
      <w:r>
        <w:t xml:space="preserve">The issue is that </w:t>
      </w:r>
      <w:r w:rsidRPr="00A91298">
        <w:rPr>
          <w:rStyle w:val="StyleUnderline"/>
        </w:rPr>
        <w:t>any program set up to mitigate warming will have two basic components: short-term cuts to emissions and longer-term efforts to pull carbon out of the atmosphere</w:t>
      </w:r>
      <w:r>
        <w:t>. (This doesn't necessarily mean giant, futuristic CO2-sucking machines, but may mean things like growing forests.)</w:t>
      </w:r>
    </w:p>
    <w:p w14:paraId="1BE691CF" w14:textId="77777777" w:rsidR="000640D4" w:rsidRDefault="000640D4" w:rsidP="000640D4">
      <w:r>
        <w:t xml:space="preserve">"Some people — I'm hazarding </w:t>
      </w:r>
      <w:r w:rsidRPr="00A91298">
        <w:rPr>
          <w:rStyle w:val="StyleUnderline"/>
        </w:rPr>
        <w:t>industry and those focused on maintaining a growth-focused economy — would argue that we don't want to sacrifice things in the short term, and that society will figure out the technology to deal with it later</w:t>
      </w:r>
      <w:r>
        <w:t>," Wollenberg said.</w:t>
      </w:r>
    </w:p>
    <w:p w14:paraId="7774636D" w14:textId="77777777" w:rsidR="000640D4" w:rsidRDefault="000640D4" w:rsidP="000640D4">
      <w:r>
        <w:t xml:space="preserve">But </w:t>
      </w:r>
      <w:r w:rsidRPr="00A91298">
        <w:rPr>
          <w:rStyle w:val="StyleUnderline"/>
        </w:rPr>
        <w:t>every year of delay on cutting greenhouse gas emissions means that carbon-capture efforts down the road will have to be even more fantastical and dramatic</w:t>
      </w:r>
      <w:r>
        <w:t xml:space="preserve"> (</w:t>
      </w:r>
      <w:r w:rsidRPr="00A91298">
        <w:rPr>
          <w:rStyle w:val="StyleUnderline"/>
        </w:rPr>
        <w:t>including heavy reliance on carbon-capture technologies that may never work</w:t>
      </w:r>
      <w:r>
        <w:t xml:space="preserve">). And </w:t>
      </w:r>
      <w:r w:rsidRPr="00A91298">
        <w:rPr>
          <w:rStyle w:val="StyleUnderline"/>
        </w:rPr>
        <w:t>each year in which we do nothing, the world will cross more climate tipping points that will be difficult to undo</w:t>
      </w:r>
      <w:r>
        <w:t>, Wollenberg said.</w:t>
      </w:r>
    </w:p>
    <w:p w14:paraId="47173366" w14:textId="77777777" w:rsidR="000640D4" w:rsidRDefault="000640D4" w:rsidP="000640D4">
      <w:r>
        <w:t>The year 2030 has been bouncing around climate-policy documents for a while, Wollenberg said. (It also turned up in the Paris Agreement, for example, as did the goal of net zero by 2050.) Researchers saw that target as part of a reasonable time frame for drawing down emissions without it resulting in unbearable economic costs or having humanity rely too heavily on future carbon-capture efforts, she said.</w:t>
      </w:r>
    </w:p>
    <w:p w14:paraId="0BA1E19D" w14:textId="3DA20743" w:rsidR="00A71342" w:rsidRDefault="00A71342" w:rsidP="00A71342">
      <w:pPr>
        <w:pStyle w:val="Heading2"/>
      </w:pPr>
      <w:bookmarkStart w:id="1" w:name="_Hlk45794592"/>
      <w:r>
        <w:lastRenderedPageBreak/>
        <w:t>Topicality Answers</w:t>
      </w:r>
    </w:p>
    <w:p w14:paraId="5C58ECF2" w14:textId="77777777" w:rsidR="00A71342" w:rsidRDefault="00A71342" w:rsidP="00A71342">
      <w:pPr>
        <w:pStyle w:val="Heading3"/>
      </w:pPr>
      <w:r>
        <w:lastRenderedPageBreak/>
        <w:t>AT: T  - Substantial</w:t>
      </w:r>
    </w:p>
    <w:p w14:paraId="5A86E07F" w14:textId="77777777" w:rsidR="00A71342" w:rsidRPr="009F726C" w:rsidRDefault="00A71342" w:rsidP="00A71342">
      <w:pPr>
        <w:pStyle w:val="Heading4"/>
      </w:pPr>
      <w:r w:rsidRPr="009F726C">
        <w:t xml:space="preserve">We Meet – Forensic Science effects </w:t>
      </w:r>
      <w:r>
        <w:t>64 – 97% of cases, especially in case of major crimes</w:t>
      </w:r>
    </w:p>
    <w:p w14:paraId="035F4726" w14:textId="77777777" w:rsidR="00A71342" w:rsidRPr="009F726C" w:rsidRDefault="00A71342" w:rsidP="00A71342">
      <w:pPr>
        <w:rPr>
          <w:rStyle w:val="Style13ptBold"/>
        </w:rPr>
      </w:pPr>
      <w:r w:rsidRPr="009F726C">
        <w:rPr>
          <w:rStyle w:val="Style13ptBold"/>
        </w:rPr>
        <w:t>Peterson, American Psychologist, et. al., 10</w:t>
      </w:r>
    </w:p>
    <w:p w14:paraId="79393C91" w14:textId="77777777" w:rsidR="00A71342" w:rsidRPr="009F726C" w:rsidRDefault="00A71342" w:rsidP="00A71342">
      <w:r w:rsidRPr="009F726C">
        <w:t>[Joseph, Ira Sommers, Associate Professor of Criminal Justice at California State University, Deborah Baskin, Chairperson of the Department of Criminal Justice at California State University, 6/10/10, National Institute of Justice, “THE ROLE AND IMPACT OF FORENSIC EVIDENCE IN THE CRIMINAL JUSTICE PROCESS”, https://www.ncjrs.gov/pdffiles1/nij/grants/231977.pdf, p. 122-123, accessed 7/6/20, MZK]</w:t>
      </w:r>
    </w:p>
    <w:p w14:paraId="23D5769F" w14:textId="77777777" w:rsidR="00A71342" w:rsidRPr="00310365" w:rsidRDefault="00A71342" w:rsidP="00A71342">
      <w:r w:rsidRPr="00310365">
        <w:t>A very high percentage (</w:t>
      </w:r>
      <w:r w:rsidRPr="009F726C">
        <w:rPr>
          <w:rStyle w:val="StyleUnderline"/>
        </w:rPr>
        <w:t>97%) of homicides resulted in physical evidence/substrates being collected</w:t>
      </w:r>
      <w:r w:rsidRPr="00310365">
        <w:t xml:space="preserve">, primarily Firearms/Weapons and Natural/Synthetic Materials (mostly clothing). The next most frequently gathered physical clues were Biological and Latent Print. A very high percentage </w:t>
      </w:r>
      <w:r w:rsidRPr="009F726C">
        <w:rPr>
          <w:rStyle w:val="StyleUnderline"/>
        </w:rPr>
        <w:t>(88.5%) of collected physical evidence was submitted to crime laboratories</w:t>
      </w:r>
      <w:r w:rsidRPr="00310365">
        <w:t xml:space="preserve">, and most incidents had evidence that was examined (81%). </w:t>
      </w:r>
    </w:p>
    <w:p w14:paraId="4F3473A0" w14:textId="77777777" w:rsidR="00A71342" w:rsidRDefault="00A71342" w:rsidP="00A71342">
      <w:r w:rsidRPr="00310365">
        <w:t xml:space="preserve">Multivariate analysis revealed that homicides among non-strangers and cases with witness reports were significantly more likely to result in arrests. Forensic evidence was not significant but this result was most likely due to a lack of variation in cases with and without 4 This document is a research report submitted to the U.S. Department of Justice. This report has not been published by the Department. Opinions or points of view expressed are those of the author(s) and do not necessarily reflect the official position or policies of the U.S. Department of Justice. evidence. The interaction of race/ethnicity and gender were also important predictors of arrest. Cases with White victims (both male and female) and Black suspects (both male and female) were more likely to result in arrests. Friend/acquaintance victim/suspect relationships were more likely to be charged than stranger homicides and homicide cases where the suspect was arrested within 10 minutes of the incident were also more likely to be charged. Cases with crime scene evidence were approximately 21 times more likely to be charged than those without evidence. However, two issues are important to note. First, all but 12 cases had crime scene evidence, thus, it is not surprising that cases with evidence would be charged at a higher rate. Second, although crime scene evidence was a significant predictor, lab examined evidence was not. Furthermore, the “linking” forensic variable (examined evidence connects the suspect to the crime scene and/or victim) also was not a significant predictor of charging a homicide case. The results indicate that although cases with known relationships between victim and suspect were more likely to be charged they were significantly less likely to result in convictions. In addition, suspects arrested within 10 minutes of the crime incident were less likely to be convicted. Similar to the regression model for charging, none of the lab examined forensic variables were significant predictors of conviction. </w:t>
      </w:r>
    </w:p>
    <w:p w14:paraId="2A448E01" w14:textId="77777777" w:rsidR="00A71342" w:rsidRPr="00310365" w:rsidRDefault="00A71342" w:rsidP="00A71342">
      <w:r w:rsidRPr="00310365">
        <w:t xml:space="preserve">There were 90 homicide trials (92.2% conviction rate) and 55 plea dispositions across the study sites. Homicide had the highest ratio of trials to pleas. The percentage of cases that had lab-examined evidence was similar for trials (77.8%) and pleas (74.5%). However, cases resolved through trial tended to have a higher percentage of lab-examined Biological (45.6% vs. 36.6%), Latent Print (43.3% vs. 38.2%) and Firearms (65.6% vs. 52.7%) evidence than did plea negotiated cases. </w:t>
      </w:r>
    </w:p>
    <w:p w14:paraId="23087DC7" w14:textId="77777777" w:rsidR="00A71342" w:rsidRDefault="00A71342" w:rsidP="00A71342">
      <w:r w:rsidRPr="00310365">
        <w:t xml:space="preserve">Rape - The Study’s database included 602 randomly selected rape incidents. All of the victims were female and all of the suspects were male. Slightly more than half (53.9%) of the victims were White but </w:t>
      </w:r>
      <w:r w:rsidRPr="00310365">
        <w:lastRenderedPageBreak/>
        <w:t xml:space="preserve">the majority of suspects were Black (45.9%) or Latino (20.3%). With regard to age, victims tended to be young with the vast majority being under 30 years old (74.1%). Similarly, the majority of suspects were under 30 years old (57.7%). The overwhelming majority of rapes were among people that knew each other, either as intimates/family (36.2%) or as friends/acquaintances (42.7%). Victims received medical treatment for their injuries in 68.3% of cases. Two-thirds of rapes occurred in houses and apartments. </w:t>
      </w:r>
    </w:p>
    <w:p w14:paraId="17CE04BA" w14:textId="77777777" w:rsidR="00A71342" w:rsidRDefault="00A71342" w:rsidP="00A71342">
      <w:r w:rsidRPr="00310365">
        <w:t xml:space="preserve">Approximately </w:t>
      </w:r>
      <w:r w:rsidRPr="009F726C">
        <w:rPr>
          <w:rStyle w:val="StyleUnderline"/>
        </w:rPr>
        <w:t xml:space="preserve">64% of incidents had physical evidence </w:t>
      </w:r>
      <w:r w:rsidRPr="009F726C">
        <w:t>or substrates</w:t>
      </w:r>
      <w:r w:rsidRPr="009F726C">
        <w:rPr>
          <w:rStyle w:val="StyleUnderline"/>
        </w:rPr>
        <w:t xml:space="preserve"> collected</w:t>
      </w:r>
      <w:r w:rsidRPr="00310365">
        <w:t>. Biological and Natural and Synthetic Materials were the two primary types of physical evidence collected. Sexual assault kits were often employed to gather physical evidence (51.3%). The kits held samples of suspected blood, semen, saliva and DNA. The data reveal that there was a dramatic decline (approximately 50%) from collected evidence to evidence submitted to crime labs. The biggest decline occurred in the submission of sexual assault kits (68%). While some of submitted evidence likely came from sexual assault kits, the complete kits themselves were not identified as being submitted. A high percentage of cases with submitted semen evidence were examined (86.2%). Vaginal, blood and latent print evidence also were examined in most submitted cases (87.5%, 59.0% and 74.1%, respectively. In terms of establishing the uniqueness of material, 19 cases had individualized biological materials and nine had individualized latent finger and/or palm prints</w:t>
      </w:r>
    </w:p>
    <w:p w14:paraId="55980758" w14:textId="77777777" w:rsidR="00A71342" w:rsidRDefault="00A71342" w:rsidP="00A71342">
      <w:pPr>
        <w:rPr>
          <w:rFonts w:ascii="Times New Roman" w:hAnsi="Times New Roman" w:cs="Times New Roman"/>
        </w:rPr>
      </w:pPr>
      <w:r w:rsidRPr="00310365">
        <w:rPr>
          <w:rFonts w:ascii="Times New Roman" w:hAnsi="Times New Roman" w:cs="Times New Roman"/>
        </w:rPr>
        <w:t xml:space="preserve">Bivariate comparisons indicated that cases with crime scene evidence were significantly more likely to lead to arrest, to be referred to the prosecutor, to be charged, and to result in conviction than cases without evidence. Arrests were more likely to occur if the victim reported to the police and participated in the investigation. In addition, arrests were more likely if the incident occurred among intimate/family or friend/acquaintances compared to strangers. Multivariate analysis showed the collection of crime scene evidence and lab examined evidence were both significant predictors of arrest. However, of the 191 rape cases with crime scene evidence that had an arrest, physical evidence was examined in only 1.6% of the cases prior to the time the arrest was made. Laboratory examined forensic evidence increased the odds of DA case charges by over five times. The strongest predictors of case charging, however, were victims’ reports and victims’ receipt of medical treatment. The strongest predictors of conviction were victims’ reports to the police and direct arrest techniques. </w:t>
      </w:r>
    </w:p>
    <w:p w14:paraId="445EA884" w14:textId="77777777" w:rsidR="00A71342" w:rsidRDefault="00A71342" w:rsidP="00A71342">
      <w:pPr>
        <w:rPr>
          <w:rFonts w:ascii="Times New Roman" w:hAnsi="Times New Roman" w:cs="Times New Roman"/>
        </w:rPr>
      </w:pPr>
      <w:r w:rsidRPr="00310365">
        <w:rPr>
          <w:rFonts w:ascii="Times New Roman" w:hAnsi="Times New Roman" w:cs="Times New Roman"/>
        </w:rPr>
        <w:t xml:space="preserve">Robbery - A high percentage of robbery offenders were male, from a minority racial group (either Black or Latino), and under thirty years old. A high percentage of victims were women, more likely to be White, and over the age of thirty. Typically, victims and suspects were strangers. Robberies occurred mostly on the street, followed by within residences and retail businesses. Most robbery incidents had no witnesses. Medical treatment was usually not required. A low percentage of robbery incidents had arrest and convictions, 22.6% and 12.6%, respectively. </w:t>
      </w:r>
    </w:p>
    <w:p w14:paraId="7E7398DB" w14:textId="77777777" w:rsidR="00A71342" w:rsidRPr="00351C3D" w:rsidRDefault="00A71342" w:rsidP="00A71342">
      <w:pPr>
        <w:rPr>
          <w:rFonts w:ascii="Times New Roman" w:hAnsi="Times New Roman" w:cs="Times New Roman"/>
        </w:rPr>
      </w:pPr>
      <w:r w:rsidRPr="00310365">
        <w:rPr>
          <w:rFonts w:ascii="Times New Roman" w:hAnsi="Times New Roman" w:cs="Times New Roman"/>
        </w:rPr>
        <w:t xml:space="preserve">Physical evidence and substrates were collected in only 24.8% of the robbery incidents. Latent Prints, Natural and Synthetic Materials, and Firearms/Weapons were collected most frequently. South Bend collected Latent Prints in about 24.6% of incidents, whereas Los Angeles, on the other hand, gathered prints in only about 2.1% of cases. Materials (clothing) was the next major category of evidence/substrates collected. Firearms/Weapons were collected in 2.5% to 7.7% of cases. The evidence was submitted to crime laboratories in 44% of cases where it was collected (only 10.9% of all robbery </w:t>
      </w:r>
      <w:r w:rsidRPr="00692FAB">
        <w:rPr>
          <w:rFonts w:ascii="Times New Roman" w:hAnsi="Times New Roman" w:cs="Times New Roman"/>
        </w:rPr>
        <w:t xml:space="preserve">incidents). A high percentage of the evidence submitted was actually examined </w:t>
      </w:r>
      <w:r w:rsidRPr="00692FAB">
        <w:rPr>
          <w:rFonts w:ascii="Times New Roman" w:hAnsi="Times New Roman" w:cs="Times New Roman"/>
          <w:b/>
        </w:rPr>
        <w:t>(90.7%)</w:t>
      </w:r>
      <w:r w:rsidRPr="00692FAB">
        <w:rPr>
          <w:rFonts w:ascii="Times New Roman" w:hAnsi="Times New Roman" w:cs="Times New Roman"/>
        </w:rPr>
        <w:t xml:space="preserve"> but only 9.9% of all robbery incidents had examined</w:t>
      </w:r>
      <w:r w:rsidRPr="00351C3D">
        <w:rPr>
          <w:rFonts w:ascii="Times New Roman" w:hAnsi="Times New Roman" w:cs="Times New Roman"/>
        </w:rPr>
        <w:t xml:space="preserve"> evidence. Latent Print examinations yielded individualizations in 44% of the 41 cases where prints were submitted to the laboratory for examination. </w:t>
      </w:r>
    </w:p>
    <w:p w14:paraId="33BBFFA6" w14:textId="77777777" w:rsidR="00A71342" w:rsidRDefault="00A71342" w:rsidP="00A71342">
      <w:pPr>
        <w:rPr>
          <w:rFonts w:ascii="Times New Roman" w:hAnsi="Times New Roman" w:cs="Times New Roman"/>
        </w:rPr>
      </w:pPr>
      <w:r w:rsidRPr="00351C3D">
        <w:rPr>
          <w:rFonts w:ascii="Times New Roman" w:hAnsi="Times New Roman" w:cs="Times New Roman"/>
        </w:rPr>
        <w:lastRenderedPageBreak/>
        <w:t>The contrasts between rates of arrest with and without physical evidence were substantial and statistically significant, as were rates for prosecutor referral, charging, and conviction. Multivariate analysis indicated that physical evidence</w:t>
      </w:r>
      <w:r w:rsidRPr="00310365">
        <w:rPr>
          <w:rFonts w:ascii="Times New Roman" w:hAnsi="Times New Roman" w:cs="Times New Roman"/>
        </w:rPr>
        <w:t xml:space="preserve"> collected at crime scenes had a significant impact on arrests. In particular, firearms and latent print evidence were predictors of arrest. 6 This document is a research report submitted to the U.S. Department of Justice. This report has not been published by the Department. Opinions or points of view expressed are those of the author(s) and do not necessarily reflect the official position or policies of the U.S. Department of Justice.</w:t>
      </w:r>
    </w:p>
    <w:p w14:paraId="4E4B40F8" w14:textId="77777777" w:rsidR="00A71342" w:rsidRDefault="00A71342" w:rsidP="00A71342">
      <w:pPr>
        <w:rPr>
          <w:rFonts w:ascii="Times New Roman" w:hAnsi="Times New Roman" w:cs="Times New Roman"/>
        </w:rPr>
      </w:pPr>
      <w:r w:rsidRPr="00310365">
        <w:rPr>
          <w:rFonts w:ascii="Times New Roman" w:hAnsi="Times New Roman" w:cs="Times New Roman"/>
        </w:rPr>
        <w:t xml:space="preserve"> Similar to other crimes in the study, the likelihood of arrest also increased with witness reports and if the robbery occurred among friends/acquaintances. Witness reports and intimate/family relationships between victims and suspects increased the odds of DA charges. None of the various forensic variables predicted charging, however. Victim reports to police was the strongest predictor of robbery convictions. In addition, cases in which the victim received medical treatment and the victim and suspect had intimate/family relationships were more likely to have a conviction. </w:t>
      </w:r>
    </w:p>
    <w:p w14:paraId="380856BE" w14:textId="77777777" w:rsidR="00A71342" w:rsidRPr="00D2478A" w:rsidRDefault="00A71342" w:rsidP="00A71342">
      <w:r w:rsidRPr="009F726C">
        <w:rPr>
          <w:rStyle w:val="StyleUnderline"/>
        </w:rPr>
        <w:t>Seventy-eight of the 93 cases charged, where physical evidence was collected, resulted in conviction (83.9%).</w:t>
      </w:r>
      <w:r w:rsidRPr="00310365">
        <w:t xml:space="preserve"> Fifty-eight of the 65 cases without physical evidence collected resulted in conviction (89.2%). In all, 35 convictions had physical evidence that was examined in crime laboratories. Unlike the other crimes included in this study, robberies were notable for having the highest percent of cases adjudicated through trial. A significantly higher percent of cases with crime scene evidence (68%) was resolved through plea compared to cases without evidence (36%). </w:t>
      </w:r>
    </w:p>
    <w:p w14:paraId="32F47909" w14:textId="77777777" w:rsidR="00A71342" w:rsidRPr="009F726C" w:rsidRDefault="00A71342" w:rsidP="00A71342"/>
    <w:p w14:paraId="67D42915" w14:textId="77777777" w:rsidR="00A71342" w:rsidRDefault="00A71342" w:rsidP="00A71342">
      <w:pPr>
        <w:pStyle w:val="Heading3"/>
      </w:pPr>
      <w:r>
        <w:lastRenderedPageBreak/>
        <w:t>AT: T – Criminal Justice</w:t>
      </w:r>
    </w:p>
    <w:p w14:paraId="5138EA29" w14:textId="77777777" w:rsidR="00A71342" w:rsidRPr="00DA5533" w:rsidRDefault="00A71342" w:rsidP="00A71342"/>
    <w:p w14:paraId="0F7C1771" w14:textId="77777777" w:rsidR="00A71342" w:rsidRDefault="00A71342" w:rsidP="00A71342">
      <w:pPr>
        <w:pStyle w:val="Heading4"/>
      </w:pPr>
      <w:r>
        <w:t>Counter Interpretation – Criminal Justice</w:t>
      </w:r>
    </w:p>
    <w:p w14:paraId="269BF6C9" w14:textId="77777777" w:rsidR="00A71342" w:rsidRPr="0001681A" w:rsidRDefault="00A71342" w:rsidP="00A71342">
      <w:pPr>
        <w:rPr>
          <w:rStyle w:val="Style13ptBold"/>
        </w:rPr>
      </w:pPr>
      <w:r w:rsidRPr="0001681A">
        <w:rPr>
          <w:rStyle w:val="Style13ptBold"/>
        </w:rPr>
        <w:t xml:space="preserve">Bernard, Pennsylvania State criminal justice professor, 07, </w:t>
      </w:r>
    </w:p>
    <w:p w14:paraId="4857415B" w14:textId="14C65513" w:rsidR="00A71342" w:rsidRDefault="00A71342" w:rsidP="00A71342">
      <w:r>
        <w:t xml:space="preserve">[Thomas J., 2/2/07, Encyclopedia Britannica, “Criminal justice,” </w:t>
      </w:r>
      <w:r w:rsidRPr="001E736C">
        <w:t>https://www.britannica.com/topic/criminal-justice</w:t>
      </w:r>
      <w:r>
        <w:t>, accessed on 7/14/20, BS]</w:t>
      </w:r>
    </w:p>
    <w:p w14:paraId="56730CB6" w14:textId="77777777" w:rsidR="00A71342" w:rsidRDefault="00A71342" w:rsidP="00A71342">
      <w:r w:rsidRPr="009264C8">
        <w:rPr>
          <w:rStyle w:val="StyleUnderline"/>
        </w:rPr>
        <w:t>Criminal justice, interdisciplinary academic study of the police, criminal courts, correctional institutions (e.g., prisons), and juvenile justice agencies, as well as of the agents who operate within these institution</w:t>
      </w:r>
      <w:r w:rsidRPr="00CD1E03">
        <w:rPr>
          <w:rStyle w:val="StyleUnderline"/>
        </w:rPr>
        <w:t>s</w:t>
      </w:r>
      <w:r>
        <w:t xml:space="preserve">. </w:t>
      </w:r>
      <w:r w:rsidRPr="00DA5533">
        <w:t>Criminal justice is distinct from criminal law, which defines the specific behaviours that are prohibited by and punishable under law, and from criminology, which is the scientific study of the nonlegal aspects of crime and delinquency, including their causes, correction, and prevention.</w:t>
      </w:r>
    </w:p>
    <w:p w14:paraId="16BB74FE" w14:textId="77777777" w:rsidR="00A71342" w:rsidRPr="00DA5533" w:rsidRDefault="00A71342" w:rsidP="00A71342"/>
    <w:p w14:paraId="3083E3B4" w14:textId="77777777" w:rsidR="00A71342" w:rsidRDefault="00A71342" w:rsidP="00A71342">
      <w:pPr>
        <w:pStyle w:val="Heading4"/>
      </w:pPr>
      <w:r>
        <w:t>Counter Interpretation – Forensic Science in context of the resolution means criminal forensic science</w:t>
      </w:r>
    </w:p>
    <w:p w14:paraId="4EC34968" w14:textId="77777777" w:rsidR="00A71342" w:rsidRPr="00DA5533" w:rsidRDefault="00A71342" w:rsidP="00A71342">
      <w:pPr>
        <w:rPr>
          <w:rStyle w:val="Style13ptBold"/>
        </w:rPr>
      </w:pPr>
      <w:r w:rsidRPr="00DA5533">
        <w:rPr>
          <w:rStyle w:val="Style13ptBold"/>
        </w:rPr>
        <w:t>Bureau of Justice Statistics, no date</w:t>
      </w:r>
    </w:p>
    <w:p w14:paraId="34E3EC87" w14:textId="70947F9A" w:rsidR="00A71342" w:rsidRPr="00DA5533" w:rsidRDefault="00A71342" w:rsidP="00A71342">
      <w:r w:rsidRPr="001E736C">
        <w:t>https://www.bjs.gov/index.cfm?ty=tp&amp;tid=78</w:t>
      </w:r>
      <w:r>
        <w:t>, accessed 7/16/20, GDI)</w:t>
      </w:r>
    </w:p>
    <w:p w14:paraId="26F5D767" w14:textId="77777777" w:rsidR="00A71342" w:rsidRDefault="00A71342" w:rsidP="00A71342">
      <w:r w:rsidRPr="00DA5533">
        <w:rPr>
          <w:rStyle w:val="StyleUnderline"/>
        </w:rPr>
        <w:t>Forensic science can be simply defined as the application of science to the law.</w:t>
      </w:r>
      <w:r>
        <w:t xml:space="preserve"> </w:t>
      </w:r>
      <w:r w:rsidRPr="00DA5533">
        <w:rPr>
          <w:rStyle w:val="StyleUnderline"/>
        </w:rPr>
        <w:t>In criminal cases forensic scientists are often involved in the search for and examination of physical traces, which might be useful for establishing or excluding an association between someone suspected of committing a crime and the scene of the crime or victim</w:t>
      </w:r>
      <w:r>
        <w:t>.  DNA evidence has become an increasingly powerful tool for solving both violent crimes and property crimes, such as homicide, sexual assault, and burglaries.</w:t>
      </w:r>
    </w:p>
    <w:p w14:paraId="40555486" w14:textId="77777777" w:rsidR="00A71342" w:rsidRPr="00DA5533" w:rsidRDefault="00A71342" w:rsidP="00A71342">
      <w:r w:rsidRPr="00DA5533">
        <w:rPr>
          <w:rStyle w:val="StyleUnderline"/>
        </w:rPr>
        <w:t>Forensic crime laboratories are responsible for examining and reporting on physical evidence collected during criminal investigations for federal, state, and local jurisdictions</w:t>
      </w:r>
      <w:r>
        <w:t>. T</w:t>
      </w:r>
      <w:r w:rsidRPr="00DA5533">
        <w:rPr>
          <w:rStyle w:val="StyleUnderline"/>
        </w:rPr>
        <w:t>he nation’s forensic crime laboratories receive requests for a variety of forensic services,</w:t>
      </w:r>
      <w:r>
        <w:t xml:space="preserve"> such as DNA analysis, controlled substance identification, and latent fingerprint examination.  DNA evidence collected from a crime scene can implicate or eliminate a suspect, similar to the use of fingerprints. It also can analyze unidentified remains through comparisons with DNA from relatives. Additionally, when evidence from one crime scene is compared with evidence from another using Combined DNA Index System (CODIS), those crime scenes can be linked to the same perpetrator locally, statewide, and nationally.</w:t>
      </w:r>
    </w:p>
    <w:p w14:paraId="249864CF" w14:textId="42E0BAD8" w:rsidR="00A71342" w:rsidRDefault="00A71342" w:rsidP="00A71342">
      <w:pPr>
        <w:pStyle w:val="Heading3"/>
      </w:pPr>
      <w:r>
        <w:lastRenderedPageBreak/>
        <w:t xml:space="preserve">AT: </w:t>
      </w:r>
      <w:r w:rsidR="00E42021">
        <w:t xml:space="preserve">T - </w:t>
      </w:r>
      <w:r>
        <w:t xml:space="preserve">Reform </w:t>
      </w:r>
    </w:p>
    <w:p w14:paraId="056021A9" w14:textId="77777777" w:rsidR="00A71342" w:rsidRPr="00321901" w:rsidRDefault="00A71342" w:rsidP="00A71342"/>
    <w:p w14:paraId="53F7F64F" w14:textId="77777777" w:rsidR="00A71342" w:rsidRDefault="00A71342" w:rsidP="00A71342">
      <w:pPr>
        <w:pStyle w:val="Heading4"/>
      </w:pPr>
      <w:r>
        <w:t xml:space="preserve">Reform is distinct from renewal – it includes drastic organizational changes like commission creation </w:t>
      </w:r>
    </w:p>
    <w:p w14:paraId="6AB10B17" w14:textId="7EB73FA9" w:rsidR="00A71342" w:rsidRPr="00310D5B" w:rsidRDefault="00A71342" w:rsidP="00A71342">
      <w:r w:rsidRPr="00310D5B">
        <w:rPr>
          <w:b/>
          <w:bCs/>
          <w:sz w:val="26"/>
          <w:szCs w:val="26"/>
        </w:rPr>
        <w:t>McPherson, North Carolina Center for the Advancement of Teaching director, 91</w:t>
      </w:r>
      <w:r>
        <w:t xml:space="preserve"> (R. Bruce McPherson, North Carolina Center for the Advancement of Teaching director, April 10, 1991, Education Week, “Reform Versus Renewal”, </w:t>
      </w:r>
      <w:r w:rsidRPr="001E736C">
        <w:t>https://www.edweek.org/ew/articles/1991/04/10/10220008.h10.html</w:t>
      </w:r>
      <w:r>
        <w:t>, accessed 7/14/20, EM)</w:t>
      </w:r>
    </w:p>
    <w:p w14:paraId="25035BC1" w14:textId="77777777" w:rsidR="00A71342" w:rsidRDefault="00A71342" w:rsidP="00A71342">
      <w:r w:rsidRPr="00310D5B">
        <w:rPr>
          <w:rStyle w:val="Emphasis"/>
        </w:rPr>
        <w:t>Reform adds something new</w:t>
      </w:r>
      <w:r w:rsidRPr="00310D5B">
        <w:rPr>
          <w:rStyle w:val="StyleUnderline"/>
        </w:rPr>
        <w:t>; renewal recaptures what already exists.</w:t>
      </w:r>
      <w:r>
        <w:t xml:space="preserve"> </w:t>
      </w:r>
      <w:r w:rsidRPr="00310D5B">
        <w:rPr>
          <w:rStyle w:val="StyleUnderline"/>
        </w:rPr>
        <w:t xml:space="preserve">Reform projects bring change </w:t>
      </w:r>
      <w:r w:rsidRPr="007E7BA4">
        <w:t>to professional life--a revised curriculum</w:t>
      </w:r>
      <w:r w:rsidRPr="00310D5B">
        <w:rPr>
          <w:rStyle w:val="StyleUnderline"/>
        </w:rPr>
        <w:t>; a new area of responsibility; extended planning responsibilities; or a drastically altered organizational arrangement</w:t>
      </w:r>
      <w:r>
        <w:t>.</w:t>
      </w:r>
    </w:p>
    <w:p w14:paraId="0CE3D242" w14:textId="77777777" w:rsidR="00A71342" w:rsidRPr="00310D5B" w:rsidRDefault="00A71342" w:rsidP="00A71342">
      <w:pPr>
        <w:rPr>
          <w:rStyle w:val="Emphasis"/>
        </w:rPr>
      </w:pPr>
      <w:r w:rsidRPr="00310D5B">
        <w:rPr>
          <w:rStyle w:val="StyleUnderline"/>
        </w:rPr>
        <w:t xml:space="preserve">Renewal, on the other hand, asks </w:t>
      </w:r>
      <w:r w:rsidRPr="007E7BA4">
        <w:t>the individual</w:t>
      </w:r>
      <w:r w:rsidRPr="00310D5B">
        <w:rPr>
          <w:rStyle w:val="StyleUnderline"/>
        </w:rPr>
        <w:t xml:space="preserve"> </w:t>
      </w:r>
      <w:r w:rsidRPr="007E7BA4">
        <w:rPr>
          <w:rStyle w:val="StyleUnderline"/>
        </w:rPr>
        <w:t>to</w:t>
      </w:r>
      <w:r w:rsidRPr="007E7BA4">
        <w:t xml:space="preserve"> remember rather than to invent. What talents have been placed in storage? Which understandings or conditions have been gathering dust? Which dreams have been deferred? An effective renewal program helps</w:t>
      </w:r>
      <w:r w:rsidRPr="00310D5B">
        <w:rPr>
          <w:rStyle w:val="StyleUnderline"/>
        </w:rPr>
        <w:t xml:space="preserve"> </w:t>
      </w:r>
      <w:r w:rsidRPr="007E7BA4">
        <w:t>an individual recall what is known</w:t>
      </w:r>
      <w:r w:rsidRPr="00310D5B">
        <w:rPr>
          <w:rStyle w:val="StyleUnderline"/>
        </w:rPr>
        <w:t xml:space="preserve">, revive what exists, repair (not replace) what has been broken, </w:t>
      </w:r>
      <w:r w:rsidRPr="007E7BA4">
        <w:t>and restore what has once been dependable.</w:t>
      </w:r>
    </w:p>
    <w:bookmarkEnd w:id="1"/>
    <w:p w14:paraId="12E5C71C" w14:textId="14142796" w:rsidR="00617030" w:rsidRDefault="00617030" w:rsidP="00617030"/>
    <w:p w14:paraId="7B263023" w14:textId="77777777" w:rsidR="00E50E08" w:rsidRDefault="00E50E08" w:rsidP="00E50E08">
      <w:pPr>
        <w:pStyle w:val="Heading2"/>
      </w:pPr>
      <w:r>
        <w:lastRenderedPageBreak/>
        <w:t>AT: Cap K - Permutation</w:t>
      </w:r>
    </w:p>
    <w:p w14:paraId="03119E5D" w14:textId="77777777" w:rsidR="00E50E08" w:rsidRPr="002F618D" w:rsidRDefault="00E50E08" w:rsidP="00E50E08">
      <w:pPr>
        <w:pStyle w:val="Heading3"/>
      </w:pPr>
      <w:r>
        <w:lastRenderedPageBreak/>
        <w:t>Perm Solves Climate</w:t>
      </w:r>
      <w:r w:rsidRPr="002F618D">
        <w:t xml:space="preserve"> </w:t>
      </w:r>
    </w:p>
    <w:p w14:paraId="55F4FBC6" w14:textId="77777777" w:rsidR="00E50E08" w:rsidRPr="002F618D" w:rsidRDefault="00E50E08" w:rsidP="00E50E08">
      <w:pPr>
        <w:pStyle w:val="Heading4"/>
        <w:rPr>
          <w:rFonts w:cs="Calibri"/>
        </w:rPr>
      </w:pPr>
      <w:r w:rsidRPr="002F618D">
        <w:rPr>
          <w:rFonts w:cs="Calibri"/>
        </w:rPr>
        <w:t>Only the perm solves – state cooperation key to solve climate change</w:t>
      </w:r>
    </w:p>
    <w:p w14:paraId="326BB84B" w14:textId="77777777" w:rsidR="00E50E08" w:rsidRPr="002F618D" w:rsidRDefault="00E50E08" w:rsidP="00E50E08">
      <w:pPr>
        <w:rPr>
          <w:rFonts w:cs="Calibri"/>
          <w:b/>
          <w:sz w:val="26"/>
          <w:szCs w:val="26"/>
        </w:rPr>
      </w:pPr>
      <w:r w:rsidRPr="002F618D">
        <w:rPr>
          <w:rFonts w:cs="Calibri"/>
          <w:b/>
          <w:sz w:val="26"/>
          <w:szCs w:val="26"/>
        </w:rPr>
        <w:t>Blakeley, IPPR research fellow &amp; New Statesman’s economic commentator, 19</w:t>
      </w:r>
    </w:p>
    <w:p w14:paraId="6989EC29" w14:textId="2426FB37" w:rsidR="00E50E08" w:rsidRPr="002F618D" w:rsidRDefault="00E50E08" w:rsidP="00E50E08">
      <w:pPr>
        <w:rPr>
          <w:rFonts w:cs="Calibri"/>
        </w:rPr>
      </w:pPr>
      <w:r w:rsidRPr="002F618D">
        <w:rPr>
          <w:rFonts w:cs="Calibri"/>
        </w:rPr>
        <w:t xml:space="preserve">(Grace Blakely, 4-5-2019, New Statesman’s, New Statesman’s economics commentator and a research fellow at IPPR", The only way to halt climate change is to challenge the logic of capitalism," </w:t>
      </w:r>
      <w:r w:rsidRPr="002F618D">
        <w:rPr>
          <w:rFonts w:cs="Calibri"/>
          <w:color w:val="000000"/>
        </w:rPr>
        <w:t>https://www.newstatesman.com/politics/economy/2019/04/only-way-halt-climate-change-challenge-logic-capitalism</w:t>
      </w:r>
      <w:r w:rsidRPr="002F618D">
        <w:rPr>
          <w:rFonts w:cs="Calibri"/>
        </w:rPr>
        <w:t xml:space="preserve"> /Accessed 7-15-2020/WY)</w:t>
      </w:r>
    </w:p>
    <w:p w14:paraId="6B35D5B5" w14:textId="77777777" w:rsidR="00E50E08" w:rsidRPr="002F618D" w:rsidRDefault="00E50E08" w:rsidP="00E50E08">
      <w:pPr>
        <w:rPr>
          <w:rFonts w:cs="Calibri"/>
          <w:sz w:val="16"/>
          <w:szCs w:val="16"/>
        </w:rPr>
      </w:pPr>
      <w:r w:rsidRPr="002F618D">
        <w:rPr>
          <w:rFonts w:cs="Calibri"/>
          <w:sz w:val="16"/>
          <w:szCs w:val="16"/>
        </w:rPr>
        <w:t xml:space="preserve">Last Saturday, as Brexit continued to dominate the headlines, Momentum activists sought to draw the nation’s attention to a slightly more pressing issue. The group staged protests outside bank branches across the UK to put pressure on financial institutions such as Barclays to stop “financing climate chaos” after a report revealed that the bank is the largest single lender to fossil fuel companies. And chaos is exactly what we are facing. On current trends, </w:t>
      </w:r>
      <w:r w:rsidRPr="002F618D">
        <w:rPr>
          <w:rFonts w:cs="Calibri"/>
          <w:b/>
          <w:u w:val="single"/>
        </w:rPr>
        <w:t>the planet is set to warm by at least 1.5 degrees by 2030</w:t>
      </w:r>
      <w:r w:rsidRPr="002F618D">
        <w:rPr>
          <w:rFonts w:cs="Calibri"/>
          <w:sz w:val="16"/>
          <w:szCs w:val="16"/>
        </w:rPr>
        <w:t xml:space="preserve">. </w:t>
      </w:r>
    </w:p>
    <w:p w14:paraId="0B54616A" w14:textId="77777777" w:rsidR="00E50E08" w:rsidRPr="002F618D" w:rsidRDefault="00E50E08" w:rsidP="00E50E08">
      <w:pPr>
        <w:rPr>
          <w:rFonts w:cs="Calibri"/>
          <w:sz w:val="16"/>
          <w:szCs w:val="16"/>
        </w:rPr>
      </w:pPr>
      <w:r w:rsidRPr="002F618D">
        <w:rPr>
          <w:rFonts w:cs="Calibri"/>
          <w:sz w:val="16"/>
          <w:szCs w:val="16"/>
        </w:rPr>
        <w:t xml:space="preserve">At such temperatures the environmental systems that sustain human life would start to collapse. Harvests would fail, water cycles would be disrupted, and extreme weather events would become the norm. Huge swathes of the planet would become uninhabitable, killing millions of people and displacing many more. Historically, climate activists have often been fond of telling us that “we’re all in this together” and that only by working across political and ideological boundaries can we hope to save the planet. They have focused on grand, international summits where politicians, business leaders and bureaucrats meet to decide the fate of humanity and return to their nation states with plans for carbon taxes, emissions trading schemes and nuclear power stations. </w:t>
      </w:r>
    </w:p>
    <w:p w14:paraId="3F29DF46" w14:textId="77777777" w:rsidR="00E50E08" w:rsidRPr="002F618D" w:rsidRDefault="00E50E08" w:rsidP="00E50E08">
      <w:pPr>
        <w:rPr>
          <w:rFonts w:cs="Calibri"/>
          <w:sz w:val="16"/>
          <w:szCs w:val="16"/>
        </w:rPr>
      </w:pPr>
      <w:r w:rsidRPr="002F618D">
        <w:rPr>
          <w:rFonts w:cs="Calibri"/>
          <w:sz w:val="16"/>
          <w:szCs w:val="16"/>
        </w:rPr>
        <w:t xml:space="preserve">But </w:t>
      </w:r>
      <w:r w:rsidRPr="002F618D">
        <w:rPr>
          <w:rFonts w:cs="Calibri"/>
          <w:b/>
          <w:u w:val="single"/>
        </w:rPr>
        <w:t>climate change is, and always has been, a class issue</w:t>
      </w:r>
      <w:r w:rsidRPr="002F618D">
        <w:rPr>
          <w:rFonts w:cs="Calibri"/>
          <w:sz w:val="16"/>
          <w:szCs w:val="16"/>
        </w:rPr>
        <w:t xml:space="preserve">. It has been </w:t>
      </w:r>
      <w:r w:rsidRPr="002F618D">
        <w:rPr>
          <w:rFonts w:cs="Calibri"/>
          <w:b/>
          <w:u w:val="single"/>
        </w:rPr>
        <w:t>caused by the wealthy</w:t>
      </w:r>
      <w:r w:rsidRPr="002F618D">
        <w:rPr>
          <w:rFonts w:cs="Calibri"/>
          <w:sz w:val="16"/>
          <w:szCs w:val="16"/>
        </w:rPr>
        <w:t xml:space="preserve">, and its </w:t>
      </w:r>
      <w:r w:rsidRPr="002F618D">
        <w:rPr>
          <w:rFonts w:cs="Calibri"/>
          <w:b/>
          <w:u w:val="single"/>
        </w:rPr>
        <w:t>effects will fall on the poor</w:t>
      </w:r>
      <w:r w:rsidRPr="002F618D">
        <w:rPr>
          <w:rFonts w:cs="Calibri"/>
          <w:sz w:val="16"/>
          <w:szCs w:val="16"/>
        </w:rPr>
        <w:t xml:space="preserve">. Just 100 companies are responsible for 70 per cent of all carbon emissions. Globally, the wealthiest 10 per cent are responsible for 50 per cent of all lifestyle consumption emissions. In the UK, the top 10 per cent is responsible for nearly 25 per cent of lifestyle consumption emissions, with the bottom 50 per cent responsible for just five. And it is the </w:t>
      </w:r>
      <w:r w:rsidRPr="002F618D">
        <w:rPr>
          <w:rFonts w:cs="Calibri"/>
          <w:b/>
          <w:u w:val="single"/>
        </w:rPr>
        <w:t>poorest parts of the world that will be most ravaged by the effects of climate change</w:t>
      </w:r>
      <w:r w:rsidRPr="002F618D">
        <w:rPr>
          <w:rFonts w:cs="Calibri"/>
          <w:sz w:val="16"/>
          <w:szCs w:val="16"/>
        </w:rPr>
        <w:t xml:space="preserve">. </w:t>
      </w:r>
    </w:p>
    <w:p w14:paraId="44674A02" w14:textId="77777777" w:rsidR="00E50E08" w:rsidRPr="002F618D" w:rsidRDefault="00E50E08" w:rsidP="00E50E08">
      <w:pPr>
        <w:rPr>
          <w:rFonts w:cs="Calibri"/>
          <w:sz w:val="16"/>
          <w:szCs w:val="16"/>
        </w:rPr>
      </w:pPr>
      <w:r w:rsidRPr="002F618D">
        <w:rPr>
          <w:rFonts w:cs="Calibri"/>
          <w:sz w:val="16"/>
          <w:szCs w:val="16"/>
        </w:rPr>
        <w:t xml:space="preserve">Low-lying states like Bangladesh are incredibly vulnerable to flooding as sea levels rise. Africa’s Sahel region – home to nearly 200 million people – will become desertified as temperatures increase. As brutally demonstrated by Cyclone Idai, the poorest states are also those least able to protect their citizens from extreme weather events. And if climate change is a class issue, then </w:t>
      </w:r>
      <w:r w:rsidRPr="002F618D">
        <w:rPr>
          <w:rFonts w:cs="Calibri"/>
          <w:b/>
          <w:u w:val="single"/>
        </w:rPr>
        <w:t>decarbonisation should be a class project</w:t>
      </w:r>
      <w:r w:rsidRPr="002F618D">
        <w:rPr>
          <w:rFonts w:cs="Calibri"/>
          <w:sz w:val="16"/>
          <w:szCs w:val="16"/>
        </w:rPr>
        <w:t xml:space="preserve">. </w:t>
      </w:r>
    </w:p>
    <w:p w14:paraId="498F16CD" w14:textId="77777777" w:rsidR="00E50E08" w:rsidRPr="002F618D" w:rsidRDefault="00E50E08" w:rsidP="00E50E08">
      <w:pPr>
        <w:rPr>
          <w:rFonts w:cs="Calibri"/>
          <w:b/>
          <w:u w:val="single"/>
        </w:rPr>
      </w:pPr>
      <w:r w:rsidRPr="002F618D">
        <w:rPr>
          <w:rFonts w:cs="Calibri"/>
          <w:b/>
          <w:u w:val="single"/>
        </w:rPr>
        <w:t>The only way to halt climate change is to challenge the logic of capitalism itself:</w:t>
      </w:r>
      <w:r w:rsidRPr="002F618D">
        <w:rPr>
          <w:rFonts w:cs="Calibri"/>
          <w:sz w:val="16"/>
          <w:szCs w:val="16"/>
        </w:rPr>
        <w:t xml:space="preserve"> that the value of everything – land, knowledge, and even human life – is determined by how much money it can make for the wealthy. Some argue that such a mission is impossible. Averting the apocalyptic scenario laid out in the recent IPCC report requires reducing global emissions by 45 per cent by 2030 – an incredibly ambitious target. Others are slightly more optimistic, pointing out that the world is currently experiencing something of a “solar revolution”. Costs have fallen by a factor of ten over the last decade and solar power generation is increasing at a remarkable rate of 30-40 per cent per year. Both the optimists and the pessimists have a point. </w:t>
      </w:r>
      <w:r w:rsidRPr="002F618D">
        <w:rPr>
          <w:rFonts w:cs="Calibri"/>
          <w:b/>
          <w:u w:val="single"/>
        </w:rPr>
        <w:t>We do have the technology to prevent our planet from decaying into an uninhabitable</w:t>
      </w:r>
      <w:r w:rsidRPr="002F618D">
        <w:rPr>
          <w:rFonts w:cs="Calibri"/>
          <w:sz w:val="16"/>
          <w:szCs w:val="16"/>
        </w:rPr>
        <w:t xml:space="preserve"> hothouse earth. </w:t>
      </w:r>
      <w:r w:rsidRPr="002F618D">
        <w:rPr>
          <w:rFonts w:cs="Calibri"/>
          <w:b/>
          <w:u w:val="single"/>
        </w:rPr>
        <w:t>But as long as corporations, banks, and even governments, continue to profit from fossil fuels, decarbonisation will remain a distant dream.</w:t>
      </w:r>
      <w:r w:rsidRPr="002F618D">
        <w:rPr>
          <w:rFonts w:cs="Calibri"/>
          <w:sz w:val="16"/>
          <w:szCs w:val="16"/>
        </w:rPr>
        <w:t xml:space="preserve"> Saturday’s </w:t>
      </w:r>
      <w:r w:rsidRPr="002F618D">
        <w:rPr>
          <w:rFonts w:cs="Calibri"/>
          <w:b/>
          <w:u w:val="single"/>
        </w:rPr>
        <w:t xml:space="preserve">protesters understand this point all too well. </w:t>
      </w:r>
    </w:p>
    <w:p w14:paraId="116A9BC7" w14:textId="77777777" w:rsidR="00E50E08" w:rsidRPr="002F618D" w:rsidRDefault="00E50E08" w:rsidP="00E50E08">
      <w:pPr>
        <w:rPr>
          <w:rFonts w:cs="Calibri"/>
          <w:sz w:val="16"/>
          <w:szCs w:val="16"/>
        </w:rPr>
      </w:pPr>
      <w:r w:rsidRPr="002F618D">
        <w:rPr>
          <w:rFonts w:cs="Calibri"/>
          <w:b/>
          <w:u w:val="single"/>
        </w:rPr>
        <w:t>In targeting major financial institutions like Barclays, they were attempting to strike at the heart of modern, financialised capitalism. Without access to financial markets,</w:t>
      </w:r>
      <w:r w:rsidRPr="002F618D">
        <w:rPr>
          <w:rFonts w:cs="Calibri"/>
          <w:sz w:val="16"/>
          <w:szCs w:val="16"/>
        </w:rPr>
        <w:t xml:space="preserve"> most fossil fuel firms would struggle to survive. But given the scale of the challenge, we must be far more ambitious. </w:t>
      </w:r>
      <w:r w:rsidRPr="002F618D">
        <w:rPr>
          <w:rFonts w:cs="Calibri"/>
          <w:b/>
          <w:u w:val="single"/>
        </w:rPr>
        <w:t>Dealing with the existential threat humanity is facing requires the kind of radical state intervention that no liberal government would consider and no international institution would allow</w:t>
      </w:r>
      <w:r w:rsidRPr="002F618D">
        <w:rPr>
          <w:rFonts w:cs="Calibri"/>
          <w:sz w:val="16"/>
          <w:szCs w:val="16"/>
        </w:rPr>
        <w:t xml:space="preserve">: it requires a </w:t>
      </w:r>
      <w:r w:rsidRPr="002F618D">
        <w:rPr>
          <w:rFonts w:cs="Calibri"/>
          <w:b/>
          <w:u w:val="single"/>
        </w:rPr>
        <w:t>global green new deal</w:t>
      </w:r>
      <w:r w:rsidRPr="002F618D">
        <w:rPr>
          <w:rFonts w:cs="Calibri"/>
          <w:sz w:val="16"/>
          <w:szCs w:val="16"/>
        </w:rPr>
        <w:t xml:space="preserve">. </w:t>
      </w:r>
    </w:p>
    <w:p w14:paraId="41E6EAF3" w14:textId="77777777" w:rsidR="00E50E08" w:rsidRPr="002F618D" w:rsidRDefault="00E50E08" w:rsidP="00E50E08">
      <w:pPr>
        <w:rPr>
          <w:rFonts w:cs="Calibri"/>
          <w:sz w:val="16"/>
          <w:szCs w:val="16"/>
        </w:rPr>
      </w:pPr>
      <w:r w:rsidRPr="002F618D">
        <w:rPr>
          <w:rFonts w:cs="Calibri"/>
          <w:sz w:val="16"/>
          <w:szCs w:val="16"/>
        </w:rPr>
        <w:t xml:space="preserve">Citizens must pressure their </w:t>
      </w:r>
      <w:r w:rsidRPr="002F618D">
        <w:rPr>
          <w:rFonts w:cs="Calibri"/>
          <w:b/>
          <w:u w:val="single"/>
        </w:rPr>
        <w:t>political leaders into implementing a just transition towards a zero-carbon economy.</w:t>
      </w:r>
      <w:r w:rsidRPr="002F618D">
        <w:rPr>
          <w:rFonts w:cs="Calibri"/>
          <w:sz w:val="16"/>
          <w:szCs w:val="16"/>
        </w:rPr>
        <w:t xml:space="preserve"> This would mean a </w:t>
      </w:r>
      <w:r w:rsidRPr="002F618D">
        <w:rPr>
          <w:rFonts w:cs="Calibri"/>
          <w:b/>
          <w:u w:val="single"/>
        </w:rPr>
        <w:t>huge increase in state spending</w:t>
      </w:r>
      <w:r w:rsidRPr="002F618D">
        <w:rPr>
          <w:rFonts w:cs="Calibri"/>
          <w:sz w:val="16"/>
          <w:szCs w:val="16"/>
        </w:rPr>
        <w:t xml:space="preserve"> – in the area of 30 per cent of GDP per year – to </w:t>
      </w:r>
      <w:r w:rsidRPr="002F618D">
        <w:rPr>
          <w:rFonts w:cs="Calibri"/>
          <w:b/>
          <w:u w:val="single"/>
        </w:rPr>
        <w:t>decarbonise energy and transport infrastructure and boost investment in green technologies</w:t>
      </w:r>
      <w:r w:rsidRPr="002F618D">
        <w:rPr>
          <w:rFonts w:cs="Calibri"/>
          <w:sz w:val="16"/>
          <w:szCs w:val="16"/>
        </w:rPr>
        <w:t xml:space="preserve">. The costs of such a project should be imposed on the wealthy. This will require tax reform, constraints on capital mobility, and the replacement of private </w:t>
      </w:r>
      <w:r w:rsidRPr="002F618D">
        <w:rPr>
          <w:rFonts w:cs="Calibri"/>
          <w:sz w:val="16"/>
          <w:szCs w:val="16"/>
        </w:rPr>
        <w:lastRenderedPageBreak/>
        <w:t xml:space="preserve">financial institutions with green, democratic, publicly-owned alternatives. Providing for green growth over the long term would also require increasing public and collective ownership over the most important economic assets. </w:t>
      </w:r>
    </w:p>
    <w:p w14:paraId="52D034F5" w14:textId="77777777" w:rsidR="00E50E08" w:rsidRPr="002F618D" w:rsidRDefault="00E50E08" w:rsidP="00E50E08">
      <w:pPr>
        <w:rPr>
          <w:rFonts w:cs="Calibri"/>
          <w:sz w:val="16"/>
          <w:szCs w:val="16"/>
        </w:rPr>
      </w:pPr>
      <w:r w:rsidRPr="002F618D">
        <w:rPr>
          <w:rFonts w:cs="Calibri"/>
          <w:sz w:val="16"/>
          <w:szCs w:val="16"/>
        </w:rPr>
        <w:t xml:space="preserve">Pension funds must be reformed and democratised so their members can put pressure on private corporations to take climate change seriously. The state should also start to act as an activist investor, using the funds from quantitative easing to buy up corporate bonds and pressuring companies to reduce their emissions. And some industries will need to be nationalised outright to deliver the levels of investment required to make the green new deal a success. </w:t>
      </w:r>
    </w:p>
    <w:p w14:paraId="188C7C30" w14:textId="77777777" w:rsidR="00E50E08" w:rsidRPr="002F618D" w:rsidRDefault="00E50E08" w:rsidP="00E50E08">
      <w:pPr>
        <w:rPr>
          <w:rFonts w:cs="Calibri"/>
          <w:sz w:val="16"/>
          <w:szCs w:val="16"/>
        </w:rPr>
      </w:pPr>
      <w:r w:rsidRPr="002F618D">
        <w:rPr>
          <w:rFonts w:cs="Calibri"/>
          <w:sz w:val="16"/>
          <w:szCs w:val="16"/>
        </w:rPr>
        <w:t xml:space="preserve">The </w:t>
      </w:r>
      <w:r w:rsidRPr="002F618D">
        <w:rPr>
          <w:rFonts w:cs="Calibri"/>
          <w:b/>
          <w:u w:val="single"/>
        </w:rPr>
        <w:t>green new deal must be global</w:t>
      </w:r>
      <w:r w:rsidRPr="002F618D">
        <w:rPr>
          <w:rFonts w:cs="Calibri"/>
          <w:sz w:val="16"/>
          <w:szCs w:val="16"/>
        </w:rPr>
        <w:t xml:space="preserve"> – </w:t>
      </w:r>
      <w:r w:rsidRPr="002F618D">
        <w:rPr>
          <w:rFonts w:cs="Calibri"/>
          <w:b/>
          <w:u w:val="single"/>
        </w:rPr>
        <w:t>states must work together to achieve these goals</w:t>
      </w:r>
      <w:r w:rsidRPr="002F618D">
        <w:rPr>
          <w:rFonts w:cs="Calibri"/>
          <w:sz w:val="16"/>
          <w:szCs w:val="16"/>
        </w:rPr>
        <w:t xml:space="preserve">. But they will have to do so </w:t>
      </w:r>
      <w:r w:rsidRPr="002F618D">
        <w:rPr>
          <w:rFonts w:cs="Calibri"/>
          <w:b/>
          <w:u w:val="single"/>
        </w:rPr>
        <w:t>outside of existing international institutions</w:t>
      </w:r>
      <w:r w:rsidRPr="002F618D">
        <w:rPr>
          <w:rFonts w:cs="Calibri"/>
          <w:sz w:val="16"/>
          <w:szCs w:val="16"/>
        </w:rPr>
        <w:t>. The kind of s</w:t>
      </w:r>
      <w:r w:rsidRPr="002F618D">
        <w:rPr>
          <w:rFonts w:cs="Calibri"/>
          <w:b/>
          <w:u w:val="single"/>
        </w:rPr>
        <w:t>tate intervention required to tackle climate change – democratic public ownership</w:t>
      </w:r>
      <w:r w:rsidRPr="002F618D">
        <w:rPr>
          <w:rFonts w:cs="Calibri"/>
          <w:sz w:val="16"/>
          <w:szCs w:val="16"/>
        </w:rPr>
        <w:t xml:space="preserve"> over most of the economy, </w:t>
      </w:r>
      <w:r w:rsidRPr="002F618D">
        <w:rPr>
          <w:rFonts w:cs="Calibri"/>
          <w:b/>
          <w:u w:val="single"/>
        </w:rPr>
        <w:t>dramatic increases in state spending</w:t>
      </w:r>
      <w:r w:rsidRPr="002F618D">
        <w:rPr>
          <w:rFonts w:cs="Calibri"/>
          <w:sz w:val="16"/>
          <w:szCs w:val="16"/>
        </w:rPr>
        <w:t xml:space="preserve">, and the </w:t>
      </w:r>
      <w:r w:rsidRPr="002F618D">
        <w:rPr>
          <w:rFonts w:cs="Calibri"/>
          <w:b/>
          <w:u w:val="single"/>
        </w:rPr>
        <w:t>controls on capital mobility</w:t>
      </w:r>
      <w:r w:rsidRPr="002F618D">
        <w:rPr>
          <w:rFonts w:cs="Calibri"/>
          <w:sz w:val="16"/>
          <w:szCs w:val="16"/>
        </w:rPr>
        <w:t xml:space="preserve"> required to achieve this – are not merely frowned upon by the World Bank and the IMF, they are actively prohibited. </w:t>
      </w:r>
    </w:p>
    <w:p w14:paraId="60850777" w14:textId="77777777" w:rsidR="00E50E08" w:rsidRPr="002F618D" w:rsidRDefault="00E50E08" w:rsidP="00E50E08">
      <w:pPr>
        <w:rPr>
          <w:rFonts w:cs="Calibri"/>
          <w:sz w:val="16"/>
          <w:szCs w:val="16"/>
        </w:rPr>
      </w:pPr>
      <w:r w:rsidRPr="002F618D">
        <w:rPr>
          <w:rFonts w:cs="Calibri"/>
          <w:b/>
          <w:u w:val="single"/>
        </w:rPr>
        <w:t>Such a mass mobilisation of society’s resources would be unprecedented</w:t>
      </w:r>
      <w:r w:rsidRPr="002F618D">
        <w:rPr>
          <w:rFonts w:cs="Calibri"/>
          <w:sz w:val="16"/>
          <w:szCs w:val="16"/>
        </w:rPr>
        <w:t xml:space="preserve"> during peacetime. And it has to be </w:t>
      </w:r>
      <w:r w:rsidRPr="002F618D">
        <w:rPr>
          <w:rFonts w:cs="Calibri"/>
          <w:b/>
          <w:u w:val="single"/>
        </w:rPr>
        <w:t>undertaken alongside a fundamental reorganisation of the international system</w:t>
      </w:r>
      <w:r w:rsidRPr="002F618D">
        <w:rPr>
          <w:rFonts w:cs="Calibri"/>
          <w:sz w:val="16"/>
          <w:szCs w:val="16"/>
        </w:rPr>
        <w:t xml:space="preserve">. Were the planet not facing an existential catastrophe, this vision would seem utterly utopian. But </w:t>
      </w:r>
      <w:r w:rsidRPr="002F618D">
        <w:rPr>
          <w:rFonts w:cs="Calibri"/>
          <w:b/>
          <w:u w:val="single"/>
        </w:rPr>
        <w:t>the reality is that there is no alternative.</w:t>
      </w:r>
    </w:p>
    <w:p w14:paraId="6A7C4BC0" w14:textId="77777777" w:rsidR="00E50E08" w:rsidRPr="002F618D" w:rsidRDefault="00E50E08" w:rsidP="00E50E08">
      <w:pPr>
        <w:pStyle w:val="Heading3"/>
        <w:rPr>
          <w:rFonts w:cs="Calibri"/>
        </w:rPr>
      </w:pPr>
      <w:r>
        <w:rPr>
          <w:rFonts w:cs="Calibri"/>
        </w:rPr>
        <w:lastRenderedPageBreak/>
        <w:t>Perm Solves Democracy</w:t>
      </w:r>
    </w:p>
    <w:p w14:paraId="3D72F7B1" w14:textId="77777777" w:rsidR="00E50E08" w:rsidRPr="002F618D" w:rsidRDefault="00E50E08" w:rsidP="00E50E08">
      <w:pPr>
        <w:pStyle w:val="Heading4"/>
        <w:rPr>
          <w:rFonts w:cs="Calibri"/>
        </w:rPr>
      </w:pPr>
      <w:r w:rsidRPr="002F618D">
        <w:rPr>
          <w:rFonts w:cs="Calibri"/>
        </w:rPr>
        <w:t>Approaches that eliminate democracy are worse than capitalism – the perm is key to fight capitalism while maintaining liberal values</w:t>
      </w:r>
    </w:p>
    <w:p w14:paraId="7E950D33" w14:textId="77777777" w:rsidR="00E50E08" w:rsidRPr="002F618D" w:rsidRDefault="00E50E08" w:rsidP="00E50E08">
      <w:pPr>
        <w:rPr>
          <w:rFonts w:cs="Calibri"/>
        </w:rPr>
      </w:pPr>
      <w:r w:rsidRPr="002F618D">
        <w:rPr>
          <w:rFonts w:cs="Calibri"/>
          <w:b/>
          <w:sz w:val="26"/>
          <w:szCs w:val="26"/>
        </w:rPr>
        <w:t>Strunz Leuphana University PhD in Economics and Bartkowski Helmholtz Centre for Environmental Research PhD in Economics, 18</w:t>
      </w:r>
    </w:p>
    <w:p w14:paraId="37285DCE" w14:textId="5D685CEA" w:rsidR="00E50E08" w:rsidRPr="002F618D" w:rsidRDefault="00E50E08" w:rsidP="00E50E08">
      <w:pPr>
        <w:rPr>
          <w:rFonts w:cs="Calibri"/>
        </w:rPr>
      </w:pPr>
      <w:r w:rsidRPr="002F618D">
        <w:rPr>
          <w:rFonts w:cs="Calibri"/>
        </w:rPr>
        <w:t xml:space="preserve">(Sebastian has a PhD in Economics, Leuphana University Lüneburg, Research Fellow at the Helmholtz Centre for Environmental Research, Leipzig, Bartosz has a Ph.D. Helmholtz Centre for Environmental Research, M.Sc. Economics, focus: Sustainability Economics, Martin-Luther-University Halle-Wittenberg, B.A. in Intercultural Studies (Europe and America) and Economics, Martin-Luther-University Halle-Wittenberg (Sebastian and Bartosz, November 2017,“Degrowth, the project of modernity, and liberal democracy”, </w:t>
      </w:r>
      <w:r w:rsidRPr="002F618D">
        <w:rPr>
          <w:rFonts w:cs="Calibri"/>
          <w:color w:val="000000"/>
        </w:rPr>
        <w:t>https://vdocuments.mx/reader/full/ufz-discussion-papers-discussion-papers-department-of-and-that-the-combination</w:t>
      </w:r>
      <w:r w:rsidRPr="002F618D">
        <w:rPr>
          <w:rFonts w:cs="Calibri"/>
        </w:rPr>
        <w:t xml:space="preserve"> /Accessed 7-15-2020/WY)</w:t>
      </w:r>
    </w:p>
    <w:p w14:paraId="22A3807A" w14:textId="77777777" w:rsidR="00E50E08" w:rsidRPr="002F618D" w:rsidRDefault="00E50E08" w:rsidP="00E50E08">
      <w:pPr>
        <w:rPr>
          <w:rFonts w:cs="Calibri"/>
          <w:u w:val="single"/>
        </w:rPr>
      </w:pPr>
      <w:r w:rsidRPr="002F618D">
        <w:rPr>
          <w:rFonts w:cs="Calibri"/>
          <w:sz w:val="16"/>
          <w:szCs w:val="16"/>
        </w:rPr>
        <w:t xml:space="preserve">5. Conclusion </w:t>
      </w:r>
      <w:r w:rsidRPr="002F618D">
        <w:rPr>
          <w:rFonts w:cs="Calibri"/>
          <w:b/>
          <w:u w:val="single"/>
        </w:rPr>
        <w:t>The degrowth movement has developed out of a critique of modernity's hypertrophies</w:t>
      </w:r>
      <w:r w:rsidRPr="002F618D">
        <w:rPr>
          <w:rFonts w:cs="Calibri"/>
          <w:sz w:val="16"/>
          <w:szCs w:val="16"/>
        </w:rPr>
        <w:t xml:space="preserve">. Such critiques often exhibit an ambivalent stance, implying that some aspects of modernity are to be kept, others to be rejected. </w:t>
      </w:r>
      <w:r w:rsidRPr="002F618D">
        <w:rPr>
          <w:rFonts w:cs="Calibri"/>
          <w:b/>
          <w:u w:val="single"/>
        </w:rPr>
        <w:t>Nonetheless, the radical currents of modernity critique within the degrowth movement tend to dismiss the institutions of liberal democracies as failed, corrupted and democracy-in-name-only.</w:t>
      </w:r>
      <w:r w:rsidRPr="002F618D">
        <w:rPr>
          <w:rFonts w:cs="Calibri"/>
          <w:u w:val="single"/>
        </w:rPr>
        <w:t xml:space="preserve"> </w:t>
      </w:r>
      <w:r w:rsidRPr="002F618D">
        <w:rPr>
          <w:rFonts w:cs="Calibri"/>
          <w:b/>
          <w:u w:val="single"/>
        </w:rPr>
        <w:t>In contrast, we propose to conceive of degrowth as a liberal project</w:t>
      </w:r>
      <w:r w:rsidRPr="002F618D">
        <w:rPr>
          <w:rFonts w:cs="Calibri"/>
          <w:sz w:val="16"/>
          <w:szCs w:val="16"/>
        </w:rPr>
        <w:t xml:space="preserve"> (including the option of radical change via reform, cf. Gorz, 1964); drawing upon Rorty's social hope based on changing vocabularies and Sen's and Habermas' deliberative understanding of democracy, </w:t>
      </w:r>
      <w:r w:rsidRPr="002F618D">
        <w:rPr>
          <w:rFonts w:cs="Calibri"/>
          <w:b/>
          <w:u w:val="single"/>
        </w:rPr>
        <w:t>we showed that not only is this approach compatible with a liberal conception of democracy, “not giv[ing] lightly up hope that by such means as argument and careful observation, people may reach some kind of agreement on many problems of importance; and that, even where their demands and their interests clash, it is often possible to argue about the various demands and proposals” (</w:t>
      </w:r>
      <w:r w:rsidRPr="002F618D">
        <w:rPr>
          <w:rFonts w:cs="Calibri"/>
          <w:sz w:val="16"/>
          <w:szCs w:val="16"/>
        </w:rPr>
        <w:t xml:space="preserve">Popper, 2011[1945]: 431); </w:t>
      </w:r>
      <w:r w:rsidRPr="002F618D">
        <w:rPr>
          <w:rFonts w:cs="Calibri"/>
          <w:b/>
          <w:u w:val="single"/>
        </w:rPr>
        <w:t>it also lays out a potential road towards realization, since by promoting new vocabularies majorities for the degrowth project can be created.</w:t>
      </w:r>
      <w:r w:rsidRPr="002F618D">
        <w:rPr>
          <w:rFonts w:cs="Calibri"/>
          <w:u w:val="single"/>
        </w:rPr>
        <w:t xml:space="preserve"> </w:t>
      </w:r>
    </w:p>
    <w:p w14:paraId="75849D96" w14:textId="77777777" w:rsidR="00E50E08" w:rsidRPr="002F618D" w:rsidRDefault="00E50E08" w:rsidP="00E50E08">
      <w:pPr>
        <w:rPr>
          <w:rFonts w:cs="Calibri"/>
          <w:sz w:val="16"/>
          <w:szCs w:val="16"/>
        </w:rPr>
      </w:pPr>
      <w:r w:rsidRPr="002F618D">
        <w:rPr>
          <w:rFonts w:cs="Calibri"/>
          <w:sz w:val="16"/>
          <w:szCs w:val="16"/>
        </w:rPr>
        <w:t xml:space="preserve">While this approach explicitly follows Habermas’ call to carry on the “unfinished project of modernity”, the resulting degrowth vocabulary might also productively draw on some aspects of the more radical modernity critiques that have been exemplarily presented in this paper9: •Heidegger's ethos of releasement has recently been introduced into the degrowth literature (Heikkurinen, 2016). His (late) writings may further nurture a vocabulary of self-sufficiency, mindfulness and openness towards nature. •Marcuse's critique of the affluent consumer society provides less in terms of specific terms and concepts but more in terms of practice and attitude – the Habermasian “defence of the lifeworld” against systemic imperatives may benefit from Marcuse's spirit of refusal. •Illich's convivial approach towards social and technological tools has already been widely received in the degrowth literature (e.g. Deriu, 2015, Samerski, 2016). </w:t>
      </w:r>
    </w:p>
    <w:p w14:paraId="7B9E7874" w14:textId="77777777" w:rsidR="00E50E08" w:rsidRPr="002F618D" w:rsidRDefault="00E50E08" w:rsidP="00E50E08">
      <w:pPr>
        <w:rPr>
          <w:rFonts w:cs="Calibri"/>
          <w:sz w:val="16"/>
          <w:szCs w:val="16"/>
        </w:rPr>
      </w:pPr>
      <w:r w:rsidRPr="002F618D">
        <w:rPr>
          <w:rFonts w:cs="Calibri"/>
          <w:sz w:val="16"/>
          <w:szCs w:val="16"/>
        </w:rPr>
        <w:t xml:space="preserve">On this basis, </w:t>
      </w:r>
      <w:r w:rsidRPr="002F618D">
        <w:rPr>
          <w:rFonts w:cs="Calibri"/>
          <w:b/>
          <w:u w:val="single"/>
        </w:rPr>
        <w:t xml:space="preserve">technology might be relegated back to its original function as a means for specific ends. </w:t>
      </w:r>
      <w:r w:rsidRPr="002F618D">
        <w:rPr>
          <w:rFonts w:cs="Calibri"/>
          <w:sz w:val="16"/>
          <w:szCs w:val="16"/>
        </w:rPr>
        <w:t xml:space="preserve">On a second level, </w:t>
      </w:r>
      <w:r w:rsidRPr="002F618D">
        <w:rPr>
          <w:rFonts w:cs="Calibri"/>
          <w:b/>
          <w:u w:val="single"/>
        </w:rPr>
        <w:t>the degrowth movement may benefit from the radical critiques of modernity by avoiding to repeat their mistakes.</w:t>
      </w:r>
      <w:r w:rsidRPr="002F618D">
        <w:rPr>
          <w:rFonts w:cs="Calibri"/>
          <w:sz w:val="16"/>
          <w:szCs w:val="16"/>
        </w:rPr>
        <w:t xml:space="preserve"> Specifically, </w:t>
      </w:r>
      <w:r w:rsidRPr="002F618D">
        <w:rPr>
          <w:rFonts w:cs="Calibri"/>
          <w:b/>
          <w:u w:val="single"/>
        </w:rPr>
        <w:t>the main lesson to be drawn is that existentialist vocabularies</w:t>
      </w:r>
      <w:r w:rsidRPr="002F618D">
        <w:rPr>
          <w:rFonts w:cs="Calibri"/>
          <w:sz w:val="16"/>
          <w:szCs w:val="16"/>
        </w:rPr>
        <w:t xml:space="preserve"> (e.g., truth and authenticity), </w:t>
      </w:r>
      <w:r w:rsidRPr="002F618D">
        <w:rPr>
          <w:rFonts w:cs="Calibri"/>
          <w:b/>
          <w:u w:val="single"/>
        </w:rPr>
        <w:t>if employed in the political domain, may unintentionally endanger liberal values (</w:t>
      </w:r>
      <w:r w:rsidRPr="002F618D">
        <w:rPr>
          <w:rFonts w:cs="Calibri"/>
          <w:sz w:val="16"/>
          <w:szCs w:val="16"/>
        </w:rPr>
        <w:t xml:space="preserve">cf. Heidegger's Nazism and Marcuse's non-condemnation of violence). Therefore, </w:t>
      </w:r>
      <w:r w:rsidRPr="002F618D">
        <w:rPr>
          <w:rFonts w:cs="Calibri"/>
          <w:b/>
          <w:u w:val="single"/>
        </w:rPr>
        <w:t>such vocabularies should be confined to the realm of self-creation</w:t>
      </w:r>
      <w:r w:rsidRPr="002F618D">
        <w:rPr>
          <w:rFonts w:cs="Calibri"/>
          <w:sz w:val="16"/>
          <w:szCs w:val="16"/>
        </w:rPr>
        <w:t xml:space="preserve"> (cf. Illich's hope for institutional inversion), </w:t>
      </w:r>
      <w:r w:rsidRPr="002F618D">
        <w:rPr>
          <w:rFonts w:cs="Calibri"/>
          <w:b/>
          <w:u w:val="single"/>
        </w:rPr>
        <w:t>inspiring the refusal to conform with systemic pressures as a personal virtue.</w:t>
      </w:r>
      <w:r w:rsidRPr="002F618D">
        <w:rPr>
          <w:rFonts w:cs="Calibri"/>
          <w:u w:val="single"/>
        </w:rPr>
        <w:t xml:space="preserve"> </w:t>
      </w:r>
      <w:r w:rsidRPr="002F618D">
        <w:rPr>
          <w:rFonts w:cs="Calibri"/>
          <w:sz w:val="16"/>
          <w:szCs w:val="16"/>
        </w:rPr>
        <w:t xml:space="preserve">Let us briefly consider two obvious objections to the approach sketched here.10 </w:t>
      </w:r>
    </w:p>
    <w:p w14:paraId="097FE8D0" w14:textId="77777777" w:rsidR="00E50E08" w:rsidRPr="002F618D" w:rsidRDefault="00E50E08" w:rsidP="00E50E08">
      <w:pPr>
        <w:rPr>
          <w:rFonts w:cs="Calibri"/>
          <w:sz w:val="16"/>
          <w:szCs w:val="16"/>
        </w:rPr>
      </w:pPr>
      <w:r w:rsidRPr="002F618D">
        <w:rPr>
          <w:rFonts w:cs="Calibri"/>
          <w:sz w:val="16"/>
          <w:szCs w:val="16"/>
        </w:rPr>
        <w:t xml:space="preserve">First, </w:t>
      </w:r>
      <w:r w:rsidRPr="002F618D">
        <w:rPr>
          <w:rFonts w:cs="Calibri"/>
          <w:b/>
          <w:u w:val="single"/>
        </w:rPr>
        <w:t>the idea that changing vocabularies entails changing institutions, naturally sits at odds with Marx-inspired views that highlight the primacy of economic structures</w:t>
      </w:r>
      <w:r w:rsidRPr="002F618D">
        <w:rPr>
          <w:rFonts w:cs="Calibri"/>
          <w:sz w:val="16"/>
          <w:szCs w:val="16"/>
        </w:rPr>
        <w:t xml:space="preserve"> – any effort to change vocabularies seems futile if, by assumption, they only mirror economic structures. By comparison, the post-Marxist calls for building a new hegemony (e.g. Laclau and Mouffe, 2000) lie closer to and may even directly relate to the approach favoured here.</w:t>
      </w:r>
    </w:p>
    <w:p w14:paraId="0B1331FB" w14:textId="77777777" w:rsidR="00E50E08" w:rsidRPr="002F618D" w:rsidRDefault="00E50E08" w:rsidP="00E50E08">
      <w:pPr>
        <w:rPr>
          <w:rFonts w:cs="Calibri"/>
          <w:sz w:val="16"/>
          <w:szCs w:val="16"/>
        </w:rPr>
      </w:pPr>
      <w:r w:rsidRPr="002F618D">
        <w:rPr>
          <w:rFonts w:cs="Calibri"/>
          <w:sz w:val="16"/>
          <w:szCs w:val="16"/>
        </w:rPr>
        <w:lastRenderedPageBreak/>
        <w:t xml:space="preserve"> Second, </w:t>
      </w:r>
      <w:r w:rsidRPr="002F618D">
        <w:rPr>
          <w:rFonts w:cs="Calibri"/>
          <w:b/>
          <w:u w:val="single"/>
        </w:rPr>
        <w:t>in practice, promotion of vocabularies proceeds slowly. Political majorities will not be created quickly.</w:t>
      </w:r>
      <w:r w:rsidRPr="002F618D">
        <w:rPr>
          <w:rFonts w:cs="Calibri"/>
          <w:sz w:val="16"/>
          <w:szCs w:val="16"/>
        </w:rPr>
        <w:t xml:space="preserve"> </w:t>
      </w:r>
      <w:r w:rsidRPr="002F618D">
        <w:rPr>
          <w:rFonts w:cs="Calibri"/>
          <w:b/>
          <w:u w:val="single"/>
        </w:rPr>
        <w:t>Hence, it is not certain that the liberal approach will prevent crossing of planetary boundaries in time or that it will achieve all of degrowth's goals</w:t>
      </w:r>
      <w:r w:rsidRPr="002F618D">
        <w:rPr>
          <w:rFonts w:cs="Calibri"/>
          <w:sz w:val="16"/>
          <w:szCs w:val="16"/>
        </w:rPr>
        <w:t xml:space="preserve">.11 </w:t>
      </w:r>
      <w:r w:rsidRPr="002F618D">
        <w:rPr>
          <w:rFonts w:cs="Calibri"/>
          <w:b/>
          <w:u w:val="single"/>
        </w:rPr>
        <w:t>Still, given that many of these goals are related to human autonomy, freedom and “good life”, it would be unwise to throw out the</w:t>
      </w:r>
      <w:r w:rsidRPr="002F618D">
        <w:rPr>
          <w:rFonts w:cs="Calibri"/>
          <w:sz w:val="16"/>
          <w:szCs w:val="16"/>
        </w:rPr>
        <w:t xml:space="preserve"> “baby” (i.e. </w:t>
      </w:r>
      <w:r w:rsidRPr="002F618D">
        <w:rPr>
          <w:rFonts w:cs="Calibri"/>
          <w:b/>
          <w:u w:val="single"/>
        </w:rPr>
        <w:t>the constitutive elements of a liberal democracy</w:t>
      </w:r>
      <w:r w:rsidRPr="002F618D">
        <w:rPr>
          <w:rFonts w:cs="Calibri"/>
          <w:sz w:val="16"/>
          <w:szCs w:val="16"/>
        </w:rPr>
        <w:t xml:space="preserve">, as defined in Section 1) </w:t>
      </w:r>
      <w:r w:rsidRPr="002F618D">
        <w:rPr>
          <w:rFonts w:cs="Calibri"/>
          <w:b/>
          <w:u w:val="single"/>
        </w:rPr>
        <w:t>with</w:t>
      </w:r>
      <w:r w:rsidRPr="002F618D">
        <w:rPr>
          <w:rFonts w:cs="Calibri"/>
          <w:sz w:val="16"/>
          <w:szCs w:val="16"/>
        </w:rPr>
        <w:t xml:space="preserve"> the “bathwater” (i.e. </w:t>
      </w:r>
      <w:r w:rsidRPr="002F618D">
        <w:rPr>
          <w:rFonts w:cs="Calibri"/>
          <w:b/>
          <w:u w:val="single"/>
        </w:rPr>
        <w:t>modernity's hypertrophies such as excessive instrumental rationalism</w:t>
      </w:r>
      <w:r w:rsidRPr="002F618D">
        <w:rPr>
          <w:rFonts w:cs="Calibri"/>
          <w:sz w:val="16"/>
          <w:szCs w:val="16"/>
        </w:rPr>
        <w:t xml:space="preserve">). Particularly, the third element of liberal democracy, i.e. </w:t>
      </w:r>
      <w:r w:rsidRPr="002F618D">
        <w:rPr>
          <w:rFonts w:cs="Calibri"/>
          <w:b/>
          <w:u w:val="single"/>
        </w:rPr>
        <w:t>institutions that allow for corrections of the societal course of action on the basis of public discourse, may inadvertently come under pressure if a there-is-no-sustainable-alternative mantra were to substitute for the neoliberal there-is-no-alternative mantra</w:t>
      </w:r>
      <w:r w:rsidRPr="002F618D">
        <w:rPr>
          <w:rFonts w:cs="Calibri"/>
          <w:sz w:val="16"/>
          <w:szCs w:val="16"/>
        </w:rPr>
        <w:t xml:space="preserve"> (Buch-Hansen, 2014: 172). </w:t>
      </w:r>
    </w:p>
    <w:p w14:paraId="7A71296B" w14:textId="77777777" w:rsidR="00E50E08" w:rsidRPr="002F618D" w:rsidRDefault="00E50E08" w:rsidP="00E50E08">
      <w:pPr>
        <w:rPr>
          <w:rFonts w:cs="Calibri"/>
          <w:sz w:val="16"/>
          <w:szCs w:val="16"/>
        </w:rPr>
      </w:pPr>
      <w:r w:rsidRPr="002F618D">
        <w:rPr>
          <w:rFonts w:cs="Calibri"/>
          <w:b/>
          <w:u w:val="single"/>
        </w:rPr>
        <w:t>This seems all the more important because degrowth's grassroots origins notwithstanding, “the majority of degrowth proposals […] follow a top-down approach” in that they “require direct control by governments […], which suggests the need for a high level of state intervention to pursue a degrowth transition</w:t>
      </w:r>
      <w:r w:rsidRPr="002F618D">
        <w:rPr>
          <w:rFonts w:cs="Calibri"/>
          <w:sz w:val="16"/>
          <w:szCs w:val="16"/>
        </w:rPr>
        <w:t>” (Cosme et al., 2017: 149).</w:t>
      </w:r>
    </w:p>
    <w:p w14:paraId="624EF9C3" w14:textId="77777777" w:rsidR="00E50E08" w:rsidRPr="002F618D" w:rsidRDefault="00E50E08" w:rsidP="00E50E08">
      <w:pPr>
        <w:rPr>
          <w:rFonts w:cs="Calibri"/>
          <w:u w:val="single"/>
        </w:rPr>
      </w:pPr>
      <w:r w:rsidRPr="002F618D">
        <w:rPr>
          <w:rFonts w:cs="Calibri"/>
          <w:sz w:val="16"/>
          <w:szCs w:val="16"/>
        </w:rPr>
        <w:t xml:space="preserve"> As regards the prospects for such political interventions, we agree with Kallis et al. (2012:178) that radicalism may play an important strategic role, too: What about labour and women rights, the 40 hours' workweek, social security or free healthcare? Weren't these unthinkable reforms at the time that compromised the profits of powerful vested interests? […] In many cases such radical agendas have come through electoral and social pressure […] it takes radical agendas to take power in order to bring about reformist policies. In a sense, this paper fosters and sharpens this message: </w:t>
      </w:r>
      <w:r w:rsidRPr="002F618D">
        <w:rPr>
          <w:rFonts w:cs="Calibri"/>
          <w:b/>
          <w:u w:val="single"/>
        </w:rPr>
        <w:t>the degrowth movement rightly aims to correct the hypertrophies of modernity but it should be more explicit about i) which of liberal democracy's and, more generally, modernity's basic tenets it intends to keep and ii) how this is to be ensured.</w:t>
      </w:r>
      <w:r w:rsidRPr="002F618D">
        <w:rPr>
          <w:rFonts w:cs="Calibri"/>
          <w:u w:val="single"/>
        </w:rPr>
        <w:t xml:space="preserve"> </w:t>
      </w:r>
    </w:p>
    <w:p w14:paraId="0AD08C7A" w14:textId="77777777" w:rsidR="00E50E08" w:rsidRPr="002F618D" w:rsidRDefault="00E50E08" w:rsidP="00E50E08">
      <w:pPr>
        <w:rPr>
          <w:rFonts w:cs="Calibri"/>
          <w:sz w:val="16"/>
          <w:szCs w:val="16"/>
        </w:rPr>
      </w:pPr>
      <w:r w:rsidRPr="002F618D">
        <w:rPr>
          <w:rFonts w:cs="Calibri"/>
          <w:sz w:val="16"/>
          <w:szCs w:val="16"/>
        </w:rPr>
        <w:t xml:space="preserve">Eventually, </w:t>
      </w:r>
      <w:r w:rsidRPr="002F618D">
        <w:rPr>
          <w:rFonts w:cs="Calibri"/>
          <w:b/>
          <w:u w:val="single"/>
        </w:rPr>
        <w:t>the spectre of authoritarianism is often quite clear to see for those who want to see it</w:t>
      </w:r>
      <w:r w:rsidRPr="002F618D">
        <w:rPr>
          <w:rFonts w:cs="Calibri"/>
          <w:sz w:val="16"/>
          <w:szCs w:val="16"/>
        </w:rPr>
        <w:t xml:space="preserve">. Consider that already in 1918, the socialist revolutionary Rosa Luxembourg condemned the Bolsheviks’ dissolution of the Russian Constituent Assembly in Saint Petersburg – her </w:t>
      </w:r>
      <w:r w:rsidRPr="002F618D">
        <w:rPr>
          <w:rFonts w:cs="Calibri"/>
          <w:b/>
          <w:u w:val="single"/>
        </w:rPr>
        <w:t>clear-sighted judgement should alert all those who casually dismiss currently existing liberal democracies as failed</w:t>
      </w:r>
      <w:r w:rsidRPr="002F618D">
        <w:rPr>
          <w:rFonts w:cs="Calibri"/>
          <w:sz w:val="16"/>
          <w:szCs w:val="16"/>
        </w:rPr>
        <w:t xml:space="preserve">12: To be sure, every democratic institution has its limits and shortcomings, things which it doubtless shares with all other human institutions. </w:t>
      </w:r>
    </w:p>
    <w:p w14:paraId="7DA9E79A" w14:textId="77777777" w:rsidR="00E50E08" w:rsidRPr="002F618D" w:rsidRDefault="00E50E08" w:rsidP="00E50E08">
      <w:pPr>
        <w:rPr>
          <w:rFonts w:cs="Calibri"/>
          <w:sz w:val="16"/>
          <w:szCs w:val="16"/>
        </w:rPr>
      </w:pPr>
      <w:r w:rsidRPr="002F618D">
        <w:rPr>
          <w:rFonts w:cs="Calibri"/>
          <w:b/>
          <w:u w:val="single"/>
        </w:rPr>
        <w:t>But the</w:t>
      </w:r>
      <w:r w:rsidRPr="002F618D">
        <w:rPr>
          <w:rFonts w:cs="Calibri"/>
          <w:sz w:val="16"/>
          <w:szCs w:val="16"/>
        </w:rPr>
        <w:t xml:space="preserve"> remedy which Trotsky and Lenin have found, the </w:t>
      </w:r>
      <w:r w:rsidRPr="002F618D">
        <w:rPr>
          <w:rFonts w:cs="Calibri"/>
          <w:b/>
          <w:u w:val="single"/>
        </w:rPr>
        <w:t>elimination of democracy as such, is worse than the disease it is supposed to cure; for it stops up the very living source from which alone can come correction of all the innate shortcomings of social institutions. That source is the active, untrammeled, energetic political life of the broadest masses of the people.</w:t>
      </w:r>
    </w:p>
    <w:p w14:paraId="7A27037E" w14:textId="77777777" w:rsidR="00E50E08" w:rsidRPr="002F618D" w:rsidRDefault="00E50E08" w:rsidP="00E50E08">
      <w:pPr>
        <w:rPr>
          <w:rFonts w:cs="Calibri"/>
        </w:rPr>
      </w:pPr>
    </w:p>
    <w:p w14:paraId="45BDDF0D" w14:textId="77777777" w:rsidR="00E50E08" w:rsidRPr="002F618D" w:rsidRDefault="00E50E08" w:rsidP="00E50E08">
      <w:pPr>
        <w:pStyle w:val="Heading2"/>
        <w:rPr>
          <w:rFonts w:cs="Calibri"/>
        </w:rPr>
      </w:pPr>
      <w:r>
        <w:rPr>
          <w:rFonts w:cs="Calibri"/>
        </w:rPr>
        <w:lastRenderedPageBreak/>
        <w:t>AT: Cap K - C</w:t>
      </w:r>
      <w:r w:rsidRPr="002F618D">
        <w:rPr>
          <w:rFonts w:cs="Calibri"/>
        </w:rPr>
        <w:t xml:space="preserve">ap </w:t>
      </w:r>
      <w:r>
        <w:rPr>
          <w:rFonts w:cs="Calibri"/>
        </w:rPr>
        <w:t>G</w:t>
      </w:r>
      <w:r w:rsidRPr="002F618D">
        <w:rPr>
          <w:rFonts w:cs="Calibri"/>
        </w:rPr>
        <w:t>ood</w:t>
      </w:r>
    </w:p>
    <w:p w14:paraId="2022CD51" w14:textId="77777777" w:rsidR="00E50E08" w:rsidRPr="002F618D" w:rsidRDefault="00E50E08" w:rsidP="00E50E08">
      <w:pPr>
        <w:pStyle w:val="Heading3"/>
        <w:rPr>
          <w:rFonts w:cs="Calibri"/>
        </w:rPr>
      </w:pPr>
      <w:r>
        <w:rPr>
          <w:rFonts w:cs="Calibri"/>
        </w:rPr>
        <w:lastRenderedPageBreak/>
        <w:t>C</w:t>
      </w:r>
      <w:r w:rsidRPr="002F618D">
        <w:rPr>
          <w:rFonts w:cs="Calibri"/>
        </w:rPr>
        <w:t xml:space="preserve">limate </w:t>
      </w:r>
      <w:r>
        <w:rPr>
          <w:rFonts w:cs="Calibri"/>
        </w:rPr>
        <w:t>C</w:t>
      </w:r>
      <w:r w:rsidRPr="002F618D">
        <w:rPr>
          <w:rFonts w:cs="Calibri"/>
        </w:rPr>
        <w:t>hange</w:t>
      </w:r>
    </w:p>
    <w:p w14:paraId="722B5CDD" w14:textId="77777777" w:rsidR="00E50E08" w:rsidRPr="002F618D" w:rsidRDefault="00E50E08" w:rsidP="00E50E08">
      <w:pPr>
        <w:pStyle w:val="Heading4"/>
        <w:rPr>
          <w:rFonts w:cs="Calibri"/>
        </w:rPr>
      </w:pPr>
      <w:r w:rsidRPr="002F618D">
        <w:rPr>
          <w:rFonts w:cs="Calibri"/>
        </w:rPr>
        <w:t>Technological advancements driven by capitalism are key to stop climate change</w:t>
      </w:r>
    </w:p>
    <w:p w14:paraId="04966C38" w14:textId="3836FEEB" w:rsidR="00E50E08" w:rsidRPr="002F618D" w:rsidRDefault="00E50E08" w:rsidP="00E50E08">
      <w:pPr>
        <w:rPr>
          <w:rFonts w:cs="Calibri"/>
        </w:rPr>
      </w:pPr>
      <w:r w:rsidRPr="002F618D">
        <w:rPr>
          <w:rFonts w:cs="Calibri"/>
          <w:b/>
          <w:sz w:val="26"/>
          <w:szCs w:val="26"/>
        </w:rPr>
        <w:t>Temple, MIT Technology Review Energy Senior Editor, 19</w:t>
      </w:r>
      <w:r w:rsidRPr="002F618D">
        <w:rPr>
          <w:rFonts w:cs="Calibri"/>
        </w:rPr>
        <w:t xml:space="preserve"> [James, 6-20-19, MIT Technology Review, “The planet has a fever, and the cure is more capitalism, a prominent researcher argues,” </w:t>
      </w:r>
      <w:r w:rsidRPr="002F618D">
        <w:rPr>
          <w:rFonts w:cs="Calibri"/>
          <w:color w:val="000000"/>
        </w:rPr>
        <w:t>https://www.technologyreview.com/2019/06/20/134845/the-planet-has-a-fever-and-the-cure-is-more-capitalism-a-prominent-economist-argues/</w:t>
      </w:r>
      <w:r w:rsidRPr="002F618D">
        <w:rPr>
          <w:rFonts w:cs="Calibri"/>
        </w:rPr>
        <w:t>, accessed 7-15-2020, JL]</w:t>
      </w:r>
    </w:p>
    <w:p w14:paraId="19C26368" w14:textId="77777777" w:rsidR="00E50E08" w:rsidRPr="002F618D" w:rsidRDefault="00E50E08" w:rsidP="00E50E08">
      <w:pPr>
        <w:rPr>
          <w:rFonts w:cs="Calibri"/>
          <w:u w:val="single"/>
        </w:rPr>
      </w:pPr>
      <w:r w:rsidRPr="002F618D">
        <w:rPr>
          <w:rFonts w:cs="Calibri"/>
          <w:u w:val="single"/>
        </w:rPr>
        <w:t>The US is cutting greenhouse-gas emissions, energy use, air pollution, and its use of major resources, even as its economy and population expand.</w:t>
      </w:r>
    </w:p>
    <w:p w14:paraId="516C560F" w14:textId="77777777" w:rsidR="00E50E08" w:rsidRPr="002F618D" w:rsidRDefault="00E50E08" w:rsidP="00E50E08">
      <w:pPr>
        <w:rPr>
          <w:rFonts w:cs="Calibri"/>
          <w:u w:val="single"/>
        </w:rPr>
      </w:pPr>
      <w:r w:rsidRPr="002F618D">
        <w:rPr>
          <w:rFonts w:cs="Calibri"/>
          <w:u w:val="single"/>
        </w:rPr>
        <w:t>This “decoupling” of growth from environmental degradation is showing up in other major economies as well, and even in some developing ones, MIT scientist Andrew McAfee argues</w:t>
      </w:r>
      <w:r w:rsidRPr="002F618D">
        <w:rPr>
          <w:rFonts w:cs="Calibri"/>
        </w:rPr>
        <w:t xml:space="preserve"> in what’s bound to be a controversial new book. He asserts that </w:t>
      </w:r>
      <w:r w:rsidRPr="002F618D">
        <w:rPr>
          <w:rFonts w:cs="Calibri"/>
          <w:u w:val="single"/>
        </w:rPr>
        <w:t>the phenomenon represents a critical turning point in economic history—and an essential one if we hope to sustain a growing global population without decimating the planet.</w:t>
      </w:r>
    </w:p>
    <w:p w14:paraId="442E7004" w14:textId="77777777" w:rsidR="00E50E08" w:rsidRPr="002F618D" w:rsidRDefault="00E50E08" w:rsidP="00E50E08">
      <w:pPr>
        <w:rPr>
          <w:rFonts w:cs="Calibri"/>
          <w:u w:val="single"/>
        </w:rPr>
      </w:pPr>
      <w:r w:rsidRPr="002F618D">
        <w:rPr>
          <w:rFonts w:cs="Calibri"/>
          <w:u w:val="single"/>
        </w:rPr>
        <w:t>Accelerating the shift globally will require us not to overhaul the capitalist system—but rather to double down on it, he contends.</w:t>
      </w:r>
    </w:p>
    <w:p w14:paraId="448C18E1" w14:textId="77777777" w:rsidR="00E50E08" w:rsidRPr="002F618D" w:rsidRDefault="00E50E08" w:rsidP="00E50E08">
      <w:pPr>
        <w:rPr>
          <w:rFonts w:cs="Calibri"/>
        </w:rPr>
      </w:pPr>
      <w:r w:rsidRPr="002F618D">
        <w:rPr>
          <w:rFonts w:cs="Calibri"/>
          <w:u w:val="single"/>
        </w:rPr>
        <w:t>McAfee, who is co-director of the MIT Initiative on the Digital Economy, laid out his argument</w:t>
      </w:r>
      <w:r w:rsidRPr="002F618D">
        <w:rPr>
          <w:rFonts w:cs="Calibri"/>
        </w:rPr>
        <w:t xml:space="preserve"> during a presentation on Thursday morning at Breakthrough Dialogue 2019, a conference organized in Sausalito, California, by the Breakthrough Institute. His book, More from Less, is set to be published in October.</w:t>
      </w:r>
    </w:p>
    <w:p w14:paraId="4DA337E5" w14:textId="77777777" w:rsidR="00E50E08" w:rsidRPr="002F618D" w:rsidRDefault="00E50E08" w:rsidP="00E50E08">
      <w:pPr>
        <w:rPr>
          <w:rFonts w:cs="Calibri"/>
        </w:rPr>
      </w:pPr>
      <w:r w:rsidRPr="002F618D">
        <w:rPr>
          <w:rFonts w:cs="Calibri"/>
        </w:rPr>
        <w:t>It certainly seems like a counterintuitive argument to make at a point when much of the world is busy filling the oceans with plastic, whiffing on the targets of the Paris climate accords, and driving an ever growing number of animals toward extinction. McAfee is quick to stress that he’s not suggesting everything’s hunky-dory, though. He noted that climate change, pollution, poverty, and malnutrition are daunting challenges in need of urgent action.</w:t>
      </w:r>
    </w:p>
    <w:p w14:paraId="09A422F6" w14:textId="77777777" w:rsidR="00E50E08" w:rsidRPr="002F618D" w:rsidRDefault="00E50E08" w:rsidP="00E50E08">
      <w:pPr>
        <w:rPr>
          <w:rFonts w:cs="Calibri"/>
        </w:rPr>
      </w:pPr>
      <w:r w:rsidRPr="002F618D">
        <w:rPr>
          <w:rFonts w:cs="Calibri"/>
        </w:rPr>
        <w:t xml:space="preserve">His point, rather, is that </w:t>
      </w:r>
      <w:r w:rsidRPr="002F618D">
        <w:rPr>
          <w:rFonts w:cs="Calibri"/>
          <w:u w:val="single"/>
        </w:rPr>
        <w:t>the decoupling under way shows we have the tools to address these sorts of problems.</w:t>
      </w:r>
    </w:p>
    <w:p w14:paraId="78DDF7E1" w14:textId="77777777" w:rsidR="00E50E08" w:rsidRPr="002F618D" w:rsidRDefault="00E50E08" w:rsidP="00E50E08">
      <w:pPr>
        <w:rPr>
          <w:rFonts w:cs="Calibri"/>
          <w:u w:val="single"/>
        </w:rPr>
      </w:pPr>
      <w:r w:rsidRPr="002F618D">
        <w:rPr>
          <w:rFonts w:cs="Calibri"/>
        </w:rPr>
        <w:t xml:space="preserve">The book, which MIT Technology Review obtained an early draft of, says </w:t>
      </w:r>
      <w:r w:rsidRPr="002F618D">
        <w:rPr>
          <w:rFonts w:cs="Calibri"/>
          <w:u w:val="single"/>
        </w:rPr>
        <w:t>there are four main forces—which McAfee calls the “four horsemen of the optimist”—that enable decoupling in mature economies:</w:t>
      </w:r>
    </w:p>
    <w:p w14:paraId="767B5BA3" w14:textId="77777777" w:rsidR="00E50E08" w:rsidRPr="002F618D" w:rsidRDefault="00E50E08" w:rsidP="00E50E08">
      <w:pPr>
        <w:rPr>
          <w:rFonts w:cs="Calibri"/>
          <w:u w:val="single"/>
        </w:rPr>
      </w:pPr>
      <w:r w:rsidRPr="002F618D">
        <w:rPr>
          <w:rFonts w:cs="Calibri"/>
          <w:u w:val="single"/>
        </w:rPr>
        <w:t>the efficiencies driven by capitalism</w:t>
      </w:r>
    </w:p>
    <w:p w14:paraId="75776171" w14:textId="77777777" w:rsidR="00E50E08" w:rsidRPr="002F618D" w:rsidRDefault="00E50E08" w:rsidP="00E50E08">
      <w:pPr>
        <w:rPr>
          <w:rFonts w:cs="Calibri"/>
          <w:u w:val="single"/>
        </w:rPr>
      </w:pPr>
      <w:r w:rsidRPr="002F618D">
        <w:rPr>
          <w:rFonts w:cs="Calibri"/>
          <w:u w:val="single"/>
        </w:rPr>
        <w:t>technological progress that has allowed us to “dematerialize” our consumption (by, for instance, cramming atlases, compasses, calculators, recorders, cameras, stereos, and other gadgets into a single device in our pocket)</w:t>
      </w:r>
    </w:p>
    <w:p w14:paraId="7FE2152C" w14:textId="77777777" w:rsidR="00E50E08" w:rsidRPr="002F618D" w:rsidRDefault="00E50E08" w:rsidP="00E50E08">
      <w:pPr>
        <w:rPr>
          <w:rFonts w:cs="Calibri"/>
          <w:u w:val="single"/>
        </w:rPr>
      </w:pPr>
      <w:r w:rsidRPr="002F618D">
        <w:rPr>
          <w:rFonts w:cs="Calibri"/>
          <w:u w:val="single"/>
        </w:rPr>
        <w:t>public awareness of environmental damage</w:t>
      </w:r>
    </w:p>
    <w:p w14:paraId="1F533332" w14:textId="77777777" w:rsidR="00E50E08" w:rsidRPr="002F618D" w:rsidRDefault="00E50E08" w:rsidP="00E50E08">
      <w:pPr>
        <w:rPr>
          <w:rFonts w:cs="Calibri"/>
          <w:u w:val="single"/>
        </w:rPr>
      </w:pPr>
      <w:r w:rsidRPr="002F618D">
        <w:rPr>
          <w:rFonts w:cs="Calibri"/>
          <w:u w:val="single"/>
        </w:rPr>
        <w:t>governments that respond to those concerns by putting regulations in place to reduce those harms</w:t>
      </w:r>
    </w:p>
    <w:p w14:paraId="55DFC288" w14:textId="77777777" w:rsidR="00E50E08" w:rsidRPr="002F618D" w:rsidRDefault="00E50E08" w:rsidP="00E50E08">
      <w:pPr>
        <w:rPr>
          <w:rFonts w:cs="Calibri"/>
          <w:u w:val="single"/>
        </w:rPr>
      </w:pPr>
      <w:r w:rsidRPr="002F618D">
        <w:rPr>
          <w:rFonts w:cs="Calibri"/>
        </w:rPr>
        <w:t xml:space="preserve">So, McAfee argues, </w:t>
      </w:r>
      <w:r w:rsidRPr="002F618D">
        <w:rPr>
          <w:rFonts w:cs="Calibri"/>
          <w:u w:val="single"/>
        </w:rPr>
        <w:t>what we need to address climate change and prevent other environmental catastrophes, while maintaining modern living standards for billions of people, is … even more of each of these horsemen, working in concert.</w:t>
      </w:r>
    </w:p>
    <w:p w14:paraId="0436AC2F" w14:textId="77777777" w:rsidR="00E50E08" w:rsidRPr="002F618D" w:rsidRDefault="00E50E08" w:rsidP="00E50E08">
      <w:pPr>
        <w:rPr>
          <w:rFonts w:cs="Calibri"/>
          <w:u w:val="single"/>
        </w:rPr>
      </w:pPr>
      <w:r w:rsidRPr="002F618D">
        <w:rPr>
          <w:rFonts w:cs="Calibri"/>
        </w:rPr>
        <w:lastRenderedPageBreak/>
        <w:t xml:space="preserve">At the Breakthrough conference, McAfee highlighted a series of charts that showed </w:t>
      </w:r>
      <w:r w:rsidRPr="002F618D">
        <w:rPr>
          <w:rFonts w:cs="Calibri"/>
          <w:u w:val="single"/>
        </w:rPr>
        <w:t>US GDP continuing to rise, even as the use of metals, stone, cement, sand, timber, and paper have all fallen in recent years.</w:t>
      </w:r>
    </w:p>
    <w:p w14:paraId="40783335" w14:textId="77777777" w:rsidR="00E50E08" w:rsidRPr="002F618D" w:rsidRDefault="00E50E08" w:rsidP="00E50E08">
      <w:pPr>
        <w:rPr>
          <w:rFonts w:cs="Calibri"/>
          <w:u w:val="single"/>
        </w:rPr>
      </w:pPr>
      <w:r w:rsidRPr="002F618D">
        <w:rPr>
          <w:rFonts w:cs="Calibri"/>
          <w:u w:val="single"/>
        </w:rPr>
        <w:t>“We plateaued and started decreasing our aggregate consumption of these … literal building blocks for an economy,” he said.</w:t>
      </w:r>
    </w:p>
    <w:p w14:paraId="5E515191" w14:textId="77777777" w:rsidR="00E50E08" w:rsidRPr="002F618D" w:rsidRDefault="00E50E08" w:rsidP="00E50E08">
      <w:pPr>
        <w:rPr>
          <w:rFonts w:cs="Calibri"/>
          <w:u w:val="single"/>
        </w:rPr>
      </w:pPr>
      <w:r w:rsidRPr="002F618D">
        <w:rPr>
          <w:rFonts w:cs="Calibri"/>
          <w:u w:val="single"/>
        </w:rPr>
        <w:t>Another chart showed that US use of fertilizer, cropland, and water are all declining, even as crop tonnage continues to climb.</w:t>
      </w:r>
    </w:p>
    <w:p w14:paraId="70B3154B" w14:textId="77777777" w:rsidR="00E50E08" w:rsidRPr="002F618D" w:rsidRDefault="00E50E08" w:rsidP="00E50E08">
      <w:pPr>
        <w:rPr>
          <w:rFonts w:cs="Calibri"/>
          <w:u w:val="single"/>
        </w:rPr>
      </w:pPr>
      <w:r w:rsidRPr="002F618D">
        <w:rPr>
          <w:rFonts w:cs="Calibri"/>
          <w:u w:val="single"/>
        </w:rPr>
        <w:t>The book adds that among the more than 70 minerals, metals, and other resources long tracked by the US Geological Survey, only six haven’t yet begun to decline in use. Consumption of steel, aluminum, and copper is down around 15%, 32%, and 40%, respectively, from peak levels.</w:t>
      </w:r>
    </w:p>
    <w:p w14:paraId="2144D47C" w14:textId="77777777" w:rsidR="00E50E08" w:rsidRPr="002F618D" w:rsidRDefault="00E50E08" w:rsidP="00E50E08">
      <w:pPr>
        <w:rPr>
          <w:rFonts w:cs="Calibri"/>
        </w:rPr>
      </w:pPr>
      <w:r w:rsidRPr="002F618D">
        <w:rPr>
          <w:rFonts w:cs="Calibri"/>
        </w:rPr>
        <w:t>Other panelists on Thursday questioned some of McAfee’s conclusions.</w:t>
      </w:r>
    </w:p>
    <w:p w14:paraId="689864CC" w14:textId="77777777" w:rsidR="00E50E08" w:rsidRPr="002F618D" w:rsidRDefault="00E50E08" w:rsidP="00E50E08">
      <w:pPr>
        <w:rPr>
          <w:rFonts w:cs="Calibri"/>
        </w:rPr>
      </w:pPr>
      <w:r w:rsidRPr="002F618D">
        <w:rPr>
          <w:rFonts w:cs="Calibri"/>
        </w:rPr>
        <w:t>Ariane de Bremond, executive officer of the Global Land Programme, stressed that in a tightly linked global economy it can be very difficult to untangle whether resource use is truly decreasing. For example, she noted that while the expansion of agricultural land around the world is slowing, overall acreage is still increasing.</w:t>
      </w:r>
    </w:p>
    <w:p w14:paraId="395FD873" w14:textId="77777777" w:rsidR="00E50E08" w:rsidRPr="002F618D" w:rsidRDefault="00E50E08" w:rsidP="00E50E08">
      <w:pPr>
        <w:rPr>
          <w:rFonts w:cs="Calibri"/>
        </w:rPr>
      </w:pPr>
      <w:r w:rsidRPr="002F618D">
        <w:rPr>
          <w:rFonts w:cs="Calibri"/>
        </w:rPr>
        <w:t>“Is it really all decoupling, or is some of it displacement into other parts of the word?” she said.</w:t>
      </w:r>
    </w:p>
    <w:p w14:paraId="2CFF94A9" w14:textId="77777777" w:rsidR="00E50E08" w:rsidRPr="002F618D" w:rsidRDefault="00E50E08" w:rsidP="00E50E08">
      <w:pPr>
        <w:rPr>
          <w:rFonts w:cs="Calibri"/>
        </w:rPr>
      </w:pPr>
      <w:r w:rsidRPr="002F618D">
        <w:rPr>
          <w:rFonts w:cs="Calibri"/>
        </w:rPr>
        <w:t>Similarly, Victor Galaz, deputy director at the Stockholm Resilience Centre, said it won’t matter much if we slow down our race toward critical environmental tipping points, if we still end up crossing them.</w:t>
      </w:r>
    </w:p>
    <w:p w14:paraId="63F6EBE9" w14:textId="77777777" w:rsidR="00E50E08" w:rsidRPr="002F618D" w:rsidRDefault="00E50E08" w:rsidP="00E50E08">
      <w:pPr>
        <w:rPr>
          <w:rFonts w:cs="Calibri"/>
        </w:rPr>
      </w:pPr>
      <w:r w:rsidRPr="002F618D">
        <w:rPr>
          <w:rFonts w:cs="Calibri"/>
        </w:rPr>
        <w:t>He noted that Greenland’s ice sheets are melting, bleaching events have devastated coral reefs, and deforestation of the Amazon continues.</w:t>
      </w:r>
    </w:p>
    <w:p w14:paraId="12C545A7" w14:textId="77777777" w:rsidR="00E50E08" w:rsidRPr="002F618D" w:rsidRDefault="00E50E08" w:rsidP="00E50E08">
      <w:pPr>
        <w:rPr>
          <w:rFonts w:cs="Calibri"/>
        </w:rPr>
      </w:pPr>
      <w:r w:rsidRPr="002F618D">
        <w:rPr>
          <w:rFonts w:cs="Calibri"/>
        </w:rPr>
        <w:t>“When you’re dealing with systems that have thresholds … actually these systems don’t care about trends; they care about aggregate impacts,” he says.</w:t>
      </w:r>
    </w:p>
    <w:p w14:paraId="350DE2BF" w14:textId="77777777" w:rsidR="00E50E08" w:rsidRPr="002F618D" w:rsidRDefault="00E50E08" w:rsidP="00E50E08">
      <w:pPr>
        <w:rPr>
          <w:rFonts w:cs="Calibri"/>
        </w:rPr>
      </w:pPr>
      <w:r w:rsidRPr="002F618D">
        <w:rPr>
          <w:rFonts w:cs="Calibri"/>
          <w:u w:val="single"/>
        </w:rPr>
        <w:t>There are other good reasons to be cautious about drawing overly firm or broad conclusions</w:t>
      </w:r>
      <w:r w:rsidRPr="002F618D">
        <w:rPr>
          <w:rFonts w:cs="Calibri"/>
        </w:rPr>
        <w:t>—some of which McAfee notes himself.</w:t>
      </w:r>
    </w:p>
    <w:p w14:paraId="70C0935F" w14:textId="77777777" w:rsidR="00E50E08" w:rsidRPr="002F618D" w:rsidRDefault="00E50E08" w:rsidP="00E50E08">
      <w:pPr>
        <w:rPr>
          <w:rFonts w:cs="Calibri"/>
        </w:rPr>
      </w:pPr>
      <w:r w:rsidRPr="002F618D">
        <w:rPr>
          <w:rFonts w:cs="Calibri"/>
        </w:rPr>
        <w:t>For one thing, some of the declining trends in resource usage could still be a hangover from the Great Recession. Much of America’s progress on greenhouse-gas pollution is due to the shift from coal to cleaner natural gas, which is still associated with quite a lot of carbon dioxide and comes with its own set of environmental challenges. And whatever small gains are being made in a few nations could be more than offset by the growing appetites of emerging economies.</w:t>
      </w:r>
    </w:p>
    <w:p w14:paraId="26E2A97C" w14:textId="77777777" w:rsidR="00E50E08" w:rsidRPr="002F618D" w:rsidRDefault="00E50E08" w:rsidP="00E50E08">
      <w:pPr>
        <w:rPr>
          <w:rFonts w:cs="Calibri"/>
          <w:u w:val="single"/>
        </w:rPr>
      </w:pPr>
      <w:r w:rsidRPr="002F618D">
        <w:rPr>
          <w:rFonts w:cs="Calibri"/>
          <w:u w:val="single"/>
        </w:rPr>
        <w:t>But McAfee makes a strong case that some long-held assumptions about the inevitable costs of growth are simplistic and frequently wrong. Technological progress and economic growth have certainly inflicted very real environmental and social costs. But they’ve also inarguably delivered massive gains in health, wealth, and standards of living.</w:t>
      </w:r>
    </w:p>
    <w:p w14:paraId="608CCB31" w14:textId="77777777" w:rsidR="00E50E08" w:rsidRPr="002F618D" w:rsidRDefault="00E50E08" w:rsidP="00E50E08">
      <w:pPr>
        <w:rPr>
          <w:rFonts w:cs="Calibri"/>
          <w:u w:val="single"/>
        </w:rPr>
      </w:pPr>
      <w:r w:rsidRPr="002F618D">
        <w:rPr>
          <w:rFonts w:cs="Calibri"/>
          <w:u w:val="single"/>
        </w:rPr>
        <w:t>And while it may clash with some of our deeply ingrained intuitions, it’s clear that technology can play, and perhaps must play, a role in solving some of the same problems it creates.</w:t>
      </w:r>
    </w:p>
    <w:p w14:paraId="145C0C24" w14:textId="77777777" w:rsidR="00E50E08" w:rsidRPr="002F618D" w:rsidRDefault="00E50E08" w:rsidP="00E50E08">
      <w:pPr>
        <w:pStyle w:val="Heading3"/>
        <w:rPr>
          <w:rFonts w:cs="Calibri"/>
        </w:rPr>
      </w:pPr>
      <w:r>
        <w:rPr>
          <w:rFonts w:cs="Calibri"/>
        </w:rPr>
        <w:lastRenderedPageBreak/>
        <w:t>D</w:t>
      </w:r>
      <w:r w:rsidRPr="002F618D">
        <w:rPr>
          <w:rFonts w:cs="Calibri"/>
        </w:rPr>
        <w:t>isease</w:t>
      </w:r>
    </w:p>
    <w:p w14:paraId="2A4A85CA" w14:textId="77777777" w:rsidR="00E50E08" w:rsidRPr="002F618D" w:rsidRDefault="00E50E08" w:rsidP="00E50E08">
      <w:pPr>
        <w:pStyle w:val="Heading4"/>
        <w:rPr>
          <w:rFonts w:cs="Calibri"/>
        </w:rPr>
      </w:pPr>
      <w:r w:rsidRPr="002F618D">
        <w:rPr>
          <w:rFonts w:cs="Calibri"/>
        </w:rPr>
        <w:t>Businesses have stepped up to help with the pandemic where government has failed</w:t>
      </w:r>
    </w:p>
    <w:p w14:paraId="07FB5F84" w14:textId="77777777" w:rsidR="00E50E08" w:rsidRPr="002F618D" w:rsidRDefault="00E50E08" w:rsidP="00E50E08">
      <w:pPr>
        <w:rPr>
          <w:rFonts w:cs="Calibri"/>
        </w:rPr>
      </w:pPr>
      <w:r w:rsidRPr="002F618D">
        <w:rPr>
          <w:rFonts w:cs="Calibri"/>
          <w:b/>
          <w:sz w:val="26"/>
          <w:szCs w:val="26"/>
        </w:rPr>
        <w:t>Gibb, Grand Canyon University Colangelo College of Business Dean, 20</w:t>
      </w:r>
      <w:r w:rsidRPr="002F618D">
        <w:rPr>
          <w:rFonts w:cs="Calibri"/>
        </w:rPr>
        <w:t xml:space="preserve"> </w:t>
      </w:r>
    </w:p>
    <w:p w14:paraId="518C0938" w14:textId="77777777" w:rsidR="00E50E08" w:rsidRPr="002F618D" w:rsidRDefault="00E50E08" w:rsidP="00E50E08">
      <w:pPr>
        <w:rPr>
          <w:rFonts w:cs="Calibri"/>
        </w:rPr>
      </w:pPr>
      <w:r w:rsidRPr="002F618D">
        <w:rPr>
          <w:rFonts w:cs="Calibri"/>
        </w:rPr>
        <w:t>[Randy, 4-12-2020, Grand Canyon University, “Free Market Capitalism - Leadership During a Pandemic,” https://www.gcu.edu/blog/business-management/free-market-capitalism-during-pandemic, accessed 7-15-2020, JL]</w:t>
      </w:r>
    </w:p>
    <w:p w14:paraId="044A8104" w14:textId="77777777" w:rsidR="00E50E08" w:rsidRPr="002F618D" w:rsidRDefault="00E50E08" w:rsidP="00E50E08">
      <w:pPr>
        <w:rPr>
          <w:rFonts w:cs="Calibri"/>
        </w:rPr>
      </w:pPr>
      <w:r w:rsidRPr="002F618D">
        <w:rPr>
          <w:rFonts w:cs="Calibri"/>
        </w:rPr>
        <w:t xml:space="preserve">There is no denying that </w:t>
      </w:r>
      <w:r w:rsidRPr="002F618D">
        <w:rPr>
          <w:rFonts w:cs="Calibri"/>
          <w:u w:val="single"/>
        </w:rPr>
        <w:t xml:space="preserve">the world has turned upside down with the deadly Coronavirus (COVID-19) spreading faster than society, governments, and healthcare systems can react. But what about the private sector in the midst of it all? This is happening at a time when some were already questioning capitalism and its worth as an economic system to serve our communities and nation. Governmental leaders are currently working to mitigate the danger to society, but it cannot rest all on them. Private businesses are the nimble and creative ones with the potential to provide solutions. </w:t>
      </w:r>
      <w:r w:rsidRPr="002F618D">
        <w:rPr>
          <w:rFonts w:cs="Calibri"/>
        </w:rPr>
        <w:t>Is free market capitalism the system that can turn things around?</w:t>
      </w:r>
    </w:p>
    <w:p w14:paraId="3944177F" w14:textId="77777777" w:rsidR="00E50E08" w:rsidRPr="002F618D" w:rsidRDefault="00E50E08" w:rsidP="00E50E08">
      <w:pPr>
        <w:rPr>
          <w:rFonts w:cs="Calibri"/>
          <w:u w:val="single"/>
        </w:rPr>
      </w:pPr>
      <w:r w:rsidRPr="002F618D">
        <w:rPr>
          <w:rFonts w:cs="Calibri"/>
        </w:rPr>
        <w:t xml:space="preserve">Technically </w:t>
      </w:r>
      <w:r w:rsidRPr="002F618D">
        <w:rPr>
          <w:rFonts w:cs="Calibri"/>
          <w:u w:val="single"/>
        </w:rPr>
        <w:t>capitalism is not a ‘system’ but more of an ideal, a principle of human cooperation allowing society to exchange goods/services in a fair process beneficial to all.1 As explained below, that ideal is needed now more than ever before to slow the effects of this global pandemic.</w:t>
      </w:r>
    </w:p>
    <w:p w14:paraId="044640F3" w14:textId="77777777" w:rsidR="00E50E08" w:rsidRPr="002F618D" w:rsidRDefault="00E50E08" w:rsidP="00E50E08">
      <w:pPr>
        <w:rPr>
          <w:rFonts w:cs="Calibri"/>
        </w:rPr>
      </w:pPr>
      <w:r w:rsidRPr="002F618D">
        <w:rPr>
          <w:rFonts w:cs="Calibri"/>
        </w:rPr>
        <w:t>Conscious Approach to Capitalism</w:t>
      </w:r>
    </w:p>
    <w:p w14:paraId="16366DA4" w14:textId="77777777" w:rsidR="00E50E08" w:rsidRPr="002F618D" w:rsidRDefault="00E50E08" w:rsidP="00E50E08">
      <w:pPr>
        <w:rPr>
          <w:rFonts w:cs="Calibri"/>
        </w:rPr>
      </w:pPr>
      <w:r w:rsidRPr="002F618D">
        <w:rPr>
          <w:rFonts w:cs="Calibri"/>
          <w:u w:val="single"/>
        </w:rPr>
        <w:t>Capitalism is not so much an engineered system with sequenced steps but more of a concept of social interaction requiring trust, respect, and a higher purpose integrating all stakeholders. The free markets ebb and flow as demands, resources, and logistics evolve and react to the marketplace and world events. The credo of Conscious Capitalism does not outline a prescribed, mechanized system, but rather principles centered on humanity.</w:t>
      </w:r>
      <w:r w:rsidRPr="002F618D">
        <w:rPr>
          <w:rFonts w:cs="Calibri"/>
        </w:rPr>
        <w:t xml:space="preserve">2 </w:t>
      </w:r>
    </w:p>
    <w:p w14:paraId="4118EB5E" w14:textId="77777777" w:rsidR="00E50E08" w:rsidRPr="002F618D" w:rsidRDefault="00E50E08" w:rsidP="00E50E08">
      <w:pPr>
        <w:rPr>
          <w:rFonts w:cs="Calibri"/>
          <w:u w:val="single"/>
        </w:rPr>
      </w:pPr>
      <w:r w:rsidRPr="002F618D">
        <w:rPr>
          <w:rFonts w:cs="Calibri"/>
        </w:rPr>
        <w:t xml:space="preserve">We believe that </w:t>
      </w:r>
      <w:r w:rsidRPr="002F618D">
        <w:rPr>
          <w:rFonts w:cs="Calibri"/>
          <w:u w:val="single"/>
        </w:rPr>
        <w:t>business is good because it creates value, it is ethical because it is based on voluntary exchange, it is noble because it can elevate our existence, and it is heroic because it lifts people out of poverty and creates prosperity.</w:t>
      </w:r>
    </w:p>
    <w:p w14:paraId="740A573A" w14:textId="77777777" w:rsidR="00E50E08" w:rsidRPr="002F618D" w:rsidRDefault="00E50E08" w:rsidP="00E50E08">
      <w:pPr>
        <w:rPr>
          <w:rFonts w:cs="Calibri"/>
          <w:u w:val="single"/>
        </w:rPr>
      </w:pPr>
      <w:r w:rsidRPr="002F618D">
        <w:rPr>
          <w:rFonts w:cs="Calibri"/>
          <w:u w:val="single"/>
        </w:rPr>
        <w:t>Free enterprise capitalism is the most powerful system for social cooperation and human progress ever conceived. Conscious Capitalism is a way of thinking about business that better reflects where we are in the human journey, the state of our world today, and the innate potential of business to make a positive impact.</w:t>
      </w:r>
    </w:p>
    <w:p w14:paraId="4BC1435B" w14:textId="77777777" w:rsidR="00E50E08" w:rsidRPr="002F618D" w:rsidRDefault="00E50E08" w:rsidP="00E50E08">
      <w:pPr>
        <w:rPr>
          <w:rFonts w:cs="Calibri"/>
          <w:u w:val="single"/>
        </w:rPr>
      </w:pPr>
      <w:r w:rsidRPr="002F618D">
        <w:rPr>
          <w:rFonts w:cs="Calibri"/>
          <w:u w:val="single"/>
        </w:rPr>
        <w:t>The Conscious Capitalism effort is centered on elevating humanity. As the Coronavirus continues to spread, the private sector, led by conscious businesses, is intervening. In the midst of this global crisis, businesses are stepping up, leaders from international corporations to small local businesses, are transforming their companies to produce goods/services needed to support society. Innovative businesses are pivoting production lines to healthcare items and cleaning supplies.3 New Balance</w:t>
      </w:r>
      <w:r w:rsidRPr="002F618D">
        <w:rPr>
          <w:rFonts w:cs="Calibri"/>
        </w:rPr>
        <w:t xml:space="preserve"> (running shoes) </w:t>
      </w:r>
      <w:r w:rsidRPr="002F618D">
        <w:rPr>
          <w:rFonts w:cs="Calibri"/>
          <w:u w:val="single"/>
        </w:rPr>
        <w:t xml:space="preserve">just announced they will transform their efforts to produce hospital facial masks.4 Distilleries around the country are turning their high-proof raw alcohol into hand sanitizer, an item that has become both high demand and in short supply during the fight against the coronavirus.5 </w:t>
      </w:r>
    </w:p>
    <w:p w14:paraId="5041DA7E" w14:textId="77777777" w:rsidR="00E50E08" w:rsidRPr="002F618D" w:rsidRDefault="00E50E08" w:rsidP="00E50E08">
      <w:pPr>
        <w:rPr>
          <w:rFonts w:cs="Calibri"/>
          <w:u w:val="single"/>
        </w:rPr>
      </w:pPr>
      <w:r w:rsidRPr="002F618D">
        <w:rPr>
          <w:rFonts w:cs="Calibri"/>
        </w:rPr>
        <w:lastRenderedPageBreak/>
        <w:t xml:space="preserve">Stephen Denny wrote “Shareholder Capitalism isn’t dead, it just changed its name to Stakeholder Capitalism.”6 He mentioned that </w:t>
      </w:r>
      <w:r w:rsidRPr="002F618D">
        <w:rPr>
          <w:rFonts w:cs="Calibri"/>
          <w:u w:val="single"/>
        </w:rPr>
        <w:t>as long as brands stay close to their core mission regarding social causes, they increase brand strength and loyalty. A large consumer base of millennials want to work for and align with brands that share their values and that make them feel like an authentic stakeholder of that company founded on purpose. How a business responds to COVID-19 will go a long way in determining its future, from a purpose perspective and taking care of stakeholders.</w:t>
      </w:r>
    </w:p>
    <w:p w14:paraId="0967E4D9" w14:textId="77777777" w:rsidR="00E50E08" w:rsidRPr="002F618D" w:rsidRDefault="00E50E08" w:rsidP="00E50E08">
      <w:pPr>
        <w:rPr>
          <w:rFonts w:cs="Calibri"/>
          <w:b/>
          <w:u w:val="single"/>
        </w:rPr>
      </w:pPr>
      <w:r w:rsidRPr="002F618D">
        <w:rPr>
          <w:rFonts w:cs="Calibri"/>
          <w:b/>
          <w:u w:val="single"/>
        </w:rPr>
        <w:t>Larry Fink, Founder, Chairman, and CEO of Blackrock, made a clear case for purpose with this defining statement in January 2018:</w:t>
      </w:r>
    </w:p>
    <w:p w14:paraId="71C320D6" w14:textId="77777777" w:rsidR="00E50E08" w:rsidRPr="002F618D" w:rsidRDefault="00E50E08" w:rsidP="00E50E08">
      <w:pPr>
        <w:rPr>
          <w:rFonts w:cs="Calibri"/>
        </w:rPr>
      </w:pPr>
      <w:r w:rsidRPr="002F618D">
        <w:rPr>
          <w:rFonts w:cs="Calibri"/>
          <w:b/>
          <w:u w:val="single"/>
        </w:rPr>
        <w:t>Without a sense of purpose, no company, either public or private, can achieve its full potential. It will ultimately lose the license to operate from key stakeholders.7</w:t>
      </w:r>
      <w:r w:rsidRPr="002F618D">
        <w:rPr>
          <w:rFonts w:cs="Calibri"/>
        </w:rPr>
        <w:t xml:space="preserve"> </w:t>
      </w:r>
    </w:p>
    <w:p w14:paraId="65CFA0EF" w14:textId="77777777" w:rsidR="00E50E08" w:rsidRPr="002F618D" w:rsidRDefault="00E50E08" w:rsidP="00E50E08">
      <w:pPr>
        <w:rPr>
          <w:rFonts w:cs="Calibri"/>
        </w:rPr>
      </w:pPr>
      <w:r w:rsidRPr="002F618D">
        <w:rPr>
          <w:rFonts w:cs="Calibri"/>
        </w:rPr>
        <w:t>Then in January 2019, Fink highlighted the role of business and social impact, as well as the strength of millennials.</w:t>
      </w:r>
    </w:p>
    <w:p w14:paraId="695DDFF1" w14:textId="77777777" w:rsidR="00E50E08" w:rsidRPr="002F618D" w:rsidRDefault="00E50E08" w:rsidP="00E50E08">
      <w:pPr>
        <w:rPr>
          <w:rFonts w:cs="Calibri"/>
        </w:rPr>
      </w:pPr>
      <w:r w:rsidRPr="002F618D">
        <w:rPr>
          <w:rFonts w:cs="Calibri"/>
          <w:u w:val="single"/>
        </w:rPr>
        <w:t>This dynamic is becoming increasingly apparent as the public holds companies to more exacting standards…And it will continue to accelerate as millennials – who today represent 35 percent of the workforce – express new expectations of the companies they work for, buy from, and invest in. Attracting and retaining the best talent increasingly requires a clear expression of purpose.</w:t>
      </w:r>
      <w:r w:rsidRPr="002F618D">
        <w:rPr>
          <w:rFonts w:cs="Calibri"/>
        </w:rPr>
        <w:t xml:space="preserve">8 </w:t>
      </w:r>
    </w:p>
    <w:p w14:paraId="516508B3" w14:textId="77777777" w:rsidR="00E50E08" w:rsidRPr="002F618D" w:rsidRDefault="00E50E08" w:rsidP="00E50E08">
      <w:pPr>
        <w:rPr>
          <w:rFonts w:cs="Calibri"/>
        </w:rPr>
      </w:pPr>
      <w:r w:rsidRPr="002F618D">
        <w:rPr>
          <w:rFonts w:cs="Calibri"/>
        </w:rPr>
        <w:t>Just recently in January 2020, Fink referred to his approach as Accountable and Transparent Capitalism with the bolded statement:</w:t>
      </w:r>
    </w:p>
    <w:p w14:paraId="2C0BA74D" w14:textId="77777777" w:rsidR="00E50E08" w:rsidRPr="002F618D" w:rsidRDefault="00E50E08" w:rsidP="00E50E08">
      <w:pPr>
        <w:rPr>
          <w:rFonts w:cs="Calibri"/>
        </w:rPr>
      </w:pPr>
      <w:r w:rsidRPr="002F618D">
        <w:rPr>
          <w:rFonts w:cs="Calibri"/>
        </w:rPr>
        <w:t xml:space="preserve">Ultimately, purpose is the engine of long-term profitability.9 </w:t>
      </w:r>
    </w:p>
    <w:p w14:paraId="561DFA81" w14:textId="77777777" w:rsidR="00E50E08" w:rsidRPr="002F618D" w:rsidRDefault="00E50E08" w:rsidP="00E50E08">
      <w:pPr>
        <w:rPr>
          <w:rFonts w:cs="Calibri"/>
        </w:rPr>
      </w:pPr>
      <w:r w:rsidRPr="002F618D">
        <w:rPr>
          <w:rFonts w:cs="Calibri"/>
        </w:rPr>
        <w:t>Fink’s statements describe how conscious businesses aim to serve stakeholders with their higher purpose, such as employees, vendors, contractors, and customers, as well as the community, neighborhood, and environment.</w:t>
      </w:r>
    </w:p>
    <w:p w14:paraId="57201648" w14:textId="77777777" w:rsidR="00E50E08" w:rsidRPr="002F618D" w:rsidRDefault="00E50E08" w:rsidP="00E50E08">
      <w:pPr>
        <w:rPr>
          <w:rFonts w:cs="Calibri"/>
          <w:u w:val="single"/>
        </w:rPr>
      </w:pPr>
      <w:r w:rsidRPr="002F618D">
        <w:rPr>
          <w:rFonts w:cs="Calibri"/>
          <w:u w:val="single"/>
        </w:rPr>
        <w:t xml:space="preserve">Marc Benioff, CEO of Salesforce, in an interview with the NY Times, reflected on his company’s role in society and then asked two powerful questions.10 </w:t>
      </w:r>
    </w:p>
    <w:p w14:paraId="0503A5D2" w14:textId="77777777" w:rsidR="00E50E08" w:rsidRPr="002F618D" w:rsidRDefault="00E50E08" w:rsidP="00E50E08">
      <w:pPr>
        <w:rPr>
          <w:rFonts w:cs="Calibri"/>
          <w:u w:val="single"/>
        </w:rPr>
      </w:pPr>
      <w:r w:rsidRPr="002F618D">
        <w:rPr>
          <w:rFonts w:cs="Calibri"/>
          <w:u w:val="single"/>
        </w:rPr>
        <w:t>A company like ours can’t be successful in an unsuccessful economy or in an unsuccessful environment or where the school system doesn’t work. We have to take responsibility for all of those things… We need to have a more enlightened view about the role of companies. This company is not somehow separate from everything else. Are we not all connected? Are we not all one?</w:t>
      </w:r>
    </w:p>
    <w:p w14:paraId="77FD1EB6" w14:textId="77777777" w:rsidR="00E50E08" w:rsidRPr="002F618D" w:rsidRDefault="00E50E08" w:rsidP="00E50E08">
      <w:pPr>
        <w:rPr>
          <w:rFonts w:cs="Calibri"/>
        </w:rPr>
      </w:pPr>
      <w:r w:rsidRPr="002F618D">
        <w:rPr>
          <w:rFonts w:cs="Calibri"/>
        </w:rPr>
        <w:t>Servant Leadership</w:t>
      </w:r>
    </w:p>
    <w:p w14:paraId="44901983" w14:textId="77777777" w:rsidR="00E50E08" w:rsidRPr="002F618D" w:rsidRDefault="00E50E08" w:rsidP="00E50E08">
      <w:pPr>
        <w:rPr>
          <w:rFonts w:cs="Calibri"/>
        </w:rPr>
      </w:pPr>
      <w:r w:rsidRPr="002F618D">
        <w:rPr>
          <w:rFonts w:cs="Calibri"/>
        </w:rPr>
        <w:t xml:space="preserve">To take a company to this Capitalism 2.0 stage or even on the journey toward Conscious Capitalism, or Accountable Capitalism leadership is essential. Servant Leadership is an approach to leading through compassion and respect, while still maintaining accountability and generating revenue. They serve others before self and are humble stewards of their organization. This is all extremely difficult and requires a clear expression of purpose. Leadership of a company involves respecting a company’s position in a community. Purpose-minded leaders with integrity and stakeholder orientation will lead business to benefit both the economy and community. The well-publicized August 2019 Business Roundtable announcement shared this thinking, when JP Morgan’s CEO, Jamie Dimon expressed.11 </w:t>
      </w:r>
    </w:p>
    <w:p w14:paraId="672F97EB" w14:textId="77777777" w:rsidR="00E50E08" w:rsidRPr="002F618D" w:rsidRDefault="00E50E08" w:rsidP="00E50E08">
      <w:pPr>
        <w:rPr>
          <w:rFonts w:cs="Calibri"/>
          <w:u w:val="single"/>
        </w:rPr>
      </w:pPr>
      <w:r w:rsidRPr="002F618D">
        <w:rPr>
          <w:rFonts w:cs="Calibri"/>
        </w:rPr>
        <w:lastRenderedPageBreak/>
        <w:t xml:space="preserve">In the past, boards and advisers to boards advised company CEOs to keep their head down and stay out of the line of fire. Now the opposite may be true. </w:t>
      </w:r>
      <w:r w:rsidRPr="002F618D">
        <w:rPr>
          <w:rFonts w:cs="Calibri"/>
          <w:u w:val="single"/>
        </w:rPr>
        <w:t>If companies and CEOs do not get involved in public-policy issues, making progress on all these problems may be more difficult.</w:t>
      </w:r>
    </w:p>
    <w:p w14:paraId="27E410B4" w14:textId="77777777" w:rsidR="00E50E08" w:rsidRPr="002F618D" w:rsidRDefault="00E50E08" w:rsidP="00E50E08">
      <w:pPr>
        <w:rPr>
          <w:rFonts w:cs="Calibri"/>
          <w:u w:val="single"/>
        </w:rPr>
      </w:pPr>
      <w:r w:rsidRPr="002F618D">
        <w:rPr>
          <w:rFonts w:cs="Calibri"/>
        </w:rPr>
        <w:t xml:space="preserve">A recent ‘trust’ survey found that 56% of people believe that capitalism as it exists today does more harm than good in the world.12  </w:t>
      </w:r>
      <w:r w:rsidRPr="002F618D">
        <w:rPr>
          <w:rFonts w:cs="Calibri"/>
          <w:u w:val="single"/>
        </w:rPr>
        <w:t>It is clearly time for a better articulated and executed form of business to arise. Conscious or Stakeholder or 2.0 Capitalism, regardless of the name, is here to serve society, solve problems, and create/capture value. In the year 2020 businesses are stepping into the line of fire.</w:t>
      </w:r>
    </w:p>
    <w:p w14:paraId="7361864E" w14:textId="77777777" w:rsidR="00E50E08" w:rsidRPr="002F618D" w:rsidRDefault="00E50E08" w:rsidP="00E50E08">
      <w:pPr>
        <w:rPr>
          <w:rFonts w:cs="Calibri"/>
        </w:rPr>
      </w:pPr>
      <w:r w:rsidRPr="002F618D">
        <w:rPr>
          <w:rFonts w:cs="Calibri"/>
        </w:rPr>
        <w:t>Leadership Right Now</w:t>
      </w:r>
    </w:p>
    <w:p w14:paraId="7F6A5206" w14:textId="77777777" w:rsidR="00E50E08" w:rsidRPr="002F618D" w:rsidRDefault="00E50E08" w:rsidP="00E50E08">
      <w:pPr>
        <w:rPr>
          <w:rFonts w:cs="Calibri"/>
          <w:u w:val="single"/>
        </w:rPr>
      </w:pPr>
      <w:r w:rsidRPr="002F618D">
        <w:rPr>
          <w:rFonts w:cs="Calibri"/>
        </w:rPr>
        <w:t xml:space="preserve">It all starts at the top. </w:t>
      </w:r>
      <w:r w:rsidRPr="002F618D">
        <w:rPr>
          <w:rFonts w:cs="Calibri"/>
          <w:u w:val="single"/>
        </w:rPr>
        <w:t>Capitalism’s ideals have never left our society. Free market capitalism has been here all along waiting to bring out our best. Given world events, servant leaders are coming forward to help. Forbes has posted a list of 120+ companies that have shifted their production to support COVID-19 efforts via testing, treatment, medical protection, beds, and/or ventilators.13</w:t>
      </w:r>
    </w:p>
    <w:p w14:paraId="2CD99B67" w14:textId="77777777" w:rsidR="00E50E08" w:rsidRPr="002F618D" w:rsidRDefault="00E50E08" w:rsidP="00E50E08">
      <w:pPr>
        <w:rPr>
          <w:rFonts w:cs="Calibri"/>
        </w:rPr>
      </w:pPr>
      <w:r w:rsidRPr="002F618D">
        <w:rPr>
          <w:rFonts w:cs="Calibri"/>
        </w:rPr>
        <w:t xml:space="preserve">Bob Chapman, CEO of Barry-Wehmiller, has modeled servant leadership for decades. He measures success in how his company can touch peoples’ lives. His book, Everybody Matters, is a phenomenal read that shares how Bob led a company to success by treating everyone as the precious individual that they are. His company’s higher purpose is clear and he shared his approach to leadership during the current COVID-19 crisis in late March 2020.14 </w:t>
      </w:r>
    </w:p>
    <w:p w14:paraId="332B9590" w14:textId="77777777" w:rsidR="00E50E08" w:rsidRPr="002F618D" w:rsidRDefault="00E50E08" w:rsidP="00E50E08">
      <w:pPr>
        <w:rPr>
          <w:rFonts w:cs="Calibri"/>
        </w:rPr>
      </w:pPr>
      <w:r w:rsidRPr="002F618D">
        <w:rPr>
          <w:rFonts w:cs="Calibri"/>
        </w:rPr>
        <w:t>We first listen. We listen to our people; we listen to many different points of view. We listen with empathy.</w:t>
      </w:r>
    </w:p>
    <w:p w14:paraId="2A15724E" w14:textId="77777777" w:rsidR="00E50E08" w:rsidRPr="002F618D" w:rsidRDefault="00E50E08" w:rsidP="00E50E08">
      <w:pPr>
        <w:rPr>
          <w:rFonts w:cs="Calibri"/>
        </w:rPr>
      </w:pPr>
      <w:r w:rsidRPr="002F618D">
        <w:rPr>
          <w:rFonts w:cs="Calibri"/>
        </w:rPr>
        <w:t>We think about the safety of our people. As our safety covenant says, “Our objective is to ensure that every life we touch arrives home healthy, safe and fulfilled.” At the end of the day, it’s about caring for your friends because they are the real bottom line of our business.</w:t>
      </w:r>
    </w:p>
    <w:p w14:paraId="13CEEEA2" w14:textId="77777777" w:rsidR="00E50E08" w:rsidRPr="002F618D" w:rsidRDefault="00E50E08" w:rsidP="00E50E08">
      <w:pPr>
        <w:rPr>
          <w:rFonts w:cs="Calibri"/>
        </w:rPr>
      </w:pPr>
      <w:r w:rsidRPr="002F618D">
        <w:rPr>
          <w:rFonts w:cs="Calibri"/>
        </w:rPr>
        <w:t>We give our people trust. That may sound backwards, but it’s not about them earning it. To earn trust, you must first extend it. Trust is more important than ever during exceptional times when the norm is upended.</w:t>
      </w:r>
    </w:p>
    <w:p w14:paraId="04A57D98" w14:textId="77777777" w:rsidR="00E50E08" w:rsidRPr="002F618D" w:rsidRDefault="00E50E08" w:rsidP="00E50E08">
      <w:pPr>
        <w:rPr>
          <w:rFonts w:cs="Calibri"/>
        </w:rPr>
      </w:pPr>
      <w:r w:rsidRPr="002F618D">
        <w:rPr>
          <w:rFonts w:cs="Calibri"/>
        </w:rPr>
        <w:t>We ask ourselves, “How would a caring family respond?”</w:t>
      </w:r>
    </w:p>
    <w:p w14:paraId="5BCFE14C" w14:textId="77777777" w:rsidR="00E50E08" w:rsidRPr="002F618D" w:rsidRDefault="00E50E08" w:rsidP="00E50E08">
      <w:pPr>
        <w:rPr>
          <w:rFonts w:cs="Calibri"/>
        </w:rPr>
      </w:pPr>
      <w:r w:rsidRPr="002F618D">
        <w:rPr>
          <w:rFonts w:cs="Calibri"/>
        </w:rPr>
        <w:t xml:space="preserve">These times are uncertain. </w:t>
      </w:r>
      <w:r w:rsidRPr="002F618D">
        <w:rPr>
          <w:rFonts w:cs="Calibri"/>
          <w:u w:val="single"/>
        </w:rPr>
        <w:t>Leadership is needed now more than ever. Free market capitalism can help our world solve the many problems we all are facing. Governments cannot do it alone. Businesses with a higher purpose and a stakeholder orientation have never been more needed by society in the way they are now to help flatten the pandemic curve. Companies must step into areas they have historically avoided, and they are.</w:t>
      </w:r>
      <w:r w:rsidRPr="002F618D">
        <w:rPr>
          <w:rFonts w:cs="Calibri"/>
        </w:rPr>
        <w:t xml:space="preserve"> We are all connected, we are all one.</w:t>
      </w:r>
    </w:p>
    <w:p w14:paraId="5102F979" w14:textId="77777777" w:rsidR="00E50E08" w:rsidRPr="002F618D" w:rsidRDefault="00E50E08" w:rsidP="00E50E08">
      <w:pPr>
        <w:pStyle w:val="Heading3"/>
        <w:rPr>
          <w:rFonts w:cs="Calibri"/>
        </w:rPr>
      </w:pPr>
      <w:r>
        <w:rPr>
          <w:rFonts w:cs="Calibri"/>
        </w:rPr>
        <w:lastRenderedPageBreak/>
        <w:t>Poverty</w:t>
      </w:r>
    </w:p>
    <w:p w14:paraId="7A298121" w14:textId="77777777" w:rsidR="00E50E08" w:rsidRPr="002F618D" w:rsidRDefault="00E50E08" w:rsidP="00E50E08">
      <w:pPr>
        <w:pStyle w:val="Heading4"/>
        <w:rPr>
          <w:rFonts w:cs="Calibri"/>
        </w:rPr>
      </w:pPr>
      <w:r w:rsidRPr="002F618D">
        <w:rPr>
          <w:rFonts w:cs="Calibri"/>
        </w:rPr>
        <w:t xml:space="preserve">Capitalism is the best system to reduce poverty </w:t>
      </w:r>
    </w:p>
    <w:p w14:paraId="254BB797" w14:textId="77777777" w:rsidR="00E50E08" w:rsidRPr="002F618D" w:rsidRDefault="00E50E08" w:rsidP="00E50E08">
      <w:pPr>
        <w:rPr>
          <w:rFonts w:cs="Calibri"/>
        </w:rPr>
      </w:pPr>
      <w:r w:rsidRPr="002F618D">
        <w:rPr>
          <w:rFonts w:cs="Calibri"/>
          <w:b/>
          <w:sz w:val="26"/>
          <w:szCs w:val="26"/>
        </w:rPr>
        <w:t>Joseph, Centre for Independent Studies policy analyst, 19</w:t>
      </w:r>
    </w:p>
    <w:p w14:paraId="64CEE535" w14:textId="1639311E" w:rsidR="00E50E08" w:rsidRPr="002F618D" w:rsidRDefault="00E50E08" w:rsidP="00E50E08">
      <w:pPr>
        <w:rPr>
          <w:rFonts w:cs="Calibri"/>
        </w:rPr>
      </w:pPr>
      <w:r w:rsidRPr="002F618D">
        <w:rPr>
          <w:rFonts w:cs="Calibri"/>
        </w:rPr>
        <w:t xml:space="preserve">(Eugenie is a Senior Policy Analyst at the Centre for Independent Studies,  2-3-2019, The Guardian "Capitalism is having an identity crisis," </w:t>
      </w:r>
      <w:r w:rsidRPr="002F618D">
        <w:rPr>
          <w:rFonts w:cs="Calibri"/>
          <w:color w:val="000000"/>
        </w:rPr>
        <w:t>https://www.theguardian.com/commentisfree/2019/feb/04/capitalism-is-having-an-identity-crisis-but-it-is-still-the-best-system</w:t>
      </w:r>
      <w:r w:rsidRPr="002F618D">
        <w:rPr>
          <w:rFonts w:cs="Calibri"/>
        </w:rPr>
        <w:t xml:space="preserve"> /Accessed 7-15-2020/WY)</w:t>
      </w:r>
    </w:p>
    <w:p w14:paraId="703C1BC9" w14:textId="26480418" w:rsidR="00E50E08" w:rsidRPr="002F618D" w:rsidRDefault="00E50E08" w:rsidP="00E50E08">
      <w:pPr>
        <w:rPr>
          <w:rFonts w:cs="Calibri"/>
          <w:b/>
          <w:u w:val="single"/>
        </w:rPr>
      </w:pPr>
      <w:r w:rsidRPr="002F618D">
        <w:rPr>
          <w:rFonts w:cs="Calibri"/>
          <w:sz w:val="16"/>
          <w:szCs w:val="16"/>
        </w:rPr>
        <w:t xml:space="preserve">Capitalism is clearly having an identity crisis, when it becomes a punching bag for </w:t>
      </w:r>
      <w:r w:rsidRPr="002F618D">
        <w:rPr>
          <w:rFonts w:cs="Calibri"/>
          <w:color w:val="000000"/>
          <w:sz w:val="16"/>
          <w:szCs w:val="16"/>
        </w:rPr>
        <w:t>even Fox news conservatives in the United States</w:t>
      </w:r>
      <w:r w:rsidRPr="002F618D">
        <w:rPr>
          <w:rFonts w:cs="Calibri"/>
          <w:sz w:val="16"/>
          <w:szCs w:val="16"/>
        </w:rPr>
        <w:t xml:space="preserve">. But it is still the best economic system we have for alleviating global poverty and improving living standards. Contrary to what Bernie Sanders, Jeremy Corbyn or </w:t>
      </w:r>
      <w:r w:rsidRPr="002F618D">
        <w:rPr>
          <w:rFonts w:cs="Calibri"/>
          <w:color w:val="000000"/>
          <w:sz w:val="16"/>
          <w:szCs w:val="16"/>
        </w:rPr>
        <w:t>John Quiggin</w:t>
      </w:r>
      <w:r w:rsidRPr="002F618D">
        <w:rPr>
          <w:rFonts w:cs="Calibri"/>
          <w:sz w:val="16"/>
          <w:szCs w:val="16"/>
        </w:rPr>
        <w:t xml:space="preserve"> might have you believe, capitalism is not about consumerism, exploitation or worship of big corporates. It is simply the freedom for individuals to engage in enterprise and voluntary trade. Indeed, capitalism – in the form of enterprise and trade – has been the driving force behind the most remarkable decline in global poverty ever witnessed</w:t>
      </w:r>
      <w:r w:rsidRPr="002F618D">
        <w:rPr>
          <w:rFonts w:cs="Calibri"/>
          <w:b/>
          <w:u w:val="single"/>
        </w:rPr>
        <w:t xml:space="preserve"> in human history. </w:t>
      </w:r>
    </w:p>
    <w:p w14:paraId="4D02DFAF" w14:textId="77777777" w:rsidR="00E50E08" w:rsidRPr="002F618D" w:rsidRDefault="00E50E08" w:rsidP="00E50E08">
      <w:pPr>
        <w:rPr>
          <w:rFonts w:cs="Calibri"/>
          <w:sz w:val="16"/>
          <w:szCs w:val="16"/>
        </w:rPr>
      </w:pPr>
      <w:r w:rsidRPr="002F618D">
        <w:rPr>
          <w:rFonts w:cs="Calibri"/>
          <w:b/>
          <w:u w:val="single"/>
        </w:rPr>
        <w:t xml:space="preserve">In the past 200 years, extreme poverty has collapsed from a whopping 94% of the entire world population to less than 10% today. </w:t>
      </w:r>
      <w:r w:rsidRPr="002F618D">
        <w:rPr>
          <w:rFonts w:cs="Calibri"/>
          <w:sz w:val="16"/>
          <w:szCs w:val="16"/>
        </w:rPr>
        <w:t xml:space="preserve">This is </w:t>
      </w:r>
      <w:r w:rsidRPr="002F618D">
        <w:rPr>
          <w:rFonts w:cs="Calibri"/>
          <w:b/>
          <w:u w:val="single"/>
        </w:rPr>
        <w:t>even more remarkable when you remember the global population has ballooned from one billion to over seven billion in that time,</w:t>
      </w:r>
      <w:r w:rsidRPr="002F618D">
        <w:rPr>
          <w:rFonts w:cs="Calibri"/>
          <w:sz w:val="16"/>
          <w:szCs w:val="16"/>
        </w:rPr>
        <w:t xml:space="preserve"> largely due to better life expectancy. </w:t>
      </w:r>
      <w:r w:rsidRPr="002F618D">
        <w:rPr>
          <w:rFonts w:cs="Calibri"/>
          <w:u w:val="single"/>
        </w:rPr>
        <w:t xml:space="preserve">Even now, more than 60,000 people on average are escaping extreme poverty every single day. </w:t>
      </w:r>
      <w:r w:rsidRPr="002F618D">
        <w:rPr>
          <w:rFonts w:cs="Calibri"/>
          <w:b/>
          <w:u w:val="single"/>
        </w:rPr>
        <w:t>People want homes, jobs, a future</w:t>
      </w:r>
      <w:r w:rsidRPr="002F618D">
        <w:rPr>
          <w:rFonts w:cs="Calibri"/>
          <w:sz w:val="16"/>
          <w:szCs w:val="16"/>
        </w:rPr>
        <w:t xml:space="preserve">: no wonder they distrust capitalism now Of course, </w:t>
      </w:r>
      <w:r w:rsidRPr="002F618D">
        <w:rPr>
          <w:rFonts w:cs="Calibri"/>
          <w:b/>
          <w:u w:val="single"/>
        </w:rPr>
        <w:t>there are still pockets of the world where the benefits of capitalism remain tragically out of reach.</w:t>
      </w:r>
      <w:r w:rsidRPr="002F618D">
        <w:rPr>
          <w:rFonts w:cs="Calibri"/>
          <w:sz w:val="16"/>
          <w:szCs w:val="16"/>
        </w:rPr>
        <w:t xml:space="preserve"> But </w:t>
      </w:r>
      <w:r w:rsidRPr="002F618D">
        <w:rPr>
          <w:rFonts w:cs="Calibri"/>
          <w:b/>
          <w:u w:val="single"/>
        </w:rPr>
        <w:t>the abject poverty is not caused by capitalism, it is caused by a lack of capitalism</w:t>
      </w:r>
      <w:r w:rsidRPr="002F618D">
        <w:rPr>
          <w:rFonts w:cs="Calibri"/>
          <w:sz w:val="16"/>
          <w:szCs w:val="16"/>
        </w:rPr>
        <w:t xml:space="preserve">. </w:t>
      </w:r>
    </w:p>
    <w:p w14:paraId="024C2B8C" w14:textId="77777777" w:rsidR="00E50E08" w:rsidRPr="002F618D" w:rsidRDefault="00E50E08" w:rsidP="00E50E08">
      <w:pPr>
        <w:rPr>
          <w:rFonts w:cs="Calibri"/>
          <w:sz w:val="16"/>
          <w:szCs w:val="16"/>
        </w:rPr>
      </w:pPr>
      <w:r w:rsidRPr="002F618D">
        <w:rPr>
          <w:rFonts w:cs="Calibri"/>
          <w:b/>
          <w:u w:val="single"/>
        </w:rPr>
        <w:t>Conflict, war, corruption and political instability prevent the operation of economic markets and capital inflows for investment</w:t>
      </w:r>
      <w:r w:rsidRPr="002F618D">
        <w:rPr>
          <w:rFonts w:cs="Calibri"/>
          <w:sz w:val="16"/>
          <w:szCs w:val="16"/>
        </w:rPr>
        <w:t xml:space="preserve">. If it is given a real chance to work, </w:t>
      </w:r>
      <w:r w:rsidRPr="002F618D">
        <w:rPr>
          <w:rFonts w:cs="Calibri"/>
          <w:b/>
          <w:u w:val="single"/>
        </w:rPr>
        <w:t xml:space="preserve">capitalism will always prove the best path out of extreme poverty. </w:t>
      </w:r>
      <w:r w:rsidRPr="002F618D">
        <w:rPr>
          <w:rFonts w:cs="Calibri"/>
          <w:sz w:val="16"/>
          <w:szCs w:val="16"/>
        </w:rPr>
        <w:t xml:space="preserve">Another key benefit of </w:t>
      </w:r>
      <w:r w:rsidRPr="002F618D">
        <w:rPr>
          <w:rFonts w:cs="Calibri"/>
          <w:b/>
          <w:u w:val="single"/>
        </w:rPr>
        <w:t>capitalism is it acts as a driving force behind continual improvements to our quality of life.</w:t>
      </w:r>
      <w:r w:rsidRPr="002F618D">
        <w:rPr>
          <w:rFonts w:cs="Calibri"/>
          <w:sz w:val="16"/>
          <w:szCs w:val="16"/>
        </w:rPr>
        <w:t xml:space="preserve"> </w:t>
      </w:r>
    </w:p>
    <w:p w14:paraId="3F2F4DB6" w14:textId="77777777" w:rsidR="00E50E08" w:rsidRPr="002F618D" w:rsidRDefault="00E50E08" w:rsidP="00E50E08">
      <w:pPr>
        <w:rPr>
          <w:rFonts w:cs="Calibri"/>
          <w:sz w:val="16"/>
          <w:szCs w:val="16"/>
        </w:rPr>
      </w:pPr>
      <w:r w:rsidRPr="002F618D">
        <w:rPr>
          <w:rFonts w:cs="Calibri"/>
          <w:b/>
          <w:u w:val="single"/>
        </w:rPr>
        <w:t>Capitalism is necessary to generate new ideas through innovation and technology, and bring them to market</w:t>
      </w:r>
      <w:r w:rsidRPr="002F618D">
        <w:rPr>
          <w:rFonts w:cs="Calibri"/>
          <w:sz w:val="16"/>
          <w:szCs w:val="16"/>
        </w:rPr>
        <w:t xml:space="preserve">. </w:t>
      </w:r>
      <w:r w:rsidRPr="002F618D">
        <w:rPr>
          <w:rFonts w:cs="Calibri"/>
          <w:b/>
          <w:u w:val="single"/>
        </w:rPr>
        <w:t>We will always need start-ups and entrepreneurs to invest capital in new ideas like clean energy technology, 3D printing or the leading-edge communications that are opening up third-world countries’ access to the world.</w:t>
      </w:r>
      <w:r w:rsidRPr="002F618D">
        <w:rPr>
          <w:rFonts w:cs="Calibri"/>
          <w:sz w:val="16"/>
          <w:szCs w:val="16"/>
        </w:rPr>
        <w:t xml:space="preserve"> But new ideas don’t always work. So </w:t>
      </w:r>
      <w:r w:rsidRPr="002F618D">
        <w:rPr>
          <w:rFonts w:cs="Calibri"/>
          <w:b/>
          <w:u w:val="single"/>
        </w:rPr>
        <w:t>the profit incentive is essential to attracting investors</w:t>
      </w:r>
      <w:r w:rsidRPr="002F618D">
        <w:rPr>
          <w:rFonts w:cs="Calibri"/>
          <w:sz w:val="16"/>
          <w:szCs w:val="16"/>
        </w:rPr>
        <w:t xml:space="preserve">, especially where there is a high risk that a new idea will fail. </w:t>
      </w:r>
    </w:p>
    <w:p w14:paraId="14C50D46" w14:textId="77777777" w:rsidR="00E50E08" w:rsidRPr="002F618D" w:rsidRDefault="00E50E08" w:rsidP="00E50E08">
      <w:pPr>
        <w:rPr>
          <w:rFonts w:cs="Calibri"/>
          <w:b/>
          <w:u w:val="single"/>
        </w:rPr>
      </w:pPr>
      <w:r w:rsidRPr="002F618D">
        <w:rPr>
          <w:rFonts w:cs="Calibri"/>
          <w:sz w:val="16"/>
          <w:szCs w:val="16"/>
        </w:rPr>
        <w:t xml:space="preserve">This is particularly true in pharmaceuticals, where developing a new life-saving drug can follow years of failed research and cost well in excess of $1bn. </w:t>
      </w:r>
      <w:r w:rsidRPr="002F618D">
        <w:rPr>
          <w:rFonts w:cs="Calibri"/>
          <w:b/>
          <w:u w:val="single"/>
        </w:rPr>
        <w:t>Capitalism has given us such easy access to life-changing products</w:t>
      </w:r>
      <w:r w:rsidRPr="002F618D">
        <w:rPr>
          <w:rFonts w:cs="Calibri"/>
          <w:sz w:val="16"/>
          <w:szCs w:val="16"/>
        </w:rPr>
        <w:t xml:space="preserve">, that it becomes common to take them for granted – our mobile phones, the internet, vaccines, and antibiotics, for a start. And while it is difficult to predict the new ideas of the future, </w:t>
      </w:r>
      <w:r w:rsidRPr="002F618D">
        <w:rPr>
          <w:rFonts w:cs="Calibri"/>
          <w:b/>
          <w:u w:val="single"/>
        </w:rPr>
        <w:t xml:space="preserve">they will no doubt further improve our lives in ways we couldn’t have imagined. The scope to advance our quality of life is limitless. </w:t>
      </w:r>
    </w:p>
    <w:p w14:paraId="669AEBDA" w14:textId="7635D184" w:rsidR="00E50E08" w:rsidRPr="002F618D" w:rsidRDefault="00E50E08" w:rsidP="00E50E08">
      <w:pPr>
        <w:rPr>
          <w:rFonts w:cs="Calibri"/>
          <w:b/>
          <w:u w:val="single"/>
        </w:rPr>
      </w:pPr>
      <w:r w:rsidRPr="002F618D">
        <w:rPr>
          <w:rFonts w:cs="Calibri"/>
          <w:sz w:val="16"/>
          <w:szCs w:val="16"/>
        </w:rPr>
        <w:t xml:space="preserve">However, despite its proven benefits, </w:t>
      </w:r>
      <w:r w:rsidRPr="002F618D">
        <w:rPr>
          <w:rFonts w:cs="Calibri"/>
          <w:b/>
          <w:u w:val="single"/>
        </w:rPr>
        <w:t>capitalism has become the predictable scapegoat for almost every social and economic problem</w:t>
      </w:r>
      <w:r w:rsidRPr="002F618D">
        <w:rPr>
          <w:rFonts w:cs="Calibri"/>
          <w:sz w:val="16"/>
          <w:szCs w:val="16"/>
        </w:rPr>
        <w:t xml:space="preserve"> that befalls Australia. </w:t>
      </w:r>
      <w:r w:rsidRPr="002F618D">
        <w:rPr>
          <w:rFonts w:cs="Calibri"/>
          <w:b/>
          <w:u w:val="single"/>
        </w:rPr>
        <w:t>We’ve even seen capitalism blamed for the bad behaviour of the banks – which is akin to blaming democracy for voter fraud</w:t>
      </w:r>
      <w:r w:rsidRPr="002F618D">
        <w:rPr>
          <w:rFonts w:cs="Calibri"/>
          <w:sz w:val="16"/>
          <w:szCs w:val="16"/>
        </w:rPr>
        <w:t xml:space="preserve">. Those who state that capitalism has “failed” us speak fondly of state socialism, but </w:t>
      </w:r>
      <w:r w:rsidRPr="002F618D">
        <w:rPr>
          <w:rFonts w:cs="Calibri"/>
          <w:b/>
          <w:u w:val="single"/>
        </w:rPr>
        <w:t>their arguments should be rejected for two simple reasons.</w:t>
      </w:r>
    </w:p>
    <w:p w14:paraId="6056F797" w14:textId="74677318" w:rsidR="00E50E08" w:rsidRPr="002F618D" w:rsidRDefault="00E50E08" w:rsidP="00E50E08">
      <w:pPr>
        <w:rPr>
          <w:rFonts w:cs="Calibri"/>
          <w:sz w:val="16"/>
          <w:szCs w:val="16"/>
        </w:rPr>
      </w:pPr>
      <w:r w:rsidRPr="002F618D">
        <w:rPr>
          <w:rFonts w:cs="Calibri"/>
          <w:b/>
          <w:u w:val="single"/>
        </w:rPr>
        <w:t xml:space="preserve"> </w:t>
      </w:r>
      <w:r w:rsidRPr="002F618D">
        <w:rPr>
          <w:rFonts w:cs="Calibri"/>
          <w:sz w:val="16"/>
          <w:szCs w:val="16"/>
        </w:rPr>
        <w:t xml:space="preserve">First, socialism does not protect against human greed any more than capitalism encourages it, nor does it guarantee “fairness”. In fact, a state-controlled economy has always been a recipe for more corruption, greed and human misery – not less. Venezuela is the latest tragic example of this. There, the state’s control of industries and economic mismanagement has been disastrous. The results have been mass unemployment, widespread hunger, and hyperinflation predicted </w:t>
      </w:r>
      <w:r w:rsidRPr="002F618D">
        <w:rPr>
          <w:rFonts w:cs="Calibri"/>
          <w:color w:val="000000"/>
          <w:sz w:val="16"/>
          <w:szCs w:val="16"/>
        </w:rPr>
        <w:t>to reach an incredible 10,000,000% this year</w:t>
      </w:r>
      <w:r w:rsidRPr="002F618D">
        <w:rPr>
          <w:rFonts w:cs="Calibri"/>
          <w:sz w:val="16"/>
          <w:szCs w:val="16"/>
        </w:rPr>
        <w:t xml:space="preserve">. Around three million Venezuelans have already fled the country with millions more predicted to follow. Clearly, the only fairness achieved in Venezuela has been the “equal sharing of </w:t>
      </w:r>
      <w:r w:rsidRPr="002F618D">
        <w:rPr>
          <w:rFonts w:cs="Calibri"/>
          <w:sz w:val="16"/>
          <w:szCs w:val="16"/>
        </w:rPr>
        <w:lastRenderedPageBreak/>
        <w:t xml:space="preserve">miseries”, to quote Winston Churchill. And secondly, there are no examples of where state socialism has proven successful. Contrary to popular claims, the Nordic countries do not represent some utopian ideal of socialism. As the Prime Minister of Denmark stated, his country is </w:t>
      </w:r>
      <w:r w:rsidRPr="002F618D">
        <w:rPr>
          <w:rFonts w:cs="Calibri"/>
          <w:color w:val="000000"/>
          <w:sz w:val="16"/>
          <w:szCs w:val="16"/>
        </w:rPr>
        <w:t>“far from a socialist planned economy”</w:t>
      </w:r>
      <w:r w:rsidRPr="002F618D">
        <w:rPr>
          <w:rFonts w:cs="Calibri"/>
          <w:sz w:val="16"/>
          <w:szCs w:val="16"/>
        </w:rPr>
        <w:t xml:space="preserve">, despite what Bernie Sanders thinks. In fact, the Nordic countries are successful market economies with lower corporate tax rates than Australia and the birthplace of some of the most globally recognised corporations including Ikea, Maersk, Lego, and Ericsson. And while the Nordic countries tend to have generous social welfare systems, they also rely on capitalism to generate the tax revenue – from wages, investment income and corporate profits – to fund their welfare systems. </w:t>
      </w:r>
    </w:p>
    <w:p w14:paraId="03653D31" w14:textId="77777777" w:rsidR="00E50E08" w:rsidRPr="002F618D" w:rsidRDefault="00E50E08" w:rsidP="00E50E08">
      <w:pPr>
        <w:rPr>
          <w:rFonts w:cs="Calibri"/>
        </w:rPr>
      </w:pPr>
      <w:r w:rsidRPr="002F618D">
        <w:rPr>
          <w:rFonts w:cs="Calibri"/>
          <w:sz w:val="16"/>
          <w:szCs w:val="16"/>
        </w:rPr>
        <w:t xml:space="preserve">Clearly, full-scale socialism is an experiment that even the most progressive democracies are unwilling to try. </w:t>
      </w:r>
      <w:r w:rsidRPr="002F618D">
        <w:rPr>
          <w:rFonts w:cs="Calibri"/>
          <w:b/>
          <w:u w:val="single"/>
        </w:rPr>
        <w:t xml:space="preserve">None of this is to suggest that capitalism is a perfect system, but we should remember how much we rely on the market economy to provide for our needs, and make our lives longer, healthier, easier, more comfortable and more enjoyable. </w:t>
      </w:r>
      <w:r w:rsidRPr="002F618D">
        <w:rPr>
          <w:rFonts w:cs="Calibri"/>
          <w:sz w:val="16"/>
          <w:szCs w:val="16"/>
        </w:rPr>
        <w:t xml:space="preserve">But most importantly, </w:t>
      </w:r>
      <w:r w:rsidRPr="002F618D">
        <w:rPr>
          <w:rFonts w:cs="Calibri"/>
          <w:b/>
          <w:u w:val="single"/>
        </w:rPr>
        <w:t>capitalism has proven to be the best weapon against extreme poverty and deprivation around the world. For that reason alone, it is still the best system</w:t>
      </w:r>
      <w:r w:rsidRPr="002F618D">
        <w:rPr>
          <w:rFonts w:cs="Calibri"/>
          <w:sz w:val="16"/>
          <w:szCs w:val="16"/>
        </w:rPr>
        <w:t>.</w:t>
      </w:r>
    </w:p>
    <w:p w14:paraId="5DE93267" w14:textId="77777777" w:rsidR="00E50E08" w:rsidRPr="002F618D" w:rsidRDefault="00E50E08" w:rsidP="00E50E08">
      <w:pPr>
        <w:rPr>
          <w:rFonts w:cs="Calibri"/>
        </w:rPr>
      </w:pPr>
    </w:p>
    <w:p w14:paraId="563F7CB2" w14:textId="3BC38E37" w:rsidR="00E50E08" w:rsidRDefault="00E50E08" w:rsidP="00E50E08">
      <w:pPr>
        <w:pStyle w:val="Heading2"/>
      </w:pPr>
      <w:r>
        <w:lastRenderedPageBreak/>
        <w:t xml:space="preserve">AT: </w:t>
      </w:r>
      <w:r w:rsidR="000E487E">
        <w:t xml:space="preserve">States </w:t>
      </w:r>
      <w:r>
        <w:t>Counterplans</w:t>
      </w:r>
    </w:p>
    <w:p w14:paraId="5C9FAC5A" w14:textId="77777777" w:rsidR="00E50E08" w:rsidRDefault="00E50E08" w:rsidP="00E50E08">
      <w:pPr>
        <w:pStyle w:val="Heading3"/>
      </w:pPr>
      <w:r>
        <w:lastRenderedPageBreak/>
        <w:t xml:space="preserve">AT </w:t>
      </w:r>
      <w:r w:rsidRPr="00FF597F">
        <w:rPr>
          <w:rFonts w:cs="Times New Roman"/>
        </w:rPr>
        <w:t>–</w:t>
      </w:r>
      <w:r>
        <w:rPr>
          <w:rFonts w:cs="Times New Roman"/>
        </w:rPr>
        <w:t xml:space="preserve"> States CP </w:t>
      </w:r>
      <w:r w:rsidRPr="00FF597F">
        <w:rPr>
          <w:rFonts w:cs="Times New Roman"/>
        </w:rPr>
        <w:t>–</w:t>
      </w:r>
      <w:r>
        <w:rPr>
          <w:rFonts w:cs="Times New Roman"/>
        </w:rPr>
        <w:t xml:space="preserve"> Solvency Deficit </w:t>
      </w:r>
      <w:r w:rsidRPr="00FF597F">
        <w:rPr>
          <w:rFonts w:cs="Times New Roman"/>
        </w:rPr>
        <w:t>–</w:t>
      </w:r>
      <w:r>
        <w:rPr>
          <w:rFonts w:cs="Times New Roman"/>
        </w:rPr>
        <w:t xml:space="preserve"> </w:t>
      </w:r>
      <w:r>
        <w:t>Uniformity</w:t>
      </w:r>
    </w:p>
    <w:p w14:paraId="74A3E3EA" w14:textId="77777777" w:rsidR="00E50E08" w:rsidRDefault="00E50E08" w:rsidP="00E50E08">
      <w:pPr>
        <w:pStyle w:val="Heading4"/>
      </w:pPr>
      <w:r>
        <w:t>States won’t interpret the CP the same – see Affordable Care Act</w:t>
      </w:r>
    </w:p>
    <w:p w14:paraId="4E6B8570" w14:textId="77777777" w:rsidR="00E50E08" w:rsidRPr="008F7E54" w:rsidRDefault="00E50E08" w:rsidP="00E50E08">
      <w:pPr>
        <w:rPr>
          <w:rStyle w:val="Style13ptBold"/>
        </w:rPr>
      </w:pPr>
      <w:r>
        <w:rPr>
          <w:rStyle w:val="Style13ptBold"/>
        </w:rPr>
        <w:t>Keith and Lucia, Georgetown Center on Health Insurance Reforms, 14</w:t>
      </w:r>
    </w:p>
    <w:p w14:paraId="0DEAF63A" w14:textId="15275A91" w:rsidR="00E50E08" w:rsidRDefault="00E50E08" w:rsidP="00E50E08">
      <w:r>
        <w:t xml:space="preserve">[Katie Keith and Kevin Lucia, 1-31-2014, "Implementing the Affordable Care Act: The State of the States," No Publication, </w:t>
      </w:r>
      <w:r w:rsidRPr="001E736C">
        <w:t>https://www.commonwealthfund.org/publications/fund-reports/2014/jan/implementing-affordable-care-act-state-states</w:t>
      </w:r>
      <w:r>
        <w:t>, accessed 7-15-20, LH]</w:t>
      </w:r>
    </w:p>
    <w:p w14:paraId="09F4CF10" w14:textId="77777777" w:rsidR="00E50E08" w:rsidRPr="00A43D29" w:rsidRDefault="00E50E08" w:rsidP="00E50E08">
      <w:pPr>
        <w:rPr>
          <w:rStyle w:val="StyleUnderline"/>
        </w:rPr>
      </w:pPr>
      <w:r>
        <w:t>The Affordable Care Act has the potential to increase access to coverage for millions of Americans primarily through three mechanisms: 1) the implementation of market reforms; 2) the establishment of new health insurance marketplaces, also known as exchanges; and 3) the expansion of Medicaid eligibility for low-income adults</w:t>
      </w:r>
      <w:r w:rsidRPr="00A43D29">
        <w:rPr>
          <w:rStyle w:val="StyleUnderline"/>
        </w:rPr>
        <w:t>. This report examines the status of state implementation of each of these reforms in all 50 states and the District of Columbia.</w:t>
      </w:r>
    </w:p>
    <w:p w14:paraId="0FB850F0" w14:textId="77777777" w:rsidR="00E50E08" w:rsidRDefault="00E50E08" w:rsidP="00E50E08">
      <w:r>
        <w:t>Understanding State Implementation of the Affordable Care Act</w:t>
      </w:r>
    </w:p>
    <w:p w14:paraId="2D05BC8A" w14:textId="77777777" w:rsidR="00E50E08" w:rsidRPr="00A43D29" w:rsidRDefault="00E50E08" w:rsidP="00E50E08">
      <w:pPr>
        <w:rPr>
          <w:rStyle w:val="Emphasis"/>
        </w:rPr>
      </w:pPr>
      <w:r w:rsidRPr="00A43D29">
        <w:rPr>
          <w:rStyle w:val="Emphasis"/>
        </w:rPr>
        <w:t>States varied significantly in their approach to implementing the Affordable Care Act’s three major components,</w:t>
      </w:r>
      <w:r>
        <w:t xml:space="preserve"> </w:t>
      </w:r>
      <w:r w:rsidRPr="00A43D29">
        <w:t xml:space="preserve">but states were most likely to take new action to implement the market reforms. These reforms include access to coverage for young adults, a ban on preexisting condition exclusions, the </w:t>
      </w:r>
      <w:r>
        <w:t xml:space="preserve">coverage of a minimum set of essential health benefits, and a ban on lifetime limits for health care coverage, among other critical consumer protections. </w:t>
      </w:r>
      <w:r w:rsidRPr="00A43D29">
        <w:rPr>
          <w:rStyle w:val="StyleUnderline"/>
        </w:rPr>
        <w:t>To date, 32 states and the District of Columbia have taken new legislative or regulatory action on at least one of the market reforms. Of these, 11 states addressed all of the reforms studied in this report.</w:t>
      </w:r>
      <w:r>
        <w:t xml:space="preserve"> Although states may not have taken new action to implement each of the reforms, state regulators in the vast majority of states will use their authority or collaborate with federal regulators to require or encourage compliance with the new protections. In the five states that declined to enforce these reforms, federal regulators will do so to ensure that consumers receive the benefits promised under the Affordable Care Act. </w:t>
      </w:r>
      <w:r w:rsidRPr="00A43D29">
        <w:rPr>
          <w:rStyle w:val="StyleUnderline"/>
        </w:rPr>
        <w:t>Seven states</w:t>
      </w:r>
      <w:r>
        <w:t>—Connecticut, Hawaii, Maryland, Massachusetts, Minnesota, Oregon, and Vermont—</w:t>
      </w:r>
      <w:r w:rsidRPr="00A43D29">
        <w:rPr>
          <w:rStyle w:val="StyleUnderline"/>
        </w:rPr>
        <w:t>fully embraced all three major components</w:t>
      </w:r>
      <w:r>
        <w:t xml:space="preserve"> by implementing the market reforms, establishing a state-based marketplace, and expanding their Medicaid program. </w:t>
      </w:r>
      <w:r w:rsidRPr="00A43D29">
        <w:rPr>
          <w:rStyle w:val="StyleUnderline"/>
        </w:rPr>
        <w:t>Other states that have actively implemented the Affordable Care Act—such as California, Colorado, and New York—nearly met this standard. At the other end of the spectrum, five states—Alabama, Missouri, Oklahoma, Texas, and Wyoming—</w:t>
      </w:r>
      <w:r w:rsidRPr="00A43D29">
        <w:rPr>
          <w:rStyle w:val="Emphasis"/>
        </w:rPr>
        <w:t>fully declined to play a role in implementing these components.</w:t>
      </w:r>
    </w:p>
    <w:p w14:paraId="501EBA32" w14:textId="77777777" w:rsidR="00E50E08" w:rsidRDefault="00E50E08" w:rsidP="00E50E08">
      <w:r>
        <w:t xml:space="preserve">In the middle of this spectrum, states with state-based marketplaces were more likely to take action on the market reforms and expand their Medicaid programs. But states with federally facilitated marketplaces were also active. </w:t>
      </w:r>
      <w:r w:rsidRPr="00A43D29">
        <w:rPr>
          <w:rStyle w:val="StyleUnderline"/>
        </w:rPr>
        <w:t>Of the 34 states with federally facilitated marketplaces, 18 states took legislative or regulatory action on the market reforms. Eleven states are expanding their Medicaid programs, with an additional four still considering expansion.</w:t>
      </w:r>
      <w:r>
        <w:t xml:space="preserve"> This variation suggests that states have flexibility in implementing the Affordable Care Act—and are taking advantage of it.</w:t>
      </w:r>
    </w:p>
    <w:p w14:paraId="45D9F59E" w14:textId="77777777" w:rsidR="00E50E08" w:rsidRDefault="00E50E08" w:rsidP="00E50E08">
      <w:r>
        <w:t xml:space="preserve">Looking Forward </w:t>
      </w:r>
    </w:p>
    <w:p w14:paraId="55B085FD" w14:textId="77777777" w:rsidR="00E50E08" w:rsidRDefault="00E50E08" w:rsidP="00E50E08">
      <w:r>
        <w:t xml:space="preserve">Most states have been active in preparing for the significant changes mandated by the Affordable Care Act. More than half took action to implement or enforce at least one market reform, and state </w:t>
      </w:r>
      <w:r>
        <w:lastRenderedPageBreak/>
        <w:t>regulators in 32 states and the District of Columbia chose to operate their own exchanges or are playing an active regulatory role by conducting plan management.</w:t>
      </w:r>
    </w:p>
    <w:p w14:paraId="701121B6" w14:textId="77777777" w:rsidR="00E50E08" w:rsidRDefault="00E50E08" w:rsidP="00E50E08">
      <w:r w:rsidRPr="004D3048">
        <w:rPr>
          <w:rStyle w:val="StyleUnderline"/>
        </w:rPr>
        <w:t>Where states have been unable or unwilling to implement the Affordable Care Act, federal regulators have stepped in to directly enforce the market reforms and operate the marketplaces.</w:t>
      </w:r>
      <w:r>
        <w:t xml:space="preserve"> As a result, nearly all states are requiring or encouraging compliance with the market reforms, every state has a marketplace, and more than half of states expanded their Medicaid programs.</w:t>
      </w:r>
    </w:p>
    <w:p w14:paraId="5C47250C" w14:textId="77777777" w:rsidR="00E50E08" w:rsidRDefault="00E50E08" w:rsidP="00E50E08">
      <w:pPr>
        <w:pStyle w:val="Heading3"/>
      </w:pPr>
      <w:r>
        <w:lastRenderedPageBreak/>
        <w:t xml:space="preserve">AT </w:t>
      </w:r>
      <w:r w:rsidRPr="00FF597F">
        <w:rPr>
          <w:rFonts w:cs="Times New Roman"/>
        </w:rPr>
        <w:t>–</w:t>
      </w:r>
      <w:r>
        <w:rPr>
          <w:rFonts w:cs="Times New Roman"/>
        </w:rPr>
        <w:t xml:space="preserve"> States CP </w:t>
      </w:r>
      <w:r w:rsidRPr="00FF597F">
        <w:rPr>
          <w:rFonts w:cs="Times New Roman"/>
        </w:rPr>
        <w:t>–</w:t>
      </w:r>
      <w:r>
        <w:rPr>
          <w:rFonts w:cs="Times New Roman"/>
        </w:rPr>
        <w:t xml:space="preserve"> Solvency Deficit </w:t>
      </w:r>
      <w:r w:rsidRPr="00FF597F">
        <w:rPr>
          <w:rFonts w:cs="Times New Roman"/>
        </w:rPr>
        <w:t>–</w:t>
      </w:r>
      <w:r>
        <w:rPr>
          <w:rFonts w:cs="Times New Roman"/>
        </w:rPr>
        <w:t xml:space="preserve"> </w:t>
      </w:r>
      <w:r>
        <w:t>Lack of Resources</w:t>
      </w:r>
    </w:p>
    <w:p w14:paraId="306526C9" w14:textId="77777777" w:rsidR="00E50E08" w:rsidRPr="003832B5" w:rsidRDefault="00E50E08" w:rsidP="00E50E08">
      <w:pPr>
        <w:pStyle w:val="Heading4"/>
        <w:rPr>
          <w:rStyle w:val="Style13ptBold"/>
          <w:b/>
          <w:bCs w:val="0"/>
        </w:rPr>
      </w:pPr>
      <w:r w:rsidRPr="003832B5">
        <w:rPr>
          <w:rStyle w:val="Style13ptBold"/>
          <w:b/>
          <w:bCs w:val="0"/>
        </w:rPr>
        <w:t xml:space="preserve">No solvency </w:t>
      </w:r>
      <w:r>
        <w:rPr>
          <w:rStyle w:val="Style13ptBold"/>
          <w:b/>
          <w:bCs w:val="0"/>
        </w:rPr>
        <w:t xml:space="preserve">– States lack the best practices, strong educational, certification, accreditation, oversight programs and the adequate resources that Federal entities have </w:t>
      </w:r>
    </w:p>
    <w:p w14:paraId="338DB64D" w14:textId="77777777" w:rsidR="00E50E08" w:rsidRPr="003832B5" w:rsidRDefault="00E50E08" w:rsidP="00E50E08">
      <w:pPr>
        <w:rPr>
          <w:b/>
          <w:bCs/>
          <w:sz w:val="26"/>
        </w:rPr>
      </w:pPr>
      <w:r w:rsidRPr="00FF597F">
        <w:rPr>
          <w:rStyle w:val="Style13ptBold"/>
        </w:rPr>
        <w:t>National Research Council, 9</w:t>
      </w:r>
    </w:p>
    <w:p w14:paraId="5E97742C" w14:textId="0791D7A7" w:rsidR="00E50E08" w:rsidRDefault="00E50E08" w:rsidP="00E50E08">
      <w:r w:rsidRPr="00FF597F">
        <w:t xml:space="preserve">[National Research Council, “Strengthening Forensic Science in the United States: A Path Forward,” Washington, DC: The National Academies Press, </w:t>
      </w:r>
      <w:r w:rsidRPr="001E736C">
        <w:t>https://www.txcourts.gov/media/1440423/strengthening-forensic-science-in-the-united-states-a-path-</w:t>
      </w:r>
      <w:sdt>
        <w:sdtPr>
          <w:tag w:val="goog_rdk_0"/>
          <w:id w:val="2138912132"/>
        </w:sdtPr>
        <w:sdtContent/>
      </w:sdt>
      <w:sdt>
        <w:sdtPr>
          <w:tag w:val="goog_rdk_1"/>
          <w:id w:val="1735116234"/>
        </w:sdtPr>
        <w:sdtContent/>
      </w:sdt>
      <w:sdt>
        <w:sdtPr>
          <w:tag w:val="goog_rdk_3"/>
          <w:id w:val="1345053338"/>
        </w:sdtPr>
        <w:sdtContent/>
      </w:sdt>
      <w:sdt>
        <w:sdtPr>
          <w:tag w:val="goog_rdk_6"/>
          <w:id w:val="-1988546094"/>
        </w:sdtPr>
        <w:sdtContent/>
      </w:sdt>
      <w:sdt>
        <w:sdtPr>
          <w:tag w:val="goog_rdk_10"/>
          <w:id w:val="-1561315216"/>
        </w:sdtPr>
        <w:sdtContent/>
      </w:sdt>
      <w:sdt>
        <w:sdtPr>
          <w:tag w:val="goog_rdk_15"/>
          <w:id w:val="1963080003"/>
        </w:sdtPr>
        <w:sdtContent/>
      </w:sdt>
      <w:sdt>
        <w:sdtPr>
          <w:tag w:val="goog_rdk_21"/>
          <w:id w:val="319628068"/>
        </w:sdtPr>
        <w:sdtContent/>
      </w:sdt>
      <w:sdt>
        <w:sdtPr>
          <w:tag w:val="goog_rdk_28"/>
          <w:id w:val="2062283545"/>
        </w:sdtPr>
        <w:sdtContent/>
      </w:sdt>
      <w:r w:rsidRPr="001E736C">
        <w:t>forward.pdf</w:t>
      </w:r>
      <w:r w:rsidRPr="00FF597F">
        <w:t>, pp. S-</w:t>
      </w:r>
      <w:r>
        <w:t>9,10</w:t>
      </w:r>
      <w:r w:rsidRPr="00FF597F">
        <w:t xml:space="preserve">, </w:t>
      </w:r>
      <w:r>
        <w:t>Accessed 7-14-2020</w:t>
      </w:r>
      <w:r w:rsidRPr="00FF597F">
        <w:t xml:space="preserve">, </w:t>
      </w:r>
      <w:r>
        <w:t>WY</w:t>
      </w:r>
      <w:r w:rsidRPr="00FF597F">
        <w:t>]</w:t>
      </w:r>
    </w:p>
    <w:p w14:paraId="7350B1C5" w14:textId="77777777" w:rsidR="00E50E08" w:rsidRDefault="00E50E08" w:rsidP="00E50E08">
      <w:r>
        <w:t xml:space="preserve">Political Realities </w:t>
      </w:r>
      <w:r w:rsidRPr="003832B5">
        <w:rPr>
          <w:u w:val="single"/>
        </w:rPr>
        <w:t>Most forensic science methods, programs, and evidence are within the regulatory province of state and local law enforcement entities or are covered by statutes and rules governing state judicial proceedings. Thus, in assessing the strengths, weaknesses, and future needs of forensic disciplines</w:t>
      </w:r>
      <w:r>
        <w:t>,</w:t>
      </w:r>
      <w:r w:rsidRPr="003832B5">
        <w:t xml:space="preserve"> </w:t>
      </w:r>
      <w:r>
        <w:t xml:space="preserve">and in making recommendations for improving the use of forensic technologies and techniques, </w:t>
      </w:r>
      <w:r w:rsidRPr="003832B5">
        <w:rPr>
          <w:u w:val="single"/>
        </w:rPr>
        <w:t>the committee remained mindful of the fact that Congress cannot directly fix all of the deficiencies in the forensic science community. Under our federal system of government, Congress does not have free reign to amend state criminal codes, rules of evidence, and statutes governing civil actions; nor may it easily and directly regulate local law enforcement practices</w:t>
      </w:r>
      <w:r>
        <w:t xml:space="preserve">, state and local medical examiner units, or state policies covering the accreditation of crime laboratories and the certification of forensic practitioners. </w:t>
      </w:r>
    </w:p>
    <w:p w14:paraId="79C0C115" w14:textId="77777777" w:rsidR="00E50E08" w:rsidRPr="003832B5" w:rsidRDefault="00E50E08" w:rsidP="00E50E08">
      <w:pPr>
        <w:rPr>
          <w:u w:val="single"/>
        </w:rPr>
      </w:pPr>
      <w:r w:rsidRPr="003832B5">
        <w:rPr>
          <w:u w:val="single"/>
        </w:rPr>
        <w:t>Congress’ authority to act is significant, however. Forensic science programs in federal government entities—whether within DOJ, DHS, DOD, or the Department of Commerce (DOC)— are funded by congressional appropriation</w:t>
      </w:r>
      <w:r>
        <w:t xml:space="preserve">s. If these programs are required to operate pursuant to the highest standards, they will provide an example for the states. </w:t>
      </w:r>
      <w:r w:rsidRPr="003832B5">
        <w:rPr>
          <w:u w:val="single"/>
        </w:rPr>
        <w:t xml:space="preserve">More importantly, Congress can promote “best practices” and strong educational, certification, accreditation, ethics, and oversight programs in the states by offering funds that are contingent on meeting appropriate standards of practice. There is every reason to believe that offers of federal funds with “strings attached” can effect significant change in the forensic science community, because so many state and local programs currently are suffering for want of adequate resources. In the end, however, the committee recognized that state and local authorities must be willing to enforce change if it is to happen. </w:t>
      </w:r>
    </w:p>
    <w:p w14:paraId="72BC3FD5" w14:textId="77777777" w:rsidR="00E50E08" w:rsidRPr="00B55AD5" w:rsidRDefault="00E50E08" w:rsidP="00E50E08">
      <w:r w:rsidRPr="003832B5">
        <w:rPr>
          <w:u w:val="single"/>
        </w:rPr>
        <w:t>In light of the foregoing issues, the committee exercised caution before drawing conclusions and avoided being too prescriptive in its recommendations.</w:t>
      </w:r>
      <w:r>
        <w:t xml:space="preserve"> It also recognized that, given the complexity of the issues and the political realities that may pose obstacles to change, some recommendations will have to be implemented creatively and over time in order to be effective.</w:t>
      </w:r>
    </w:p>
    <w:p w14:paraId="3AE9BC4D" w14:textId="77777777" w:rsidR="00E50E08" w:rsidRPr="008701BC" w:rsidRDefault="00E50E08" w:rsidP="00E50E08"/>
    <w:p w14:paraId="33E99B6F" w14:textId="36CE64D1" w:rsidR="00E50E08" w:rsidRDefault="00E50E08" w:rsidP="00E50E08">
      <w:pPr>
        <w:pStyle w:val="Heading2"/>
        <w:rPr>
          <w:rFonts w:cs="Calibri"/>
        </w:rPr>
      </w:pPr>
      <w:r>
        <w:rPr>
          <w:rFonts w:cs="Calibri"/>
        </w:rPr>
        <w:lastRenderedPageBreak/>
        <w:t xml:space="preserve">AT: </w:t>
      </w:r>
      <w:r w:rsidR="000E487E">
        <w:rPr>
          <w:rFonts w:cs="Calibri"/>
        </w:rPr>
        <w:t xml:space="preserve">Federalism </w:t>
      </w:r>
      <w:r>
        <w:rPr>
          <w:rFonts w:cs="Calibri"/>
        </w:rPr>
        <w:t>Disadvantage</w:t>
      </w:r>
    </w:p>
    <w:p w14:paraId="23FCB36A" w14:textId="77777777" w:rsidR="00E50E08" w:rsidRPr="002F618D" w:rsidRDefault="00E50E08" w:rsidP="00E50E08">
      <w:pPr>
        <w:pStyle w:val="Heading3"/>
      </w:pPr>
      <w:r>
        <w:lastRenderedPageBreak/>
        <w:t xml:space="preserve">AT Federalism: Grants =/= Overreach </w:t>
      </w:r>
    </w:p>
    <w:p w14:paraId="307BA4ED" w14:textId="77777777" w:rsidR="00E50E08" w:rsidRPr="002F618D" w:rsidRDefault="00E50E08" w:rsidP="00E50E08">
      <w:pPr>
        <w:pStyle w:val="Heading4"/>
        <w:rPr>
          <w:rFonts w:cs="Calibri"/>
        </w:rPr>
      </w:pPr>
      <w:r w:rsidRPr="002F618D">
        <w:rPr>
          <w:rFonts w:cs="Calibri"/>
        </w:rPr>
        <w:t>No link - federal funding incentivizes states without overstepping boundaries – SCOTUS ruling</w:t>
      </w:r>
    </w:p>
    <w:p w14:paraId="1272F383" w14:textId="77777777" w:rsidR="00E50E08" w:rsidRPr="002F618D" w:rsidRDefault="00E50E08" w:rsidP="00E50E08">
      <w:pPr>
        <w:rPr>
          <w:rFonts w:cs="Calibri"/>
          <w:b/>
          <w:sz w:val="26"/>
          <w:szCs w:val="26"/>
        </w:rPr>
      </w:pPr>
      <w:r w:rsidRPr="002F618D">
        <w:rPr>
          <w:rFonts w:cs="Calibri"/>
          <w:b/>
          <w:sz w:val="26"/>
          <w:szCs w:val="26"/>
        </w:rPr>
        <w:t>Congressional Budget Office, 13</w:t>
      </w:r>
    </w:p>
    <w:p w14:paraId="5EF4B324" w14:textId="3BD8671A" w:rsidR="00E50E08" w:rsidRPr="002F618D" w:rsidRDefault="00E50E08" w:rsidP="00E50E08">
      <w:pPr>
        <w:rPr>
          <w:rFonts w:cs="Calibri"/>
        </w:rPr>
      </w:pPr>
      <w:r w:rsidRPr="002F618D">
        <w:rPr>
          <w:rFonts w:cs="Calibri"/>
        </w:rPr>
        <w:t xml:space="preserve">[CONGRESS OF THE UNITED STATES CONGRESSIONAL BUDGET OFFICE, 3-13, "Federal Grants to State and Local Governments," </w:t>
      </w:r>
      <w:r w:rsidRPr="002F618D">
        <w:rPr>
          <w:rFonts w:cs="Calibri"/>
          <w:color w:val="000000"/>
        </w:rPr>
        <w:t>https://www.cbo.gov/sites/default/files/113th-congress-2013-2014/reports/43967federalgrants.pdf</w:t>
      </w:r>
      <w:r w:rsidRPr="002F618D">
        <w:rPr>
          <w:rFonts w:cs="Calibri"/>
        </w:rPr>
        <w:t>, accessed 7-14-20, LH]</w:t>
      </w:r>
    </w:p>
    <w:p w14:paraId="6C896203" w14:textId="77777777" w:rsidR="00E50E08" w:rsidRPr="002F618D" w:rsidRDefault="00E50E08" w:rsidP="00E50E08">
      <w:pPr>
        <w:rPr>
          <w:rFonts w:cs="Calibri"/>
          <w:b/>
          <w:u w:val="single"/>
        </w:rPr>
      </w:pPr>
      <w:r w:rsidRPr="002F618D">
        <w:rPr>
          <w:rFonts w:cs="Calibri"/>
          <w:b/>
          <w:u w:val="single"/>
        </w:rPr>
        <w:t>Influence on State and Local Government Activities</w:t>
      </w:r>
    </w:p>
    <w:p w14:paraId="6D82098B" w14:textId="77777777" w:rsidR="00E50E08" w:rsidRPr="002F618D" w:rsidRDefault="00E50E08" w:rsidP="00E50E08">
      <w:pPr>
        <w:rPr>
          <w:rFonts w:cs="Calibri"/>
          <w:b/>
          <w:u w:val="single"/>
        </w:rPr>
      </w:pPr>
      <w:r w:rsidRPr="002F618D">
        <w:rPr>
          <w:rFonts w:cs="Calibri"/>
          <w:b/>
          <w:u w:val="single"/>
        </w:rPr>
        <w:t>Federal grant programs provide a mechanism for federal policymakers to promote their priorities at the state and local levels by influencing the amount of money spent by state and local governments and the types of activities on which those governments spend their money.</w:t>
      </w:r>
      <w:r w:rsidRPr="002F618D">
        <w:rPr>
          <w:rFonts w:cs="Calibri"/>
        </w:rPr>
        <w:t xml:space="preserve"> Many federal grants require that state and local governments provide partial funding from nonfederal sources for the programs paid for by those grants. Matching requirements are one way to ensure that local beneficiaries share in a portion of the cost of a program that is funded by a federal grant. A number of federal grant programs also require that state and local governments maintain a certain level of spending for an activity. The purpose of such MOE provisions is to ensure that federal grants do not replace state and local funds for a program.</w:t>
      </w:r>
    </w:p>
    <w:p w14:paraId="30B50E76" w14:textId="77777777" w:rsidR="00E50E08" w:rsidRPr="002F618D" w:rsidRDefault="00E50E08" w:rsidP="00E50E08">
      <w:pPr>
        <w:rPr>
          <w:rFonts w:cs="Calibri"/>
          <w:b/>
          <w:u w:val="single"/>
        </w:rPr>
      </w:pPr>
      <w:r w:rsidRPr="002F618D">
        <w:rPr>
          <w:rFonts w:cs="Calibri"/>
          <w:b/>
          <w:u w:val="single"/>
        </w:rPr>
        <w:t>The federal government attaches conditions to many intergovernmental grants requiring recipient state and</w:t>
      </w:r>
    </w:p>
    <w:p w14:paraId="2CF88D2D" w14:textId="77777777" w:rsidR="00E50E08" w:rsidRPr="002F618D" w:rsidRDefault="00E50E08" w:rsidP="00E50E08">
      <w:pPr>
        <w:rPr>
          <w:rFonts w:cs="Calibri"/>
        </w:rPr>
      </w:pPr>
      <w:r w:rsidRPr="002F618D">
        <w:rPr>
          <w:rFonts w:cs="Calibri"/>
          <w:b/>
          <w:u w:val="single"/>
        </w:rPr>
        <w:t>local governments to take certain prescribed actions</w:t>
      </w:r>
      <w:r w:rsidRPr="002F618D">
        <w:rPr>
          <w:rFonts w:cs="Calibri"/>
        </w:rPr>
        <w:t>.18 Those conditions may be central to the program at hand,</w:t>
      </w:r>
    </w:p>
    <w:p w14:paraId="564CB5B0" w14:textId="77777777" w:rsidR="00E50E08" w:rsidRPr="002F618D" w:rsidRDefault="00E50E08" w:rsidP="00E50E08">
      <w:pPr>
        <w:rPr>
          <w:rFonts w:cs="Calibri"/>
        </w:rPr>
      </w:pPr>
      <w:r w:rsidRPr="002F618D">
        <w:rPr>
          <w:rFonts w:cs="Calibri"/>
        </w:rPr>
        <w:t>such as the requirements that school districts must meet to qualify for federal grants under No Child Left Behind;</w:t>
      </w:r>
    </w:p>
    <w:p w14:paraId="57E2FF92" w14:textId="77777777" w:rsidR="00E50E08" w:rsidRPr="002F618D" w:rsidRDefault="00E50E08" w:rsidP="00E50E08">
      <w:pPr>
        <w:rPr>
          <w:rFonts w:cs="Calibri"/>
        </w:rPr>
      </w:pPr>
      <w:r w:rsidRPr="002F618D">
        <w:rPr>
          <w:rFonts w:cs="Calibri"/>
        </w:rPr>
        <w:t>or they may have little direct bearing on the grant program, such as the requirement that, in order to receive</w:t>
      </w:r>
    </w:p>
    <w:p w14:paraId="3A736DB0" w14:textId="77777777" w:rsidR="00E50E08" w:rsidRPr="002F618D" w:rsidRDefault="00E50E08" w:rsidP="00E50E08">
      <w:pPr>
        <w:rPr>
          <w:rFonts w:cs="Calibri"/>
        </w:rPr>
      </w:pPr>
      <w:r w:rsidRPr="002F618D">
        <w:rPr>
          <w:rFonts w:cs="Calibri"/>
        </w:rPr>
        <w:t>highway funding, a state must set a minimum drinking age of 21.</w:t>
      </w:r>
    </w:p>
    <w:p w14:paraId="7943D71F" w14:textId="77777777" w:rsidR="00E50E08" w:rsidRPr="002F618D" w:rsidRDefault="00E50E08" w:rsidP="00E50E08">
      <w:pPr>
        <w:rPr>
          <w:rFonts w:cs="Calibri"/>
        </w:rPr>
      </w:pPr>
      <w:r w:rsidRPr="002F618D">
        <w:rPr>
          <w:rFonts w:cs="Calibri"/>
        </w:rPr>
        <w:t xml:space="preserve">The constitutionality of the federal government’s imposing conditions on the receipt of intergovernmental grants gained prominence recently when the </w:t>
      </w:r>
      <w:r w:rsidRPr="002F618D">
        <w:rPr>
          <w:rFonts w:cs="Calibri"/>
          <w:b/>
          <w:u w:val="single"/>
        </w:rPr>
        <w:t>Supreme Court</w:t>
      </w:r>
      <w:r w:rsidRPr="002F618D">
        <w:rPr>
          <w:rFonts w:cs="Calibri"/>
        </w:rPr>
        <w:t xml:space="preserve"> considered the expansion of Medicaid under the ACA. Although the Court rejected the requirement that states expand Medicaid or risk losing all Medicaid grant funds, it </w:t>
      </w:r>
      <w:r w:rsidRPr="002F618D">
        <w:rPr>
          <w:rFonts w:cs="Calibri"/>
          <w:b/>
          <w:u w:val="single"/>
        </w:rPr>
        <w:t>maintained the ability of the federal government to</w:t>
      </w:r>
      <w:r w:rsidRPr="002F618D">
        <w:rPr>
          <w:rFonts w:cs="Calibri"/>
        </w:rPr>
        <w:t xml:space="preserve"> </w:t>
      </w:r>
      <w:r w:rsidRPr="002F618D">
        <w:rPr>
          <w:rFonts w:cs="Calibri"/>
          <w:b/>
          <w:u w:val="single"/>
        </w:rPr>
        <w:t>place conditions on grant funding as long as those</w:t>
      </w:r>
    </w:p>
    <w:p w14:paraId="3AA0A677" w14:textId="77777777" w:rsidR="00E50E08" w:rsidRPr="002F618D" w:rsidRDefault="00E50E08" w:rsidP="00E50E08">
      <w:pPr>
        <w:rPr>
          <w:rFonts w:cs="Calibri"/>
          <w:b/>
          <w:u w:val="single"/>
        </w:rPr>
      </w:pPr>
      <w:r w:rsidRPr="002F618D">
        <w:rPr>
          <w:rFonts w:cs="Calibri"/>
          <w:b/>
          <w:u w:val="single"/>
        </w:rPr>
        <w:t>conditions were not coercive and could be reasonably</w:t>
      </w:r>
    </w:p>
    <w:p w14:paraId="401EF3C7" w14:textId="77777777" w:rsidR="00E50E08" w:rsidRPr="002F618D" w:rsidRDefault="00E50E08" w:rsidP="00E50E08">
      <w:pPr>
        <w:rPr>
          <w:rFonts w:cs="Calibri"/>
        </w:rPr>
      </w:pPr>
      <w:r w:rsidRPr="002F618D">
        <w:rPr>
          <w:rFonts w:cs="Calibri"/>
          <w:b/>
          <w:u w:val="single"/>
        </w:rPr>
        <w:t xml:space="preserve">anticipated by recipients. </w:t>
      </w:r>
      <w:r w:rsidRPr="002F618D">
        <w:rPr>
          <w:rFonts w:cs="Calibri"/>
        </w:rPr>
        <w:t>The Court noted that certain</w:t>
      </w:r>
    </w:p>
    <w:p w14:paraId="7E7AFD3E" w14:textId="77777777" w:rsidR="00E50E08" w:rsidRPr="002F618D" w:rsidRDefault="00E50E08" w:rsidP="00E50E08">
      <w:pPr>
        <w:rPr>
          <w:rFonts w:cs="Calibri"/>
        </w:rPr>
      </w:pPr>
      <w:r w:rsidRPr="002F618D">
        <w:rPr>
          <w:rFonts w:cs="Calibri"/>
        </w:rPr>
        <w:t xml:space="preserve">conditions of other grant programs, such as the requirement that states adopt a minimum drinking age of 21 in order to continue receiving federal highway grants, do not rise to the level of coercion and would not be subject to similar questions about their constitutionality. Instead of grants, federal policymakers also use mandates to require state and local governments to adopt federal policy </w:t>
      </w:r>
      <w:r w:rsidRPr="002F618D">
        <w:rPr>
          <w:rFonts w:cs="Calibri"/>
        </w:rPr>
        <w:lastRenderedPageBreak/>
        <w:t>priorities. As required by the Unfunded Mandates Reform Act of 1995, CBO reviews bills to assess whether they contain mandates or provisions that, if enacted, would impose an enforceable duty on state, local, or tribal governments or on private-sector entities.19 Of the 81 public laws enacted in 2011, 12 contained at least one unfunded intergovernmental mandate.</w:t>
      </w:r>
    </w:p>
    <w:p w14:paraId="4F523F90" w14:textId="77777777" w:rsidR="00E50E08" w:rsidRPr="002F618D" w:rsidRDefault="00E50E08" w:rsidP="00E50E08">
      <w:pPr>
        <w:rPr>
          <w:rFonts w:cs="Calibri"/>
        </w:rPr>
      </w:pPr>
      <w:r w:rsidRPr="002F618D">
        <w:rPr>
          <w:rFonts w:cs="Calibri"/>
        </w:rPr>
        <w:t>Policy Experimentation</w:t>
      </w:r>
    </w:p>
    <w:p w14:paraId="215D63E3" w14:textId="77777777" w:rsidR="00E50E08" w:rsidRPr="002F618D" w:rsidRDefault="00E50E08" w:rsidP="00E50E08">
      <w:pPr>
        <w:rPr>
          <w:rFonts w:cs="Calibri"/>
          <w:b/>
          <w:u w:val="single"/>
        </w:rPr>
      </w:pPr>
      <w:r w:rsidRPr="002F618D">
        <w:rPr>
          <w:rFonts w:cs="Calibri"/>
          <w:b/>
          <w:u w:val="single"/>
        </w:rPr>
        <w:t xml:space="preserve">A further objective of federal grants to state and local governments is to encourage experimentation and innovation that cannot be achieved in programs that are uniformly implemented by the federal government. </w:t>
      </w:r>
      <w:r w:rsidRPr="002F618D">
        <w:rPr>
          <w:rFonts w:cs="Calibri"/>
        </w:rPr>
        <w:t xml:space="preserve">Many federal grants leave decisions about design and implementation to the state or local government receiving the grant, which can result in a variety of different approaches to a given policy issue. </w:t>
      </w:r>
      <w:r w:rsidRPr="002F618D">
        <w:rPr>
          <w:rFonts w:cs="Calibri"/>
          <w:b/>
          <w:u w:val="single"/>
        </w:rPr>
        <w:t>Block grants in particular tend to give state and local grant recipients broad latitude in designing and implementing programs.</w:t>
      </w:r>
      <w:r w:rsidRPr="002F618D">
        <w:rPr>
          <w:rFonts w:cs="Calibri"/>
        </w:rPr>
        <w:t xml:space="preserve"> Other grant programs place more restrictions on the way state and local recipients spend grant funds, but some of thoseprograms have mechanisms in place that afford states additional flexibility to experiment with alternative approaches to meeting a goal or to choose the amount or type of services they provide. For example, states may seek waivers that exempt them from meeting certain education performance requirements under No Child Left Behind in exchange for implementing other reforms they identify themselves. In addition, federal legislation governing Medicaid provides states several different options for conducting demonstrations or waiving certain program rules, giving them some flexibility over the design of programs. State and local governments can then learn from one another about which aspects of their programs are more or less successful.20</w:t>
      </w:r>
    </w:p>
    <w:p w14:paraId="16CDB683" w14:textId="77777777" w:rsidR="00E50E08" w:rsidRPr="002F618D" w:rsidRDefault="00E50E08" w:rsidP="00E50E08">
      <w:pPr>
        <w:rPr>
          <w:rFonts w:cs="Calibri"/>
        </w:rPr>
      </w:pPr>
    </w:p>
    <w:p w14:paraId="6CDF7829" w14:textId="77777777" w:rsidR="00E50E08" w:rsidRPr="002F618D" w:rsidRDefault="00E50E08" w:rsidP="00E50E08">
      <w:pPr>
        <w:pStyle w:val="Heading3"/>
        <w:rPr>
          <w:rFonts w:cs="Calibri"/>
        </w:rPr>
      </w:pPr>
      <w:r>
        <w:rPr>
          <w:rFonts w:cs="Calibri"/>
        </w:rPr>
        <w:lastRenderedPageBreak/>
        <w:t xml:space="preserve">AT Federalism: </w:t>
      </w:r>
      <w:r w:rsidRPr="002F618D">
        <w:rPr>
          <w:rFonts w:cs="Calibri"/>
        </w:rPr>
        <w:t>Link Turn</w:t>
      </w:r>
      <w:r>
        <w:rPr>
          <w:rFonts w:cs="Calibri"/>
        </w:rPr>
        <w:t xml:space="preserve"> - Commission = Uniform Standards</w:t>
      </w:r>
    </w:p>
    <w:p w14:paraId="54119C0D" w14:textId="77777777" w:rsidR="00E50E08" w:rsidRPr="002F618D" w:rsidRDefault="00E50E08" w:rsidP="00E50E08">
      <w:pPr>
        <w:pStyle w:val="Heading4"/>
        <w:rPr>
          <w:rFonts w:cs="Calibri"/>
        </w:rPr>
      </w:pPr>
      <w:r w:rsidRPr="002F618D">
        <w:rPr>
          <w:rFonts w:cs="Calibri"/>
        </w:rPr>
        <w:t>The old commission created increased forensics transparency for states which allowed them to establish uniform rules for their forensics systems</w:t>
      </w:r>
    </w:p>
    <w:p w14:paraId="429C92F0" w14:textId="06E2DDCE" w:rsidR="00E50E08" w:rsidRPr="002F618D" w:rsidRDefault="00E50E08" w:rsidP="00E50E08">
      <w:pPr>
        <w:rPr>
          <w:rFonts w:cs="Calibri"/>
        </w:rPr>
      </w:pPr>
      <w:r w:rsidRPr="002F618D">
        <w:rPr>
          <w:rFonts w:cs="Calibri"/>
          <w:b/>
          <w:sz w:val="26"/>
          <w:szCs w:val="26"/>
        </w:rPr>
        <w:t>McCray, American Civil Liberties Union Editor, 17</w:t>
      </w:r>
      <w:r w:rsidRPr="002F618D">
        <w:rPr>
          <w:rFonts w:cs="Calibri"/>
        </w:rPr>
        <w:t xml:space="preserve"> [Rebecca, 6-7-17, Slate Magazine, “Jeff Sessions’ Rejection of Science Leaves Local Prosecutors in the Dark”, </w:t>
      </w:r>
      <w:r w:rsidRPr="002F618D">
        <w:rPr>
          <w:rFonts w:cs="Calibri"/>
          <w:color w:val="000000"/>
        </w:rPr>
        <w:t>https://slate.com/news-and-politics/2017/06/disbanding-the-ncfs-will-lead-to-worse-outcomes.html</w:t>
      </w:r>
      <w:r w:rsidRPr="002F618D">
        <w:rPr>
          <w:rFonts w:cs="Calibri"/>
        </w:rPr>
        <w:t>, accessed 7-15-2020, BN]</w:t>
      </w:r>
    </w:p>
    <w:p w14:paraId="0BBDD077" w14:textId="77777777" w:rsidR="00E50E08" w:rsidRPr="002F618D" w:rsidRDefault="00E50E08" w:rsidP="00E50E08">
      <w:pPr>
        <w:rPr>
          <w:rFonts w:cs="Calibri"/>
        </w:rPr>
      </w:pPr>
      <w:r w:rsidRPr="002F618D">
        <w:rPr>
          <w:rFonts w:cs="Calibri"/>
        </w:rPr>
        <w:t>There’s a stack of file folders on District Attorney John Hummel’s desk that won’t stop staring at him. The folders contain the cases of defendants whose convictions were called into question when a state crime lab technician in Bend, Oregon, part of Hummel’s district, was caught tampering with evidence in 2015. The breach may have impacted more than 1,100 cases. Hummel’s office has been steadily reviewing them ever since—of the 500 cases that have been reviewed so far, 30 convictions have been vacated and those cases dismissed.</w:t>
      </w:r>
    </w:p>
    <w:p w14:paraId="0BF31F74" w14:textId="77777777" w:rsidR="00E50E08" w:rsidRPr="002F618D" w:rsidRDefault="00E50E08" w:rsidP="00E50E08">
      <w:pPr>
        <w:rPr>
          <w:rFonts w:cs="Calibri"/>
          <w:b/>
          <w:u w:val="single"/>
        </w:rPr>
      </w:pPr>
      <w:r w:rsidRPr="002F618D">
        <w:rPr>
          <w:rFonts w:cs="Calibri"/>
          <w:b/>
          <w:u w:val="single"/>
        </w:rPr>
        <w:t>For Hummel, this laborious work has made Attorney General Jeff Sessions’ April announcement that he would no longer support the National Commission on Forensic Science, or NCFS, feel personal.</w:t>
      </w:r>
      <w:r w:rsidRPr="002F618D">
        <w:rPr>
          <w:rFonts w:cs="Calibri"/>
        </w:rPr>
        <w:t xml:space="preserve"> An independent commission established by Barack Obama in 2013, </w:t>
      </w:r>
      <w:r w:rsidRPr="002F618D">
        <w:rPr>
          <w:rFonts w:cs="Calibri"/>
          <w:b/>
          <w:u w:val="single"/>
        </w:rPr>
        <w:t>the NCFS was meant to bring together scientists, judges, crime lab experts, prosecutors, and defense attorneys to analyze and improve the field of forensic science, which encompasses the many ways science is deployed in criminal justice. The group was established partially in response to a scathing report from the National Academy of Sciences that highlighted the lack of standards for crime labs nationwide and was attempting to review and improve this and other forensic science shortcomings.</w:t>
      </w:r>
    </w:p>
    <w:p w14:paraId="090A5DCA" w14:textId="77777777" w:rsidR="00E50E08" w:rsidRPr="002F618D" w:rsidRDefault="00E50E08" w:rsidP="00E50E08">
      <w:pPr>
        <w:rPr>
          <w:rFonts w:cs="Calibri"/>
        </w:rPr>
      </w:pPr>
      <w:r w:rsidRPr="002F618D">
        <w:rPr>
          <w:rFonts w:cs="Calibri"/>
        </w:rPr>
        <w:t>“The [NCFS] was developing guidelines on how to retain evidence and on security procedures in crime labs,” Hummel says. “Those would’ve been nice to have.”</w:t>
      </w:r>
    </w:p>
    <w:p w14:paraId="6DBCCE25" w14:textId="77777777" w:rsidR="00E50E08" w:rsidRPr="002F618D" w:rsidRDefault="00E50E08" w:rsidP="00E50E08">
      <w:pPr>
        <w:rPr>
          <w:rFonts w:cs="Calibri"/>
        </w:rPr>
      </w:pPr>
      <w:r w:rsidRPr="002F618D">
        <w:rPr>
          <w:rFonts w:cs="Calibri"/>
        </w:rPr>
        <w:t xml:space="preserve">Those anticipated guidelines couldn’t prevent the actions of one rogue crime lab analyst, but they could have provided a roadmap for how to mitigate the damage inflicted. As of now, there is no standard procedure for DAs who find themselves in Hummel’s shoes. In the absence of such rules, Hummel has developed what he calls a “decision tree” process for reviewing each case, which his office is using to steadily sift through the hundreds of convictions that have been called into question. </w:t>
      </w:r>
      <w:r w:rsidRPr="002F618D">
        <w:rPr>
          <w:rFonts w:cs="Calibri"/>
          <w:b/>
          <w:u w:val="single"/>
        </w:rPr>
        <w:t>Standards being developed by the NCFS would have attempted to prevent future crime lab scandals by helping state and local law enforcement adopt uniform rules to increase accuracy and reliability in their forensic analyses.</w:t>
      </w:r>
    </w:p>
    <w:p w14:paraId="7F3D5161" w14:textId="77777777" w:rsidR="00E50E08" w:rsidRPr="002F618D" w:rsidRDefault="00E50E08" w:rsidP="00E50E08">
      <w:pPr>
        <w:rPr>
          <w:rFonts w:cs="Calibri"/>
          <w:b/>
          <w:u w:val="single"/>
        </w:rPr>
      </w:pPr>
      <w:r w:rsidRPr="002F618D">
        <w:rPr>
          <w:rFonts w:cs="Calibri"/>
          <w:b/>
          <w:u w:val="single"/>
        </w:rPr>
        <w:t>“It’s not news that local prosecutors and defense attorneys are overworked, and most of our offices have limited resources,” says Hummel. “We look to better resourced agencies such as the [Department of Justice] to develop guidelines and recommendations for us.”</w:t>
      </w:r>
    </w:p>
    <w:p w14:paraId="6E6804D3" w14:textId="77777777" w:rsidR="00E50E08" w:rsidRPr="002F618D" w:rsidRDefault="00E50E08" w:rsidP="00E50E08">
      <w:pPr>
        <w:rPr>
          <w:rFonts w:cs="Calibri"/>
          <w:b/>
          <w:u w:val="single"/>
        </w:rPr>
      </w:pPr>
      <w:r w:rsidRPr="002F618D">
        <w:rPr>
          <w:rFonts w:cs="Calibri"/>
          <w:b/>
          <w:u w:val="single"/>
        </w:rPr>
        <w:t>Sessions’ decision to cut off funding for the NCFS ensures that local district attorneys will continue to fumble around in the dark when it comes to crises like the one in Deschutes County, Oregon</w:t>
      </w:r>
      <w:r w:rsidRPr="002F618D">
        <w:rPr>
          <w:rFonts w:cs="Calibri"/>
        </w:rPr>
        <w:t xml:space="preserve">—which isn’t an isolated incident. Similar breaches have popped up in crime labs in Massachusetts, Florida, and, earlier this year, Texas—all of which have the potential to invalidate thousands of cases. </w:t>
      </w:r>
      <w:r w:rsidRPr="002F618D">
        <w:rPr>
          <w:rFonts w:cs="Calibri"/>
          <w:b/>
          <w:u w:val="single"/>
        </w:rPr>
        <w:t>But Session’s NCFS shutdown all but ensures that these labs across the country will continue to operate using ad hoc procedures, questionable accreditation, and outdated methods.</w:t>
      </w:r>
    </w:p>
    <w:p w14:paraId="278E05F8" w14:textId="77777777" w:rsidR="00E50E08" w:rsidRPr="002F618D" w:rsidRDefault="00E50E08" w:rsidP="00E50E08">
      <w:pPr>
        <w:rPr>
          <w:rFonts w:cs="Calibri"/>
        </w:rPr>
      </w:pPr>
      <w:r w:rsidRPr="002F618D">
        <w:rPr>
          <w:rFonts w:cs="Calibri"/>
          <w:b/>
          <w:u w:val="single"/>
        </w:rPr>
        <w:lastRenderedPageBreak/>
        <w:t>The downsides of gutting the commission will extend beyond crime lab scandals to courtrooms nationwide. The vast majority of judges, prosecutors, and defense attorneys lack formal scientific training, so the NCFS was attempting to bring science-based transparency and accountability to the field.</w:t>
      </w:r>
      <w:r w:rsidRPr="002F618D">
        <w:rPr>
          <w:rFonts w:cs="Calibri"/>
        </w:rPr>
        <w:t xml:space="preserve"> The NCFS’s final report, released after Sessions announced the termination, documented a litany of unanswered questions the organization was working to answer. For example, it was investigating whether crime victims could or should privately pay for untested evidence when unsatisfied by the criminal justice system’s pursuit of a case. It was also trying to improve training for legal workers who use forensic science, increase communication between forensic analysts and actors in the justice system, and update guidelines on how to best store and retain evidence.</w:t>
      </w:r>
    </w:p>
    <w:p w14:paraId="0E87C38E" w14:textId="77777777" w:rsidR="00E50E08" w:rsidRPr="002F618D" w:rsidRDefault="00E50E08" w:rsidP="00E50E08">
      <w:pPr>
        <w:rPr>
          <w:rFonts w:cs="Calibri"/>
        </w:rPr>
      </w:pPr>
      <w:r w:rsidRPr="002F618D">
        <w:rPr>
          <w:rFonts w:cs="Calibri"/>
        </w:rPr>
        <w:t>“Right now, the status quo is that we have scientifically illiterate prosecutors proffering scientific evidence to scientifically illiterate judges,” says Chris Fabricant, director of strategic litigation at the Innocence Project. “It’s a disaster.”</w:t>
      </w:r>
    </w:p>
    <w:p w14:paraId="0965C481" w14:textId="77777777" w:rsidR="00E50E08" w:rsidRPr="002F618D" w:rsidRDefault="00E50E08" w:rsidP="00E50E08">
      <w:pPr>
        <w:rPr>
          <w:rFonts w:cs="Calibri"/>
        </w:rPr>
      </w:pPr>
      <w:r w:rsidRPr="002F618D">
        <w:rPr>
          <w:rFonts w:cs="Calibri"/>
        </w:rPr>
        <w:t>There are countless examples of what happens when bad science makes its way into the criminal justice system: One review of 300 exonerations, conducted by the Innocence Project, found that the improper use of forensic science contributed to roughly 46 percent of wrongful convictions. While TV shows often make it sound like science-based evidence helps make cases clear-cut, the reality is anything but. Take, for example, the field of bite mark analysis. Most bite mark analysts can’t even consistently agree whether a bite mark is from a human or animal mouth, meaning that this sort of “expertise” should not be offered up in a court room. Still, it often is, and to date, bite mark analysis has been linked to the wrongful arrest or conviction of 25 people, according to the Innocence Project. Bill Richards, who was exonerated last year in California, spent 23 years in prison after being wrongfully convicted for the murder of his wife. The testimony of a forensic dentist regarding a bite mark on his wife’s hand served as a lynchpin in Richards’ faulty conviction.</w:t>
      </w:r>
    </w:p>
    <w:p w14:paraId="203038E5" w14:textId="77777777" w:rsidR="00E50E08" w:rsidRPr="002F618D" w:rsidRDefault="00E50E08" w:rsidP="00E50E08">
      <w:pPr>
        <w:rPr>
          <w:rFonts w:cs="Calibri"/>
        </w:rPr>
      </w:pPr>
      <w:r w:rsidRPr="002F618D">
        <w:rPr>
          <w:rFonts w:cs="Calibri"/>
        </w:rPr>
        <w:t>It’s bigger than bite marks, too: In 2015, Anthony Ray Hinton was released from death row in Alabama, where he spent 30 years after a conviction that hinged on what turned out to be faulty ballistics evidence. The same year, also in Alabama, Beniah Alton Dandridge was released after 20 years in prison, where he was serving time for a murder he didn’t commit based on bad fingerprint evidence analysis. And these are just the faulty convictions that ultimately come to light.</w:t>
      </w:r>
    </w:p>
    <w:p w14:paraId="75036D39" w14:textId="77777777" w:rsidR="00E50E08" w:rsidRPr="002F618D" w:rsidRDefault="00E50E08" w:rsidP="00E50E08">
      <w:pPr>
        <w:rPr>
          <w:rFonts w:cs="Calibri"/>
        </w:rPr>
      </w:pPr>
      <w:r w:rsidRPr="002F618D">
        <w:rPr>
          <w:rFonts w:cs="Calibri"/>
          <w:b/>
          <w:u w:val="single"/>
        </w:rPr>
        <w:t>Bringing scientists to the table helps the Department of Justice more accurately assess whether methods used in court cases, such as testimony from forensic dentists, or ballistics experts, are reliable sources of information.</w:t>
      </w:r>
      <w:r w:rsidRPr="002F618D">
        <w:rPr>
          <w:rFonts w:cs="Calibri"/>
        </w:rPr>
        <w:t xml:space="preserve"> All too often, they have found that it is not: Empirical investigations in recent years have undermined or questioned the validity of many forensic methods, including DNA hair analysis, arson science, and firearm and ballistic identification.</w:t>
      </w:r>
    </w:p>
    <w:p w14:paraId="1F822137" w14:textId="77777777" w:rsidR="00E50E08" w:rsidRPr="002F618D" w:rsidRDefault="00E50E08" w:rsidP="00E50E08">
      <w:pPr>
        <w:rPr>
          <w:rFonts w:cs="Calibri"/>
        </w:rPr>
      </w:pPr>
      <w:r w:rsidRPr="002F618D">
        <w:rPr>
          <w:rFonts w:cs="Calibri"/>
        </w:rPr>
        <w:t>Still, cases like Richards’ haven’t deterred many local prosecutors from using “science” in their cases. And unlike Hummel, most local prosecutors supported Sessions’ decision to downsize the NCFS. The National District Attorneys Association, the largest organization of criminal prosecutors in the world, issued a statement applauding the decision. The group argued that the commission “failed to produce work products of significance” and “was dominated by the defense community.” In fact, the commission was led by established professors of chemistry, biology, physics, and forensic science.</w:t>
      </w:r>
    </w:p>
    <w:p w14:paraId="5E40F80C" w14:textId="77777777" w:rsidR="00E50E08" w:rsidRPr="002F618D" w:rsidRDefault="00E50E08" w:rsidP="00E50E08">
      <w:pPr>
        <w:rPr>
          <w:rFonts w:cs="Calibri"/>
        </w:rPr>
      </w:pPr>
      <w:r w:rsidRPr="002F618D">
        <w:rPr>
          <w:rFonts w:cs="Calibri"/>
        </w:rPr>
        <w:t xml:space="preserve">When announcing his decision not to renew the commission, Sessions said he would appoint a senior forensic adviser and opened a public comment period for feedback. </w:t>
      </w:r>
      <w:r w:rsidRPr="002F618D">
        <w:rPr>
          <w:rFonts w:cs="Calibri"/>
          <w:b/>
          <w:u w:val="single"/>
        </w:rPr>
        <w:t xml:space="preserve">He did not explain how he would </w:t>
      </w:r>
      <w:r w:rsidRPr="002F618D">
        <w:rPr>
          <w:rFonts w:cs="Calibri"/>
          <w:b/>
          <w:u w:val="single"/>
        </w:rPr>
        <w:lastRenderedPageBreak/>
        <w:t>replace all of the improvements and recommendations the NCFS was meant to deliver, and he has yet to actually name the new adviser.</w:t>
      </w:r>
      <w:r w:rsidRPr="002F618D">
        <w:rPr>
          <w:rFonts w:cs="Calibri"/>
        </w:rPr>
        <w:t xml:space="preserve"> In the absence of a consistent federal investment in bettering a field that is riddled with bad science, local prosecutors like Hummel—and the defendants they lock up—are on their own.</w:t>
      </w:r>
    </w:p>
    <w:p w14:paraId="5314F7E2" w14:textId="032380E6" w:rsidR="0090282A" w:rsidRDefault="00617030" w:rsidP="00D9756C">
      <w:pPr>
        <w:pStyle w:val="Heading1"/>
      </w:pPr>
      <w:r>
        <w:lastRenderedPageBreak/>
        <w:t>***</w:t>
      </w:r>
      <w:r w:rsidR="00D9756C">
        <w:t>Neg</w:t>
      </w:r>
      <w:r w:rsidR="005D793D">
        <w:t>***</w:t>
      </w:r>
    </w:p>
    <w:p w14:paraId="1B0D4345" w14:textId="77777777" w:rsidR="00A36D71" w:rsidRPr="00892AD2" w:rsidRDefault="00A36D71" w:rsidP="00A36D71">
      <w:pPr>
        <w:pStyle w:val="Heading2"/>
      </w:pPr>
      <w:bookmarkStart w:id="2" w:name="_Hlk45794618"/>
      <w:r>
        <w:lastRenderedPageBreak/>
        <w:t>Wrongful Convictions</w:t>
      </w:r>
    </w:p>
    <w:p w14:paraId="66DA6E6E" w14:textId="77777777" w:rsidR="00A36D71" w:rsidRDefault="00A36D71" w:rsidP="00A36D71">
      <w:pPr>
        <w:pStyle w:val="Heading3"/>
      </w:pPr>
      <w:r>
        <w:lastRenderedPageBreak/>
        <w:t>Alt causes to democracy collapse</w:t>
      </w:r>
    </w:p>
    <w:p w14:paraId="64CB4CEC" w14:textId="77777777" w:rsidR="00A36D71" w:rsidRDefault="00A36D71" w:rsidP="00A36D71">
      <w:pPr>
        <w:pStyle w:val="Heading4"/>
      </w:pPr>
      <w:r>
        <w:t>Plan is not key—many other factors cause democracy collapse</w:t>
      </w:r>
    </w:p>
    <w:p w14:paraId="6652E734" w14:textId="77777777" w:rsidR="00A36D71" w:rsidRDefault="00A36D71" w:rsidP="00A36D71">
      <w:pPr>
        <w:rPr>
          <w:b/>
          <w:sz w:val="26"/>
          <w:szCs w:val="26"/>
        </w:rPr>
      </w:pPr>
      <w:r>
        <w:rPr>
          <w:b/>
          <w:sz w:val="26"/>
          <w:szCs w:val="26"/>
        </w:rPr>
        <w:t>Klaas, Global Politics Columnist, 19</w:t>
      </w:r>
    </w:p>
    <w:p w14:paraId="157C9E32" w14:textId="45C5166F" w:rsidR="00A36D71" w:rsidRDefault="00A36D71" w:rsidP="00A36D71">
      <w:pPr>
        <w:spacing w:after="0" w:line="240" w:lineRule="auto"/>
        <w:rPr>
          <w:sz w:val="24"/>
        </w:rPr>
      </w:pPr>
      <w:r>
        <w:t>(Brian, January 23</w:t>
      </w:r>
      <w:r>
        <w:rPr>
          <w:vertAlign w:val="superscript"/>
        </w:rPr>
        <w:t>rd</w:t>
      </w:r>
      <w:r>
        <w:t xml:space="preserve">,2020, Washington Post, “For two years, Trump has been undermining American democracy. Here’s a damage report.”, </w:t>
      </w:r>
      <w:r>
        <w:rPr>
          <w:color w:val="000000"/>
        </w:rPr>
        <w:t>https://www.washingtonpost.com/opinions/2019/01/23/two-years-trump-has-been-undermining-american-democracy-heres-damage-report/</w:t>
      </w:r>
      <w:r>
        <w:t>, accessed:07/14/20, SS)</w:t>
      </w:r>
    </w:p>
    <w:p w14:paraId="68CD91A5" w14:textId="77777777" w:rsidR="00A36D71" w:rsidRDefault="00A36D71" w:rsidP="00A36D71"/>
    <w:p w14:paraId="31594A99" w14:textId="77777777" w:rsidR="00A36D71" w:rsidRDefault="00A36D71" w:rsidP="00A36D71">
      <w:r>
        <w:t>Can U.S. democracy survive when between 35 and 45 percent of the population cheers a president who behaves like an autocrat?</w:t>
      </w:r>
    </w:p>
    <w:p w14:paraId="498F9963" w14:textId="77777777" w:rsidR="00A36D71" w:rsidRDefault="00A36D71" w:rsidP="00A36D71">
      <w:r>
        <w:t>When Donald Trump took office two years ago, I and many others began sounding the alarm — not out of partisan worry but out of concern for democracy. Trump, we argued, was an existential threat to the republic. For the first time in American history, the president of the United States was an authoritarian-minded demagogue who viewed checks and balances as outdated nuisances rather than sacred principles.</w:t>
      </w:r>
    </w:p>
    <w:p w14:paraId="24FC4195" w14:textId="756B0221" w:rsidR="00A36D71" w:rsidRDefault="00A36D71" w:rsidP="00A36D71">
      <w:r>
        <w:t>I even wrote a </w:t>
      </w:r>
      <w:r>
        <w:rPr>
          <w:color w:val="000000"/>
        </w:rPr>
        <w:t>book</w:t>
      </w:r>
      <w:r>
        <w:t> explaining how Trump was behaving like a “lite” version of the thin-skinned authoritarian leaders I have interviewed and studied in Africa, the Middle East, Southeast Asia and Eastern Europe. I called Trump a wannabe despot. In return, some Trump fans called me an alarmist — a person suffering, perhaps, from “Trump Derangement Syndrome.” Others acknowledged that Trump had autocratic tendencies but argued that he had become such a weak and unpopular president that those impulses were meaningless.</w:t>
      </w:r>
    </w:p>
    <w:p w14:paraId="7C6CCA11" w14:textId="77777777" w:rsidR="00A36D71" w:rsidRDefault="00A36D71" w:rsidP="00A36D71">
      <w:r>
        <w:t>Now, two years later, should we still be alarmed? Or was I an alarmist?</w:t>
      </w:r>
    </w:p>
    <w:p w14:paraId="7490DF51" w14:textId="77777777" w:rsidR="00A36D71" w:rsidRDefault="00A36D71" w:rsidP="00A36D71">
      <w:r>
        <w:t xml:space="preserve">The United States is still a democracy. The Constitution and its checks and balances still exist. And even though Trump swoons at even the mention of a foreign dictator or despot, he is not one himself. Yet </w:t>
      </w:r>
      <w:r>
        <w:rPr>
          <w:b/>
          <w:u w:val="single"/>
        </w:rPr>
        <w:t>Trump has done immeasurable damage to U.S. democracy. That damage can be broken down into three categories: damage to institutions; damage to norms; and normalization of authoritarian tactics within the Republican Party.</w:t>
      </w:r>
    </w:p>
    <w:p w14:paraId="74D40B0D" w14:textId="77777777" w:rsidR="00A36D71" w:rsidRDefault="00A36D71" w:rsidP="00A36D71">
      <w:r>
        <w:t>As Congress abdicates its role, columnist E.J. Dionne Jr. says voters must take up the role of checking President Trump. (Adriana Usero/The Washington Post)</w:t>
      </w:r>
    </w:p>
    <w:p w14:paraId="05B8EFD5" w14:textId="1A320A34" w:rsidR="00A36D71" w:rsidRDefault="00A36D71" w:rsidP="00A36D71">
      <w:r>
        <w:t xml:space="preserve">First, </w:t>
      </w:r>
      <w:r>
        <w:rPr>
          <w:b/>
          <w:u w:val="single"/>
        </w:rPr>
        <w:t>Trump has chipped away at the institutional pillars of democracy</w:t>
      </w:r>
      <w:r>
        <w:t xml:space="preserve">. On a near-daily basis, </w:t>
      </w:r>
      <w:r>
        <w:rPr>
          <w:b/>
          <w:u w:val="single"/>
        </w:rPr>
        <w:t>Trump tries to undercut rule of law to advance political goals or to save his own skin.</w:t>
      </w:r>
      <w:r>
        <w:t xml:space="preserve"> He’s called for the jailing of political opponents while pardoning political allies. He has </w:t>
      </w:r>
      <w:r>
        <w:rPr>
          <w:color w:val="000000"/>
        </w:rPr>
        <w:t>fired investigators</w:t>
      </w:r>
      <w:r>
        <w:t> because there was an investigation into him. He </w:t>
      </w:r>
      <w:r>
        <w:rPr>
          <w:color w:val="000000"/>
        </w:rPr>
        <w:t>forced</w:t>
      </w:r>
      <w:r>
        <w:t xml:space="preserve"> an attorney general out because he wouldn’t sabotage an independent investigation. </w:t>
      </w:r>
      <w:r>
        <w:rPr>
          <w:b/>
          <w:u w:val="single"/>
        </w:rPr>
        <w:t>All these actions implicitly undermine the rule of law — the ultimate basis of any democracy</w:t>
      </w:r>
      <w:r>
        <w:t>. Trump has gotten away with it, so far.</w:t>
      </w:r>
    </w:p>
    <w:p w14:paraId="22D56678" w14:textId="3D385F50" w:rsidR="00A36D71" w:rsidRDefault="00A36D71" w:rsidP="00A36D71">
      <w:r>
        <w:rPr>
          <w:b/>
          <w:u w:val="single"/>
        </w:rPr>
        <w:t>Trump has also relentlessly attacked the free press, another pillar that allows democracies to stand above authoritarian regimes. He has echoed the worst dictators in history, calling journalists the "enemy of the people.”</w:t>
      </w:r>
      <w:r>
        <w:t xml:space="preserve"> Trump defended Saudi Arabia’s government after it murdered Jamal Khashoggi, then went on to </w:t>
      </w:r>
      <w:r>
        <w:rPr>
          <w:color w:val="000000"/>
        </w:rPr>
        <w:t>endorse</w:t>
      </w:r>
      <w:r>
        <w:t> beating up journalists. Days later, a die-hard MAGA disciple </w:t>
      </w:r>
      <w:r>
        <w:rPr>
          <w:color w:val="000000"/>
        </w:rPr>
        <w:t>sent pipe bombs</w:t>
      </w:r>
      <w:r>
        <w:t xml:space="preserve"> to </w:t>
      </w:r>
      <w:r>
        <w:lastRenderedPageBreak/>
        <w:t>Trump’s favorite media targets. All presidents loathe the press; Trump is the first who has publicly condoned acts of violence against journalists.</w:t>
      </w:r>
    </w:p>
    <w:p w14:paraId="6FC8C3E3" w14:textId="77777777" w:rsidR="00A36D71" w:rsidRDefault="00A36D71" w:rsidP="00A36D71">
      <w:pPr>
        <w:rPr>
          <w:b/>
          <w:u w:val="single"/>
        </w:rPr>
      </w:pPr>
      <w:r>
        <w:rPr>
          <w:b/>
          <w:u w:val="single"/>
        </w:rPr>
        <w:t>Trump has even tried to undercut the integrity of elections, both by spreading lies about voter fraud to sow doubt in the system itself and by doing nothing to deter foreign attacks aimed at disrupting U.S. elections.</w:t>
      </w:r>
    </w:p>
    <w:p w14:paraId="040FC172" w14:textId="3767695B" w:rsidR="00A36D71" w:rsidRDefault="00A36D71" w:rsidP="00A36D71">
      <w:r>
        <w:t xml:space="preserve">Second, Trump has taken a buzz saw to democratic norms, the soft guardrails of democracy. </w:t>
      </w:r>
      <w:r>
        <w:rPr>
          <w:b/>
          <w:u w:val="single"/>
        </w:rPr>
        <w:t>Democratic norms — the unwritten guidelines of political behavior — give meaning to democratic institutions</w:t>
      </w:r>
      <w:r>
        <w:t xml:space="preserve">. Without the norms, the institutions might as well just be ink on parchment. </w:t>
      </w:r>
      <w:r>
        <w:rPr>
          <w:b/>
          <w:u w:val="single"/>
        </w:rPr>
        <w:t>Trump has violated countless ethics norms while simultaneously introducing a level of nepotism and cronyism more befitting of Uzbekistan than the United States</w:t>
      </w:r>
      <w:r>
        <w:t>. It’s hard to decide which screams “banana republic” more: the president’s unqualified daughter </w:t>
      </w:r>
      <w:r>
        <w:rPr>
          <w:color w:val="000000"/>
        </w:rPr>
        <w:t>helping to pick</w:t>
      </w:r>
      <w:r>
        <w:t> the next World Bank president, or putting Eric Trump’s wedding planner in charge of </w:t>
      </w:r>
      <w:r>
        <w:rPr>
          <w:color w:val="000000"/>
        </w:rPr>
        <w:t>all federal housing in New York and New Jersey</w:t>
      </w:r>
      <w:r>
        <w:t>?</w:t>
      </w:r>
    </w:p>
    <w:p w14:paraId="6B7CEE21" w14:textId="74D0A5F2" w:rsidR="00A36D71" w:rsidRDefault="00A36D71" w:rsidP="00A36D71">
      <w:pPr>
        <w:rPr>
          <w:b/>
          <w:u w:val="single"/>
        </w:rPr>
      </w:pPr>
      <w:r>
        <w:t xml:space="preserve">Third, and most important, </w:t>
      </w:r>
      <w:r>
        <w:rPr>
          <w:b/>
          <w:u w:val="single"/>
        </w:rPr>
        <w:t xml:space="preserve">Trump has injected authoritarianism into the bloodstream of the Republican Party. Polls have shown that a majority of Republicans now agree that the press is an “enemy of the people” rather than “an important part of democracy.” Less than half of Republicans now have a favorable view of the FBI, a drop of 16 percentage points since Trump took office. And 74 percent of Republicans wrongly believe Trump’s lies that voter fraud is widespread, rather than the truth. </w:t>
      </w:r>
      <w:r>
        <w:t xml:space="preserve">(It’s vanishingly rare.) Even when Trump leaves office, </w:t>
      </w:r>
      <w:r>
        <w:rPr>
          <w:b/>
          <w:u w:val="single"/>
        </w:rPr>
        <w:t>those destructive views will linger.</w:t>
      </w:r>
    </w:p>
    <w:p w14:paraId="32C85F46" w14:textId="5D8E842F" w:rsidR="00A36D71" w:rsidRDefault="00A36D71" w:rsidP="00A36D71">
      <w:r>
        <w:t>That’s why the most chilling part of the president </w:t>
      </w:r>
      <w:r>
        <w:rPr>
          <w:color w:val="000000"/>
        </w:rPr>
        <w:t>explicitly praising</w:t>
      </w:r>
      <w:r>
        <w:t> a congressman for violently assaulting a reporter wasn’t the depraved comment — it was the crowd. The thought of violence against journalists — who they saw as the “enemy” — sent the red-hat-wearing mob into a frenzy. They cheered and whooped and clapped with glee.</w:t>
      </w:r>
    </w:p>
    <w:p w14:paraId="4BFBE0DD" w14:textId="18EDC5DB" w:rsidR="00A36D71" w:rsidRDefault="00A36D71" w:rsidP="00A36D71">
      <w:pPr>
        <w:rPr>
          <w:b/>
          <w:u w:val="single"/>
        </w:rPr>
      </w:pPr>
      <w:r>
        <w:rPr>
          <w:b/>
          <w:u w:val="single"/>
        </w:rPr>
        <w:t>American democracy has decayed during Trump’s time in office</w:t>
      </w:r>
      <w:r>
        <w:t>, even though his deficit of discipline and surplus of scandals have weakened him considerably. But the biggest tests are yet to come: How much more damage will Trump do if he faces impeachment or indictments? Can the pillars of democracy be salvaged if the new normal involves 40 percent of the country yelling their approval every time a politician hits them with a sledgehammer? And will the next Republican nominee be a slicker and savvier demagogue who can capitalize on the groundwork laid by Trump? I don’t know the answers</w:t>
      </w:r>
      <w:r>
        <w:rPr>
          <w:b/>
          <w:u w:val="single"/>
        </w:rPr>
        <w:t>. But as someone who has studied how democracy dies across the globe, I remain deeply worried about Trump’s America.</w:t>
      </w:r>
    </w:p>
    <w:p w14:paraId="54CC6510" w14:textId="77777777" w:rsidR="004F343C" w:rsidRDefault="004F343C" w:rsidP="004F343C">
      <w:pPr>
        <w:pStyle w:val="Heading3"/>
      </w:pPr>
      <w:r>
        <w:lastRenderedPageBreak/>
        <w:t>Authoritarianism Good - Climate</w:t>
      </w:r>
    </w:p>
    <w:p w14:paraId="404DE7A9" w14:textId="77777777" w:rsidR="004F343C" w:rsidRPr="0001597C" w:rsidRDefault="004F343C" w:rsidP="004F343C">
      <w:pPr>
        <w:pStyle w:val="Heading4"/>
        <w:rPr>
          <w:rStyle w:val="Style13ptBold"/>
          <w:b/>
          <w:bCs w:val="0"/>
        </w:rPr>
      </w:pPr>
      <w:r w:rsidRPr="0001597C">
        <w:rPr>
          <w:rStyle w:val="Style13ptBold"/>
          <w:b/>
          <w:bCs w:val="0"/>
        </w:rPr>
        <w:t xml:space="preserve">Authoritarian-style government rule </w:t>
      </w:r>
      <w:r>
        <w:rPr>
          <w:rStyle w:val="Style13ptBold"/>
          <w:b/>
          <w:bCs w:val="0"/>
        </w:rPr>
        <w:t>is being utilized</w:t>
      </w:r>
      <w:r w:rsidRPr="0001597C">
        <w:rPr>
          <w:rStyle w:val="Style13ptBold"/>
          <w:b/>
          <w:bCs w:val="0"/>
        </w:rPr>
        <w:t xml:space="preserve"> in many countries due to an inability </w:t>
      </w:r>
      <w:r>
        <w:rPr>
          <w:rStyle w:val="Style13ptBold"/>
          <w:b/>
          <w:bCs w:val="0"/>
        </w:rPr>
        <w:t xml:space="preserve">to </w:t>
      </w:r>
      <w:r w:rsidRPr="0001597C">
        <w:rPr>
          <w:rStyle w:val="Style13ptBold"/>
          <w:b/>
          <w:bCs w:val="0"/>
        </w:rPr>
        <w:t>regulate economic and environmental activity without revoking certain democratic liberties</w:t>
      </w:r>
      <w:r>
        <w:rPr>
          <w:rStyle w:val="Style13ptBold"/>
          <w:b/>
          <w:bCs w:val="0"/>
        </w:rPr>
        <w:t xml:space="preserve">, proving functionality in Asia  </w:t>
      </w:r>
    </w:p>
    <w:p w14:paraId="07BD17DD" w14:textId="77777777" w:rsidR="004F343C" w:rsidRDefault="004F343C" w:rsidP="004F343C">
      <w:pPr>
        <w:rPr>
          <w:rStyle w:val="Style13ptBold"/>
        </w:rPr>
      </w:pPr>
      <w:r>
        <w:rPr>
          <w:rStyle w:val="Style13ptBold"/>
        </w:rPr>
        <w:t>Beeson, Professor of International Politics, 2010</w:t>
      </w:r>
    </w:p>
    <w:p w14:paraId="7C49281D" w14:textId="77777777" w:rsidR="004F343C" w:rsidRPr="003F165F" w:rsidRDefault="004F343C" w:rsidP="004F343C">
      <w:pPr>
        <w:rPr>
          <w:rStyle w:val="Style13ptBold"/>
          <w:b w:val="0"/>
          <w:bCs w:val="0"/>
          <w:sz w:val="22"/>
          <w:szCs w:val="18"/>
        </w:rPr>
      </w:pPr>
      <w:r w:rsidRPr="003F165F">
        <w:rPr>
          <w:rStyle w:val="Style13ptBold"/>
          <w:b w:val="0"/>
          <w:bCs w:val="0"/>
          <w:sz w:val="22"/>
          <w:szCs w:val="18"/>
        </w:rPr>
        <w:t>[ Mark, March 2012, Routledge Taylor &amp; Francis Group, “ The Coming of Environmental Authoritarianism</w:t>
      </w:r>
      <w:r w:rsidRPr="003F165F">
        <w:rPr>
          <w:rStyle w:val="Style13ptBold"/>
          <w:sz w:val="22"/>
          <w:szCs w:val="18"/>
        </w:rPr>
        <w:t xml:space="preserve">”, </w:t>
      </w:r>
      <w:r w:rsidRPr="003F165F">
        <w:rPr>
          <w:szCs w:val="18"/>
        </w:rPr>
        <w:t xml:space="preserve">Journal: </w:t>
      </w:r>
      <w:hyperlink r:id="rId5" w:history="1">
        <w:r w:rsidRPr="00F2083D">
          <w:rPr>
            <w:rStyle w:val="Hyperlink"/>
            <w:szCs w:val="18"/>
          </w:rPr>
          <w:t>Environmental Politics</w:t>
        </w:r>
        <w:r w:rsidRPr="003F165F">
          <w:rPr>
            <w:rStyle w:val="Hyperlink"/>
            <w:szCs w:val="18"/>
          </w:rPr>
          <w:t>,</w:t>
        </w:r>
        <w:r w:rsidRPr="00F2083D">
          <w:rPr>
            <w:rStyle w:val="Hyperlink"/>
            <w:szCs w:val="18"/>
          </w:rPr>
          <w:t> </w:t>
        </w:r>
      </w:hyperlink>
      <w:r w:rsidRPr="00F2083D">
        <w:rPr>
          <w:szCs w:val="18"/>
        </w:rPr>
        <w:t>Volume 19, 2010 - </w:t>
      </w:r>
      <w:hyperlink r:id="rId6" w:history="1">
        <w:r w:rsidRPr="00F2083D">
          <w:rPr>
            <w:rStyle w:val="Hyperlink"/>
            <w:szCs w:val="18"/>
          </w:rPr>
          <w:t>Issue 2</w:t>
        </w:r>
      </w:hyperlink>
      <w:hyperlink r:id="rId7" w:history="1">
        <w:r w:rsidRPr="00F2083D">
          <w:rPr>
            <w:rStyle w:val="Hyperlink"/>
            <w:szCs w:val="18"/>
          </w:rPr>
          <w:t>: Symposium on Climate Change Policy and Politics</w:t>
        </w:r>
      </w:hyperlink>
      <w:r w:rsidRPr="003F165F">
        <w:rPr>
          <w:szCs w:val="18"/>
        </w:rPr>
        <w:t>, Pages 276-294</w:t>
      </w:r>
      <w:r w:rsidRPr="003F165F">
        <w:rPr>
          <w:rStyle w:val="Style13ptBold"/>
          <w:sz w:val="22"/>
          <w:szCs w:val="18"/>
        </w:rPr>
        <w:t>,</w:t>
      </w:r>
      <w:r w:rsidRPr="003F165F">
        <w:rPr>
          <w:sz w:val="18"/>
          <w:szCs w:val="18"/>
        </w:rPr>
        <w:t xml:space="preserve"> </w:t>
      </w:r>
      <w:hyperlink r:id="rId8" w:history="1">
        <w:r w:rsidRPr="003F165F">
          <w:rPr>
            <w:rStyle w:val="Hyperlink"/>
            <w:szCs w:val="18"/>
          </w:rPr>
          <w:t>https://doi.org/10.1080/09644010903576918</w:t>
        </w:r>
      </w:hyperlink>
      <w:r w:rsidRPr="003F165F">
        <w:rPr>
          <w:rStyle w:val="Style13ptBold"/>
          <w:b w:val="0"/>
          <w:bCs w:val="0"/>
          <w:sz w:val="22"/>
          <w:szCs w:val="18"/>
        </w:rPr>
        <w:t xml:space="preserve"> , Date Accessed: 07/16/20, MS]</w:t>
      </w:r>
    </w:p>
    <w:p w14:paraId="1D94CE88" w14:textId="77777777" w:rsidR="004F343C" w:rsidRPr="0001597C" w:rsidRDefault="004F343C" w:rsidP="004F343C">
      <w:pPr>
        <w:rPr>
          <w:rStyle w:val="Emphasis"/>
        </w:rPr>
      </w:pPr>
      <w:r w:rsidRPr="0001597C">
        <w:t xml:space="preserve">The environment has become the defining public policy issue of the era. Not only will political responses to environmental challenges determine the health of the planet, but continuing environmental degradation may also affect political systems. This interaction is likely to be especially acute in parts of the world where environmental problems are most pressing and the state’s ability to respond to such challenges is weakest. </w:t>
      </w:r>
      <w:r w:rsidRPr="0001597C">
        <w:rPr>
          <w:rStyle w:val="Emphasis"/>
        </w:rPr>
        <w:t xml:space="preserve">One possible consequence of environmental degradation is the development or consolidation of authoritarian rule as political elites come to privilege regime maintenance and internal stability over political liberalisation. Even efforts to mitigate the impact of, or respond to, environmental change may involve a decrease in individual liberty as governments seek to transform environmentally destructive behaviour. As a result, ‘environmental authoritarianism’ may become an increasingly common response to the destructive impacts of climate change in an age of diminished expectations. </w:t>
      </w:r>
    </w:p>
    <w:p w14:paraId="70C403C1" w14:textId="77777777" w:rsidR="004F343C" w:rsidRDefault="004F343C" w:rsidP="004F343C">
      <w:pPr>
        <w:ind w:firstLine="720"/>
      </w:pPr>
      <w:r w:rsidRPr="0001597C">
        <w:t xml:space="preserve">Long before the recent global economic crisis inflicted such a blow on Anglo-American forms of economic organisation, it was apparent that there were other models of economic development and other modes of political organisation that had admirers around the world. </w:t>
      </w:r>
      <w:r w:rsidRPr="0001597C">
        <w:rPr>
          <w:rStyle w:val="Emphasis"/>
        </w:rPr>
        <w:t>The rise of illiberal forms of capitalism and an apparent ‘democratic recession’ serve as a powerful reminders that there was nothing inevitable about the triumph of ‘Western’ political and economic practices or values</w:t>
      </w:r>
      <w:r w:rsidRPr="0001597C">
        <w:t xml:space="preserve"> (Zakaria 2003, Diamond 2008). Nowhere has the potential importance of authoritarian, state-led capitalist development been more evident than in East Asia.1 An examination of East Asia’s development and the concomitant environmental problems it generates highlights a number of broad-ranging trends that have widespread relevance. </w:t>
      </w:r>
    </w:p>
    <w:p w14:paraId="2AD106D7" w14:textId="77777777" w:rsidR="004F343C" w:rsidRDefault="004F343C" w:rsidP="004F343C">
      <w:pPr>
        <w:ind w:firstLine="720"/>
      </w:pPr>
      <w:r w:rsidRPr="0001597C">
        <w:rPr>
          <w:rStyle w:val="Emphasis"/>
        </w:rPr>
        <w:t>The point to emphasise at the outset is that the populations and governments of poorer regions of the world might have very different developmental priorities than their more affluent counterparts in Europe and North America; consequently, they may also have very different expectations about the appropriate role of government (Mahbubani 2008</w:t>
      </w:r>
      <w:r w:rsidRPr="0001597C">
        <w:t xml:space="preserve">). The possibility that East Asia’s political and economic elites might have distinctive views about politics, economics and the environment merits emphasis because such ideas are often radically at odds with much of the most influential – broadly ‘Western’ – scholarship about environmental politics in particular and political development more generally. Consequently, after providing a brief snapshot of development in East Asia, I highlight the incongruent nature of some of the most influential strands of western environmental and political theory. </w:t>
      </w:r>
    </w:p>
    <w:p w14:paraId="3000262C" w14:textId="77777777" w:rsidR="004F343C" w:rsidRPr="0001597C" w:rsidRDefault="004F343C" w:rsidP="004F343C">
      <w:pPr>
        <w:ind w:firstLine="720"/>
        <w:rPr>
          <w:rStyle w:val="Emphasis"/>
        </w:rPr>
      </w:pPr>
      <w:r w:rsidRPr="0001597C">
        <w:rPr>
          <w:rStyle w:val="Emphasis"/>
        </w:rPr>
        <w:lastRenderedPageBreak/>
        <w:t>The major lesson that emerges from an examination of the developmental experience of East Asia generally is that powerful, even authoritarian states, have been central components of the region’s remarkable economic expansion, and that there is consequently a pre-existing propensity toward authoritarianism that has been entrenched by the region’s trajectory of economic and political development (Haggard 1990).</w:t>
      </w:r>
      <w:r w:rsidRPr="0001597C">
        <w:t xml:space="preserve"> In what follows I suggest that the increasingly severe environmental challenges faced by the region, and the possibility that resource-intensive economic development will prove unsustainable, are likely to entrench or encourage the return of authoritarian rule in many parts of the region. </w:t>
      </w:r>
      <w:r w:rsidRPr="0001597C">
        <w:rPr>
          <w:rStyle w:val="Emphasis"/>
        </w:rPr>
        <w:t xml:space="preserve">Not only is the emergence of an environmentally conscious, politically-savvy, effective civil society that can transform environmental practices obviated by uncertain economic development and inequality, but economic and environmental failure are likely to give authoritarianism increased salience in a region beset by intractable problems. </w:t>
      </w:r>
    </w:p>
    <w:p w14:paraId="10C52514" w14:textId="77777777" w:rsidR="004F343C" w:rsidRDefault="004F343C" w:rsidP="004F343C">
      <w:pPr>
        <w:ind w:firstLine="720"/>
      </w:pPr>
      <w:r w:rsidRPr="0001597C">
        <w:rPr>
          <w:rStyle w:val="Emphasis"/>
        </w:rPr>
        <w:t xml:space="preserve">As a result, the ‘democratic moment’ (Acharya 1999) that was expected to sweep through East Asia, if not the world, will prove difficult to sustain in the face of mounting political, economic and especially environmental challenges. I consider these challenges in the second part of this essay, where I detail some of the forces that are likely to perpetuate and profit from environmental Environmental Politics 277 degradation and make recourse to authoritarianism likely. </w:t>
      </w:r>
      <w:r w:rsidRPr="0001597C">
        <w:t>Tragically, much of Southeast Asia may not only have missed the democratic moment, it may have missed its historical opportunity for widespread, sustainable development, too: just when human beings seem to have discovered what some of the prerequisites of economic development might actually look like (Collier 2007), the particular paradigm that underpinned the ‘rise of the West’ seems entirely unsustainable and simply unavailable to the billions of poor in Asia and elsewhere (Diamond 2005).</w:t>
      </w:r>
    </w:p>
    <w:p w14:paraId="762C217E" w14:textId="77777777" w:rsidR="004F343C" w:rsidRPr="009D6127" w:rsidRDefault="004F343C" w:rsidP="004F343C">
      <w:pPr>
        <w:pStyle w:val="Heading4"/>
        <w:rPr>
          <w:rStyle w:val="Style13ptBold"/>
          <w:b/>
          <w:bCs w:val="0"/>
        </w:rPr>
      </w:pPr>
      <w:r w:rsidRPr="009D6127">
        <w:rPr>
          <w:rStyle w:val="Style13ptBold"/>
          <w:b/>
          <w:bCs w:val="0"/>
        </w:rPr>
        <w:t>A return to authoritarianism is vital</w:t>
      </w:r>
      <w:r>
        <w:rPr>
          <w:rStyle w:val="Style13ptBold"/>
          <w:b/>
          <w:bCs w:val="0"/>
        </w:rPr>
        <w:t xml:space="preserve">, China practices of Authoritarian governing is spreading influence throughout Asia, show’s government’s need more power if they want any chance of climate change prevention to work </w:t>
      </w:r>
    </w:p>
    <w:p w14:paraId="160DC594" w14:textId="77777777" w:rsidR="004F343C" w:rsidRDefault="004F343C" w:rsidP="004F343C">
      <w:pPr>
        <w:rPr>
          <w:rStyle w:val="Style13ptBold"/>
        </w:rPr>
      </w:pPr>
      <w:r>
        <w:rPr>
          <w:rStyle w:val="Style13ptBold"/>
        </w:rPr>
        <w:t>Beeson, Professor of International Politics, 2010</w:t>
      </w:r>
    </w:p>
    <w:p w14:paraId="29617A56" w14:textId="77777777" w:rsidR="004F343C" w:rsidRPr="003F165F" w:rsidRDefault="004F343C" w:rsidP="004F343C">
      <w:pPr>
        <w:rPr>
          <w:rStyle w:val="Style13ptBold"/>
          <w:b w:val="0"/>
          <w:bCs w:val="0"/>
          <w:sz w:val="22"/>
          <w:szCs w:val="18"/>
        </w:rPr>
      </w:pPr>
      <w:r w:rsidRPr="003F165F">
        <w:rPr>
          <w:rStyle w:val="Style13ptBold"/>
          <w:b w:val="0"/>
          <w:bCs w:val="0"/>
          <w:sz w:val="22"/>
          <w:szCs w:val="18"/>
        </w:rPr>
        <w:t>[ Mark, March 2012, Routledge Taylor &amp; Francis Group, “ The Coming of Environmental Authoritarianism</w:t>
      </w:r>
      <w:r w:rsidRPr="003F165F">
        <w:rPr>
          <w:rStyle w:val="Style13ptBold"/>
          <w:sz w:val="22"/>
          <w:szCs w:val="18"/>
        </w:rPr>
        <w:t xml:space="preserve">”, </w:t>
      </w:r>
      <w:r w:rsidRPr="003F165F">
        <w:rPr>
          <w:szCs w:val="18"/>
        </w:rPr>
        <w:t xml:space="preserve">Journal: </w:t>
      </w:r>
      <w:hyperlink r:id="rId9" w:history="1">
        <w:r w:rsidRPr="00F2083D">
          <w:rPr>
            <w:rStyle w:val="Hyperlink"/>
            <w:szCs w:val="18"/>
          </w:rPr>
          <w:t>Environmental Politics</w:t>
        </w:r>
        <w:r w:rsidRPr="003F165F">
          <w:rPr>
            <w:rStyle w:val="Hyperlink"/>
            <w:szCs w:val="18"/>
          </w:rPr>
          <w:t>,</w:t>
        </w:r>
        <w:r w:rsidRPr="00F2083D">
          <w:rPr>
            <w:rStyle w:val="Hyperlink"/>
            <w:szCs w:val="18"/>
          </w:rPr>
          <w:t> </w:t>
        </w:r>
      </w:hyperlink>
      <w:r w:rsidRPr="00F2083D">
        <w:rPr>
          <w:szCs w:val="18"/>
        </w:rPr>
        <w:t>Volume 19, 2010 - </w:t>
      </w:r>
      <w:hyperlink r:id="rId10" w:history="1">
        <w:r w:rsidRPr="00F2083D">
          <w:rPr>
            <w:rStyle w:val="Hyperlink"/>
            <w:szCs w:val="18"/>
          </w:rPr>
          <w:t>Issue 2</w:t>
        </w:r>
      </w:hyperlink>
      <w:hyperlink r:id="rId11" w:history="1">
        <w:r w:rsidRPr="00F2083D">
          <w:rPr>
            <w:rStyle w:val="Hyperlink"/>
            <w:szCs w:val="18"/>
          </w:rPr>
          <w:t>: Symposium on Climate Change Policy and Politics</w:t>
        </w:r>
      </w:hyperlink>
      <w:r w:rsidRPr="003F165F">
        <w:rPr>
          <w:szCs w:val="18"/>
        </w:rPr>
        <w:t>, Pages 276-294</w:t>
      </w:r>
      <w:r w:rsidRPr="003F165F">
        <w:rPr>
          <w:rStyle w:val="Style13ptBold"/>
          <w:sz w:val="22"/>
          <w:szCs w:val="18"/>
        </w:rPr>
        <w:t>,</w:t>
      </w:r>
      <w:r w:rsidRPr="003F165F">
        <w:rPr>
          <w:sz w:val="18"/>
          <w:szCs w:val="18"/>
        </w:rPr>
        <w:t xml:space="preserve"> </w:t>
      </w:r>
      <w:hyperlink r:id="rId12" w:history="1">
        <w:r w:rsidRPr="003F165F">
          <w:rPr>
            <w:rStyle w:val="Hyperlink"/>
            <w:szCs w:val="18"/>
          </w:rPr>
          <w:t>https://doi.org/10.1080/09644010903576918</w:t>
        </w:r>
      </w:hyperlink>
      <w:r w:rsidRPr="003F165F">
        <w:rPr>
          <w:rStyle w:val="Style13ptBold"/>
          <w:b w:val="0"/>
          <w:bCs w:val="0"/>
          <w:sz w:val="22"/>
          <w:szCs w:val="18"/>
        </w:rPr>
        <w:t xml:space="preserve"> , Date Accessed: 07/16/20, MS]</w:t>
      </w:r>
    </w:p>
    <w:p w14:paraId="1B9EF83B" w14:textId="77777777" w:rsidR="004F343C" w:rsidRDefault="004F343C" w:rsidP="004F343C">
      <w:r>
        <w:t xml:space="preserve">The (re)turn to authoritarianism </w:t>
      </w:r>
    </w:p>
    <w:p w14:paraId="3CA5B1BF" w14:textId="77777777" w:rsidR="004F343C" w:rsidRDefault="004F343C" w:rsidP="004F343C">
      <w:r>
        <w:t xml:space="preserve">ASEAN’s indulgent attitude towards the internal affairs of its members has, of course, come in for scathing criticism (Jones and Smith 2007). Authoritarian rule, it is argued, flourished under, and was legitimatised by, ASEAN’s norms and diplomatic practices. This is an especially important claim given that much of the Western scholarship that focuses on the possible impact of ideas and norms implicitly assumes that ideational influences are likely to be ‘progressive’ 286 M. Beeson and desirable. However, it is equally possible that norms and ideas about appropriate behaviour might reflect less attractive values, especially at a time when illiberal states like Russia and China are becoming much more assertive and influential international actors (Gat 2007). </w:t>
      </w:r>
    </w:p>
    <w:p w14:paraId="3BA0BCB6" w14:textId="77777777" w:rsidR="004F343C" w:rsidRDefault="004F343C" w:rsidP="004F343C">
      <w:pPr>
        <w:ind w:firstLine="720"/>
      </w:pPr>
      <w:r w:rsidRPr="009D6127">
        <w:rPr>
          <w:rStyle w:val="Emphasis"/>
        </w:rPr>
        <w:t xml:space="preserve">ASEAN’s inability or unwillingness to influence Burma’s behaviour serves as a powerful reminder of its overall ineffectiveness and highlights the limits of its ideational influence; ASEAN has </w:t>
      </w:r>
      <w:r w:rsidRPr="009D6127">
        <w:rPr>
          <w:rStyle w:val="Emphasis"/>
        </w:rPr>
        <w:lastRenderedPageBreak/>
        <w:t>been completely unable to change the behaviour of Burma’s thuggish rulers or socialise them into good behaviour in the way ASEAN elites hoped</w:t>
      </w:r>
      <w:r>
        <w:t xml:space="preserve"> (Burton and Kazmin 2007). Not only has Burma’s leadership proved remarkably impervious to normative pressure, but Burma also provides a salutary reminder of just how important natural resources can be in helping to insulate authoritarian regimes from external criticism: China’s support of Burma has been crucial to the regime’s survival and has been driven primarily by its desire to ensure continuing access to Burma’s increasingly valuable resources (Peel 2007). </w:t>
      </w:r>
      <w:r w:rsidRPr="009D6127">
        <w:rPr>
          <w:rStyle w:val="Emphasis"/>
        </w:rPr>
        <w:t xml:space="preserve">One of the attractions of the Beijing consensus, and one of the reasons that China’s rise is such a potentially important influence over Southeast Asian economics and politics, is that it helps to establish less onerous regional benchmarks on human rights, good governance, transparency and all the other staples of Western best practise. Given China’s growing influence in Southeast Asia, it is important to remember that China has responded to its own environmental crises and the increasingly widespread protest movements they have generated with political repression </w:t>
      </w:r>
      <w:r>
        <w:t xml:space="preserve">(Kahn 2007).5 </w:t>
      </w:r>
      <w:r w:rsidRPr="009D6127">
        <w:rPr>
          <w:rStyle w:val="Emphasis"/>
        </w:rPr>
        <w:t>The combination of China’s increased influence and an existing ‘authoritarian nostalgia’ across much of the region may, some think, have ‘made the regional environment more hospitable for nondemocracies’</w:t>
      </w:r>
      <w:r>
        <w:t xml:space="preserve"> (Chang et al. 2007). </w:t>
      </w:r>
    </w:p>
    <w:p w14:paraId="2074612B" w14:textId="77777777" w:rsidR="004F343C" w:rsidRPr="009D6127" w:rsidRDefault="004F343C" w:rsidP="004F343C">
      <w:pPr>
        <w:ind w:firstLine="720"/>
        <w:rPr>
          <w:rStyle w:val="Emphasis"/>
        </w:rPr>
      </w:pPr>
      <w:r w:rsidRPr="009D6127">
        <w:rPr>
          <w:rStyle w:val="Emphasis"/>
        </w:rPr>
        <w:t>China also provides a stark reminder of the intersection of economics and politics. Despite China’s rapidly rising living standards, there has been little pressure from a rising capitalist class for political liberalism. There is now a large literature that deals with China’s political development, which seem so anomalous and surprising when seen from a Western perspective. Not only has China’s expanding bourgeoisie shown little interest in achieving rapid democratisation, but the emergent capitalist class has demonstrated a willingness to work with and support the non-democratic, authoritarian Chinese Communist Party, which remains the pivotal force in the country’s political life</w:t>
      </w:r>
      <w:r>
        <w:t xml:space="preserve"> (Chen 2002, Dickson 2003, Tsai 2007). </w:t>
      </w:r>
      <w:r w:rsidRPr="009D6127">
        <w:rPr>
          <w:rStyle w:val="Emphasis"/>
        </w:rPr>
        <w:t>Indeed, there is compelling evidence that the state is becoming more powerful rather than less as the government seeks to reassert greater control of the economy (</w:t>
      </w:r>
      <w:r>
        <w:t>Huang 2008). Moreover, in the face of the recent economic crisis that threatens to undermine the authority and legitimacy of the ruling elite, China’s government has retreated from its rhetorical commitment to good environmental practice and clamped down on political dissent (Cha 2008, Anderlini 2009</w:t>
      </w:r>
      <w:r w:rsidRPr="009D6127">
        <w:rPr>
          <w:rStyle w:val="Emphasis"/>
        </w:rPr>
        <w:t xml:space="preserve">). It is entirely possible, of course, that the government will prove unable to contain, much less deal with a complex amalgam of political, economic and demographic pressures, but if such underlying forces precipitate a domestic crisis China’s Environmental Politics 287 historical record does not suggest that a democratic transformation is the likely consequence. </w:t>
      </w:r>
    </w:p>
    <w:p w14:paraId="2BC07A4D" w14:textId="77777777" w:rsidR="004F343C" w:rsidRPr="009D6127" w:rsidRDefault="004F343C" w:rsidP="004F343C">
      <w:pPr>
        <w:ind w:firstLine="720"/>
        <w:rPr>
          <w:rStyle w:val="Emphasis"/>
        </w:rPr>
      </w:pPr>
      <w:r>
        <w:t xml:space="preserve">Some observers consider that there is a proclivity for hierarchical deference, a culturally determined willingness to tolerate authoritarianism, or a pragmatic willingness to trade off political rights in favour of economic development in much of East Asia (Pye 1985). </w:t>
      </w:r>
      <w:r w:rsidRPr="009D6127">
        <w:rPr>
          <w:rStyle w:val="Emphasis"/>
        </w:rPr>
        <w:t xml:space="preserve">But there are even more fundamental reasons for thinking that authoritarianism is likely to persist or stage a comeback in China and Southeast Asia: the magnitude of the environmental crisis threatening the region may undermine the conditions under which democracy and political pluralism can flourish. Not only are governments likely to have to deal with growing social unrest and instability (Vidal 2006), but the very class forces and social structures upon which the development and consolidation of democracy seem to depend are likely to be undermined by the failure of economic development. The connection between economic development and political emancipation, which lies at the heart of much democratic theory (Przeworski et al. 2000), is likely to be unravelled and unobtainable as environmental degradation brings a halt to the economic development that makes political progress </w:t>
      </w:r>
      <w:r w:rsidRPr="009D6127">
        <w:rPr>
          <w:rStyle w:val="Emphasis"/>
        </w:rPr>
        <w:lastRenderedPageBreak/>
        <w:t xml:space="preserve">possible. In short, authoritarianism is likely to persist because of the implacable material limits on economic development. </w:t>
      </w:r>
    </w:p>
    <w:p w14:paraId="1220A0FC" w14:textId="77777777" w:rsidR="004F343C" w:rsidRDefault="004F343C" w:rsidP="004F343C">
      <w:pPr>
        <w:ind w:firstLine="720"/>
      </w:pPr>
      <w:r>
        <w:t xml:space="preserve">This possibility poses an especially difficult challenge for both China and Southeast Asia. After all, political legitimacy has been predicated upon economic development and the prospect of rising living standards. It also poses a problem for the wider international order of which Southeast Asia is a part. As Diamond (2005, p. 496) pointedly asks, ‘What will happen when it finally dawns on those people in the Third World that current First World standards are unreachable for them, and that the First World refuses to abandon those standards for itself?’ </w:t>
      </w:r>
      <w:r w:rsidRPr="009D6127">
        <w:rPr>
          <w:rStyle w:val="Emphasis"/>
        </w:rPr>
        <w:t xml:space="preserve">The principal impact for the leaders of some East Asian countries with pressing problems and limited resources with which to address them may well be a return to the sort of overarching geopolitical logic that characterised the Cold War and which encouraged authoritarianism: any form of order may be more attractive than disorder, and the West may once again put promotion of democracy on hold – this time permanently. </w:t>
      </w:r>
    </w:p>
    <w:p w14:paraId="08CCA231" w14:textId="77777777" w:rsidR="004F343C" w:rsidRDefault="004F343C" w:rsidP="004F343C">
      <w:pPr>
        <w:ind w:firstLine="720"/>
        <w:rPr>
          <w:rStyle w:val="Style13ptBold"/>
        </w:rPr>
      </w:pPr>
      <w:r w:rsidRPr="009D6127">
        <w:rPr>
          <w:rStyle w:val="Emphasis"/>
        </w:rPr>
        <w:t>The combination of a profoundly degraded natural environment, declining authority, and the erosion of already modest state capacity provides a bleak outlook. For Kaplan (2000, p. 22), ‘world environmental stress will present people with a choice that is increasingly among totalitarianism, fascist-tending mini-states and road-warrior cultures’. Dystopian and gloom-inducing as such visions may be, they need to be taken seriously. Indeed, they are hardly more alarming than the scenarios laid out by sober scientific advisors with impeccable environmental credentials</w:t>
      </w:r>
      <w:r>
        <w:t xml:space="preserve"> (Fuller 2006). Yet, given their minimal impact on governments in the West, which (may) have the resources to address environmental crisis, or on the governments of China and India, which are making an increasing contribution to environmental problems, such gloomy scenarios are all too likely to be realised. </w:t>
      </w:r>
      <w:r w:rsidRPr="009D6127">
        <w:rPr>
          <w:rStyle w:val="Emphasis"/>
        </w:rPr>
        <w:t>In short, the prospects for democratic consolidation do not look bright.</w:t>
      </w:r>
    </w:p>
    <w:p w14:paraId="2D76DF95" w14:textId="77777777" w:rsidR="004F343C" w:rsidRDefault="004F343C" w:rsidP="004F343C">
      <w:pPr>
        <w:pStyle w:val="Heading3"/>
      </w:pPr>
      <w:r>
        <w:lastRenderedPageBreak/>
        <w:t xml:space="preserve">Democracy Bad - Climate </w:t>
      </w:r>
    </w:p>
    <w:p w14:paraId="446C304B" w14:textId="77777777" w:rsidR="004F343C" w:rsidRDefault="004F343C" w:rsidP="004F343C">
      <w:pPr>
        <w:pStyle w:val="Heading4"/>
      </w:pPr>
      <w:r>
        <w:t>Democratic Models of Government and society, even at their best, foster unsustainable climate impacts</w:t>
      </w:r>
    </w:p>
    <w:p w14:paraId="05858CEF" w14:textId="77777777" w:rsidR="004F343C" w:rsidRDefault="004F343C" w:rsidP="004F343C">
      <w:pPr>
        <w:rPr>
          <w:rStyle w:val="Style13ptBold"/>
        </w:rPr>
      </w:pPr>
      <w:r>
        <w:rPr>
          <w:rStyle w:val="Style13ptBold"/>
        </w:rPr>
        <w:t>Beeson, Professor of International Politics, 2010</w:t>
      </w:r>
    </w:p>
    <w:p w14:paraId="6F7C5E93" w14:textId="77777777" w:rsidR="004F343C" w:rsidRPr="003F165F" w:rsidRDefault="004F343C" w:rsidP="004F343C">
      <w:pPr>
        <w:rPr>
          <w:rStyle w:val="Style13ptBold"/>
          <w:b w:val="0"/>
          <w:bCs w:val="0"/>
          <w:sz w:val="22"/>
          <w:szCs w:val="18"/>
        </w:rPr>
      </w:pPr>
      <w:r w:rsidRPr="003F165F">
        <w:rPr>
          <w:rStyle w:val="Style13ptBold"/>
          <w:b w:val="0"/>
          <w:bCs w:val="0"/>
          <w:sz w:val="22"/>
          <w:szCs w:val="18"/>
        </w:rPr>
        <w:t>[ Mark, March 2012, Routledge Taylor &amp; Francis Group, “ The Coming of Environmental Authoritarianism</w:t>
      </w:r>
      <w:r w:rsidRPr="003F165F">
        <w:rPr>
          <w:rStyle w:val="Style13ptBold"/>
          <w:sz w:val="22"/>
          <w:szCs w:val="18"/>
        </w:rPr>
        <w:t xml:space="preserve">”, </w:t>
      </w:r>
      <w:r w:rsidRPr="003F165F">
        <w:rPr>
          <w:szCs w:val="18"/>
        </w:rPr>
        <w:t xml:space="preserve">Journal: </w:t>
      </w:r>
      <w:hyperlink r:id="rId13" w:history="1">
        <w:r w:rsidRPr="00F2083D">
          <w:rPr>
            <w:rStyle w:val="Hyperlink"/>
            <w:szCs w:val="18"/>
          </w:rPr>
          <w:t>Environmental Politics</w:t>
        </w:r>
        <w:r w:rsidRPr="003F165F">
          <w:rPr>
            <w:rStyle w:val="Hyperlink"/>
            <w:szCs w:val="18"/>
          </w:rPr>
          <w:t>,</w:t>
        </w:r>
        <w:r w:rsidRPr="00F2083D">
          <w:rPr>
            <w:rStyle w:val="Hyperlink"/>
            <w:szCs w:val="18"/>
          </w:rPr>
          <w:t> </w:t>
        </w:r>
      </w:hyperlink>
      <w:r w:rsidRPr="00F2083D">
        <w:rPr>
          <w:szCs w:val="18"/>
        </w:rPr>
        <w:t>Volume 19, 2010 - </w:t>
      </w:r>
      <w:hyperlink r:id="rId14" w:history="1">
        <w:r w:rsidRPr="00F2083D">
          <w:rPr>
            <w:rStyle w:val="Hyperlink"/>
            <w:szCs w:val="18"/>
          </w:rPr>
          <w:t>Issue 2</w:t>
        </w:r>
      </w:hyperlink>
      <w:hyperlink r:id="rId15" w:history="1">
        <w:r w:rsidRPr="00F2083D">
          <w:rPr>
            <w:rStyle w:val="Hyperlink"/>
            <w:szCs w:val="18"/>
          </w:rPr>
          <w:t>: Symposium on Climate Change Policy and Politics</w:t>
        </w:r>
      </w:hyperlink>
      <w:r w:rsidRPr="003F165F">
        <w:rPr>
          <w:szCs w:val="18"/>
        </w:rPr>
        <w:t>, Pages 276-294</w:t>
      </w:r>
      <w:r w:rsidRPr="003F165F">
        <w:rPr>
          <w:rStyle w:val="Style13ptBold"/>
          <w:sz w:val="22"/>
          <w:szCs w:val="18"/>
        </w:rPr>
        <w:t>,</w:t>
      </w:r>
      <w:r w:rsidRPr="003F165F">
        <w:rPr>
          <w:sz w:val="18"/>
          <w:szCs w:val="18"/>
        </w:rPr>
        <w:t xml:space="preserve"> </w:t>
      </w:r>
      <w:hyperlink r:id="rId16" w:history="1">
        <w:r w:rsidRPr="003F165F">
          <w:rPr>
            <w:rStyle w:val="Hyperlink"/>
            <w:szCs w:val="18"/>
          </w:rPr>
          <w:t>https://doi.org/10.1080/09644010903576918</w:t>
        </w:r>
      </w:hyperlink>
      <w:r w:rsidRPr="003F165F">
        <w:rPr>
          <w:rStyle w:val="Style13ptBold"/>
          <w:b w:val="0"/>
          <w:bCs w:val="0"/>
          <w:sz w:val="22"/>
          <w:szCs w:val="18"/>
        </w:rPr>
        <w:t xml:space="preserve"> , Date Accessed: 07/16/20, MS]</w:t>
      </w:r>
    </w:p>
    <w:p w14:paraId="11451E9F" w14:textId="77777777" w:rsidR="004F343C" w:rsidRPr="00D05E29" w:rsidRDefault="004F343C" w:rsidP="004F343C">
      <w:pPr>
        <w:ind w:firstLine="720"/>
        <w:rPr>
          <w:rStyle w:val="Emphasis"/>
        </w:rPr>
      </w:pPr>
      <w:r w:rsidRPr="00D05E29">
        <w:rPr>
          <w:rStyle w:val="Emphasis"/>
        </w:rPr>
        <w:t xml:space="preserve">In much of East Asia, the population may not have the luxury or capacity even to engage in these sorts of discursive practices, while the absence of effective democracy in much of the region stands as a continuing obstacle to achieving anything approximating deliberative democracy. Even more problematically in the long-run, there is no compelling evidence that democracy of any sort will necessarily promote good environmental outcomes (Neumayer 2002), or that rising living standards will inevitably deliver a sustainable environment (Dinda 2004). </w:t>
      </w:r>
      <w:r w:rsidRPr="00D05E29">
        <w:t xml:space="preserve">On the contrary, there is evidence to suggest that in the initial phases at least, ‘democratisation could indirectly promote environmental degradation through its effect on national income’ (Li and Reuveny 2006, p. 953). </w:t>
      </w:r>
      <w:r w:rsidRPr="00D05E29">
        <w:rPr>
          <w:rStyle w:val="Emphasis"/>
        </w:rPr>
        <w:t>In other words, even the best of all outcomes – rising living standards and an outbreak of democracy – may have unsustainable environmental consequences that may prove to be their undoing in the longer-term.</w:t>
      </w:r>
      <w:r w:rsidRPr="00D05E29">
        <w:t xml:space="preserve"> In such circumstances, ideas about possible ways of reorganising societies to lessen their impact on the natural environment may not find sufficient support to make them realisable or effective. As Lieberman (2002, p. 709) points out, ‘an idea’s time arrives not simply because the idea is compelling on its own terms, but because opportune political circumstances favor it’</w:t>
      </w:r>
      <w:r w:rsidRPr="00D05E29">
        <w:rPr>
          <w:rStyle w:val="Emphasis"/>
        </w:rPr>
        <w:t xml:space="preserve">. In much of Southeast Asia and China the forces supporting environmental protection are comparatively weak and unable to overcome powerful vested interests intent on the continuing exploitation of natural resources. </w:t>
      </w:r>
    </w:p>
    <w:p w14:paraId="23B47EEC" w14:textId="77777777" w:rsidR="004F343C" w:rsidRDefault="004F343C" w:rsidP="004F343C">
      <w:pPr>
        <w:ind w:firstLine="720"/>
      </w:pPr>
      <w:r w:rsidRPr="00D05E29">
        <w:rPr>
          <w:rStyle w:val="Emphasis"/>
        </w:rPr>
        <w:t>In short, predominantly Western concerns with ‘thick cosmopolitanism’ and the hope that a ‘metabolistic [sic] relationship with the natural environment’ might bind us to strangers (Dobson 2006, p. 177), seem bizarrely at odds with lived experience where climate change is already profoundly undermining sociability within national frameworks, let alone between them</w:t>
      </w:r>
      <w:r w:rsidRPr="00D05E29">
        <w:t xml:space="preserve"> (Raleigh and Urdal 2007). The sobering reality would seem to be that ‘. . . as the human population grows and environmental damage progresses, policymakers will have less and less capacity to intervene to keep damage from</w:t>
      </w:r>
    </w:p>
    <w:p w14:paraId="5E75F04F" w14:textId="77777777" w:rsidR="004F343C" w:rsidRDefault="004F343C" w:rsidP="004F343C">
      <w:pPr>
        <w:pStyle w:val="Heading4"/>
        <w:rPr>
          <w:rStyle w:val="Style13ptBold"/>
          <w:b/>
          <w:bCs w:val="0"/>
        </w:rPr>
      </w:pPr>
      <w:r w:rsidRPr="000D6CEB">
        <w:rPr>
          <w:rStyle w:val="Style13ptBold"/>
          <w:b/>
          <w:bCs w:val="0"/>
        </w:rPr>
        <w:t xml:space="preserve">Democracy proves to be </w:t>
      </w:r>
      <w:r>
        <w:rPr>
          <w:rStyle w:val="Style13ptBold"/>
          <w:b/>
          <w:bCs w:val="0"/>
        </w:rPr>
        <w:t xml:space="preserve">detrimental for </w:t>
      </w:r>
      <w:r w:rsidRPr="000D6CEB">
        <w:rPr>
          <w:rStyle w:val="Style13ptBold"/>
          <w:b/>
          <w:bCs w:val="0"/>
        </w:rPr>
        <w:t>environment</w:t>
      </w:r>
      <w:r>
        <w:rPr>
          <w:rStyle w:val="Style13ptBold"/>
          <w:b/>
          <w:bCs w:val="0"/>
        </w:rPr>
        <w:t xml:space="preserve">, American case study and empirical evidence prove democracy creates structures that worsen environmental damage rather than alleviate them </w:t>
      </w:r>
    </w:p>
    <w:p w14:paraId="6D90F8F6" w14:textId="77777777" w:rsidR="004F343C" w:rsidRDefault="004F343C" w:rsidP="004F343C">
      <w:pPr>
        <w:rPr>
          <w:rStyle w:val="Style13ptBold"/>
        </w:rPr>
      </w:pPr>
      <w:r>
        <w:rPr>
          <w:rStyle w:val="Style13ptBold"/>
        </w:rPr>
        <w:t xml:space="preserve">Daniel, University of Leeds, 2012 </w:t>
      </w:r>
    </w:p>
    <w:p w14:paraId="6DABF5A4" w14:textId="77777777" w:rsidR="004F343C" w:rsidRPr="007D0422" w:rsidRDefault="004F343C" w:rsidP="004F343C">
      <w:pPr>
        <w:rPr>
          <w:b/>
          <w:bCs/>
          <w:sz w:val="26"/>
        </w:rPr>
      </w:pPr>
      <w:r w:rsidRPr="00330A25">
        <w:rPr>
          <w:rStyle w:val="Style13ptBold"/>
          <w:b w:val="0"/>
          <w:bCs w:val="0"/>
          <w:sz w:val="22"/>
          <w:szCs w:val="18"/>
        </w:rPr>
        <w:t xml:space="preserve">[ Charles, Summer 2012, University of Leeds POLIS Journal, </w:t>
      </w:r>
      <w:r w:rsidRPr="00330A25">
        <w:rPr>
          <w:rStyle w:val="Style13ptBold"/>
          <w:sz w:val="22"/>
          <w:szCs w:val="18"/>
        </w:rPr>
        <w:t>“</w:t>
      </w:r>
      <w:hyperlink r:id="rId17" w:history="1">
        <w:r w:rsidRPr="00330A25">
          <w:rPr>
            <w:rStyle w:val="Hyperlink"/>
            <w:szCs w:val="18"/>
          </w:rPr>
          <w:t>https://pdfs.semanticscholar.org/9083/5d97554141abbb09483934b10a2f3a722b52.pdf</w:t>
        </w:r>
      </w:hyperlink>
      <w:r w:rsidRPr="00330A25">
        <w:rPr>
          <w:szCs w:val="18"/>
        </w:rPr>
        <w:t xml:space="preserve"> , “ To what extent is democracy detrimental to the current and future aims of environmental policy and technologies? “ , Date Accessed: 07/16/20, MS]</w:t>
      </w:r>
    </w:p>
    <w:p w14:paraId="78FB9394" w14:textId="77777777" w:rsidR="004F343C" w:rsidRDefault="004F343C" w:rsidP="004F343C">
      <w:r>
        <w:lastRenderedPageBreak/>
        <w:t>Case Study: America</w:t>
      </w:r>
    </w:p>
    <w:p w14:paraId="66599078" w14:textId="77777777" w:rsidR="004F343C" w:rsidRDefault="004F343C" w:rsidP="004F343C">
      <w:r w:rsidRPr="00B55984">
        <w:rPr>
          <w:rStyle w:val="Emphasis"/>
        </w:rPr>
        <w:t>If you were to ask anyone which country they believed embodies the ideals of liberal democracy, the chances are most people would say the United States of America. Since its conception as a nation-state in 1776, it has always maintained itself as the land of freedom and opportunity. The Cold War attempted to expand this concept beyond its own boarders, with America pursuing an aggressive foreign political agenda that sought to export its ideology to every corner of the globe (Scholte 2005). The success of this goal, with 89 nations declared as open democracies in 2010 (Freed</w:t>
      </w:r>
      <w:r>
        <w:t xml:space="preserve">om House 2011), has allowed America to dominate global decision making and ensure that steps are taken to further the spread of democracy and American interests worldwide. </w:t>
      </w:r>
      <w:r w:rsidRPr="00B55984">
        <w:rPr>
          <w:rStyle w:val="Emphasis"/>
        </w:rPr>
        <w:t>It should therefore follow that America would equally be leading the way for environmental sustainability, in order to set an example to the various other liberal democracies they helped to create. The reality, however, is very different.</w:t>
      </w:r>
    </w:p>
    <w:p w14:paraId="1508479A" w14:textId="77777777" w:rsidR="004F343C" w:rsidRDefault="004F343C" w:rsidP="004F343C">
      <w:r>
        <w:t xml:space="preserve">Consciousness surrounding the environment in America is high. The general public considers protecting the environment of great importance, with 57% arguing it should be given priority over economic growth (Blatt 2005). In fact past and recent governments have largely chosen to ignore the desires of the electorate and continue to pursue a political agenda dictated by free market economics. During the 1970s under the Carter administration, America was considered to be one of the leading voices for environmental change (Speth 2004). It was encouraging environmental awareness and attempting to set long-term targets for its economy. However it has failed to live up to its own targets: despite having a large amount of excess capital that could have been invested in renewable energy technologies or programmes to raise environmental awareness, central government has continued to prioritise other areas of policy such as defence. It is now a very poignant reality that the US is among one of the world’s environmentally reluctant nations (Wagner 2011). </w:t>
      </w:r>
      <w:r w:rsidRPr="00B55984">
        <w:rPr>
          <w:rStyle w:val="Emphasis"/>
        </w:rPr>
        <w:t>The statistic that, despite having 5% of the world’s population, they manage to consume 25% of its energy is very telling (Blatt 2005).</w:t>
      </w:r>
    </w:p>
    <w:p w14:paraId="79AFAA05" w14:textId="77777777" w:rsidR="004F343C" w:rsidRDefault="004F343C" w:rsidP="004F343C">
      <w:r w:rsidRPr="00B55984">
        <w:rPr>
          <w:rStyle w:val="Emphasis"/>
        </w:rPr>
        <w:t>A central reason is due to the fact that, as George Bush ironically put it, ‘America is addicted to oil’. Petroleum is the most widely used energy source in the country, supplying 40% of the nation’s energy. In</w:t>
      </w:r>
      <w:r>
        <w:t xml:space="preserve"> 2003, the world consumed 77 million barrels of oil per day. Of that amount, the US was responsible for 20 million. (Blatt 2005: 97). The use of oil has become ingrained into the American industrial economy and local and national oil companies obtain a number of benefits from supporting the US economy via federal subsidies. </w:t>
      </w:r>
      <w:r w:rsidRPr="00B55984">
        <w:rPr>
          <w:rStyle w:val="Emphasis"/>
        </w:rPr>
        <w:t>This is coupled with the fact that America will go to great lengths, including military action, to protect its worldwide oil reserves, arguably one of the main driving forces behind their presence in Iraq on both occasions. It thus shows their great reluctance to rely on any other source of energy, with a mere 6% of the nation’s energy coming from renewable sources (Blatt 2005).</w:t>
      </w:r>
      <w:r>
        <w:t xml:space="preserve"> </w:t>
      </w:r>
    </w:p>
    <w:p w14:paraId="631A822B" w14:textId="77777777" w:rsidR="004F343C" w:rsidRDefault="004F343C" w:rsidP="004F343C">
      <w:r w:rsidRPr="00B55984">
        <w:rPr>
          <w:rStyle w:val="Emphasis"/>
        </w:rPr>
        <w:t>Water pollution is also a significant local issue for the US. It was estimated that in 2010, 250 million pounds of toxic waste was discharged into waterways, with companies such as ExxonMobil responsible for 4.2m of this amount (Emmert 2010). The pollution problem has led institutions such as the Environmental Protection Agency (EPA) to suggest that this is one of the most pressing issues that the central government will face in the coming decade.</w:t>
      </w:r>
      <w:r>
        <w:t xml:space="preserve"> Although the Clean Water Act was amended in 2009, the move has had little effect, with federal courts doing their best to protect the vested interests of US oil companies. Indeed independent studies have indicated that the Clean Water Act has been violated more than 506,000 times since 2009, by more than 23,000 companies and other facilities (Duhigg 2011).</w:t>
      </w:r>
    </w:p>
    <w:p w14:paraId="0B008B4F" w14:textId="77777777" w:rsidR="004F343C" w:rsidRDefault="004F343C" w:rsidP="004F343C">
      <w:r w:rsidRPr="00B55984">
        <w:rPr>
          <w:rStyle w:val="Emphasis"/>
        </w:rPr>
        <w:lastRenderedPageBreak/>
        <w:t>America’s reluctance to help the environment is most apparent through the attitudes of politicians in the US. Groups such as the Republican Tea Party movement, contain a number of members who firmly reject the scientific evidence for climate change. This has had a trickle down effect to the wider American public, with only 63% of the population believing in climate change and 38% accepting that this change was as a result of human activity</w:t>
      </w:r>
      <w:r>
        <w:t xml:space="preserve"> (Goldenberg 2011). The main lobbyists for America’s two leading political parties have their vested interests in practices that would be hindered by deepening green practices. President Obama for example received $884,000 from the oil and gas industry during the 2008 election campaign (Open Secrets 2011). The Republican Party is unashamedly attached to oil and gas industries and has constantly attempted to repeal bans on drilling offshore, successfully doing so shortly before they lost power in 2008.</w:t>
      </w:r>
    </w:p>
    <w:p w14:paraId="2EED0774" w14:textId="77777777" w:rsidR="004F343C" w:rsidRDefault="004F343C" w:rsidP="004F343C">
      <w:r w:rsidRPr="00B55984">
        <w:rPr>
          <w:rStyle w:val="Emphasis"/>
        </w:rPr>
        <w:t xml:space="preserve">America’s environmental reluctance is also apparent on the global stage. Its decision to reject the Kyoto Protocol in 2001, despite the signatories of 73 other countries, provoked widespread international criticism. Sceptics suggested that this was solely due to the implied costs the treaty would have on US businesses, a perception that was fuelled by Bush’s declaration that ‘we will not do anything that harms our economy, because first things first we are people who live in America’ </w:t>
      </w:r>
      <w:r>
        <w:t xml:space="preserve">(Brussels 2001). Although the Obama administration has moved away from this policy of isolation, the nation has yet to suggest that they are fully committed to the global environmental project, with the latest summits at Copenhagen (2010) and Durban (2011), both proving to be a disappointment. </w:t>
      </w:r>
    </w:p>
    <w:p w14:paraId="5643B7FE" w14:textId="77777777" w:rsidR="004F343C" w:rsidRDefault="004F343C" w:rsidP="004F343C">
      <w:pPr>
        <w:pStyle w:val="Heading4"/>
      </w:pPr>
      <w:r>
        <w:t xml:space="preserve">Democracy is intertwined with consumptions overproduction, proving unsustainable for environment, the two are tethered and irreversibly intertwined  </w:t>
      </w:r>
    </w:p>
    <w:p w14:paraId="7EF676B8" w14:textId="77777777" w:rsidR="004F343C" w:rsidRDefault="004F343C" w:rsidP="004F343C">
      <w:pPr>
        <w:rPr>
          <w:rStyle w:val="Style13ptBold"/>
        </w:rPr>
      </w:pPr>
      <w:r>
        <w:rPr>
          <w:rStyle w:val="Style13ptBold"/>
        </w:rPr>
        <w:t xml:space="preserve">Daniel, University of Leeds, 2012 </w:t>
      </w:r>
    </w:p>
    <w:p w14:paraId="50355CD1" w14:textId="77777777" w:rsidR="004F343C" w:rsidRPr="00F07150" w:rsidRDefault="004F343C" w:rsidP="004F343C">
      <w:pPr>
        <w:rPr>
          <w:rStyle w:val="Style13ptBold"/>
        </w:rPr>
      </w:pPr>
      <w:r w:rsidRPr="00330A25">
        <w:rPr>
          <w:rStyle w:val="Style13ptBold"/>
          <w:b w:val="0"/>
          <w:bCs w:val="0"/>
          <w:sz w:val="22"/>
          <w:szCs w:val="18"/>
        </w:rPr>
        <w:t xml:space="preserve">[ Charles, Summer 2012, University of Leeds POLIS Journal, </w:t>
      </w:r>
      <w:r w:rsidRPr="00330A25">
        <w:rPr>
          <w:rStyle w:val="Style13ptBold"/>
          <w:sz w:val="22"/>
          <w:szCs w:val="18"/>
        </w:rPr>
        <w:t>“</w:t>
      </w:r>
      <w:hyperlink r:id="rId18" w:history="1">
        <w:r w:rsidRPr="00330A25">
          <w:rPr>
            <w:rStyle w:val="Hyperlink"/>
            <w:szCs w:val="18"/>
          </w:rPr>
          <w:t>https://pdfs.semanticscholar.org/9083/5d97554141abbb09483934b10a2f3a722b52.pdf</w:t>
        </w:r>
      </w:hyperlink>
      <w:r w:rsidRPr="00330A25">
        <w:rPr>
          <w:szCs w:val="18"/>
        </w:rPr>
        <w:t xml:space="preserve"> , “ To what extent is democracy detrimental to the current and future aims of environmental policy and technologies? “ , Date Accessed: 07/16/20, MS]</w:t>
      </w:r>
    </w:p>
    <w:p w14:paraId="2A368E07" w14:textId="77777777" w:rsidR="004F343C" w:rsidRDefault="004F343C" w:rsidP="004F343C">
      <w:r>
        <w:t xml:space="preserve">Implications and Conclusions from the Case Study </w:t>
      </w:r>
    </w:p>
    <w:p w14:paraId="09F35CB1" w14:textId="77777777" w:rsidR="004F343C" w:rsidRDefault="004F343C" w:rsidP="004F343C">
      <w:r w:rsidRPr="00F07150">
        <w:rPr>
          <w:rStyle w:val="Emphasis"/>
        </w:rPr>
        <w:t>The main point to take away from the case study is not to do with portraying the US as an enemy of the environment</w:t>
      </w:r>
      <w:r>
        <w:t xml:space="preserve"> (it has, after all, provided some form of investment to the natural world’s future, with $450 billion spent on research and development in the last ten years), </w:t>
      </w:r>
      <w:r w:rsidRPr="00F07150">
        <w:rPr>
          <w:rStyle w:val="Emphasis"/>
        </w:rPr>
        <w:t>it is more to do with the inescapable patterns of consumption that have become ingrained into the US political, social and cultural fabric. America’s national survival is contingent on continued economic abundance to feed a growing population. Democracy has become reliant on and indeed defined by this cycle, which is fuelled by unadulterated freedom for individuals and corporations alike. Speth is thus able to conclude that our ‘economic and political system does not work when it comes to protecting environmental resources’</w:t>
      </w:r>
      <w:r>
        <w:t xml:space="preserve"> (2004: 133). </w:t>
      </w:r>
      <w:r w:rsidRPr="00F07150">
        <w:rPr>
          <w:rStyle w:val="Emphasis"/>
        </w:rPr>
        <w:t>He believes that the amount of faith placed upon privatisation and the free market is unfounded, as they cannot be relied upon to provide the appropriate levels of environmental protection. Lack of regulation has resulted in companies consuming cheap resources and not taking into account the external implications of their actions. These ‘externalities’ are what Speth believes to be the main driver behind pollution</w:t>
      </w:r>
      <w:r>
        <w:t xml:space="preserve"> (2004</w:t>
      </w:r>
      <w:r w:rsidRPr="00F07150">
        <w:rPr>
          <w:rStyle w:val="Emphasis"/>
        </w:rPr>
        <w:t>). What he means by this is that the producer’s financial costs are different from their external ones</w:t>
      </w:r>
      <w:r>
        <w:t xml:space="preserve">. For example, when a company burns coal, its only financial concerns are the labour it uses, capital and the outlay cost of raw materials; the </w:t>
      </w:r>
      <w:r>
        <w:lastRenderedPageBreak/>
        <w:t xml:space="preserve">price in the form of ‘dirty air’ is not their concern. Producers and consumers are not given the opportunity to see the damage of such patterns since air pollution is not literally visible to the human eye, nor is it a threat to short-term well-being (Panayotou 1998). Due to the lack of public intervention or government pressure, companies are free to act as they please as there is no downside for them in regards to financial gain if they continue to pollute the air. Imposing stringent regulation on these actions by, for example a tax on dirty air, is avoided as it is against democratic principles to over interfere with company activity and indeed there is nothing to be gained by regulators for favouring the environment (Speth 2004). This ties in with the mention of the US oil addiction in that numerous sources of wealth from within the country depend on these sources of energy and their processes. To interfere with them or attempt to reduce their powers would be to limit the economic capability of the nation and possibly hinder the standard of living of each individual therein. </w:t>
      </w:r>
    </w:p>
    <w:p w14:paraId="5837A3FA" w14:textId="77777777" w:rsidR="004F343C" w:rsidRPr="00F07150" w:rsidRDefault="004F343C" w:rsidP="004F343C">
      <w:pPr>
        <w:rPr>
          <w:rStyle w:val="Emphasis"/>
        </w:rPr>
      </w:pPr>
      <w:r w:rsidRPr="00F07150">
        <w:rPr>
          <w:rStyle w:val="Emphasis"/>
        </w:rPr>
        <w:t>With the case of America and indeed other consumer-based economies, it can be concluded that too much freedom can, in certain circumstances, become a real barrier to necessary change. It can potentially create social conditions where individuals and institutions become too</w:t>
      </w:r>
      <w:r>
        <w:t xml:space="preserve"> </w:t>
      </w:r>
      <w:r w:rsidRPr="00F07150">
        <w:rPr>
          <w:rStyle w:val="Emphasis"/>
        </w:rPr>
        <w:t xml:space="preserve">comfortable in their habits. For liberal democracy, these habits are an over emphasis of the free-market, continual growth of industries and a fixation on GDP targets. Liberal democracy’s success is contingent on these and, therefore, those in power have no choice but to abide by them, constrained by the short fixed terms they have in office. The desire for actual change has slowly been removed from politics, as governments seek to prioritise stability and to satisfy the wants of the electorate so that they will continue to stay in power for a further term. </w:t>
      </w:r>
    </w:p>
    <w:p w14:paraId="699A9811" w14:textId="77777777" w:rsidR="004F343C" w:rsidRDefault="004F343C" w:rsidP="004F343C">
      <w:r w:rsidRPr="00F07150">
        <w:rPr>
          <w:rStyle w:val="Emphasis"/>
        </w:rPr>
        <w:t>The financial crisis was a poignant example of this.</w:t>
      </w:r>
      <w:r>
        <w:t xml:space="preserve"> It was the first time since the Great Depression that the foundations of the free market were truly shaken, allowing certain groups to question the success and stability of the economic systems we rely upon. An acceptance of certain failures and a move towards change could have provided the much-needed stimulus for environmental investment. As it is, that door has been shut as the government is forced to solve the situation with patchwork policies. Countries have localised themselves even further, reluctant to contribute to global environmental projects when their own economies are in dire need of assistance. The US congressional budget office in the wake of the financial crisis conveyed this direction in fiscal policy. In a report to the IMF, they expressed a need to make significant policy changes in order to keep the Federal Reserve in a stable position (Elmendorf 2010). Whilst it was not explicitly stated, the report suggested that the US government planned to roll back some of their international economic commitments</w:t>
      </w:r>
      <w:r w:rsidRPr="00F07150">
        <w:rPr>
          <w:rStyle w:val="Emphasis"/>
        </w:rPr>
        <w:t xml:space="preserve">. The UK government is equally guilty of attempting to localise their economy in favour of international commitments. </w:t>
      </w:r>
      <w:r>
        <w:t xml:space="preserve">David Cameron’s decision to reject a EU wide treaty in order to maintain the strength of the domestic economy is just one example of policy direction that favours isolation instead of contribution (Grice 2012). </w:t>
      </w:r>
    </w:p>
    <w:p w14:paraId="6AC8B3BE" w14:textId="77777777" w:rsidR="004F343C" w:rsidRDefault="004F343C" w:rsidP="004F343C">
      <w:r w:rsidRPr="00F07150">
        <w:rPr>
          <w:rStyle w:val="Emphasis"/>
        </w:rPr>
        <w:t>Liberal democracy then, if defined in this way, can be seen as being detrimental to current and future environmental policies and investment, as it is reluctant to adjust its course, even in times of failure, favouring gradual social change that will not unsettle the electorate. It is here that I return to the suggestion that liberal democracy may not be the appropriate format to guide global society in its current period of over-development. The environment is such a unique policy area in that it cannot be solved simply by gradual change that will one day result in success. It requires action and it requires it now. Liberal democratic methods would undoubtedly provide the stimulus for sustainability at some point in the future, but time is of the essence and direct, swift action is needed</w:t>
      </w:r>
      <w:r>
        <w:t xml:space="preserve">. The West has had a </w:t>
      </w:r>
      <w:r>
        <w:lastRenderedPageBreak/>
        <w:t xml:space="preserve">window of opportunity ever since the 1980 Report of the Brandt Commission on International Development Issues highlighted the urgent needs of the environment (Speth 2004). Despite the warnings, positive signs for change have been limited. Democracy cannot help but feed growth and sustain development. At a time when our world is considered a ‘concrete jungle’, the habits of consumption need to be curtailed by certain measures otherwise we risk the continuation of urban sprawl and depletion of our ecosystems. </w:t>
      </w:r>
    </w:p>
    <w:p w14:paraId="30A46B9F" w14:textId="77777777" w:rsidR="004F343C" w:rsidRPr="006772CB" w:rsidRDefault="004F343C" w:rsidP="004F343C">
      <w:r>
        <w:t>It is, however, difficult to propose an alternative political structure which will ensure environmental protection. For up until now, whilst democracies like America have not fully committed to invest in the environment’s future, other modes of government have proved dramatically worse. The next chapter will attempt to put forward an argument that may provide a viable alternative to democracy.</w:t>
      </w:r>
    </w:p>
    <w:p w14:paraId="2EC1864F" w14:textId="77777777" w:rsidR="004F343C" w:rsidRPr="003F165F" w:rsidRDefault="004F343C" w:rsidP="004F343C">
      <w:pPr>
        <w:pStyle w:val="Heading3"/>
        <w:rPr>
          <w:rStyle w:val="Style13ptBold"/>
          <w:b/>
          <w:bCs w:val="0"/>
          <w:sz w:val="32"/>
          <w:szCs w:val="32"/>
          <w:u w:val="single"/>
        </w:rPr>
      </w:pPr>
      <w:r w:rsidRPr="003F165F">
        <w:rPr>
          <w:rStyle w:val="Style13ptBold"/>
          <w:b/>
          <w:bCs w:val="0"/>
          <w:sz w:val="32"/>
          <w:szCs w:val="32"/>
          <w:u w:val="single"/>
        </w:rPr>
        <w:lastRenderedPageBreak/>
        <w:t>Democracy Trade-Off Good</w:t>
      </w:r>
    </w:p>
    <w:p w14:paraId="514A4C7B" w14:textId="77777777" w:rsidR="004F343C" w:rsidRDefault="004F343C" w:rsidP="004F343C">
      <w:pPr>
        <w:pStyle w:val="Heading4"/>
        <w:rPr>
          <w:rStyle w:val="Style13ptBold"/>
          <w:b/>
          <w:bCs w:val="0"/>
        </w:rPr>
      </w:pPr>
      <w:r w:rsidRPr="00D20E72">
        <w:rPr>
          <w:rStyle w:val="Style13ptBold"/>
          <w:b/>
          <w:bCs w:val="0"/>
        </w:rPr>
        <w:t>A trade-off of some liberties provided by democracy are necessary to stop the continuation of climate impacts, it’s our last chance</w:t>
      </w:r>
    </w:p>
    <w:p w14:paraId="2A64E4F9" w14:textId="77777777" w:rsidR="004F343C" w:rsidRDefault="004F343C" w:rsidP="004F343C">
      <w:pPr>
        <w:rPr>
          <w:rStyle w:val="Style13ptBold"/>
        </w:rPr>
      </w:pPr>
      <w:r>
        <w:rPr>
          <w:rStyle w:val="Style13ptBold"/>
        </w:rPr>
        <w:t>Beeson, Professor of International Politics, 2010</w:t>
      </w:r>
    </w:p>
    <w:p w14:paraId="7BB0F992" w14:textId="77777777" w:rsidR="004F343C" w:rsidRPr="003F165F" w:rsidRDefault="004F343C" w:rsidP="004F343C">
      <w:pPr>
        <w:rPr>
          <w:rStyle w:val="Style13ptBold"/>
          <w:b w:val="0"/>
          <w:bCs w:val="0"/>
          <w:sz w:val="22"/>
          <w:szCs w:val="18"/>
        </w:rPr>
      </w:pPr>
      <w:r w:rsidRPr="003F165F">
        <w:rPr>
          <w:rStyle w:val="Style13ptBold"/>
          <w:b w:val="0"/>
          <w:bCs w:val="0"/>
          <w:sz w:val="22"/>
          <w:szCs w:val="18"/>
        </w:rPr>
        <w:t>[ Mark, March 2012, Routledge Taylor &amp; Francis Group, “ The Coming of Environmental Authoritarianism</w:t>
      </w:r>
      <w:r w:rsidRPr="003F165F">
        <w:rPr>
          <w:rStyle w:val="Style13ptBold"/>
          <w:sz w:val="22"/>
          <w:szCs w:val="18"/>
        </w:rPr>
        <w:t xml:space="preserve">”, </w:t>
      </w:r>
      <w:r w:rsidRPr="003F165F">
        <w:rPr>
          <w:szCs w:val="18"/>
        </w:rPr>
        <w:t xml:space="preserve">Journal: </w:t>
      </w:r>
      <w:hyperlink r:id="rId19" w:history="1">
        <w:r w:rsidRPr="00F2083D">
          <w:rPr>
            <w:rStyle w:val="Hyperlink"/>
            <w:szCs w:val="18"/>
          </w:rPr>
          <w:t>Environmental Politics</w:t>
        </w:r>
        <w:r w:rsidRPr="003F165F">
          <w:rPr>
            <w:rStyle w:val="Hyperlink"/>
            <w:szCs w:val="18"/>
          </w:rPr>
          <w:t>,</w:t>
        </w:r>
        <w:r w:rsidRPr="00F2083D">
          <w:rPr>
            <w:rStyle w:val="Hyperlink"/>
            <w:szCs w:val="18"/>
          </w:rPr>
          <w:t> </w:t>
        </w:r>
      </w:hyperlink>
      <w:r w:rsidRPr="00F2083D">
        <w:rPr>
          <w:szCs w:val="18"/>
        </w:rPr>
        <w:t>Volume 19, 2010 - </w:t>
      </w:r>
      <w:hyperlink r:id="rId20" w:history="1">
        <w:r w:rsidRPr="00F2083D">
          <w:rPr>
            <w:rStyle w:val="Hyperlink"/>
            <w:szCs w:val="18"/>
          </w:rPr>
          <w:t>Issue 2</w:t>
        </w:r>
      </w:hyperlink>
      <w:hyperlink r:id="rId21" w:history="1">
        <w:r w:rsidRPr="00F2083D">
          <w:rPr>
            <w:rStyle w:val="Hyperlink"/>
            <w:szCs w:val="18"/>
          </w:rPr>
          <w:t>: Symposium on Climate Change Policy and Politics</w:t>
        </w:r>
      </w:hyperlink>
      <w:r w:rsidRPr="003F165F">
        <w:rPr>
          <w:szCs w:val="18"/>
        </w:rPr>
        <w:t>, Pages 276-294</w:t>
      </w:r>
      <w:r w:rsidRPr="003F165F">
        <w:rPr>
          <w:rStyle w:val="Style13ptBold"/>
          <w:sz w:val="22"/>
          <w:szCs w:val="18"/>
        </w:rPr>
        <w:t>,</w:t>
      </w:r>
      <w:r w:rsidRPr="003F165F">
        <w:rPr>
          <w:sz w:val="18"/>
          <w:szCs w:val="18"/>
        </w:rPr>
        <w:t xml:space="preserve"> </w:t>
      </w:r>
      <w:hyperlink r:id="rId22" w:history="1">
        <w:r w:rsidRPr="003F165F">
          <w:rPr>
            <w:rStyle w:val="Hyperlink"/>
            <w:szCs w:val="18"/>
          </w:rPr>
          <w:t>https://doi.org/10.1080/09644010903576918</w:t>
        </w:r>
      </w:hyperlink>
      <w:r w:rsidRPr="003F165F">
        <w:rPr>
          <w:rStyle w:val="Style13ptBold"/>
          <w:b w:val="0"/>
          <w:bCs w:val="0"/>
          <w:sz w:val="22"/>
          <w:szCs w:val="18"/>
        </w:rPr>
        <w:t xml:space="preserve"> , Date Accessed: 07/16/20, MS]</w:t>
      </w:r>
    </w:p>
    <w:p w14:paraId="4F63636E" w14:textId="77777777" w:rsidR="004F343C" w:rsidRPr="00D20E72" w:rsidRDefault="004F343C" w:rsidP="004F343C">
      <w:pPr>
        <w:rPr>
          <w:rStyle w:val="Emphasis"/>
        </w:rPr>
      </w:pPr>
      <w:r w:rsidRPr="00D20E72">
        <w:rPr>
          <w:rStyle w:val="Emphasis"/>
        </w:rPr>
        <w:t xml:space="preserve">While evidence about the implications of environmental degradation and even global warming are increasingly uncontroversial, their possible political consequences are more contentious. Although some of the preceding analysis is necessarily speculative and inferential, the experiences of China and Southeast Asia highlight issues of unambiguously global significance. The central question that emerges from this discussion is whether democracy can be sustained in the region – or anywhere else for that matter – given the unprecedented and unforgiving nature of the challenges we collectively face. Indeed, such is the urgency of the environmental crisis that some have argued – alarmingly persuasively – that ‘humanity will have to trade its liberty to live as it wishes in favour of a system where survival is paramount’ (Shearman and Smith 2007, p. 4). In such circumstances, forms of ‘good’ authoritarianism, in which environmentally unsustainable forms of behaviour are simply forbidden, may become not only justifiable, but essential for the survival of humanity in anything approaching a civilised form. </w:t>
      </w:r>
    </w:p>
    <w:p w14:paraId="32EA4383" w14:textId="77777777" w:rsidR="004F343C" w:rsidRPr="00D20E72" w:rsidRDefault="004F343C" w:rsidP="004F343C">
      <w:pPr>
        <w:ind w:firstLine="720"/>
        <w:rPr>
          <w:rStyle w:val="Emphasis"/>
        </w:rPr>
      </w:pPr>
      <w:r w:rsidRPr="00D20E72">
        <w:rPr>
          <w:rStyle w:val="Emphasis"/>
        </w:rPr>
        <w:t xml:space="preserve">Such ideas are difficult to accept, especially for societies steeped in traditions of liberalism, individualism, freedom of choice and personal advancement. The US is, of course, such a country, where an entire national consciousness and way of life is predicated upon liberal values – values which some consider profoundly inimical to environmental sustainability </w:t>
      </w:r>
      <w:r>
        <w:t xml:space="preserve">(Ophuls 1997). It is also the country that has done most to contribute to global environmental problems like climate change, but which has until now seemed incapable of addressing them politically (Stephens 2007). In China, by contrast, an authoritarian regime has arguably done more to mitigate environmental problems than any other government on earth: without the one-child policy instigated in the 1970s, it is estimated that there would already be another 400 million Chinese (Dickie 2008) and China’s environmental problems (and everyone else’s) would be that much worse. Luckily for the world’s non-Chinese population, China does not enjoy the same living standards as the US, and it is impossible to imagine that the vast majority of its citizens ever will. </w:t>
      </w:r>
      <w:r w:rsidRPr="00D20E72">
        <w:rPr>
          <w:rStyle w:val="Emphasis"/>
        </w:rPr>
        <w:t xml:space="preserve">There are, it seems, fundamental, implacable constraints on the carrying capacity of the planet (Cohen 1995). The real tragedy about China’s development is not the failure to democratise rapidly, but that at the very moment that human beings seem to have figured out how to generate economic development on a massive scale, it is becoming apparent that it cannot be sustained, at least not by 6 billion people living Western lifestyles, and certainly not by the 9–12 billion or so that some think will mark the extent of human expansion.6 </w:t>
      </w:r>
    </w:p>
    <w:p w14:paraId="602CB62E" w14:textId="77777777" w:rsidR="004F343C" w:rsidRPr="00D20E72" w:rsidRDefault="004F343C" w:rsidP="004F343C">
      <w:pPr>
        <w:ind w:firstLine="720"/>
        <w:rPr>
          <w:rStyle w:val="Emphasis"/>
        </w:rPr>
      </w:pPr>
      <w:r>
        <w:t xml:space="preserve">Yet in China the state seems relatively strong and – thus far, at least – in control. </w:t>
      </w:r>
      <w:r w:rsidRPr="00D20E72">
        <w:rPr>
          <w:rStyle w:val="Emphasis"/>
        </w:rPr>
        <w:t xml:space="preserve">The persistence, if not the intensification, of authoritarian rule in the face of environmental decline and reduced expectations about the course of economic development seems an all too likely outcome as a consequence. </w:t>
      </w:r>
      <w:r>
        <w:t xml:space="preserve">In Southeast Asia, the picture is more mixed. </w:t>
      </w:r>
      <w:r w:rsidRPr="00D20E72">
        <w:rPr>
          <w:rStyle w:val="Emphasis"/>
        </w:rPr>
        <w:t xml:space="preserve">Thailand has already succumbed to the </w:t>
      </w:r>
      <w:r w:rsidRPr="00D20E72">
        <w:rPr>
          <w:rStyle w:val="Emphasis"/>
        </w:rPr>
        <w:lastRenderedPageBreak/>
        <w:t>temptations of military intervention and a return to non-democratic, Environmental Politics 289 authoritarian rule, but Indonesia’s democracy has shown surprising resilience so far</w:t>
      </w:r>
      <w:r>
        <w:t xml:space="preserve">. Whether its fledgling democracy will be able to cope with the inevitable challenges that economic fragility, demographic pressures and environmental decline will bring is a moot point. Despite being hammered by the current economic crisis (Bradsher 2009), Indonesia at least seems better placed than the Philippines: here even an ‘effective’ authoritarian regime that is capable of simply maintaining order may be beyond the capability of local elites (Beeson and Bellamy 2008). </w:t>
      </w:r>
      <w:r w:rsidRPr="00D20E72">
        <w:rPr>
          <w:rStyle w:val="Emphasis"/>
        </w:rPr>
        <w:t>The somewhat depressing reality may be that there are even worse possibilities than an all too likely return to authoritarianism in the region.</w:t>
      </w:r>
    </w:p>
    <w:p w14:paraId="2E55E864" w14:textId="77777777" w:rsidR="004F343C" w:rsidRDefault="004F343C" w:rsidP="004F343C"/>
    <w:p w14:paraId="30C10A76" w14:textId="77777777" w:rsidR="004F343C" w:rsidRDefault="004F343C" w:rsidP="004F343C">
      <w:pPr>
        <w:pStyle w:val="Heading3"/>
      </w:pPr>
      <w:r>
        <w:lastRenderedPageBreak/>
        <w:t>Authoritarianism Good - Pandemics</w:t>
      </w:r>
    </w:p>
    <w:p w14:paraId="78BB2B4D" w14:textId="77777777" w:rsidR="004F343C" w:rsidRDefault="004F343C" w:rsidP="004F343C">
      <w:pPr>
        <w:pStyle w:val="Heading4"/>
      </w:pPr>
      <w:r>
        <w:t>Authoritarianism key to solve pandemic—outweighs aff</w:t>
      </w:r>
    </w:p>
    <w:p w14:paraId="3F793264" w14:textId="77777777" w:rsidR="004F343C" w:rsidRDefault="004F343C" w:rsidP="004F343C">
      <w:pPr>
        <w:rPr>
          <w:rStyle w:val="Style13ptBold"/>
        </w:rPr>
      </w:pPr>
      <w:r>
        <w:rPr>
          <w:rStyle w:val="Style13ptBold"/>
        </w:rPr>
        <w:t>Kleinfeld, Democracy Senior Fellow @ St. Antony’s College, 20</w:t>
      </w:r>
    </w:p>
    <w:p w14:paraId="278F0544" w14:textId="77777777" w:rsidR="004F343C" w:rsidRDefault="004F343C" w:rsidP="004F343C">
      <w:pPr>
        <w:spacing w:after="0" w:line="240" w:lineRule="auto"/>
        <w:rPr>
          <w:rFonts w:ascii="Times New Roman" w:hAnsi="Times New Roman"/>
          <w:sz w:val="24"/>
        </w:rPr>
      </w:pPr>
      <w:r>
        <w:t>(Rachel, March 31</w:t>
      </w:r>
      <w:r w:rsidRPr="008656CC">
        <w:rPr>
          <w:vertAlign w:val="superscript"/>
        </w:rPr>
        <w:t>st</w:t>
      </w:r>
      <w:r>
        <w:t xml:space="preserve">, 2020, Carnegie Endowment for International Peace, “Do Authoritarian or Democratic Countries Handle Pandemics Better?”, </w:t>
      </w:r>
      <w:r w:rsidRPr="00B06ED0">
        <w:t>https://carnegieendowment.org/2020/03/31/do-authoritarian-or-democratic-countries-handle-pandemics-better-pub-81404</w:t>
      </w:r>
      <w:r>
        <w:t>, accessed: 07/16/20, SS)</w:t>
      </w:r>
    </w:p>
    <w:p w14:paraId="34C9BA80" w14:textId="77777777" w:rsidR="004F343C" w:rsidRDefault="004F343C" w:rsidP="004F343C">
      <w:r>
        <w:t xml:space="preserve"> </w:t>
      </w:r>
    </w:p>
    <w:p w14:paraId="3A048E34" w14:textId="77777777" w:rsidR="004F343C" w:rsidRPr="008656CC" w:rsidRDefault="004F343C" w:rsidP="004F343C">
      <w:r w:rsidRPr="008656CC">
        <w:rPr>
          <w:rStyle w:val="StyleUnderline"/>
        </w:rPr>
        <w:t>China has declared victory over the new coronavirus and begun to close its temporary hospitals. Singapore’s coronavirus chief wept while thanking healthcare workers for their efforts.</w:t>
      </w:r>
      <w:r w:rsidRPr="008656CC">
        <w:t xml:space="preserve"> Meanwhile, Spanish officials have requisitioned an </w:t>
      </w:r>
      <w:r w:rsidRPr="00B06ED0">
        <w:t>ice rink</w:t>
      </w:r>
      <w:r w:rsidRPr="008656CC">
        <w:t> as a makeshift morgue, and nurses in the United States are begging for </w:t>
      </w:r>
      <w:r w:rsidRPr="00B06ED0">
        <w:t>hand-sewn masks</w:t>
      </w:r>
      <w:r w:rsidRPr="008656CC">
        <w:t xml:space="preserve">. The stark contrasts raise a pointed question about governance: </w:t>
      </w:r>
      <w:r w:rsidRPr="008656CC">
        <w:rPr>
          <w:rStyle w:val="StyleUnderline"/>
        </w:rPr>
        <w:t>Are authoritarian countries doing a better job than democratic ones in arresting the coronavirus?</w:t>
      </w:r>
    </w:p>
    <w:p w14:paraId="5BD0223A" w14:textId="77777777" w:rsidR="004F343C" w:rsidRPr="008656CC" w:rsidRDefault="004F343C" w:rsidP="004F343C">
      <w:r w:rsidRPr="008656CC">
        <w:t>China is certainly engaged in an </w:t>
      </w:r>
      <w:r w:rsidRPr="00B06ED0">
        <w:t>English-language propaganda campaign</w:t>
      </w:r>
      <w:r w:rsidRPr="008656CC">
        <w:t> to depict its response as an effective deployment of high-tech authoritarianism that rapidly contained the virus and bought the world time. It’s buttressing the message by sending </w:t>
      </w:r>
      <w:r w:rsidRPr="00B06ED0">
        <w:t>medical equipment and experts</w:t>
      </w:r>
      <w:r w:rsidRPr="008656CC">
        <w:t> to other countries, and spreading a false story that the illness originated as </w:t>
      </w:r>
      <w:r w:rsidRPr="00B06ED0">
        <w:t>U.S. military bioterrorism</w:t>
      </w:r>
      <w:r w:rsidRPr="008656CC">
        <w:t>. Mounting a propaganda campaign of his own, President Donald Trump </w:t>
      </w:r>
      <w:r w:rsidRPr="00B06ED0">
        <w:t>issued guidelines</w:t>
      </w:r>
      <w:r w:rsidRPr="008656CC">
        <w:t> to slap the pandemic with a </w:t>
      </w:r>
      <w:r w:rsidRPr="00B06ED0">
        <w:t>“Made in China”</w:t>
      </w:r>
      <w:r w:rsidRPr="008656CC">
        <w:t> label and blame China’s authoritarianism and censorship for </w:t>
      </w:r>
      <w:r w:rsidRPr="00B06ED0">
        <w:t>early delays</w:t>
      </w:r>
      <w:r w:rsidRPr="008656CC">
        <w:t> that allowed a potentially containable virus to infect the world.</w:t>
      </w:r>
    </w:p>
    <w:p w14:paraId="5ABDF3E5" w14:textId="77777777" w:rsidR="004F343C" w:rsidRPr="008656CC" w:rsidRDefault="004F343C" w:rsidP="004F343C">
      <w:r w:rsidRPr="008656CC">
        <w:t xml:space="preserve">Despite attempts by politicians to use the crisis to tout their favored political model, </w:t>
      </w:r>
      <w:r w:rsidRPr="008656CC">
        <w:rPr>
          <w:rStyle w:val="StyleUnderline"/>
        </w:rPr>
        <w:t>the record so far does</w:t>
      </w:r>
      <w:r w:rsidRPr="008656CC">
        <w:t xml:space="preserve"> not </w:t>
      </w:r>
      <w:r w:rsidRPr="008656CC">
        <w:rPr>
          <w:rStyle w:val="StyleUnderline"/>
        </w:rPr>
        <w:t>show a strong correlation between efficacy and regime type. While some autocracies have performed well, like Singapore,</w:t>
      </w:r>
      <w:r w:rsidRPr="008656CC">
        <w:t xml:space="preserve"> others have done very poorly, like Iran. Similarly, some </w:t>
      </w:r>
      <w:r w:rsidRPr="008656CC">
        <w:rPr>
          <w:rStyle w:val="StyleUnderline"/>
        </w:rPr>
        <w:t>democracies have stumbled, like Italy and the United States,</w:t>
      </w:r>
      <w:r w:rsidRPr="008656CC">
        <w:t xml:space="preserve"> while others have performed admirably, like South Korea and Taiwan. The disease has not yet ravaged developing countries, making it impossible to include poorer autocracies and democracies in the comparison.</w:t>
      </w:r>
    </w:p>
    <w:p w14:paraId="44427674" w14:textId="77777777" w:rsidR="004F343C" w:rsidRDefault="004F343C" w:rsidP="004F343C">
      <w:r w:rsidRPr="008656CC">
        <w:t>Three factors appear to have a greater bearing on a country’s success than its type of regime.</w:t>
      </w:r>
    </w:p>
    <w:p w14:paraId="44C706F3" w14:textId="77777777" w:rsidR="004F343C" w:rsidRPr="008656CC" w:rsidRDefault="004F343C" w:rsidP="004F343C">
      <w:r>
        <w:t>Lessons Learned From the SARS Epidemic</w:t>
      </w:r>
    </w:p>
    <w:p w14:paraId="226264B5" w14:textId="77777777" w:rsidR="004F343C" w:rsidRDefault="004F343C" w:rsidP="004F343C">
      <w:r w:rsidRPr="00B06ED0">
        <w:t>Taiwan, South Korea, Hong Kong</w:t>
      </w:r>
      <w:r w:rsidRPr="008656CC">
        <w:t>, and </w:t>
      </w:r>
      <w:r w:rsidRPr="00B06ED0">
        <w:t>Singapore</w:t>
      </w:r>
      <w:r w:rsidRPr="008656CC">
        <w:t xml:space="preserve"> differ in their governance systems, but all took away key lessons from SARS: </w:t>
      </w:r>
      <w:r w:rsidRPr="008656CC">
        <w:rPr>
          <w:rStyle w:val="StyleUnderline"/>
        </w:rPr>
        <w:t>They developed speedy tests soon after the coronavirus began spreading and undertook broad testing to get one step ahead of the virus.</w:t>
      </w:r>
      <w:r w:rsidRPr="008656CC">
        <w:t xml:space="preserve"> All had </w:t>
      </w:r>
      <w:r w:rsidRPr="00B06ED0">
        <w:t>laws</w:t>
      </w:r>
      <w:r w:rsidRPr="008656CC">
        <w:t> in effect or to invoke during emergencies that allowed extraordinary tracking of where individuals infected with the coronavirus had been, and they relaxed privacy protections to spread that information widely and alert people to be tested. They then relied on heavily enforced quarantines to corral the outbreak. </w:t>
      </w:r>
      <w:r w:rsidRPr="00B06ED0">
        <w:t>Canada</w:t>
      </w:r>
      <w:r w:rsidRPr="008656CC">
        <w:t>, the one country outside Asia to have </w:t>
      </w:r>
      <w:r w:rsidRPr="00B06ED0">
        <w:t>a major SARS outbreak</w:t>
      </w:r>
      <w:r w:rsidRPr="008656CC">
        <w:t>, engaged in similar </w:t>
      </w:r>
      <w:r w:rsidRPr="00B06ED0">
        <w:t>coronavirus preparation and mass testing</w:t>
      </w:r>
      <w:r w:rsidRPr="008656CC">
        <w:t>.</w:t>
      </w:r>
    </w:p>
    <w:p w14:paraId="33BE31B8" w14:textId="77777777" w:rsidR="004F343C" w:rsidRPr="008656CC" w:rsidRDefault="004F343C" w:rsidP="004F343C">
      <w:r>
        <w:t>Legitimate Political Systems</w:t>
      </w:r>
    </w:p>
    <w:p w14:paraId="22864200" w14:textId="77777777" w:rsidR="004F343C" w:rsidRPr="0072352A" w:rsidRDefault="004F343C" w:rsidP="004F343C">
      <w:pPr>
        <w:rPr>
          <w:rStyle w:val="StyleUnderline"/>
        </w:rPr>
      </w:pPr>
      <w:r w:rsidRPr="008656CC">
        <w:t>When Hong Kong’s chief executive attempted the same strategy as some of Hong Kong’s neighbors, she faced </w:t>
      </w:r>
      <w:r w:rsidRPr="00B06ED0">
        <w:t>striking nurses and violent opposition</w:t>
      </w:r>
      <w:r w:rsidRPr="008656CC">
        <w:t xml:space="preserve"> to quarantine. What differentiated Hong Kong from other SARS veterans? </w:t>
      </w:r>
      <w:r w:rsidRPr="0072352A">
        <w:rPr>
          <w:rStyle w:val="StyleUnderline"/>
        </w:rPr>
        <w:t>Its government is distrusted by nearly 60 percent of the population.</w:t>
      </w:r>
    </w:p>
    <w:p w14:paraId="139ED1E5" w14:textId="77777777" w:rsidR="004F343C" w:rsidRPr="008656CC" w:rsidRDefault="004F343C" w:rsidP="004F343C">
      <w:r w:rsidRPr="0072352A">
        <w:rPr>
          <w:rStyle w:val="StyleUnderline"/>
        </w:rPr>
        <w:lastRenderedPageBreak/>
        <w:t>The success of governmental social control depends more on voluntary compliance than on government enforcement</w:t>
      </w:r>
      <w:r w:rsidRPr="008656CC">
        <w:t>. In the Cold War era, totalitarian systems were known for their neighborhood spies, gulags, apparatchik bureaucrats, and centralized, highly ideological states where citizens distrusted their government and one another. But today, trust no longer breaks down clearly by government type.</w:t>
      </w:r>
    </w:p>
    <w:p w14:paraId="4EE6F424" w14:textId="77777777" w:rsidR="004F343C" w:rsidRPr="0072352A" w:rsidRDefault="004F343C" w:rsidP="004F343C">
      <w:pPr>
        <w:rPr>
          <w:rStyle w:val="StyleUnderline"/>
        </w:rPr>
      </w:pPr>
      <w:r w:rsidRPr="008656CC">
        <w:t>According to surveys by Edelman, China is far and away the country </w:t>
      </w:r>
      <w:r w:rsidRPr="00B06ED0">
        <w:t>most trusted by its population</w:t>
      </w:r>
      <w:r w:rsidRPr="008656CC">
        <w:t>, Singapore </w:t>
      </w:r>
      <w:r w:rsidRPr="00B06ED0">
        <w:t>ranks sixth</w:t>
      </w:r>
      <w:r w:rsidRPr="008656CC">
        <w:t>, and South Korea has risen to </w:t>
      </w:r>
      <w:r w:rsidRPr="00B06ED0">
        <w:t>tenth place</w:t>
      </w:r>
      <w:r w:rsidRPr="008656CC">
        <w:t xml:space="preserve"> under its current leadership. </w:t>
      </w:r>
      <w:r w:rsidRPr="0072352A">
        <w:rPr>
          <w:rStyle w:val="StyleUnderline"/>
        </w:rPr>
        <w:t>Governments with high levels of trust can effectively maintain onerous lockdowns. Equally important, trust enabled some countries to convince their citizens to allow mass testing and quarantine before the virus’s effects were widely seen, allowing them to stop the spread early.</w:t>
      </w:r>
    </w:p>
    <w:p w14:paraId="0D30DA87" w14:textId="77777777" w:rsidR="004F343C" w:rsidRPr="008656CC" w:rsidRDefault="004F343C" w:rsidP="004F343C">
      <w:r w:rsidRPr="008656CC">
        <w:t>Conversely, Iran’s government has long been troubled by crises of illegitimacy—one reason why religious leaders in Qom </w:t>
      </w:r>
      <w:r w:rsidRPr="00B06ED0">
        <w:t>refused to close holy pilgrimage</w:t>
      </w:r>
      <w:r w:rsidRPr="008656CC">
        <w:t> sites and many Iranians ignored warnings to stay home and continued to spread the disease.</w:t>
      </w:r>
    </w:p>
    <w:p w14:paraId="263C3188" w14:textId="77777777" w:rsidR="004F343C" w:rsidRPr="008656CC" w:rsidRDefault="004F343C" w:rsidP="004F343C">
      <w:r w:rsidRPr="0072352A">
        <w:rPr>
          <w:rStyle w:val="StyleUnderline"/>
        </w:rPr>
        <w:t xml:space="preserve">But many democracies—dogged by polarization, inequality, and a sense of failed promise—also face low citizen trust. Italians’ trust in their government hovers near that of Hong Kong. </w:t>
      </w:r>
      <w:r w:rsidRPr="008656CC">
        <w:t>Thus, even as </w:t>
      </w:r>
      <w:r w:rsidRPr="00B06ED0">
        <w:t>police charge</w:t>
      </w:r>
      <w:r w:rsidRPr="008656CC">
        <w:t> tens of thousands of people for breaking lockdown, movement in Lombardy has continued at about 40 percent of normal levels, according to </w:t>
      </w:r>
      <w:r w:rsidRPr="00B06ED0">
        <w:t>cell phone data</w:t>
      </w:r>
      <w:r w:rsidRPr="008656CC">
        <w:t>. Many European democracies have faced declining trust since the 2008 financial crisis, with Spain, France, and the UK rating particularly low in a </w:t>
      </w:r>
      <w:r w:rsidRPr="00B06ED0">
        <w:t>Gallup study</w:t>
      </w:r>
      <w:r w:rsidRPr="008656CC">
        <w:t xml:space="preserve">. </w:t>
      </w:r>
      <w:r w:rsidRPr="0072352A">
        <w:rPr>
          <w:rStyle w:val="StyleUnderline"/>
        </w:rPr>
        <w:t>In the United States, Pew polling finds that trust in the government has plunged from 75 percent of the population in the 1960s to a near-historic low of 17 percent today.</w:t>
      </w:r>
      <w:r w:rsidRPr="008656CC">
        <w:t xml:space="preserve"> While more people trust government medical advice, Gallup has found that </w:t>
      </w:r>
      <w:r w:rsidRPr="00B06ED0">
        <w:t>over a third of Italians and nearly 30 percent of Americans</w:t>
      </w:r>
      <w:r w:rsidRPr="008656CC">
        <w:t> don’t. Unsurprisingly, many people in both countries ignored early advice to practice social distancing.</w:t>
      </w:r>
    </w:p>
    <w:p w14:paraId="6E44E2A1" w14:textId="77777777" w:rsidR="004F343C" w:rsidRPr="008656CC" w:rsidRDefault="004F343C" w:rsidP="004F343C">
      <w:r w:rsidRPr="008656CC">
        <w:t>In the United States, polarization affects views of legitimacy. Observance of measures such as handwashing broke down along starkly </w:t>
      </w:r>
      <w:r w:rsidRPr="00B06ED0">
        <w:t>partisan lines</w:t>
      </w:r>
      <w:r w:rsidRPr="008656CC">
        <w:t> as Trump downplayed the virus and offered advice in conflict with that of medical experts. As state governments—which enjoy </w:t>
      </w:r>
      <w:r w:rsidRPr="00B06ED0">
        <w:t>greater trust levels</w:t>
      </w:r>
      <w:r w:rsidRPr="008656CC">
        <w:t>—step into the breach, they implement widely differing public health approaches that mirror the </w:t>
      </w:r>
      <w:r w:rsidRPr="00B06ED0">
        <w:t>red-blue electoral map</w:t>
      </w:r>
      <w:r w:rsidRPr="008656CC">
        <w:t>, turning the United States into </w:t>
      </w:r>
      <w:r w:rsidRPr="00B06ED0">
        <w:t>fifty case studies in governance</w:t>
      </w:r>
      <w:r w:rsidRPr="008656CC">
        <w:t>.</w:t>
      </w:r>
    </w:p>
    <w:p w14:paraId="63B72B7A" w14:textId="77777777" w:rsidR="004F343C" w:rsidRPr="0072352A" w:rsidRDefault="004F343C" w:rsidP="004F343C">
      <w:pPr>
        <w:rPr>
          <w:rStyle w:val="StyleUnderline"/>
        </w:rPr>
      </w:pPr>
      <w:r w:rsidRPr="0072352A">
        <w:rPr>
          <w:rStyle w:val="StyleUnderline"/>
        </w:rPr>
        <w:t>Another aspect of legitimacy is the extent to which governments play politics with a pandemic to buttress their rule. In typical authoritarian fashion, Iran and China both hid the extent of the crisis from the world and their own publics.</w:t>
      </w:r>
      <w:r w:rsidRPr="008656CC">
        <w:t xml:space="preserve"> China forced an early whistleblowing doctor to recant and refused help from the World Health Organization; Iran grandstanded by sending masks to help Wuhan just a few weeks before it would </w:t>
      </w:r>
      <w:r w:rsidRPr="00B06ED0">
        <w:t>secretly build mass graves</w:t>
      </w:r>
      <w:r w:rsidRPr="008656CC">
        <w:t> at home. Yet in authoritarian Singapore, the prime minister’s </w:t>
      </w:r>
      <w:r w:rsidRPr="00B06ED0">
        <w:t>excellent risk communication</w:t>
      </w:r>
      <w:r w:rsidRPr="008656CC">
        <w:t xml:space="preserve"> and transparency have been credited with quickly stopping people from hoarding goods by letting them know what to expect. </w:t>
      </w:r>
      <w:r w:rsidRPr="0072352A">
        <w:rPr>
          <w:rStyle w:val="StyleUnderline"/>
        </w:rPr>
        <w:t>Meanwhile, the U.S. government politicized the crisis, minimizing its seriousness and under-testing, possibly to avoid numbers that would be politically damaging in an election year.</w:t>
      </w:r>
    </w:p>
    <w:p w14:paraId="050BE43B" w14:textId="77777777" w:rsidR="004F343C" w:rsidRPr="008656CC" w:rsidRDefault="004F343C" w:rsidP="004F343C">
      <w:r>
        <w:t>State Capability</w:t>
      </w:r>
    </w:p>
    <w:p w14:paraId="343F570B" w14:textId="77777777" w:rsidR="004F343C" w:rsidRPr="008656CC" w:rsidRDefault="004F343C" w:rsidP="004F343C">
      <w:r w:rsidRPr="008656CC">
        <w:t xml:space="preserve">A government’s capacity—its ability to intervene competently in arenas from communication and health provision to quarantine maintenance and equipment manufacturing—is only loosely related to its GDP or overall type of political regime. Some poorer countries have highly educated populations and </w:t>
      </w:r>
      <w:r w:rsidRPr="008656CC">
        <w:lastRenderedPageBreak/>
        <w:t xml:space="preserve">stronger than average systems of health and enforcement. </w:t>
      </w:r>
      <w:r w:rsidRPr="0072352A">
        <w:rPr>
          <w:rStyle w:val="StyleUnderline"/>
        </w:rPr>
        <w:t>Authoritarian, lower-middle-income Vietnam, for instance, was able to carry out a similar strategy, with similar success, to that of wealthier, more democratic South Korea.</w:t>
      </w:r>
    </w:p>
    <w:p w14:paraId="7CFB0FE4" w14:textId="77777777" w:rsidR="004F343C" w:rsidRDefault="004F343C" w:rsidP="004F343C">
      <w:r w:rsidRPr="0072352A">
        <w:rPr>
          <w:rStyle w:val="StyleUnderline"/>
        </w:rPr>
        <w:t>The United States is underperforming relative to its wealth. The unusual percentage of political appointees in its national civil service means that, at its wealthiest and best-resourced level of government, the response has been hampered by politics and ideology, as well as bureaucratic red tape and rigidity.</w:t>
      </w:r>
      <w:r w:rsidRPr="008656CC">
        <w:t xml:space="preserve"> One consequence is that it can take a week to receive the results of coronavirus diagnostic tests in the United States, while Japan has developed a </w:t>
      </w:r>
      <w:r w:rsidRPr="00B06ED0">
        <w:t>fifteen-minute test</w:t>
      </w:r>
      <w:r w:rsidRPr="008656CC">
        <w:t> and Singapore can produce test results in </w:t>
      </w:r>
      <w:r w:rsidRPr="00B06ED0">
        <w:t>three hours</w:t>
      </w:r>
      <w:r w:rsidRPr="008656CC">
        <w:t>. Meanwhile, who gets tested, how fast those tests are processed, and with how much meticulousness contacts are traced and corralled—the crucial steps that allow countries to avoid general lockdown—are all conducted by </w:t>
      </w:r>
      <w:r w:rsidRPr="00B06ED0">
        <w:t>local health departments</w:t>
      </w:r>
      <w:r w:rsidRPr="008656CC">
        <w:t>. Local resources and education vary widely, and some areas resemble far poorer and less capable countries. In early March, for example, </w:t>
      </w:r>
      <w:r w:rsidRPr="00B06ED0">
        <w:t>Vietnam</w:t>
      </w:r>
      <w:r w:rsidRPr="008656CC">
        <w:t> was carrying out vastly greater numbers of tests, both per capita and on an absolute basis, than the </w:t>
      </w:r>
      <w:r w:rsidRPr="00B06ED0">
        <w:t>United States</w:t>
      </w:r>
      <w:r w:rsidRPr="008656CC">
        <w:t>.</w:t>
      </w:r>
    </w:p>
    <w:p w14:paraId="469DA84C" w14:textId="77777777" w:rsidR="004F343C" w:rsidRPr="008656CC" w:rsidRDefault="004F343C" w:rsidP="004F343C">
      <w:r>
        <w:t xml:space="preserve">Science Requires Responses, Not Ideology  </w:t>
      </w:r>
    </w:p>
    <w:p w14:paraId="294E38DD" w14:textId="77777777" w:rsidR="004F343C" w:rsidRPr="008656CC" w:rsidRDefault="004F343C" w:rsidP="004F343C">
      <w:r w:rsidRPr="008656CC">
        <w:t xml:space="preserve">While it is relatively easy to determine what characteristics make for an effective pandemic response, it’s difficult to determine whether any given strategy is more authoritarian or democratic. </w:t>
      </w:r>
      <w:r w:rsidRPr="0072352A">
        <w:rPr>
          <w:rStyle w:val="StyleUnderline"/>
        </w:rPr>
        <w:t>For instance, the lax privacy rules that allow South Korea to combine the credit card, CCTV, and GPS tracking data of people who have the virus, and then publicize the results to trace possible contacts, feel Orwellian to those in the West.</w:t>
      </w:r>
      <w:r w:rsidRPr="008656CC">
        <w:t xml:space="preserve"> Yet mass tracing, testing, and quarantine have allowed some countries to avoid the long-term forced lockdowns and military patrols that make democratic Italy, Spain, and France feel as if they are under martial law.</w:t>
      </w:r>
    </w:p>
    <w:p w14:paraId="38E8342D" w14:textId="77777777" w:rsidR="004F343C" w:rsidRPr="0072352A" w:rsidRDefault="004F343C" w:rsidP="004F343C">
      <w:pPr>
        <w:rPr>
          <w:rStyle w:val="StyleUnderline"/>
        </w:rPr>
      </w:pPr>
      <w:r w:rsidRPr="008656CC">
        <w:t>China forced 800,000 people into quarantine, and its use of stadiums as mass isolation areas was chillingly reminiscent of Chilean concentration camps under former president Augusto Pinochet. Yet China has claimed that the people in these </w:t>
      </w:r>
      <w:r w:rsidRPr="00B06ED0">
        <w:t>temporary hospital facilities</w:t>
      </w:r>
      <w:r w:rsidRPr="008656CC">
        <w:t xml:space="preserve"> were closely monitored and received speedy help, enabling the country to end emergency measures within weeks. </w:t>
      </w:r>
      <w:r w:rsidRPr="0072352A">
        <w:rPr>
          <w:rStyle w:val="StyleUnderline"/>
        </w:rPr>
        <w:t>Such policies would likely be a relief to many Italians dying in their homes or U.S. businesses facing long-term closure.</w:t>
      </w:r>
    </w:p>
    <w:p w14:paraId="3F267D89" w14:textId="77777777" w:rsidR="004F343C" w:rsidRPr="008656CC" w:rsidRDefault="004F343C" w:rsidP="004F343C">
      <w:r w:rsidRPr="0072352A">
        <w:rPr>
          <w:rStyle w:val="StyleUnderline"/>
        </w:rPr>
        <w:t>The laws of science have a logic that belies ideology. China’s tough measures forcing businesses and schools to close, locking off Hubei Province, and keeping its 50 million citizens homebound was reported by the Washington Post under the headline “China’s coronavirus lockdown—brought to you by authoritarianism.”</w:t>
      </w:r>
      <w:r w:rsidRPr="008656CC">
        <w:t xml:space="preserve"> But then Italy imposed similar rules on 60 million Italians, over 100 million Americans were told to </w:t>
      </w:r>
      <w:r w:rsidRPr="00B06ED0">
        <w:t>shelter in place</w:t>
      </w:r>
      <w:r w:rsidRPr="008656CC">
        <w:t>, and India called for the largest shutdown in history for its </w:t>
      </w:r>
      <w:r w:rsidRPr="00B06ED0">
        <w:t>1.3 billion people</w:t>
      </w:r>
      <w:r w:rsidRPr="008656CC">
        <w:t>. Singapore’s criminal penalties for breaking quarantine and China’s temperature-checking apps and phone-reading drones appeared to capitalize on their high-capacity authoritarianism. But those measures are not dissimilar to South Korea’s </w:t>
      </w:r>
      <w:r w:rsidRPr="00B06ED0">
        <w:t>digital tracking app</w:t>
      </w:r>
      <w:r w:rsidRPr="008656CC">
        <w:t>, and criminal penalties for breaking quarantine also apply in a multitude of democratic countries, including Italy and the </w:t>
      </w:r>
      <w:r w:rsidRPr="00B06ED0">
        <w:t>United States</w:t>
      </w:r>
      <w:r w:rsidRPr="008656CC">
        <w:t>.</w:t>
      </w:r>
    </w:p>
    <w:p w14:paraId="42AACCC8" w14:textId="41B4BBDD" w:rsidR="004F343C" w:rsidRDefault="004F343C" w:rsidP="004F343C">
      <w:pPr>
        <w:rPr>
          <w:rStyle w:val="Emphasis"/>
        </w:rPr>
      </w:pPr>
      <w:r w:rsidRPr="0072352A">
        <w:rPr>
          <w:rStyle w:val="StyleUnderline"/>
        </w:rPr>
        <w:t>Authoritarian and democratic governments both have mixed records when it comes to pandemic response.</w:t>
      </w:r>
      <w:r w:rsidRPr="008656CC">
        <w:t xml:space="preserve"> But China’s early start in fighting back the scourge, its economic wherewithal, and its desire to rise globally suggest that it will not let the pandemic go to waste. </w:t>
      </w:r>
      <w:r w:rsidRPr="0072352A">
        <w:rPr>
          <w:rStyle w:val="Emphasis"/>
        </w:rPr>
        <w:t>Authoritarians are certainly in the lead in using the crisis to double down on autocracy in other areas of their governance</w:t>
      </w:r>
      <w:r w:rsidRPr="008656CC">
        <w:t>: witness Russian President Vladimir Putin’s use of the virus to </w:t>
      </w:r>
      <w:r w:rsidRPr="00B06ED0">
        <w:t>grab more power</w:t>
      </w:r>
      <w:r w:rsidRPr="008656CC">
        <w:t xml:space="preserve">, Prime Minister Viktor Orbán’s </w:t>
      </w:r>
      <w:r w:rsidRPr="008656CC">
        <w:lastRenderedPageBreak/>
        <w:t>attempt to </w:t>
      </w:r>
      <w:r w:rsidRPr="00B06ED0">
        <w:t>rule by decree</w:t>
      </w:r>
      <w:r w:rsidRPr="008656CC">
        <w:t> in Hungary, and China’s </w:t>
      </w:r>
      <w:r w:rsidRPr="00B06ED0">
        <w:t>denial of food access</w:t>
      </w:r>
      <w:r w:rsidRPr="008656CC">
        <w:t xml:space="preserve"> to Uighur citizens already facing massive repression. </w:t>
      </w:r>
      <w:r w:rsidRPr="0072352A">
        <w:rPr>
          <w:rStyle w:val="StyleUnderline"/>
        </w:rPr>
        <w:t>If developed democracies cannot pull together to stop the spread of the virus, manufacture the goods the world needs to fight it, and make plans to jumpstart the global economy, China will do so.</w:t>
      </w:r>
      <w:r w:rsidRPr="008656CC">
        <w:t xml:space="preserve"> </w:t>
      </w:r>
      <w:r w:rsidRPr="0072352A">
        <w:rPr>
          <w:rStyle w:val="Emphasis"/>
        </w:rPr>
        <w:t>On the other end of this crisis, the result could be a decisive global shift toward its authoritarian model.</w:t>
      </w:r>
    </w:p>
    <w:p w14:paraId="4D97DFDB" w14:textId="373926A0" w:rsidR="005C2C07" w:rsidRPr="005C2C07" w:rsidRDefault="005C2C07" w:rsidP="005C2C07">
      <w:pPr>
        <w:pStyle w:val="Heading2"/>
      </w:pPr>
      <w:r w:rsidRPr="005C2C07">
        <w:lastRenderedPageBreak/>
        <w:t xml:space="preserve">Science Literacy </w:t>
      </w:r>
    </w:p>
    <w:p w14:paraId="7DBD35EA" w14:textId="77777777" w:rsidR="00054700" w:rsidRDefault="00054700" w:rsidP="00054700">
      <w:pPr>
        <w:pStyle w:val="Heading3"/>
      </w:pPr>
      <w:r>
        <w:lastRenderedPageBreak/>
        <w:t>Sci Literacy – Climate Litigation – Solvency Answers</w:t>
      </w:r>
    </w:p>
    <w:p w14:paraId="5ECA3B6E" w14:textId="77777777" w:rsidR="00054700" w:rsidRDefault="00054700" w:rsidP="00054700">
      <w:pPr>
        <w:pStyle w:val="Heading4"/>
      </w:pPr>
      <w:r>
        <w:t>Climate Litigation is ineffective: 2 Reasons:</w:t>
      </w:r>
    </w:p>
    <w:p w14:paraId="0F56DAAF" w14:textId="77777777" w:rsidR="00054700" w:rsidRDefault="00054700" w:rsidP="00054700">
      <w:pPr>
        <w:pStyle w:val="Heading4"/>
        <w:numPr>
          <w:ilvl w:val="0"/>
          <w:numId w:val="16"/>
        </w:numPr>
      </w:pPr>
      <w:r>
        <w:t>The “Drop in the Ocean” problem lets corporations dodge responsibility</w:t>
      </w:r>
    </w:p>
    <w:p w14:paraId="12101862" w14:textId="77777777" w:rsidR="00054700" w:rsidRDefault="00054700" w:rsidP="00054700">
      <w:r w:rsidRPr="009D5E4C">
        <w:rPr>
          <w:rStyle w:val="Style13ptBold"/>
        </w:rPr>
        <w:t>Peel, University of Melbourne Climate Professor, 11</w:t>
      </w:r>
      <w:r>
        <w:t xml:space="preserve"> </w:t>
      </w:r>
    </w:p>
    <w:p w14:paraId="0E8432E8" w14:textId="77777777" w:rsidR="00054700" w:rsidRDefault="00054700" w:rsidP="00054700">
      <w:r>
        <w:t xml:space="preserve">(Jacqueline, May 2012, ResearchGate, “Issues in Climate Change Litigation,” </w:t>
      </w:r>
      <w:hyperlink r:id="rId23" w:history="1">
        <w:r w:rsidRPr="00FE3710">
          <w:rPr>
            <w:rStyle w:val="Hyperlink"/>
          </w:rPr>
          <w:t>https://www.researchgate.net/publication/256019523_Issues_in_Climate_Change_Litigation</w:t>
        </w:r>
      </w:hyperlink>
      <w:r>
        <w:t>, Accessed 7/16/2020, MM)</w:t>
      </w:r>
    </w:p>
    <w:p w14:paraId="00A1B6D1" w14:textId="77777777" w:rsidR="00054700" w:rsidRDefault="00054700" w:rsidP="00054700">
      <w:r w:rsidRPr="009963EF">
        <w:rPr>
          <w:rStyle w:val="StyleUnderline"/>
        </w:rPr>
        <w:t>Climate change is the paradigmatic global environmental problem</w:t>
      </w:r>
      <w:r>
        <w:t xml:space="preserve">. Anthropogenic emissions of carbon dioxide and the other GHGs that give rise to atmospheric warming are produced in all countries by innumerable entities.5 In this sense </w:t>
      </w:r>
      <w:r w:rsidRPr="009963EF">
        <w:rPr>
          <w:rStyle w:val="StyleUnderline"/>
        </w:rPr>
        <w:t>no one country or entity can be said to be the cause of climate change</w:t>
      </w:r>
      <w:r>
        <w:t>. Nonetheless, some countries and corporations are more substantial contributors to atmospheric GHG emissions than others. For instance, Australia holds the dubious honour of being the largest per capita emitter of GHGs given the country’s dependence on coal-fired power generation.6 Likewise, one of Australia’s largest coal-fired power stations, the Hazelwood plant in the Latrobe Valley, contributes a huge proportion of the overall GHG emissions of the State of Victoria,7 and was identified in 2005 by the environmental group, WWF, as the most polluting of all power stations operating in the world’s major industrialized countries.8</w:t>
      </w:r>
    </w:p>
    <w:p w14:paraId="56EF1CCF" w14:textId="77777777" w:rsidR="00054700" w:rsidRDefault="00054700" w:rsidP="00054700">
      <w:r w:rsidRPr="009963EF">
        <w:rPr>
          <w:rStyle w:val="StyleUnderline"/>
        </w:rPr>
        <w:t>The larger-than-average contribution to GHG emissions made by some countries, and companies, raises the issue of whether such entities can be held especially responsible for the resulting climate change impacts</w:t>
      </w:r>
      <w:r>
        <w:t>, even in cases where these effects will be felt globally.9 In the context of a tortious climate change claim, the answer to this question goes to the matter of proof of a causal link between the defendant’s actions and the alleged harm.10 It is also a key issue where public law challenges are brought pursuant to environmental assessment statutes since such legislation is often only triggered if projects have or are likely to have a “significant” impact on the environment.11</w:t>
      </w:r>
    </w:p>
    <w:p w14:paraId="2E310379" w14:textId="77777777" w:rsidR="00054700" w:rsidRDefault="00054700" w:rsidP="00054700">
      <w:r w:rsidRPr="009963EF">
        <w:rPr>
          <w:rStyle w:val="StyleUnderline"/>
        </w:rPr>
        <w:t>A common defense mounted by defendants in climate change litigation is that the GHG emissions from a particular activity are but a “drop in the ocean” in global terms and hence cannot be said to cause climate change harm and/or have a significant environmental impact</w:t>
      </w:r>
      <w:r>
        <w:t xml:space="preserve">. For instance, in </w:t>
      </w:r>
      <w:r w:rsidRPr="009963EF">
        <w:rPr>
          <w:rStyle w:val="StyleUnderline"/>
        </w:rPr>
        <w:t>an Australian case involving a challenge to the environmental assessment for a proposed new coal mine at Anvil Hill in New South Wales, the significance of the estimated annual emissions from burning coal harvested from the mine was sought to be diminished by arguing that they would constitute only 0.04 % of global GHG emissions</w:t>
      </w:r>
      <w:r w:rsidRPr="009963EF">
        <w:t xml:space="preserve">.12 </w:t>
      </w:r>
      <w:r w:rsidRPr="009963EF">
        <w:rPr>
          <w:rStyle w:val="StyleUnderline"/>
        </w:rPr>
        <w:t>A similar argument was made before the US Supreme Court in Massachusetts v Environmental Protection Agency</w:t>
      </w:r>
      <w:r w:rsidRPr="009963EF">
        <w:t xml:space="preserve">, </w:t>
      </w:r>
      <w:r w:rsidRPr="009963EF">
        <w:rPr>
          <w:rStyle w:val="StyleUnderline"/>
        </w:rPr>
        <w:t>namely that the Agency’s failure to regulate GHG emissions from new motor vehicles would make an insignificant contribution to global warming injuries suffered by the state of Massachusetts</w:t>
      </w:r>
      <w:r w:rsidRPr="009963EF">
        <w:t xml:space="preserve">.13 By casting the relevant basis for the assessment of harm as global, </w:t>
      </w:r>
      <w:r w:rsidRPr="009963EF">
        <w:rPr>
          <w:rStyle w:val="StyleUnderline"/>
        </w:rPr>
        <w:t>defendants seek to argue that GHG emissions are only a small (and by implication, insignificant) contributor to the broader problem of climate change.</w:t>
      </w:r>
    </w:p>
    <w:p w14:paraId="295F08D5" w14:textId="77777777" w:rsidR="00054700" w:rsidRDefault="00054700" w:rsidP="00054700">
      <w:r w:rsidRPr="009963EF">
        <w:rPr>
          <w:rStyle w:val="StyleUnderline"/>
        </w:rPr>
        <w:t>Although the emission of GHGs gives rise to global environmental effects, it does not necessarily follow that the only</w:t>
      </w:r>
      <w:r>
        <w:t xml:space="preserve">, or even the most appropriate, </w:t>
      </w:r>
      <w:r w:rsidRPr="009963EF">
        <w:rPr>
          <w:rStyle w:val="StyleUnderline"/>
        </w:rPr>
        <w:t>scale for assessment of impacts and regulation of the problem is a global one</w:t>
      </w:r>
      <w:r>
        <w:t xml:space="preserve">. Climate change has local as well as more widespread effects, and some environments may suffer more than others as a result of their special vulnerability. As Hari Osofsky has </w:t>
      </w:r>
      <w:r>
        <w:lastRenderedPageBreak/>
        <w:t>argued, climate change is thus a “multiscalar” regulatory problem capable of simultaneously engaging more than one level of governance (local, state, national, regional, international).14 In herwork, Osofsky discusses how climate change litigation has become a site for contestation over the appropriate scale of climate change regulation with “… antiregulatory parties attempt[ing] to scale up the problem with variations on arguments that climate change is an international problem happening over too long a time period, while those wanting greater regulation try to scale the problem of climate change back down to state or local levels and the present time.”15</w:t>
      </w:r>
    </w:p>
    <w:p w14:paraId="3DE29EFB" w14:textId="77777777" w:rsidR="00054700" w:rsidRDefault="00054700" w:rsidP="00054700"/>
    <w:p w14:paraId="39F9E797" w14:textId="77777777" w:rsidR="00054700" w:rsidRDefault="00054700" w:rsidP="00054700">
      <w:pPr>
        <w:pStyle w:val="Heading4"/>
        <w:numPr>
          <w:ilvl w:val="0"/>
          <w:numId w:val="16"/>
        </w:numPr>
      </w:pPr>
      <w:r>
        <w:t xml:space="preserve">The “Death by a Thousand Cuts” problem has courts hold actions carried out judged in vacuum – that causes courts to set precedents which lead to more pollution </w:t>
      </w:r>
    </w:p>
    <w:p w14:paraId="43364E9E" w14:textId="77777777" w:rsidR="00054700" w:rsidRDefault="00054700" w:rsidP="00054700">
      <w:r w:rsidRPr="009D5E4C">
        <w:rPr>
          <w:rStyle w:val="Style13ptBold"/>
        </w:rPr>
        <w:t>Peel, University of Melbourne Climate Professor, 11</w:t>
      </w:r>
      <w:r>
        <w:t xml:space="preserve"> </w:t>
      </w:r>
    </w:p>
    <w:p w14:paraId="1572D72C" w14:textId="77777777" w:rsidR="00054700" w:rsidRDefault="00054700" w:rsidP="00054700">
      <w:r>
        <w:t xml:space="preserve">(Jacqueline, May 2012, ResearchGate, “Issues in Climate Change Litigation,” </w:t>
      </w:r>
      <w:hyperlink r:id="rId24" w:history="1">
        <w:r w:rsidRPr="00FE3710">
          <w:rPr>
            <w:rStyle w:val="Hyperlink"/>
          </w:rPr>
          <w:t>https://www.researchgate.net/publication/256019523_Issues_in_Climate_Change_Litigation</w:t>
        </w:r>
      </w:hyperlink>
      <w:r>
        <w:t>, Accessed 7/16/2020, MM)</w:t>
      </w:r>
    </w:p>
    <w:p w14:paraId="71B5694E" w14:textId="77777777" w:rsidR="00054700" w:rsidRPr="00BA0B74" w:rsidRDefault="00054700" w:rsidP="00054700">
      <w:pPr>
        <w:rPr>
          <w:rStyle w:val="StyleUnderline"/>
        </w:rPr>
      </w:pPr>
      <w:r w:rsidRPr="00BA0B74">
        <w:rPr>
          <w:rStyle w:val="StyleUnderline"/>
        </w:rPr>
        <w:t>The “drop in the ocean” problem arises in climate change litigation not only as a result of the failure to recognize climate change as a multiscalar phenomenon, but also due to the single-entity focus of traditional regulatory and governance approaches</w:t>
      </w:r>
      <w:r>
        <w:t xml:space="preserve">. </w:t>
      </w:r>
      <w:r w:rsidRPr="00BA0B74">
        <w:rPr>
          <w:rStyle w:val="StyleUnderline"/>
        </w:rPr>
        <w:t>Under land-use or planning law</w:t>
      </w:r>
      <w:r>
        <w:t xml:space="preserve">, for instance, </w:t>
      </w:r>
      <w:r w:rsidRPr="00BA0B74">
        <w:rPr>
          <w:rStyle w:val="StyleUnderline"/>
        </w:rPr>
        <w:t>a project and its environmental effects will conventionally be assessed in a self-contained manner, independent of other projects or existing facilities with which the present proponent has no involvement</w:t>
      </w:r>
      <w:r>
        <w:t xml:space="preserve">. </w:t>
      </w:r>
      <w:r w:rsidRPr="00BA0B74">
        <w:rPr>
          <w:rStyle w:val="StyleUnderline"/>
        </w:rPr>
        <w:t>This allows a proponent to claim that a particular project makes only a small or insignificant contribution to global climate change</w:t>
      </w:r>
      <w:r>
        <w:t xml:space="preserve">. However, </w:t>
      </w:r>
      <w:r w:rsidRPr="00BA0B74">
        <w:rPr>
          <w:rStyle w:val="StyleUnderline"/>
        </w:rPr>
        <w:t>this approach denies the complex nature of the climate change problem as one that arises because of the cumulative effect over time and space of numerous emissions of GHGs from a range of sources.</w:t>
      </w:r>
    </w:p>
    <w:p w14:paraId="5795C9A0" w14:textId="77777777" w:rsidR="00054700" w:rsidRDefault="00054700" w:rsidP="00054700">
      <w:r>
        <w:t xml:space="preserve">The </w:t>
      </w:r>
      <w:r w:rsidRPr="00BA0B74">
        <w:rPr>
          <w:rStyle w:val="StyleUnderline"/>
        </w:rPr>
        <w:t>difficulties encountered by law in dealing with cumulative environmental effects are not unique to the area of climate change regulation</w:t>
      </w:r>
      <w:r>
        <w:t xml:space="preserve">. </w:t>
      </w:r>
      <w:r w:rsidRPr="00BA0B74">
        <w:rPr>
          <w:rStyle w:val="StyleUnderline"/>
        </w:rPr>
        <w:t>In</w:t>
      </w:r>
      <w:r>
        <w:t xml:space="preserve"> the field of </w:t>
      </w:r>
      <w:r w:rsidRPr="00BA0B74">
        <w:rPr>
          <w:rStyle w:val="StyleUnderline"/>
        </w:rPr>
        <w:t>biodiversity protection, environmentalists have termed the issue “death by a thousand cuts” given that cutting down a single tree</w:t>
      </w:r>
      <w:r>
        <w:t xml:space="preserve"> (or a small area of forest) </w:t>
      </w:r>
      <w:r w:rsidRPr="00BA0B74">
        <w:rPr>
          <w:rStyle w:val="StyleUnderline"/>
        </w:rPr>
        <w:t>will generally not enliven environmental legal controls even though this act exacerbates the wider problem of deforestation and habitat degradation.</w:t>
      </w:r>
      <w:r>
        <w:t xml:space="preserve"> The recommended strategy to overcome this problem is to employ a process of cumulative impact assessments whereby the environmental effects of a particular action are evaluated in the context of similar actions, past or ongoing, that also contribute to overall environmental degradation. In the climate change context, this would involve assessing the impacts of the greenhouse emissions of a particular activity in light of how they might contribute to and/or exacerbate the problem of global warming.</w:t>
      </w:r>
    </w:p>
    <w:p w14:paraId="2864D55F" w14:textId="77777777" w:rsidR="00054700" w:rsidRPr="00BA0B74" w:rsidRDefault="00054700" w:rsidP="00054700">
      <w:pPr>
        <w:rPr>
          <w:rStyle w:val="StyleUnderline"/>
        </w:rPr>
      </w:pPr>
      <w:r>
        <w:t xml:space="preserve"> Some jurisdictions have embraced cumulative impact assessments under their environmental statutes.20 For instance, the US National Environmental Policy Act, 21 as well as state-based mirror legislation such as the California Environmental Quality Act, 22 allow for a conclusion of significant environmental effect in cases where a project’s environmental impacts are “individually limited but cumulatively considerable.”23 Just as often, however, </w:t>
      </w:r>
      <w:r w:rsidRPr="00BA0B74">
        <w:rPr>
          <w:rStyle w:val="StyleUnderline"/>
        </w:rPr>
        <w:t xml:space="preserve">legislative formulations of “significant” impact are </w:t>
      </w:r>
      <w:r w:rsidRPr="00BA0B74">
        <w:rPr>
          <w:rStyle w:val="StyleUnderline"/>
        </w:rPr>
        <w:lastRenderedPageBreak/>
        <w:t xml:space="preserve">left undefined, leaving open the question of whether they encompass the consideration of cumulative impacts. </w:t>
      </w:r>
    </w:p>
    <w:p w14:paraId="3F5A539C" w14:textId="77777777" w:rsidR="00054700" w:rsidRPr="00BA0B74" w:rsidRDefault="00054700" w:rsidP="00054700">
      <w:r>
        <w:t xml:space="preserve">In Australian environmental legislation, unelaborated requirements for a finding of significant effect/impact in order to trigger environmental assessment requirements for a project have yielded differing judgments as to the relevance of cumulative impact assessment. In the Anvil Hill case before the NSW LEC, Justice Pain held that a requirement for cumulative impact assessment was inherent in the relevant NSW legislation’s reference to principles of “ecologically sustainable development” such as the principle of inter-generational equity and the precautionary principle.24 In a later iteration of the case, this time brought pursuant to the federal environmental impact assessment legislation – the Environment Protection and Biodiversity Conservation Act 1999 (EPBC Act) – </w:t>
      </w:r>
      <w:r w:rsidRPr="00C02CD3">
        <w:rPr>
          <w:rStyle w:val="StyleUnderline"/>
        </w:rPr>
        <w:t>the Federal Court rejected the applicant’s contention that the likelihood of the new coal mine having a “significant impact” on matters protected by the Act should have been assessed “having regard to its context not only in the total Australian and global emissions of greenhouse gases but in comparison to other actions that might reasonably be assessed under the EPBC Act.</w:t>
      </w:r>
      <w:r>
        <w:t xml:space="preserve">”25 Justice Stone ruled that the </w:t>
      </w:r>
      <w:r w:rsidRPr="00C02CD3">
        <w:rPr>
          <w:rStyle w:val="StyleUnderline"/>
        </w:rPr>
        <w:t>legislation contained no requirement limiting assessment “to a comparison with other, hypothetical, proposed actions.”</w:t>
      </w:r>
      <w:r>
        <w:t xml:space="preserve"> Moreover, her Honour commented </w:t>
      </w:r>
      <w:r w:rsidRPr="00C02CD3">
        <w:rPr>
          <w:rStyle w:val="StyleUnderline"/>
        </w:rPr>
        <w:t>“I have difficulty in conceiving how one would go about assessing a proposed action in the context of hypothetical/potential actions.”</w:t>
      </w:r>
      <w:r>
        <w:t>26</w:t>
      </w:r>
    </w:p>
    <w:p w14:paraId="0746670F" w14:textId="77777777" w:rsidR="00054700" w:rsidRPr="006C4347" w:rsidRDefault="00054700" w:rsidP="00054700"/>
    <w:p w14:paraId="32EC66B1" w14:textId="77777777" w:rsidR="00054700" w:rsidRPr="00466489" w:rsidRDefault="00054700" w:rsidP="00054700">
      <w:pPr>
        <w:pStyle w:val="Heading4"/>
      </w:pPr>
      <w:r w:rsidRPr="00466489">
        <w:t>Climate litigation fails – justiciability ensures only cases with “substantial controversy” can progress</w:t>
      </w:r>
    </w:p>
    <w:p w14:paraId="322C6FA4" w14:textId="77777777" w:rsidR="00054700" w:rsidRPr="000C6D46" w:rsidRDefault="00054700" w:rsidP="00054700">
      <w:pPr>
        <w:rPr>
          <w:rStyle w:val="Style13ptBold"/>
        </w:rPr>
      </w:pPr>
      <w:r w:rsidRPr="000C6D46">
        <w:rPr>
          <w:rStyle w:val="Style13ptBold"/>
        </w:rPr>
        <w:t>Burger, Columbia Climate Law Executive Director, Gundlach, NYU Institute for Policy Integrity Senior Attorney, 17</w:t>
      </w:r>
    </w:p>
    <w:p w14:paraId="6DC3AA29" w14:textId="77777777" w:rsidR="00054700" w:rsidRPr="00466489" w:rsidRDefault="00054700" w:rsidP="00054700">
      <w:pPr>
        <w:rPr>
          <w:rFonts w:ascii="Times New Roman" w:hAnsi="Times New Roman" w:cs="Times New Roman"/>
          <w:sz w:val="24"/>
        </w:rPr>
      </w:pPr>
      <w:r w:rsidRPr="00466489">
        <w:rPr>
          <w:rFonts w:ascii="Times New Roman" w:hAnsi="Times New Roman" w:cs="Times New Roman"/>
          <w:sz w:val="24"/>
        </w:rPr>
        <w:t xml:space="preserve">[Michael, Justin, 5/23/17, United Nations Environmental Programme, “The Status of Climate Change Litigation: A Global Review,” </w:t>
      </w:r>
      <w:r w:rsidRPr="00B06ED0">
        <w:rPr>
          <w:rFonts w:ascii="Times New Roman" w:hAnsi="Times New Roman" w:cs="Times New Roman"/>
          <w:sz w:val="24"/>
        </w:rPr>
        <w:t>https://wedocs.unep.org/bitstream/handle/20.500.11822/20767/climate-change-litigation.pdf?sequence=1&amp;isAllowed=y</w:t>
      </w:r>
      <w:r w:rsidRPr="00466489">
        <w:rPr>
          <w:rFonts w:ascii="Times New Roman" w:hAnsi="Times New Roman" w:cs="Times New Roman"/>
          <w:sz w:val="24"/>
        </w:rPr>
        <w:t>, p. 27-28, accessed 7/16/20, MZK]</w:t>
      </w:r>
    </w:p>
    <w:p w14:paraId="0663E0F5" w14:textId="77777777" w:rsidR="00054700" w:rsidRPr="00D52A9F" w:rsidRDefault="00054700" w:rsidP="00054700">
      <w:pPr>
        <w:spacing w:after="0" w:line="240" w:lineRule="auto"/>
        <w:rPr>
          <w:rFonts w:ascii="Times New Roman" w:eastAsia="Times New Roman" w:hAnsi="Times New Roman" w:cs="Times New Roman"/>
          <w:sz w:val="24"/>
          <w:u w:val="single"/>
        </w:rPr>
      </w:pPr>
      <w:r w:rsidRPr="00D52A9F">
        <w:rPr>
          <w:rFonts w:ascii="Times New Roman" w:eastAsia="Times New Roman" w:hAnsi="Times New Roman" w:cs="Times New Roman"/>
          <w:sz w:val="24"/>
          <w:u w:val="single"/>
        </w:rPr>
        <w:t>Justiciability refers in general to a person’s ability to claim a remedy before a judicial body when a violation of a right has either occurred or is likely to occur</w:t>
      </w:r>
      <w:r w:rsidRPr="00D52A9F">
        <w:rPr>
          <w:rFonts w:ascii="Times New Roman" w:eastAsia="Times New Roman" w:hAnsi="Times New Roman" w:cs="Times New Roman"/>
          <w:sz w:val="24"/>
        </w:rPr>
        <w:t xml:space="preserve">.82 The term implies access to appropriate mechanisms to protect recognized rights. </w:t>
      </w:r>
      <w:r w:rsidRPr="00D52A9F">
        <w:rPr>
          <w:rFonts w:ascii="Times New Roman" w:eastAsia="Times New Roman" w:hAnsi="Times New Roman" w:cs="Times New Roman"/>
          <w:sz w:val="24"/>
          <w:u w:val="single"/>
        </w:rPr>
        <w:t>A case is said to be justiciable in a particular forum if that forum both is capable of deciding the matter and considers it appropriate to do so.</w:t>
      </w:r>
      <w:r w:rsidRPr="00D52A9F">
        <w:rPr>
          <w:rFonts w:ascii="Times New Roman" w:eastAsia="Times New Roman" w:hAnsi="Times New Roman" w:cs="Times New Roman"/>
          <w:sz w:val="24"/>
        </w:rPr>
        <w:t xml:space="preserve"> The justiciability analysis entails both legal and prudential questions. </w:t>
      </w:r>
      <w:r w:rsidRPr="00D52A9F">
        <w:rPr>
          <w:rFonts w:ascii="Times New Roman" w:eastAsia="Times New Roman" w:hAnsi="Times New Roman" w:cs="Times New Roman"/>
          <w:sz w:val="24"/>
          <w:u w:val="single"/>
        </w:rPr>
        <w:t xml:space="preserve">First is the </w:t>
      </w:r>
    </w:p>
    <w:p w14:paraId="40B9C66F" w14:textId="77777777" w:rsidR="00054700" w:rsidRPr="00D52A9F" w:rsidRDefault="00054700" w:rsidP="00054700">
      <w:pPr>
        <w:spacing w:after="0" w:line="240" w:lineRule="auto"/>
        <w:rPr>
          <w:rFonts w:ascii="Times New Roman" w:eastAsia="Times New Roman" w:hAnsi="Times New Roman" w:cs="Times New Roman"/>
          <w:sz w:val="24"/>
          <w:u w:val="single"/>
        </w:rPr>
      </w:pPr>
      <w:r w:rsidRPr="00D52A9F">
        <w:rPr>
          <w:rFonts w:ascii="Times New Roman" w:eastAsia="Times New Roman" w:hAnsi="Times New Roman" w:cs="Times New Roman"/>
          <w:sz w:val="24"/>
          <w:u w:val="single"/>
        </w:rPr>
        <w:t>question of whether the court is legally empowered to adjudicate the case – this typically depends on the constitutional grant of authority to the court. Second is the question of whether it would be imprudent for the court to adjudicate the case – the court typically has discretion to determine this matter based on the facts before it.</w:t>
      </w:r>
    </w:p>
    <w:p w14:paraId="31FE6957" w14:textId="77777777" w:rsidR="00054700" w:rsidRPr="00D52A9F"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rPr>
        <w:t xml:space="preserve">The doctrine of justiciability varies by jurisdiction. </w:t>
      </w:r>
      <w:r w:rsidRPr="00D52A9F">
        <w:rPr>
          <w:rFonts w:ascii="Times New Roman" w:eastAsia="Times New Roman" w:hAnsi="Times New Roman" w:cs="Times New Roman"/>
          <w:sz w:val="24"/>
          <w:u w:val="single"/>
        </w:rPr>
        <w:t>According to the U.S. Supreme Court, a justiciable controversy “must be definite and concrete, touching the legal relations of parties having adverse legal interests...It must be a real and substantial controversy admitting of specific relief through a decree of a conclusive character, as distinguished from an opinion advising what the law would be upon a hypothetical state of facts.”</w:t>
      </w:r>
      <w:r w:rsidRPr="00D52A9F">
        <w:rPr>
          <w:rFonts w:ascii="Times New Roman" w:eastAsia="Times New Roman" w:hAnsi="Times New Roman" w:cs="Times New Roman"/>
          <w:sz w:val="24"/>
        </w:rPr>
        <w:t xml:space="preserve">83 The English House of Lords has applied </w:t>
      </w:r>
      <w:r w:rsidRPr="00D52A9F">
        <w:rPr>
          <w:rFonts w:ascii="Times New Roman" w:eastAsia="Times New Roman" w:hAnsi="Times New Roman" w:cs="Times New Roman"/>
          <w:sz w:val="24"/>
        </w:rPr>
        <w:lastRenderedPageBreak/>
        <w:t>a similar but more general standard for justiciability, holding that a controversy is non-justiciable if there are “no judicial or manageable standards” by which to judge the case.84</w:t>
      </w:r>
    </w:p>
    <w:p w14:paraId="081C005B" w14:textId="77777777" w:rsidR="00054700" w:rsidRPr="00D52A9F"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u w:val="single"/>
        </w:rPr>
        <w:t>While the precise contours of the justiciability doctrine differ, there are two elements that are common to many jurisdictions. The first is a requirement that plaintiffs must have standing to bring the case.</w:t>
      </w:r>
      <w:r w:rsidRPr="00D52A9F">
        <w:rPr>
          <w:rFonts w:ascii="Times New Roman" w:eastAsia="Times New Roman" w:hAnsi="Times New Roman" w:cs="Times New Roman"/>
          <w:sz w:val="24"/>
        </w:rPr>
        <w:t xml:space="preserve"> As detailed below, the criteria for </w:t>
      </w:r>
    </w:p>
    <w:p w14:paraId="35465D0E" w14:textId="77777777" w:rsidR="00054700" w:rsidRPr="001D4F44" w:rsidRDefault="00054700" w:rsidP="00054700">
      <w:pPr>
        <w:spacing w:after="0" w:line="240" w:lineRule="auto"/>
        <w:rPr>
          <w:rFonts w:ascii="Times New Roman" w:eastAsia="Times New Roman" w:hAnsi="Times New Roman" w:cs="Times New Roman"/>
          <w:sz w:val="24"/>
          <w:u w:val="single"/>
        </w:rPr>
      </w:pPr>
      <w:r w:rsidRPr="00D52A9F">
        <w:rPr>
          <w:rFonts w:ascii="Times New Roman" w:eastAsia="Times New Roman" w:hAnsi="Times New Roman" w:cs="Times New Roman"/>
          <w:sz w:val="24"/>
        </w:rPr>
        <w:t>standing are closely linked to the principle that there be a real “case and controversy” and “manageable standards” to guide the adjudication of the case</w:t>
      </w:r>
      <w:r w:rsidRPr="00D52A9F">
        <w:rPr>
          <w:rFonts w:ascii="Times New Roman" w:eastAsia="Times New Roman" w:hAnsi="Times New Roman" w:cs="Times New Roman"/>
          <w:sz w:val="24"/>
          <w:u w:val="single"/>
        </w:rPr>
        <w:t xml:space="preserve">. The second is a requirement that the judicial resolution of the case must not violate the principle of the separation or balance of powers. </w:t>
      </w:r>
    </w:p>
    <w:p w14:paraId="676CAC30" w14:textId="77777777" w:rsidR="00054700" w:rsidRPr="00D52A9F" w:rsidRDefault="00054700" w:rsidP="00054700">
      <w:pPr>
        <w:spacing w:after="0" w:line="240" w:lineRule="auto"/>
        <w:rPr>
          <w:rFonts w:ascii="Times New Roman" w:eastAsia="Times New Roman" w:hAnsi="Times New Roman" w:cs="Times New Roman"/>
          <w:sz w:val="24"/>
        </w:rPr>
      </w:pPr>
    </w:p>
    <w:p w14:paraId="4F169FED" w14:textId="77777777" w:rsidR="00054700" w:rsidRPr="001D4F44" w:rsidRDefault="00054700" w:rsidP="00054700">
      <w:pPr>
        <w:rPr>
          <w:rFonts w:ascii="Times New Roman" w:hAnsi="Times New Roman" w:cs="Times New Roman"/>
          <w:sz w:val="24"/>
        </w:rPr>
      </w:pPr>
    </w:p>
    <w:p w14:paraId="320235EB" w14:textId="77777777" w:rsidR="00054700" w:rsidRPr="000C6D46" w:rsidRDefault="00054700" w:rsidP="00054700">
      <w:pPr>
        <w:pStyle w:val="Heading4"/>
      </w:pPr>
      <w:r w:rsidRPr="000C6D46">
        <w:t xml:space="preserve">Climate litigation fails – only material evidence of the impacts of climate change are granted standing </w:t>
      </w:r>
    </w:p>
    <w:p w14:paraId="19DB44A7" w14:textId="77777777" w:rsidR="00054700" w:rsidRPr="000C6D46" w:rsidRDefault="00054700" w:rsidP="00054700">
      <w:pPr>
        <w:rPr>
          <w:rStyle w:val="Style13ptBold"/>
        </w:rPr>
      </w:pPr>
      <w:r w:rsidRPr="000C6D46">
        <w:rPr>
          <w:rStyle w:val="Style13ptBold"/>
        </w:rPr>
        <w:t>Burger, Columbia Climate Law Executive Director, Gundlach, NYU Institute for Policy Integrity Senior Attorney, 17</w:t>
      </w:r>
    </w:p>
    <w:p w14:paraId="0BE56AB3" w14:textId="77777777" w:rsidR="00054700" w:rsidRPr="00466489" w:rsidRDefault="00054700" w:rsidP="00054700">
      <w:pPr>
        <w:rPr>
          <w:rFonts w:ascii="Times New Roman" w:hAnsi="Times New Roman" w:cs="Times New Roman"/>
          <w:sz w:val="24"/>
        </w:rPr>
      </w:pPr>
      <w:r w:rsidRPr="00466489">
        <w:rPr>
          <w:rFonts w:ascii="Times New Roman" w:hAnsi="Times New Roman" w:cs="Times New Roman"/>
          <w:sz w:val="24"/>
        </w:rPr>
        <w:t xml:space="preserve">[Michael, Justin, 5/23/17, United Nations Environmental Programme, “The Status of Climate Change Litigation: A Global Review,” </w:t>
      </w:r>
      <w:r w:rsidRPr="00B06ED0">
        <w:rPr>
          <w:rFonts w:ascii="Times New Roman" w:hAnsi="Times New Roman" w:cs="Times New Roman"/>
          <w:sz w:val="24"/>
        </w:rPr>
        <w:t>https://wedocs.unep.org/bitstream/handle/20.500.11822/20767/climate-change-litigation.pdf?sequence=1&amp;isAllowed=y</w:t>
      </w:r>
      <w:r w:rsidRPr="00466489">
        <w:rPr>
          <w:rFonts w:ascii="Times New Roman" w:hAnsi="Times New Roman" w:cs="Times New Roman"/>
          <w:sz w:val="24"/>
        </w:rPr>
        <w:t>, p. 2</w:t>
      </w:r>
      <w:r>
        <w:rPr>
          <w:rFonts w:ascii="Times New Roman" w:hAnsi="Times New Roman" w:cs="Times New Roman"/>
          <w:sz w:val="24"/>
        </w:rPr>
        <w:t>8</w:t>
      </w:r>
      <w:r w:rsidRPr="00466489">
        <w:rPr>
          <w:rFonts w:ascii="Times New Roman" w:hAnsi="Times New Roman" w:cs="Times New Roman"/>
          <w:sz w:val="24"/>
        </w:rPr>
        <w:t>-</w:t>
      </w:r>
      <w:r>
        <w:rPr>
          <w:rFonts w:ascii="Times New Roman" w:hAnsi="Times New Roman" w:cs="Times New Roman"/>
          <w:sz w:val="24"/>
        </w:rPr>
        <w:t>28</w:t>
      </w:r>
      <w:r w:rsidRPr="00466489">
        <w:rPr>
          <w:rFonts w:ascii="Times New Roman" w:hAnsi="Times New Roman" w:cs="Times New Roman"/>
          <w:sz w:val="24"/>
        </w:rPr>
        <w:t>, accessed 7/16/20, MZK]</w:t>
      </w:r>
    </w:p>
    <w:p w14:paraId="7B3B190F" w14:textId="77777777" w:rsidR="00054700" w:rsidRPr="00D52A9F"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u w:val="single"/>
        </w:rPr>
        <w:t>The legal definition of “standing,” or locus standi, varies among countries, and may be more or less open or restrictive depending on which country and legal system</w:t>
      </w:r>
      <w:r w:rsidRPr="00D52A9F">
        <w:rPr>
          <w:rFonts w:ascii="Times New Roman" w:eastAsia="Times New Roman" w:hAnsi="Times New Roman" w:cs="Times New Roman"/>
          <w:sz w:val="24"/>
        </w:rPr>
        <w:t xml:space="preserve"> (civil or common law) </w:t>
      </w:r>
      <w:r w:rsidRPr="00D52A9F">
        <w:rPr>
          <w:rFonts w:ascii="Times New Roman" w:eastAsia="Times New Roman" w:hAnsi="Times New Roman" w:cs="Times New Roman"/>
          <w:sz w:val="24"/>
          <w:u w:val="single"/>
        </w:rPr>
        <w:t>one is operating</w:t>
      </w:r>
      <w:r w:rsidRPr="00D52A9F">
        <w:rPr>
          <w:rFonts w:ascii="Times New Roman" w:eastAsia="Times New Roman" w:hAnsi="Times New Roman" w:cs="Times New Roman"/>
          <w:sz w:val="24"/>
        </w:rPr>
        <w:t xml:space="preserve"> in.85 In essence, the term refers to the criteria one must satisfy in order to be a party to a legal proceeding. </w:t>
      </w:r>
      <w:r w:rsidRPr="00D52A9F">
        <w:rPr>
          <w:rFonts w:ascii="Times New Roman" w:eastAsia="Times New Roman" w:hAnsi="Times New Roman" w:cs="Times New Roman"/>
          <w:sz w:val="24"/>
          <w:u w:val="single"/>
        </w:rPr>
        <w:t>These criteria are typically aimed at ensuring that the parties have a sufficient stake in the outcome of the case and that the claims brought by the parties are capable of judicial resolution.</w:t>
      </w:r>
      <w:r w:rsidRPr="00D52A9F">
        <w:rPr>
          <w:rFonts w:ascii="Times New Roman" w:eastAsia="Times New Roman" w:hAnsi="Times New Roman" w:cs="Times New Roman"/>
          <w:sz w:val="24"/>
        </w:rPr>
        <w:t xml:space="preserve"> For example, some jurisdictions require plaintiffs to show that they have suffered or will suffer an injury that is caused by the defendant’s allegedly unlawful behavior, and that the adjudicating body is capable of providing a remedy that will eliminate or otherwise mitigate that injury.</w:t>
      </w:r>
    </w:p>
    <w:p w14:paraId="253D51F5" w14:textId="77777777" w:rsidR="00054700" w:rsidRPr="00D52A9F" w:rsidRDefault="00054700" w:rsidP="00054700">
      <w:pPr>
        <w:spacing w:after="0" w:line="240" w:lineRule="auto"/>
        <w:rPr>
          <w:rFonts w:ascii="Times New Roman" w:eastAsia="Times New Roman" w:hAnsi="Times New Roman" w:cs="Times New Roman"/>
          <w:sz w:val="24"/>
          <w:u w:val="single"/>
        </w:rPr>
      </w:pPr>
      <w:r w:rsidRPr="00D52A9F">
        <w:rPr>
          <w:rFonts w:ascii="Times New Roman" w:eastAsia="Times New Roman" w:hAnsi="Times New Roman" w:cs="Times New Roman"/>
          <w:sz w:val="24"/>
          <w:u w:val="single"/>
        </w:rPr>
        <w:t>Standing criteria may pose a barrier to climate change litigation.</w:t>
      </w:r>
      <w:r w:rsidRPr="00D52A9F">
        <w:rPr>
          <w:rFonts w:ascii="Times New Roman" w:eastAsia="Times New Roman" w:hAnsi="Times New Roman" w:cs="Times New Roman"/>
          <w:sz w:val="24"/>
        </w:rPr>
        <w:t xml:space="preserve"> For example</w:t>
      </w:r>
      <w:r w:rsidRPr="00D52A9F">
        <w:rPr>
          <w:rFonts w:ascii="Times New Roman" w:eastAsia="Times New Roman" w:hAnsi="Times New Roman" w:cs="Times New Roman"/>
          <w:sz w:val="24"/>
          <w:u w:val="single"/>
        </w:rPr>
        <w:t xml:space="preserve">, it may be difficult for an individual plaintiff to establish an adequate causal connection between a defendant’s allegedly unlawful actions or inaction and an injury that is linked to climate change impacts. </w:t>
      </w:r>
      <w:r w:rsidRPr="00D52A9F">
        <w:rPr>
          <w:rFonts w:ascii="Times New Roman" w:eastAsia="Times New Roman" w:hAnsi="Times New Roman" w:cs="Times New Roman"/>
          <w:sz w:val="24"/>
        </w:rPr>
        <w:t xml:space="preserve">This is a particular challenge in jurisdictions that require plaintiffs to establish a “particularized injury” for standing purposes. </w:t>
      </w:r>
      <w:r w:rsidRPr="00D52A9F">
        <w:rPr>
          <w:rFonts w:ascii="Times New Roman" w:eastAsia="Times New Roman" w:hAnsi="Times New Roman" w:cs="Times New Roman"/>
          <w:sz w:val="24"/>
          <w:u w:val="single"/>
        </w:rPr>
        <w:t>However, some jurisdictions allow individuals and groups to sue based on injuries that are general to the public, thus making it easier for plaintiffs to pursue climate-related claims.</w:t>
      </w:r>
    </w:p>
    <w:p w14:paraId="3C7DE112" w14:textId="77777777" w:rsidR="00054700" w:rsidRPr="001D4F44" w:rsidRDefault="00054700" w:rsidP="00054700">
      <w:pPr>
        <w:spacing w:after="0" w:line="240" w:lineRule="auto"/>
        <w:rPr>
          <w:rFonts w:ascii="Times New Roman" w:eastAsia="Times New Roman" w:hAnsi="Times New Roman" w:cs="Times New Roman"/>
          <w:sz w:val="24"/>
          <w:u w:val="single"/>
        </w:rPr>
      </w:pPr>
      <w:r w:rsidRPr="00D52A9F">
        <w:rPr>
          <w:rFonts w:ascii="Times New Roman" w:eastAsia="Times New Roman" w:hAnsi="Times New Roman" w:cs="Times New Roman"/>
          <w:sz w:val="24"/>
          <w:u w:val="single"/>
        </w:rPr>
        <w:t>In the U.S., the question of standing has been central to climate change litigation.</w:t>
      </w:r>
      <w:r w:rsidRPr="00D52A9F">
        <w:rPr>
          <w:rFonts w:ascii="Times New Roman" w:eastAsia="Times New Roman" w:hAnsi="Times New Roman" w:cs="Times New Roman"/>
          <w:sz w:val="24"/>
        </w:rPr>
        <w:t xml:space="preserve"> In Massachusetts v. EPA, several states, cities and environmental nongovernmental organizations (NGOs) sued the federal government, challenging the decision not to regulate GHG emissions from new motor vehicles under the Clean Air Act. The U.S. Supreme Court relied on the plaintiff states’ special status as quasi-sovereigns within the federal system, and on their sovereign rights and responsibilities vis-à-vis prospective loss of coastal land, to find that they had standing to sue.86 By contrast, in Comer v. Murphy Oil USA, the Fifth Circuit Court of Appeals found that plaintiff landowners harmed by Hurricane Katrina lacked standing to sue </w:t>
      </w:r>
      <w:r w:rsidRPr="00D52A9F">
        <w:rPr>
          <w:rFonts w:ascii="Times New Roman" w:eastAsia="Times New Roman" w:hAnsi="Times New Roman" w:cs="Times New Roman"/>
          <w:sz w:val="24"/>
        </w:rPr>
        <w:lastRenderedPageBreak/>
        <w:t xml:space="preserve">fossil fuel and chemical companies for alleged civil conspiracy because their injuries were not fairly traceable to the companies’ conduct.87 </w:t>
      </w:r>
      <w:r w:rsidRPr="00D52A9F">
        <w:rPr>
          <w:rFonts w:ascii="Times New Roman" w:eastAsia="Times New Roman" w:hAnsi="Times New Roman" w:cs="Times New Roman"/>
          <w:sz w:val="24"/>
          <w:u w:val="single"/>
        </w:rPr>
        <w:t>Specifically, the court found that the causal chain between the GHG emissions generated by those companies’ activities and the damages caused by Hurricane Katrina was too attenuated.</w:t>
      </w:r>
    </w:p>
    <w:p w14:paraId="44304ACD" w14:textId="77777777" w:rsidR="00054700"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u w:val="single"/>
        </w:rPr>
        <w:t>Standing battles have not been unique to the United States.</w:t>
      </w:r>
      <w:r w:rsidRPr="00D52A9F">
        <w:rPr>
          <w:rFonts w:ascii="Times New Roman" w:eastAsia="Times New Roman" w:hAnsi="Times New Roman" w:cs="Times New Roman"/>
          <w:sz w:val="24"/>
        </w:rPr>
        <w:t xml:space="preserve"> </w:t>
      </w:r>
      <w:r w:rsidRPr="00D52A9F">
        <w:rPr>
          <w:rFonts w:ascii="Times New Roman" w:eastAsia="Times New Roman" w:hAnsi="Times New Roman" w:cs="Times New Roman"/>
          <w:sz w:val="24"/>
          <w:u w:val="single"/>
        </w:rPr>
        <w:t>In Urgenda Foundation v. Kingdom of the Netherlands, the Hague District Court held that Urgenda had standing on its own behalf, due to a Dutch law which allows non-governmental organizations to bring a court action to protect the general interests or collective interests for other persons, but – “partly for practical reasons” – the 886 individual claimants involved in the suit were not granted standing separate from that of Urgenda</w:t>
      </w:r>
      <w:r w:rsidRPr="00D52A9F">
        <w:rPr>
          <w:rFonts w:ascii="Times New Roman" w:eastAsia="Times New Roman" w:hAnsi="Times New Roman" w:cs="Times New Roman"/>
          <w:sz w:val="24"/>
        </w:rPr>
        <w:t xml:space="preserve">.88 In the Australian case of Dual Gas Pty Ltd. v. Environment Protection Authority, the Victorian Civil and Administrative Tribunal found several plaintiffs who objected to approvals granted to a new power station, alleging that it would emit GHGs that contribute to climate change, had standing to sue under the Environmental Protection Act.89 </w:t>
      </w:r>
    </w:p>
    <w:p w14:paraId="0BB27D75" w14:textId="77777777" w:rsidR="00054700" w:rsidRPr="001D4F44"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rPr>
        <w:t>The court there explained: “...despite the global nature of the GHG issue, there must still be a materiality threshold in relation to the type or size of the works or emissions that is relevant to whether a person’s interests are genuinely affected, as opposed to being too remote or too general. The emission of a few tonnes of GHG from a small factory in Gippsland would not in our view give rise to standing under s 33B(1) to an objector in Mildura even though</w:t>
      </w:r>
      <w:r>
        <w:rPr>
          <w:rFonts w:ascii="Times New Roman" w:eastAsia="Times New Roman" w:hAnsi="Times New Roman" w:cs="Times New Roman"/>
          <w:sz w:val="24"/>
        </w:rPr>
        <w:t xml:space="preserve"> </w:t>
      </w:r>
      <w:r w:rsidRPr="00D52A9F">
        <w:rPr>
          <w:rFonts w:ascii="Times New Roman" w:eastAsia="Times New Roman" w:hAnsi="Times New Roman" w:cs="Times New Roman"/>
          <w:sz w:val="24"/>
        </w:rPr>
        <w:t xml:space="preserve">it represents an incremental GHG increase. </w:t>
      </w:r>
      <w:r w:rsidRPr="00D52A9F">
        <w:rPr>
          <w:rFonts w:ascii="Times New Roman" w:eastAsia="Times New Roman" w:hAnsi="Times New Roman" w:cs="Times New Roman"/>
          <w:sz w:val="24"/>
          <w:u w:val="single"/>
        </w:rPr>
        <w:t xml:space="preserve">It is unnecessary for us to determine where the line of materiality might be drawn. </w:t>
      </w:r>
      <w:r w:rsidRPr="00D52A9F">
        <w:rPr>
          <w:rFonts w:ascii="Times New Roman" w:eastAsia="Times New Roman" w:hAnsi="Times New Roman" w:cs="Times New Roman"/>
          <w:sz w:val="24"/>
        </w:rPr>
        <w:t>As we noted in our introduction, the DGDP is a major power station that will generate up to 4.2 million tonnes of GHG per annum over a 30 year projected life cycle and increase Victoria’s GHG emissions profile by 2.5% over 2009 levels. In our view, this clearly raises potential issues of material interest or concern to all Victorians, and creates an almost unique level of “affected interests” and standing compared to the more usual sort of works approval matters that come before the Tribunal.” 90</w:t>
      </w:r>
    </w:p>
    <w:p w14:paraId="5983A2F5" w14:textId="77777777" w:rsidR="00054700" w:rsidRPr="00D52A9F"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u w:val="single"/>
        </w:rPr>
        <w:t>The New South Wales Land and Environment Court reached a similar result in Haughton v Minister for Planning and Macquarie Generation, holding that the plaintiff’s suit was prompted not just by “intellectual or emotional concern,” but by a legally cognizable “special interest” in the alleged harms.</w:t>
      </w:r>
      <w:r w:rsidRPr="00D52A9F">
        <w:rPr>
          <w:rFonts w:ascii="Times New Roman" w:eastAsia="Times New Roman" w:hAnsi="Times New Roman" w:cs="Times New Roman"/>
          <w:sz w:val="24"/>
        </w:rPr>
        <w:t>91 The question of standing to bring climaterelated litigation has received far less attention from courts in developing countries. For example, in Leghari v. Pakistan, the High Court of Pakistan noted that the petitioner was a citizen seeking to enforce fundamental rights but did not otherwise discuss the issue of standing.92 In In re Court on its own motion v. State of Himachal Pradesh and others, India’s National Green Tribunal initiated the case on its own, consistent with its prior interpretation of the authority granted to the court by statute, and thus standing was not an issue.93 Other cases where standing issues were never briefed or discussed by the court include Greenpeace Southeast Asia et al., Gbemre v. Shell Petroleum Development Company of Nigeria Ltd, and the Colombian case, Decision C-035/16 of February 8, 2016.</w:t>
      </w:r>
    </w:p>
    <w:p w14:paraId="2A0F6659" w14:textId="77777777" w:rsidR="00054700" w:rsidRDefault="00054700" w:rsidP="00054700"/>
    <w:p w14:paraId="2BD639E7" w14:textId="77777777" w:rsidR="00054700" w:rsidRDefault="00054700" w:rsidP="00054700">
      <w:pPr>
        <w:pStyle w:val="Heading4"/>
      </w:pPr>
      <w:r>
        <w:t xml:space="preserve">Climate litigation doesn’t solve – too many legal barriers </w:t>
      </w:r>
    </w:p>
    <w:p w14:paraId="54781707" w14:textId="77777777" w:rsidR="00054700" w:rsidRDefault="00054700" w:rsidP="00054700">
      <w:pPr>
        <w:rPr>
          <w:rStyle w:val="Style13ptBold"/>
        </w:rPr>
      </w:pPr>
      <w:r>
        <w:rPr>
          <w:rStyle w:val="Style13ptBold"/>
        </w:rPr>
        <w:t>United Nations 17</w:t>
      </w:r>
    </w:p>
    <w:p w14:paraId="1E1845A8" w14:textId="77777777" w:rsidR="00054700" w:rsidRPr="00DE4EAB" w:rsidRDefault="00054700" w:rsidP="00054700">
      <w:r w:rsidRPr="00DE4EAB">
        <w:t xml:space="preserve">[UN, May 2017, "THE STATUS OF CLIMATECHANGE LITIGATION A GLOBAL REVIEW," </w:t>
      </w:r>
      <w:r>
        <w:t>UN Environment Programme</w:t>
      </w:r>
      <w:r w:rsidRPr="00DE4EAB">
        <w:t xml:space="preserve">, </w:t>
      </w:r>
      <w:hyperlink r:id="rId25" w:history="1">
        <w:r w:rsidRPr="00DE4EAB">
          <w:rPr>
            <w:rStyle w:val="Hyperlink"/>
          </w:rPr>
          <w:t>https://wedocs.unep.org/bitstream/handle/20.500.11822/20767/climate-change-litigation.pdf?sequence=1&amp;isAllowed=y</w:t>
        </w:r>
      </w:hyperlink>
      <w:r w:rsidRPr="00DE4EAB">
        <w:t>, accessed 7-16-20, LH]</w:t>
      </w:r>
    </w:p>
    <w:p w14:paraId="2434F6E7" w14:textId="77777777" w:rsidR="00054700" w:rsidRDefault="00054700" w:rsidP="00054700">
      <w:r>
        <w:t>3.2.3 Common law: Tort, Nuisance and Negligence</w:t>
      </w:r>
    </w:p>
    <w:p w14:paraId="1EF0D097" w14:textId="77777777" w:rsidR="00054700" w:rsidRDefault="00054700" w:rsidP="00054700">
      <w:r>
        <w:lastRenderedPageBreak/>
        <w:t xml:space="preserve">Common law jurisdictions recognize causes of action for </w:t>
      </w:r>
      <w:r w:rsidRPr="00DE4EAB">
        <w:rPr>
          <w:rStyle w:val="StyleUnderline"/>
        </w:rPr>
        <w:t>tort, nuisance, and negligence cases</w:t>
      </w:r>
      <w:r>
        <w:t xml:space="preserve">, all of which are gradually developed and refined through case law. </w:t>
      </w:r>
      <w:r w:rsidRPr="00DE4EAB">
        <w:rPr>
          <w:rStyle w:val="StyleUnderline"/>
        </w:rPr>
        <w:t>Plaintiffs in these jurisdictions have begun to</w:t>
      </w:r>
      <w:r>
        <w:rPr>
          <w:rStyle w:val="StyleUnderline"/>
        </w:rPr>
        <w:t xml:space="preserve"> </w:t>
      </w:r>
      <w:r w:rsidRPr="00DE4EAB">
        <w:rPr>
          <w:rStyle w:val="StyleUnderline"/>
        </w:rPr>
        <w:t>use these as a basis for bringing lawsuits pertaining</w:t>
      </w:r>
      <w:r>
        <w:rPr>
          <w:rStyle w:val="StyleUnderline"/>
        </w:rPr>
        <w:t xml:space="preserve"> </w:t>
      </w:r>
      <w:r w:rsidRPr="00DE4EAB">
        <w:rPr>
          <w:rStyle w:val="StyleUnderline"/>
        </w:rPr>
        <w:t>to the damage caused by climate change – the</w:t>
      </w:r>
      <w:r>
        <w:rPr>
          <w:rStyle w:val="StyleUnderline"/>
        </w:rPr>
        <w:t xml:space="preserve"> </w:t>
      </w:r>
      <w:r w:rsidRPr="00DE4EAB">
        <w:rPr>
          <w:rStyle w:val="StyleUnderline"/>
        </w:rPr>
        <w:t>idea being that a government or private actor that</w:t>
      </w:r>
      <w:r>
        <w:rPr>
          <w:rStyle w:val="StyleUnderline"/>
        </w:rPr>
        <w:t xml:space="preserve"> </w:t>
      </w:r>
      <w:r w:rsidRPr="00DE4EAB">
        <w:rPr>
          <w:rStyle w:val="StyleUnderline"/>
        </w:rPr>
        <w:t>contributes to climate change is committing a tort,</w:t>
      </w:r>
      <w:r>
        <w:rPr>
          <w:rStyle w:val="StyleUnderline"/>
        </w:rPr>
        <w:t xml:space="preserve"> </w:t>
      </w:r>
      <w:r w:rsidRPr="00DE4EAB">
        <w:rPr>
          <w:rStyle w:val="StyleUnderline"/>
        </w:rPr>
        <w:t>causing a nuisance, or behaving negligently and the</w:t>
      </w:r>
      <w:r>
        <w:rPr>
          <w:rStyle w:val="StyleUnderline"/>
        </w:rPr>
        <w:t xml:space="preserve"> </w:t>
      </w:r>
      <w:r w:rsidRPr="00DE4EAB">
        <w:rPr>
          <w:rStyle w:val="StyleUnderline"/>
        </w:rPr>
        <w:t>plaintiff should therefore be entitled to some form of</w:t>
      </w:r>
      <w:r>
        <w:rPr>
          <w:rStyle w:val="StyleUnderline"/>
        </w:rPr>
        <w:t xml:space="preserve"> </w:t>
      </w:r>
      <w:r w:rsidRPr="00DE4EAB">
        <w:rPr>
          <w:rStyle w:val="StyleUnderline"/>
        </w:rPr>
        <w:t>judicial relief for the damages caused by that unlawful</w:t>
      </w:r>
      <w:r>
        <w:rPr>
          <w:rStyle w:val="StyleUnderline"/>
        </w:rPr>
        <w:t xml:space="preserve"> </w:t>
      </w:r>
      <w:r w:rsidRPr="00DE4EAB">
        <w:rPr>
          <w:rStyle w:val="StyleUnderline"/>
        </w:rPr>
        <w:t>behavior.</w:t>
      </w:r>
      <w:r>
        <w:t xml:space="preserve"> Civil law jurisdictions may recognize similar causes of action within their respective legal codes – the Dutch code, for example, recognizes that the government owes a duty of care to its citizens, and this was the basis for the Urgenda decision discussed above.</w:t>
      </w:r>
    </w:p>
    <w:p w14:paraId="177EEE13" w14:textId="77777777" w:rsidR="00054700" w:rsidRDefault="00054700" w:rsidP="00054700">
      <w:r>
        <w:t xml:space="preserve">However, the theories of tort, nuisance, and negligence are not available in civil law jurisdictions as a general matter. </w:t>
      </w:r>
      <w:r w:rsidRPr="00DE4EAB">
        <w:rPr>
          <w:rStyle w:val="StyleUnderline"/>
        </w:rPr>
        <w:t>U.S. plaintiffs have pursued</w:t>
      </w:r>
      <w:r>
        <w:rPr>
          <w:rStyle w:val="StyleUnderline"/>
        </w:rPr>
        <w:t xml:space="preserve"> </w:t>
      </w:r>
      <w:r w:rsidRPr="00DE4EAB">
        <w:rPr>
          <w:rStyle w:val="StyleUnderline"/>
        </w:rPr>
        <w:t>several common law actions based on injuries caused</w:t>
      </w:r>
      <w:r>
        <w:rPr>
          <w:rStyle w:val="StyleUnderline"/>
        </w:rPr>
        <w:t xml:space="preserve"> </w:t>
      </w:r>
      <w:r w:rsidRPr="00DE4EAB">
        <w:rPr>
          <w:rStyle w:val="StyleUnderline"/>
        </w:rPr>
        <w:t xml:space="preserve">by climate change, but have had </w:t>
      </w:r>
      <w:r w:rsidRPr="00DE4EAB">
        <w:rPr>
          <w:rStyle w:val="Emphasis"/>
        </w:rPr>
        <w:t>very little success</w:t>
      </w:r>
      <w:r w:rsidRPr="00DE4EAB">
        <w:rPr>
          <w:rStyle w:val="StyleUnderline"/>
        </w:rPr>
        <w:t xml:space="preserve"> to</w:t>
      </w:r>
      <w:r>
        <w:rPr>
          <w:rStyle w:val="StyleUnderline"/>
        </w:rPr>
        <w:t xml:space="preserve"> </w:t>
      </w:r>
      <w:r w:rsidRPr="00DE4EAB">
        <w:rPr>
          <w:rStyle w:val="StyleUnderline"/>
        </w:rPr>
        <w:t xml:space="preserve">date. One </w:t>
      </w:r>
      <w:r w:rsidRPr="00DE4EAB">
        <w:rPr>
          <w:rStyle w:val="Emphasis"/>
        </w:rPr>
        <w:t>key barrier to these claims is the doctrine</w:t>
      </w:r>
      <w:r>
        <w:rPr>
          <w:rStyle w:val="Emphasis"/>
        </w:rPr>
        <w:t xml:space="preserve"> </w:t>
      </w:r>
      <w:r w:rsidRPr="00DE4EAB">
        <w:rPr>
          <w:rStyle w:val="Emphasis"/>
        </w:rPr>
        <w:t xml:space="preserve">of displacement, </w:t>
      </w:r>
      <w:r w:rsidRPr="00DE4EAB">
        <w:rPr>
          <w:rStyle w:val="StyleUnderline"/>
        </w:rPr>
        <w:t>whereby statutory and regulatory</w:t>
      </w:r>
      <w:r>
        <w:rPr>
          <w:rStyle w:val="StyleUnderline"/>
        </w:rPr>
        <w:t xml:space="preserve"> </w:t>
      </w:r>
      <w:r w:rsidRPr="00DE4EAB">
        <w:rPr>
          <w:rStyle w:val="StyleUnderline"/>
        </w:rPr>
        <w:t>codifications of law displace the common law when</w:t>
      </w:r>
      <w:r>
        <w:rPr>
          <w:rStyle w:val="StyleUnderline"/>
        </w:rPr>
        <w:t xml:space="preserve"> </w:t>
      </w:r>
      <w:r w:rsidRPr="00DE4EAB">
        <w:rPr>
          <w:rStyle w:val="StyleUnderline"/>
        </w:rPr>
        <w:t>the codification speaks directly to the question at</w:t>
      </w:r>
      <w:r>
        <w:rPr>
          <w:rStyle w:val="StyleUnderline"/>
        </w:rPr>
        <w:t xml:space="preserve"> </w:t>
      </w:r>
      <w:r w:rsidRPr="00DE4EAB">
        <w:rPr>
          <w:rStyle w:val="StyleUnderline"/>
        </w:rPr>
        <w:t>issue (thus eliminating any common law cause of</w:t>
      </w:r>
      <w:r>
        <w:rPr>
          <w:rStyle w:val="StyleUnderline"/>
        </w:rPr>
        <w:t xml:space="preserve"> </w:t>
      </w:r>
      <w:r w:rsidRPr="00DE4EAB">
        <w:rPr>
          <w:rStyle w:val="StyleUnderline"/>
        </w:rPr>
        <w:t>action).</w:t>
      </w:r>
      <w:r>
        <w:t xml:space="preserve"> In AEP v. Connecticut, plaintiff states, cities and NGOs claimed that the CO2 emissions from four private power companies and the Tennessee Valley Authority contribute to global warming and therefore constitute a public nuisance under federal law, and sought an injunction ordering the companies to lower their emissions. </w:t>
      </w:r>
      <w:r w:rsidRPr="00DE4EAB">
        <w:rPr>
          <w:rStyle w:val="StyleUnderline"/>
        </w:rPr>
        <w:t>The U.S. Supreme</w:t>
      </w:r>
      <w:r>
        <w:rPr>
          <w:rStyle w:val="StyleUnderline"/>
        </w:rPr>
        <w:t xml:space="preserve"> </w:t>
      </w:r>
      <w:r w:rsidRPr="00DE4EAB">
        <w:rPr>
          <w:rStyle w:val="StyleUnderline"/>
        </w:rPr>
        <w:t>Court determined that any existing federal common</w:t>
      </w:r>
      <w:r>
        <w:rPr>
          <w:rStyle w:val="StyleUnderline"/>
        </w:rPr>
        <w:t xml:space="preserve"> </w:t>
      </w:r>
      <w:r w:rsidRPr="00DE4EAB">
        <w:rPr>
          <w:rStyle w:val="StyleUnderline"/>
        </w:rPr>
        <w:t>law cause of action had been displaced by the</w:t>
      </w:r>
      <w:r>
        <w:rPr>
          <w:rStyle w:val="StyleUnderline"/>
        </w:rPr>
        <w:t xml:space="preserve"> </w:t>
      </w:r>
      <w:r w:rsidRPr="00DE4EAB">
        <w:rPr>
          <w:rStyle w:val="StyleUnderline"/>
        </w:rPr>
        <w:t>Clean Air Act</w:t>
      </w:r>
      <w:r>
        <w:t>, which authorizes EPA to regulate GHG emissions from power plants and other sources.112</w:t>
      </w:r>
    </w:p>
    <w:p w14:paraId="7B8011BC" w14:textId="77777777" w:rsidR="00054700" w:rsidRDefault="00054700" w:rsidP="00054700">
      <w:r>
        <w:t xml:space="preserve">In Native Village of Kivalina, </w:t>
      </w:r>
      <w:r w:rsidRPr="00DE4EAB">
        <w:rPr>
          <w:rStyle w:val="StyleUnderline"/>
        </w:rPr>
        <w:t>the Ninth Circuit</w:t>
      </w:r>
      <w:r>
        <w:rPr>
          <w:rStyle w:val="StyleUnderline"/>
        </w:rPr>
        <w:t xml:space="preserve"> </w:t>
      </w:r>
      <w:r w:rsidRPr="00DE4EAB">
        <w:rPr>
          <w:rStyle w:val="StyleUnderline"/>
        </w:rPr>
        <w:t>extended this holding to a federal public nuisance</w:t>
      </w:r>
      <w:r>
        <w:rPr>
          <w:rStyle w:val="StyleUnderline"/>
        </w:rPr>
        <w:t xml:space="preserve"> </w:t>
      </w:r>
      <w:r w:rsidRPr="00DE4EAB">
        <w:rPr>
          <w:rStyle w:val="StyleUnderline"/>
        </w:rPr>
        <w:t>claim against a number of energy producers—</w:t>
      </w:r>
      <w:r>
        <w:rPr>
          <w:rStyle w:val="StyleUnderline"/>
        </w:rPr>
        <w:t xml:space="preserve"> </w:t>
      </w:r>
      <w:r w:rsidRPr="00DE4EAB">
        <w:rPr>
          <w:rStyle w:val="StyleUnderline"/>
        </w:rPr>
        <w:t>including ExxonMobil, BP, Chevron and other</w:t>
      </w:r>
      <w:r>
        <w:rPr>
          <w:rStyle w:val="StyleUnderline"/>
        </w:rPr>
        <w:t xml:space="preserve"> </w:t>
      </w:r>
      <w:r w:rsidRPr="00DE4EAB">
        <w:rPr>
          <w:rStyle w:val="StyleUnderline"/>
        </w:rPr>
        <w:t>fossil fuel companies—for climate change</w:t>
      </w:r>
      <w:r>
        <w:rPr>
          <w:rStyle w:val="StyleUnderline"/>
        </w:rPr>
        <w:t xml:space="preserve"> </w:t>
      </w:r>
      <w:r w:rsidRPr="00DE4EAB">
        <w:rPr>
          <w:rStyle w:val="StyleUnderline"/>
        </w:rPr>
        <w:t>damages associated with defendants’ activities</w:t>
      </w:r>
      <w:r>
        <w:t>.113 Notably, plaintiffs in Native Village of Kivalina alleged that direct emissions associated with the energy companies’ operations contributed to climate change—they did not address indirect, or downstream, emissions associated with defendants’ extractive activities, such as those that would be at issue in a case against federal agencies for mineral leasing.</w:t>
      </w:r>
    </w:p>
    <w:p w14:paraId="7B355A65" w14:textId="77777777" w:rsidR="00054700" w:rsidRDefault="00054700" w:rsidP="00054700">
      <w:pPr>
        <w:rPr>
          <w:rStyle w:val="StyleUnderline"/>
        </w:rPr>
      </w:pPr>
      <w:r w:rsidRPr="00DE4EAB">
        <w:rPr>
          <w:rStyle w:val="StyleUnderline"/>
        </w:rPr>
        <w:t>Common law suits also face challenges associated</w:t>
      </w:r>
      <w:r>
        <w:rPr>
          <w:rStyle w:val="StyleUnderline"/>
        </w:rPr>
        <w:t xml:space="preserve"> </w:t>
      </w:r>
      <w:r w:rsidRPr="00DE4EAB">
        <w:rPr>
          <w:rStyle w:val="StyleUnderline"/>
        </w:rPr>
        <w:t xml:space="preserve">with the </w:t>
      </w:r>
      <w:r w:rsidRPr="00DE4EAB">
        <w:rPr>
          <w:rStyle w:val="Emphasis"/>
        </w:rPr>
        <w:t>difficulty of establishing a causal connection</w:t>
      </w:r>
      <w:r>
        <w:rPr>
          <w:rStyle w:val="Emphasis"/>
        </w:rPr>
        <w:t xml:space="preserve"> </w:t>
      </w:r>
      <w:r w:rsidRPr="00DE4EAB">
        <w:rPr>
          <w:rStyle w:val="Emphasis"/>
        </w:rPr>
        <w:t>between the defendant’s actions and an injury to</w:t>
      </w:r>
      <w:r>
        <w:rPr>
          <w:rStyle w:val="Emphasis"/>
        </w:rPr>
        <w:t xml:space="preserve"> </w:t>
      </w:r>
      <w:r w:rsidRPr="00DE4EAB">
        <w:rPr>
          <w:rStyle w:val="Emphasis"/>
        </w:rPr>
        <w:t>the plaintiff.</w:t>
      </w:r>
      <w:r>
        <w:t xml:space="preserve"> In Comer v. Murphy Oil USA, plaintiff property owners alleged that certain power and chemical companies’ GHG emissions contributed to climate change, which in turn exacerbated the harmful effects of Hurricane Katrina, constituting a private nuisance (as well as a public nuisance, trespass, negligence, unjust enrichment, fraudulent misrepresentation and civil conspiracy).114 The case involved a convoluted procedural history, featuring a dismissal in district court, a reversal at the Fifth Circuit, an en banc decision to vacate the reversal due to failure to muster a quorum, plaintiffs’ filing of a writ of mandamus asking the </w:t>
      </w:r>
      <w:r w:rsidRPr="00DE4EAB">
        <w:rPr>
          <w:rStyle w:val="StyleUnderline"/>
        </w:rPr>
        <w:t xml:space="preserve">Supreme Court </w:t>
      </w:r>
      <w:r>
        <w:t xml:space="preserve">to reinstate the panel decision, the denial of the writ, plaintiffs’ re-filing of their case in district court, and </w:t>
      </w:r>
      <w:r w:rsidRPr="00DE4EAB">
        <w:rPr>
          <w:rStyle w:val="StyleUnderline"/>
        </w:rPr>
        <w:t>dismissal based on res</w:t>
      </w:r>
      <w:r>
        <w:rPr>
          <w:rStyle w:val="StyleUnderline"/>
        </w:rPr>
        <w:t xml:space="preserve"> </w:t>
      </w:r>
      <w:r w:rsidRPr="00DE4EAB">
        <w:rPr>
          <w:rStyle w:val="StyleUnderline"/>
        </w:rPr>
        <w:t>judicata grounds</w:t>
      </w:r>
      <w:r>
        <w:t xml:space="preserve"> – though not on the merits.115 As noted earlier, </w:t>
      </w:r>
      <w:r w:rsidRPr="00DE4EAB">
        <w:rPr>
          <w:rStyle w:val="StyleUnderline"/>
        </w:rPr>
        <w:t>the case was ultimately rejected on</w:t>
      </w:r>
      <w:r>
        <w:rPr>
          <w:rStyle w:val="StyleUnderline"/>
        </w:rPr>
        <w:t xml:space="preserve"> </w:t>
      </w:r>
      <w:r w:rsidRPr="00DE4EAB">
        <w:rPr>
          <w:rStyle w:val="StyleUnderline"/>
        </w:rPr>
        <w:t>standing grounds, because the plaintiffs could not</w:t>
      </w:r>
      <w:r>
        <w:rPr>
          <w:rStyle w:val="StyleUnderline"/>
        </w:rPr>
        <w:t xml:space="preserve"> </w:t>
      </w:r>
      <w:r w:rsidRPr="00DE4EAB">
        <w:rPr>
          <w:rStyle w:val="StyleUnderline"/>
        </w:rPr>
        <w:t>establish that their injuries were fairly traceable to</w:t>
      </w:r>
      <w:r>
        <w:rPr>
          <w:rStyle w:val="StyleUnderline"/>
        </w:rPr>
        <w:t xml:space="preserve"> </w:t>
      </w:r>
      <w:r w:rsidRPr="00DE4EAB">
        <w:rPr>
          <w:rStyle w:val="StyleUnderline"/>
        </w:rPr>
        <w:t>the companies’ GHG emissions. If such a case were</w:t>
      </w:r>
      <w:r>
        <w:rPr>
          <w:rStyle w:val="StyleUnderline"/>
        </w:rPr>
        <w:t xml:space="preserve"> </w:t>
      </w:r>
      <w:r w:rsidRPr="00DE4EAB">
        <w:rPr>
          <w:rStyle w:val="StyleUnderline"/>
        </w:rPr>
        <w:t>to proceed to trial, plaintiffs would have an even</w:t>
      </w:r>
      <w:r>
        <w:rPr>
          <w:rStyle w:val="StyleUnderline"/>
        </w:rPr>
        <w:t xml:space="preserve"> </w:t>
      </w:r>
      <w:r w:rsidRPr="00DE4EAB">
        <w:rPr>
          <w:rStyle w:val="StyleUnderline"/>
        </w:rPr>
        <w:t>higher burden to satisfy in showing the activities</w:t>
      </w:r>
      <w:r>
        <w:rPr>
          <w:rStyle w:val="StyleUnderline"/>
        </w:rPr>
        <w:t xml:space="preserve"> </w:t>
      </w:r>
      <w:r w:rsidRPr="00DE4EAB">
        <w:rPr>
          <w:rStyle w:val="StyleUnderline"/>
        </w:rPr>
        <w:t xml:space="preserve">caused the harm.  </w:t>
      </w:r>
    </w:p>
    <w:p w14:paraId="48D9D3B2" w14:textId="77777777" w:rsidR="00054700" w:rsidRPr="00DE4EAB" w:rsidRDefault="00054700" w:rsidP="00054700">
      <w:pPr>
        <w:pStyle w:val="Heading4"/>
      </w:pPr>
      <w:r>
        <w:lastRenderedPageBreak/>
        <w:t xml:space="preserve">Climate change litigation is doomed by the ‘awfulness of lawfulness’ – the inclusion of personal narratives, use of children, and prereq of having to submit to the legal system shows it’s inefficacy </w:t>
      </w:r>
    </w:p>
    <w:p w14:paraId="679B2901" w14:textId="77777777" w:rsidR="00054700" w:rsidRDefault="00054700" w:rsidP="00054700">
      <w:pPr>
        <w:rPr>
          <w:rStyle w:val="Style13ptBold"/>
        </w:rPr>
      </w:pPr>
      <w:r>
        <w:rPr>
          <w:rStyle w:val="Style13ptBold"/>
        </w:rPr>
        <w:t>Rogers, Southern Cross Uni Law and Justice Professor, 13</w:t>
      </w:r>
    </w:p>
    <w:p w14:paraId="4681074B" w14:textId="77777777" w:rsidR="00054700" w:rsidRPr="00F94C6E" w:rsidRDefault="00054700" w:rsidP="00054700">
      <w:r w:rsidRPr="00F94C6E">
        <w:t>[Rogers, Nicole, 2013, “Climate Change Litigation and the Awfulness of Lawfulness,”  HeinOnline, https://heinonline.org/HOL/P?h=hein.journals/alterlj38&amp;i=25, accessed 7-16-20, LH]</w:t>
      </w:r>
    </w:p>
    <w:p w14:paraId="5F01B2B8" w14:textId="77777777" w:rsidR="00054700" w:rsidRDefault="00054700" w:rsidP="00054700">
      <w:r>
        <w:t>The paradoxology of lawfulness</w:t>
      </w:r>
    </w:p>
    <w:p w14:paraId="5F321AF4" w14:textId="77777777" w:rsidR="00054700" w:rsidRPr="00503F32" w:rsidRDefault="00054700" w:rsidP="00054700">
      <w:pPr>
        <w:rPr>
          <w:rStyle w:val="StyleUnderline"/>
        </w:rPr>
      </w:pPr>
      <w:r>
        <w:t xml:space="preserve">Is, then, </w:t>
      </w:r>
      <w:r w:rsidRPr="00503F32">
        <w:rPr>
          <w:rStyle w:val="Emphasis"/>
        </w:rPr>
        <w:t>climate change litigation doomed by the</w:t>
      </w:r>
      <w:r>
        <w:rPr>
          <w:rStyle w:val="Emphasis"/>
        </w:rPr>
        <w:t xml:space="preserve"> </w:t>
      </w:r>
      <w:r w:rsidRPr="00503F32">
        <w:rPr>
          <w:rStyle w:val="Emphasis"/>
        </w:rPr>
        <w:t>awfulness of lawfulness</w:t>
      </w:r>
      <w:r w:rsidRPr="00503F32">
        <w:rPr>
          <w:rStyle w:val="StyleUnderline"/>
        </w:rPr>
        <w:t xml:space="preserve"> to deliver us only rigid,</w:t>
      </w:r>
      <w:r>
        <w:rPr>
          <w:rStyle w:val="StyleUnderline"/>
        </w:rPr>
        <w:t xml:space="preserve"> </w:t>
      </w:r>
      <w:r w:rsidRPr="00503F32">
        <w:rPr>
          <w:rStyle w:val="StyleUnderline"/>
        </w:rPr>
        <w:t>precedent-bound, conservative outcomes</w:t>
      </w:r>
      <w:r>
        <w:t xml:space="preserve">? Baz Kershaw writes of the paradoxology of performance." He thus suggests that performance conceals multiple and self-referential layers of paradox. In using the word here, I am suggesting that </w:t>
      </w:r>
      <w:r w:rsidRPr="00503F32">
        <w:rPr>
          <w:rStyle w:val="StyleUnderline"/>
        </w:rPr>
        <w:t>lawfulness similarly conceals</w:t>
      </w:r>
      <w:r>
        <w:rPr>
          <w:rStyle w:val="StyleUnderline"/>
        </w:rPr>
        <w:t xml:space="preserve"> </w:t>
      </w:r>
      <w:r w:rsidRPr="00503F32">
        <w:rPr>
          <w:rStyle w:val="StyleUnderline"/>
        </w:rPr>
        <w:t>multiple layers of paradox, and that there are inherent</w:t>
      </w:r>
      <w:r>
        <w:rPr>
          <w:rStyle w:val="StyleUnderline"/>
        </w:rPr>
        <w:t xml:space="preserve"> </w:t>
      </w:r>
      <w:r w:rsidRPr="00503F32">
        <w:rPr>
          <w:rStyle w:val="StyleUnderline"/>
        </w:rPr>
        <w:t>fundamental contradictions in the use and application</w:t>
      </w:r>
      <w:r>
        <w:rPr>
          <w:rStyle w:val="StyleUnderline"/>
        </w:rPr>
        <w:t xml:space="preserve"> </w:t>
      </w:r>
      <w:r w:rsidRPr="00503F32">
        <w:rPr>
          <w:rStyle w:val="StyleUnderline"/>
        </w:rPr>
        <w:t>of lawfulness.</w:t>
      </w:r>
    </w:p>
    <w:p w14:paraId="2040E1E0" w14:textId="77777777" w:rsidR="00054700" w:rsidRDefault="00054700" w:rsidP="00054700">
      <w:r w:rsidRPr="00503F32">
        <w:rPr>
          <w:rStyle w:val="StyleUnderline"/>
        </w:rPr>
        <w:t>Lawfulness can be a two-edged sword.</w:t>
      </w:r>
      <w:r>
        <w:t xml:space="preserve"> This was acknowledged by left-wing English historian EP Thompson when he observed that the ruling classes effectively became the 'prisoners of their own rhetoric' by using the language of the law in defence of their property."' It was, he stated, 'inherent in the very nature of the medium which they had selected for their own self-defence that it could not be reserved for the exclusive use only of their own class'.'$ Thus the disempowered can use the rhetoric of the law in order to develop 'a radical critique of the practice of society'." In other words, once you engage in a practice of 'semiotic slipperiness',s a phrase of Kershaw's which I am using here to signify the appropriation of existing legal precedents and established concepts for radical purposes, lawfulness should produce the same conclusion irrespective of the identity of the plaintiff or the context in which the matter arose.</w:t>
      </w:r>
    </w:p>
    <w:p w14:paraId="7426230B" w14:textId="77777777" w:rsidR="00054700" w:rsidRDefault="00054700" w:rsidP="00054700">
      <w:r w:rsidRPr="00503F32">
        <w:rPr>
          <w:rStyle w:val="StyleUnderline"/>
        </w:rPr>
        <w:t>The awfulness of lawfulness is manifested when law</w:t>
      </w:r>
      <w:r>
        <w:rPr>
          <w:rStyle w:val="StyleUnderline"/>
        </w:rPr>
        <w:t xml:space="preserve"> </w:t>
      </w:r>
      <w:r w:rsidRPr="00503F32">
        <w:rPr>
          <w:rStyle w:val="StyleUnderline"/>
        </w:rPr>
        <w:t>is strictly applied in a moral vacuum, with complete</w:t>
      </w:r>
      <w:r>
        <w:rPr>
          <w:rStyle w:val="StyleUnderline"/>
        </w:rPr>
        <w:t xml:space="preserve"> </w:t>
      </w:r>
      <w:r w:rsidRPr="00503F32">
        <w:rPr>
          <w:rStyle w:val="StyleUnderline"/>
        </w:rPr>
        <w:t>disregard for social and policy considerations</w:t>
      </w:r>
      <w:r>
        <w:t xml:space="preserve">. The paradox at the heart of lawfulness is that the strict application of law can advantage the invisible and the dispossessed, the radical and the politically unpopular, when they appropriate legal concepts for their own purposes. Law can be undone by its own rhetoric. </w:t>
      </w:r>
      <w:r w:rsidRPr="00503F32">
        <w:rPr>
          <w:rStyle w:val="StyleUnderline"/>
        </w:rPr>
        <w:t>Climate change litigants, who appropriate existing</w:t>
      </w:r>
      <w:r>
        <w:rPr>
          <w:rStyle w:val="StyleUnderline"/>
        </w:rPr>
        <w:t xml:space="preserve"> </w:t>
      </w:r>
      <w:r w:rsidRPr="00503F32">
        <w:rPr>
          <w:rStyle w:val="StyleUnderline"/>
        </w:rPr>
        <w:t>legal concepts for their own subversive purposes, are</w:t>
      </w:r>
      <w:r>
        <w:rPr>
          <w:rStyle w:val="StyleUnderline"/>
        </w:rPr>
        <w:t xml:space="preserve"> </w:t>
      </w:r>
      <w:r w:rsidRPr="00503F32">
        <w:rPr>
          <w:rStyle w:val="StyleUnderline"/>
        </w:rPr>
        <w:t>'open[ing] up new domains for radical revisions of</w:t>
      </w:r>
      <w:r>
        <w:rPr>
          <w:rStyle w:val="StyleUnderline"/>
        </w:rPr>
        <w:t xml:space="preserve"> </w:t>
      </w:r>
      <w:r w:rsidRPr="00503F32">
        <w:rPr>
          <w:rStyle w:val="StyleUnderline"/>
        </w:rPr>
        <w:t>the way things are.'2' They are donning the enemy's</w:t>
      </w:r>
      <w:r>
        <w:rPr>
          <w:rStyle w:val="StyleUnderline"/>
        </w:rPr>
        <w:t xml:space="preserve"> </w:t>
      </w:r>
      <w:r w:rsidRPr="00503F32">
        <w:rPr>
          <w:rStyle w:val="StyleUnderline"/>
        </w:rPr>
        <w:t>armour before engaging in battle</w:t>
      </w:r>
      <w:r>
        <w:t xml:space="preserve">. As eco-activists draw on 'dramaturgical and performative tools ... to dismantle what the tools have made'22 so climate change litigants are deploying the paradoxical strategy of using legal tools, and indeed performative tools, as litigation inevitably involves performance, in challenging the political and economic structures created by such tools. This is, in fact, the art of the masquerade? In the 1970s, Laurence Tribe expressed some concerns about public interest environmental litigation. </w:t>
      </w:r>
      <w:r w:rsidRPr="00503F32">
        <w:rPr>
          <w:rStyle w:val="StyleUnderline"/>
        </w:rPr>
        <w:t>He</w:t>
      </w:r>
      <w:r>
        <w:rPr>
          <w:rStyle w:val="StyleUnderline"/>
        </w:rPr>
        <w:t xml:space="preserve"> </w:t>
      </w:r>
      <w:r w:rsidRPr="00503F32">
        <w:rPr>
          <w:rStyle w:val="StyleUnderline"/>
        </w:rPr>
        <w:t>commented that environmentalists who mount legal</w:t>
      </w:r>
      <w:r>
        <w:rPr>
          <w:rStyle w:val="StyleUnderline"/>
        </w:rPr>
        <w:t xml:space="preserve"> </w:t>
      </w:r>
      <w:r w:rsidRPr="00503F32">
        <w:rPr>
          <w:rStyle w:val="StyleUnderline"/>
        </w:rPr>
        <w:t>challenges are required to translate 'the felt obligation',</w:t>
      </w:r>
      <w:r>
        <w:rPr>
          <w:rStyle w:val="StyleUnderline"/>
        </w:rPr>
        <w:t xml:space="preserve"> </w:t>
      </w:r>
      <w:r w:rsidRPr="00503F32">
        <w:rPr>
          <w:rStyle w:val="StyleUnderline"/>
        </w:rPr>
        <w:t>which may reflect their reverence for other life forms,</w:t>
      </w:r>
      <w:r>
        <w:rPr>
          <w:rStyle w:val="StyleUnderline"/>
        </w:rPr>
        <w:t xml:space="preserve"> </w:t>
      </w:r>
      <w:r>
        <w:t>hence, again, Baz Kershaw's term 'paradoxology' seems particularly appropriate in this context."</w:t>
      </w:r>
    </w:p>
    <w:p w14:paraId="761B4093" w14:textId="77777777" w:rsidR="00054700" w:rsidRDefault="00054700" w:rsidP="00054700">
      <w:r>
        <w:t>The paradoxology of legal performance</w:t>
      </w:r>
    </w:p>
    <w:p w14:paraId="0E8930AE" w14:textId="77777777" w:rsidR="00054700" w:rsidRPr="00503F32" w:rsidRDefault="00054700" w:rsidP="00054700">
      <w:pPr>
        <w:rPr>
          <w:rStyle w:val="StyleUnderline"/>
        </w:rPr>
      </w:pPr>
      <w:r>
        <w:t xml:space="preserve">In fact </w:t>
      </w:r>
      <w:r w:rsidRPr="00503F32">
        <w:rPr>
          <w:rStyle w:val="StyleUnderline"/>
        </w:rPr>
        <w:t>the two most potent elements in these ongoing</w:t>
      </w:r>
      <w:r>
        <w:rPr>
          <w:rStyle w:val="StyleUnderline"/>
        </w:rPr>
        <w:t xml:space="preserve"> </w:t>
      </w:r>
      <w:r w:rsidRPr="00503F32">
        <w:rPr>
          <w:rStyle w:val="StyleUnderline"/>
        </w:rPr>
        <w:t>spectacles of deconstruction, the age and identity</w:t>
      </w:r>
      <w:r>
        <w:rPr>
          <w:rStyle w:val="StyleUnderline"/>
        </w:rPr>
        <w:t xml:space="preserve"> </w:t>
      </w:r>
      <w:r w:rsidRPr="00503F32">
        <w:rPr>
          <w:rStyle w:val="StyleUnderline"/>
        </w:rPr>
        <w:t>of the plaintiffs, and the inclusion of their personal</w:t>
      </w:r>
      <w:r>
        <w:rPr>
          <w:rStyle w:val="StyleUnderline"/>
        </w:rPr>
        <w:t xml:space="preserve"> </w:t>
      </w:r>
      <w:r w:rsidRPr="00503F32">
        <w:rPr>
          <w:rStyle w:val="StyleUnderline"/>
        </w:rPr>
        <w:t xml:space="preserve">narratives in the court documents, </w:t>
      </w:r>
      <w:r w:rsidRPr="00503F32">
        <w:rPr>
          <w:rStyle w:val="Emphasis"/>
        </w:rPr>
        <w:t>are inherently</w:t>
      </w:r>
      <w:r>
        <w:rPr>
          <w:rStyle w:val="Emphasis"/>
        </w:rPr>
        <w:t xml:space="preserve"> </w:t>
      </w:r>
      <w:r w:rsidRPr="00503F32">
        <w:rPr>
          <w:rStyle w:val="Emphasis"/>
        </w:rPr>
        <w:t>problematic</w:t>
      </w:r>
      <w:r w:rsidRPr="00503F32">
        <w:rPr>
          <w:rStyle w:val="StyleUnderline"/>
        </w:rPr>
        <w:t>. These are children and teenagers suing</w:t>
      </w:r>
      <w:r>
        <w:rPr>
          <w:rStyle w:val="StyleUnderline"/>
        </w:rPr>
        <w:t xml:space="preserve"> </w:t>
      </w:r>
      <w:r w:rsidRPr="00503F32">
        <w:rPr>
          <w:rStyle w:val="StyleUnderline"/>
        </w:rPr>
        <w:t xml:space="preserve">the government and arguing that their </w:t>
      </w:r>
      <w:r w:rsidRPr="00503F32">
        <w:rPr>
          <w:rStyle w:val="StyleUnderline"/>
        </w:rPr>
        <w:lastRenderedPageBreak/>
        <w:t>future, and</w:t>
      </w:r>
      <w:r>
        <w:rPr>
          <w:rStyle w:val="StyleUnderline"/>
        </w:rPr>
        <w:t xml:space="preserve"> </w:t>
      </w:r>
      <w:r w:rsidRPr="00503F32">
        <w:rPr>
          <w:rStyle w:val="StyleUnderline"/>
        </w:rPr>
        <w:t>the future of the unborn, is at stake. The plaintiffs,</w:t>
      </w:r>
      <w:r>
        <w:rPr>
          <w:rStyle w:val="StyleUnderline"/>
        </w:rPr>
        <w:t xml:space="preserve"> </w:t>
      </w:r>
      <w:r w:rsidRPr="00503F32">
        <w:rPr>
          <w:rStyle w:val="StyleUnderline"/>
        </w:rPr>
        <w:t>some of whom are too young to understand the</w:t>
      </w:r>
      <w:r>
        <w:rPr>
          <w:rStyle w:val="StyleUnderline"/>
        </w:rPr>
        <w:t xml:space="preserve"> </w:t>
      </w:r>
      <w:r w:rsidRPr="00503F32">
        <w:rPr>
          <w:rStyle w:val="StyleUnderline"/>
        </w:rPr>
        <w:t>meaning of climate change, embody the concept of</w:t>
      </w:r>
      <w:r>
        <w:rPr>
          <w:rStyle w:val="StyleUnderline"/>
        </w:rPr>
        <w:t xml:space="preserve"> </w:t>
      </w:r>
      <w:r w:rsidRPr="00503F32">
        <w:rPr>
          <w:rStyle w:val="StyleUnderline"/>
        </w:rPr>
        <w:t>intergenerational equit</w:t>
      </w:r>
      <w:r>
        <w:t>y. In this respect, the movement has followed the example set by public interest environmental lawyer Antonio Oposa, who successfully used children as plaintiffs in a I 990s challenge to the issue of logging contracts in the Philippines. His own children, the oldest only three and a half, headed the list of plaintiff children who were represented and joined by their respective parents, and who claimed to represent the needs of future generations. * The use of children as plaintiffs is powerfully symbolic. They represent the future and future generations but they also represent playfulness and, according to Victor Turner, antistructure.</w:t>
      </w:r>
      <w:r w:rsidRPr="00503F32">
        <w:rPr>
          <w:rStyle w:val="StyleUnderline"/>
        </w:rPr>
        <w:t>2 These concepts are perceived</w:t>
      </w:r>
      <w:r>
        <w:rPr>
          <w:rStyle w:val="StyleUnderline"/>
        </w:rPr>
        <w:t xml:space="preserve"> </w:t>
      </w:r>
      <w:r w:rsidRPr="00503F32">
        <w:rPr>
          <w:rStyle w:val="StyleUnderline"/>
        </w:rPr>
        <w:t>as antithetical to law. Children traditionally belong in</w:t>
      </w:r>
      <w:r>
        <w:rPr>
          <w:rStyle w:val="StyleUnderline"/>
        </w:rPr>
        <w:t xml:space="preserve"> </w:t>
      </w:r>
      <w:r w:rsidRPr="00503F32">
        <w:rPr>
          <w:rStyle w:val="StyleUnderline"/>
        </w:rPr>
        <w:t xml:space="preserve">the private sphere </w:t>
      </w:r>
      <w:r>
        <w:t xml:space="preserve">of the family but in such lawsuits they are taking an assertive and proactive role in the public sphere, by challenging the authority and mandate of their governments to make decisions about their future. </w:t>
      </w:r>
      <w:r w:rsidRPr="00503F32">
        <w:rPr>
          <w:rStyle w:val="StyleUnderline"/>
        </w:rPr>
        <w:t>They are creatively playing with existing legal</w:t>
      </w:r>
      <w:r>
        <w:rPr>
          <w:rStyle w:val="StyleUnderline"/>
        </w:rPr>
        <w:t xml:space="preserve"> </w:t>
      </w:r>
      <w:r w:rsidRPr="00503F32">
        <w:rPr>
          <w:rStyle w:val="StyleUnderline"/>
        </w:rPr>
        <w:t>concepts but the context is'deadly serious' 43 they</w:t>
      </w:r>
      <w:r>
        <w:rPr>
          <w:rStyle w:val="StyleUnderline"/>
        </w:rPr>
        <w:t xml:space="preserve"> </w:t>
      </w:r>
      <w:r w:rsidRPr="00503F32">
        <w:rPr>
          <w:rStyle w:val="StyleUnderline"/>
        </w:rPr>
        <w:t>are doing so to avoid the environmental (and political)</w:t>
      </w:r>
      <w:r>
        <w:rPr>
          <w:rStyle w:val="StyleUnderline"/>
        </w:rPr>
        <w:t xml:space="preserve"> </w:t>
      </w:r>
      <w:r w:rsidRPr="00503F32">
        <w:rPr>
          <w:rStyle w:val="StyleUnderline"/>
        </w:rPr>
        <w:t>violence associated with a climate-changed future.</w:t>
      </w:r>
      <w:r>
        <w:rPr>
          <w:rStyle w:val="StyleUnderline"/>
        </w:rPr>
        <w:t xml:space="preserve"> </w:t>
      </w:r>
      <w:r>
        <w:t xml:space="preserve">There is another disturbing dimension to this; </w:t>
      </w:r>
      <w:r w:rsidRPr="00503F32">
        <w:rPr>
          <w:rStyle w:val="StyleUnderline"/>
        </w:rPr>
        <w:t>children</w:t>
      </w:r>
      <w:r>
        <w:rPr>
          <w:rStyle w:val="StyleUnderline"/>
        </w:rPr>
        <w:t xml:space="preserve"> </w:t>
      </w:r>
      <w:r w:rsidRPr="00503F32">
        <w:rPr>
          <w:rStyle w:val="StyleUnderline"/>
        </w:rPr>
        <w:t>are supposed to play but these children, motivated by</w:t>
      </w:r>
      <w:r>
        <w:rPr>
          <w:rStyle w:val="StyleUnderline"/>
        </w:rPr>
        <w:t xml:space="preserve"> </w:t>
      </w:r>
      <w:r w:rsidRPr="00503F32">
        <w:rPr>
          <w:rStyle w:val="StyleUnderline"/>
        </w:rPr>
        <w:t>concern for their future, have abandoned childish play</w:t>
      </w:r>
      <w:r>
        <w:rPr>
          <w:rStyle w:val="StyleUnderline"/>
        </w:rPr>
        <w:t xml:space="preserve"> </w:t>
      </w:r>
      <w:r w:rsidRPr="00503F32">
        <w:rPr>
          <w:rStyle w:val="StyleUnderline"/>
        </w:rPr>
        <w:t>to engage in the serious adult play of law.</w:t>
      </w:r>
      <w:r>
        <w:rPr>
          <w:rStyle w:val="StyleUnderline"/>
        </w:rPr>
        <w:t xml:space="preserve"> </w:t>
      </w:r>
      <w:r>
        <w:t xml:space="preserve">An added subversive element is </w:t>
      </w:r>
      <w:r w:rsidRPr="00503F32">
        <w:rPr>
          <w:rStyle w:val="StyleUnderline"/>
        </w:rPr>
        <w:t>the inclusion of</w:t>
      </w:r>
      <w:r>
        <w:rPr>
          <w:rStyle w:val="StyleUnderline"/>
        </w:rPr>
        <w:t xml:space="preserve"> </w:t>
      </w:r>
      <w:r w:rsidRPr="00503F32">
        <w:rPr>
          <w:rStyle w:val="StyleUnderline"/>
        </w:rPr>
        <w:t>their personal narratives in court documents.</w:t>
      </w:r>
      <w:r>
        <w:t xml:space="preserve"> In an environment in which such narratives are edited out or turned into legal abstractions, these children have insisted on telling their stories. These are the voices of teenagers, children and their parents, and as they speak we hear their very real anxiety and concern about the catastrophic implications of a climate-changed future. These elements are highly subversive. Having acknowledged this, </w:t>
      </w:r>
      <w:r w:rsidRPr="00503F32">
        <w:rPr>
          <w:rStyle w:val="StyleUnderline"/>
        </w:rPr>
        <w:t>these components of the lawsuits</w:t>
      </w:r>
      <w:r>
        <w:rPr>
          <w:rStyle w:val="StyleUnderline"/>
        </w:rPr>
        <w:t xml:space="preserve"> </w:t>
      </w:r>
      <w:r w:rsidRPr="00503F32">
        <w:rPr>
          <w:rStyle w:val="StyleUnderline"/>
        </w:rPr>
        <w:t>also illustrate Tribe's concerns about the reframing</w:t>
      </w:r>
      <w:r>
        <w:rPr>
          <w:rStyle w:val="StyleUnderline"/>
        </w:rPr>
        <w:t xml:space="preserve"> </w:t>
      </w:r>
      <w:r w:rsidRPr="00503F32">
        <w:rPr>
          <w:rStyle w:val="StyleUnderline"/>
        </w:rPr>
        <w:t>of environmental concerns to fit within existing legal</w:t>
      </w:r>
      <w:r>
        <w:rPr>
          <w:rStyle w:val="StyleUnderline"/>
        </w:rPr>
        <w:t xml:space="preserve"> </w:t>
      </w:r>
      <w:r w:rsidRPr="00503F32">
        <w:rPr>
          <w:rStyle w:val="StyleUnderline"/>
        </w:rPr>
        <w:t>frameworks. The young plaintiffs may represent the</w:t>
      </w:r>
      <w:r>
        <w:rPr>
          <w:rStyle w:val="StyleUnderline"/>
        </w:rPr>
        <w:t xml:space="preserve"> </w:t>
      </w:r>
      <w:r w:rsidRPr="00503F32">
        <w:rPr>
          <w:rStyle w:val="StyleUnderline"/>
        </w:rPr>
        <w:t>concept of intergenerational equity but they are, of</w:t>
      </w:r>
      <w:r>
        <w:rPr>
          <w:rStyle w:val="StyleUnderline"/>
        </w:rPr>
        <w:t xml:space="preserve"> </w:t>
      </w:r>
      <w:r w:rsidRPr="00503F32">
        <w:rPr>
          <w:rStyle w:val="StyleUnderline"/>
        </w:rPr>
        <w:t xml:space="preserve">necessity, </w:t>
      </w:r>
      <w:r w:rsidRPr="00503F32">
        <w:rPr>
          <w:rStyle w:val="Emphasis"/>
        </w:rPr>
        <w:t>all privileged First World citizens</w:t>
      </w:r>
      <w:r w:rsidRPr="00503F32">
        <w:rPr>
          <w:rStyle w:val="StyleUnderline"/>
        </w:rPr>
        <w:t>. It would</w:t>
      </w:r>
      <w:r>
        <w:rPr>
          <w:rStyle w:val="StyleUnderline"/>
        </w:rPr>
        <w:t xml:space="preserve"> </w:t>
      </w:r>
      <w:r w:rsidRPr="00503F32">
        <w:rPr>
          <w:rStyle w:val="StyleUnderline"/>
        </w:rPr>
        <w:t>be more equitable, and certainly more compelling</w:t>
      </w:r>
      <w:r>
        <w:rPr>
          <w:rStyle w:val="StyleUnderline"/>
        </w:rPr>
        <w:t xml:space="preserve"> </w:t>
      </w:r>
      <w:r w:rsidRPr="00503F32">
        <w:rPr>
          <w:rStyle w:val="StyleUnderline"/>
        </w:rPr>
        <w:t>from the perspective of intragenerational equity, to</w:t>
      </w:r>
      <w:r>
        <w:rPr>
          <w:rStyle w:val="StyleUnderline"/>
        </w:rPr>
        <w:t xml:space="preserve"> </w:t>
      </w:r>
      <w:r w:rsidRPr="00503F32">
        <w:rPr>
          <w:rStyle w:val="StyleUnderline"/>
        </w:rPr>
        <w:t>have teenagers from the Maldives, Tuvalu and Kiribati,</w:t>
      </w:r>
      <w:r>
        <w:rPr>
          <w:rStyle w:val="StyleUnderline"/>
        </w:rPr>
        <w:t xml:space="preserve"> </w:t>
      </w:r>
      <w:r w:rsidRPr="00503F32">
        <w:rPr>
          <w:rStyle w:val="StyleUnderline"/>
        </w:rPr>
        <w:t>from Africa and the Torres Strait Islands join in the</w:t>
      </w:r>
      <w:r>
        <w:rPr>
          <w:rStyle w:val="StyleUnderline"/>
        </w:rPr>
        <w:t xml:space="preserve"> </w:t>
      </w:r>
      <w:r w:rsidRPr="00503F32">
        <w:rPr>
          <w:rStyle w:val="StyleUnderline"/>
        </w:rPr>
        <w:t>legal proceedings, but such children lack standing in</w:t>
      </w:r>
      <w:r>
        <w:rPr>
          <w:rStyle w:val="StyleUnderline"/>
        </w:rPr>
        <w:t xml:space="preserve"> </w:t>
      </w:r>
      <w:r w:rsidRPr="00503F32">
        <w:rPr>
          <w:rStyle w:val="StyleUnderline"/>
        </w:rPr>
        <w:t>American courtrooms.</w:t>
      </w:r>
    </w:p>
    <w:p w14:paraId="401D3EA1" w14:textId="77777777" w:rsidR="00054700" w:rsidRDefault="00054700" w:rsidP="00054700"/>
    <w:p w14:paraId="3CF881E7" w14:textId="77777777" w:rsidR="00054700" w:rsidRDefault="00054700" w:rsidP="00054700">
      <w:pPr>
        <w:pStyle w:val="Heading3"/>
      </w:pPr>
      <w:r>
        <w:lastRenderedPageBreak/>
        <w:t>Sci Literacy – Climate Litigation – Turn</w:t>
      </w:r>
    </w:p>
    <w:p w14:paraId="249C4579" w14:textId="77777777" w:rsidR="00054700" w:rsidRPr="00466489" w:rsidRDefault="00054700" w:rsidP="00054700">
      <w:pPr>
        <w:pStyle w:val="Heading4"/>
      </w:pPr>
      <w:r w:rsidRPr="00466489">
        <w:t xml:space="preserve">Climate </w:t>
      </w:r>
      <w:r>
        <w:t xml:space="preserve">upsets the balance of powers - prevents progressive change </w:t>
      </w:r>
    </w:p>
    <w:p w14:paraId="1A220289" w14:textId="77777777" w:rsidR="00054700" w:rsidRPr="000C6D46" w:rsidRDefault="00054700" w:rsidP="00054700">
      <w:pPr>
        <w:rPr>
          <w:rStyle w:val="Style13ptBold"/>
        </w:rPr>
      </w:pPr>
      <w:r w:rsidRPr="000C6D46">
        <w:rPr>
          <w:rStyle w:val="Style13ptBold"/>
        </w:rPr>
        <w:t>Burger, Columbia Climate Law Executive Director, Gundlach, NYU Institute for Policy Integrity Senior Attorney, 17</w:t>
      </w:r>
    </w:p>
    <w:p w14:paraId="25C7F180" w14:textId="77777777" w:rsidR="00054700" w:rsidRPr="00466489" w:rsidRDefault="00054700" w:rsidP="00054700">
      <w:pPr>
        <w:rPr>
          <w:rFonts w:ascii="Times New Roman" w:hAnsi="Times New Roman" w:cs="Times New Roman"/>
          <w:sz w:val="24"/>
        </w:rPr>
      </w:pPr>
      <w:r w:rsidRPr="00466489">
        <w:rPr>
          <w:rFonts w:ascii="Times New Roman" w:hAnsi="Times New Roman" w:cs="Times New Roman"/>
          <w:sz w:val="24"/>
        </w:rPr>
        <w:t xml:space="preserve">[Michael, Justin, 5/23/17, United Nations Environmental Programme, “The Status of Climate Change Litigation: A Global Review,” </w:t>
      </w:r>
      <w:r w:rsidRPr="00B06ED0">
        <w:rPr>
          <w:rFonts w:ascii="Times New Roman" w:hAnsi="Times New Roman" w:cs="Times New Roman"/>
          <w:sz w:val="24"/>
        </w:rPr>
        <w:t>https://wedocs.unep.org/bitstream/handle/20.500.11822/20767/climate-change-litigation.pdf?sequence=1&amp;isAllowed=y</w:t>
      </w:r>
      <w:r w:rsidRPr="00466489">
        <w:rPr>
          <w:rFonts w:ascii="Times New Roman" w:hAnsi="Times New Roman" w:cs="Times New Roman"/>
          <w:sz w:val="24"/>
        </w:rPr>
        <w:t>, p.</w:t>
      </w:r>
      <w:r>
        <w:rPr>
          <w:rFonts w:ascii="Times New Roman" w:hAnsi="Times New Roman" w:cs="Times New Roman"/>
          <w:sz w:val="24"/>
        </w:rPr>
        <w:t>30</w:t>
      </w:r>
      <w:r w:rsidRPr="00466489">
        <w:rPr>
          <w:rFonts w:ascii="Times New Roman" w:hAnsi="Times New Roman" w:cs="Times New Roman"/>
          <w:sz w:val="24"/>
        </w:rPr>
        <w:t>, accessed 7/16/20, MZK]</w:t>
      </w:r>
    </w:p>
    <w:p w14:paraId="02888A07" w14:textId="77777777" w:rsidR="00054700" w:rsidRPr="00D52A9F" w:rsidRDefault="00054700" w:rsidP="00054700">
      <w:pPr>
        <w:spacing w:after="0" w:line="240" w:lineRule="auto"/>
        <w:rPr>
          <w:rFonts w:ascii="Times New Roman" w:eastAsia="Times New Roman" w:hAnsi="Times New Roman" w:cs="Times New Roman"/>
          <w:sz w:val="24"/>
          <w:u w:val="single"/>
        </w:rPr>
      </w:pPr>
      <w:r w:rsidRPr="00D52A9F">
        <w:rPr>
          <w:rFonts w:ascii="Times New Roman" w:eastAsia="Times New Roman" w:hAnsi="Times New Roman" w:cs="Times New Roman"/>
          <w:sz w:val="24"/>
          <w:u w:val="single"/>
        </w:rPr>
        <w:t>The principle of separation or balance of powers dictates that one branch of government cannot exceed the authority granted to it by the constitution or other laws and intrude on the authority of another branch.</w:t>
      </w:r>
      <w:r w:rsidRPr="00D52A9F">
        <w:rPr>
          <w:rFonts w:ascii="Times New Roman" w:eastAsia="Times New Roman" w:hAnsi="Times New Roman" w:cs="Times New Roman"/>
          <w:sz w:val="24"/>
        </w:rPr>
        <w:t xml:space="preserve"> While this doctrine is typically evoked as a matter of constitutional law, it also applies in nonconstitutional systems to the extent that there are policies, laws and regulations outlining the respective powers of each branch of government. </w:t>
      </w:r>
      <w:r w:rsidRPr="00D52A9F">
        <w:rPr>
          <w:rFonts w:ascii="Times New Roman" w:eastAsia="Times New Roman" w:hAnsi="Times New Roman" w:cs="Times New Roman"/>
          <w:sz w:val="24"/>
          <w:u w:val="single"/>
        </w:rPr>
        <w:t xml:space="preserve">The underlying question here is whether the courts are the appropriate forum to hear and resolve questions of equity, rights, and obligations in regards to climate change. </w:t>
      </w:r>
    </w:p>
    <w:p w14:paraId="4B23EFCE" w14:textId="77777777" w:rsidR="00054700" w:rsidRPr="00D52A9F"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u w:val="single"/>
        </w:rPr>
        <w:t xml:space="preserve">Separation of powers principles have factored prominently in U.S. climate change litigation. </w:t>
      </w:r>
      <w:r w:rsidRPr="00D52A9F">
        <w:rPr>
          <w:rFonts w:ascii="Times New Roman" w:eastAsia="Times New Roman" w:hAnsi="Times New Roman" w:cs="Times New Roman"/>
          <w:sz w:val="24"/>
        </w:rPr>
        <w:t xml:space="preserve">Standing, discussed just above, reflects separation of powers concerns, as courts ostensibly invoke the doctrine in order to limit themselves to exercising the judicial power, rather than the legislative or executive powers reserved for other branches of government. However, separation of powers principles also take on other forms. </w:t>
      </w:r>
      <w:r w:rsidRPr="00D52A9F">
        <w:rPr>
          <w:rFonts w:ascii="Times New Roman" w:eastAsia="Times New Roman" w:hAnsi="Times New Roman" w:cs="Times New Roman"/>
          <w:sz w:val="24"/>
          <w:u w:val="single"/>
        </w:rPr>
        <w:t>In Connecticut v. AEP a federal district court judge in New York concluded that climate change was a “patently political” and “transcendently legislative” issue, and that the political question doctrine barred the court from hearing the case</w:t>
      </w:r>
      <w:r w:rsidRPr="00D52A9F">
        <w:rPr>
          <w:rFonts w:ascii="Times New Roman" w:eastAsia="Times New Roman" w:hAnsi="Times New Roman" w:cs="Times New Roman"/>
          <w:sz w:val="24"/>
        </w:rPr>
        <w:t>.94</w:t>
      </w:r>
    </w:p>
    <w:p w14:paraId="3CB393B2" w14:textId="77777777" w:rsidR="00054700" w:rsidRPr="001D4F44"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rPr>
        <w:t xml:space="preserve">The Second Circuit Court of Appeals reversed this aspect of the decision, concluding that regulation of climate change-causing emissions was not an inherently political question, and that the court was well within its purview to hear a public nuisance suit against GHG emissions sources.95 The U.S. Supreme Court eventually declined to hear the substantive claims, for a somewhat different reason, though one also premised in separation of powers concerns. </w:t>
      </w:r>
      <w:r w:rsidRPr="00D52A9F">
        <w:rPr>
          <w:rFonts w:ascii="Times New Roman" w:eastAsia="Times New Roman" w:hAnsi="Times New Roman" w:cs="Times New Roman"/>
          <w:sz w:val="24"/>
          <w:u w:val="single"/>
        </w:rPr>
        <w:t>The U.S. Supreme Court concluded that Congress, in enacting the federal Clean Air Act and authorizing the U.S. Environmental Protection Agency to address climate change, had “displaced” the judiciary’s authority to provide a remedy for such public nuisance claims.</w:t>
      </w:r>
      <w:r w:rsidRPr="00D52A9F">
        <w:rPr>
          <w:rFonts w:ascii="Times New Roman" w:eastAsia="Times New Roman" w:hAnsi="Times New Roman" w:cs="Times New Roman"/>
          <w:sz w:val="24"/>
        </w:rPr>
        <w:t>96</w:t>
      </w:r>
    </w:p>
    <w:p w14:paraId="5035E6AF" w14:textId="77777777" w:rsidR="00054700" w:rsidRPr="001D4F44"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rPr>
        <w:t>Separation of powers principles were also addressed by the Hague District Court in Urgenda.97 There, the government defendant argued that the remedy sought by plaintiffs (a court order requiring the State to limit GHG emissions) would violate the separation of powers doctrine by taking a decision that should be left to democratically elected leaders and placing it in the hands of the judiciary. The court disagreed, finding that Dutch law actually requires the judiciary to assess the actions of political bodies when the rights of citizens are at stake, even if the resolution of the case has political outcomes. The court explained that Urgenda’s claim “essentially concerns legal protection [of rights]” and therefore requires judicial intervention.98</w:t>
      </w:r>
    </w:p>
    <w:p w14:paraId="3EDFAB4E" w14:textId="77777777" w:rsidR="00054700" w:rsidRPr="00466489" w:rsidRDefault="00054700" w:rsidP="00054700">
      <w:pPr>
        <w:spacing w:after="0" w:line="240" w:lineRule="auto"/>
        <w:rPr>
          <w:rFonts w:ascii="Times New Roman" w:eastAsia="Times New Roman" w:hAnsi="Times New Roman" w:cs="Times New Roman"/>
          <w:sz w:val="24"/>
        </w:rPr>
      </w:pPr>
      <w:r w:rsidRPr="00D52A9F">
        <w:rPr>
          <w:rFonts w:ascii="Times New Roman" w:eastAsia="Times New Roman" w:hAnsi="Times New Roman" w:cs="Times New Roman"/>
          <w:sz w:val="24"/>
        </w:rPr>
        <w:t>This aspect of the Urgenda decision is not surprising: generally speaking, the adjudication of disputes concerning constitutional or human rights falls squarely within the powers of the judicial branch</w:t>
      </w:r>
      <w:r w:rsidRPr="00D52A9F">
        <w:rPr>
          <w:rFonts w:ascii="Times New Roman" w:eastAsia="Times New Roman" w:hAnsi="Times New Roman" w:cs="Times New Roman"/>
          <w:sz w:val="24"/>
          <w:u w:val="single"/>
        </w:rPr>
        <w:t xml:space="preserve">. Indeed, there are other climate change cases involving the protection of constitutional and human rights where courts have exercised jurisdiction over rights-related disputes without even discussing the separation of powers doctrine, presumably because there is </w:t>
      </w:r>
      <w:r w:rsidRPr="00D52A9F">
        <w:rPr>
          <w:rFonts w:ascii="Times New Roman" w:eastAsia="Times New Roman" w:hAnsi="Times New Roman" w:cs="Times New Roman"/>
          <w:sz w:val="24"/>
          <w:u w:val="single"/>
        </w:rPr>
        <w:lastRenderedPageBreak/>
        <w:t xml:space="preserve">no dispute that such disputes fall within the courts’ domain. </w:t>
      </w:r>
      <w:r w:rsidRPr="00D52A9F">
        <w:rPr>
          <w:rFonts w:ascii="Times New Roman" w:eastAsia="Times New Roman" w:hAnsi="Times New Roman" w:cs="Times New Roman"/>
          <w:sz w:val="24"/>
        </w:rPr>
        <w:t>These cases include Leghari v. Federation of Pakistan, In re Court on its own motion v. State of Himachal Pradesh and others, and Gbemre v. Shell Petroleum Development Company of Nigeria Ltd.</w:t>
      </w:r>
    </w:p>
    <w:p w14:paraId="18EE4F5C" w14:textId="77777777" w:rsidR="00A36D71" w:rsidRDefault="00A36D71" w:rsidP="00A36D71">
      <w:pPr>
        <w:pStyle w:val="Heading2"/>
      </w:pPr>
      <w:r>
        <w:lastRenderedPageBreak/>
        <w:t xml:space="preserve">Solvency </w:t>
      </w:r>
    </w:p>
    <w:p w14:paraId="0967446E" w14:textId="77777777" w:rsidR="00A36D71" w:rsidRDefault="00A36D71" w:rsidP="00A36D71">
      <w:pPr>
        <w:pStyle w:val="Heading3"/>
      </w:pPr>
      <w:r>
        <w:lastRenderedPageBreak/>
        <w:t>OSACS Solve</w:t>
      </w:r>
    </w:p>
    <w:p w14:paraId="59B8F8CA" w14:textId="77777777" w:rsidR="00A36D71" w:rsidRDefault="00A36D71" w:rsidP="00A36D71">
      <w:pPr>
        <w:pStyle w:val="Heading4"/>
      </w:pPr>
      <w:r>
        <w:t xml:space="preserve">OSAC’s solve forensic science better by strengthening nation’s use of forensic science and adopting technically sound standardization that improve laboratory operations throughout the country </w:t>
      </w:r>
    </w:p>
    <w:p w14:paraId="282D4C81" w14:textId="77777777" w:rsidR="00A36D71" w:rsidRDefault="00A36D71" w:rsidP="00A36D71">
      <w:pPr>
        <w:rPr>
          <w:b/>
          <w:sz w:val="26"/>
          <w:szCs w:val="26"/>
        </w:rPr>
      </w:pPr>
      <w:r>
        <w:rPr>
          <w:b/>
          <w:sz w:val="26"/>
          <w:szCs w:val="26"/>
        </w:rPr>
        <w:t>Press, National Institute of Standards and Technology Public Affairs Specialist &amp; Science Writer, 19</w:t>
      </w:r>
    </w:p>
    <w:p w14:paraId="6CDCB2A6" w14:textId="573D2070" w:rsidR="00A36D71" w:rsidRDefault="00A36D71" w:rsidP="00A36D71">
      <w:r>
        <w:t>(Rich Press is science writer and public affairs specialist with the National Institute of Standards and Technology, Summer 19, Evidence Magazine, “Third Forensic Laboratory Voluntarily Adopts OSAC Standards” http://www.evidencemagazine.com/index.php?option=com_content&amp;task=view&amp;id=2859&amp;Itemid=51#:~:text=OSAC%2C%20which%20is%20administered%20by,adoption%20by%20the%20forensic%20community. /Accessed 7-15-2020/BN)</w:t>
      </w:r>
    </w:p>
    <w:p w14:paraId="69BE7693" w14:textId="77777777" w:rsidR="00A36D71" w:rsidRDefault="00A36D71" w:rsidP="00A36D71">
      <w:r>
        <w:t xml:space="preserve">LATE LAST YEAR, </w:t>
      </w:r>
      <w:r>
        <w:rPr>
          <w:u w:val="single"/>
        </w:rPr>
        <w:t>the Houston Forensic Science Center (HFSC) became the third crime laboratory to voluntarily adopt standards approved by the Organization of Scientific Area Committees for Forensic Science (OSAC).</w:t>
      </w:r>
      <w:r>
        <w:t xml:space="preserve"> Those standards define minimum requirements, best practices, scientific protocols, and other guidance to help ensure that the results of forensic analysis are reliable and reproducible.</w:t>
      </w:r>
    </w:p>
    <w:p w14:paraId="4AD7D160" w14:textId="77777777" w:rsidR="00A36D71" w:rsidRDefault="00A36D71" w:rsidP="00A36D71">
      <w:r>
        <w:t>Peter Stout, CEO and president of HFSC, said that he and his staff strive to constantly improve the quality of services they provide to Houstonians. “Adopting these standards, the result of years of work by the nation’s top forensic scientists, is the logical next step.”</w:t>
      </w:r>
    </w:p>
    <w:p w14:paraId="54881FE6" w14:textId="77777777" w:rsidR="00A36D71" w:rsidRDefault="00A36D71" w:rsidP="00A36D71">
      <w:r>
        <w:rPr>
          <w:u w:val="single"/>
        </w:rPr>
        <w:t>HFSC joins two other laboratories that had already taken this step. In 2016, the Kentucky State Police Central Forensics Laboratory drug chemistry section voluntarily adopted all applicable OSAC-approved standards.</w:t>
      </w:r>
      <w:r>
        <w:t xml:space="preserve"> Also in 2016, the Georgia Bureau of Investigation Division of Forensic Sciences adopted into their laboratory quality manual all OSAC standards that are applicable to analyses they perform.</w:t>
      </w:r>
    </w:p>
    <w:p w14:paraId="053C9419" w14:textId="77777777" w:rsidR="00A36D71" w:rsidRDefault="00A36D71" w:rsidP="00A36D71">
      <w:r>
        <w:rPr>
          <w:u w:val="single"/>
        </w:rPr>
        <w:t>OSAC, which is administered by the National Institute of Standards and Technology (NIST), works to strengthen the nation’s use of forensic science by facilitating the development of technically sound standards and promoting their adoption by the forensic community</w:t>
      </w:r>
      <w:r>
        <w:t xml:space="preserve">. </w:t>
      </w:r>
      <w:r>
        <w:rPr>
          <w:u w:val="single"/>
        </w:rPr>
        <w:t>All standards on the OSAC Registry have passed a review of technical merit by forensic practitioners, academic researchers, statisticians, and measurement scientists.</w:t>
      </w:r>
    </w:p>
    <w:p w14:paraId="000A38E3" w14:textId="77777777" w:rsidR="00A36D71" w:rsidRDefault="00A36D71" w:rsidP="00A36D71">
      <w:r>
        <w:t>“</w:t>
      </w:r>
      <w:r>
        <w:rPr>
          <w:u w:val="single"/>
        </w:rPr>
        <w:t>Our goal is to improve laboratory operations throughout the country,” said John Paul Jones II, the OSAC Program Manager at NIST. “Since there is no forensic science regulatory agency in the U.S., voluntary adoption is currently the only route to better standardization.”</w:t>
      </w:r>
    </w:p>
    <w:p w14:paraId="2334F99D" w14:textId="77777777" w:rsidR="00A36D71" w:rsidRDefault="00A36D71" w:rsidP="00A36D71">
      <w:r>
        <w:rPr>
          <w:u w:val="single"/>
        </w:rPr>
        <w:t>Beyond the three labs that have publicly announced voluntary adoption, many OSAC-approved standards are in widespread use</w:t>
      </w:r>
      <w:r>
        <w:t>, said Jones. He cited as examples two standards from the National Fire Protection Association: The Guide for Fire and Explosion Investigations and The Standard for Professional Qualifications for Fire Investigator. ASTM seized drug standards are also widely used, he said.</w:t>
      </w:r>
    </w:p>
    <w:p w14:paraId="4258C8C3" w14:textId="77777777" w:rsidR="00A36D71" w:rsidRDefault="00A36D71" w:rsidP="00A36D71">
      <w:pPr>
        <w:rPr>
          <w:u w:val="single"/>
        </w:rPr>
      </w:pPr>
      <w:r>
        <w:rPr>
          <w:u w:val="single"/>
        </w:rPr>
        <w:lastRenderedPageBreak/>
        <w:t>Still, much work remains to be done. Outside of DNA, there are few discipline-specific forensic science standards that are applied uniformly across the United States. Instead, the nation’s 400-plus crime labs follow general laboratory and other standards that may vary from one jurisdiction to another.</w:t>
      </w:r>
    </w:p>
    <w:p w14:paraId="631AC850" w14:textId="77777777" w:rsidR="00A36D71" w:rsidRDefault="00A36D71" w:rsidP="00A36D71">
      <w:r>
        <w:rPr>
          <w:u w:val="single"/>
        </w:rPr>
        <w:t>OSAC is helping to fill that gap with uniform, high-quality standards. The organization’s roughly 560 members have expertise in 25 specific forensic science disciplines, as well as general expertise in scientific research, measurement science, statistics, law, and policy.</w:t>
      </w:r>
      <w:r>
        <w:t xml:space="preserve"> To date, 15 standards have been posted to the OSAC Registry, and more than 200 are in the pipeline.</w:t>
      </w:r>
    </w:p>
    <w:p w14:paraId="15839F59" w14:textId="77777777" w:rsidR="00A36D71" w:rsidRDefault="00A36D71" w:rsidP="00A36D71">
      <w:r>
        <w:t>OSAC was created in 2014 by NIST in partnership with the Department of Justice. Although NIST provides administrative support to the organization, most OSAC members work in crime labs, research centers, and other institutions across the nation.</w:t>
      </w:r>
    </w:p>
    <w:p w14:paraId="7584DD97" w14:textId="77777777" w:rsidR="00A36D71" w:rsidRDefault="00A36D71" w:rsidP="00A36D71">
      <w:pPr>
        <w:pStyle w:val="Heading3"/>
      </w:pPr>
      <w:r>
        <w:lastRenderedPageBreak/>
        <w:t xml:space="preserve">Circumvention- Outsourcing </w:t>
      </w:r>
    </w:p>
    <w:p w14:paraId="0535D5E8" w14:textId="77777777" w:rsidR="00A36D71" w:rsidRDefault="00A36D71" w:rsidP="00A36D71">
      <w:pPr>
        <w:pStyle w:val="Heading4"/>
      </w:pPr>
      <w:r>
        <w:t>Turn---increasing casework capacity increases pressure to quickly get through cases and extend opinions of the evidence past their scientific accuracy---leads to increased outsourcing</w:t>
      </w:r>
    </w:p>
    <w:p w14:paraId="7D5BD60E" w14:textId="77777777" w:rsidR="00A36D71" w:rsidRDefault="00A36D71" w:rsidP="00A36D71">
      <w:pPr>
        <w:rPr>
          <w:b/>
          <w:sz w:val="26"/>
          <w:szCs w:val="26"/>
        </w:rPr>
      </w:pPr>
      <w:r>
        <w:rPr>
          <w:b/>
          <w:sz w:val="26"/>
          <w:szCs w:val="26"/>
        </w:rPr>
        <w:t>Becker, Shippensburg University management professor, Dale, NorthEast Regional Forensic Institute director, 7</w:t>
      </w:r>
    </w:p>
    <w:p w14:paraId="472FE0CE" w14:textId="6CDDCE19" w:rsidR="00A36D71" w:rsidRDefault="00A36D71" w:rsidP="00A36D71">
      <w:r>
        <w:t xml:space="preserve">[Wendy S., Mark W., April 2007, FBI, “Critical Human Resource Issues: Scientists Under Pressure,” </w:t>
      </w:r>
      <w:r>
        <w:rPr>
          <w:color w:val="000000"/>
        </w:rPr>
        <w:t>https://archives.fbi.gov/archives/about-us/lab/forensic-science-communications/fsc/april2007/research/2007_04_research02.htm#3a</w:t>
      </w:r>
      <w:r>
        <w:t>, accessed on 7/14/20, BS]</w:t>
      </w:r>
    </w:p>
    <w:p w14:paraId="12D01349" w14:textId="77777777" w:rsidR="00A36D71" w:rsidRDefault="00A36D71" w:rsidP="00A36D71">
      <w:pPr>
        <w:rPr>
          <w:b/>
          <w:u w:val="single"/>
        </w:rPr>
      </w:pPr>
      <w:r>
        <w:t xml:space="preserve">This project represents the </w:t>
      </w:r>
      <w:r>
        <w:rPr>
          <w:b/>
          <w:u w:val="single"/>
        </w:rPr>
        <w:t>first national survey of which we are aware to examine the relationship between staffing levels, outsourcing, and performance pressure in public forensic laboratories</w:t>
      </w:r>
      <w:r>
        <w:t xml:space="preserve">. </w:t>
      </w:r>
      <w:r>
        <w:rPr>
          <w:b/>
          <w:u w:val="single"/>
        </w:rPr>
        <w:t xml:space="preserve">There is a </w:t>
      </w:r>
      <w:r>
        <w:rPr>
          <w:rFonts w:ascii="Times New Roman" w:eastAsia="Times New Roman" w:hAnsi="Times New Roman" w:cs="Times New Roman"/>
          <w:b/>
          <w:u w:val="single"/>
        </w:rPr>
        <w:t>relationship between current capacity and outsourcing cases to private laboratories</w:t>
      </w:r>
      <w:r>
        <w:t xml:space="preserve">. Significant and positive correlations between laboratory capacity and the number of cases outsourced were noted. Capacity was defined as the number of cases per month analyzed by a forensic scientist. </w:t>
      </w:r>
      <w:r>
        <w:rPr>
          <w:b/>
          <w:u w:val="single"/>
        </w:rPr>
        <w:t xml:space="preserve">As convicted offender case capacity increased, the number of DNA convicted offender cases outsourced increased significantly. </w:t>
      </w:r>
      <w:r>
        <w:rPr>
          <w:rFonts w:ascii="Times New Roman" w:eastAsia="Times New Roman" w:hAnsi="Times New Roman" w:cs="Times New Roman"/>
          <w:b/>
          <w:u w:val="single"/>
        </w:rPr>
        <w:t>As</w:t>
      </w:r>
      <w:r>
        <w:rPr>
          <w:b/>
          <w:u w:val="single"/>
        </w:rPr>
        <w:t xml:space="preserve"> DNA </w:t>
      </w:r>
      <w:r>
        <w:rPr>
          <w:rFonts w:ascii="Times New Roman" w:eastAsia="Times New Roman" w:hAnsi="Times New Roman" w:cs="Times New Roman"/>
          <w:b/>
          <w:u w:val="single"/>
        </w:rPr>
        <w:t>casework capacity increased</w:t>
      </w:r>
      <w:r>
        <w:rPr>
          <w:b/>
          <w:u w:val="single"/>
        </w:rPr>
        <w:t xml:space="preserve">, DNA </w:t>
      </w:r>
      <w:r>
        <w:rPr>
          <w:rFonts w:ascii="Times New Roman" w:eastAsia="Times New Roman" w:hAnsi="Times New Roman" w:cs="Times New Roman"/>
          <w:b/>
          <w:u w:val="single"/>
        </w:rPr>
        <w:t>casework outsourced to private laboratories increased significantly</w:t>
      </w:r>
      <w:r>
        <w:rPr>
          <w:b/>
          <w:u w:val="single"/>
        </w:rPr>
        <w:t>.</w:t>
      </w:r>
    </w:p>
    <w:p w14:paraId="53807FD5" w14:textId="77777777" w:rsidR="00A36D71" w:rsidRDefault="00A36D71" w:rsidP="00A36D71">
      <w:r>
        <w:rPr>
          <w:b/>
          <w:u w:val="single"/>
        </w:rPr>
        <w:t>We suspect that as a laboratory’s capacity increases, the organizational culture to allow outsourcing also increases</w:t>
      </w:r>
      <w:r>
        <w:t xml:space="preserve">. It should be noted that the </w:t>
      </w:r>
      <w:r>
        <w:rPr>
          <w:b/>
          <w:u w:val="single"/>
        </w:rPr>
        <w:t>outsourcing of cases is typically funded in the United States by grants from the National Institute of Justice</w:t>
      </w:r>
      <w:r>
        <w:t>. Without these funds, there would be little outsourcing of DNA casework or DNA convicted offender work. The lack of dedicated funding for increasing public laboratory capacity through other means (such as robotics and process reengineering) may firmly establish the current trend to outsource. The issue involves how stakeholders (prosecutors, police, victims, suspects, defendants, and taxpayers) receive the best value for tax dollars. Further research is needed to compare the cost-benefit ratios for private versus public laboratories.</w:t>
      </w:r>
    </w:p>
    <w:p w14:paraId="03B4DD95" w14:textId="77777777" w:rsidR="00A36D71" w:rsidRDefault="00A36D71" w:rsidP="00A36D71">
      <w:pPr>
        <w:rPr>
          <w:b/>
          <w:u w:val="single"/>
        </w:rPr>
      </w:pPr>
      <w:r>
        <w:rPr>
          <w:b/>
          <w:u w:val="single"/>
        </w:rPr>
        <w:t>Twenty-two significant correlations between laboratory capacity and the pressure to perform were noted.</w:t>
      </w:r>
      <w:r>
        <w:t xml:space="preserve"> Significant correlations all involved four capacity functions: DNA casework, narcotics, toxicology, and questioned documents. Eight of these significant correlations involved DNA casework. </w:t>
      </w:r>
      <w:r>
        <w:rPr>
          <w:b/>
          <w:u w:val="single"/>
        </w:rPr>
        <w:t>As DNA casework capacity increased, pressure to complete cases too quickly, pressure to extend opinions beyond scientific methods, and pressure to get a particular result increased significantly</w:t>
      </w:r>
      <w:r>
        <w:t xml:space="preserve">. At issue here may be that </w:t>
      </w:r>
      <w:r>
        <w:rPr>
          <w:b/>
          <w:u w:val="single"/>
        </w:rPr>
        <w:t>large-capacity laboratories are victims of their own success: demand increases as capacity increases.</w:t>
      </w:r>
      <w:r>
        <w:t xml:space="preserve"> </w:t>
      </w:r>
      <w:r>
        <w:rPr>
          <w:b/>
          <w:u w:val="single"/>
        </w:rPr>
        <w:t>One might predict that as productivity increases, the pressure to complete a case would decrease. However, our data demonstrate increased pressure on forensic scientists. We suspect that as stakeholders (prosecutors, police, etc.) become more aware of the power of DNA technology, they want it done on all cases immediately.</w:t>
      </w:r>
    </w:p>
    <w:p w14:paraId="4CA55061" w14:textId="77777777" w:rsidR="00A36D71" w:rsidRDefault="00A36D71" w:rsidP="00A36D71">
      <w:r>
        <w:t>Capacity and quality of a laboratory with fixed staffing resources represent a trade-off situation</w:t>
      </w:r>
      <w:r>
        <w:rPr>
          <w:b/>
          <w:u w:val="single"/>
        </w:rPr>
        <w:t>. Increasing capacity with a given number of forensic scientists decreases resources needed for quality assurance functions</w:t>
      </w:r>
      <w:r>
        <w:t>. A reengineering of the total process would help increase capacity and maintain quality. One strategy to accomplish this is through increased use of robotics and batch processing.</w:t>
      </w:r>
    </w:p>
    <w:p w14:paraId="7D097C5D" w14:textId="77777777" w:rsidR="00A36D71" w:rsidRDefault="00A36D71" w:rsidP="00A36D71">
      <w:r>
        <w:lastRenderedPageBreak/>
        <w:t>Regarding the relationship between capacity and pressure to perform, of particular interest are four significantly negative correlations with DNA casework</w:t>
      </w:r>
      <w:r>
        <w:rPr>
          <w:b/>
          <w:u w:val="single"/>
        </w:rPr>
        <w:t>. As capacity increased, having the proper equipment to do the job, having enough time to perform the job, having adequate resources to do the job, and having enough time to prepare for courtroom testimony all decrease</w:t>
      </w:r>
      <w:r>
        <w:t>d. It may be that the larger-capacity laboratories are enjoying the successful prosecution of many cases and exclusions of many suspects before arrest. However, the successful programs and the publicity inherent in many of the high-profile cases have severely stressed already inadequate resources. The demand for analyses is exponential, and current capacity increases in small and sporadic steps, funded by inadequate public agencies that are now cutting back in all budget categories.</w:t>
      </w:r>
    </w:p>
    <w:p w14:paraId="6FF507E6" w14:textId="77777777" w:rsidR="00A36D71" w:rsidRDefault="00A36D71" w:rsidP="00A36D71">
      <w:pPr>
        <w:rPr>
          <w:b/>
          <w:u w:val="single"/>
        </w:rPr>
      </w:pPr>
      <w:r>
        <w:rPr>
          <w:b/>
          <w:u w:val="single"/>
        </w:rPr>
        <w:t>In addition, there were six significantly negative relationships between narcotics capacity and the pressure-to-perform items. For example, as capacity in narcotics increased, receiving adequate training, having enough information from the DA, having enough information from investigators, having enough time to prepare for courtroom testimony, having the needed resources to provide courtroom testimony, and being adequately trained in scientific methods all significantly decreased.</w:t>
      </w:r>
      <w:r>
        <w:t xml:space="preserve"> Increased burden in the controlled substance discipline is also noted in a recent Bureau of Justice Statistics survey (Peterson and Hickman 2005). In addition, </w:t>
      </w:r>
      <w:r>
        <w:rPr>
          <w:b/>
          <w:u w:val="single"/>
        </w:rPr>
        <w:t>six significant correlations occurred between toxicology capacity and the “pressure” items. As toxicology capacity increased, the desire to analyze more items increased, pressure to get a particular result increased, and pressure to extend opinions beyond scientific methods increased. As toxicology capacity increased, having the proper equipment decreased, having enough time to do the job decreased, and having enough time to prepare for courtroom testimony decreased significantly</w:t>
      </w:r>
      <w:r>
        <w:t xml:space="preserve">. Finally, </w:t>
      </w:r>
      <w:r>
        <w:rPr>
          <w:b/>
          <w:u w:val="single"/>
        </w:rPr>
        <w:t xml:space="preserve">as capacity for questioned documents increased, pressure to extend opinion beyond scientific methods and pressure to obtain a particular result both increased significantly. </w:t>
      </w:r>
      <w:r>
        <w:t xml:space="preserve">Pressure and capacity correlations for the first time corroborated the dynamic environment of the public laboratories. </w:t>
      </w:r>
      <w:r>
        <w:rPr>
          <w:b/>
          <w:u w:val="single"/>
        </w:rPr>
        <w:t>Our data show that specifically in DNA, there are increased pressures to perform</w:t>
      </w:r>
      <w:r>
        <w:t xml:space="preserve">. </w:t>
      </w:r>
      <w:r>
        <w:rPr>
          <w:b/>
          <w:u w:val="single"/>
        </w:rPr>
        <w:t>As laboratory capacity increases, the customers—police and prosecutors—want even more analyses done. Thus the laboratories experience more pressure and are “</w:t>
      </w:r>
      <w:r>
        <w:rPr>
          <w:rFonts w:ascii="Times New Roman" w:eastAsia="Times New Roman" w:hAnsi="Times New Roman" w:cs="Times New Roman"/>
          <w:b/>
          <w:u w:val="single"/>
        </w:rPr>
        <w:t>damned if they do and damned if they don’t.”</w:t>
      </w:r>
    </w:p>
    <w:p w14:paraId="263CF62C" w14:textId="77777777" w:rsidR="00A36D71" w:rsidRDefault="00A36D71" w:rsidP="00A36D71">
      <w:pPr>
        <w:rPr>
          <w:b/>
          <w:u w:val="single"/>
        </w:rPr>
      </w:pPr>
      <w:r>
        <w:t xml:space="preserve">Finally, </w:t>
      </w:r>
      <w:r>
        <w:rPr>
          <w:b/>
          <w:u w:val="single"/>
        </w:rPr>
        <w:t>there were eight significant correlations between increased pressure on forensic scientists and the number of cases outsourced. Specifically, these positive correlations indicate that laboratories with scientists who are pressured to complete cases too quickly are significantly likely to outsource PCR DNA and mitochondrial cases. Laboratories with scientists who would like to analyze more items per case are significantly more likely to outsource mitochondrial DNA cases. Laboratories with scientists who receive enough information from investigators to do the job are significantly less likely to outsource PCR DNA and mitochondrial DNA cases</w:t>
      </w:r>
      <w:r>
        <w:t xml:space="preserve">. The direct relationship between pressure to complete cases and outsourcing further corroborates the current trend to privatize forensic laboratories. </w:t>
      </w:r>
      <w:r>
        <w:rPr>
          <w:b/>
          <w:u w:val="single"/>
        </w:rPr>
        <w:t>The outsourcing of samples is now primarily driven by federal grant funds to address the large backlog of DNA cases.</w:t>
      </w:r>
      <w:r>
        <w:t xml:space="preserve"> The fiscal officers of local, state, and federal agencies will soon, if they have not already, compare the efficiencies of the public to the private laboratories. The current economic downtrend and its expected long duration will draw even more attention to any lack of efficiencies in the public laboratories. </w:t>
      </w:r>
      <w:r>
        <w:rPr>
          <w:b/>
          <w:u w:val="single"/>
        </w:rPr>
        <w:t>Public laboratories must learn to work smarter by leveraging technology using robotics, batch processing, and human resource strategies to decrease the costs of voluntary turnover of forensic scientists.</w:t>
      </w:r>
    </w:p>
    <w:p w14:paraId="566FE0C6" w14:textId="32A5F9AD" w:rsidR="00A71342" w:rsidRDefault="00A71342" w:rsidP="00A71342">
      <w:pPr>
        <w:pStyle w:val="Heading2"/>
      </w:pPr>
      <w:r>
        <w:lastRenderedPageBreak/>
        <w:t>Topicality</w:t>
      </w:r>
    </w:p>
    <w:p w14:paraId="1D0EF13C" w14:textId="386BAEDC" w:rsidR="00A71342" w:rsidRDefault="00A71342" w:rsidP="00A71342">
      <w:pPr>
        <w:pStyle w:val="Heading3"/>
      </w:pPr>
      <w:r w:rsidRPr="004667B7">
        <w:lastRenderedPageBreak/>
        <w:t xml:space="preserve">T – Substantial  </w:t>
      </w:r>
    </w:p>
    <w:p w14:paraId="4D6D849E" w14:textId="77777777" w:rsidR="00A71342" w:rsidRPr="00A71342" w:rsidRDefault="00A71342" w:rsidP="00A71342"/>
    <w:p w14:paraId="61495473" w14:textId="77777777" w:rsidR="00A71342" w:rsidRPr="00EA1CDB" w:rsidRDefault="00A71342" w:rsidP="00A71342">
      <w:pPr>
        <w:pStyle w:val="Heading4"/>
        <w:numPr>
          <w:ilvl w:val="0"/>
          <w:numId w:val="13"/>
        </w:numPr>
      </w:pPr>
      <w:r w:rsidRPr="00EA1CDB">
        <w:t>Interpretation – substantial is 50%</w:t>
      </w:r>
    </w:p>
    <w:p w14:paraId="5539AED2" w14:textId="77777777" w:rsidR="00A71342" w:rsidRPr="00D36FD1" w:rsidRDefault="00A71342" w:rsidP="00A71342">
      <w:pPr>
        <w:rPr>
          <w:rStyle w:val="Style13ptBold"/>
        </w:rPr>
      </w:pPr>
      <w:r w:rsidRPr="00D36FD1">
        <w:rPr>
          <w:rStyle w:val="Style13ptBold"/>
        </w:rPr>
        <w:t>US District Court for Massachusets, 01</w:t>
      </w:r>
    </w:p>
    <w:p w14:paraId="20F48F79" w14:textId="762C9E14" w:rsidR="00A71342" w:rsidRPr="00D36FD1" w:rsidRDefault="00A71342" w:rsidP="00A71342">
      <w:r w:rsidRPr="00D36FD1">
        <w:t xml:space="preserve">[US District Court for the District of Massachusetts, 11/7/01, Justia, “Davignon v. Clemmey, 176 F. Supp. 2d 77”, </w:t>
      </w:r>
      <w:r w:rsidRPr="001E736C">
        <w:t>https://law.justia.com/cases/federal/district-courts/FSupp2/176/77/2475047/</w:t>
      </w:r>
      <w:r w:rsidRPr="00D36FD1">
        <w:t>, acccessed 7/13/20, MZK]</w:t>
      </w:r>
    </w:p>
    <w:p w14:paraId="6130DEFC" w14:textId="18C1B760" w:rsidR="00A71342" w:rsidRPr="00EA1CDB" w:rsidRDefault="00A71342" w:rsidP="00A71342">
      <w:r w:rsidRPr="00EA1CDB">
        <w:t>As stated above, this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1E736C">
        <w:rPr>
          <w:rFonts w:ascii="Times New Roman" w:hAnsi="Times New Roman" w:cs="Times New Roman"/>
          <w:i/>
          <w:iCs/>
        </w:rPr>
        <w:t>Grendel's Den, Inc. v. Larkin,</w:t>
      </w:r>
      <w:r w:rsidRPr="001E736C">
        <w:rPr>
          <w:rFonts w:ascii="Times New Roman" w:hAnsi="Times New Roman" w:cs="Times New Roman"/>
        </w:rPr>
        <w:t> 749 F.2d 945, 952 (1st Cir.1984),</w:t>
      </w:r>
      <w:r w:rsidRPr="00EA1CDB">
        <w:t> </w:t>
      </w:r>
      <w:r w:rsidRPr="00EA1CDB">
        <w:rPr>
          <w:i/>
          <w:iCs/>
        </w:rPr>
        <w:t>cited with approval in </w:t>
      </w:r>
      <w:r w:rsidRPr="001E736C">
        <w:rPr>
          <w:rFonts w:ascii="Times New Roman" w:hAnsi="Times New Roman" w:cs="Times New Roman"/>
          <w:i/>
          <w:iCs/>
        </w:rPr>
        <w:t>Gay Officers Action League v. Puerto Rico,</w:t>
      </w:r>
      <w:r w:rsidRPr="001E736C">
        <w:rPr>
          <w:rFonts w:ascii="Times New Roman" w:hAnsi="Times New Roman" w:cs="Times New Roman"/>
        </w:rPr>
        <w:t> 247 F.3d 288, 297 (1st Cir.2001)</w:t>
      </w:r>
      <w:r w:rsidRPr="00EA1CDB">
        <w:t>.</w:t>
      </w:r>
    </w:p>
    <w:p w14:paraId="2AE75512" w14:textId="703C93FE" w:rsidR="00A71342" w:rsidRPr="00EA1CDB" w:rsidRDefault="00A71342" w:rsidP="00A71342">
      <w:r w:rsidRPr="00D36FD1">
        <w:rPr>
          <w:rStyle w:val="Emphasis"/>
        </w:rPr>
        <w:t>What is a "substantial reduction"? Fifty percent is a favorite among judges</w:t>
      </w:r>
      <w:r w:rsidRPr="00EA1CDB">
        <w:t xml:space="preserve"> in this neck of the woods. </w:t>
      </w:r>
      <w:r w:rsidRPr="00EA1CDB">
        <w:rPr>
          <w:i/>
          <w:iCs/>
        </w:rPr>
        <w:t>See, e.g., </w:t>
      </w:r>
      <w:r w:rsidRPr="001E736C">
        <w:rPr>
          <w:rFonts w:ascii="Times New Roman" w:hAnsi="Times New Roman" w:cs="Times New Roman"/>
          <w:i/>
          <w:iCs/>
        </w:rPr>
        <w:t>Lipsett v. Blanco,</w:t>
      </w:r>
      <w:r w:rsidRPr="001E736C">
        <w:rPr>
          <w:rFonts w:ascii="Times New Roman" w:hAnsi="Times New Roman" w:cs="Times New Roman"/>
        </w:rPr>
        <w:t> 975 F.2d 934, 944 (1st Cir.1992)</w:t>
      </w:r>
      <w:r w:rsidRPr="00EA1CDB">
        <w:t>; </w:t>
      </w:r>
      <w:r w:rsidRPr="001E736C">
        <w:rPr>
          <w:rFonts w:ascii="Times New Roman" w:hAnsi="Times New Roman" w:cs="Times New Roman"/>
          <w:i/>
          <w:iCs/>
        </w:rPr>
        <w:t>Wilson v. McClure,</w:t>
      </w:r>
      <w:r w:rsidRPr="001E736C">
        <w:rPr>
          <w:rFonts w:ascii="Times New Roman" w:hAnsi="Times New Roman" w:cs="Times New Roman"/>
        </w:rPr>
        <w:t> 135 F.Supp.2d 66, 74 (D.Mass.2001)</w:t>
      </w:r>
      <w:r w:rsidRPr="00EA1CDB">
        <w:t>; </w:t>
      </w:r>
      <w:r w:rsidRPr="001E736C">
        <w:rPr>
          <w:rFonts w:ascii="Times New Roman" w:hAnsi="Times New Roman" w:cs="Times New Roman"/>
          <w:i/>
          <w:iCs/>
        </w:rPr>
        <w:t>Rolland v. Cellucci,</w:t>
      </w:r>
      <w:r w:rsidRPr="001E736C">
        <w:rPr>
          <w:rFonts w:ascii="Times New Roman" w:hAnsi="Times New Roman" w:cs="Times New Roman"/>
        </w:rPr>
        <w:t> 106 F.Supp.2d 128, 135 (D.Mass.2000)</w:t>
      </w:r>
      <w:r w:rsidRPr="00EA1CDB">
        <w:t> (Neiman, Mag.).</w:t>
      </w:r>
    </w:p>
    <w:p w14:paraId="07B7601F" w14:textId="77777777" w:rsidR="00A71342" w:rsidRPr="00EA1CDB" w:rsidRDefault="00A71342" w:rsidP="00A71342">
      <w:pPr>
        <w:rPr>
          <w:rFonts w:ascii="Times New Roman" w:hAnsi="Times New Roman" w:cs="Times New Roman"/>
        </w:rPr>
      </w:pPr>
    </w:p>
    <w:p w14:paraId="20EF2ACE" w14:textId="77777777" w:rsidR="00A71342" w:rsidRPr="00EA1CDB" w:rsidRDefault="00A71342" w:rsidP="00A71342">
      <w:pPr>
        <w:pStyle w:val="Heading4"/>
        <w:numPr>
          <w:ilvl w:val="0"/>
          <w:numId w:val="13"/>
        </w:numPr>
      </w:pPr>
      <w:r w:rsidRPr="00EA1CDB">
        <w:t>Violation – the aff impacts 30% of serious crimes</w:t>
      </w:r>
    </w:p>
    <w:p w14:paraId="1249D464" w14:textId="77777777" w:rsidR="00A71342" w:rsidRPr="00D36FD1" w:rsidRDefault="00A71342" w:rsidP="00A71342">
      <w:pPr>
        <w:rPr>
          <w:rStyle w:val="Style13ptBold"/>
        </w:rPr>
      </w:pPr>
      <w:r w:rsidRPr="00D36FD1">
        <w:rPr>
          <w:rStyle w:val="Style13ptBold"/>
        </w:rPr>
        <w:t>Peterson, American Psychologist, et. al., 10</w:t>
      </w:r>
    </w:p>
    <w:p w14:paraId="3565B29B" w14:textId="77777777" w:rsidR="00A71342" w:rsidRPr="00D36FD1" w:rsidRDefault="00A71342" w:rsidP="00A71342">
      <w:r w:rsidRPr="00D36FD1">
        <w:t>[Joseph, Ira Sommers, Associate Professor of Criminal Justice at California State University, Deborah Baskin, Chairperson of the Department of Criminal Justice at California State University, 6/10/10, National Institute of Justice, “THE ROLE AND IMPACT OF FORENSIC EVIDENCE IN THE CRIMINAL JUSTICE PROCESS”, https://www.ncjrs.gov/pdffiles1/nij/grants/231977.pdf, p. 122-123, accessed 7/6/20, MZK]</w:t>
      </w:r>
    </w:p>
    <w:p w14:paraId="1981B994" w14:textId="77777777" w:rsidR="00A71342" w:rsidRPr="00D36FD1" w:rsidRDefault="00A71342" w:rsidP="00A71342">
      <w:pPr>
        <w:rPr>
          <w:rStyle w:val="StyleUnderline"/>
        </w:rPr>
      </w:pPr>
      <w:r w:rsidRPr="00D36FD1">
        <w:rPr>
          <w:rStyle w:val="StyleUnderline"/>
        </w:rPr>
        <w:t>Several studies in the 1970s and 1980s looked at the effects of physical evidence on the outcomes of police investigations and prosecutions</w:t>
      </w:r>
      <w:r w:rsidRPr="00EA1CDB">
        <w:rPr>
          <w:rFonts w:ascii="Times New Roman" w:hAnsi="Times New Roman" w:cs="Times New Roman"/>
          <w:u w:val="single"/>
        </w:rPr>
        <w:t>.</w:t>
      </w:r>
      <w:r w:rsidRPr="00EA1CDB">
        <w:rPr>
          <w:rFonts w:ascii="Times New Roman" w:hAnsi="Times New Roman" w:cs="Times New Roman"/>
        </w:rPr>
        <w:t xml:space="preserve"> The Rand Corporation study (Greenwood et al, 1975) was highly critical of detective activities, finding that information supplied by victims to the first officers at the scene was most determinative in predicting if a crime would be solved. Classical investigation techniques and physical evidence in particular played little role in solving crimes. </w:t>
      </w:r>
      <w:r w:rsidRPr="00D36FD1">
        <w:rPr>
          <w:rStyle w:val="StyleUnderline"/>
        </w:rPr>
        <w:t>The study also found</w:t>
      </w:r>
      <w:r w:rsidRPr="00EA1CDB">
        <w:rPr>
          <w:rFonts w:ascii="Times New Roman" w:hAnsi="Times New Roman" w:cs="Times New Roman"/>
          <w:u w:val="single"/>
        </w:rPr>
        <w:t xml:space="preserve"> </w:t>
      </w:r>
      <w:r w:rsidRPr="00EA1CDB">
        <w:rPr>
          <w:rFonts w:ascii="Times New Roman" w:hAnsi="Times New Roman" w:cs="Times New Roman"/>
        </w:rPr>
        <w:t xml:space="preserve">physical evidence available in most cases and latent fingerprints in over half, but </w:t>
      </w:r>
      <w:r w:rsidRPr="00D36FD1">
        <w:rPr>
          <w:rStyle w:val="StyleUnderline"/>
        </w:rPr>
        <w:t xml:space="preserve">that fingerprints led to the identification of the offender in only 1% of cases. </w:t>
      </w:r>
    </w:p>
    <w:p w14:paraId="20B9315E" w14:textId="77777777" w:rsidR="00A71342" w:rsidRPr="00EA1CDB" w:rsidRDefault="00A71342" w:rsidP="00A71342">
      <w:pPr>
        <w:rPr>
          <w:rFonts w:ascii="Times New Roman" w:hAnsi="Times New Roman" w:cs="Times New Roman"/>
        </w:rPr>
      </w:pPr>
      <w:r w:rsidRPr="00EA1CDB">
        <w:rPr>
          <w:rFonts w:ascii="Times New Roman" w:hAnsi="Times New Roman" w:cs="Times New Roman"/>
        </w:rPr>
        <w:t xml:space="preserve">Forst et al., (1977) examined the outcome of cases after arrest. </w:t>
      </w:r>
      <w:r w:rsidRPr="00D36FD1">
        <w:rPr>
          <w:rStyle w:val="StyleUnderline"/>
        </w:rPr>
        <w:t>They found that more than 70% of arrests did not lead to conviction, but that three factors were critical to arrests that did: the location of two or more witnesses, the minimization of time from crime incidence to arrest, and the presence of “tangible evidence</w:t>
      </w:r>
      <w:r w:rsidRPr="00EA1CDB">
        <w:rPr>
          <w:rFonts w:ascii="Times New Roman" w:hAnsi="Times New Roman" w:cs="Times New Roman"/>
          <w:u w:val="single"/>
        </w:rPr>
        <w:t>.”</w:t>
      </w:r>
      <w:r w:rsidRPr="00EA1CDB">
        <w:rPr>
          <w:rFonts w:ascii="Times New Roman" w:hAnsi="Times New Roman" w:cs="Times New Roman"/>
        </w:rPr>
        <w:t xml:space="preserve"> Unfortunately, the study did not define tangible evidence, nor was it known if this evidence was actually examined in a crime laboratory. Another study showed that on average only about half of police arrests resulted in formal charging by a prosecutor. </w:t>
      </w:r>
      <w:r w:rsidRPr="00D36FD1">
        <w:rPr>
          <w:rStyle w:val="StyleUnderline"/>
        </w:rPr>
        <w:t>Of the cases charged, about 70-80% resulted in conviction; however, the vast majority (90%) was resolved through a plea and only 10% had actually gone to trial</w:t>
      </w:r>
      <w:r w:rsidRPr="00EA1CDB">
        <w:rPr>
          <w:rFonts w:ascii="Times New Roman" w:hAnsi="Times New Roman" w:cs="Times New Roman"/>
        </w:rPr>
        <w:t xml:space="preserve"> (Boland et al., 1989). Studies of burglaries by Stanford Research Institute (Greenberg et al., </w:t>
      </w:r>
      <w:r w:rsidRPr="00EA1CDB">
        <w:rPr>
          <w:rFonts w:ascii="Times New Roman" w:hAnsi="Times New Roman" w:cs="Times New Roman"/>
        </w:rPr>
        <w:lastRenderedPageBreak/>
        <w:t xml:space="preserve">1973) and the Police Executive Research Forum (Eck, 1979) successfully identified key variables (including usable fingerprints) that predicted case outcome in 85% of cases. A British study (Ramsay, 1987) found that forensic laboratories provided “helpful information” to the police in about three-quarters of cases where suspects had been identified (suspects were absolved in about 7% of evidence submissions), but in less that 40% of cases without suspects. This line of research did not continue into the 1990s and beyond. </w:t>
      </w:r>
    </w:p>
    <w:p w14:paraId="7BA7AB60" w14:textId="77777777" w:rsidR="00A71342" w:rsidRPr="00EA1CDB" w:rsidRDefault="00A71342" w:rsidP="00A71342">
      <w:pPr>
        <w:rPr>
          <w:rFonts w:ascii="Times New Roman" w:hAnsi="Times New Roman" w:cs="Times New Roman"/>
        </w:rPr>
      </w:pPr>
      <w:r w:rsidRPr="00EA1CDB">
        <w:rPr>
          <w:rFonts w:ascii="Times New Roman" w:hAnsi="Times New Roman" w:cs="Times New Roman"/>
        </w:rPr>
        <w:t xml:space="preserve">At the court level, Eisenstein and Jacob (1977) attempted to assess the impact of evidence on actual case outcomes and found that strength of evidence was associated with likelihood of conviction and sentence imposed. However, their measures were crude – aggregating various types of evidence – which precluded assessment of the impact of scientific or any other type of evidence. Feeney et al.’s 1983 study of robbery and burglary arrests found evidence (a witness’s identification of the defendant) as the most important factor in predicting conviction. </w:t>
      </w:r>
    </w:p>
    <w:p w14:paraId="6A6685F9" w14:textId="77777777" w:rsidR="00A71342" w:rsidRPr="00EA1CDB" w:rsidRDefault="00A71342" w:rsidP="00A71342">
      <w:r w:rsidRPr="00EA1CDB">
        <w:t xml:space="preserve">The role of evidence in plea bargains is debatable given the inconsistent, varying character of plea discussions. Some (Heumann, 1978; Rosett and Cressey, 1976) downplayed the importance of evidence in case disposition, with attorneys finding it easier to agree on disposition than on disputed facts (evidence). Neubauer (1974) described plea-bargaining as a “mini-trial” where the attorneys analyze the evidence much as jurors would. McDonald (1979) similarly found </w:t>
      </w:r>
      <w:r w:rsidRPr="00EA1CDB">
        <w:rPr>
          <w:u w:val="single"/>
        </w:rPr>
        <w:t>“</w:t>
      </w:r>
      <w:r w:rsidRPr="00D36FD1">
        <w:rPr>
          <w:rStyle w:val="StyleUnderline"/>
        </w:rPr>
        <w:t>strength of the case” and available evidence and witnesses most critical in decisions to plea bargain or to take a case to trial. In sum, there is little agreement about the importance of evidence and little knowledge about the importance that various kinds of evidence play in decisions to charge or to seek or accept a plea.</w:t>
      </w:r>
      <w:r w:rsidRPr="00EA1CDB">
        <w:t xml:space="preserve"> </w:t>
      </w:r>
    </w:p>
    <w:p w14:paraId="7A2E8449" w14:textId="77777777" w:rsidR="00A71342" w:rsidRPr="00EA1CDB" w:rsidRDefault="00A71342" w:rsidP="00A71342">
      <w:r w:rsidRPr="00EA1CDB">
        <w:t xml:space="preserve">Research into the role evidence plays at trial is somewhat better documented but not current. Kalven and Zeisel’s 1966 landmark study of jury behavior found that most juries followed the evidence presented and reached verdicts identical to those of judges. They also documented the infrequent use of scientific expert witnesses at trial. </w:t>
      </w:r>
      <w:r w:rsidRPr="00D36FD1">
        <w:rPr>
          <w:rStyle w:val="StyleUnderline"/>
        </w:rPr>
        <w:t>A study of court files by Lassers in 1967 found a heavy reliance on confessions and witness testimony to secure convictions in contrast to the infrequent (~25%) use by prosecutors of scientific evidence in capital cases</w:t>
      </w:r>
      <w:r w:rsidRPr="00EA1CDB">
        <w:t xml:space="preserve"> reviewed by the Illinois Supreme Court. </w:t>
      </w:r>
    </w:p>
    <w:p w14:paraId="6595D4C3" w14:textId="77777777" w:rsidR="00A71342" w:rsidRPr="00EA1CDB" w:rsidRDefault="00A71342" w:rsidP="00A71342">
      <w:r w:rsidRPr="00EA1CDB">
        <w:t xml:space="preserve">The most detailed studies of the use of scientific evidence in the investigation and adjudication of cases were funded by NIJ in the 1980s. The first, Forensic Evidence and the Police (Peterson, et al., 1984), examined close to 2,700 randomly selected cases drawn from four jurisdictions nationwide – ~1,600 cases with analyzed physical evidence and ~1,100 otherwise similar cases where no physical evidence was collected. Case files were stratified by offense type (homicide, rape, robbery, aggravated assault and burglary) and were drawn from police agency, crime laboratory, prosecutor and court files. </w:t>
      </w:r>
    </w:p>
    <w:p w14:paraId="40101A93" w14:textId="77777777" w:rsidR="00A71342" w:rsidRPr="00EA1CDB" w:rsidRDefault="00A71342" w:rsidP="00A71342">
      <w:pPr>
        <w:rPr>
          <w:rFonts w:ascii="Times New Roman" w:hAnsi="Times New Roman" w:cs="Times New Roman"/>
        </w:rPr>
      </w:pPr>
      <w:r w:rsidRPr="00EA1CDB">
        <w:rPr>
          <w:rFonts w:ascii="Times New Roman" w:hAnsi="Times New Roman" w:cs="Times New Roman"/>
        </w:rPr>
        <w:t xml:space="preserve">This study showed that </w:t>
      </w:r>
      <w:r w:rsidRPr="00D36FD1">
        <w:rPr>
          <w:rStyle w:val="Emphasis"/>
        </w:rPr>
        <w:t>physical evidence was collected and analyzed in only 20-30% of all serious crimes</w:t>
      </w:r>
      <w:r w:rsidRPr="00EA1CDB">
        <w:rPr>
          <w:rFonts w:ascii="Times New Roman" w:hAnsi="Times New Roman" w:cs="Times New Roman"/>
          <w:b/>
        </w:rPr>
        <w:t>.</w:t>
      </w:r>
      <w:r w:rsidRPr="00EA1CDB">
        <w:rPr>
          <w:rFonts w:ascii="Times New Roman" w:hAnsi="Times New Roman" w:cs="Times New Roman"/>
        </w:rPr>
        <w:t xml:space="preserve"> Further, this rate varied greatly by crime type. For example, </w:t>
      </w:r>
      <w:r w:rsidRPr="00D36FD1">
        <w:rPr>
          <w:rStyle w:val="StyleUnderline"/>
        </w:rPr>
        <w:t>the police collected physical evidence in virtually 100% of murder and drug cases and 75% of rape cases, but in only 10-20% of attempted murders, 33% of burglaries, and 20% of robberies</w:t>
      </w:r>
      <w:r w:rsidRPr="00EA1CDB">
        <w:rPr>
          <w:rFonts w:ascii="Times New Roman" w:hAnsi="Times New Roman" w:cs="Times New Roman"/>
        </w:rPr>
        <w:t>.</w:t>
      </w:r>
      <w:r w:rsidRPr="00D36FD1">
        <w:t xml:space="preserve"> Excluding controlled substances, which make up 70% or more of laboratory caseloads, blood, hair, firearms and fingerprints were the principal forms of physical evidence most frequently collected and examined in the laboratory.</w:t>
      </w:r>
      <w:r w:rsidRPr="00EA1CDB">
        <w:rPr>
          <w:rFonts w:ascii="Times New Roman" w:hAnsi="Times New Roman" w:cs="Times New Roman"/>
        </w:rPr>
        <w:t xml:space="preserve"> </w:t>
      </w:r>
    </w:p>
    <w:p w14:paraId="44D85C28" w14:textId="77777777" w:rsidR="00A71342" w:rsidRPr="00EA1CDB" w:rsidRDefault="00A71342" w:rsidP="00A71342">
      <w:pPr>
        <w:rPr>
          <w:rFonts w:ascii="Times New Roman" w:hAnsi="Times New Roman" w:cs="Times New Roman"/>
        </w:rPr>
      </w:pPr>
    </w:p>
    <w:p w14:paraId="3B5453CE" w14:textId="77777777" w:rsidR="00A71342" w:rsidRPr="00EA1CDB" w:rsidRDefault="00A71342" w:rsidP="00A71342">
      <w:pPr>
        <w:pStyle w:val="Heading4"/>
        <w:numPr>
          <w:ilvl w:val="0"/>
          <w:numId w:val="13"/>
        </w:numPr>
      </w:pPr>
      <w:r>
        <w:lastRenderedPageBreak/>
        <w:t>Voting Issue</w:t>
      </w:r>
      <w:r w:rsidRPr="00EA1CDB">
        <w:t xml:space="preserve"> for fairness and predictable limits:</w:t>
      </w:r>
    </w:p>
    <w:p w14:paraId="2D1FE78B" w14:textId="77777777" w:rsidR="00A71342" w:rsidRPr="00EA1CDB" w:rsidRDefault="00A71342" w:rsidP="00A71342">
      <w:pPr>
        <w:pStyle w:val="Heading4"/>
        <w:numPr>
          <w:ilvl w:val="0"/>
          <w:numId w:val="11"/>
        </w:numPr>
      </w:pPr>
      <w:r w:rsidRPr="00EA1CDB">
        <w:t>Ground – an interpretation of 50% across all types of crimes prevents the aff from spiking out of links – they could just claim they are substantial in some types of crimes – key to garner neg offense</w:t>
      </w:r>
    </w:p>
    <w:p w14:paraId="3C0293F1" w14:textId="77777777" w:rsidR="00A71342" w:rsidRPr="00EA1CDB" w:rsidRDefault="00A71342" w:rsidP="00A71342">
      <w:pPr>
        <w:rPr>
          <w:rFonts w:ascii="Times New Roman" w:hAnsi="Times New Roman" w:cs="Times New Roman"/>
        </w:rPr>
      </w:pPr>
    </w:p>
    <w:p w14:paraId="49F2533A" w14:textId="77777777" w:rsidR="00A71342" w:rsidRPr="009614F5" w:rsidRDefault="00A71342" w:rsidP="00A71342">
      <w:pPr>
        <w:pStyle w:val="Heading4"/>
        <w:numPr>
          <w:ilvl w:val="0"/>
          <w:numId w:val="11"/>
        </w:numPr>
      </w:pPr>
      <w:r w:rsidRPr="009614F5">
        <w:t>Depth over Breadth – a clear interpretation ensures aff ground and interesting debates, but narrowly restricting the plan mechanism is vital to well-prepared neg offense</w:t>
      </w:r>
    </w:p>
    <w:p w14:paraId="706FA744" w14:textId="77777777" w:rsidR="00A71342" w:rsidRPr="009614F5" w:rsidRDefault="00A71342" w:rsidP="00A71342">
      <w:pPr>
        <w:rPr>
          <w:rFonts w:ascii="Times New Roman" w:hAnsi="Times New Roman" w:cs="Times New Roman"/>
        </w:rPr>
      </w:pPr>
    </w:p>
    <w:p w14:paraId="0670DBAF" w14:textId="77777777" w:rsidR="00A71342" w:rsidRPr="009614F5" w:rsidRDefault="00A71342" w:rsidP="00A71342">
      <w:pPr>
        <w:pStyle w:val="Heading4"/>
        <w:numPr>
          <w:ilvl w:val="0"/>
          <w:numId w:val="11"/>
        </w:numPr>
      </w:pPr>
      <w:r w:rsidRPr="009614F5">
        <w:t>Limits – only impacting a small amount of criminal cases in different crime types removes the neg’s ability to run generics – it explodes the topic and encourage small cases that dodge core controversy and neg generics.</w:t>
      </w:r>
    </w:p>
    <w:p w14:paraId="32A88558" w14:textId="77777777" w:rsidR="00A71342" w:rsidRPr="009614F5" w:rsidRDefault="00A71342" w:rsidP="00A71342">
      <w:pPr>
        <w:rPr>
          <w:rFonts w:ascii="Times New Roman" w:hAnsi="Times New Roman" w:cs="Times New Roman"/>
        </w:rPr>
      </w:pPr>
    </w:p>
    <w:p w14:paraId="0610405D" w14:textId="77777777" w:rsidR="00A71342" w:rsidRDefault="00A71342" w:rsidP="00A71342">
      <w:pPr>
        <w:pStyle w:val="Heading4"/>
        <w:numPr>
          <w:ilvl w:val="0"/>
          <w:numId w:val="11"/>
        </w:numPr>
      </w:pPr>
      <w:r w:rsidRPr="009614F5">
        <w:t xml:space="preserve">Education – without limits there’s no ability for neg teams to prepare – instead we’ll resort to generics like the Federalism DA and recycle blocks against every aff </w:t>
      </w:r>
    </w:p>
    <w:p w14:paraId="3881D686" w14:textId="77777777" w:rsidR="00A71342" w:rsidRDefault="00A71342" w:rsidP="00A71342">
      <w:pPr>
        <w:pStyle w:val="Heading3"/>
      </w:pPr>
      <w:r>
        <w:lastRenderedPageBreak/>
        <w:t xml:space="preserve">T – Criminal Justice </w:t>
      </w:r>
    </w:p>
    <w:p w14:paraId="680FA8FF" w14:textId="77777777" w:rsidR="00A71342" w:rsidRPr="007E7BA4" w:rsidRDefault="00A71342" w:rsidP="00A71342"/>
    <w:p w14:paraId="3BD32211" w14:textId="77777777" w:rsidR="00A71342" w:rsidRDefault="00A71342" w:rsidP="00A71342">
      <w:pPr>
        <w:pStyle w:val="Heading4"/>
        <w:numPr>
          <w:ilvl w:val="0"/>
          <w:numId w:val="14"/>
        </w:numPr>
      </w:pPr>
      <w:r>
        <w:t xml:space="preserve">Interpretation – The affirmative’s forensic science reform must be exclusively a criminal justice reform. </w:t>
      </w:r>
    </w:p>
    <w:p w14:paraId="2DCEC171" w14:textId="77777777" w:rsidR="00A71342" w:rsidRDefault="00A71342" w:rsidP="00A71342">
      <w:pPr>
        <w:pStyle w:val="Heading4"/>
        <w:ind w:left="720"/>
      </w:pPr>
      <w:r>
        <w:t>The civil justice system and the criminal justice system are distinct places for reform</w:t>
      </w:r>
    </w:p>
    <w:p w14:paraId="6FDFC8AA" w14:textId="77777777" w:rsidR="00A71342" w:rsidRDefault="00A71342" w:rsidP="00A71342">
      <w:pPr>
        <w:rPr>
          <w:rStyle w:val="Style13ptBold"/>
        </w:rPr>
      </w:pPr>
      <w:r w:rsidRPr="002D32E8">
        <w:rPr>
          <w:rStyle w:val="Style13ptBold"/>
        </w:rPr>
        <w:t>Root</w:t>
      </w:r>
      <w:r>
        <w:rPr>
          <w:rStyle w:val="Style13ptBold"/>
        </w:rPr>
        <w:t>,</w:t>
      </w:r>
      <w:r w:rsidRPr="002D32E8">
        <w:rPr>
          <w:rStyle w:val="Style13ptBold"/>
        </w:rPr>
        <w:t xml:space="preserve"> </w:t>
      </w:r>
      <w:r>
        <w:rPr>
          <w:rStyle w:val="Style13ptBold"/>
        </w:rPr>
        <w:t>American Progress legal progress director,</w:t>
      </w:r>
      <w:r w:rsidRPr="002D32E8">
        <w:rPr>
          <w:rStyle w:val="Style13ptBold"/>
        </w:rPr>
        <w:t xml:space="preserve"> 19</w:t>
      </w:r>
      <w:r>
        <w:rPr>
          <w:rStyle w:val="Style13ptBold"/>
        </w:rPr>
        <w:t xml:space="preserve"> </w:t>
      </w:r>
    </w:p>
    <w:p w14:paraId="77221FEF" w14:textId="31FBF1A7" w:rsidR="00A71342" w:rsidRDefault="00A71342" w:rsidP="00A71342">
      <w:r>
        <w:t>(</w:t>
      </w:r>
      <w:r w:rsidRPr="002D32E8">
        <w:t>Danielle Root is the associate director of voting rights and access to justice on the Democracy and Government Reform team at the Center for American Progress. Maggie Jo Buchanan is the director of Legal Progress at the Center for American Progress</w:t>
      </w:r>
      <w:r>
        <w:t>,</w:t>
      </w:r>
      <w:r w:rsidRPr="0067079E">
        <w:t xml:space="preserve"> </w:t>
      </w:r>
      <w:r>
        <w:t>12-</w:t>
      </w:r>
      <w:r w:rsidRPr="002D32E8">
        <w:t>19</w:t>
      </w:r>
      <w:r>
        <w:t>-</w:t>
      </w:r>
      <w:r w:rsidRPr="002D32E8">
        <w:t xml:space="preserve"> 2019</w:t>
      </w:r>
      <w:r>
        <w:t>, American Progress, “</w:t>
      </w:r>
      <w:r w:rsidRPr="002D32E8">
        <w:t>5 Principles for Civil Justice Reform</w:t>
      </w:r>
      <w:r>
        <w:t>”</w:t>
      </w:r>
      <w:r w:rsidRPr="002D32E8">
        <w:t xml:space="preserve">, </w:t>
      </w:r>
      <w:r w:rsidRPr="001E736C">
        <w:t>https://www.americanprogress.org/issues/courts/news/2019/12/19/478875/5-principles-civil-justice-reform /</w:t>
      </w:r>
      <w:r>
        <w:t>Accessed 7-14-2020/WY)</w:t>
      </w:r>
    </w:p>
    <w:p w14:paraId="73300F87" w14:textId="77777777" w:rsidR="00A71342" w:rsidRDefault="00A71342" w:rsidP="00A71342">
      <w:r w:rsidRPr="0067079E">
        <w:t>Each year</w:t>
      </w:r>
      <w:r w:rsidRPr="0067079E">
        <w:rPr>
          <w:highlight w:val="cyan"/>
        </w:rPr>
        <w:t xml:space="preserve">, </w:t>
      </w:r>
      <w:r w:rsidRPr="0067079E">
        <w:rPr>
          <w:rStyle w:val="StyleUnderline"/>
          <w:highlight w:val="cyan"/>
        </w:rPr>
        <w:t>millions of civil cases are filed in courts</w:t>
      </w:r>
      <w:r w:rsidRPr="0067079E">
        <w:t xml:space="preserve"> across the United States </w:t>
      </w:r>
      <w:r w:rsidRPr="0067079E">
        <w:rPr>
          <w:rStyle w:val="StyleUnderline"/>
          <w:highlight w:val="cyan"/>
        </w:rPr>
        <w:t>concerning everything from family law and domestic violence matters to issues of housing and consumer debt</w:t>
      </w:r>
      <w:r w:rsidRPr="0067079E">
        <w:rPr>
          <w:highlight w:val="cyan"/>
        </w:rPr>
        <w:t>.</w:t>
      </w:r>
      <w:r w:rsidRPr="0067079E">
        <w:t xml:space="preserve"> Unfortunately, </w:t>
      </w:r>
      <w:r w:rsidRPr="0067079E">
        <w:rPr>
          <w:rStyle w:val="StyleUnderline"/>
        </w:rPr>
        <w:t>deficiencies in the civil justice system perpetuate power imbalances; those who can hire private attorneys are much more likely to prevail in court or avoid court altogether</w:t>
      </w:r>
      <w:r w:rsidRPr="0067079E">
        <w:t xml:space="preserve">. These power imbalances prevent people—mostly low- and middle-income people and disproportionately people of color—from prevailing in their cases, resulting in miscarriages of justice. For parties involved, the stakes of civil proceedings are extraordinarily high. Child custody; orders of protection against a violent stalker; foreclosure of and eviction from a home; and falling prey to predatory debt collectors are all matters handled by civil courts. </w:t>
      </w:r>
    </w:p>
    <w:p w14:paraId="15D0AA0D" w14:textId="77777777" w:rsidR="00A71342" w:rsidRPr="0067079E" w:rsidRDefault="00A71342" w:rsidP="00A71342">
      <w:r w:rsidRPr="0067079E">
        <w:t xml:space="preserve">For some, winning or losing in court can mean the difference between life and death. Over the years, advocates and </w:t>
      </w:r>
      <w:r w:rsidRPr="0067079E">
        <w:rPr>
          <w:rStyle w:val="StyleUnderline"/>
          <w:highlight w:val="cyan"/>
        </w:rPr>
        <w:t xml:space="preserve">policymakers have suggested a range of approaches to </w:t>
      </w:r>
      <w:r w:rsidRPr="0067079E">
        <w:rPr>
          <w:rStyle w:val="Emphasis"/>
          <w:highlight w:val="cyan"/>
        </w:rPr>
        <w:t>reforming the civil justice system</w:t>
      </w:r>
      <w:r w:rsidRPr="0067079E">
        <w:rPr>
          <w:rStyle w:val="Emphasis"/>
        </w:rPr>
        <w:t>,</w:t>
      </w:r>
      <w:r w:rsidRPr="0067079E">
        <w:t xml:space="preserve"> including guaranteeing legal representation in certain additional classes of civil cases; lifting restrictions on providers of civil legal aid—which includes a broad range of civil legal services—who receive public funding; and expanding opportunities for law students, attorneys, advocates, and paralegals to provide pro-bono services and representation to clients in need. Several jurisdictions have adopted some of these ideas, including New York City, which now provides a right to counsel for low-income tenants facing eviction in housing court. Some states such as Utah use a licensed paralegal practitioners model that allows highly trained paralegals to provide more affordable legal assistance. Despite these important efforts, </w:t>
      </w:r>
      <w:r w:rsidRPr="0067079E">
        <w:rPr>
          <w:rStyle w:val="StyleUnderline"/>
          <w:highlight w:val="cyan"/>
        </w:rPr>
        <w:t xml:space="preserve">the need for </w:t>
      </w:r>
      <w:r w:rsidRPr="0067079E">
        <w:rPr>
          <w:rStyle w:val="Emphasis"/>
          <w:highlight w:val="cyan"/>
        </w:rPr>
        <w:t>civil justice reform</w:t>
      </w:r>
      <w:r w:rsidRPr="0067079E">
        <w:rPr>
          <w:rStyle w:val="StyleUnderline"/>
          <w:highlight w:val="cyan"/>
        </w:rPr>
        <w:t xml:space="preserve"> remains lesser known than</w:t>
      </w:r>
      <w:r w:rsidRPr="0067079E">
        <w:t xml:space="preserve"> the vital </w:t>
      </w:r>
      <w:r w:rsidRPr="0067079E">
        <w:rPr>
          <w:rStyle w:val="Emphasis"/>
          <w:highlight w:val="cyan"/>
        </w:rPr>
        <w:t>criminal justice reform</w:t>
      </w:r>
      <w:r w:rsidRPr="0067079E">
        <w:t xml:space="preserve"> work being done today.</w:t>
      </w:r>
    </w:p>
    <w:p w14:paraId="01187FE1" w14:textId="77777777" w:rsidR="00A71342" w:rsidRDefault="00A71342" w:rsidP="00A71342">
      <w:pPr>
        <w:pStyle w:val="Heading4"/>
        <w:numPr>
          <w:ilvl w:val="0"/>
          <w:numId w:val="14"/>
        </w:numPr>
      </w:pPr>
      <w:r>
        <w:t>Violation – Plan it includes civil justice science as well</w:t>
      </w:r>
    </w:p>
    <w:p w14:paraId="23EE9556" w14:textId="77777777" w:rsidR="00A71342" w:rsidRDefault="00A71342" w:rsidP="00A71342">
      <w:r w:rsidRPr="00DE0011">
        <w:rPr>
          <w:rStyle w:val="Style13ptBold"/>
        </w:rPr>
        <w:t>Siegel</w:t>
      </w:r>
      <w:r>
        <w:rPr>
          <w:rStyle w:val="Style13ptBold"/>
        </w:rPr>
        <w:t>, Former Forensic Sciences Program Director,</w:t>
      </w:r>
      <w:r w:rsidRPr="00DE0011">
        <w:rPr>
          <w:rStyle w:val="Style13ptBold"/>
        </w:rPr>
        <w:t xml:space="preserve"> 20</w:t>
      </w:r>
      <w:r>
        <w:t xml:space="preserve"> </w:t>
      </w:r>
    </w:p>
    <w:p w14:paraId="12E3B95F" w14:textId="77777777" w:rsidR="00A71342" w:rsidRPr="0067079E" w:rsidRDefault="00A71342" w:rsidP="00A71342">
      <w:pPr>
        <w:rPr>
          <w:b/>
          <w:bCs/>
          <w:sz w:val="26"/>
        </w:rPr>
      </w:pPr>
      <w:r>
        <w:t xml:space="preserve">(Jay A. Former Director, Forensic and Investigative Sciences Program, 6-1-2020, Encyclopedia Brittanica, “Forensic Science” </w:t>
      </w:r>
      <w:r w:rsidRPr="0067079E">
        <w:t>https://www.britannica.com/science/forensic-science</w:t>
      </w:r>
      <w:r>
        <w:t xml:space="preserve"> /Accessed 7-14-2020/WY)</w:t>
      </w:r>
    </w:p>
    <w:p w14:paraId="454B282C" w14:textId="77777777" w:rsidR="00A71342" w:rsidRPr="00E55FA2" w:rsidRDefault="00A71342" w:rsidP="00A71342">
      <w:pPr>
        <w:rPr>
          <w:sz w:val="16"/>
        </w:rPr>
      </w:pPr>
      <w:r w:rsidRPr="00F74F3A">
        <w:rPr>
          <w:rStyle w:val="StyleUnderline"/>
        </w:rPr>
        <w:t>Forensic science, the application</w:t>
      </w:r>
      <w:r w:rsidRPr="00F74F3A">
        <w:rPr>
          <w:sz w:val="16"/>
        </w:rPr>
        <w:t xml:space="preserve"> </w:t>
      </w:r>
      <w:r w:rsidRPr="00F74F3A">
        <w:rPr>
          <w:rStyle w:val="StyleUnderline"/>
        </w:rPr>
        <w:t>of the methods of the natural and physical sciences to matters of criminal and civil law.</w:t>
      </w:r>
      <w:r w:rsidRPr="00F74F3A">
        <w:rPr>
          <w:sz w:val="16"/>
        </w:rPr>
        <w:t xml:space="preserve"> </w:t>
      </w:r>
      <w:r w:rsidRPr="00F74F3A">
        <w:rPr>
          <w:rStyle w:val="StyleUnderline"/>
        </w:rPr>
        <w:t xml:space="preserve">Forensic science can be involved not only in investigation and prosecution of crimes such as rape, murder, and drug trafficking but also in matters in which a crime has not been </w:t>
      </w:r>
      <w:r w:rsidRPr="00F74F3A">
        <w:rPr>
          <w:rStyle w:val="StyleUnderline"/>
        </w:rPr>
        <w:lastRenderedPageBreak/>
        <w:t>committed but in which someone is charged with a civil wrong</w:t>
      </w:r>
      <w:r w:rsidRPr="00F74F3A">
        <w:rPr>
          <w:sz w:val="16"/>
        </w:rPr>
        <w:t xml:space="preserve"> (see tort), </w:t>
      </w:r>
      <w:r w:rsidRPr="00F74F3A">
        <w:rPr>
          <w:rStyle w:val="StyleUnderline"/>
        </w:rPr>
        <w:t>such as willful pollution of air or water or causing industrial injuries</w:t>
      </w:r>
      <w:r w:rsidRPr="00F74F3A">
        <w:rPr>
          <w:sz w:val="16"/>
        </w:rPr>
        <w:t xml:space="preserve">. </w:t>
      </w:r>
      <w:r w:rsidRPr="00F74F3A">
        <w:rPr>
          <w:rStyle w:val="StyleUnderline"/>
        </w:rPr>
        <w:t>Almost any science can be a forensic science because almost any science can contribute to solving a crime or evaluating a civil harm</w:t>
      </w:r>
      <w:r w:rsidRPr="00E55FA2">
        <w:rPr>
          <w:rStyle w:val="StyleUnderline"/>
        </w:rPr>
        <w:t>.</w:t>
      </w:r>
      <w:r w:rsidRPr="00E55FA2">
        <w:rPr>
          <w:sz w:val="16"/>
        </w:rPr>
        <w:t xml:space="preserve"> In fact, with few exceptions, forensic sciences are no different in what they study than traditional sciences. The only difference is that forensic scientists apply the methods and techniques of established sciences to legal matters.</w:t>
      </w:r>
    </w:p>
    <w:p w14:paraId="6F50FA15" w14:textId="77777777" w:rsidR="00A71342" w:rsidRDefault="00A71342" w:rsidP="00A71342">
      <w:pPr>
        <w:pStyle w:val="Heading4"/>
        <w:numPr>
          <w:ilvl w:val="0"/>
          <w:numId w:val="14"/>
        </w:numPr>
        <w:rPr>
          <w:rFonts w:ascii="Times New Roman" w:hAnsi="Times New Roman"/>
        </w:rPr>
      </w:pPr>
      <w:r>
        <w:t>Standards </w:t>
      </w:r>
    </w:p>
    <w:p w14:paraId="1096F4EA" w14:textId="77777777" w:rsidR="00A71342" w:rsidRDefault="00A71342" w:rsidP="00A71342">
      <w:pPr>
        <w:pStyle w:val="Heading4"/>
        <w:numPr>
          <w:ilvl w:val="0"/>
          <w:numId w:val="15"/>
        </w:numPr>
        <w:rPr>
          <w:rFonts w:ascii="Times New Roman" w:hAnsi="Times New Roman"/>
        </w:rPr>
      </w:pPr>
      <w:r>
        <w:rPr>
          <w:rFonts w:cs="Calibri"/>
          <w:color w:val="000000"/>
          <w:szCs w:val="26"/>
        </w:rPr>
        <w:t>Limits -- Allowing affs to access areas like the Civil Justice System explodes limits by makings affs able to reform any part of the multitude of steps in the civil justice system which creates unlimited affs and makes neg prep impossible -- limiting the topic to the Criminal Justice System creates predictable neg ground and good limits</w:t>
      </w:r>
    </w:p>
    <w:p w14:paraId="0A3E5D19" w14:textId="77777777" w:rsidR="00A71342" w:rsidRDefault="00A71342" w:rsidP="00A71342">
      <w:pPr>
        <w:pStyle w:val="Heading4"/>
        <w:numPr>
          <w:ilvl w:val="0"/>
          <w:numId w:val="15"/>
        </w:numPr>
        <w:rPr>
          <w:rFonts w:ascii="Times New Roman" w:hAnsi="Times New Roman"/>
        </w:rPr>
      </w:pPr>
      <w:r>
        <w:rPr>
          <w:rFonts w:cs="Calibri"/>
          <w:color w:val="000000"/>
          <w:szCs w:val="26"/>
        </w:rPr>
        <w:t>Ground -- this makes the aff unpredictable, destroying generic neg ground - this means all links must be hyper specific. This disincentivizes research which the main method of education in debate</w:t>
      </w:r>
    </w:p>
    <w:p w14:paraId="15864261" w14:textId="77777777" w:rsidR="00A71342" w:rsidRPr="0067079E" w:rsidRDefault="00A71342" w:rsidP="00A71342">
      <w:pPr>
        <w:pStyle w:val="Heading4"/>
        <w:numPr>
          <w:ilvl w:val="0"/>
          <w:numId w:val="15"/>
        </w:numPr>
        <w:rPr>
          <w:rFonts w:ascii="Times New Roman" w:hAnsi="Times New Roman"/>
        </w:rPr>
      </w:pPr>
      <w:r>
        <w:rPr>
          <w:rFonts w:cs="Calibri"/>
          <w:color w:val="000000"/>
          <w:szCs w:val="26"/>
        </w:rPr>
        <w:t>Education -- Reading extra-topical affirmatives ruins clash and topic-specific education in the 3 areas that is included in the resolution - under the affs debate model neg prep is impossible because we can’t predict infinite affs outside the bounds of the resolution.</w:t>
      </w:r>
    </w:p>
    <w:p w14:paraId="5AAD42DA" w14:textId="77777777" w:rsidR="00A71342" w:rsidRDefault="00A71342" w:rsidP="00A71342"/>
    <w:p w14:paraId="43EA8734" w14:textId="77777777" w:rsidR="00A71342" w:rsidRPr="007E7BA4" w:rsidRDefault="00A71342" w:rsidP="00A71342">
      <w:pPr>
        <w:pStyle w:val="Heading4"/>
      </w:pPr>
      <w:r>
        <w:t>Voting Issue for competitive equity</w:t>
      </w:r>
    </w:p>
    <w:p w14:paraId="17519FD9" w14:textId="754EC26D" w:rsidR="00A71342" w:rsidRDefault="00A71342" w:rsidP="00A71342">
      <w:pPr>
        <w:pStyle w:val="Heading3"/>
      </w:pPr>
      <w:r>
        <w:lastRenderedPageBreak/>
        <w:t>T - Reform</w:t>
      </w:r>
    </w:p>
    <w:p w14:paraId="316E0606" w14:textId="77777777" w:rsidR="00A71342" w:rsidRPr="00D65CE4" w:rsidRDefault="00A71342" w:rsidP="00A71342">
      <w:pPr>
        <w:pStyle w:val="Heading4"/>
      </w:pPr>
      <w:r w:rsidRPr="00D65CE4">
        <w:t>Reform is a change to a preexisting system</w:t>
      </w:r>
    </w:p>
    <w:p w14:paraId="64E9E4E0" w14:textId="77777777" w:rsidR="00A71342" w:rsidRPr="00D65CE4" w:rsidRDefault="00A71342" w:rsidP="00A71342">
      <w:pPr>
        <w:rPr>
          <w:rStyle w:val="Style13ptBold"/>
        </w:rPr>
      </w:pPr>
      <w:r w:rsidRPr="00D65CE4">
        <w:rPr>
          <w:rStyle w:val="Style13ptBold"/>
        </w:rPr>
        <w:t>The Longman Dictionary, No Date</w:t>
      </w:r>
    </w:p>
    <w:p w14:paraId="7BFE5743" w14:textId="0B74500E" w:rsidR="00A71342" w:rsidRDefault="00A71342" w:rsidP="00A71342">
      <w:r>
        <w:t xml:space="preserve">(The Longman Dictionary of Contemporary English, No Date, </w:t>
      </w:r>
      <w:r w:rsidRPr="001E736C">
        <w:t>https://www.ldoceonline.com/dictionary/reform</w:t>
      </w:r>
      <w:r>
        <w:t>, accessed:07/13/20, SS)</w:t>
      </w:r>
    </w:p>
    <w:p w14:paraId="6766A923" w14:textId="03818854" w:rsidR="00A71342" w:rsidRDefault="00A71342" w:rsidP="00A71342">
      <w:r w:rsidRPr="00D65CE4">
        <w:rPr>
          <w:rStyle w:val="StyleUnderline"/>
          <w:highlight w:val="cyan"/>
        </w:rPr>
        <w:t>a change</w:t>
      </w:r>
      <w:r w:rsidRPr="00D65CE4">
        <w:rPr>
          <w:rStyle w:val="StyleUnderline"/>
        </w:rPr>
        <w:t xml:space="preserve"> or changes </w:t>
      </w:r>
      <w:r w:rsidRPr="00D65CE4">
        <w:rPr>
          <w:rStyle w:val="StyleUnderline"/>
          <w:highlight w:val="cyan"/>
        </w:rPr>
        <w:t xml:space="preserve">made to a </w:t>
      </w:r>
      <w:r w:rsidRPr="00DF6FC5">
        <w:rPr>
          <w:rStyle w:val="StyleUnderline"/>
          <w:highlight w:val="cyan"/>
        </w:rPr>
        <w:t>system or organization</w:t>
      </w:r>
      <w:r w:rsidRPr="00D65CE4">
        <w:t> in order to </w:t>
      </w:r>
      <w:r w:rsidRPr="001E736C">
        <w:t>improve</w:t>
      </w:r>
      <w:r w:rsidRPr="00D65CE4">
        <w:t> it.</w:t>
      </w:r>
    </w:p>
    <w:p w14:paraId="68739108" w14:textId="77777777" w:rsidR="00A71342" w:rsidRDefault="00A71342" w:rsidP="00A71342"/>
    <w:p w14:paraId="348FE0A2" w14:textId="77777777" w:rsidR="00A71342" w:rsidRDefault="00A71342" w:rsidP="00A71342">
      <w:pPr>
        <w:pStyle w:val="Heading4"/>
      </w:pPr>
      <w:r>
        <w:t>Violation- The aff is creates a new agency to oversee Forensic Science</w:t>
      </w:r>
    </w:p>
    <w:p w14:paraId="0EA982F1" w14:textId="77777777" w:rsidR="00A71342" w:rsidRPr="00D36FD1" w:rsidRDefault="00A71342" w:rsidP="00A71342"/>
    <w:p w14:paraId="18111418" w14:textId="77777777" w:rsidR="00A71342" w:rsidRDefault="00A71342" w:rsidP="00A71342">
      <w:pPr>
        <w:pStyle w:val="Heading4"/>
      </w:pPr>
      <w:r>
        <w:t xml:space="preserve">Standards- </w:t>
      </w:r>
    </w:p>
    <w:p w14:paraId="623CAD91" w14:textId="77777777" w:rsidR="00A71342" w:rsidRDefault="00A71342" w:rsidP="00A71342">
      <w:pPr>
        <w:pStyle w:val="Heading4"/>
        <w:numPr>
          <w:ilvl w:val="0"/>
          <w:numId w:val="12"/>
        </w:numPr>
      </w:pPr>
      <w:r>
        <w:t xml:space="preserve">Limits- The aff explodes limits because it adds so many more affs to the topic. Now the aff can just make a new system that claims to solve x and y impact. </w:t>
      </w:r>
    </w:p>
    <w:p w14:paraId="4CDB6D24" w14:textId="77777777" w:rsidR="00A71342" w:rsidRDefault="00A71342" w:rsidP="00A71342">
      <w:pPr>
        <w:pStyle w:val="Heading4"/>
        <w:numPr>
          <w:ilvl w:val="0"/>
          <w:numId w:val="12"/>
        </w:numPr>
      </w:pPr>
      <w:r>
        <w:t>Ground- We lose good ground because every cp just turns into an actor debate which are regressive. We also lose DA links because they have to be hyper specific to what you claim to solve and that could be millions of possibilities.</w:t>
      </w:r>
    </w:p>
    <w:p w14:paraId="18F6D346" w14:textId="77777777" w:rsidR="00A71342" w:rsidRDefault="00A71342" w:rsidP="00A71342">
      <w:pPr>
        <w:pStyle w:val="Heading4"/>
        <w:numPr>
          <w:ilvl w:val="0"/>
          <w:numId w:val="12"/>
        </w:numPr>
      </w:pPr>
      <w:r>
        <w:t xml:space="preserve">Predictability- We will never be able to predict the combinations of impacts you claim to solve. That is key to education because with the aff we have the same debates with generics and that teaches us nothing. </w:t>
      </w:r>
    </w:p>
    <w:p w14:paraId="5013EC0F" w14:textId="77777777" w:rsidR="00A71342" w:rsidRDefault="00A71342" w:rsidP="00A71342">
      <w:pPr>
        <w:pStyle w:val="Heading4"/>
        <w:numPr>
          <w:ilvl w:val="0"/>
          <w:numId w:val="12"/>
        </w:numPr>
      </w:pPr>
      <w:r>
        <w:t xml:space="preserve">Effects Topicality - the plan does not directly reform – the commission adopts them in the future. This uniquely destroys limits and ground, aff can claim future actions, no link out of DAs by saying the commission will do something to avoid it, reducing clash which is key to education. Effects T is an independent voter. </w:t>
      </w:r>
    </w:p>
    <w:p w14:paraId="2753EE2B" w14:textId="77777777" w:rsidR="00A71342" w:rsidRPr="00D36FD1" w:rsidRDefault="00A71342" w:rsidP="00A71342"/>
    <w:p w14:paraId="59E49E9E" w14:textId="77777777" w:rsidR="00A71342" w:rsidRPr="00DC4185" w:rsidRDefault="00A71342" w:rsidP="00A71342">
      <w:pPr>
        <w:pStyle w:val="Heading4"/>
      </w:pPr>
      <w:r>
        <w:t xml:space="preserve">Vote neg to uphold fairness and education </w:t>
      </w:r>
    </w:p>
    <w:bookmarkEnd w:id="2"/>
    <w:p w14:paraId="64BD8A4F" w14:textId="77777777" w:rsidR="00A71342" w:rsidRPr="00346BA7" w:rsidRDefault="00A71342" w:rsidP="00D9756C">
      <w:pPr>
        <w:rPr>
          <w:rStyle w:val="StyleUnderline"/>
        </w:rPr>
      </w:pPr>
    </w:p>
    <w:sectPr w:rsidR="00A71342" w:rsidRPr="00346B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277B88"/>
    <w:multiLevelType w:val="hybridMultilevel"/>
    <w:tmpl w:val="802A5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043D2"/>
    <w:multiLevelType w:val="hybridMultilevel"/>
    <w:tmpl w:val="83FA9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4A2049"/>
    <w:multiLevelType w:val="hybridMultilevel"/>
    <w:tmpl w:val="095C7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27772"/>
    <w:multiLevelType w:val="hybridMultilevel"/>
    <w:tmpl w:val="1084DE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82474B"/>
    <w:multiLevelType w:val="hybridMultilevel"/>
    <w:tmpl w:val="F51A6F7A"/>
    <w:lvl w:ilvl="0" w:tplc="0764F67E">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8242FC"/>
    <w:multiLevelType w:val="hybridMultilevel"/>
    <w:tmpl w:val="B88EC3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3"/>
  </w:num>
  <w:num w:numId="14">
    <w:abstractNumId w:val="15"/>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6C"/>
    <w:rsid w:val="00031E91"/>
    <w:rsid w:val="00047999"/>
    <w:rsid w:val="00054700"/>
    <w:rsid w:val="000640D4"/>
    <w:rsid w:val="000B25BB"/>
    <w:rsid w:val="000C4FA4"/>
    <w:rsid w:val="000D2A83"/>
    <w:rsid w:val="000E487E"/>
    <w:rsid w:val="0014330D"/>
    <w:rsid w:val="00165EFA"/>
    <w:rsid w:val="0017336F"/>
    <w:rsid w:val="001A4DEF"/>
    <w:rsid w:val="001C4FE1"/>
    <w:rsid w:val="001E736C"/>
    <w:rsid w:val="001F0F83"/>
    <w:rsid w:val="00203787"/>
    <w:rsid w:val="00205354"/>
    <w:rsid w:val="00222CE7"/>
    <w:rsid w:val="002433D5"/>
    <w:rsid w:val="002B4DC6"/>
    <w:rsid w:val="002F6090"/>
    <w:rsid w:val="003024E7"/>
    <w:rsid w:val="00317831"/>
    <w:rsid w:val="00343FD9"/>
    <w:rsid w:val="00346BA7"/>
    <w:rsid w:val="003D373E"/>
    <w:rsid w:val="00406F1A"/>
    <w:rsid w:val="00430364"/>
    <w:rsid w:val="004474E5"/>
    <w:rsid w:val="004A5E83"/>
    <w:rsid w:val="004B1430"/>
    <w:rsid w:val="004F343C"/>
    <w:rsid w:val="004F53F0"/>
    <w:rsid w:val="00513492"/>
    <w:rsid w:val="005404D6"/>
    <w:rsid w:val="00547073"/>
    <w:rsid w:val="00572C76"/>
    <w:rsid w:val="00590A82"/>
    <w:rsid w:val="00594729"/>
    <w:rsid w:val="005C2C07"/>
    <w:rsid w:val="005C60D4"/>
    <w:rsid w:val="005D793D"/>
    <w:rsid w:val="00617030"/>
    <w:rsid w:val="00622B3F"/>
    <w:rsid w:val="00633A5E"/>
    <w:rsid w:val="006D46C2"/>
    <w:rsid w:val="00715B8B"/>
    <w:rsid w:val="0078490B"/>
    <w:rsid w:val="007D712C"/>
    <w:rsid w:val="007E229E"/>
    <w:rsid w:val="008316BD"/>
    <w:rsid w:val="008976DB"/>
    <w:rsid w:val="0090282A"/>
    <w:rsid w:val="00974286"/>
    <w:rsid w:val="009958BA"/>
    <w:rsid w:val="009C783E"/>
    <w:rsid w:val="009D272B"/>
    <w:rsid w:val="009F0841"/>
    <w:rsid w:val="00A122BA"/>
    <w:rsid w:val="00A36D71"/>
    <w:rsid w:val="00A71342"/>
    <w:rsid w:val="00AC0E1A"/>
    <w:rsid w:val="00AE732F"/>
    <w:rsid w:val="00B24DE2"/>
    <w:rsid w:val="00BE6B30"/>
    <w:rsid w:val="00CA4E23"/>
    <w:rsid w:val="00CC5CA5"/>
    <w:rsid w:val="00D23540"/>
    <w:rsid w:val="00D33677"/>
    <w:rsid w:val="00D414B7"/>
    <w:rsid w:val="00D513A3"/>
    <w:rsid w:val="00D60E48"/>
    <w:rsid w:val="00D91E52"/>
    <w:rsid w:val="00D92B4B"/>
    <w:rsid w:val="00D9756C"/>
    <w:rsid w:val="00DA6209"/>
    <w:rsid w:val="00DC2643"/>
    <w:rsid w:val="00DC5BAF"/>
    <w:rsid w:val="00DD5D40"/>
    <w:rsid w:val="00DE19F5"/>
    <w:rsid w:val="00DE4D69"/>
    <w:rsid w:val="00E04E0A"/>
    <w:rsid w:val="00E07921"/>
    <w:rsid w:val="00E31DF4"/>
    <w:rsid w:val="00E348F9"/>
    <w:rsid w:val="00E42021"/>
    <w:rsid w:val="00E50E08"/>
    <w:rsid w:val="00E639C2"/>
    <w:rsid w:val="00F45BC2"/>
    <w:rsid w:val="00F51329"/>
    <w:rsid w:val="00F7176D"/>
    <w:rsid w:val="00FB7FAF"/>
    <w:rsid w:val="00FF6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FD8B4"/>
  <w15:chartTrackingRefBased/>
  <w15:docId w15:val="{2A59357C-AB30-4745-BEC3-A9FAE074C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E736C"/>
    <w:rPr>
      <w:rFonts w:ascii="Calibri" w:hAnsi="Calibri"/>
    </w:rPr>
  </w:style>
  <w:style w:type="paragraph" w:styleId="Heading1">
    <w:name w:val="heading 1"/>
    <w:aliases w:val="Pocket"/>
    <w:basedOn w:val="Normal"/>
    <w:next w:val="Normal"/>
    <w:link w:val="Heading1Char"/>
    <w:qFormat/>
    <w:rsid w:val="001E73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73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73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1E736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73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736C"/>
  </w:style>
  <w:style w:type="character" w:customStyle="1" w:styleId="Heading1Char">
    <w:name w:val="Heading 1 Char"/>
    <w:aliases w:val="Pocket Char"/>
    <w:basedOn w:val="DefaultParagraphFont"/>
    <w:link w:val="Heading1"/>
    <w:rsid w:val="001E73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73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736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1E736C"/>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1E736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E736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1E736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T"/>
    <w:basedOn w:val="DefaultParagraphFont"/>
    <w:uiPriority w:val="99"/>
    <w:unhideWhenUsed/>
    <w:rsid w:val="001E736C"/>
    <w:rPr>
      <w:color w:val="auto"/>
      <w:u w:val="none"/>
    </w:rPr>
  </w:style>
  <w:style w:type="character" w:styleId="FollowedHyperlink">
    <w:name w:val="FollowedHyperlink"/>
    <w:basedOn w:val="DefaultParagraphFont"/>
    <w:uiPriority w:val="99"/>
    <w:semiHidden/>
    <w:unhideWhenUsed/>
    <w:rsid w:val="001E736C"/>
    <w:rPr>
      <w:color w:val="auto"/>
      <w:u w:val="none"/>
    </w:rPr>
  </w:style>
  <w:style w:type="character" w:styleId="UnresolvedMention">
    <w:name w:val="Unresolved Mention"/>
    <w:basedOn w:val="DefaultParagraphFont"/>
    <w:uiPriority w:val="99"/>
    <w:semiHidden/>
    <w:unhideWhenUsed/>
    <w:rsid w:val="002F6090"/>
    <w:rPr>
      <w:color w:val="605E5C"/>
      <w:shd w:val="clear" w:color="auto" w:fill="E1DFDD"/>
    </w:rPr>
  </w:style>
  <w:style w:type="paragraph" w:customStyle="1" w:styleId="card">
    <w:name w:val="card"/>
    <w:aliases w:val="Medium Grid 21,No Spacing112,No Spacing111111,nonunderlined,No Spacing111112,No Spacing1121,Debate Text"/>
    <w:basedOn w:val="Normal"/>
    <w:next w:val="Normal"/>
    <w:link w:val="StyleUnderline"/>
    <w:uiPriority w:val="6"/>
    <w:qFormat/>
    <w:rsid w:val="00406F1A"/>
    <w:pPr>
      <w:ind w:left="288" w:right="288"/>
    </w:pPr>
    <w:rPr>
      <w:rFonts w:asciiTheme="minorHAnsi" w:hAnsiTheme="minorHAnsi"/>
      <w:u w:val="single"/>
    </w:rPr>
  </w:style>
  <w:style w:type="paragraph" w:customStyle="1" w:styleId="textbold">
    <w:name w:val="text bold"/>
    <w:basedOn w:val="Normal"/>
    <w:link w:val="Emphasis"/>
    <w:uiPriority w:val="7"/>
    <w:qFormat/>
    <w:rsid w:val="00406F1A"/>
    <w:pPr>
      <w:ind w:left="720"/>
      <w:jc w:val="both"/>
    </w:pPr>
    <w:rPr>
      <w:b/>
      <w:iCs/>
      <w:u w:val="single"/>
    </w:rPr>
  </w:style>
  <w:style w:type="paragraph" w:styleId="BalloonText">
    <w:name w:val="Balloon Text"/>
    <w:basedOn w:val="Normal"/>
    <w:link w:val="BalloonTextChar"/>
    <w:uiPriority w:val="99"/>
    <w:semiHidden/>
    <w:unhideWhenUsed/>
    <w:rsid w:val="004B14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1430"/>
    <w:rPr>
      <w:rFonts w:ascii="Segoe UI" w:hAnsi="Segoe UI" w:cs="Segoe UI"/>
      <w:sz w:val="18"/>
      <w:szCs w:val="18"/>
    </w:rPr>
  </w:style>
  <w:style w:type="character" w:styleId="CommentReference">
    <w:name w:val="annotation reference"/>
    <w:basedOn w:val="DefaultParagraphFont"/>
    <w:uiPriority w:val="99"/>
    <w:semiHidden/>
    <w:unhideWhenUsed/>
    <w:rsid w:val="004B1430"/>
    <w:rPr>
      <w:sz w:val="16"/>
      <w:szCs w:val="16"/>
    </w:rPr>
  </w:style>
  <w:style w:type="paragraph" w:styleId="CommentText">
    <w:name w:val="annotation text"/>
    <w:basedOn w:val="Normal"/>
    <w:link w:val="CommentTextChar"/>
    <w:uiPriority w:val="99"/>
    <w:semiHidden/>
    <w:unhideWhenUsed/>
    <w:rsid w:val="004B1430"/>
    <w:pPr>
      <w:spacing w:line="240" w:lineRule="auto"/>
    </w:pPr>
    <w:rPr>
      <w:sz w:val="20"/>
      <w:szCs w:val="20"/>
    </w:rPr>
  </w:style>
  <w:style w:type="character" w:customStyle="1" w:styleId="CommentTextChar">
    <w:name w:val="Comment Text Char"/>
    <w:basedOn w:val="DefaultParagraphFont"/>
    <w:link w:val="CommentText"/>
    <w:uiPriority w:val="99"/>
    <w:semiHidden/>
    <w:rsid w:val="004B1430"/>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1430"/>
    <w:rPr>
      <w:b/>
      <w:bCs/>
    </w:rPr>
  </w:style>
  <w:style w:type="character" w:customStyle="1" w:styleId="CommentSubjectChar">
    <w:name w:val="Comment Subject Char"/>
    <w:basedOn w:val="CommentTextChar"/>
    <w:link w:val="CommentSubject"/>
    <w:uiPriority w:val="99"/>
    <w:semiHidden/>
    <w:rsid w:val="004B1430"/>
    <w:rPr>
      <w:rFonts w:ascii="Times New Roman" w:hAnsi="Times New Roman" w:cs="Times New Roman"/>
      <w:b/>
      <w:bCs/>
      <w:sz w:val="20"/>
      <w:szCs w:val="20"/>
    </w:rPr>
  </w:style>
  <w:style w:type="paragraph" w:styleId="NormalWeb">
    <w:name w:val="Normal (Web)"/>
    <w:basedOn w:val="Normal"/>
    <w:uiPriority w:val="99"/>
    <w:unhideWhenUsed/>
    <w:rsid w:val="000640D4"/>
    <w:pPr>
      <w:spacing w:before="100" w:beforeAutospacing="1" w:after="100" w:afterAutospacing="1" w:line="240" w:lineRule="auto"/>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9644010903576918" TargetMode="External"/><Relationship Id="rId13" Type="http://schemas.openxmlformats.org/officeDocument/2006/relationships/hyperlink" Target="https://www.tandfonline.com/toc/fenp20/current" TargetMode="External"/><Relationship Id="rId18" Type="http://schemas.openxmlformats.org/officeDocument/2006/relationships/hyperlink" Target="https://pdfs.semanticscholar.org/9083/5d97554141abbb09483934b10a2f3a722b52.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tandfonline.com/toc/fenp20/19/2" TargetMode="External"/><Relationship Id="rId7" Type="http://schemas.openxmlformats.org/officeDocument/2006/relationships/hyperlink" Target="https://www.tandfonline.com/toc/fenp20/19/2" TargetMode="External"/><Relationship Id="rId12" Type="http://schemas.openxmlformats.org/officeDocument/2006/relationships/hyperlink" Target="https://doi.org/10.1080/09644010903576918" TargetMode="External"/><Relationship Id="rId17" Type="http://schemas.openxmlformats.org/officeDocument/2006/relationships/hyperlink" Target="https://pdfs.semanticscholar.org/9083/5d97554141abbb09483934b10a2f3a722b52.pdf" TargetMode="External"/><Relationship Id="rId25" Type="http://schemas.openxmlformats.org/officeDocument/2006/relationships/hyperlink" Target="https://wedocs.unep.org/bitstream/handle/20.500.11822/20767/climate-change-litigation.pdf?sequence=1&amp;isAllowed=y" TargetMode="External"/><Relationship Id="rId2" Type="http://schemas.openxmlformats.org/officeDocument/2006/relationships/styles" Target="styles.xml"/><Relationship Id="rId16" Type="http://schemas.openxmlformats.org/officeDocument/2006/relationships/hyperlink" Target="https://doi.org/10.1080/09644010903576918" TargetMode="External"/><Relationship Id="rId20" Type="http://schemas.openxmlformats.org/officeDocument/2006/relationships/hyperlink" Target="https://www.tandfonline.com/toc/fenp20/19/2" TargetMode="External"/><Relationship Id="rId1" Type="http://schemas.openxmlformats.org/officeDocument/2006/relationships/numbering" Target="numbering.xml"/><Relationship Id="rId6" Type="http://schemas.openxmlformats.org/officeDocument/2006/relationships/hyperlink" Target="https://www.tandfonline.com/toc/fenp20/19/2" TargetMode="External"/><Relationship Id="rId11" Type="http://schemas.openxmlformats.org/officeDocument/2006/relationships/hyperlink" Target="https://www.tandfonline.com/toc/fenp20/19/2" TargetMode="External"/><Relationship Id="rId24" Type="http://schemas.openxmlformats.org/officeDocument/2006/relationships/hyperlink" Target="https://www.researchgate.net/publication/256019523_Issues_in_Climate_Change_Litigation" TargetMode="External"/><Relationship Id="rId5" Type="http://schemas.openxmlformats.org/officeDocument/2006/relationships/hyperlink" Target="https://www.tandfonline.com/toc/fenp20/current" TargetMode="External"/><Relationship Id="rId15" Type="http://schemas.openxmlformats.org/officeDocument/2006/relationships/hyperlink" Target="https://www.tandfonline.com/toc/fenp20/19/2" TargetMode="External"/><Relationship Id="rId23" Type="http://schemas.openxmlformats.org/officeDocument/2006/relationships/hyperlink" Target="https://www.researchgate.net/publication/256019523_Issues_in_Climate_Change_Litigation" TargetMode="External"/><Relationship Id="rId10" Type="http://schemas.openxmlformats.org/officeDocument/2006/relationships/hyperlink" Target="https://www.tandfonline.com/toc/fenp20/19/2" TargetMode="External"/><Relationship Id="rId19" Type="http://schemas.openxmlformats.org/officeDocument/2006/relationships/hyperlink" Target="https://www.tandfonline.com/toc/fenp20/current" TargetMode="External"/><Relationship Id="rId4" Type="http://schemas.openxmlformats.org/officeDocument/2006/relationships/webSettings" Target="webSettings.xml"/><Relationship Id="rId9" Type="http://schemas.openxmlformats.org/officeDocument/2006/relationships/hyperlink" Target="https://www.tandfonline.com/toc/fenp20/current" TargetMode="External"/><Relationship Id="rId14" Type="http://schemas.openxmlformats.org/officeDocument/2006/relationships/hyperlink" Target="https://www.tandfonline.com/toc/fenp20/19/2" TargetMode="External"/><Relationship Id="rId22" Type="http://schemas.openxmlformats.org/officeDocument/2006/relationships/hyperlink" Target="https://doi.org/10.1080/09644010903576918"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20</TotalTime>
  <Pages>119</Pages>
  <Words>45257</Words>
  <Characters>257967</Characters>
  <Application>Microsoft Office Word</Application>
  <DocSecurity>0</DocSecurity>
  <Lines>2149</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Stennis, Brendan '22</dc:creator>
  <cp:keywords/>
  <dc:description/>
  <cp:lastModifiedBy>Sarah Lundeen</cp:lastModifiedBy>
  <cp:revision>10</cp:revision>
  <dcterms:created xsi:type="dcterms:W3CDTF">2020-07-16T19:13:00Z</dcterms:created>
  <dcterms:modified xsi:type="dcterms:W3CDTF">2020-07-16T20:38:00Z</dcterms:modified>
</cp:coreProperties>
</file>