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7DAE2" w14:textId="7A0CEB31" w:rsidR="00CF166D" w:rsidRPr="00812815" w:rsidRDefault="00CF166D" w:rsidP="00630714">
      <w:pPr>
        <w:pStyle w:val="Heading3"/>
        <w:rPr>
          <w:rFonts w:ascii="Times New Roman" w:hAnsi="Times New Roman" w:cs="Times New Roman"/>
        </w:rPr>
      </w:pPr>
      <w:r w:rsidRPr="00812815">
        <w:rPr>
          <w:rFonts w:ascii="Times New Roman" w:hAnsi="Times New Roman" w:cs="Times New Roman"/>
        </w:rPr>
        <w:t>ABOLITIONISM FYI</w:t>
      </w:r>
    </w:p>
    <w:p w14:paraId="6DE20328" w14:textId="77777777" w:rsidR="00CF166D" w:rsidRPr="00812815" w:rsidRDefault="00CF166D" w:rsidP="00CF166D">
      <w:pPr>
        <w:rPr>
          <w:rFonts w:ascii="Times New Roman" w:hAnsi="Times New Roman" w:cs="Times New Roman"/>
        </w:rPr>
      </w:pPr>
    </w:p>
    <w:p w14:paraId="3B2EC00F" w14:textId="3B19EDF8" w:rsidR="00812815" w:rsidRPr="00812815" w:rsidRDefault="00CF166D" w:rsidP="00C213BC">
      <w:pPr>
        <w:ind w:left="720"/>
        <w:rPr>
          <w:rFonts w:ascii="Times New Roman" w:hAnsi="Times New Roman" w:cs="Times New Roman"/>
        </w:rPr>
      </w:pPr>
      <w:r w:rsidRPr="00812815">
        <w:rPr>
          <w:rFonts w:ascii="Times New Roman" w:hAnsi="Times New Roman" w:cs="Times New Roman"/>
        </w:rPr>
        <w:t xml:space="preserve">The abolitionism critique is a powerful argument on the criminal justice reform topic </w:t>
      </w:r>
      <w:r w:rsidR="00812815" w:rsidRPr="00812815">
        <w:rPr>
          <w:rFonts w:ascii="Times New Roman" w:hAnsi="Times New Roman" w:cs="Times New Roman"/>
        </w:rPr>
        <w:t xml:space="preserve">for three reasons; </w:t>
      </w:r>
    </w:p>
    <w:p w14:paraId="1706772C" w14:textId="5F6FE74F" w:rsidR="00812815" w:rsidRPr="00C213BC" w:rsidRDefault="00812815" w:rsidP="00C213BC">
      <w:pPr>
        <w:pStyle w:val="ListParagraph"/>
        <w:numPr>
          <w:ilvl w:val="0"/>
          <w:numId w:val="11"/>
        </w:numPr>
        <w:rPr>
          <w:rFonts w:ascii="Times New Roman" w:hAnsi="Times New Roman" w:cs="Times New Roman"/>
        </w:rPr>
      </w:pPr>
      <w:r w:rsidRPr="00C213BC">
        <w:rPr>
          <w:rFonts w:ascii="Times New Roman" w:hAnsi="Times New Roman" w:cs="Times New Roman"/>
        </w:rPr>
        <w:t xml:space="preserve">First, </w:t>
      </w:r>
      <w:r w:rsidR="00CF166D" w:rsidRPr="00C213BC">
        <w:rPr>
          <w:rFonts w:ascii="Times New Roman" w:hAnsi="Times New Roman" w:cs="Times New Roman"/>
        </w:rPr>
        <w:t xml:space="preserve">because it gets to the heart of the ‘reform’ question. (Arguably) the topic mandates every affirmative engage in a politics of reform that makes the criminal justice system function better. An overly simplistic explanation of the abolitionist position says that reforms </w:t>
      </w:r>
      <w:r w:rsidRPr="00C213BC">
        <w:rPr>
          <w:rFonts w:ascii="Times New Roman" w:hAnsi="Times New Roman" w:cs="Times New Roman"/>
        </w:rPr>
        <w:t>which only improve police or prison functioning always fail because the institutions of police and prisons were not created as race neutral institutions of public good. Instead, abolitionists trace the emergence of American policing to slave catcher patrols and colonial population management in places like the P</w:t>
      </w:r>
      <w:r w:rsidRPr="00C213BC">
        <w:rPr>
          <w:rFonts w:ascii="Times New Roman" w:hAnsi="Times New Roman" w:cs="Times New Roman"/>
        </w:rPr>
        <w:t>hilippines</w:t>
      </w:r>
      <w:r w:rsidRPr="00C213BC">
        <w:rPr>
          <w:rFonts w:ascii="Times New Roman" w:hAnsi="Times New Roman" w:cs="Times New Roman"/>
        </w:rPr>
        <w:t xml:space="preserve"> and Ireland. Because this question of ‘reform’ is so central to the topic, I anticipate the abolitionism critique to be a viable strategy against most policy and soft left affirmatives. </w:t>
      </w:r>
    </w:p>
    <w:p w14:paraId="413DDD5B" w14:textId="45BD5E88" w:rsidR="00CF166D" w:rsidRPr="00C213BC" w:rsidRDefault="00C213BC" w:rsidP="00C213BC">
      <w:pPr>
        <w:pStyle w:val="ListParagraph"/>
        <w:numPr>
          <w:ilvl w:val="0"/>
          <w:numId w:val="11"/>
        </w:numPr>
        <w:rPr>
          <w:rFonts w:ascii="Times New Roman" w:hAnsi="Times New Roman" w:cs="Times New Roman"/>
        </w:rPr>
      </w:pPr>
      <w:r w:rsidRPr="00C213BC">
        <w:rPr>
          <w:rFonts w:ascii="Times New Roman" w:hAnsi="Times New Roman" w:cs="Times New Roman"/>
        </w:rPr>
        <w:t>S</w:t>
      </w:r>
      <w:r w:rsidR="00812815" w:rsidRPr="00C213BC">
        <w:rPr>
          <w:rFonts w:ascii="Times New Roman" w:hAnsi="Times New Roman" w:cs="Times New Roman"/>
        </w:rPr>
        <w:t xml:space="preserve">econd, because the literature which supports it is incredibly strong and diverse. The abolitionism position seems most often associated with the work of folks like W.E.B. Dubois and Angela Davis (and her book “Are Prisons Obsolete?”) but it extends well beyond that to feminist, post-colonialist and anti-capitalist literature and a wide range of authors from current prisoners on death row to well to do lawyers and judges. </w:t>
      </w:r>
      <w:r w:rsidRPr="00C213BC">
        <w:rPr>
          <w:rFonts w:ascii="Times New Roman" w:hAnsi="Times New Roman" w:cs="Times New Roman"/>
        </w:rPr>
        <w:t xml:space="preserve">This literature is very detailed and is set up to reward debaters who master the various theories and historical examples associated with link, impact and alternative solvency claims. </w:t>
      </w:r>
      <w:r w:rsidR="00812815" w:rsidRPr="00C213BC">
        <w:rPr>
          <w:rFonts w:ascii="Times New Roman" w:hAnsi="Times New Roman" w:cs="Times New Roman"/>
        </w:rPr>
        <w:t xml:space="preserve"> </w:t>
      </w:r>
      <w:r w:rsidR="00CF166D" w:rsidRPr="00C213BC">
        <w:rPr>
          <w:rFonts w:ascii="Times New Roman" w:hAnsi="Times New Roman" w:cs="Times New Roman"/>
        </w:rPr>
        <w:t xml:space="preserve"> </w:t>
      </w:r>
    </w:p>
    <w:p w14:paraId="1499D84B" w14:textId="18CB6ADE" w:rsidR="00CF166D" w:rsidRPr="00C213BC" w:rsidRDefault="00C213BC" w:rsidP="00C213BC">
      <w:pPr>
        <w:pStyle w:val="ListParagraph"/>
        <w:numPr>
          <w:ilvl w:val="0"/>
          <w:numId w:val="11"/>
        </w:numPr>
        <w:rPr>
          <w:rFonts w:ascii="Times New Roman" w:hAnsi="Times New Roman" w:cs="Times New Roman"/>
        </w:rPr>
      </w:pPr>
      <w:r w:rsidRPr="00C213BC">
        <w:rPr>
          <w:rFonts w:ascii="Times New Roman" w:hAnsi="Times New Roman" w:cs="Times New Roman"/>
        </w:rPr>
        <w:t xml:space="preserve">Finally, because of </w:t>
      </w:r>
      <w:r>
        <w:rPr>
          <w:rFonts w:ascii="Times New Roman" w:hAnsi="Times New Roman" w:cs="Times New Roman"/>
        </w:rPr>
        <w:t xml:space="preserve">the diverse literature base that supports an abolitionist approach, it’s easy for me to imagine a wide range of potential 2nc/1nr link arguments ranging from Afro-pessimism to Agamben.  </w:t>
      </w:r>
    </w:p>
    <w:p w14:paraId="5CA7ACBD" w14:textId="77777777" w:rsidR="00CF166D" w:rsidRPr="00812815" w:rsidRDefault="00CF166D" w:rsidP="00CF166D"/>
    <w:p w14:paraId="2FC86567" w14:textId="62B27C4F" w:rsidR="001057A1" w:rsidRPr="00812815" w:rsidRDefault="001057A1" w:rsidP="00630714">
      <w:pPr>
        <w:pStyle w:val="Heading3"/>
        <w:rPr>
          <w:rFonts w:ascii="Times New Roman" w:hAnsi="Times New Roman" w:cs="Times New Roman"/>
        </w:rPr>
      </w:pPr>
      <w:r w:rsidRPr="00812815">
        <w:rPr>
          <w:rFonts w:ascii="Times New Roman" w:hAnsi="Times New Roman" w:cs="Times New Roman"/>
        </w:rPr>
        <w:lastRenderedPageBreak/>
        <w:t>1</w:t>
      </w:r>
      <w:r w:rsidR="00630714" w:rsidRPr="00812815">
        <w:rPr>
          <w:rFonts w:ascii="Times New Roman" w:hAnsi="Times New Roman" w:cs="Times New Roman"/>
        </w:rPr>
        <w:t>NC ABOLITIONISM K</w:t>
      </w:r>
    </w:p>
    <w:p w14:paraId="72CC96B6" w14:textId="77777777" w:rsidR="00CB6C3B" w:rsidRPr="00812815" w:rsidRDefault="00CB6C3B" w:rsidP="00CF166D">
      <w:pPr>
        <w:rPr>
          <w:rFonts w:ascii="Times New Roman" w:hAnsi="Times New Roman" w:cs="Times New Roman"/>
        </w:rPr>
      </w:pPr>
    </w:p>
    <w:p w14:paraId="48C86DAB" w14:textId="5C73D4AB" w:rsidR="0024052D" w:rsidRPr="00812815" w:rsidRDefault="00630714" w:rsidP="00630714">
      <w:pPr>
        <w:pStyle w:val="Heading4"/>
        <w:rPr>
          <w:rFonts w:ascii="Times New Roman" w:hAnsi="Times New Roman" w:cs="Times New Roman"/>
        </w:rPr>
      </w:pPr>
      <w:r w:rsidRPr="00812815">
        <w:rPr>
          <w:rFonts w:ascii="Times New Roman" w:hAnsi="Times New Roman" w:cs="Times New Roman"/>
        </w:rPr>
        <w:t xml:space="preserve">---The affirmatives politics of ‘administrative tinkering’ disguises the </w:t>
      </w:r>
      <w:r w:rsidRPr="00812815">
        <w:rPr>
          <w:rFonts w:ascii="Times New Roman" w:hAnsi="Times New Roman" w:cs="Times New Roman"/>
        </w:rPr>
        <w:t>carceral machinery</w:t>
      </w:r>
      <w:r w:rsidRPr="00812815">
        <w:rPr>
          <w:rFonts w:ascii="Times New Roman" w:hAnsi="Times New Roman" w:cs="Times New Roman"/>
        </w:rPr>
        <w:t xml:space="preserve"> responsible for rendering black and brown bodies to vulnerability to premature death. Only </w:t>
      </w:r>
      <w:r w:rsidR="00CF166D" w:rsidRPr="00812815">
        <w:rPr>
          <w:rFonts w:ascii="Times New Roman" w:hAnsi="Times New Roman" w:cs="Times New Roman"/>
        </w:rPr>
        <w:t xml:space="preserve">abolitionism </w:t>
      </w:r>
      <w:r w:rsidRPr="00812815">
        <w:rPr>
          <w:rFonts w:ascii="Times New Roman" w:hAnsi="Times New Roman" w:cs="Times New Roman"/>
        </w:rPr>
        <w:t xml:space="preserve">can facilitate </w:t>
      </w:r>
      <w:r w:rsidR="00CB6C3B" w:rsidRPr="00812815">
        <w:rPr>
          <w:rFonts w:ascii="Times New Roman" w:hAnsi="Times New Roman" w:cs="Times New Roman"/>
        </w:rPr>
        <w:t>the imagination of new social and psychic landscape</w:t>
      </w:r>
      <w:r w:rsidR="00CF166D" w:rsidRPr="00812815">
        <w:rPr>
          <w:rFonts w:ascii="Times New Roman" w:hAnsi="Times New Roman" w:cs="Times New Roman"/>
        </w:rPr>
        <w:t>s</w:t>
      </w:r>
      <w:r w:rsidR="00CB6C3B" w:rsidRPr="00812815">
        <w:rPr>
          <w:rFonts w:ascii="Times New Roman" w:hAnsi="Times New Roman" w:cs="Times New Roman"/>
        </w:rPr>
        <w:t xml:space="preserve">. </w:t>
      </w:r>
      <w:r w:rsidRPr="00812815">
        <w:rPr>
          <w:rFonts w:ascii="Times New Roman" w:hAnsi="Times New Roman" w:cs="Times New Roman"/>
        </w:rPr>
        <w:t xml:space="preserve">  </w:t>
      </w:r>
    </w:p>
    <w:p w14:paraId="78BCD186" w14:textId="346F95C1" w:rsidR="009678F9" w:rsidRPr="00812815" w:rsidRDefault="009678F9" w:rsidP="00B55AD5">
      <w:pPr>
        <w:rPr>
          <w:rStyle w:val="Style13ptBold"/>
          <w:rFonts w:ascii="Times New Roman" w:hAnsi="Times New Roman" w:cs="Times New Roman"/>
        </w:rPr>
      </w:pPr>
      <w:r w:rsidRPr="00812815">
        <w:rPr>
          <w:rStyle w:val="Style13ptBold"/>
          <w:rFonts w:ascii="Times New Roman" w:hAnsi="Times New Roman" w:cs="Times New Roman"/>
        </w:rPr>
        <w:t>Murakawa 2014</w:t>
      </w:r>
    </w:p>
    <w:p w14:paraId="37D0E707" w14:textId="6D192EFA" w:rsidR="009678F9" w:rsidRPr="00812815" w:rsidRDefault="009678F9" w:rsidP="00B55AD5">
      <w:pPr>
        <w:rPr>
          <w:rFonts w:ascii="Times New Roman" w:hAnsi="Times New Roman" w:cs="Times New Roman"/>
          <w:sz w:val="16"/>
          <w:szCs w:val="16"/>
        </w:rPr>
      </w:pPr>
      <w:r w:rsidRPr="00812815">
        <w:rPr>
          <w:rFonts w:ascii="Times New Roman" w:hAnsi="Times New Roman" w:cs="Times New Roman"/>
          <w:sz w:val="16"/>
          <w:szCs w:val="16"/>
        </w:rPr>
        <w:t xml:space="preserve">Naomi, American political scientist and associate professor of African-American studies at Princeton University, </w:t>
      </w:r>
      <w:r w:rsidRPr="00812815">
        <w:rPr>
          <w:rFonts w:ascii="Times New Roman" w:hAnsi="Times New Roman" w:cs="Times New Roman"/>
          <w:i/>
          <w:iCs/>
          <w:sz w:val="16"/>
          <w:szCs w:val="16"/>
        </w:rPr>
        <w:t>The First Civil Right: How Liberals Built Prison America</w:t>
      </w:r>
      <w:r w:rsidRPr="00812815">
        <w:rPr>
          <w:rFonts w:ascii="Times New Roman" w:hAnsi="Times New Roman" w:cs="Times New Roman"/>
          <w:sz w:val="16"/>
          <w:szCs w:val="16"/>
        </w:rPr>
        <w:t>, pg. 153-155</w:t>
      </w:r>
    </w:p>
    <w:p w14:paraId="56A18695" w14:textId="40E98E4A" w:rsidR="001057A1" w:rsidRPr="00812815" w:rsidRDefault="001057A1" w:rsidP="00B55AD5">
      <w:pPr>
        <w:rPr>
          <w:rFonts w:ascii="Times New Roman" w:hAnsi="Times New Roman" w:cs="Times New Roman"/>
          <w:sz w:val="20"/>
          <w:szCs w:val="20"/>
        </w:rPr>
      </w:pPr>
      <w:r w:rsidRPr="00812815">
        <w:rPr>
          <w:rFonts w:ascii="Times New Roman" w:hAnsi="Times New Roman" w:cs="Times New Roman"/>
          <w:sz w:val="20"/>
          <w:szCs w:val="20"/>
          <w:u w:val="single"/>
        </w:rPr>
        <w:t>The history of liberal law-and-order matters because the same proposals for better administration, proffered with the same good intentions, are likely to reproduce the same monstrous outcomes</w:t>
      </w:r>
      <w:r w:rsidRPr="00812815">
        <w:rPr>
          <w:rFonts w:ascii="Times New Roman" w:hAnsi="Times New Roman" w:cs="Times New Roman"/>
          <w:sz w:val="20"/>
          <w:szCs w:val="20"/>
        </w:rPr>
        <w:t xml:space="preserve"> in the twenty-first century. The problems of a normatively untethered liberal law-and-order regime are clear in the arc of liberal positions on judicial discretion. Mid-century liberals viewed discretion as dangerous individualized justice, tailored to each defendant from each judge’s moral cloth in all its idiosyncratic textures. Judicial discretion lurked in law’s “twilight zone,” dispensing what Judge Marvin Frankel called “law without order.” Liberal fear of discretion endured through the mid-1980s, when one could easily characterize the “mainstream liberal thought” as unambiguously opposed to discretionary administrative interpretation and implementation.15 With the rise of sentencing guidelines and mandatory minimums through the 1980s and 1990s, however, liberals called for more judicial discretion by praising that which they previously reprimanded—justice customized to each individual defendant.16</w:t>
      </w:r>
    </w:p>
    <w:p w14:paraId="5693FB91" w14:textId="6C79C882" w:rsidR="001057A1" w:rsidRPr="00812815" w:rsidRDefault="001057A1" w:rsidP="00B55AD5">
      <w:pPr>
        <w:rPr>
          <w:rFonts w:ascii="Times New Roman" w:hAnsi="Times New Roman" w:cs="Times New Roman"/>
          <w:sz w:val="20"/>
          <w:szCs w:val="20"/>
        </w:rPr>
      </w:pPr>
      <w:r w:rsidRPr="00812815">
        <w:rPr>
          <w:rFonts w:ascii="Times New Roman" w:hAnsi="Times New Roman" w:cs="Times New Roman"/>
          <w:sz w:val="20"/>
          <w:szCs w:val="20"/>
          <w:u w:val="single"/>
        </w:rPr>
        <w:t>As a project to control the irrationalities of racial bias and administrative discretion, liberal law-and-order ignored empirical lessons and displaced normative questions</w:t>
      </w:r>
      <w:r w:rsidRPr="00812815">
        <w:rPr>
          <w:rFonts w:ascii="Times New Roman" w:hAnsi="Times New Roman" w:cs="Times New Roman"/>
          <w:sz w:val="20"/>
          <w:szCs w:val="20"/>
        </w:rPr>
        <w:t xml:space="preserve">. Reformers invoked the promises and perils of “discretion” while ignoring the central findings of research. </w:t>
      </w:r>
      <w:r w:rsidRPr="00812815">
        <w:rPr>
          <w:rFonts w:ascii="Times New Roman" w:hAnsi="Times New Roman" w:cs="Times New Roman"/>
          <w:sz w:val="20"/>
          <w:szCs w:val="20"/>
          <w:u w:val="single"/>
        </w:rPr>
        <w:t>The American Bar Foundation’s 1957 survey and the myriad studies it inspired analyzed discretion within the “total criminal justice system.” As a system, carceral machinery is not easily corrected by small administrative adjustments: tighten discretion in one place, and the criminal justice system “accommodates,” to use the original language of the ABF studies, so that discretion simply becomes more important for a different decision maker</w:t>
      </w:r>
      <w:r w:rsidRPr="00812815">
        <w:rPr>
          <w:rFonts w:ascii="Times New Roman" w:hAnsi="Times New Roman" w:cs="Times New Roman"/>
          <w:sz w:val="20"/>
          <w:szCs w:val="20"/>
        </w:rPr>
        <w:t>.</w:t>
      </w:r>
    </w:p>
    <w:p w14:paraId="75AA9183" w14:textId="1C268C64" w:rsidR="001057A1" w:rsidRPr="00812815" w:rsidRDefault="001057A1" w:rsidP="00B55AD5">
      <w:pPr>
        <w:rPr>
          <w:rFonts w:ascii="Times New Roman" w:hAnsi="Times New Roman" w:cs="Times New Roman"/>
          <w:sz w:val="20"/>
          <w:szCs w:val="20"/>
        </w:rPr>
      </w:pPr>
      <w:r w:rsidRPr="00812815">
        <w:rPr>
          <w:rFonts w:ascii="Times New Roman" w:hAnsi="Times New Roman" w:cs="Times New Roman"/>
          <w:sz w:val="20"/>
          <w:szCs w:val="20"/>
        </w:rPr>
        <w:t>Accommodation is evident of sentencing guidelines and mandatory minimums, which diminished judicial discretion but effectively increased prosecutorial discretion.</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When situated with a total system approach, the “amount” of discretion</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has neither increased nor decreased, concludes Samuel Walker; it has simply</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moved from one agency to another.17</w:t>
      </w:r>
    </w:p>
    <w:p w14:paraId="02CF9CCB" w14:textId="22A9E9B9" w:rsidR="001057A1" w:rsidRPr="00812815" w:rsidRDefault="001057A1" w:rsidP="00B55AD5">
      <w:pPr>
        <w:rPr>
          <w:rFonts w:ascii="Times New Roman" w:hAnsi="Times New Roman" w:cs="Times New Roman"/>
          <w:sz w:val="20"/>
          <w:szCs w:val="20"/>
        </w:rPr>
      </w:pPr>
      <w:r w:rsidRPr="00812815">
        <w:rPr>
          <w:rFonts w:ascii="Times New Roman" w:hAnsi="Times New Roman" w:cs="Times New Roman"/>
          <w:b/>
          <w:bCs/>
          <w:sz w:val="20"/>
          <w:szCs w:val="20"/>
          <w:u w:val="single"/>
        </w:rPr>
        <w:t>Administrative tinkering does not confront the damning features of the</w:t>
      </w:r>
      <w:r w:rsidR="004D410D" w:rsidRPr="00812815">
        <w:rPr>
          <w:rFonts w:ascii="Times New Roman" w:hAnsi="Times New Roman" w:cs="Times New Roman"/>
          <w:b/>
          <w:bCs/>
          <w:sz w:val="20"/>
          <w:szCs w:val="20"/>
          <w:u w:val="single"/>
        </w:rPr>
        <w:t xml:space="preserve"> </w:t>
      </w:r>
      <w:r w:rsidRPr="00812815">
        <w:rPr>
          <w:rFonts w:ascii="Times New Roman" w:hAnsi="Times New Roman" w:cs="Times New Roman"/>
          <w:b/>
          <w:bCs/>
          <w:sz w:val="20"/>
          <w:szCs w:val="20"/>
          <w:u w:val="single"/>
        </w:rPr>
        <w:t>American carceral state</w:t>
      </w:r>
      <w:r w:rsidRPr="00812815">
        <w:rPr>
          <w:rFonts w:ascii="Times New Roman" w:hAnsi="Times New Roman" w:cs="Times New Roman"/>
          <w:sz w:val="20"/>
          <w:szCs w:val="20"/>
          <w:u w:val="single"/>
        </w:rPr>
        <w:t>, its scale and its racial concentration, which, when taken</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together reinforce and raise African American vulnerability to premature death</w:t>
      </w:r>
      <w:r w:rsidRPr="00812815">
        <w:rPr>
          <w:rFonts w:ascii="Times New Roman" w:hAnsi="Times New Roman" w:cs="Times New Roman"/>
          <w:sz w:val="20"/>
          <w:szCs w:val="20"/>
        </w:rPr>
        <w:t>.</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 xml:space="preserve">By focusing on the intra-system problems of “discretion,” </w:t>
      </w:r>
      <w:r w:rsidRPr="00812815">
        <w:rPr>
          <w:rFonts w:ascii="Times New Roman" w:hAnsi="Times New Roman" w:cs="Times New Roman"/>
          <w:sz w:val="20"/>
          <w:szCs w:val="20"/>
          <w:u w:val="single"/>
        </w:rPr>
        <w:t>lawmakers displaced</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questions of justice onto the more manageable, measurable issues of system</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function</w:t>
      </w:r>
      <w:r w:rsidRPr="00812815">
        <w:rPr>
          <w:rFonts w:ascii="Times New Roman" w:hAnsi="Times New Roman" w:cs="Times New Roman"/>
          <w:sz w:val="20"/>
          <w:szCs w:val="20"/>
        </w:rPr>
        <w:t xml:space="preserve">. </w:t>
      </w:r>
      <w:r w:rsidRPr="00812815">
        <w:rPr>
          <w:rFonts w:ascii="Times New Roman" w:hAnsi="Times New Roman" w:cs="Times New Roman"/>
          <w:sz w:val="20"/>
          <w:szCs w:val="20"/>
          <w:u w:val="single"/>
        </w:rPr>
        <w:t>When framed as a problem of</w:t>
      </w:r>
      <w:r w:rsidRPr="00812815">
        <w:rPr>
          <w:rFonts w:ascii="Times New Roman" w:hAnsi="Times New Roman" w:cs="Times New Roman"/>
          <w:sz w:val="20"/>
          <w:szCs w:val="20"/>
        </w:rPr>
        <w:t xml:space="preserve"> discretion—that is, </w:t>
      </w:r>
      <w:r w:rsidRPr="00812815">
        <w:rPr>
          <w:rFonts w:ascii="Times New Roman" w:hAnsi="Times New Roman" w:cs="Times New Roman"/>
          <w:sz w:val="20"/>
          <w:szCs w:val="20"/>
          <w:u w:val="single"/>
        </w:rPr>
        <w:t>individual decision</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making permissible by formal rules—then solutions to racial inequality double</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back to individual administrators and their institutional rules. In this sense,</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problematizing discretion forces questions of remediation onto sanitary administrative</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grounds. Should judges be elected or appointed? Should judges administer</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justice through sentencing guidelines? No guidelines and some mandatory</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minimums? No mandatory minimums and only mandatory maximums? Will</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judges or parole boards select the final release date?</w:t>
      </w:r>
      <w:r w:rsidRPr="00812815">
        <w:rPr>
          <w:rFonts w:ascii="Times New Roman" w:hAnsi="Times New Roman" w:cs="Times New Roman"/>
          <w:sz w:val="20"/>
          <w:szCs w:val="20"/>
        </w:rPr>
        <w:t xml:space="preserve"> These questions matter, but</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 xml:space="preserve">they cannot replace clear commitments to racial justice. </w:t>
      </w:r>
      <w:r w:rsidRPr="00812815">
        <w:rPr>
          <w:rFonts w:ascii="Times New Roman" w:hAnsi="Times New Roman" w:cs="Times New Roman"/>
          <w:sz w:val="20"/>
          <w:szCs w:val="20"/>
          <w:u w:val="single"/>
        </w:rPr>
        <w:t>When they are posed</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independently of normative goals, process becomes the proxy, not the path, to</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justice</w:t>
      </w:r>
      <w:r w:rsidRPr="00812815">
        <w:rPr>
          <w:rFonts w:ascii="Times New Roman" w:hAnsi="Times New Roman" w:cs="Times New Roman"/>
          <w:sz w:val="20"/>
          <w:szCs w:val="20"/>
        </w:rPr>
        <w:t xml:space="preserve">. </w:t>
      </w:r>
      <w:r w:rsidRPr="00812815">
        <w:rPr>
          <w:rFonts w:ascii="Times New Roman" w:hAnsi="Times New Roman" w:cs="Times New Roman"/>
          <w:sz w:val="20"/>
          <w:szCs w:val="20"/>
          <w:u w:val="single"/>
        </w:rPr>
        <w:t>Without a normatively grounded understanding of racial violence, liberal</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reforms will do the administrative shuffle</w:t>
      </w:r>
      <w:r w:rsidRPr="00812815">
        <w:rPr>
          <w:rFonts w:ascii="Times New Roman" w:hAnsi="Times New Roman" w:cs="Times New Roman"/>
          <w:sz w:val="20"/>
          <w:szCs w:val="20"/>
        </w:rPr>
        <w:t>.</w:t>
      </w:r>
    </w:p>
    <w:p w14:paraId="6A71A0E8" w14:textId="77777777" w:rsidR="004D410D" w:rsidRPr="00812815" w:rsidRDefault="001057A1" w:rsidP="00B55AD5">
      <w:pPr>
        <w:rPr>
          <w:rFonts w:ascii="Times New Roman" w:hAnsi="Times New Roman" w:cs="Times New Roman"/>
          <w:sz w:val="20"/>
          <w:szCs w:val="20"/>
        </w:rPr>
      </w:pPr>
      <w:r w:rsidRPr="00812815">
        <w:rPr>
          <w:rFonts w:ascii="Times New Roman" w:hAnsi="Times New Roman" w:cs="Times New Roman"/>
          <w:sz w:val="20"/>
          <w:szCs w:val="20"/>
        </w:rPr>
        <w:t>This book traced a stark half-century turn from confronting white racial violence</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administered and enabled by carceral apparatuses, to controlling black</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criminality through a procedurally fortified, race-neutral system. Race liberals</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institutionalized the “right to safety” while skirting its animating call against</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 xml:space="preserve">state-sanctioned white violence. </w:t>
      </w:r>
      <w:r w:rsidRPr="00812815">
        <w:rPr>
          <w:rFonts w:ascii="Times New Roman" w:hAnsi="Times New Roman" w:cs="Times New Roman"/>
          <w:sz w:val="20"/>
          <w:szCs w:val="20"/>
          <w:u w:val="single"/>
        </w:rPr>
        <w:t>Fixation on administrative minutiae distracted</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from the normative core of punishment in a system of persistent racial hierarchy.</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Unlike administrative tinkering, reforms for decriminalization and decarceration</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would push debates to their normative core: what warrants punishment, in</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what form, and why?</w:t>
      </w:r>
      <w:r w:rsidRPr="00812815">
        <w:rPr>
          <w:rFonts w:ascii="Times New Roman" w:hAnsi="Times New Roman" w:cs="Times New Roman"/>
          <w:sz w:val="20"/>
          <w:szCs w:val="20"/>
        </w:rPr>
        <w:t>18 In place of liberal searches for the ideal procedural path</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to life incarceration, metrics of racial justice should focus on what Ruth Wilson</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u w:val="single"/>
        </w:rPr>
        <w:t>Gilmore calls “the state-sanctioned or extralegal production and exploitation</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of group-differentiated vulnerability to premature death.”19 Seeing racism as</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“group-differentiated vulnerabilities to premature death” gives proper context to</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acts of violence between individuals. If we situate private violence in relation to</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group-differentiated reality, we begin to see the tight weave of state and private</w:t>
      </w:r>
      <w:r w:rsidR="004D410D" w:rsidRPr="00812815">
        <w:rPr>
          <w:rFonts w:ascii="Times New Roman" w:hAnsi="Times New Roman" w:cs="Times New Roman"/>
          <w:sz w:val="20"/>
          <w:szCs w:val="20"/>
          <w:u w:val="single"/>
        </w:rPr>
        <w:t xml:space="preserve"> </w:t>
      </w:r>
      <w:r w:rsidRPr="00812815">
        <w:rPr>
          <w:rFonts w:ascii="Times New Roman" w:hAnsi="Times New Roman" w:cs="Times New Roman"/>
          <w:sz w:val="20"/>
          <w:szCs w:val="20"/>
          <w:u w:val="single"/>
        </w:rPr>
        <w:t>racial violence</w:t>
      </w:r>
      <w:r w:rsidRPr="00812815">
        <w:rPr>
          <w:rFonts w:ascii="Times New Roman" w:hAnsi="Times New Roman" w:cs="Times New Roman"/>
          <w:sz w:val="20"/>
          <w:szCs w:val="20"/>
        </w:rPr>
        <w:t>. An example often mobilized to repressive ends is the fact that</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 xml:space="preserve">most crimes occur within rather than between racial groups, such that </w:t>
      </w:r>
      <w:r w:rsidRPr="00812815">
        <w:rPr>
          <w:rFonts w:ascii="Times New Roman" w:hAnsi="Times New Roman" w:cs="Times New Roman"/>
          <w:sz w:val="20"/>
          <w:szCs w:val="20"/>
        </w:rPr>
        <w:lastRenderedPageBreak/>
        <w:t>African</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Americans, Latinos, and Native Americans confront high incarceration rates and</w:t>
      </w:r>
      <w:r w:rsidR="004D410D" w:rsidRPr="00812815">
        <w:rPr>
          <w:rFonts w:ascii="Times New Roman" w:hAnsi="Times New Roman" w:cs="Times New Roman"/>
          <w:sz w:val="20"/>
          <w:szCs w:val="20"/>
        </w:rPr>
        <w:t xml:space="preserve"> </w:t>
      </w:r>
      <w:r w:rsidRPr="00812815">
        <w:rPr>
          <w:rFonts w:ascii="Times New Roman" w:hAnsi="Times New Roman" w:cs="Times New Roman"/>
          <w:sz w:val="20"/>
          <w:szCs w:val="20"/>
        </w:rPr>
        <w:t>high victimization rates. This is the complex story of the U.S. racial state, where</w:t>
      </w:r>
      <w:r w:rsidR="004D410D" w:rsidRPr="00812815">
        <w:rPr>
          <w:rFonts w:ascii="Times New Roman" w:hAnsi="Times New Roman" w:cs="Times New Roman"/>
          <w:sz w:val="20"/>
          <w:szCs w:val="20"/>
        </w:rPr>
        <w:t xml:space="preserve"> normal institutional and ideological processes perpetuate the multigenerational</w:t>
      </w:r>
    </w:p>
    <w:p w14:paraId="6FE659B8" w14:textId="471A6677" w:rsidR="004D410D" w:rsidRPr="00812815" w:rsidRDefault="004D410D" w:rsidP="00B55AD5">
      <w:pPr>
        <w:rPr>
          <w:rFonts w:ascii="Times New Roman" w:hAnsi="Times New Roman" w:cs="Times New Roman"/>
          <w:sz w:val="20"/>
          <w:szCs w:val="20"/>
        </w:rPr>
      </w:pPr>
      <w:r w:rsidRPr="00812815">
        <w:rPr>
          <w:rFonts w:ascii="Times New Roman" w:hAnsi="Times New Roman" w:cs="Times New Roman"/>
          <w:sz w:val="20"/>
          <w:szCs w:val="20"/>
        </w:rPr>
        <w:t>transmission of accumulated advantage and accumulated disadvantage.20 Accumulated advantage imparts a presumption of innocence; inherited wealth enables home ownership in class-segregated areas (i.e., “a safe neighborhood”) and medical insurance for diagnosis of conditions and coverage of various prescriptions such as Ritalin (i.e., more effective forms of meth). In contrast, accumulated disadvantage imparts a presumption of guilt.</w:t>
      </w:r>
    </w:p>
    <w:p w14:paraId="78581070" w14:textId="1BD44D49" w:rsidR="001057A1" w:rsidRPr="00812815" w:rsidRDefault="004D410D" w:rsidP="00B55AD5">
      <w:pPr>
        <w:rPr>
          <w:rFonts w:ascii="Times New Roman" w:hAnsi="Times New Roman" w:cs="Times New Roman"/>
          <w:sz w:val="20"/>
          <w:szCs w:val="20"/>
        </w:rPr>
      </w:pPr>
      <w:r w:rsidRPr="00812815">
        <w:rPr>
          <w:rFonts w:ascii="Times New Roman" w:hAnsi="Times New Roman" w:cs="Times New Roman"/>
          <w:sz w:val="20"/>
          <w:szCs w:val="20"/>
          <w:u w:val="single"/>
        </w:rPr>
        <w:t>Seeing racism as the state-sanctioned reproduction of race-differentiated vulnerability to premature death, then, forces us to evaluate the carceral state as adjudicator and perpetrator of racial violence</w:t>
      </w:r>
      <w:r w:rsidRPr="00812815">
        <w:rPr>
          <w:rFonts w:ascii="Times New Roman" w:hAnsi="Times New Roman" w:cs="Times New Roman"/>
          <w:sz w:val="20"/>
          <w:szCs w:val="20"/>
        </w:rPr>
        <w:t xml:space="preserve">. </w:t>
      </w:r>
      <w:r w:rsidRPr="00812815">
        <w:rPr>
          <w:rFonts w:ascii="Times New Roman" w:hAnsi="Times New Roman" w:cs="Times New Roman"/>
          <w:sz w:val="20"/>
          <w:szCs w:val="20"/>
          <w:u w:val="single"/>
        </w:rPr>
        <w:t>From this perspective, we might follow Angela Davis’s call to reimagine the institutional landscape of punishment without “looking for prisonlike substitutes for the prison, such as house arrest safeguarded by electronic surveillance bracelets.” Instead, reformers might envision a continuum of alternatives to imprisonment—demilitarization of schools, revitalization of education at all levels, a health system that provides free physical and mental care to all, and a justice system based on reparation and reconciliation</w:t>
      </w:r>
      <w:r w:rsidRPr="00812815">
        <w:rPr>
          <w:rFonts w:ascii="Times New Roman" w:hAnsi="Times New Roman" w:cs="Times New Roman"/>
          <w:sz w:val="20"/>
          <w:szCs w:val="20"/>
        </w:rPr>
        <w:t>. As a result, “the creation of new institutions that lay claim to the space now occupied by prison can eventually start to crowd out the prison so that it would inhabit increasingly smaller areas of our social and psychic landscape.”21</w:t>
      </w:r>
    </w:p>
    <w:p w14:paraId="5BAEB5C1" w14:textId="3EC9A3AC" w:rsidR="004D410D" w:rsidRPr="00812815" w:rsidRDefault="004D410D" w:rsidP="00B55AD5">
      <w:pPr>
        <w:rPr>
          <w:rFonts w:ascii="Times New Roman" w:hAnsi="Times New Roman" w:cs="Times New Roman"/>
        </w:rPr>
      </w:pPr>
    </w:p>
    <w:p w14:paraId="5898C663" w14:textId="2A174FDB" w:rsidR="006F087A" w:rsidRPr="00812815" w:rsidRDefault="00630714" w:rsidP="00CB6C3B">
      <w:pPr>
        <w:pStyle w:val="Heading4"/>
        <w:rPr>
          <w:rFonts w:ascii="Times New Roman" w:hAnsi="Times New Roman" w:cs="Times New Roman"/>
        </w:rPr>
      </w:pPr>
      <w:r w:rsidRPr="00812815">
        <w:rPr>
          <w:rFonts w:ascii="Times New Roman" w:hAnsi="Times New Roman" w:cs="Times New Roman"/>
        </w:rPr>
        <w:t>---</w:t>
      </w:r>
      <w:r w:rsidR="00CB6C3B" w:rsidRPr="00812815">
        <w:rPr>
          <w:rFonts w:ascii="Times New Roman" w:hAnsi="Times New Roman" w:cs="Times New Roman"/>
        </w:rPr>
        <w:t xml:space="preserve">The impact is an ongoing regime of genocidal terror—The state of criminal justice is constituted by necropolitics, that is sovereign management of bodies condemned to social death. This system cannot be separated from the institutions of slavery and colonialism from which it originates. </w:t>
      </w:r>
    </w:p>
    <w:p w14:paraId="289168C1" w14:textId="4E01FBDB" w:rsidR="006F087A" w:rsidRPr="00812815" w:rsidRDefault="006F087A" w:rsidP="00B55AD5">
      <w:pPr>
        <w:rPr>
          <w:rStyle w:val="Style13ptBold"/>
          <w:rFonts w:ascii="Times New Roman" w:hAnsi="Times New Roman" w:cs="Times New Roman"/>
        </w:rPr>
      </w:pPr>
      <w:r w:rsidRPr="00812815">
        <w:rPr>
          <w:rStyle w:val="Style13ptBold"/>
          <w:rFonts w:ascii="Times New Roman" w:hAnsi="Times New Roman" w:cs="Times New Roman"/>
        </w:rPr>
        <w:t>KatherineKellyAbraham 2018</w:t>
      </w:r>
    </w:p>
    <w:p w14:paraId="3D27DB99" w14:textId="7640B316" w:rsidR="006F087A" w:rsidRPr="00812815" w:rsidRDefault="006F087A" w:rsidP="00B55AD5">
      <w:pPr>
        <w:rPr>
          <w:rFonts w:ascii="Times New Roman" w:hAnsi="Times New Roman" w:cs="Times New Roman"/>
          <w:sz w:val="16"/>
          <w:szCs w:val="16"/>
        </w:rPr>
      </w:pPr>
      <w:r w:rsidRPr="00812815">
        <w:rPr>
          <w:rFonts w:ascii="Times New Roman" w:hAnsi="Times New Roman" w:cs="Times New Roman"/>
          <w:sz w:val="16"/>
          <w:szCs w:val="16"/>
        </w:rPr>
        <w:t>The authors use a collective name of KatherineKellyAbraham. The listing of the names does not reflect a hierarchical order of any sort, and their names can be shifted around. They like the idea of playing with citation practices, Burn it Down: Abolition, Insurgent Political Praxis, and the Destruction of Decency, April 22, https://abolitionjournal.org/burn-it-down/</w:t>
      </w:r>
    </w:p>
    <w:p w14:paraId="362CF288" w14:textId="459A1410" w:rsidR="006F087A" w:rsidRPr="00812815" w:rsidRDefault="006F087A" w:rsidP="00B55AD5">
      <w:pPr>
        <w:rPr>
          <w:rFonts w:ascii="Times New Roman" w:hAnsi="Times New Roman" w:cs="Times New Roman"/>
          <w:sz w:val="20"/>
          <w:szCs w:val="20"/>
        </w:rPr>
      </w:pPr>
      <w:r w:rsidRPr="00812815">
        <w:rPr>
          <w:rFonts w:ascii="Times New Roman" w:hAnsi="Times New Roman" w:cs="Times New Roman"/>
          <w:sz w:val="20"/>
          <w:szCs w:val="20"/>
          <w:u w:val="single"/>
        </w:rPr>
        <w:t>A historical exploration of state-sanctioned terror, genocide, and violence is central</w:t>
      </w:r>
      <w:r w:rsidRPr="00812815">
        <w:rPr>
          <w:rFonts w:ascii="Times New Roman" w:hAnsi="Times New Roman" w:cs="Times New Roman"/>
          <w:sz w:val="20"/>
          <w:szCs w:val="20"/>
        </w:rPr>
        <w:t xml:space="preserve"> to this argument. </w:t>
      </w:r>
      <w:r w:rsidRPr="00812815">
        <w:rPr>
          <w:rFonts w:ascii="Times New Roman" w:hAnsi="Times New Roman" w:cs="Times New Roman"/>
          <w:sz w:val="20"/>
          <w:szCs w:val="20"/>
          <w:u w:val="single"/>
        </w:rPr>
        <w:t>Mbembe points to slavery as a clear instance of “biopolitical experimentation,” describing enslaved subjects as experiencing a triple loss that creates a shadow subject: “loss of a ‘home,’ loss of rights over his or her body, and loss of political status”</w:t>
      </w:r>
      <w:r w:rsidRPr="00812815">
        <w:rPr>
          <w:rFonts w:ascii="Times New Roman" w:hAnsi="Times New Roman" w:cs="Times New Roman"/>
          <w:sz w:val="20"/>
          <w:szCs w:val="20"/>
        </w:rPr>
        <w:t xml:space="preserve"> (Mbembe 2003, 19), </w:t>
      </w:r>
      <w:r w:rsidRPr="00812815">
        <w:rPr>
          <w:rFonts w:ascii="Times New Roman" w:hAnsi="Times New Roman" w:cs="Times New Roman"/>
          <w:sz w:val="20"/>
          <w:szCs w:val="20"/>
          <w:u w:val="single"/>
        </w:rPr>
        <w:t>resulting in inevitable social death</w:t>
      </w:r>
      <w:r w:rsidRPr="00812815">
        <w:rPr>
          <w:rFonts w:ascii="Times New Roman" w:hAnsi="Times New Roman" w:cs="Times New Roman"/>
          <w:sz w:val="20"/>
          <w:szCs w:val="20"/>
        </w:rPr>
        <w:t xml:space="preserve">. Paradoxically, the slave was needed for labor, thus placing them within a liminal and animal-like category: alive, but not so in a “human” sense. </w:t>
      </w:r>
      <w:r w:rsidRPr="00812815">
        <w:rPr>
          <w:rFonts w:ascii="Times New Roman" w:hAnsi="Times New Roman" w:cs="Times New Roman"/>
          <w:sz w:val="20"/>
          <w:szCs w:val="20"/>
          <w:u w:val="single"/>
        </w:rPr>
        <w:t>By relegating slaves to this subhuman, animal, or savage state, some of the enduring techniques of modern biological and political management were established and created</w:t>
      </w:r>
      <w:r w:rsidRPr="00812815">
        <w:rPr>
          <w:rFonts w:ascii="Times New Roman" w:hAnsi="Times New Roman" w:cs="Times New Roman"/>
          <w:sz w:val="20"/>
          <w:szCs w:val="20"/>
        </w:rPr>
        <w:t>.</w:t>
      </w:r>
    </w:p>
    <w:p w14:paraId="21D48E76" w14:textId="77777777" w:rsidR="006F087A" w:rsidRPr="00812815" w:rsidRDefault="006F087A" w:rsidP="00B55AD5">
      <w:pPr>
        <w:rPr>
          <w:rFonts w:ascii="Times New Roman" w:hAnsi="Times New Roman" w:cs="Times New Roman"/>
          <w:sz w:val="20"/>
          <w:szCs w:val="20"/>
        </w:rPr>
      </w:pPr>
      <w:r w:rsidRPr="00812815">
        <w:rPr>
          <w:rFonts w:ascii="Times New Roman" w:hAnsi="Times New Roman" w:cs="Times New Roman"/>
          <w:sz w:val="20"/>
          <w:szCs w:val="20"/>
          <w:u w:val="single"/>
        </w:rPr>
        <w:t>Despite the supposedly colorblind U.S. criminal justice system</w:t>
      </w:r>
      <w:r w:rsidRPr="00812815">
        <w:rPr>
          <w:rFonts w:ascii="Times New Roman" w:hAnsi="Times New Roman" w:cs="Times New Roman"/>
          <w:sz w:val="20"/>
          <w:szCs w:val="20"/>
        </w:rPr>
        <w:t xml:space="preserve">, dedicated to supposedly ensuring civility or decency on the national front, </w:t>
      </w:r>
      <w:r w:rsidRPr="00812815">
        <w:rPr>
          <w:rFonts w:ascii="Times New Roman" w:hAnsi="Times New Roman" w:cs="Times New Roman"/>
          <w:sz w:val="20"/>
          <w:szCs w:val="20"/>
          <w:u w:val="single"/>
        </w:rPr>
        <w:t>formulations of “criminality” and “terrorism” continue to be decided along fault lines of race, one’s proximity to blackness and animality</w:t>
      </w:r>
      <w:r w:rsidRPr="00812815">
        <w:rPr>
          <w:rFonts w:ascii="Times New Roman" w:hAnsi="Times New Roman" w:cs="Times New Roman"/>
          <w:sz w:val="20"/>
          <w:szCs w:val="20"/>
        </w:rPr>
        <w:t xml:space="preserve">. </w:t>
      </w:r>
      <w:r w:rsidRPr="00812815">
        <w:rPr>
          <w:rFonts w:ascii="Times New Roman" w:hAnsi="Times New Roman" w:cs="Times New Roman"/>
          <w:sz w:val="20"/>
          <w:szCs w:val="20"/>
          <w:u w:val="single"/>
        </w:rPr>
        <w:t>Entire categories of people must continually prove their innocence, allegiances, and humanity, their “desire” to be saved by the good graces of whiteness, so that they will not be made to die</w:t>
      </w:r>
      <w:r w:rsidRPr="00812815">
        <w:rPr>
          <w:rFonts w:ascii="Times New Roman" w:hAnsi="Times New Roman" w:cs="Times New Roman"/>
          <w:sz w:val="20"/>
          <w:szCs w:val="20"/>
        </w:rPr>
        <w:t xml:space="preserve">. Particularly in the instance of terrorism, </w:t>
      </w:r>
      <w:r w:rsidRPr="00812815">
        <w:rPr>
          <w:rFonts w:ascii="Times New Roman" w:hAnsi="Times New Roman" w:cs="Times New Roman"/>
          <w:sz w:val="20"/>
          <w:szCs w:val="20"/>
          <w:u w:val="single"/>
        </w:rPr>
        <w:t>entire nations are called into question for their “savagery,” existing always as a threat originating outside the United States. Thus, “the sovereign right to kill is not subject to any rule in the colonies. In the colonies, the sovereign might kill at any time or in any manner. Colonial warfare is not subject to legal and institutional rules</w:t>
      </w:r>
      <w:r w:rsidRPr="00812815">
        <w:rPr>
          <w:rFonts w:ascii="Times New Roman" w:hAnsi="Times New Roman" w:cs="Times New Roman"/>
          <w:sz w:val="20"/>
          <w:szCs w:val="20"/>
        </w:rPr>
        <w:t xml:space="preserve">” (Mbembe 2003, 25). </w:t>
      </w:r>
      <w:r w:rsidRPr="00812815">
        <w:rPr>
          <w:rFonts w:ascii="Times New Roman" w:hAnsi="Times New Roman" w:cs="Times New Roman"/>
          <w:sz w:val="20"/>
          <w:szCs w:val="20"/>
          <w:u w:val="single"/>
        </w:rPr>
        <w:t>Locations of apartheid, occupations, war, and the logics of</w:t>
      </w:r>
      <w:r w:rsidRPr="00812815">
        <w:rPr>
          <w:rFonts w:ascii="Times New Roman" w:hAnsi="Times New Roman" w:cs="Times New Roman"/>
          <w:sz w:val="20"/>
          <w:szCs w:val="20"/>
        </w:rPr>
        <w:t xml:space="preserve"> martyrdom and </w:t>
      </w:r>
      <w:r w:rsidRPr="00812815">
        <w:rPr>
          <w:rFonts w:ascii="Times New Roman" w:hAnsi="Times New Roman" w:cs="Times New Roman"/>
          <w:sz w:val="20"/>
          <w:szCs w:val="20"/>
          <w:u w:val="single"/>
        </w:rPr>
        <w:t>survival, all demonstrate acute examples of sovereignty, terror, and necropower insofar as they make salient processes of control and disposability: processes rooted, within the context of the U.S., in the very acts of genocide and slavery which make the politics of decency intelligible and possible</w:t>
      </w:r>
      <w:r w:rsidRPr="00812815">
        <w:rPr>
          <w:rFonts w:ascii="Times New Roman" w:hAnsi="Times New Roman" w:cs="Times New Roman"/>
          <w:sz w:val="20"/>
          <w:szCs w:val="20"/>
        </w:rPr>
        <w:t>.</w:t>
      </w:r>
    </w:p>
    <w:p w14:paraId="6BC9FBB1" w14:textId="3175F66E" w:rsidR="006F087A" w:rsidRPr="00812815" w:rsidRDefault="006F087A" w:rsidP="00B55AD5">
      <w:pPr>
        <w:rPr>
          <w:rFonts w:ascii="Times New Roman" w:hAnsi="Times New Roman" w:cs="Times New Roman"/>
        </w:rPr>
      </w:pPr>
    </w:p>
    <w:p w14:paraId="1F9847BB" w14:textId="76C7BB7E" w:rsidR="00CF166D" w:rsidRPr="00812815" w:rsidRDefault="00CF166D" w:rsidP="00CF166D">
      <w:pPr>
        <w:rPr>
          <w:rStyle w:val="Style13ptBold"/>
          <w:rFonts w:ascii="Times New Roman" w:hAnsi="Times New Roman" w:cs="Times New Roman"/>
        </w:rPr>
      </w:pPr>
      <w:r w:rsidRPr="00812815">
        <w:rPr>
          <w:rStyle w:val="Style13ptBold"/>
          <w:rFonts w:ascii="Times New Roman" w:hAnsi="Times New Roman" w:cs="Times New Roman"/>
        </w:rPr>
        <w:t xml:space="preserve">---The alternative is to reject affirmatives liberal reform in favor of radical abolition. Only an uncompromising position that resists the legitimacy of these institutions can produce new worlds. </w:t>
      </w:r>
    </w:p>
    <w:p w14:paraId="157B9E00" w14:textId="0D08A46B" w:rsidR="0024052D" w:rsidRPr="00812815" w:rsidRDefault="00CB6C3B" w:rsidP="00B55AD5">
      <w:pPr>
        <w:rPr>
          <w:rStyle w:val="Style13ptBold"/>
          <w:rFonts w:ascii="Times New Roman" w:hAnsi="Times New Roman" w:cs="Times New Roman"/>
        </w:rPr>
      </w:pPr>
      <w:r w:rsidRPr="00812815">
        <w:rPr>
          <w:rStyle w:val="Style13ptBold"/>
          <w:rFonts w:ascii="Times New Roman" w:hAnsi="Times New Roman" w:cs="Times New Roman"/>
        </w:rPr>
        <w:t>McDowell &amp; Fernandez 2018</w:t>
      </w:r>
    </w:p>
    <w:p w14:paraId="24A70E9E" w14:textId="55112015" w:rsidR="00CB6C3B" w:rsidRPr="00812815" w:rsidRDefault="00CB6C3B" w:rsidP="00B55AD5">
      <w:pPr>
        <w:rPr>
          <w:rFonts w:ascii="Times New Roman" w:hAnsi="Times New Roman" w:cs="Times New Roman"/>
          <w:sz w:val="16"/>
          <w:szCs w:val="16"/>
        </w:rPr>
      </w:pPr>
      <w:r w:rsidRPr="00812815">
        <w:rPr>
          <w:rFonts w:ascii="Times New Roman" w:hAnsi="Times New Roman" w:cs="Times New Roman"/>
          <w:sz w:val="16"/>
          <w:szCs w:val="16"/>
        </w:rPr>
        <w:t>Meghan G., Assistant Professor of History, Politics and Social Justice at Winston Salem State University, Luis A., Department of Criminology and Criminal Justice, Northern Arizona University</w:t>
      </w:r>
      <w:r w:rsidR="00CF166D" w:rsidRPr="00812815">
        <w:rPr>
          <w:rFonts w:ascii="Times New Roman" w:hAnsi="Times New Roman" w:cs="Times New Roman"/>
          <w:sz w:val="16"/>
          <w:szCs w:val="16"/>
        </w:rPr>
        <w:t>,</w:t>
      </w:r>
      <w:r w:rsidRPr="00812815">
        <w:rPr>
          <w:rFonts w:ascii="Times New Roman" w:hAnsi="Times New Roman" w:cs="Times New Roman"/>
          <w:sz w:val="16"/>
          <w:szCs w:val="16"/>
        </w:rPr>
        <w:t xml:space="preserve"> ‘Disband, Disempower, and Disarm’: Amplifying the Theory</w:t>
      </w:r>
      <w:r w:rsidR="00CF166D" w:rsidRPr="00812815">
        <w:rPr>
          <w:rFonts w:ascii="Times New Roman" w:hAnsi="Times New Roman" w:cs="Times New Roman"/>
          <w:sz w:val="16"/>
          <w:szCs w:val="16"/>
        </w:rPr>
        <w:t xml:space="preserve"> </w:t>
      </w:r>
      <w:r w:rsidRPr="00812815">
        <w:rPr>
          <w:rFonts w:ascii="Times New Roman" w:hAnsi="Times New Roman" w:cs="Times New Roman"/>
          <w:sz w:val="16"/>
          <w:szCs w:val="16"/>
        </w:rPr>
        <w:t xml:space="preserve">and Practice of Police Abolition, </w:t>
      </w:r>
      <w:r w:rsidR="00CF166D" w:rsidRPr="00812815">
        <w:rPr>
          <w:rFonts w:ascii="Times New Roman" w:hAnsi="Times New Roman" w:cs="Times New Roman"/>
          <w:sz w:val="16"/>
          <w:szCs w:val="16"/>
        </w:rPr>
        <w:t>Critical Criminology, Springer</w:t>
      </w:r>
    </w:p>
    <w:p w14:paraId="4CF07397" w14:textId="0C03AF31" w:rsidR="0024052D" w:rsidRPr="00812815" w:rsidRDefault="0024052D" w:rsidP="00B55AD5">
      <w:pPr>
        <w:rPr>
          <w:rFonts w:ascii="Times New Roman" w:hAnsi="Times New Roman" w:cs="Times New Roman"/>
          <w:sz w:val="20"/>
          <w:szCs w:val="20"/>
        </w:rPr>
      </w:pPr>
      <w:r w:rsidRPr="00812815">
        <w:rPr>
          <w:rFonts w:ascii="Times New Roman" w:hAnsi="Times New Roman" w:cs="Times New Roman"/>
          <w:sz w:val="20"/>
          <w:szCs w:val="20"/>
        </w:rPr>
        <w:t xml:space="preserve">In this article, we have argued that </w:t>
      </w:r>
      <w:r w:rsidRPr="00812815">
        <w:rPr>
          <w:rFonts w:ascii="Times New Roman" w:hAnsi="Times New Roman" w:cs="Times New Roman"/>
          <w:sz w:val="20"/>
          <w:szCs w:val="20"/>
          <w:u w:val="single"/>
        </w:rPr>
        <w:t>a practice of radical abolition offers the most enduring lesson and greatest promise for people organizing to eliminate policing in the present moment</w:t>
      </w:r>
      <w:r w:rsidRPr="00812815">
        <w:rPr>
          <w:rFonts w:ascii="Times New Roman" w:hAnsi="Times New Roman" w:cs="Times New Roman"/>
          <w:sz w:val="20"/>
          <w:szCs w:val="20"/>
        </w:rPr>
        <w:t xml:space="preserve">. To reiterate, </w:t>
      </w:r>
      <w:r w:rsidRPr="00812815">
        <w:rPr>
          <w:rFonts w:ascii="Times New Roman" w:hAnsi="Times New Roman" w:cs="Times New Roman"/>
          <w:sz w:val="20"/>
          <w:szCs w:val="20"/>
          <w:u w:val="single"/>
        </w:rPr>
        <w:t xml:space="preserve">this promise stands on: (1) aiming directly at the police as an institution; (2) dismantling the racial-capitalist order; (3) adopting </w:t>
      </w:r>
      <w:r w:rsidRPr="00812815">
        <w:rPr>
          <w:rFonts w:ascii="Times New Roman" w:hAnsi="Times New Roman" w:cs="Times New Roman"/>
          <w:sz w:val="20"/>
          <w:szCs w:val="20"/>
          <w:u w:val="single"/>
        </w:rPr>
        <w:lastRenderedPageBreak/>
        <w:t>uncompromising positions that resist liberal attempts at co-optation, incorporation, and/or reconciliation; and (4) creating alternative democratic spaces that directly challenge the legitimacy of the police. It is the emphasis on these four, inter-related pillars that distinguishes radical from more liberal forms of abolition</w:t>
      </w:r>
      <w:r w:rsidRPr="00812815">
        <w:rPr>
          <w:rFonts w:ascii="Times New Roman" w:hAnsi="Times New Roman" w:cs="Times New Roman"/>
          <w:sz w:val="20"/>
          <w:szCs w:val="20"/>
        </w:rPr>
        <w:t>.</w:t>
      </w:r>
    </w:p>
    <w:p w14:paraId="23E8BA65" w14:textId="29079D5E" w:rsidR="0024052D" w:rsidRPr="00812815" w:rsidRDefault="0024052D" w:rsidP="00B55AD5">
      <w:pPr>
        <w:rPr>
          <w:rFonts w:ascii="Times New Roman" w:hAnsi="Times New Roman" w:cs="Times New Roman"/>
          <w:sz w:val="20"/>
          <w:szCs w:val="20"/>
        </w:rPr>
      </w:pPr>
      <w:r w:rsidRPr="00812815">
        <w:rPr>
          <w:rFonts w:ascii="Times New Roman" w:hAnsi="Times New Roman" w:cs="Times New Roman"/>
          <w:sz w:val="20"/>
          <w:szCs w:val="20"/>
        </w:rPr>
        <w:t xml:space="preserve">Likewise, </w:t>
      </w:r>
      <w:r w:rsidRPr="00812815">
        <w:rPr>
          <w:rFonts w:ascii="Times New Roman" w:hAnsi="Times New Roman" w:cs="Times New Roman"/>
          <w:sz w:val="20"/>
          <w:szCs w:val="20"/>
          <w:u w:val="single"/>
        </w:rPr>
        <w:t>we join others in cautioning against those strategies and tactics that seek to disempower the police solely through reform</w:t>
      </w:r>
      <w:r w:rsidRPr="00812815">
        <w:rPr>
          <w:rFonts w:ascii="Times New Roman" w:hAnsi="Times New Roman" w:cs="Times New Roman"/>
          <w:sz w:val="20"/>
          <w:szCs w:val="20"/>
        </w:rPr>
        <w:t xml:space="preserve">, whether those reforms are targeted at laws, institutional policies and practices, or the distribution of economic resources (see Gilmore 2015; Rodriguez 2012; Camp and Heatherton 2016). </w:t>
      </w:r>
      <w:r w:rsidRPr="00812815">
        <w:rPr>
          <w:rFonts w:ascii="Times New Roman" w:hAnsi="Times New Roman" w:cs="Times New Roman"/>
          <w:sz w:val="20"/>
          <w:szCs w:val="20"/>
          <w:u w:val="single"/>
        </w:rPr>
        <w:t>If the battle is to “abolish the white world”</w:t>
      </w:r>
      <w:r w:rsidRPr="00812815">
        <w:rPr>
          <w:rFonts w:ascii="Times New Roman" w:hAnsi="Times New Roman" w:cs="Times New Roman"/>
          <w:sz w:val="20"/>
          <w:szCs w:val="20"/>
        </w:rPr>
        <w:t xml:space="preserve"> (Olson 2004: 133) </w:t>
      </w:r>
      <w:r w:rsidRPr="00812815">
        <w:rPr>
          <w:rFonts w:ascii="Times New Roman" w:hAnsi="Times New Roman" w:cs="Times New Roman"/>
          <w:sz w:val="20"/>
          <w:szCs w:val="20"/>
          <w:u w:val="single"/>
        </w:rPr>
        <w:t>and to build world where people create, realize themselves, and enjoy life</w:t>
      </w:r>
      <w:r w:rsidRPr="00812815">
        <w:rPr>
          <w:rFonts w:ascii="Times New Roman" w:hAnsi="Times New Roman" w:cs="Times New Roman"/>
          <w:sz w:val="20"/>
          <w:szCs w:val="20"/>
        </w:rPr>
        <w:t xml:space="preserve">, to paraphrase Du Bois, </w:t>
      </w:r>
      <w:r w:rsidRPr="00812815">
        <w:rPr>
          <w:rFonts w:ascii="Times New Roman" w:hAnsi="Times New Roman" w:cs="Times New Roman"/>
          <w:sz w:val="20"/>
          <w:szCs w:val="20"/>
          <w:u w:val="single"/>
        </w:rPr>
        <w:t>the institution of law enforcement must be directly targeted, without compromise</w:t>
      </w:r>
      <w:r w:rsidRPr="00812815">
        <w:rPr>
          <w:rFonts w:ascii="Times New Roman" w:hAnsi="Times New Roman" w:cs="Times New Roman"/>
          <w:sz w:val="20"/>
          <w:szCs w:val="20"/>
        </w:rPr>
        <w:t xml:space="preserve">. That is, </w:t>
      </w:r>
      <w:r w:rsidRPr="00812815">
        <w:rPr>
          <w:rFonts w:ascii="Times New Roman" w:hAnsi="Times New Roman" w:cs="Times New Roman"/>
          <w:sz w:val="20"/>
          <w:szCs w:val="20"/>
          <w:u w:val="single"/>
        </w:rPr>
        <w:t>like the Abolitionist Movement’s focus on slavery, a current attack on all forms of police control (and the institution itself) can open up liberatory possibilities for the rearrangement of the economic and racial order toward emancipatory ends</w:t>
      </w:r>
      <w:r w:rsidRPr="00812815">
        <w:rPr>
          <w:rFonts w:ascii="Times New Roman" w:hAnsi="Times New Roman" w:cs="Times New Roman"/>
          <w:sz w:val="20"/>
          <w:szCs w:val="20"/>
        </w:rPr>
        <w:t xml:space="preserve">. </w:t>
      </w:r>
      <w:r w:rsidRPr="00812815">
        <w:rPr>
          <w:rFonts w:ascii="Times New Roman" w:hAnsi="Times New Roman" w:cs="Times New Roman"/>
          <w:sz w:val="20"/>
          <w:szCs w:val="20"/>
          <w:u w:val="single"/>
        </w:rPr>
        <w:t>The struggle for police abolition is full of potential</w:t>
      </w:r>
      <w:r w:rsidRPr="00812815">
        <w:rPr>
          <w:rFonts w:ascii="Times New Roman" w:hAnsi="Times New Roman" w:cs="Times New Roman"/>
          <w:sz w:val="20"/>
          <w:szCs w:val="20"/>
        </w:rPr>
        <w:t xml:space="preserve">. </w:t>
      </w:r>
      <w:r w:rsidRPr="00812815">
        <w:rPr>
          <w:rFonts w:ascii="Times New Roman" w:hAnsi="Times New Roman" w:cs="Times New Roman"/>
          <w:sz w:val="20"/>
          <w:szCs w:val="20"/>
          <w:u w:val="single"/>
        </w:rPr>
        <w:t>It is a struggle to build new modes of sociality, “insurgent forms of safety,” (McDowell 2017) and to develop more complete forms of freedom and justice</w:t>
      </w:r>
      <w:r w:rsidRPr="00812815">
        <w:rPr>
          <w:rFonts w:ascii="Times New Roman" w:hAnsi="Times New Roman" w:cs="Times New Roman"/>
          <w:sz w:val="20"/>
          <w:szCs w:val="20"/>
        </w:rPr>
        <w:t>.</w:t>
      </w:r>
    </w:p>
    <w:p w14:paraId="549BB3A6" w14:textId="6770CBBB" w:rsidR="0024052D" w:rsidRPr="00812815" w:rsidRDefault="0024052D" w:rsidP="00B55AD5">
      <w:pPr>
        <w:rPr>
          <w:rFonts w:ascii="Times New Roman" w:hAnsi="Times New Roman" w:cs="Times New Roman"/>
        </w:rPr>
      </w:pPr>
      <w:bookmarkStart w:id="0" w:name="_GoBack"/>
      <w:bookmarkEnd w:id="0"/>
    </w:p>
    <w:sectPr w:rsidR="0024052D" w:rsidRPr="00812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308026A"/>
    <w:multiLevelType w:val="hybridMultilevel"/>
    <w:tmpl w:val="11786426"/>
    <w:lvl w:ilvl="0" w:tplc="0220024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C6438"/>
    <w:rsid w:val="000139A3"/>
    <w:rsid w:val="00100833"/>
    <w:rsid w:val="00104529"/>
    <w:rsid w:val="001057A1"/>
    <w:rsid w:val="00105942"/>
    <w:rsid w:val="00107396"/>
    <w:rsid w:val="00144A4C"/>
    <w:rsid w:val="00176AB0"/>
    <w:rsid w:val="00177B7D"/>
    <w:rsid w:val="0018322D"/>
    <w:rsid w:val="001B5776"/>
    <w:rsid w:val="001E527A"/>
    <w:rsid w:val="001F78CE"/>
    <w:rsid w:val="0024052D"/>
    <w:rsid w:val="00251FC7"/>
    <w:rsid w:val="002855A7"/>
    <w:rsid w:val="002A19CE"/>
    <w:rsid w:val="002B146A"/>
    <w:rsid w:val="002B5E17"/>
    <w:rsid w:val="00315690"/>
    <w:rsid w:val="00316B75"/>
    <w:rsid w:val="00325646"/>
    <w:rsid w:val="003460F2"/>
    <w:rsid w:val="0038158C"/>
    <w:rsid w:val="003902BA"/>
    <w:rsid w:val="003A09E2"/>
    <w:rsid w:val="003E0DE8"/>
    <w:rsid w:val="00407037"/>
    <w:rsid w:val="004605D6"/>
    <w:rsid w:val="004A6570"/>
    <w:rsid w:val="004C60E8"/>
    <w:rsid w:val="004D410D"/>
    <w:rsid w:val="004E3579"/>
    <w:rsid w:val="004E728B"/>
    <w:rsid w:val="004F39E0"/>
    <w:rsid w:val="00537BD5"/>
    <w:rsid w:val="0057268A"/>
    <w:rsid w:val="005D2912"/>
    <w:rsid w:val="006065BD"/>
    <w:rsid w:val="00630714"/>
    <w:rsid w:val="00645FA9"/>
    <w:rsid w:val="00647866"/>
    <w:rsid w:val="00665003"/>
    <w:rsid w:val="006A2AD0"/>
    <w:rsid w:val="006C2375"/>
    <w:rsid w:val="006D4ECC"/>
    <w:rsid w:val="006F087A"/>
    <w:rsid w:val="00722258"/>
    <w:rsid w:val="007243E5"/>
    <w:rsid w:val="00766EA0"/>
    <w:rsid w:val="007A2226"/>
    <w:rsid w:val="007F5B66"/>
    <w:rsid w:val="00812815"/>
    <w:rsid w:val="00823A1C"/>
    <w:rsid w:val="00845B9D"/>
    <w:rsid w:val="00860984"/>
    <w:rsid w:val="008B3ECB"/>
    <w:rsid w:val="008B4E85"/>
    <w:rsid w:val="008C1B2E"/>
    <w:rsid w:val="0091627E"/>
    <w:rsid w:val="009678F9"/>
    <w:rsid w:val="0097032B"/>
    <w:rsid w:val="009D2EAD"/>
    <w:rsid w:val="009D54B2"/>
    <w:rsid w:val="009E1922"/>
    <w:rsid w:val="009F7ED2"/>
    <w:rsid w:val="00A93661"/>
    <w:rsid w:val="00A95652"/>
    <w:rsid w:val="00AC0AB8"/>
    <w:rsid w:val="00B0288D"/>
    <w:rsid w:val="00B33C6D"/>
    <w:rsid w:val="00B4508F"/>
    <w:rsid w:val="00B55AD5"/>
    <w:rsid w:val="00B8057C"/>
    <w:rsid w:val="00BD6238"/>
    <w:rsid w:val="00BF593B"/>
    <w:rsid w:val="00BF773A"/>
    <w:rsid w:val="00BF7E81"/>
    <w:rsid w:val="00C13773"/>
    <w:rsid w:val="00C17CC8"/>
    <w:rsid w:val="00C213BC"/>
    <w:rsid w:val="00C83417"/>
    <w:rsid w:val="00C9604F"/>
    <w:rsid w:val="00CA19AA"/>
    <w:rsid w:val="00CB6C3B"/>
    <w:rsid w:val="00CC5298"/>
    <w:rsid w:val="00CC6438"/>
    <w:rsid w:val="00CD736E"/>
    <w:rsid w:val="00CD798D"/>
    <w:rsid w:val="00CE161E"/>
    <w:rsid w:val="00CF166D"/>
    <w:rsid w:val="00CF59A8"/>
    <w:rsid w:val="00D07F40"/>
    <w:rsid w:val="00D325A9"/>
    <w:rsid w:val="00D36A8A"/>
    <w:rsid w:val="00D61409"/>
    <w:rsid w:val="00D6691E"/>
    <w:rsid w:val="00D71170"/>
    <w:rsid w:val="00DA1C92"/>
    <w:rsid w:val="00DA25D4"/>
    <w:rsid w:val="00DA6538"/>
    <w:rsid w:val="00DF0212"/>
    <w:rsid w:val="00E15E75"/>
    <w:rsid w:val="00E5262C"/>
    <w:rsid w:val="00EC7DC4"/>
    <w:rsid w:val="00ED30CF"/>
    <w:rsid w:val="00F176EF"/>
    <w:rsid w:val="00F45E10"/>
    <w:rsid w:val="00F6364A"/>
    <w:rsid w:val="00F9113A"/>
    <w:rsid w:val="00FB782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A857"/>
  <w15:chartTrackingRefBased/>
  <w15:docId w15:val="{2D25E4E4-5829-4FE8-9792-3496BA06F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CC6438"/>
    <w:rPr>
      <w:rFonts w:ascii="Calibri" w:hAnsi="Calibri"/>
    </w:rPr>
  </w:style>
  <w:style w:type="paragraph" w:styleId="Heading1">
    <w:name w:val="heading 1"/>
    <w:aliases w:val="Pocket"/>
    <w:basedOn w:val="Normal"/>
    <w:next w:val="Normal"/>
    <w:link w:val="Heading1Char"/>
    <w:qFormat/>
    <w:rsid w:val="00CC643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C643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C643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C643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CC64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6438"/>
  </w:style>
  <w:style w:type="character" w:customStyle="1" w:styleId="Heading1Char">
    <w:name w:val="Heading 1 Char"/>
    <w:aliases w:val="Pocket Char"/>
    <w:basedOn w:val="DefaultParagraphFont"/>
    <w:link w:val="Heading1"/>
    <w:rsid w:val="00CC64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64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643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C6438"/>
    <w:rPr>
      <w:rFonts w:ascii="Calibri" w:eastAsiaTheme="majorEastAsia" w:hAnsi="Calibri" w:cstheme="majorBidi"/>
      <w:b/>
      <w:iCs/>
      <w:sz w:val="26"/>
    </w:rPr>
  </w:style>
  <w:style w:type="character" w:styleId="Emphasis">
    <w:name w:val="Emphasis"/>
    <w:basedOn w:val="DefaultParagraphFont"/>
    <w:uiPriority w:val="7"/>
    <w:qFormat/>
    <w:rsid w:val="00CC6438"/>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CC6438"/>
    <w:rPr>
      <w:b/>
      <w:bCs/>
      <w:sz w:val="26"/>
      <w:u w:val="none"/>
    </w:rPr>
  </w:style>
  <w:style w:type="character" w:customStyle="1" w:styleId="StyleUnderline">
    <w:name w:val="Style Underline"/>
    <w:aliases w:val="Underline"/>
    <w:basedOn w:val="DefaultParagraphFont"/>
    <w:uiPriority w:val="6"/>
    <w:qFormat/>
    <w:rsid w:val="00CC6438"/>
    <w:rPr>
      <w:b w:val="0"/>
      <w:sz w:val="22"/>
      <w:u w:val="single"/>
    </w:rPr>
  </w:style>
  <w:style w:type="character" w:styleId="Hyperlink">
    <w:name w:val="Hyperlink"/>
    <w:basedOn w:val="DefaultParagraphFont"/>
    <w:uiPriority w:val="99"/>
    <w:semiHidden/>
    <w:unhideWhenUsed/>
    <w:rsid w:val="00CC6438"/>
    <w:rPr>
      <w:color w:val="auto"/>
      <w:u w:val="none"/>
    </w:rPr>
  </w:style>
  <w:style w:type="character" w:styleId="FollowedHyperlink">
    <w:name w:val="FollowedHyperlink"/>
    <w:basedOn w:val="DefaultParagraphFont"/>
    <w:uiPriority w:val="99"/>
    <w:semiHidden/>
    <w:unhideWhenUsed/>
    <w:rsid w:val="00CC6438"/>
    <w:rPr>
      <w:color w:val="auto"/>
      <w:u w:val="none"/>
    </w:rPr>
  </w:style>
  <w:style w:type="paragraph" w:styleId="ListParagraph">
    <w:name w:val="List Paragraph"/>
    <w:basedOn w:val="Normal"/>
    <w:uiPriority w:val="99"/>
    <w:unhideWhenUsed/>
    <w:qFormat/>
    <w:rsid w:val="00C213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orrigan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F0EAB-BE49-4B77-9475-8492FEA01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1829</TotalTime>
  <Pages>4</Pages>
  <Words>2030</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Corrigan</dc:creator>
  <cp:keywords>5.1.1</cp:keywords>
  <dc:description/>
  <cp:lastModifiedBy>Abraham Corrigan</cp:lastModifiedBy>
  <cp:revision>1</cp:revision>
  <dcterms:created xsi:type="dcterms:W3CDTF">2020-03-19T13:39:00Z</dcterms:created>
  <dcterms:modified xsi:type="dcterms:W3CDTF">2020-03-20T20:11:00Z</dcterms:modified>
</cp:coreProperties>
</file>