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3F6822" w14:textId="2361E002" w:rsidR="00E747BF" w:rsidRDefault="00E747BF" w:rsidP="00E747BF">
      <w:pPr>
        <w:pStyle w:val="Heading2"/>
      </w:pPr>
      <w:r>
        <w:t>Links</w:t>
      </w:r>
    </w:p>
    <w:p w14:paraId="09C527D6" w14:textId="77777777" w:rsidR="00E92A70" w:rsidRDefault="00E92A70" w:rsidP="00E747BF">
      <w:pPr>
        <w:pStyle w:val="Heading3"/>
      </w:pPr>
      <w:r>
        <w:lastRenderedPageBreak/>
        <w:t>Death Penalty</w:t>
      </w:r>
    </w:p>
    <w:p w14:paraId="6B95F469" w14:textId="77777777" w:rsidR="00E92A70" w:rsidRDefault="00E92A70" w:rsidP="00E92A70">
      <w:pPr>
        <w:pStyle w:val="Heading4"/>
      </w:pPr>
      <w:r>
        <w:t xml:space="preserve">The aff’s valorization of life as a transcendental good paves the way for biopolitical control </w:t>
      </w:r>
    </w:p>
    <w:p w14:paraId="72CE5EC5" w14:textId="77777777" w:rsidR="00E92A70" w:rsidRDefault="00E92A70" w:rsidP="00E92A70">
      <w:pPr>
        <w:rPr>
          <w:rStyle w:val="Style13ptBold"/>
        </w:rPr>
      </w:pPr>
      <w:r w:rsidRPr="00534FA5">
        <w:rPr>
          <w:rStyle w:val="Style13ptBold"/>
        </w:rPr>
        <w:t>Hanafin 09</w:t>
      </w:r>
    </w:p>
    <w:p w14:paraId="7216AADE" w14:textId="77777777" w:rsidR="00E92A70" w:rsidRPr="00534FA5" w:rsidRDefault="00E92A70" w:rsidP="00E92A70">
      <w:r w:rsidRPr="00534FA5">
        <w:t>[</w:t>
      </w:r>
      <w:r>
        <w:t>Patrick, Professor of Law at Birkbeck College, University of London, “Rights of Passage: Law and the Biopolitics of Dying,” chapter 4 in Deleuze and Law: Forensic Futures, Palgrave Macmillan, 2009]</w:t>
      </w:r>
    </w:p>
    <w:p w14:paraId="6AA5F7DD" w14:textId="77777777" w:rsidR="00E92A70" w:rsidRPr="00A3404C" w:rsidRDefault="00E92A70" w:rsidP="00E92A70">
      <w:pPr>
        <w:rPr>
          <w:sz w:val="16"/>
        </w:rPr>
      </w:pPr>
      <w:r w:rsidRPr="00783241">
        <w:rPr>
          <w:rStyle w:val="Emphasis"/>
        </w:rPr>
        <w:t>The liberal social compact is built on the desire to survive</w:t>
      </w:r>
      <w:r w:rsidRPr="00A3404C">
        <w:rPr>
          <w:sz w:val="16"/>
        </w:rPr>
        <w:t xml:space="preserve">. In this schema man looks constantly ahead to the moment of his death and his legacy. </w:t>
      </w:r>
      <w:r w:rsidRPr="00783241">
        <w:rPr>
          <w:rStyle w:val="StyleUnderline"/>
        </w:rPr>
        <w:t>This becomes the be all and end all of life in the shadow of death. Indeed it becomes the foundation of the modern liberal order with the creation of the social contract as a means of survival,</w:t>
      </w:r>
      <w:r w:rsidRPr="00A3404C">
        <w:rPr>
          <w:sz w:val="16"/>
        </w:rPr>
        <w:t xml:space="preserve"> as a temporary immunity from death (see further Cavarero, 1995, pp. 57–90). </w:t>
      </w:r>
      <w:r w:rsidRPr="00783241">
        <w:rPr>
          <w:rStyle w:val="StyleUnderline"/>
        </w:rPr>
        <w:t>The legal regulation of choosing how one dies reveals that the individual’s power to decide how she lives or dies is ignored at best or curbed at worst</w:t>
      </w:r>
      <w:r w:rsidRPr="00A3404C">
        <w:rPr>
          <w:sz w:val="16"/>
        </w:rPr>
        <w:t xml:space="preserve">. </w:t>
      </w:r>
      <w:r w:rsidRPr="00783241">
        <w:rPr>
          <w:rStyle w:val="Emphasis"/>
        </w:rPr>
        <w:t>The power to decide is taken from the individual in the name of an abstract notion of Life</w:t>
      </w:r>
      <w:r w:rsidRPr="00A3404C">
        <w:rPr>
          <w:sz w:val="16"/>
        </w:rPr>
        <w:t xml:space="preserve">. The terminally ill person who desires to die is prevented from doing so by legal obstacles. </w:t>
      </w:r>
      <w:r w:rsidRPr="00783241">
        <w:rPr>
          <w:rStyle w:val="StyleUnderline"/>
        </w:rPr>
        <w:t>This is part of a wider management of individual lives or what Jean Baudrillard has termed ‘death control’</w:t>
      </w:r>
      <w:r w:rsidRPr="00A3404C">
        <w:rPr>
          <w:sz w:val="16"/>
        </w:rPr>
        <w:t>. In this paradigm what we witness is</w:t>
      </w:r>
    </w:p>
    <w:p w14:paraId="7C22C4CE" w14:textId="77777777" w:rsidR="00E92A70" w:rsidRDefault="00E92A70" w:rsidP="00E92A70">
      <w:r w:rsidRPr="00783241">
        <w:rPr>
          <w:rStyle w:val="Emphasis"/>
        </w:rPr>
        <w:t>a forced ‘life for life’s sake’ . . . agony prolonged at all costs . . . whether we execute people or compel their survival . . . the essential thing is that the decision is withdrawn from them . . . ‘you shall not die’, not in any old way, anyhow</w:t>
      </w:r>
      <w:r w:rsidRPr="00783241">
        <w:t>. Baudrillard (1993, p. 174)</w:t>
      </w:r>
    </w:p>
    <w:p w14:paraId="5CE505C6" w14:textId="77777777" w:rsidR="00E92A70" w:rsidRPr="00A3404C" w:rsidRDefault="00E92A70" w:rsidP="00E92A70">
      <w:pPr>
        <w:rPr>
          <w:sz w:val="16"/>
        </w:rPr>
      </w:pPr>
      <w:r w:rsidRPr="00A3404C">
        <w:rPr>
          <w:sz w:val="16"/>
        </w:rPr>
        <w:t xml:space="preserve">I want to look at one legal instantiation of this deathbound normative narrative. </w:t>
      </w:r>
      <w:r w:rsidRPr="00783241">
        <w:rPr>
          <w:rStyle w:val="StyleUnderline"/>
        </w:rPr>
        <w:t xml:space="preserve">This example, along with many others which have been decided in a similar way, displays a tendency in the Western legal tradition to </w:t>
      </w:r>
      <w:r w:rsidRPr="00534FA5">
        <w:rPr>
          <w:rStyle w:val="Emphasis"/>
        </w:rPr>
        <w:t>valorise true life</w:t>
      </w:r>
      <w:r w:rsidRPr="00783241">
        <w:rPr>
          <w:rStyle w:val="StyleUnderline"/>
        </w:rPr>
        <w:t>, the disembodied life of pure and abstract thought over mere incarnate life</w:t>
      </w:r>
      <w:r w:rsidRPr="00A3404C">
        <w:rPr>
          <w:sz w:val="16"/>
        </w:rPr>
        <w:t>. With the exception of a very small number of states (Belgium, the Netherlands, Oregon, Switzerland), the Western legal tradition does not condone a right to die using active means, either in the form of voluntary euthanasia or indeed physicianassisted suicide. On the other hand, many states allow an individual to make what is commonly called a living will or advance directive, which permits the withdrawal of artificial feeding and hydration in the event that the person ever finds herself or himself in a persistent vegetative state from which there is no hope of recovery. This model is based on the Christian ethical tradition which distinguishes active from passive means of euthanasia.</w:t>
      </w:r>
    </w:p>
    <w:p w14:paraId="591B6F58" w14:textId="77777777" w:rsidR="00E92A70" w:rsidRPr="00A3404C" w:rsidRDefault="00E92A70" w:rsidP="00E92A70">
      <w:pPr>
        <w:rPr>
          <w:sz w:val="16"/>
          <w:szCs w:val="16"/>
        </w:rPr>
      </w:pPr>
      <w:r w:rsidRPr="00A3404C">
        <w:rPr>
          <w:sz w:val="16"/>
          <w:szCs w:val="16"/>
        </w:rPr>
        <w:t>The case I want to look at in some detail is exemplary of the legacy of this normative model. The adjudication of the United States Supreme Court in the jointly heard cases of Washington v Glucksberg and Quill v Vacco (521 US 702 (1997)) came about as the result of decisions on the issue of physician-assisted suicide by the Second and Ninth Circuit Courts of Appeal, which gave constitutional protection to physicianassisted suicide, one on the grounds of the right to privacy, the other on the grounds of equal treatment. The Second Circuit Court of Appeal in Quill v Vacco (80 F.3d 716 (2d Cir. 1996)) held that the Equal Protection Clause of the Fourteenth Amendment rendered statutes which prohibit assisted suicide unlawful. Noting that New York legislation permitted a competent person to refuse medical treatment even if this resulted in the individual’s death, the Court held that assisted suicide should also be permissible on the ground that like persons be treated alike. An en banc panel of the Ninth Circuit Court of Appeal in Compassion in Dying v Washington (79 F.3d 790 (9th Cir. 1996) (en banc)) held that the Washington state statute prohibiting a physician from assisting a patient to die was unconstitutional, as it was contrary to the substantive component of the Fourteenth Amendment’s Due Process Clause. Both cases were consolidated for hearing by the Supreme Court in January 1997. The Chief Justice delivered two opinions for the Court in June 1997 overruling both the Second and Ninth Circuits’ decisions. In these opinions he was joined by Justices O’Connor, Scalia, Kennedy, and Thomas. However, Justice O’Connor filed a separate concurrence joined by Justices Ginsberg and Breyer. In addition Justices Stevens and Souter filed separate concurrences.</w:t>
      </w:r>
    </w:p>
    <w:p w14:paraId="0C8B6AD3" w14:textId="77777777" w:rsidR="00E92A70" w:rsidRPr="00534FA5" w:rsidRDefault="00E92A70" w:rsidP="00E92A70">
      <w:pPr>
        <w:rPr>
          <w:rStyle w:val="StyleUnderline"/>
        </w:rPr>
      </w:pPr>
      <w:r w:rsidRPr="00A3404C">
        <w:rPr>
          <w:sz w:val="16"/>
        </w:rPr>
        <w:t xml:space="preserve">When reading the case, one is struck by the manner in which the multiple voices in the decision reflect the differing stances on life both as survival and possibility. </w:t>
      </w:r>
      <w:r w:rsidRPr="00534FA5">
        <w:rPr>
          <w:rStyle w:val="StyleUnderline"/>
        </w:rPr>
        <w:t>The Supreme Court majority opinion attempts to compose a narrative of order in the face of these unruly bodies who attempt to die before their time or out of time</w:t>
      </w:r>
      <w:r w:rsidRPr="00A3404C">
        <w:rPr>
          <w:sz w:val="16"/>
        </w:rPr>
        <w:t xml:space="preserve">. The narrative of the majority attempts to impose‘order through judgment’ (Uhlmann, 1999, p. 139), </w:t>
      </w:r>
      <w:r w:rsidRPr="00534FA5">
        <w:rPr>
          <w:rStyle w:val="StyleUnderline"/>
        </w:rPr>
        <w:t xml:space="preserve">while the plaintiffs seek </w:t>
      </w:r>
      <w:r w:rsidRPr="00534FA5">
        <w:rPr>
          <w:rStyle w:val="StyleUnderline"/>
        </w:rPr>
        <w:lastRenderedPageBreak/>
        <w:t>‘an always elusive justice’</w:t>
      </w:r>
      <w:r w:rsidRPr="00A3404C">
        <w:rPr>
          <w:sz w:val="16"/>
        </w:rPr>
        <w:t xml:space="preserve"> (Uhlmann, 1999, p. 139). Within the judgement </w:t>
      </w:r>
      <w:r w:rsidRPr="00534FA5">
        <w:rPr>
          <w:rStyle w:val="StyleUnderline"/>
        </w:rPr>
        <w:t>the law attempts to summon forth a living figure and refuses to see the dying or dead figures before it. This calling forth of a living figure in the face of death is even more pointed as the plaintiffs had already died by the time the Supreme Court Justices issued their opinions.</w:t>
      </w:r>
    </w:p>
    <w:p w14:paraId="5B8DCAB0" w14:textId="77777777" w:rsidR="00E92A70" w:rsidRPr="00A3404C" w:rsidRDefault="00E92A70" w:rsidP="00E92A70">
      <w:pPr>
        <w:rPr>
          <w:sz w:val="16"/>
          <w:szCs w:val="16"/>
        </w:rPr>
      </w:pPr>
      <w:r w:rsidRPr="00A3404C">
        <w:rPr>
          <w:sz w:val="16"/>
          <w:szCs w:val="16"/>
        </w:rPr>
        <w:t>Chief Justice Rehnquist commences his observations in Washington v Glucksberg in defensive rhetorical mode and, in so doing, evinces the law’s failure to recognise those who would wish to die otherwise than in the legally sanctioned way:</w:t>
      </w:r>
    </w:p>
    <w:p w14:paraId="69A597F4" w14:textId="77777777" w:rsidR="00E92A70" w:rsidRPr="00A3404C" w:rsidRDefault="00E92A70" w:rsidP="00E92A70">
      <w:pPr>
        <w:rPr>
          <w:sz w:val="16"/>
          <w:szCs w:val="16"/>
        </w:rPr>
      </w:pPr>
      <w:r w:rsidRPr="00A3404C">
        <w:rPr>
          <w:sz w:val="16"/>
          <w:szCs w:val="16"/>
        </w:rPr>
        <w:t>[O]ur laws have consistently condemned, and continue to prohibit, assisting suicide. Despite changes in medical technology and notwithstanding an increased emphasis on the importance of end of life decision-making, we have not retreated from this prohibition. Against this backdrop of history, tradition, and practice, we now turn to respondents’ constitutional claim. (521 US 702 (1997) 719)</w:t>
      </w:r>
    </w:p>
    <w:p w14:paraId="10C35990" w14:textId="77777777" w:rsidR="00E92A70" w:rsidRPr="00534FA5" w:rsidRDefault="00E92A70" w:rsidP="00E92A70">
      <w:pPr>
        <w:rPr>
          <w:rStyle w:val="StyleUnderline"/>
        </w:rPr>
      </w:pPr>
      <w:r w:rsidRPr="00534FA5">
        <w:rPr>
          <w:rStyle w:val="StyleUnderline"/>
        </w:rPr>
        <w:t>The backdrop or default is set. The individual is bound by the ‘rights’ which also bind her to an impersonal or state-mediated death. Rehnquist speaks in the rhetoric of warfare: ‘we have not retreated’. He goes on to construct a particular legal relation to assisted death and in doing so reveals a certain conception of community</w:t>
      </w:r>
    </w:p>
    <w:p w14:paraId="314FAEB3" w14:textId="77777777" w:rsidR="00E92A70" w:rsidRDefault="00E92A70" w:rsidP="00E92A70">
      <w:r w:rsidRPr="00A3404C">
        <w:rPr>
          <w:sz w:val="16"/>
          <w:szCs w:val="16"/>
        </w:rPr>
        <w:t>We now enquire whether this asserted right has any place in our Nation’s traditions. Here . . . we are confronted with a consistent and almost universal tradition that has long rejected the asserted right, and continues to reject it today, even for terminally ill, mentally competent adults. To hold for respondents, we would have to reverse centuries of legal doctrine and practice, and strike down the considered policy choice of almost every state. (521 US 702 (1997) 721–3</w:t>
      </w:r>
      <w:r w:rsidRPr="00783241">
        <w:t>)</w:t>
      </w:r>
    </w:p>
    <w:p w14:paraId="58EDC425" w14:textId="77777777" w:rsidR="00E92A70" w:rsidRPr="00A3404C" w:rsidRDefault="00E92A70" w:rsidP="00E92A70">
      <w:pPr>
        <w:rPr>
          <w:sz w:val="16"/>
        </w:rPr>
      </w:pPr>
      <w:r w:rsidRPr="00A3404C">
        <w:rPr>
          <w:sz w:val="16"/>
        </w:rPr>
        <w:t xml:space="preserve">In this passage, </w:t>
      </w:r>
      <w:r w:rsidRPr="00534FA5">
        <w:rPr>
          <w:rStyle w:val="StyleUnderline"/>
        </w:rPr>
        <w:t>the Chief Justice creates the illusion that there is a uniform view on this contested ethical issue. This, however, does not give due consideration to the several contradictory views and practices which coexist</w:t>
      </w:r>
      <w:r w:rsidRPr="00A3404C">
        <w:rPr>
          <w:sz w:val="16"/>
        </w:rPr>
        <w:t xml:space="preserve">. He is interpreting the Constitution in a manner which would give the appearance of unity. Rehnquist appeals to a particular interpretative method and, in so doing, is hailing a particular totalising conception of the nation. </w:t>
      </w:r>
    </w:p>
    <w:p w14:paraId="348AA558" w14:textId="77777777" w:rsidR="00E92A70" w:rsidRPr="00534FA5" w:rsidRDefault="00E92A70" w:rsidP="00E92A70">
      <w:pPr>
        <w:rPr>
          <w:rStyle w:val="Emphasis"/>
        </w:rPr>
      </w:pPr>
      <w:r w:rsidRPr="00534FA5">
        <w:rPr>
          <w:rStyle w:val="Emphasis"/>
        </w:rPr>
        <w:t>The language of Rehnquist posits a particular societal model based on immunity and survival</w:t>
      </w:r>
      <w:r w:rsidRPr="00A3404C">
        <w:rPr>
          <w:sz w:val="16"/>
        </w:rPr>
        <w:t xml:space="preserve">. In this case, one could argue that </w:t>
      </w:r>
      <w:r w:rsidRPr="00534FA5">
        <w:rPr>
          <w:rStyle w:val="Emphasis"/>
        </w:rPr>
        <w:t>what is valued most of all is a totalising transcendent being in common of  community</w:t>
      </w:r>
      <w:r w:rsidRPr="00534FA5">
        <w:rPr>
          <w:rStyle w:val="StyleUnderline"/>
        </w:rPr>
        <w:t>.3 This relation is built into the law’s normative framework in the natural law model of the sanctity of life.</w:t>
      </w:r>
      <w:r w:rsidRPr="00A3404C">
        <w:rPr>
          <w:sz w:val="16"/>
        </w:rPr>
        <w:t xml:space="preserve"> </w:t>
      </w:r>
      <w:r w:rsidRPr="00534FA5">
        <w:rPr>
          <w:rStyle w:val="StyleUnderline"/>
        </w:rPr>
        <w:t>This may help to explain how an inalienable right to life is undone when the body politic needs to defend itself or one of its citizens against transgression</w:t>
      </w:r>
      <w:r w:rsidRPr="00A3404C">
        <w:rPr>
          <w:sz w:val="16"/>
        </w:rPr>
        <w:t>. This relation to death can be seen as looking to the enforcement of law and exclusion of mere or embodied life</w:t>
      </w:r>
      <w:r w:rsidRPr="00534FA5">
        <w:rPr>
          <w:rStyle w:val="Emphasis"/>
        </w:rPr>
        <w:t>. The type of politics implicit in this approach involves discovering the implicit identity of a nation and setting it to work</w:t>
      </w:r>
      <w:r w:rsidRPr="00A3404C">
        <w:rPr>
          <w:sz w:val="16"/>
        </w:rPr>
        <w:t xml:space="preserve">. </w:t>
      </w:r>
      <w:r w:rsidRPr="00534FA5">
        <w:rPr>
          <w:rStyle w:val="StyleUnderline"/>
        </w:rPr>
        <w:t>This conception of politics as work relies upon and follows from the conception of community as immanent identity</w:t>
      </w:r>
      <w:r w:rsidRPr="00A3404C">
        <w:rPr>
          <w:sz w:val="16"/>
        </w:rPr>
        <w:t xml:space="preserve">. Rehnquist creates the textual illusion of a united homogeneous community. In his judgement </w:t>
      </w:r>
      <w:r w:rsidRPr="00534FA5">
        <w:rPr>
          <w:rStyle w:val="Emphasis"/>
        </w:rPr>
        <w:t>he creates the textual boundaries which enclose the citizen in the state</w:t>
      </w:r>
      <w:r w:rsidRPr="00A3404C">
        <w:rPr>
          <w:sz w:val="16"/>
        </w:rPr>
        <w:t xml:space="preserve">. In this regard the </w:t>
      </w:r>
      <w:r w:rsidRPr="00534FA5">
        <w:rPr>
          <w:rStyle w:val="StyleUnderline"/>
        </w:rPr>
        <w:t>law can be seen as a stabilising instrument, a means of suspending in abstract ghostly form identifiable citizens who are simultaneously citizens with an identity. In other words the text of law creates or provokes a symbolic unity where none exists in order to secure the state in its territorial and textual space.</w:t>
      </w:r>
      <w:r w:rsidRPr="00A3404C">
        <w:rPr>
          <w:sz w:val="16"/>
        </w:rPr>
        <w:t xml:space="preserve"> </w:t>
      </w:r>
      <w:r w:rsidRPr="00534FA5">
        <w:rPr>
          <w:rStyle w:val="Emphasis"/>
        </w:rPr>
        <w:t xml:space="preserve">This illusory wholeness or togetherness is permanently under siege in the paranoiac discourse of the state and of law. </w:t>
      </w:r>
    </w:p>
    <w:p w14:paraId="45F5FC02" w14:textId="77777777" w:rsidR="00E92A70" w:rsidRPr="00A3404C" w:rsidRDefault="00E92A70" w:rsidP="00E92A70">
      <w:pPr>
        <w:rPr>
          <w:sz w:val="16"/>
        </w:rPr>
      </w:pPr>
      <w:r w:rsidRPr="00A3404C">
        <w:rPr>
          <w:sz w:val="16"/>
        </w:rPr>
        <w:t xml:space="preserve">Rehnquist’s exclusion of physician-assisted suicide from the domain of rights might be explained by his regarding such deaths as an instance of worklessness. For him such </w:t>
      </w:r>
      <w:r w:rsidRPr="00534FA5">
        <w:rPr>
          <w:rStyle w:val="StyleUnderline"/>
        </w:rPr>
        <w:t>deaths add nothing to the survival of his imagined community. They are pure excess, deaths which do not sublate into building community. In this model, ironically, state executions and killing in time of war are approved of because they appear to uphold the integrity of the community</w:t>
      </w:r>
      <w:r w:rsidRPr="00A3404C">
        <w:rPr>
          <w:sz w:val="16"/>
        </w:rPr>
        <w:t xml:space="preserve">. They </w:t>
      </w:r>
      <w:r w:rsidRPr="00534FA5">
        <w:rPr>
          <w:rStyle w:val="StyleUnderline"/>
        </w:rPr>
        <w:t xml:space="preserve">maintain societal solidarity, binding it together against the intruder. In the decision of the majority in this case what is eclipsed is the actual choice facing </w:t>
      </w:r>
      <w:r w:rsidRPr="00534FA5">
        <w:rPr>
          <w:rStyle w:val="StyleUnderline"/>
        </w:rPr>
        <w:lastRenderedPageBreak/>
        <w:t>the individual who goes before the Court to obtain recognition of his desire to die with dignit</w:t>
      </w:r>
      <w:r w:rsidRPr="00A3404C">
        <w:rPr>
          <w:sz w:val="16"/>
        </w:rPr>
        <w:t>y. This process is well described by William Connolly as ‘the sedimentation of an ethos into corporeal sensibilities’ (Connolly, 1999, p. 179). In this model the individual’s plea goes unheard</w:t>
      </w:r>
    </w:p>
    <w:p w14:paraId="08D1A6CE" w14:textId="77777777" w:rsidR="00E92A70" w:rsidRDefault="00E92A70" w:rsidP="00E92A70">
      <w:r>
        <w:t>The micropolitics of death</w:t>
      </w:r>
    </w:p>
    <w:p w14:paraId="6DF8EAA6" w14:textId="77777777" w:rsidR="00E92A70" w:rsidRPr="00A3404C" w:rsidRDefault="00E92A70" w:rsidP="00E92A70">
      <w:pPr>
        <w:rPr>
          <w:sz w:val="16"/>
        </w:rPr>
      </w:pPr>
      <w:r w:rsidRPr="00A3404C">
        <w:rPr>
          <w:sz w:val="16"/>
        </w:rPr>
        <w:t xml:space="preserve">Yet even within this model of prohibition, </w:t>
      </w:r>
      <w:r w:rsidRPr="00534FA5">
        <w:rPr>
          <w:rStyle w:val="StyleUnderline"/>
        </w:rPr>
        <w:t>the more the law attempts to curb the voice of the individual who seeks to die with dignity, the more it reveals its own contradictory thinking on the matter.</w:t>
      </w:r>
      <w:r w:rsidRPr="00A3404C">
        <w:rPr>
          <w:sz w:val="16"/>
        </w:rPr>
        <w:t xml:space="preserve"> To look more closely at how this unravelling operates, let us return to the United States Supreme Court decision in Washington v Glucksberg and Quill v Vacco (521 US 702 (1997)). The Chief Justice’s attempt to repress societal disagreement on the issue is not successful. </w:t>
      </w:r>
      <w:r w:rsidRPr="00534FA5">
        <w:rPr>
          <w:rStyle w:val="StyleUnderline"/>
        </w:rPr>
        <w:t>Physician-assisted suicide in Rehnquist’s schema would appear to act as a threat to a certain construction of communal identity; one built on a unified body of national history, legal traditions, and practices</w:t>
      </w:r>
      <w:r w:rsidRPr="00A3404C">
        <w:rPr>
          <w:sz w:val="16"/>
        </w:rPr>
        <w:t xml:space="preserve">. The Supreme Court’s </w:t>
      </w:r>
      <w:r w:rsidRPr="00534FA5">
        <w:rPr>
          <w:rStyle w:val="StyleUnderline"/>
        </w:rPr>
        <w:t>assertion of a universal tradition, which eschews euthanasia and physician-assisted suicide, is countered by an alternative tradition of physician assistance in dying, which occurs outside formal legal structures. This gives the lie to the Chief Justice’s attempt to create a consensual societal attitude on the issue</w:t>
      </w:r>
      <w:r w:rsidRPr="00A3404C">
        <w:rPr>
          <w:sz w:val="16"/>
        </w:rPr>
        <w:t xml:space="preserve">. In Washington v Glucksberg and Quill v Vacco (521 US 702 (1997)) the Supreme Court is engaged in a simultaneous imposition and questioning of what constitutes legal tradition. This confirms from within the judgement that there is no single history or tradition. In other words, </w:t>
      </w:r>
      <w:r w:rsidRPr="00534FA5">
        <w:rPr>
          <w:rStyle w:val="StyleUnderline"/>
        </w:rPr>
        <w:t>physician-assisted suicide is not inconsistent with a unified tradition or history but with a particular conception of tradition and history.</w:t>
      </w:r>
      <w:r w:rsidRPr="00A3404C">
        <w:rPr>
          <w:sz w:val="16"/>
        </w:rPr>
        <w:t xml:space="preserve"> </w:t>
      </w:r>
    </w:p>
    <w:p w14:paraId="014EDCE4" w14:textId="77777777" w:rsidR="00E92A70" w:rsidRPr="00A3404C" w:rsidRDefault="00E92A70" w:rsidP="00E92A70">
      <w:pPr>
        <w:rPr>
          <w:sz w:val="16"/>
        </w:rPr>
      </w:pPr>
      <w:r w:rsidRPr="00A3404C">
        <w:rPr>
          <w:sz w:val="16"/>
        </w:rPr>
        <w:t xml:space="preserve">However, </w:t>
      </w:r>
      <w:r w:rsidRPr="00534FA5">
        <w:rPr>
          <w:rStyle w:val="Emphasis"/>
        </w:rPr>
        <w:t>the imbrication of a particular ideology is always contradicted by the operation of law itself as an institutional mechanism of biopolitical management</w:t>
      </w:r>
      <w:r w:rsidRPr="00A3404C">
        <w:rPr>
          <w:sz w:val="16"/>
        </w:rPr>
        <w:t xml:space="preserve">. </w:t>
      </w:r>
      <w:r w:rsidRPr="00534FA5">
        <w:rPr>
          <w:rStyle w:val="StyleUnderline"/>
        </w:rPr>
        <w:t>This requires looking at law not as the guardian of a certain normative framework but</w:t>
      </w:r>
      <w:r w:rsidRPr="00A3404C">
        <w:rPr>
          <w:sz w:val="16"/>
        </w:rPr>
        <w:t xml:space="preserve">, as Foucault has observed, as a means of </w:t>
      </w:r>
      <w:r w:rsidRPr="00534FA5">
        <w:rPr>
          <w:rStyle w:val="StyleUnderline"/>
        </w:rPr>
        <w:t>administering illegalisms</w:t>
      </w:r>
      <w:r w:rsidRPr="00A3404C">
        <w:rPr>
          <w:sz w:val="16"/>
        </w:rPr>
        <w:t xml:space="preserve">. As Foucault noted: ‘Illegalism is not an accident. . . . I’d say that </w:t>
      </w:r>
      <w:r w:rsidRPr="00534FA5">
        <w:rPr>
          <w:rStyle w:val="StyleUnderline"/>
        </w:rPr>
        <w:t>law is not made in order to forbid any particular kind of behaviour, but in order to distinguish between the different ways of getting around the law itself’</w:t>
      </w:r>
      <w:r w:rsidRPr="00A3404C">
        <w:rPr>
          <w:sz w:val="16"/>
        </w:rPr>
        <w:t xml:space="preserve"> (cited in Deleuze, 2006, p. 114). Deleuze sums up this interpretation of the operation of law thus:</w:t>
      </w:r>
    </w:p>
    <w:p w14:paraId="497CD099" w14:textId="77777777" w:rsidR="00E92A70" w:rsidRPr="00A3404C" w:rsidRDefault="00E92A70" w:rsidP="00E92A70">
      <w:pPr>
        <w:rPr>
          <w:sz w:val="16"/>
        </w:rPr>
      </w:pPr>
      <w:r w:rsidRPr="00A3404C">
        <w:rPr>
          <w:sz w:val="16"/>
        </w:rPr>
        <w:t xml:space="preserve">Law is always a structure of illegalisms . . . </w:t>
      </w:r>
      <w:r w:rsidRPr="00534FA5">
        <w:rPr>
          <w:rStyle w:val="StyleUnderline"/>
        </w:rPr>
        <w:t xml:space="preserve">laws are not contrasted . . . with illegality, but . . . are actually used to find loopholes in others. </w:t>
      </w:r>
      <w:r w:rsidRPr="00534FA5">
        <w:rPr>
          <w:rStyle w:val="Emphasis"/>
        </w:rPr>
        <w:t>Law administers illegalisms</w:t>
      </w:r>
      <w:r w:rsidRPr="00534FA5">
        <w:rPr>
          <w:rStyle w:val="StyleUnderline"/>
        </w:rPr>
        <w:t xml:space="preserve">: some it allows, makes possible or invents as the privilege of the dominating class; </w:t>
      </w:r>
      <w:r w:rsidRPr="00534FA5">
        <w:rPr>
          <w:rStyle w:val="Emphasis"/>
        </w:rPr>
        <w:t>others it tolerates as a compensation for the dominated classes</w:t>
      </w:r>
      <w:r w:rsidRPr="00534FA5">
        <w:rPr>
          <w:rStyle w:val="StyleUnderline"/>
        </w:rPr>
        <w:t>, or even uses in the service of the dominating class; others again it forbids, isolates and takes as both its object and its means of domination.</w:t>
      </w:r>
      <w:r w:rsidRPr="00A3404C">
        <w:rPr>
          <w:sz w:val="16"/>
        </w:rPr>
        <w:t xml:space="preserve"> Deleuze (2006, p. 26)</w:t>
      </w:r>
      <w:r w:rsidRPr="00A3404C">
        <w:rPr>
          <w:sz w:val="16"/>
        </w:rPr>
        <w:br w:type="page"/>
      </w:r>
    </w:p>
    <w:p w14:paraId="545B5925" w14:textId="77777777" w:rsidR="00E92A70" w:rsidRPr="00A3404C" w:rsidRDefault="00E92A70" w:rsidP="00E92A70">
      <w:pPr>
        <w:rPr>
          <w:sz w:val="16"/>
          <w:szCs w:val="16"/>
        </w:rPr>
      </w:pPr>
      <w:r w:rsidRPr="00A3404C">
        <w:rPr>
          <w:sz w:val="16"/>
          <w:szCs w:val="16"/>
        </w:rPr>
        <w:lastRenderedPageBreak/>
        <w:t>Rehnquist’s attempt to disguise the widespread juridico-medical management of death is contradicted from within the judgement itself. That which is repressed emerges at points within the Supreme Court’s judgement. Justice Stevens in his opinion points to the law’s project of death control in referring to the death penalty:</w:t>
      </w:r>
    </w:p>
    <w:p w14:paraId="4F77C465" w14:textId="77777777" w:rsidR="00E92A70" w:rsidRPr="00A3404C" w:rsidRDefault="00E92A70" w:rsidP="00E92A70">
      <w:pPr>
        <w:rPr>
          <w:sz w:val="16"/>
          <w:szCs w:val="16"/>
        </w:rPr>
      </w:pPr>
      <w:r w:rsidRPr="00A3404C">
        <w:rPr>
          <w:sz w:val="16"/>
          <w:szCs w:val="16"/>
        </w:rPr>
        <w:t>But just as our conclusion that capital punishment is not always unconstitutional did not preclude later decisions holding that it is sometimes impermissibly cruel, so it is equally clear that a decision upholding a general statutory prohibition of assisted suicide does not mean that every possible application of the statute would bevalid. A State, like Washington, that has authorized the death penalty and thereby has concluded that the sanctity of human life does not require that it always be preserved, must acknowledge that there are situations in which an interest in hastening death is legitimate. Indeed, not only is that interest sometimes legitimate, I am also convinced that there are times when it is entitled to constitutional protection.</w:t>
      </w:r>
    </w:p>
    <w:p w14:paraId="40B63C5F" w14:textId="77777777" w:rsidR="00E92A70" w:rsidRPr="00A3404C" w:rsidRDefault="00E92A70" w:rsidP="00E92A70">
      <w:pPr>
        <w:rPr>
          <w:sz w:val="16"/>
          <w:szCs w:val="16"/>
        </w:rPr>
      </w:pPr>
      <w:r w:rsidRPr="00A3404C">
        <w:rPr>
          <w:sz w:val="16"/>
          <w:szCs w:val="16"/>
        </w:rPr>
        <w:t>Here there is an implicit recognition of existing exceptions to hastening death. Stevens goes on to illustrate further the indeterminacies extant in cases which refer to death control</w:t>
      </w:r>
    </w:p>
    <w:p w14:paraId="2A36CEA5" w14:textId="77777777" w:rsidR="00E92A70" w:rsidRPr="00A3404C" w:rsidRDefault="00E92A70" w:rsidP="00E92A70">
      <w:pPr>
        <w:rPr>
          <w:sz w:val="16"/>
          <w:szCs w:val="16"/>
        </w:rPr>
      </w:pPr>
      <w:r w:rsidRPr="00A3404C">
        <w:rPr>
          <w:sz w:val="16"/>
          <w:szCs w:val="16"/>
        </w:rPr>
        <w:t>The Cruzan case demonstrated that some state intrusions on the right to decide how death will be encountered are also intolerable. The now deceased plaintiffs in this action may in fact have had a liberty interest even stronger than Nancy Cruzan’s because, not only were they terminally ill, they were suffering constant and severe pain. . . . Although there is no absolute right to physician assisted suicide, Cruzan makes it clear that some individuals who no longer have the option of deciding whether to live or to die because they are already on the threshold of death have a constitutionally protected interest that may outweigh the State’s interest in preserving life at all costs. . . . It is an interest in deciding how, rather than whether, a critical threshold shall be crossed. (521 US 702 (1997) 745)</w:t>
      </w:r>
    </w:p>
    <w:p w14:paraId="13A26A62" w14:textId="77777777" w:rsidR="00E92A70" w:rsidRPr="00A3404C" w:rsidRDefault="00E92A70" w:rsidP="00E92A70">
      <w:pPr>
        <w:rPr>
          <w:sz w:val="16"/>
          <w:szCs w:val="16"/>
        </w:rPr>
      </w:pPr>
      <w:r w:rsidRPr="00A3404C">
        <w:rPr>
          <w:sz w:val="16"/>
          <w:szCs w:val="16"/>
        </w:rPr>
        <w:t>In Stevens’ opinion we witness a move from a threshold to a critical threshold. In this move we can see a shift from the normative prohibition on assisted suicide – the whether – to the regulatory practise of death control – the how. This judicial recognition of the how opens a space in which a different attitude towards the issue may emerge. Justice Stevens goes on to point out that the Court’s decision here was far from definitive:</w:t>
      </w:r>
    </w:p>
    <w:p w14:paraId="58D7EE4B" w14:textId="77777777" w:rsidR="00E92A70" w:rsidRPr="00A3404C" w:rsidRDefault="00E92A70" w:rsidP="00E92A70">
      <w:pPr>
        <w:rPr>
          <w:sz w:val="16"/>
          <w:szCs w:val="16"/>
        </w:rPr>
      </w:pPr>
      <w:r w:rsidRPr="00A3404C">
        <w:rPr>
          <w:sz w:val="16"/>
          <w:szCs w:val="16"/>
        </w:rPr>
        <w:t>I do not, however, foreclose the possibility that an individual plaintiff seeking to hasten her death, or a doctor whose assistance was sought, could prevail in a more particularized challenge. Future cases will determine whether such a challenge may succeed. (521 US 702 (1997) 750)</w:t>
      </w:r>
    </w:p>
    <w:p w14:paraId="6EDD9207" w14:textId="77777777" w:rsidR="00E92A70" w:rsidRPr="00A3404C" w:rsidRDefault="00E92A70" w:rsidP="00E92A70">
      <w:pPr>
        <w:rPr>
          <w:sz w:val="16"/>
        </w:rPr>
      </w:pPr>
      <w:r w:rsidRPr="00A3404C">
        <w:rPr>
          <w:sz w:val="16"/>
        </w:rPr>
        <w:t xml:space="preserve">Stevens points tantalisingly to the possibility of other interpretations but does not cross the normative threshold in this case. He speaks of regulating the how but then in the same move defers the decision. </w:t>
      </w:r>
      <w:r w:rsidRPr="00534FA5">
        <w:rPr>
          <w:rStyle w:val="StyleUnderline"/>
        </w:rPr>
        <w:t>The raising of the possibility of a critical threshold at least acknowledges that the law participates in death control, rather than the disingenuous speech of some of the Justices who seek an uncomplicated right or wrong answer to the dilemma</w:t>
      </w:r>
      <w:r w:rsidRPr="00A3404C">
        <w:rPr>
          <w:sz w:val="16"/>
        </w:rPr>
        <w:t>.</w:t>
      </w:r>
    </w:p>
    <w:p w14:paraId="45380E21" w14:textId="77777777" w:rsidR="00E92A70" w:rsidRPr="00A3404C" w:rsidRDefault="00E92A70" w:rsidP="00E92A70">
      <w:pPr>
        <w:rPr>
          <w:sz w:val="16"/>
          <w:szCs w:val="16"/>
        </w:rPr>
      </w:pPr>
      <w:r w:rsidRPr="00A3404C">
        <w:rPr>
          <w:sz w:val="16"/>
          <w:szCs w:val="16"/>
        </w:rPr>
        <w:t>Justice Souter speaks in a manner similar to Stevens, but ultimately decides to defer, when he observes:</w:t>
      </w:r>
    </w:p>
    <w:p w14:paraId="1282DDEF" w14:textId="77777777" w:rsidR="00E92A70" w:rsidRPr="00A3404C" w:rsidRDefault="00E92A70" w:rsidP="00E92A70">
      <w:pPr>
        <w:rPr>
          <w:sz w:val="16"/>
          <w:szCs w:val="16"/>
        </w:rPr>
      </w:pPr>
      <w:r w:rsidRPr="00A3404C">
        <w:rPr>
          <w:sz w:val="16"/>
          <w:szCs w:val="16"/>
        </w:rPr>
        <w:t>There can be no stronger claim to a physician’s assistance than at the time when death is imminent. . . . . . . the importance of the individual interest here . . . cannot be gainsaid. Whether that interest might in some circumstances, or at some time, be seen as ‘fundamental’ to the degree entitled to prevail is not, however, a conclusion that I need to draw here, for I am satisfied that the State’s interests . . . are sufficiently serious to defeat the present claim. (521 U.S. 702 (1997) 781–2)</w:t>
      </w:r>
    </w:p>
    <w:p w14:paraId="4188DA6A" w14:textId="77777777" w:rsidR="00E92A70" w:rsidRPr="00534FA5" w:rsidRDefault="00E92A70" w:rsidP="00E92A70">
      <w:pPr>
        <w:rPr>
          <w:rStyle w:val="StyleUnderline"/>
        </w:rPr>
      </w:pPr>
      <w:r w:rsidRPr="00A3404C">
        <w:rPr>
          <w:sz w:val="16"/>
        </w:rPr>
        <w:t xml:space="preserve">Both Souter and Stevens admit that a right to physician-assisted suicide may be possible and desirable and supported by constitutional tradition, but not in this case. Souter and Stevens disrupt the judgement p resented by Rehnquist in which he creates a synthetic past and tradition out of the ritual recitation of precedent, in a narrative which presents an uninterrupted present leading to a perfect future, built on an idealised past. </w:t>
      </w:r>
      <w:r w:rsidRPr="00534FA5">
        <w:rPr>
          <w:rStyle w:val="StyleUnderline"/>
        </w:rPr>
        <w:t xml:space="preserve">Through the ritual incantation of precedent </w:t>
      </w:r>
      <w:r w:rsidRPr="00534FA5">
        <w:rPr>
          <w:rStyle w:val="Emphasis"/>
        </w:rPr>
        <w:t>Rehnquist dawdles on a synthetic boundary between life and death</w:t>
      </w:r>
      <w:r w:rsidRPr="00534FA5">
        <w:rPr>
          <w:rStyle w:val="StyleUnderline"/>
        </w:rPr>
        <w:t xml:space="preserve">. In this sense </w:t>
      </w:r>
      <w:r w:rsidRPr="00534FA5">
        <w:rPr>
          <w:rStyle w:val="Emphasis"/>
        </w:rPr>
        <w:t>what is revealed in the judgement is the very tension within the judgement between a politics of ordering and a politics of becoming.</w:t>
      </w:r>
    </w:p>
    <w:p w14:paraId="3A2FDE03" w14:textId="77777777" w:rsidR="00E92A70" w:rsidRPr="00A3404C" w:rsidRDefault="00E92A70" w:rsidP="00E92A70">
      <w:pPr>
        <w:rPr>
          <w:sz w:val="16"/>
        </w:rPr>
      </w:pPr>
      <w:r w:rsidRPr="00A3404C">
        <w:rPr>
          <w:sz w:val="16"/>
        </w:rPr>
        <w:t xml:space="preserve">The legal text operates in a similar way to other texts or forms of writing. </w:t>
      </w:r>
      <w:r w:rsidRPr="00534FA5">
        <w:rPr>
          <w:rStyle w:val="StyleUnderline"/>
        </w:rPr>
        <w:t>Legal writing can, to paraphrase Gilles Deleuze, be ‘either a way of reterritoralizing oneself, conforming to a code of dominant utterances, to a territory of established states of things’</w:t>
      </w:r>
      <w:r w:rsidRPr="00A3404C">
        <w:rPr>
          <w:sz w:val="16"/>
        </w:rPr>
        <w:t xml:space="preserve"> (Deleuze and Parnet, 1987, p. 74), or it is ‘becoming, becoming something other than a writer, since what is becoming at the same time becomes something other than writing’ (Deleuze, and Parnet, 199, p. 74). This is also the case within the writing of the judges in this case. On the one hand we have the writing of Rehnquist who reterritorialises in his judgement and forces citizens and himself to conform to a perceived state of dominant utterances, a particular tradition, an ordering of the citizen. Thecontrolled writing of the judge attempts to defer the becoming </w:t>
      </w:r>
      <w:r w:rsidRPr="00A3404C">
        <w:rPr>
          <w:sz w:val="16"/>
        </w:rPr>
        <w:lastRenderedPageBreak/>
        <w:t>possible of the right to die with assistance. On the other hand, there is the  writing of Souter and Stevens which points to the becoming possible of a right to p hysician-assisted suicide in future cases.</w:t>
      </w:r>
    </w:p>
    <w:p w14:paraId="5964FA32" w14:textId="77777777" w:rsidR="00E92A70" w:rsidRPr="00A3404C" w:rsidRDefault="00E92A70" w:rsidP="00E92A70">
      <w:pPr>
        <w:rPr>
          <w:sz w:val="16"/>
        </w:rPr>
      </w:pPr>
      <w:r w:rsidRPr="00A3404C">
        <w:rPr>
          <w:sz w:val="16"/>
        </w:rPr>
        <w:t xml:space="preserve">The concurring opinions particularly of Stevens and Souter point to the possibility in a given case of a right emerging, which supports the legalisation of physician-assisted suicide. Within the case itself the problematic case of physician-assisted suicide ‘threatens to bring what’s been established back into question’ (Deleuze, 1995, p. 153). </w:t>
      </w:r>
      <w:r w:rsidRPr="007A54D2">
        <w:rPr>
          <w:rStyle w:val="StyleUnderline"/>
        </w:rPr>
        <w:t>In other words there is a tension between, on the one hand, the established notion of a right to life, and on the other, the problematic case of the individual who would prefer not to live a degraded existence. What is at stake in this very tension, to paraphrase Deleuze, is not the ritual application of human rights principles but the possibility of ‘inventing jurisprudences’.</w:t>
      </w:r>
      <w:r w:rsidRPr="00A3404C">
        <w:rPr>
          <w:sz w:val="16"/>
        </w:rPr>
        <w:t xml:space="preserve"> As Deleuze observes, ‘There are no human rights, there is life, and there are life rights. . . . That’s what being on the left is about. It’s creating the right’ (Deleuze, 1996, p. 40</w:t>
      </w:r>
    </w:p>
    <w:p w14:paraId="11DF3997" w14:textId="77777777" w:rsidR="00E92A70" w:rsidRPr="004D0E9A" w:rsidRDefault="00E92A70" w:rsidP="00E92A70"/>
    <w:p w14:paraId="3BF1443A" w14:textId="54D01EC0" w:rsidR="00E92A70" w:rsidRDefault="00E92A70" w:rsidP="00E747BF">
      <w:pPr>
        <w:pStyle w:val="Heading3"/>
      </w:pPr>
      <w:r>
        <w:lastRenderedPageBreak/>
        <w:t>DNA</w:t>
      </w:r>
    </w:p>
    <w:p w14:paraId="48D6A798" w14:textId="77777777" w:rsidR="00E92A70" w:rsidRPr="00ED1F1A" w:rsidRDefault="00E92A70" w:rsidP="00E92A70">
      <w:pPr>
        <w:pStyle w:val="Heading4"/>
      </w:pPr>
      <w:r>
        <w:t>The aff’s myopic focus on DNA profiling relies on a misunderstanding of control as hierarchical when contemporary control societies render it rhizomatic – ensures the reproduction of their impacts</w:t>
      </w:r>
    </w:p>
    <w:p w14:paraId="6DE843D0" w14:textId="77777777" w:rsidR="00E92A70" w:rsidRPr="000F60A1" w:rsidRDefault="00E92A70" w:rsidP="00E92A70">
      <w:pPr>
        <w:rPr>
          <w:rStyle w:val="Style13ptBold"/>
        </w:rPr>
      </w:pPr>
      <w:r w:rsidRPr="000F60A1">
        <w:rPr>
          <w:rStyle w:val="Style13ptBold"/>
        </w:rPr>
        <w:t>Rose 2K</w:t>
      </w:r>
    </w:p>
    <w:p w14:paraId="027E7B5A" w14:textId="77777777" w:rsidR="00E92A70" w:rsidRDefault="00E92A70" w:rsidP="00E92A70">
      <w:r>
        <w:t>[Nikolas, Department of Sociology, Goldsmiths College, University of London, “GOVERNMENT AND CONTROL” British Journal of Criminology, No. 40 pgs 321-339, http://profmex.org/mexicoandtheworld/volume19/5winter2014/Artikkel_rose.pdf]</w:t>
      </w:r>
    </w:p>
    <w:p w14:paraId="494ED7AE" w14:textId="77777777" w:rsidR="00E92A70" w:rsidRDefault="00E92A70" w:rsidP="00E92A70">
      <w:r>
        <w:t>Inclusion: Circuits of Security</w:t>
      </w:r>
    </w:p>
    <w:p w14:paraId="70B4F997" w14:textId="77777777" w:rsidR="00E92A70" w:rsidRPr="000F60A1" w:rsidRDefault="00E92A70" w:rsidP="00E92A70">
      <w:pPr>
        <w:rPr>
          <w:rStyle w:val="StyleUnderline"/>
        </w:rPr>
      </w:pPr>
      <w:r>
        <w:t xml:space="preserve"> In advanced liberal societies, one family of control practices operates by affiliating subjects into a whole variety of practices in which the modulation of conduct according to certain norms is, as it were, designed in. These are the practices that Deleuze referred to in his thesis that we now lived in ‘societies of control’ (1995</w:t>
      </w:r>
      <w:r w:rsidRPr="000F60A1">
        <w:rPr>
          <w:rStyle w:val="StyleUnderline"/>
        </w:rPr>
        <w:t>). In disciplinary societies it was a matter of procession from one disciplinary institution to another—school, barracks, factory . . . —each seeking to mould conduct by inscribing enduring corporeal and behavioural competences</w:t>
      </w:r>
      <w:r>
        <w:t xml:space="preserve">, and persisting practices of self-scrutiny and selfconstraint into the soul. </w:t>
      </w:r>
      <w:r w:rsidRPr="000F60A1">
        <w:rPr>
          <w:rStyle w:val="StyleUnderline"/>
        </w:rPr>
        <w:t>Control society is one of constant and never ending modulation where the modulation occurs within the flows and transactions between the forces and capacities of the human subject and the practices in which he or she participates</w:t>
      </w:r>
      <w:r>
        <w:t xml:space="preserve">. </w:t>
      </w:r>
      <w:r w:rsidRPr="000F60A1">
        <w:rPr>
          <w:rStyle w:val="StyleUnderline"/>
        </w:rPr>
        <w:t>One is always in continuous training, life-long learning, perpetual assessment, continual incitement to buy, to improve oneself, constant monitoring of health and never-ending risk management.</w:t>
      </w:r>
      <w:r>
        <w:t xml:space="preserve"> </w:t>
      </w:r>
      <w:r w:rsidRPr="000F60A1">
        <w:rPr>
          <w:rStyle w:val="StyleUnderline"/>
        </w:rPr>
        <w:t>Control is not centralized but dispersed, it flows though a network of open circuits that are rhizomatic and not hierarchical</w:t>
      </w:r>
      <w:r>
        <w:t xml:space="preserve">. In such a regime of control, we are not dealing with subjects with a unique personality that is the expression of some inner fixed quality, but with elements, capacities, potentialities. </w:t>
      </w:r>
      <w:r w:rsidRPr="000F60A1">
        <w:rPr>
          <w:rStyle w:val="StyleUnderline"/>
        </w:rPr>
        <w:t>These are plugged into multiple orbits, identified by unique codes, identification numbers, profiles of preferences, security ratings and so forth: a ‘record’ containing a whole variety of bits of information on our credentials, activities, qualifications for entry into this or that network</w:t>
      </w:r>
    </w:p>
    <w:p w14:paraId="69D7FC5B" w14:textId="77777777" w:rsidR="00E92A70" w:rsidRDefault="00E92A70" w:rsidP="00E92A70">
      <w:r>
        <w:t xml:space="preserve">In our societies of control, </w:t>
      </w:r>
      <w:r w:rsidRPr="00ED1F1A">
        <w:rPr>
          <w:rStyle w:val="StyleUnderline"/>
        </w:rPr>
        <w:t>it is not a question of socializing and disciplining the subject ab initio. It is not a question of instituting a regime in which each person is permanently under the alien gaze of the eye of power exercising individualizing surveillance. It is not a matter of apprehending and normalizing the offender ex post facto</w:t>
      </w:r>
      <w:r>
        <w:t xml:space="preserve">. </w:t>
      </w:r>
      <w:r w:rsidRPr="00ED1F1A">
        <w:rPr>
          <w:rStyle w:val="StyleUnderline"/>
        </w:rPr>
        <w:t>Conduct is continually monitored and reshaped by logics immanent within all networks of practice</w:t>
      </w:r>
      <w:r>
        <w:t xml:space="preserve">. </w:t>
      </w:r>
      <w:r w:rsidRPr="00ED1F1A">
        <w:rPr>
          <w:rStyle w:val="Emphasis"/>
        </w:rPr>
        <w:t>Surveillance is ‘designed in’ to the flows of everyday existence</w:t>
      </w:r>
      <w:r>
        <w:t xml:space="preserve">. In these circuits of inclusion, the </w:t>
      </w:r>
      <w:r w:rsidRPr="00ED1F1A">
        <w:rPr>
          <w:rStyle w:val="StyleUnderline"/>
        </w:rPr>
        <w:t>calculated modulation of conduct according to principles of optimization of benign impulses and minimization of malign impulses is dispersed across the time and space of ordinary life</w:t>
      </w:r>
      <w:r>
        <w:t xml:space="preserve">. This is not a rehearsal of the sociological thesis perhaps first proposed by E. A. Ross, who, in 1894, ‘jotted down 33 ways in which society exercised social control . . . [and then] proceeded to develop these preliminary thoughts into the organizing principles of sociology’: the assertion that informal controls upon conduct are exercised in all areas of social life (Kay 1993: 22–3; cf. Ross 1901; Hamilton and Sutton 1989: 14–15, Lumley 1925; Rose 1999: 120–4). For what is entailed here is the calculated </w:t>
      </w:r>
      <w:r>
        <w:lastRenderedPageBreak/>
        <w:t>instrumentalization and enhancement of control features that are potential within a whole variety of practices in the service or specific projects for the management of conduct.</w:t>
      </w:r>
    </w:p>
    <w:p w14:paraId="1DF91B7B" w14:textId="77777777" w:rsidR="00E92A70" w:rsidRDefault="00E92A70" w:rsidP="00E92A70">
      <w:r>
        <w:t xml:space="preserve">Inclusive identities </w:t>
      </w:r>
    </w:p>
    <w:p w14:paraId="78A01127" w14:textId="77777777" w:rsidR="00E92A70" w:rsidRPr="00ED1F1A" w:rsidRDefault="00E92A70" w:rsidP="00E92A70">
      <w:pPr>
        <w:rPr>
          <w:rStyle w:val="StyleUnderline"/>
        </w:rPr>
      </w:pPr>
      <w:r>
        <w:t xml:space="preserve">Perhaps </w:t>
      </w:r>
      <w:r w:rsidRPr="00ED1F1A">
        <w:rPr>
          <w:rStyle w:val="StyleUnderline"/>
        </w:rPr>
        <w:t>the clearest example of such control strategies concerns identity itself. The exercise of freedom in the regulated societies of consumption that took shape in the second half of the twentieth century required incessant proof of legitimate identity.</w:t>
      </w:r>
      <w:r>
        <w:t xml:space="preserve"> These link identification, individuation and control: computer-readable passports, driving licences with unique identification codes, social insurance numbers, bank cards,</w:t>
      </w:r>
      <w:r w:rsidRPr="000F60A1">
        <w:t xml:space="preserve"> </w:t>
      </w:r>
      <w:r>
        <w:t xml:space="preserve">credit cards, debit cards electronically checking available resources at the point of sale, store cards . . . —the list could be prolonged (cf. Gandy 1993; Gordon 1987; Marx 1988; Poster 1990; Webster and Robins 1986). </w:t>
      </w:r>
      <w:r w:rsidRPr="00ED1F1A">
        <w:rPr>
          <w:rStyle w:val="StyleUnderline"/>
        </w:rPr>
        <w:t>Each identifies the bearer with a virtual identity—a database record storing personal details—whilst at the same time allowing access to various privileges. Each access to such a privilege, for example the purchase of an item using a credit card, entails a further entry upon the database, a further accretion to the virtual identity. Access to other privileges, to mortgages, to credit purchase facilities, to accounts allowing use of telephone, electricity or gas, is dependent upon the provider accessing and checking these databases, through specialist intermediaries</w:t>
      </w:r>
      <w:r>
        <w:t xml:space="preserve">. Other </w:t>
      </w:r>
      <w:r w:rsidRPr="00ED1F1A">
        <w:rPr>
          <w:rStyle w:val="Emphasis"/>
        </w:rPr>
        <w:t>databases, such as those of criminal records, may be linked into these circuits of information flow</w:t>
      </w:r>
      <w:r>
        <w:t xml:space="preserve">; </w:t>
      </w:r>
      <w:r w:rsidRPr="00ED1F1A">
        <w:rPr>
          <w:rStyle w:val="StyleUnderline"/>
        </w:rPr>
        <w:t>government agencies use computer matching facilities to compare data from different sources in order to identify miscreants</w:t>
      </w:r>
      <w:r>
        <w:t xml:space="preserve">, for example those making false claims for social security benefits. </w:t>
      </w:r>
      <w:r w:rsidRPr="00ED1F1A">
        <w:rPr>
          <w:rStyle w:val="StyleUnderline"/>
        </w:rPr>
        <w:t>Information on driving licences can be linked with police and court records in criminal investigations. Insurance companies check databases held by banks and credit card companies in order to identify bad risks</w:t>
      </w:r>
      <w:r>
        <w:t xml:space="preserve">. </w:t>
      </w:r>
      <w:r w:rsidRPr="00ED1F1A">
        <w:rPr>
          <w:rStyle w:val="Emphasis"/>
        </w:rPr>
        <w:t>Proposals are made for national databanks of ‘DNA fingerprints’ in which the identity of each individual, written indelibly in their body, will act as a unique identifier that will not only qualify or disqualify them for entry into these circuits of consumption but will also identify them in a ho</w:t>
      </w:r>
      <w:r>
        <w:rPr>
          <w:rStyle w:val="Emphasis"/>
        </w:rPr>
        <w:t xml:space="preserve">st of other potential encounters. </w:t>
      </w:r>
      <w:r w:rsidRPr="00ED1F1A">
        <w:rPr>
          <w:rStyle w:val="StyleUnderline"/>
        </w:rPr>
        <w:t>Critics have tended to stress the totalitarian potentials in the dissemination of networks of surveillance across the territory of everyday life</w:t>
      </w:r>
      <w:r>
        <w:t xml:space="preserve"> (see Marx 1988 for this list). They overcome the barriers of space and time involved in physical surveillance; they are not labour intensive; they are of low visibility; they are of high durability; they have high transferability across domains; they are largely involuntary or participated in as an uncalculated side-effect of some other action; they are pre-emptive and preventive, denying access to benefits on the basis of what one might do rather than apprehending one after the act; they are amenable to rapid augmentation as new modes of identification come on stream. But </w:t>
      </w:r>
      <w:r w:rsidRPr="00ED1F1A">
        <w:rPr>
          <w:rStyle w:val="Emphasis"/>
        </w:rPr>
        <w:t>the image of a ‘maximum security society’ or an ‘electronic Panopticon’ is misleading</w:t>
      </w:r>
      <w:r>
        <w:t xml:space="preserve"> (cf. Lyon 1994). </w:t>
      </w:r>
      <w:r w:rsidRPr="00ED1F1A">
        <w:rPr>
          <w:rStyle w:val="Emphasis"/>
        </w:rPr>
        <w:t>Totalitarian control is neither the intended or unintended consequence of the new technologies of securitization of identity</w:t>
      </w:r>
      <w:r>
        <w:t xml:space="preserve">. Of course, </w:t>
      </w:r>
      <w:r w:rsidRPr="00ED1F1A">
        <w:rPr>
          <w:rStyle w:val="StyleUnderline"/>
        </w:rPr>
        <w:t>there is no doubt that law enforcement agencies and other similar control agencies will utilize these new sources of information in any ways that they can. They will use them to identify and monitor offenders</w:t>
      </w:r>
      <w:r>
        <w:t xml:space="preserve">. </w:t>
      </w:r>
      <w:r w:rsidRPr="00ED1F1A">
        <w:rPr>
          <w:rStyle w:val="StyleUnderline"/>
        </w:rPr>
        <w:t xml:space="preserve">They may also utilize them to profile and identify potentially pathological individuals and groups. </w:t>
      </w:r>
      <w:r w:rsidRPr="00ED1F1A">
        <w:rPr>
          <w:rStyle w:val="Emphasis"/>
        </w:rPr>
        <w:t>But the control practices of identification that do not principally involve the tentacles of the state are spreading across everyday life</w:t>
      </w:r>
      <w:r>
        <w:t xml:space="preserve">. The </w:t>
      </w:r>
      <w:r w:rsidRPr="00ED1F1A">
        <w:rPr>
          <w:rStyle w:val="StyleUnderline"/>
        </w:rPr>
        <w:t>securitization of identity is dispersed and disorganized. Problems of the individualization of the citizen have formed in a whole variety of sites and practices—of consumption, of finance, of police, of health, of insurance—to which securitization of identity can appear as a solution</w:t>
      </w:r>
      <w:r>
        <w:t xml:space="preserve">. </w:t>
      </w:r>
      <w:r w:rsidRPr="00ED1F1A">
        <w:rPr>
          <w:rStyle w:val="StyleUnderline"/>
        </w:rPr>
        <w:t xml:space="preserve">Does </w:t>
      </w:r>
      <w:r w:rsidRPr="00ED1F1A">
        <w:rPr>
          <w:rStyle w:val="StyleUnderline"/>
        </w:rPr>
        <w:lastRenderedPageBreak/>
        <w:t>this person have sufficient funds to make this purchase; is this citizen entitled to enter this national territory; is this person creditworthy; is this individual a potential suspect in this criminal case; is this person a good insurance risk?</w:t>
      </w:r>
      <w:r>
        <w:t xml:space="preserve"> The image of </w:t>
      </w:r>
      <w:r w:rsidRPr="00ED1F1A">
        <w:rPr>
          <w:rStyle w:val="StyleUnderline"/>
        </w:rPr>
        <w:t>control by totalizing surveillance is misleading</w:t>
      </w:r>
      <w:r>
        <w:t xml:space="preserve">. </w:t>
      </w:r>
      <w:r w:rsidRPr="00ED1F1A">
        <w:rPr>
          <w:rStyle w:val="Emphasis"/>
        </w:rPr>
        <w:t>Control is better understood as operating through conditional access to circuits of consumption and civility:</w:t>
      </w:r>
      <w:r>
        <w:t xml:space="preserve"> </w:t>
      </w:r>
      <w:r w:rsidRPr="00ED1F1A">
        <w:rPr>
          <w:rStyle w:val="StyleUnderline"/>
        </w:rPr>
        <w:t>constant scrutiny of the right of individuals to access certain kinds of flows of consumption goods; recurrent switch points to be passed in order to access the benefits of libertyst of other potential encounters</w:t>
      </w:r>
    </w:p>
    <w:p w14:paraId="2FBEEC58" w14:textId="77777777" w:rsidR="00E92A70" w:rsidRDefault="00E92A70" w:rsidP="00E92A70">
      <w:pPr>
        <w:rPr>
          <w:rStyle w:val="Emphasis"/>
        </w:rPr>
      </w:pPr>
      <w:r>
        <w:t xml:space="preserve">Control, here, is related to the very form that citizenship had been given by the close of the twentieth century. </w:t>
      </w:r>
      <w:r w:rsidRPr="00ED1F1A">
        <w:rPr>
          <w:rStyle w:val="StyleUnderline"/>
        </w:rPr>
        <w:t>Citizenship is not primarily realized in a relation with the state, nor does it involve participation in a uniform public sphere; citizenship, rather, entails active engagement in a diversified and dispersed variety of private, corporate and quasi-corporate practices,</w:t>
      </w:r>
      <w:r>
        <w:t xml:space="preserve"> of which working and shopping are paradigmatic. In this context, </w:t>
      </w:r>
      <w:r w:rsidRPr="00ED1F1A">
        <w:rPr>
          <w:rStyle w:val="StyleUnderline"/>
        </w:rPr>
        <w:t xml:space="preserve">the securitization of identity is a control strategy that operates by securing the obligatory access points for the exercise of such </w:t>
      </w:r>
      <w:r w:rsidRPr="00ED1F1A">
        <w:rPr>
          <w:rStyle w:val="Emphasis"/>
        </w:rPr>
        <w:t>active citizenship</w:t>
      </w:r>
      <w:r>
        <w:t xml:space="preserve">. </w:t>
      </w:r>
      <w:r w:rsidRPr="00ED1F1A">
        <w:rPr>
          <w:rStyle w:val="StyleUnderline"/>
        </w:rPr>
        <w:t>This strategy produces the obligation to continuously and repeatedly evidence one’s citizenship credentials as one recurrently links oneself into the circuits of civility</w:t>
      </w:r>
      <w:r>
        <w:t xml:space="preserve">. In a society of control, </w:t>
      </w:r>
      <w:r w:rsidRPr="00ED1F1A">
        <w:rPr>
          <w:rStyle w:val="StyleUnderline"/>
        </w:rPr>
        <w:t>a politics of conduct is designed into the fabric of existence itself, into the organization of space, time, visibility, circuits of communication. And these enwrap each individual life decision and action—about labour, purchases, debts, credits, lifestyle, sexual contacts and the like</w:t>
      </w:r>
      <w:r>
        <w:t xml:space="preserve">—in a web of incitements, rewards, current sanctions and forebodings of future sanctions which serve to enjoin each citizen to maintain particular types of control over their conduct. These </w:t>
      </w:r>
      <w:r w:rsidRPr="00ED1F1A">
        <w:rPr>
          <w:rStyle w:val="StyleUnderline"/>
        </w:rPr>
        <w:t>assemblages which entail the securitization of identity are not unified, but dispersed, not hierarchical but rhizomatic</w:t>
      </w:r>
      <w:r>
        <w:t xml:space="preserve">, not totalized but connected in a web or relays and relations. But </w:t>
      </w:r>
      <w:r w:rsidRPr="00ED1F1A">
        <w:rPr>
          <w:rStyle w:val="Emphasis"/>
        </w:rPr>
        <w:t>in policing the obligatory access points to the practices of inclusion, they inescapably generate novel forms of exclusion.</w:t>
      </w:r>
    </w:p>
    <w:p w14:paraId="4A7DCA74" w14:textId="77777777" w:rsidR="00E92A70" w:rsidRDefault="00E92A70" w:rsidP="00E92A70">
      <w:pPr>
        <w:rPr>
          <w:rStyle w:val="Emphasis"/>
        </w:rPr>
      </w:pPr>
    </w:p>
    <w:p w14:paraId="4F3895C6" w14:textId="77777777" w:rsidR="00E92A70" w:rsidRPr="00E92A70" w:rsidRDefault="00E92A70" w:rsidP="00E92A70"/>
    <w:p w14:paraId="322DA621" w14:textId="77777777" w:rsidR="00E92A70" w:rsidRPr="00E92A70" w:rsidRDefault="00E92A70" w:rsidP="00E92A70"/>
    <w:p w14:paraId="0CD42857" w14:textId="77777777" w:rsidR="00E92A70" w:rsidRDefault="00E92A70">
      <w:pPr>
        <w:spacing w:after="0" w:line="240" w:lineRule="auto"/>
        <w:rPr>
          <w:rFonts w:eastAsiaTheme="majorEastAsia" w:cstheme="majorBidi"/>
          <w:b/>
          <w:bCs/>
          <w:sz w:val="32"/>
          <w:szCs w:val="32"/>
          <w:u w:val="single"/>
        </w:rPr>
      </w:pPr>
      <w:r>
        <w:br w:type="page"/>
      </w:r>
    </w:p>
    <w:p w14:paraId="0816BE26" w14:textId="31D328E2" w:rsidR="002F1948" w:rsidRDefault="00E92A70" w:rsidP="00E747BF">
      <w:pPr>
        <w:pStyle w:val="Heading3"/>
      </w:pPr>
      <w:r>
        <w:lastRenderedPageBreak/>
        <w:t>N</w:t>
      </w:r>
      <w:r w:rsidR="002F1948">
        <w:t xml:space="preserve">uclear War </w:t>
      </w:r>
    </w:p>
    <w:p w14:paraId="45BED779" w14:textId="6A405E57" w:rsidR="002F1948" w:rsidRPr="002F1948" w:rsidRDefault="002F1948" w:rsidP="002F1948">
      <w:pPr>
        <w:pStyle w:val="Heading4"/>
        <w:rPr>
          <w:rStyle w:val="Style13ptBold"/>
          <w:b/>
          <w:bCs w:val="0"/>
        </w:rPr>
      </w:pPr>
      <w:r w:rsidRPr="002F1948">
        <w:rPr>
          <w:rStyle w:val="Style13ptBold"/>
          <w:b/>
          <w:bCs w:val="0"/>
        </w:rPr>
        <w:t>Their nuclear war impacts rely on the the logic of preemption and deterrence – whereby a future event is converted from a potential effect into an immanent cause. In the context of nuclear weapons specifically, this transfers the potential for nuclear weapons use from a potential epistemological condition into an immanent ontological experience of everyday life.</w:t>
      </w:r>
      <w:r>
        <w:rPr>
          <w:rStyle w:val="Style13ptBold"/>
          <w:b/>
          <w:bCs w:val="0"/>
        </w:rPr>
        <w:t xml:space="preserve"> </w:t>
      </w:r>
      <w:r w:rsidRPr="002F1948">
        <w:rPr>
          <w:rStyle w:val="Style13ptBold"/>
          <w:b/>
          <w:bCs w:val="0"/>
        </w:rPr>
        <w:t xml:space="preserve">Moreover, by relying on the psychological assumption that human self-interest ensures the avoidance of mutually assured destruction, nuclear deterrence is the penultimate expression of humanism. </w:t>
      </w:r>
    </w:p>
    <w:p w14:paraId="2BB177D2" w14:textId="709A4B1C" w:rsidR="002F1948" w:rsidRPr="002F1948" w:rsidRDefault="002F1948" w:rsidP="002F1948">
      <w:pPr>
        <w:jc w:val="both"/>
        <w:rPr>
          <w:rFonts w:ascii="Times New Roman" w:eastAsia="Times New Roman" w:hAnsi="Times New Roman" w:cs="Times New Roman"/>
        </w:rPr>
      </w:pPr>
      <w:r w:rsidRPr="00943258">
        <w:rPr>
          <w:rStyle w:val="Style13ptBold"/>
        </w:rPr>
        <w:t>Massumi 15</w:t>
      </w:r>
      <w:r>
        <w:rPr>
          <w:rFonts w:ascii="Times New Roman" w:eastAsia="Times New Roman" w:hAnsi="Times New Roman" w:cs="Times New Roman"/>
        </w:rPr>
        <w:t xml:space="preserve"> </w:t>
      </w:r>
      <w:r w:rsidRPr="00604646">
        <w:t>(Brian, “The Primacy of Pre</w:t>
      </w:r>
      <w:r>
        <w:t>e</w:t>
      </w:r>
      <w:r w:rsidRPr="00604646">
        <w:t>mption: The Operative Logic of Power,” in Ontopower Duke University Press, Chapter 1</w:t>
      </w:r>
      <w:r>
        <w:t xml:space="preserve"> pp. 5-9)</w:t>
      </w:r>
    </w:p>
    <w:p w14:paraId="524E870F" w14:textId="77777777" w:rsidR="002F1948" w:rsidRDefault="002F1948" w:rsidP="002F1948">
      <w:pPr>
        <w:jc w:val="both"/>
      </w:pPr>
      <w:r w:rsidRPr="00752CD7">
        <w:rPr>
          <w:rStyle w:val="Emphasis"/>
        </w:rPr>
        <w:t>Preemption is far more than a specific military doctrine of a particular administration.</w:t>
      </w:r>
      <w:r w:rsidRPr="00B3399E">
        <w:t xml:space="preserve"> It can be plausibly argued that </w:t>
      </w:r>
      <w:r w:rsidRPr="00752CD7">
        <w:rPr>
          <w:rStyle w:val="Emphasis"/>
        </w:rPr>
        <w:t xml:space="preserve">preemption is an operative logic of power defining a political epoch in as infinitely space-filling and insidiously infiltrating a way as the logic of “deterrence” defined the Cold War </w:t>
      </w:r>
      <w:r w:rsidRPr="00B3399E">
        <w:t xml:space="preserve">era. </w:t>
      </w:r>
      <w:r w:rsidRPr="00752CD7">
        <w:rPr>
          <w:rStyle w:val="Emphasis"/>
        </w:rPr>
        <w:t xml:space="preserve">By an “operative” logic I mean one that combines an ontology with an epistemology in such a way as to trace itself out as a self-propelling tendency that is not in the sway of any particular existing formation but sweeps across them all and where possible sweeps them up in its own dynamic. </w:t>
      </w:r>
      <w:r w:rsidRPr="00B3399E">
        <w:t xml:space="preserve">Preemption, Prevention, Deterrence </w:t>
      </w:r>
      <w:r w:rsidRPr="00752CD7">
        <w:rPr>
          <w:rStyle w:val="Emphasis"/>
        </w:rPr>
        <w:t xml:space="preserve">Preemption is not prevention. </w:t>
      </w:r>
      <w:r w:rsidRPr="00B3399E">
        <w:t xml:space="preserve">Although the goal of both is to neutralize threat, they fundamentally differ epistemologically and ontologically. </w:t>
      </w:r>
      <w:r w:rsidRPr="00752CD7">
        <w:rPr>
          <w:rStyle w:val="StyleUnderline"/>
        </w:rPr>
        <w:t xml:space="preserve">Epistemologically, prevention assumes an ability to assess threats empirically and identify their causes. Once the causes are identified, appropriate curative methods are sought to avoid their realization. Prevention operates in an objectively knowable world in which uncertainty is a function of a lack of information, and in which events run a predictable, linear course from cause to effect. </w:t>
      </w:r>
      <w:r w:rsidRPr="00B3399E">
        <w:t xml:space="preserve">As we will see, this is very different from </w:t>
      </w:r>
      <w:r w:rsidRPr="00752CD7">
        <w:rPr>
          <w:rStyle w:val="Emphasis"/>
        </w:rPr>
        <w:t>the epistemological premise of preemption,</w:t>
      </w:r>
      <w:r w:rsidRPr="00B3399E">
        <w:t xml:space="preserve"> which </w:t>
      </w:r>
      <w:r w:rsidRPr="00752CD7">
        <w:rPr>
          <w:rStyle w:val="Emphasis"/>
        </w:rPr>
        <w:t xml:space="preserve">entails a divergence from prevention on the ontological level </w:t>
      </w:r>
      <w:r w:rsidRPr="00B3399E">
        <w:t xml:space="preserve">as well. </w:t>
      </w:r>
      <w:r w:rsidRPr="00752CD7">
        <w:rPr>
          <w:rStyle w:val="StyleUnderline"/>
        </w:rPr>
        <w:t xml:space="preserve">Prevention, </w:t>
      </w:r>
      <w:r w:rsidRPr="00B3399E">
        <w:t xml:space="preserve">in fact, </w:t>
      </w:r>
      <w:r w:rsidRPr="00752CD7">
        <w:rPr>
          <w:rStyle w:val="StyleUnderline"/>
        </w:rPr>
        <w:t>has no ontology of its own because it assumes that what it must deal with has an objectively given existence prior to its own intervention. In practice, this means that its object is given to it predefined by other formations, in whose terms and on whose terrain it must then operate.</w:t>
      </w:r>
      <w:r w:rsidRPr="00B3399E">
        <w:t xml:space="preserve"> A preventive approach to social conflict might analyze it, for example, as an effect of poverty, objectively quantifiable in terms of economic and health indexes. Each index is defined by a specialist formation (economics, medicine) in relation to a norm specific to that domain and against which goals may be set and success measured (annual income, mortality rates, life expectancy, etc.). The preventive measures will then operate as a political extension of the concerned specialist domains (economic analysis extended into politics as aid and development, medicine extended into vaccination programs, etc.). They will be regulated by the specialist logics proper to those fields</w:t>
      </w:r>
      <w:r>
        <w:t xml:space="preserve">. </w:t>
      </w:r>
      <w:r w:rsidRPr="00752CD7">
        <w:rPr>
          <w:rStyle w:val="StyleUnderline"/>
        </w:rPr>
        <w:t>Prevention has no proper object, no operational sphere of its own, and no proprietary logic. It is derivative. It is a means toward a given end. Because of this, preventive measures are not self-sustaining. They must be applied, by an outside source. They are not an organizing force in their own right. They run on borrowed power.</w:t>
      </w:r>
      <w:r w:rsidRPr="00B3399E">
        <w:t xml:space="preserve"> Deterrence takes over at the end of this same process, when the means of prevention have failed. </w:t>
      </w:r>
      <w:r w:rsidRPr="00B57B3F">
        <w:rPr>
          <w:rStyle w:val="Emphasis"/>
        </w:rPr>
        <w:t>Deterrence</w:t>
      </w:r>
      <w:r w:rsidRPr="00B3399E">
        <w:t xml:space="preserve"> makes use of the same epistemology prevention does, in that it assumes knowability and objective measurability. However, because it </w:t>
      </w:r>
      <w:r w:rsidRPr="00B57B3F">
        <w:rPr>
          <w:rStyle w:val="Emphasis"/>
        </w:rPr>
        <w:t xml:space="preserve">starts where prevention ends, it has no margin of error. It </w:t>
      </w:r>
      <w:r w:rsidRPr="00B57B3F">
        <w:rPr>
          <w:rStyle w:val="Emphasis"/>
        </w:rPr>
        <w:lastRenderedPageBreak/>
        <w:t>must know with certainty because the threat at hand is fully formed and ready to detonate: the enemy has the bomb and the means to deliver it. The imminence of the threat means that deterrence cannot afford to subordinate itself to objects, norms, and criteria passed on to it from other domains. If it did, its ability to respond with an immediacy proportional to the imminence of the threat would be compromised. Since it would not hold the key to its own knowledge, in the urgency of the situation it would be haunted internally by the specter of a possible incompleteness of the knowledge coming from the outside. Since its operations would be mediated by that outside domain, neither would it hold a direct key to its own actions. Since it would be responding to causes outside its specific purview, it would not be master of its own effects. The only way to have the kind of epistemological immediacy necessary for deterrence is for its process to have its own cause and to hold it fast within itself. The quickest and most direct way for a process to acquire its own cause is for it to produce one. The easiest way to do this is to take the imminence of the very threat prevention has failed to neutralize and make it the foundation of a new process</w:t>
      </w:r>
      <w:r w:rsidRPr="00B3399E">
        <w:t xml:space="preserve">. In other words, </w:t>
      </w:r>
      <w:r w:rsidRPr="00B57B3F">
        <w:rPr>
          <w:rStyle w:val="Emphasis"/>
        </w:rPr>
        <w:t xml:space="preserve">the process must take the effect it seeks to avoid (nuclear annihilation) and organize itself around it, as the cause of its very own dynamic (deterrence). It must convert an effect that has yet to eventuate into a cause: a future cause. </w:t>
      </w:r>
      <w:r w:rsidRPr="00604646">
        <w:rPr>
          <w:rStyle w:val="Emphasis"/>
        </w:rPr>
        <w:t>Past causes are in any case already spoken for. They have been claimed as objects of knowledge and operational spheres by a crowded world of other already-functioning formations.</w:t>
      </w:r>
      <w:r w:rsidRPr="00B3399E">
        <w:t xml:space="preserve"> For a future cause to have any palpable effect it must somehow be able to act on the present. This is much easier to do and much less mysterious than it might sound. </w:t>
      </w:r>
      <w:r w:rsidRPr="00604646">
        <w:rPr>
          <w:rStyle w:val="Emphasis"/>
        </w:rPr>
        <w:t xml:space="preserve">You start by translating the imminent threat into a clear and present danger. You do this by acquiring a capability to realize the threat rather than prevent it. If your neighbor has a nuke, you build the nuclear weaponry that would enable you to annihilate the adversary, even at the price of annihilating yourself by precipitating a “nuclear winter.” </w:t>
      </w:r>
      <w:r w:rsidRPr="00B3399E">
        <w:t xml:space="preserve">In fact, the more capable you are of destroying yourself along with your enemy, the better. You can be certain the enemy will follow your lead in acquiring the capability to annihilate you, and themselves as well. </w:t>
      </w:r>
      <w:r w:rsidRPr="00604646">
        <w:rPr>
          <w:rStyle w:val="Emphasis"/>
        </w:rPr>
        <w:t>The imminent threat is then so imminent on both sides, so immediately present in its menacing futurity, that only a madman or suicidal regime would ever tip the balance and press the button. This gives rise to a unique logic of mutuality: “mutually assured destruction” (mad). Mutually assured destruction is equilibrium-seeking. It tends toward the creation of a “balance of terror.” mad is certainty squared: to the certainty that there is objectively a threat is added the certainty that it is balanced out</w:t>
      </w:r>
      <w:r w:rsidRPr="00B3399E">
        <w:t xml:space="preserve">. The second certainty is dynamic, and requires maintenance. </w:t>
      </w:r>
      <w:r w:rsidRPr="003E0219">
        <w:rPr>
          <w:rStyle w:val="Emphasis"/>
        </w:rPr>
        <w:t>The assurance must be maintained by continuing to produce the conditions that bring the cause so vividly into the present. You have to keep moving into the dangerous future. You have to race forward ever faster. You have to build more weapons, faster and better, to be sure that your systems match the lethality of your opponent’s, give or take a few half-lives. The process soon becomes self-driving.</w:t>
      </w:r>
      <w:r w:rsidRPr="00B3399E">
        <w:t xml:space="preserve"> The logic of mutually assured destruction becomes its own motor. It becomes self-propelling. Now that you’ve started, you can’t very well stop. </w:t>
      </w:r>
      <w:r w:rsidRPr="003E0219">
        <w:rPr>
          <w:rStyle w:val="Emphasis"/>
        </w:rPr>
        <w:t>What began as an epistemological condition</w:t>
      </w:r>
      <w:r w:rsidRPr="00B3399E">
        <w:t xml:space="preserve"> (a certainty about what you and your opponent are capable of doing) </w:t>
      </w:r>
      <w:r w:rsidRPr="003E0219">
        <w:rPr>
          <w:rStyle w:val="Emphasis"/>
        </w:rPr>
        <w:t>dynamizes into an ontology or mode of being</w:t>
      </w:r>
      <w:r w:rsidRPr="00B3399E">
        <w:t xml:space="preserve"> (a race for dear life). </w:t>
      </w:r>
      <w:r w:rsidRPr="003E0219">
        <w:rPr>
          <w:rStyle w:val="Emphasis"/>
        </w:rPr>
        <w:t>Deterrence thus qualifies as an operative logic, in that it combines its own proprietary epistemology with a unique ontology.</w:t>
      </w:r>
      <w:r w:rsidRPr="00B3399E">
        <w:t xml:space="preserve"> </w:t>
      </w:r>
      <w:r w:rsidRPr="003E0219">
        <w:rPr>
          <w:rStyle w:val="StyleUnderline"/>
        </w:rPr>
        <w:t>For the process to run smoothly, of course, it still needs to mobilize other logics borrowed from other domains. It needs, for example, quantitative measures of destructive load and delivery capacity, a continual intelligence feed, and good geographical data, to mention just a few.</w:t>
      </w:r>
      <w:r w:rsidRPr="00B3399E">
        <w:t xml:space="preserve"> The necessary measures are provided by other </w:t>
      </w:r>
      <w:r w:rsidRPr="00B3399E">
        <w:lastRenderedPageBreak/>
        <w:t xml:space="preserve">formations operating in annex domains having their own logics. But this does not compromise deterrence’s status as an operative logic because it is not the measures themselves or their specialist logics that count so much as the criterion imposed upon them by the logic of deterrence itself: the quantitative balance necessary to achieve lethal life-defining mutuality. </w:t>
      </w:r>
      <w:r w:rsidRPr="003E0219">
        <w:rPr>
          <w:rStyle w:val="Emphasis"/>
        </w:rPr>
        <w:t>The equilibrium deterrence achieves is not a stable one. It is a metastability, or dynamic equilibrium, built on constant movement. Deterrence is when a threat is held in futurity by being fully realized as the concretest of possibilities in the present in such a way as to define a self-propelling movement all its own. Because the threat’s futurity is firmly held in the present, it short-circuits its own effect. It self-deters.</w:t>
      </w:r>
      <w:r w:rsidRPr="00B3399E">
        <w:t xml:space="preserve"> This does not mean it ceases to operate as a cause. It means that its causality is displaced. It is no longer in a position to realize its original effect, annihilation. Instead, it becomes the determinant of something else: a race. It remains a cause, to different effect. Deterrence captures a future effect (mutual annihilation) in order to make it the cause of its own movement (which ends up going elsewhere). It captures this potential difference in end-effect as a means toward its becoming self-causing. It takes the potential of the end as the means whereby it makes itself. Its logic succeeds when it closes in on itself to form a self</w:t>
      </w:r>
      <w:r>
        <w:t xml:space="preserve"> </w:t>
      </w:r>
      <w:r w:rsidRPr="00B3399E">
        <w:t xml:space="preserve">causal loop of its own self-making. </w:t>
      </w:r>
      <w:r w:rsidRPr="003E0219">
        <w:rPr>
          <w:rStyle w:val="Emphasis"/>
        </w:rPr>
        <w:t>Because it operates in this closed self-causal loop, its epistemology is univocal (centered on a single certainty) and its ontology is monolithic (both sides are taken up in a single global dynamic that coagulates in a bipolar structure).</w:t>
      </w:r>
      <w:r w:rsidRPr="00B3399E">
        <w:t xml:space="preserve"> It may seem odd to say so, but </w:t>
      </w:r>
      <w:r w:rsidRPr="003E0219">
        <w:rPr>
          <w:rStyle w:val="Emphasis"/>
        </w:rPr>
        <w:t>deterrence can be seen as the apotheosis of humanism in the technoscientific age,</w:t>
      </w:r>
      <w:r w:rsidRPr="00B3399E">
        <w:t xml:space="preserve"> in the sense that </w:t>
      </w:r>
      <w:r w:rsidRPr="003E0219">
        <w:rPr>
          <w:rStyle w:val="Emphasis"/>
        </w:rPr>
        <w:t>in the face of the imminent annihilation of the species it still reposes on an implicit psychological premise: that an at-least-residual concern for humanity and a minimum of shared sanity can be mobilized to place a limit on conflict.</w:t>
      </w:r>
      <w:r w:rsidRPr="00B3399E">
        <w:t xml:space="preserve"> </w:t>
      </w:r>
      <w:r w:rsidRPr="003E0219">
        <w:rPr>
          <w:rStyle w:val="Emphasis"/>
        </w:rPr>
        <w:t xml:space="preserve">Deterrence does not work across different orders of magnitude. Only powers perceiving themselves to be of potentially equal military stature can mutually assure destruction. Neither does it work if one of the adversaries considers the other inhuman or potentially suicidal </w:t>
      </w:r>
      <w:r w:rsidRPr="00B3399E">
        <w:t xml:space="preserve">(just plain mad, uncapitalized). </w:t>
      </w:r>
      <w:r w:rsidRPr="003E0219">
        <w:rPr>
          <w:rStyle w:val="Emphasis"/>
        </w:rPr>
        <w:t xml:space="preserve">Where the conditions of deterrence are not met, the irruption of a nuclear threat feeds a different operative logic. This is the case with North Korea. </w:t>
      </w:r>
      <w:r w:rsidRPr="00B3399E">
        <w:t xml:space="preserve">Kim Jong-un’s nuclear capabilities will never counterbalance those of the established nuclear powers. In the Western press and policy literature, he, like his father before him, is regularly portrayed as unbalanced, mad enough to have the inhumanity to come to the point of willing the destruction of his own country to assure the (unlikely) destruction of his enemy. Prevention has failed, and neither the quantitative conditions nor the psychological premise necessary for deterrence is in place. In view of this, </w:t>
      </w:r>
      <w:r w:rsidRPr="007D465F">
        <w:rPr>
          <w:rStyle w:val="Emphasis"/>
        </w:rPr>
        <w:t>a different operative logic must be used to understand the current nuclear situation, in North Korea and elsewhere. That logic, of course, is preemption.</w:t>
      </w:r>
      <w:r w:rsidRPr="00B3399E">
        <w:t xml:space="preserve"> The superficial condition of the presence of a nuclear threat should not be mistaken for a return to a Cold War logic. </w:t>
      </w:r>
    </w:p>
    <w:p w14:paraId="29A02723" w14:textId="77777777" w:rsidR="002F1948" w:rsidRDefault="002F1948" w:rsidP="002F1948">
      <w:pPr>
        <w:jc w:val="both"/>
      </w:pPr>
    </w:p>
    <w:p w14:paraId="000A37A5" w14:textId="64593E0C" w:rsidR="002F1948" w:rsidRDefault="002F1948" w:rsidP="002F1948">
      <w:pPr>
        <w:pStyle w:val="Heading3"/>
      </w:pPr>
      <w:r>
        <w:lastRenderedPageBreak/>
        <w:br w:type="page"/>
      </w:r>
      <w:r>
        <w:lastRenderedPageBreak/>
        <w:t xml:space="preserve"> Terrorism </w:t>
      </w:r>
      <w:r w:rsidR="0075742C">
        <w:t>and War</w:t>
      </w:r>
    </w:p>
    <w:p w14:paraId="230564D3" w14:textId="77777777" w:rsidR="002F1948" w:rsidRPr="002F1948" w:rsidRDefault="002F1948" w:rsidP="002F1948">
      <w:pPr>
        <w:pStyle w:val="Heading4"/>
        <w:rPr>
          <w:rStyle w:val="Style13ptBold"/>
          <w:b/>
          <w:bCs w:val="0"/>
        </w:rPr>
      </w:pPr>
      <w:r w:rsidRPr="002F1948">
        <w:rPr>
          <w:rStyle w:val="Style13ptBold"/>
          <w:b/>
          <w:bCs w:val="0"/>
        </w:rPr>
        <w:t xml:space="preserve">Their impact arguments rely on the ontologic of preemption that transforms epistemological uncertainty into an immanent ontological condition of constant and ubiquitous threats. This culminates in a moralized view of politics where the Other is deemed inhuman and worthy of complete annihilation. For such preemptive military measures to be morally justified, nation-states must proliferate the very threats that they are attempting to ward off. </w:t>
      </w:r>
    </w:p>
    <w:p w14:paraId="24CBBAC6" w14:textId="531E4AD1" w:rsidR="002F1948" w:rsidRPr="002F1948" w:rsidRDefault="002F1948" w:rsidP="002F1948">
      <w:pPr>
        <w:jc w:val="both"/>
        <w:rPr>
          <w:rFonts w:ascii="Times New Roman" w:eastAsia="Times New Roman" w:hAnsi="Times New Roman" w:cs="Times New Roman"/>
        </w:rPr>
      </w:pPr>
      <w:r w:rsidRPr="00943258">
        <w:rPr>
          <w:rStyle w:val="Style13ptBold"/>
        </w:rPr>
        <w:t>Massumi 15</w:t>
      </w:r>
      <w:r>
        <w:rPr>
          <w:rFonts w:ascii="Times New Roman" w:eastAsia="Times New Roman" w:hAnsi="Times New Roman" w:cs="Times New Roman"/>
        </w:rPr>
        <w:t xml:space="preserve"> </w:t>
      </w:r>
      <w:r w:rsidRPr="00604646">
        <w:t>(Brian, “The Primacy of Pr</w:t>
      </w:r>
      <w:r>
        <w:t>e</w:t>
      </w:r>
      <w:r w:rsidRPr="00604646">
        <w:t>emption: The Operative Logic of Power,” in Ontopower Duke University Press, Chapter 1</w:t>
      </w:r>
      <w:r>
        <w:t xml:space="preserve"> pp. 9-12)</w:t>
      </w:r>
    </w:p>
    <w:p w14:paraId="36C8FC6C" w14:textId="77777777" w:rsidR="002F1948" w:rsidRPr="00357A57" w:rsidRDefault="002F1948" w:rsidP="002F1948">
      <w:pPr>
        <w:jc w:val="both"/>
        <w:rPr>
          <w:rStyle w:val="Emphasis"/>
        </w:rPr>
      </w:pPr>
      <w:r w:rsidRPr="00357A57">
        <w:rPr>
          <w:rStyle w:val="Emphasis"/>
        </w:rPr>
        <w:t>Preemption</w:t>
      </w:r>
      <w:r w:rsidRPr="00B3399E">
        <w:t xml:space="preserve"> shares certain characteristics with deterrence. Like deterrence, it </w:t>
      </w:r>
      <w:r w:rsidRPr="00357A57">
        <w:rPr>
          <w:rStyle w:val="Emphasis"/>
        </w:rPr>
        <w:t>operates in the present on a future threat.</w:t>
      </w:r>
      <w:r w:rsidRPr="00B3399E">
        <w:t xml:space="preserve"> It also does this in such a way as </w:t>
      </w:r>
      <w:r w:rsidRPr="00357A57">
        <w:rPr>
          <w:rStyle w:val="Emphasis"/>
        </w:rPr>
        <w:t>to make that present futurity the motor of its process.</w:t>
      </w:r>
      <w:r w:rsidRPr="00B3399E">
        <w:t xml:space="preserve"> The process, however, is qualitatively different. President Bush began the 2002 speech at which he first announced that preemption would be the guiding principle of his national defense strategy by asserting a difference in nature between the deterrence paradigm of the Cold War and the “war on terror.” His military policy of preemption, he says, is predicated on the “inability to deter a potential attacker,” which defines the contemporary state of things. 4 </w:t>
      </w:r>
      <w:r w:rsidRPr="00357A57">
        <w:rPr>
          <w:rStyle w:val="Emphasis"/>
        </w:rPr>
        <w:t>The epistemology of preemption is distinguished from that of deterrence in that it is unabashedly one of uncertainty—and not due to a simple lack of knowledge. There is uncertainty because the threat has not only not yet fully formed but,</w:t>
      </w:r>
      <w:r w:rsidRPr="00B3399E">
        <w:t xml:space="preserve"> according to Bush’s opening definition of preemption, it </w:t>
      </w:r>
      <w:r w:rsidRPr="00357A57">
        <w:rPr>
          <w:rStyle w:val="Emphasis"/>
        </w:rPr>
        <w:t>has not yet even emerged</w:t>
      </w:r>
      <w:r w:rsidRPr="00B3399E">
        <w:t xml:space="preserve">. In other words, </w:t>
      </w:r>
      <w:r w:rsidRPr="00357A57">
        <w:rPr>
          <w:rStyle w:val="Emphasis"/>
        </w:rPr>
        <w:t>the threat is still indeterminately in potential. This is an ontological premise: the nature of threat cannot be specified. It might in some circumstances involve weapons of mass destruction</w:t>
      </w:r>
      <w:r w:rsidRPr="00B3399E">
        <w:t xml:space="preserve">, but in others it will not. </w:t>
      </w:r>
      <w:r w:rsidRPr="00357A57">
        <w:rPr>
          <w:rStyle w:val="Emphasis"/>
        </w:rPr>
        <w:t xml:space="preserve">It might come in the form of strange white powder, or then again it might be an improvised explosive device. The enemy is also unspecifiable. It might come from without, or rise up unexpectedly from within. </w:t>
      </w:r>
      <w:r w:rsidRPr="00B3399E">
        <w:t xml:space="preserve">You might, stereotypically, expect the enemy to be a member of a certain ethnic or religious group, an Arab or a Muslim, but you can never be sure. It might turn out be a white Briton wearing sneakers, or a Puerto Rican from the heartland of America (to mention just two well-known cases, those of John Reid and Jose Padilla). It might be an anonymous member of a cell, or the supreme leader of a “rogue” state. </w:t>
      </w:r>
      <w:r w:rsidRPr="00357A57">
        <w:rPr>
          <w:rStyle w:val="Emphasis"/>
        </w:rPr>
        <w:t xml:space="preserve">The lack of knowledge about the nature of the threat can never be overcome. It is part of what defines the objective conditions of the situation: threat has become proteiform and it tends to proliferate unpredictably. The situation is objectively one in which the only certainty is that threat will emerge where it is least expected. This is because what is ever-present is not a particular threat or set of threats, but the potential for still more threats to emerge without warning </w:t>
      </w:r>
      <w:r w:rsidRPr="00B3399E">
        <w:t xml:space="preserve">(it is impossible “to deter a potential attacker”). </w:t>
      </w:r>
      <w:r w:rsidRPr="00357A57">
        <w:rPr>
          <w:rStyle w:val="Emphasis"/>
        </w:rPr>
        <w:t xml:space="preserve">The global situation is not so much threatening as threat generating: threat-o-genic. It is the world’s capacity to produce new threats at any and every moment that defines this situation. </w:t>
      </w:r>
      <w:r w:rsidRPr="00B3399E">
        <w:t xml:space="preserve">We are in a world that has passed from what Rumsfeld called the “known unknown” (uncertainty that can be analyzed and circumscribed) to the “unknown unknown” (objective uncertainty) (Rumsfeld 2002a). </w:t>
      </w:r>
      <w:r w:rsidRPr="00357A57">
        <w:rPr>
          <w:rStyle w:val="Emphasis"/>
        </w:rPr>
        <w:t xml:space="preserve">Objective uncertainty is as directly an ontological category as an epistemological one. The threat is known to have the ontological status of indeterminate potentiality. The unknown unknown is inexpungible because its potentiality belongs to the objective conditions of life today. Consequently, no </w:t>
      </w:r>
      <w:r w:rsidRPr="00357A57">
        <w:rPr>
          <w:rStyle w:val="Emphasis"/>
        </w:rPr>
        <w:lastRenderedPageBreak/>
        <w:t>amount of effort to understand will ever bring a definitive answer. Thinking about it will only reopen the same uncomprehending question,</w:t>
      </w:r>
      <w:r w:rsidRPr="00B3399E">
        <w:t xml:space="preserve"> why do they hate us so? This question, asked over and over again by the U.S. media in the years following 9/11, expresses the impossibility of basing a contemporary logic of conflict on a psychological premise. </w:t>
      </w:r>
      <w:r w:rsidRPr="00357A57">
        <w:rPr>
          <w:rStyle w:val="Emphasis"/>
        </w:rPr>
        <w:t xml:space="preserve">The nature and motives of the adversary strike us as purely incomprehensible. The only hypothesis left is that they are just plain “evil,” capable of the worst “crimes against humanity.” They are simply “inhuman.” </w:t>
      </w:r>
      <w:r w:rsidRPr="00B3399E">
        <w:t xml:space="preserve">The only way to identify the enemy collectively is, in Bush’s formulation, as an “axis of evil.” That characterization does not add new knowledge. It is the moral equivalent of ignorance. </w:t>
      </w:r>
      <w:r w:rsidRPr="00357A57">
        <w:rPr>
          <w:rStyle w:val="Emphasis"/>
        </w:rPr>
        <w:t>Its function is to concentrate “humanity” entirely on one side in order to legitimate acts on “our” side that would be considered crimes against humanity were the enemy given the benefit of being considered human</w:t>
      </w:r>
      <w:r w:rsidRPr="00B3399E">
        <w:t xml:space="preserve"> (torture, targeting civilian populations, contraventions of human rights and the laws of war). The ostensibly moral judgment of “evil” functions very pragmatically as a device for giving oneself unlimited tactical options freed from moral constraint. This is the only sense in which something like deterrence continues to function: </w:t>
      </w:r>
      <w:r w:rsidRPr="00357A57">
        <w:rPr>
          <w:rStyle w:val="Emphasis"/>
        </w:rPr>
        <w:t>moral judgment is used in such a way as to deter any properly moral or ethical logic from becoming operative. The operative logic will function on an entirely different plane. The situation within which the logic of preemption arises is far-from equilibrium by nature. There is no hope for balance, so it is not even sought</w:t>
      </w:r>
      <w:r w:rsidRPr="00B3399E">
        <w:t xml:space="preserve">. The disequilibrium occurs on many levels. There is the posthumanist moral imbalance just mentioned between the human and the “inhuman.” Militarily, the imbalance goes by the name of “asymmetrical warfare.” This refers to the difference in order of magnitude between the adversaries’ capacities for attack. </w:t>
      </w:r>
      <w:r w:rsidRPr="00357A57">
        <w:rPr>
          <w:rStyle w:val="StyleUnderline"/>
        </w:rPr>
        <w:t>The quantitative superiority of the state players in terms of the size of their armed forces, technological resources, weaponry, and funding does not necessarily give them an advantage on the ground. This is because there is another asymmetry in play that takes the form of an ontological difference. The mode of being of the “terrorist” is wed to the potential of the unspecified threat. That of the terrorist’s state enemy is all-too concrete, fully actualized in a top-heavy defense structure. This gives the “terrorist” the very significant advantage of surprise. It also gives him or her an epistemological edge over the lumbering state formation, which is at an order of magnitude that makes it easily visible, whereas the proteiform “terrorist” is by nature imperceptible from the opposing vantage point of the state. This situation is what is commonly referred to as “imbalance of terror.”</w:t>
      </w:r>
      <w:r w:rsidRPr="00B3399E">
        <w:t xml:space="preserve"> In the face of the “imbalance of terror,” the state adversary must transform a part of its own structure in the image of what it fights. You cannot engage the enemy if the situation is so asymmetrical that there is no ground in common to serve as a battlefield. You have to become, at least in part, what hates you and what you hate back. You have to undertake a becoming-terrorist of your own.5 Rumsfeld’s project of “transforming the military,” known more broadly as the “revolution in military affairs,” involved tipping the defense structure into this movement of becoming-terrorist by realigning it on smaller-scale rapid-deployment and rapid-response capabilities mirroring the ways of the enemy.6 Eyal Weizman has documented a similarly, remarkably lucid project of mimicking the enemy within the Israeli Defense Forces, considered (at least up until the Lebanese War of 2006) the most advanced and effective state fighting force.7 </w:t>
      </w:r>
      <w:r w:rsidRPr="00357A57">
        <w:rPr>
          <w:rStyle w:val="Emphasis"/>
        </w:rPr>
        <w:t>The realignment on less-specified, more potentialized capabilities must be backed up by technologically assisted means of perception: monitoring systems to detect the slightest signs of enemy action. But any detection system is still prone to error or evasion</w:t>
      </w:r>
      <w:r w:rsidRPr="00B3399E">
        <w:t xml:space="preserve">. In fact, since the enemy is indeterminate, it is certain that he will remain undetectable until he makes a move. </w:t>
      </w:r>
      <w:r w:rsidRPr="00357A57">
        <w:rPr>
          <w:rStyle w:val="Emphasis"/>
        </w:rPr>
        <w:t xml:space="preserve">You look to detect the movements, at as emergent </w:t>
      </w:r>
      <w:r w:rsidRPr="00357A57">
        <w:rPr>
          <w:rStyle w:val="Emphasis"/>
        </w:rPr>
        <w:lastRenderedPageBreak/>
        <w:t>a level as possible. But given the speed with which a terrorist attack can unfold, once the movement has detectably begun it might already be over. A defensive posture, even backed up with the best monitoring technology, is not enough. The military machinery must go on the offensive</w:t>
      </w:r>
      <w:r w:rsidRPr="00B3399E">
        <w:t xml:space="preserve">.8 </w:t>
      </w:r>
      <w:r w:rsidRPr="00357A57">
        <w:rPr>
          <w:rStyle w:val="Emphasis"/>
        </w:rPr>
        <w:t>It is not safe to wait for the enemy to make the first move. You have to move first, to make them move</w:t>
      </w:r>
      <w:r w:rsidRPr="00B3399E">
        <w:t xml:space="preserve">.9 You have to “flush them out.” You test and prod, you move as randomly and unpredictably and ubiquitously as they do, in the hopes that you will brush close enough to provoke a response. You avoid making yourself a sitting target. You move like the enemy, in order to make the enemy move. He will be flushed out into taking some active form, and in taking active form will become detectable and thus attackable. In other words, </w:t>
      </w:r>
      <w:r w:rsidRPr="00357A57">
        <w:rPr>
          <w:rStyle w:val="Emphasis"/>
        </w:rPr>
        <w:t>you go on the offensive to make the enemy emerge from its state of potential and take actual shape. The exercise of your power is incitatory. It is contributes to the actual emergence of the threat.</w:t>
      </w:r>
      <w:r w:rsidRPr="00B3399E">
        <w:t xml:space="preserve"> In other words, s</w:t>
      </w:r>
      <w:r w:rsidRPr="00357A57">
        <w:rPr>
          <w:rStyle w:val="Emphasis"/>
        </w:rPr>
        <w:t xml:space="preserve">ince the threat is proliferative in any case, your best option is to help make it proliferate more—that is (hopefully) more on your own terms. The most effective way to fight an unspecified threat is to actively contribute to producing it. </w:t>
      </w:r>
    </w:p>
    <w:p w14:paraId="2ADAAD76" w14:textId="307B5593" w:rsidR="002F1948" w:rsidRDefault="002F1948" w:rsidP="002F1948">
      <w:pPr>
        <w:rPr>
          <w:rStyle w:val="Style13ptBold"/>
        </w:rPr>
      </w:pPr>
    </w:p>
    <w:p w14:paraId="223D4071" w14:textId="77777777" w:rsidR="002F1948" w:rsidRPr="002F1948" w:rsidRDefault="002F1948" w:rsidP="002F1948">
      <w:pPr>
        <w:pStyle w:val="Heading4"/>
        <w:rPr>
          <w:rStyle w:val="Style13ptBold"/>
          <w:b/>
          <w:bCs w:val="0"/>
        </w:rPr>
      </w:pPr>
      <w:r w:rsidRPr="002F1948">
        <w:rPr>
          <w:rStyle w:val="Style13ptBold"/>
          <w:b/>
          <w:bCs w:val="0"/>
        </w:rPr>
        <w:t>Preemptive logics can never be disproven because their object is potential threats – but in order to be proven definitively, preemptive logic requires the production of the very threat that is being attacked. Their impact arguments are self-fulfilling. The only way to address this preemptive logic is by attending to the affect of fear which is its motor.</w:t>
      </w:r>
    </w:p>
    <w:p w14:paraId="36143D89" w14:textId="4C290AC4" w:rsidR="002F1948" w:rsidRPr="002F1948" w:rsidRDefault="002F1948" w:rsidP="002F1948">
      <w:pPr>
        <w:jc w:val="both"/>
        <w:rPr>
          <w:rFonts w:ascii="Times New Roman" w:eastAsia="Times New Roman" w:hAnsi="Times New Roman" w:cs="Times New Roman"/>
        </w:rPr>
      </w:pPr>
      <w:r w:rsidRPr="00943258">
        <w:rPr>
          <w:rStyle w:val="Style13ptBold"/>
        </w:rPr>
        <w:t>Massumi 15</w:t>
      </w:r>
      <w:r>
        <w:rPr>
          <w:rFonts w:ascii="Times New Roman" w:eastAsia="Times New Roman" w:hAnsi="Times New Roman" w:cs="Times New Roman"/>
        </w:rPr>
        <w:t xml:space="preserve"> </w:t>
      </w:r>
      <w:r w:rsidRPr="00604646">
        <w:t>(Brian, “The Primacy of Pre</w:t>
      </w:r>
      <w:r>
        <w:t>e</w:t>
      </w:r>
      <w:r w:rsidRPr="00604646">
        <w:t>mption: The Operative Logic of Power,” in Ontopower Duke University Press, Chapter 1</w:t>
      </w:r>
      <w:r>
        <w:t xml:space="preserve"> pp. 12-15)</w:t>
      </w:r>
    </w:p>
    <w:p w14:paraId="4189721B" w14:textId="77777777" w:rsidR="002F1948" w:rsidRDefault="002F1948" w:rsidP="002F1948">
      <w:pPr>
        <w:jc w:val="both"/>
      </w:pPr>
      <w:r w:rsidRPr="00B3399E">
        <w:t xml:space="preserve">Potential Politics </w:t>
      </w:r>
      <w:r w:rsidRPr="00E93B44">
        <w:rPr>
          <w:rStyle w:val="StyleUnderline"/>
        </w:rPr>
        <w:t>This co-productive logic is well illustrated in the policies and statements of the Bush administration, and explains why Bush never admitted that the War in Iraq was a failure</w:t>
      </w:r>
      <w:r w:rsidRPr="00B3399E">
        <w:t xml:space="preserve">, even as he was coming to accept that it wasn’t exactly a victory yet and that midstream “tactical changes” were necessary. Consider this statement from June 2005: “Some may agree with my decision to remove Saddam Hussein from power, but all of us can agree that the world’s terrorists have now made Iraq a central front in the war on terror” (Bush 2005a). This was Bush’s way of admitting that there were no weapons of mass destruction in Iraq. Objectively, his reasons for invading were false. But </w:t>
      </w:r>
      <w:r w:rsidRPr="00E93B44">
        <w:rPr>
          <w:rStyle w:val="Emphasis"/>
        </w:rPr>
        <w:t>threat in today’s world is not objective. It is potential. Potential threat calls for a potential politics.</w:t>
      </w:r>
      <w:r w:rsidRPr="00B3399E">
        <w:t xml:space="preserve"> As Bush and many members of his administration have repeatedly argued, Saddam Hussein could have had weapons of mass destruction and that if he had had them, he would have used them. Could have, would have, if: the potential nature of the threat requires a conditional logic</w:t>
      </w:r>
      <w:r w:rsidRPr="00E93B44">
        <w:rPr>
          <w:rStyle w:val="Emphasis"/>
        </w:rPr>
        <w:t>. A conditional statement cannot be wrong. First because it only asserts a potential, and second because, especially in the case of something so slippery as a potential, you can’t prove the negative. Even if it wasn’t actually there, it will always still have been there potentially</w:t>
      </w:r>
      <w:r w:rsidRPr="00B3399E">
        <w:t xml:space="preserve">: Saddam could have restarted his weapons projects at any moment. When you act on “could haves” and “would haves” you are right by definition as long as your reasons for acting are not objective. 10 </w:t>
      </w:r>
      <w:r w:rsidRPr="00E93B44">
        <w:rPr>
          <w:rStyle w:val="Emphasis"/>
        </w:rPr>
        <w:t>It is simply a category error to give empirical reasons for your actions with respect to potential politics.</w:t>
      </w:r>
      <w:r w:rsidRPr="00B3399E">
        <w:t xml:space="preserve"> This is what the Bush administration insiders meant when they ridiculed “the reality-based community” as being hopelessly behind the times (Suskind </w:t>
      </w:r>
      <w:r w:rsidRPr="00B3399E">
        <w:lastRenderedPageBreak/>
        <w:t xml:space="preserve">2004). Nowadays, your action is right by definition as long as you go politically conditional and have a good reason for doing so. </w:t>
      </w:r>
      <w:r w:rsidRPr="00E93B44">
        <w:rPr>
          <w:rStyle w:val="Emphasis"/>
        </w:rPr>
        <w:t xml:space="preserve">Fear is always a good reason to go politically conditional. Fear is the palpable action in the present of a threatening future cause. It acts just as palpably whether the threat is determinate or not. </w:t>
      </w:r>
      <w:r w:rsidRPr="00B3399E">
        <w:t xml:space="preserve">It weakens your resolve, creates stress, lowers consumer confidence, and may ultimately lead to individual and/or economic paralysis. To avoid the paralysis, which would make yourself even more of a target and carry the fear to an even higher level, you must simply act. In Bush administration parlance, you “go kinetic” (Woodward 2002, 150).11 </w:t>
      </w:r>
      <w:r w:rsidRPr="00E93B44">
        <w:rPr>
          <w:rStyle w:val="Emphasis"/>
        </w:rPr>
        <w:t>You leap into action on a level with the potential that frightens you. You do that, once again, by inciting the potential to take an actual shape you can respond to. You trigger a production of what you fear. You turn the objectively indeterminate cause into an actual effect so you can actually deal with it in some way. Any time you feel the need to act, then all you have to do is actuate a fear</w:t>
      </w:r>
      <w:r w:rsidRPr="00B3399E">
        <w:t xml:space="preserve">.12 The production of the effect follows as smoothly as a reflex. </w:t>
      </w:r>
      <w:r w:rsidRPr="00E93B44">
        <w:rPr>
          <w:rStyle w:val="Emphasis"/>
        </w:rPr>
        <w:t>This affective dynamic is still very much in place. It will remain in place as long as fear remains politically actuatable. The logic of preemption operates on this affective plane, in this proliferative or ontogenetic way: in a way that contributes to the reflex production of the specific being of the threat.</w:t>
      </w:r>
      <w:r w:rsidRPr="00B3399E">
        <w:t xml:space="preserve"> You’re afraid Iraq is a breeding ground for terrorists? It could have been. If it could have been, it would have been. So go ahead, make it one. “Bring ’em on,” the president said, following his Hollywood-trained reflex (Loughlin 2003). He knew it in his “guts.”13 He couldn’t have gone wrong. His reflex was right. Because “now we can all agree” that Iraq is in actual fact a breeding ground for “terrorists.” That just goes to prove that the potential was always there. Before, there was doubt in some quarters that Saddam had to be removed from power. Some agreed he had to go; some didn’t. Now we can all agree. It was right to remove him because doing so made Iraq become what it always could have been. And that’s the truth. </w:t>
      </w:r>
      <w:r w:rsidRPr="002E46A8">
        <w:rPr>
          <w:rStyle w:val="Emphasis"/>
        </w:rPr>
        <w:t>Truth, in this new world order, is by nature retroactive. Fact grows conditionally in the affective soil of an indeterminately present futurity. It becomes objective as that present reflexively plays out, as an effect of the preemptive action taken</w:t>
      </w:r>
      <w:r w:rsidRPr="00B3399E">
        <w:t>. The reality-based community wastes time studying empirical reality, the Bushites said: “We create it.” And because of that</w:t>
      </w:r>
      <w:r w:rsidRPr="002E46A8">
        <w:rPr>
          <w:rStyle w:val="Emphasis"/>
        </w:rPr>
        <w:t>, “we” the preemptors will always be right. We always will have been right to preempt, because we have objectively produced a recursive truth-effect for your judicious study. And while you are looking back studying the truth of it, we will have acted with reflex speed again, effecting a new reality</w:t>
      </w:r>
      <w:r w:rsidRPr="00B3399E">
        <w:t xml:space="preserve">.14 </w:t>
      </w:r>
      <w:r w:rsidRPr="002E46A8">
        <w:rPr>
          <w:rStyle w:val="Emphasis"/>
        </w:rPr>
        <w:t>We will always have had no choice but to prosecute the “war on terror,” ever more vigilantly and ever more intensely on every potential front. We, preemptors, are the producers of your world.</w:t>
      </w:r>
      <w:r w:rsidRPr="00B3399E">
        <w:t xml:space="preserve"> Get used to it. The War in Iraq was a success to the extent that it made the productivity of the preemptive “war on terror” a self-perpetuating movement—one that drones on, in altered form and under a different name, to this day (Scahill 2013). </w:t>
      </w:r>
      <w:r w:rsidRPr="002E46A8">
        <w:rPr>
          <w:rStyle w:val="Emphasis"/>
        </w:rPr>
        <w:t>Preemption is like deterrence in that it combines a proprietary epistemology with a unique ontology in such a way as to make present a future cause that sets a self-perpetuating movement into operation. Its differences from deterrence hinge on its taking objectively indeterminate or potential threat as its self-constitutive cause rather than fully formed and specified threat. It situates itself on the ground of ontogenetic potential</w:t>
      </w:r>
      <w:r w:rsidRPr="00B3399E">
        <w:t xml:space="preserve">. There, rather than deterring the feared effect, </w:t>
      </w:r>
      <w:r w:rsidRPr="002E46A8">
        <w:rPr>
          <w:rStyle w:val="Emphasis"/>
        </w:rPr>
        <w:t>it actualizes the potential in a shape to which it hopes it can respond. It assumes a proliferation of potential threats, and mirrors that capacity in its own operation. It becomes proliferative. It assumes the objective imbalance of a far-from-equilibrium state as a permanent condition.</w:t>
      </w:r>
      <w:r w:rsidRPr="00B3399E">
        <w:t xml:space="preserve"> Rather than trying to right the imbalance, it seizes it as an opportunity for itself. Preemption also sets a race </w:t>
      </w:r>
      <w:r w:rsidRPr="00B3399E">
        <w:lastRenderedPageBreak/>
        <w:t>in motion. But this is a race run on the edge of chaos. It is a race of movement</w:t>
      </w:r>
      <w:r>
        <w:t xml:space="preserve"> </w:t>
      </w:r>
      <w:r w:rsidRPr="00B3399E">
        <w:t xml:space="preserve">flushing, detection, perception, and affective actuation, run in irreparably chaotic or quasi-chaotic conditions. The race of preemption has any number of laps, each ending in the actual effecting of a threat. Each actualization of a threat triggers the next lap, as a continuation of the first in the same direction, or in another way in a different field. </w:t>
      </w:r>
    </w:p>
    <w:p w14:paraId="0F6FF727" w14:textId="77777777" w:rsidR="002F1948" w:rsidRPr="002F1948" w:rsidRDefault="002F1948" w:rsidP="002F1948"/>
    <w:p w14:paraId="5B04D928" w14:textId="63B3A8FE" w:rsidR="00C63446" w:rsidRDefault="00C63446" w:rsidP="00307E09">
      <w:pPr>
        <w:pStyle w:val="Heading3"/>
      </w:pPr>
      <w:r>
        <w:lastRenderedPageBreak/>
        <w:t>War</w:t>
      </w:r>
    </w:p>
    <w:p w14:paraId="6C01CBA4" w14:textId="4CD3237A" w:rsidR="00C63446" w:rsidRDefault="00C63446" w:rsidP="00C63446">
      <w:pPr>
        <w:pStyle w:val="Heading4"/>
      </w:pPr>
      <w:r>
        <w:t>We must change the way we view war as a static event and our preoccupation with body counts and sovereign political clashes – failure to avoid becoming the objects of fear causes serial policy failure and a foreclosure of politics.</w:t>
      </w:r>
    </w:p>
    <w:p w14:paraId="1BEE314A" w14:textId="74157682" w:rsidR="00C63446" w:rsidRDefault="00C63446" w:rsidP="00C63446">
      <w:r w:rsidRPr="00B36648">
        <w:rPr>
          <w:rStyle w:val="Style13ptBold"/>
        </w:rPr>
        <w:t>Evans and Guillaume 2010</w:t>
      </w:r>
      <w:r>
        <w:t xml:space="preserve"> (Brad, Professor at the University of Leeds, and Laura, PhD in International Politics from Aberystwyth University, “Deleuze and War: Introduction”. </w:t>
      </w:r>
      <w:r>
        <w:rPr>
          <w:i/>
        </w:rPr>
        <w:t>Theory &amp; Event</w:t>
      </w:r>
      <w:r>
        <w:t xml:space="preserve">. 13.3. </w:t>
      </w:r>
      <w:hyperlink r:id="rId9" w:history="1">
        <w:r w:rsidRPr="003D35E1">
          <w:rPr>
            <w:rStyle w:val="Hyperlink"/>
          </w:rPr>
          <w:t>http://muse.jhu.edu.proxy.lib.wayne.edu/journals/theory_and_event/v013/13.3.evans02.html</w:t>
        </w:r>
      </w:hyperlink>
      <w:r>
        <w:t xml:space="preserve">) </w:t>
      </w:r>
    </w:p>
    <w:p w14:paraId="1BE5AE24" w14:textId="60FDBA9B" w:rsidR="00C63446" w:rsidRDefault="00C63446" w:rsidP="00C63446">
      <w:pPr>
        <w:rPr>
          <w:rStyle w:val="StyleUnderline"/>
        </w:rPr>
      </w:pPr>
      <w:r w:rsidRPr="00CD3F0A">
        <w:rPr>
          <w:sz w:val="16"/>
        </w:rPr>
        <w:t xml:space="preserve">John Protevi is concerned with the production of certain </w:t>
      </w:r>
      <w:r w:rsidRPr="00CD3F0A">
        <w:rPr>
          <w:rStyle w:val="StyleUnderline"/>
        </w:rPr>
        <w:t>‘</w:t>
      </w:r>
      <w:r w:rsidRPr="0058153D">
        <w:rPr>
          <w:rStyle w:val="StyleUnderline"/>
          <w:highlight w:val="cyan"/>
        </w:rPr>
        <w:t>bodies politic’</w:t>
      </w:r>
      <w:r w:rsidRPr="00CD3F0A">
        <w:rPr>
          <w:rStyle w:val="StyleUnderline"/>
        </w:rPr>
        <w:t xml:space="preserve"> which </w:t>
      </w:r>
      <w:r w:rsidRPr="0058153D">
        <w:rPr>
          <w:rStyle w:val="StyleUnderline"/>
          <w:highlight w:val="cyan"/>
        </w:rPr>
        <w:t>constitute</w:t>
      </w:r>
      <w:r w:rsidRPr="00CD3F0A">
        <w:rPr>
          <w:rStyle w:val="StyleUnderline"/>
        </w:rPr>
        <w:t xml:space="preserve"> aspects of </w:t>
      </w:r>
      <w:r w:rsidRPr="0058153D">
        <w:rPr>
          <w:rStyle w:val="StyleUnderline"/>
          <w:highlight w:val="cyan"/>
        </w:rPr>
        <w:t>war</w:t>
      </w:r>
      <w:r w:rsidRPr="00CD3F0A">
        <w:rPr>
          <w:rStyle w:val="StyleUnderline"/>
        </w:rPr>
        <w:t xml:space="preserve">. The term ‘body politic’ is intended </w:t>
      </w:r>
      <w:r w:rsidRPr="005618BC">
        <w:rPr>
          <w:rStyle w:val="StyleUnderline"/>
        </w:rPr>
        <w:t>to draw attention</w:t>
      </w:r>
      <w:r w:rsidRPr="00CD3F0A">
        <w:rPr>
          <w:rStyle w:val="StyleUnderline"/>
        </w:rPr>
        <w:t xml:space="preserve"> to the extent </w:t>
      </w:r>
      <w:r w:rsidRPr="005618BC">
        <w:rPr>
          <w:rStyle w:val="StyleUnderline"/>
        </w:rPr>
        <w:t xml:space="preserve">that </w:t>
      </w:r>
      <w:r w:rsidRPr="0058153D">
        <w:rPr>
          <w:rStyle w:val="StyleUnderline"/>
          <w:highlight w:val="cyan"/>
        </w:rPr>
        <w:t>military bodies cannot be understood</w:t>
      </w:r>
      <w:r w:rsidRPr="00CD3F0A">
        <w:rPr>
          <w:rStyle w:val="StyleUnderline"/>
        </w:rPr>
        <w:t xml:space="preserve"> exclusively </w:t>
      </w:r>
      <w:r w:rsidRPr="0058153D">
        <w:rPr>
          <w:rStyle w:val="StyleUnderline"/>
          <w:highlight w:val="cyan"/>
        </w:rPr>
        <w:t>through</w:t>
      </w:r>
      <w:r w:rsidRPr="00CD3F0A">
        <w:rPr>
          <w:rStyle w:val="StyleUnderline"/>
        </w:rPr>
        <w:t xml:space="preserve"> the prism of </w:t>
      </w:r>
      <w:r w:rsidRPr="005618BC">
        <w:rPr>
          <w:rStyle w:val="StyleUnderline"/>
        </w:rPr>
        <w:t>either</w:t>
      </w:r>
      <w:r w:rsidRPr="00CD3F0A">
        <w:rPr>
          <w:rStyle w:val="StyleUnderline"/>
        </w:rPr>
        <w:t xml:space="preserve"> the </w:t>
      </w:r>
      <w:r w:rsidRPr="0058153D">
        <w:rPr>
          <w:rStyle w:val="StyleUnderline"/>
          <w:highlight w:val="cyan"/>
        </w:rPr>
        <w:t>somatic or</w:t>
      </w:r>
      <w:r w:rsidRPr="00CD3F0A">
        <w:rPr>
          <w:rStyle w:val="StyleUnderline"/>
        </w:rPr>
        <w:t xml:space="preserve"> the </w:t>
      </w:r>
      <w:r w:rsidRPr="0058153D">
        <w:rPr>
          <w:rStyle w:val="StyleUnderline"/>
          <w:highlight w:val="cyan"/>
        </w:rPr>
        <w:t>social</w:t>
      </w:r>
      <w:r w:rsidRPr="00CD3F0A">
        <w:rPr>
          <w:rStyle w:val="StyleUnderline"/>
        </w:rPr>
        <w:t xml:space="preserve">. </w:t>
      </w:r>
      <w:r w:rsidRPr="00CD3F0A">
        <w:rPr>
          <w:sz w:val="16"/>
        </w:rPr>
        <w:t xml:space="preserve">Rather, </w:t>
      </w:r>
      <w:r w:rsidRPr="0058153D">
        <w:rPr>
          <w:rStyle w:val="StyleUnderline"/>
          <w:highlight w:val="cyan"/>
        </w:rPr>
        <w:t>they must be understood as</w:t>
      </w:r>
      <w:r w:rsidRPr="00CD3F0A">
        <w:rPr>
          <w:rStyle w:val="StyleUnderline"/>
        </w:rPr>
        <w:t xml:space="preserve"> dynamic </w:t>
      </w:r>
      <w:r w:rsidRPr="0058153D">
        <w:rPr>
          <w:rStyle w:val="StyleUnderline"/>
          <w:highlight w:val="cyan"/>
        </w:rPr>
        <w:t>assemblages</w:t>
      </w:r>
      <w:r w:rsidRPr="00CD3F0A">
        <w:rPr>
          <w:rStyle w:val="StyleUnderline"/>
        </w:rPr>
        <w:t>;</w:t>
      </w:r>
      <w:r w:rsidRPr="00CD3F0A">
        <w:rPr>
          <w:sz w:val="16"/>
        </w:rPr>
        <w:t xml:space="preserve"> as Protevi says, ‘geo-bio-techno-affective assemblages’, </w:t>
      </w:r>
      <w:r w:rsidRPr="0058153D">
        <w:rPr>
          <w:rStyle w:val="StyleUnderline"/>
          <w:highlight w:val="cyan"/>
        </w:rPr>
        <w:t>which exceed</w:t>
      </w:r>
      <w:r w:rsidRPr="00CD3F0A">
        <w:rPr>
          <w:rStyle w:val="StyleUnderline"/>
        </w:rPr>
        <w:t xml:space="preserve"> capture by any one </w:t>
      </w:r>
      <w:r w:rsidRPr="0058153D">
        <w:rPr>
          <w:rStyle w:val="StyleUnderline"/>
          <w:highlight w:val="cyan"/>
        </w:rPr>
        <w:t>interpretative framework</w:t>
      </w:r>
      <w:r w:rsidRPr="00CD3F0A">
        <w:rPr>
          <w:rStyle w:val="StyleUnderline"/>
        </w:rPr>
        <w:t>.</w:t>
      </w:r>
      <w:r w:rsidRPr="00CD3F0A">
        <w:rPr>
          <w:sz w:val="16"/>
        </w:rPr>
        <w:t xml:space="preserve"> This suggests a change in the way in which we deploy the concept of the body in making sense of affective responses to war. </w:t>
      </w:r>
      <w:r w:rsidRPr="00CD3F0A">
        <w:rPr>
          <w:rStyle w:val="StyleUnderline"/>
        </w:rPr>
        <w:t>It is no longer sufficient to rely on biological accounts of why bodies perform in certain ways.</w:t>
      </w:r>
      <w:r w:rsidRPr="00CD3F0A">
        <w:rPr>
          <w:sz w:val="16"/>
        </w:rPr>
        <w:t xml:space="preserve"> Rather, Protevi suggests, </w:t>
      </w:r>
      <w:r w:rsidRPr="0058153D">
        <w:rPr>
          <w:rStyle w:val="StyleUnderline"/>
          <w:highlight w:val="cyan"/>
        </w:rPr>
        <w:t>we should mobilise</w:t>
      </w:r>
      <w:r w:rsidRPr="00CD3F0A">
        <w:rPr>
          <w:sz w:val="16"/>
        </w:rPr>
        <w:t xml:space="preserve"> Deleuze and Guattari’s concept of </w:t>
      </w:r>
      <w:r w:rsidRPr="0058153D">
        <w:rPr>
          <w:rStyle w:val="StyleUnderline"/>
          <w:highlight w:val="cyan"/>
        </w:rPr>
        <w:t>affect</w:t>
      </w:r>
      <w:r w:rsidRPr="00CD3F0A">
        <w:rPr>
          <w:rStyle w:val="StyleUnderline"/>
        </w:rPr>
        <w:t xml:space="preserve">, which refers to </w:t>
      </w:r>
      <w:r w:rsidRPr="0058153D">
        <w:rPr>
          <w:rStyle w:val="StyleUnderline"/>
          <w:highlight w:val="cyan"/>
        </w:rPr>
        <w:t>the ability</w:t>
      </w:r>
      <w:r w:rsidRPr="00CD3F0A">
        <w:rPr>
          <w:rStyle w:val="StyleUnderline"/>
        </w:rPr>
        <w:t xml:space="preserve"> of bodies </w:t>
      </w:r>
      <w:r w:rsidRPr="0058153D">
        <w:rPr>
          <w:rStyle w:val="StyleUnderline"/>
          <w:highlight w:val="cyan"/>
        </w:rPr>
        <w:t>to form assemblages</w:t>
      </w:r>
      <w:r w:rsidRPr="00CD3F0A">
        <w:rPr>
          <w:rStyle w:val="StyleUnderline"/>
        </w:rPr>
        <w:t xml:space="preserve"> with other bodies.</w:t>
      </w:r>
      <w:r w:rsidRPr="00CD3F0A">
        <w:rPr>
          <w:sz w:val="16"/>
        </w:rPr>
        <w:t xml:space="preserve"> Indeed, this is a problematic formulation in the sense that the body cannot be understood apart from this ability. </w:t>
      </w:r>
      <w:r w:rsidRPr="00CD3F0A">
        <w:rPr>
          <w:rStyle w:val="StyleUnderline"/>
        </w:rPr>
        <w:t>It is the formation of assemblages, and the ongoing interaction that bodies have with other bodies that enables us to define ‘what a body is.’</w:t>
      </w:r>
      <w:r w:rsidRPr="00CD3F0A">
        <w:rPr>
          <w:sz w:val="16"/>
        </w:rPr>
        <w:t xml:space="preserve"> And </w:t>
      </w:r>
      <w:r w:rsidRPr="0058153D">
        <w:rPr>
          <w:rStyle w:val="StyleUnderline"/>
          <w:highlight w:val="cyan"/>
        </w:rPr>
        <w:t>this challenges the</w:t>
      </w:r>
      <w:r w:rsidRPr="00CD3F0A">
        <w:rPr>
          <w:rStyle w:val="StyleUnderline"/>
        </w:rPr>
        <w:t xml:space="preserve"> analytic </w:t>
      </w:r>
      <w:r w:rsidRPr="0058153D">
        <w:rPr>
          <w:rStyle w:val="StyleUnderline"/>
          <w:highlight w:val="cyan"/>
        </w:rPr>
        <w:t>approach to bodies</w:t>
      </w:r>
      <w:r w:rsidRPr="00CD3F0A">
        <w:rPr>
          <w:rStyle w:val="StyleUnderline"/>
        </w:rPr>
        <w:t xml:space="preserve"> at war </w:t>
      </w:r>
      <w:r w:rsidRPr="0058153D">
        <w:rPr>
          <w:rStyle w:val="StyleUnderline"/>
          <w:highlight w:val="cyan"/>
        </w:rPr>
        <w:t>which would seek to distinguish</w:t>
      </w:r>
      <w:r w:rsidRPr="00CD3F0A">
        <w:rPr>
          <w:rStyle w:val="StyleUnderline"/>
        </w:rPr>
        <w:t xml:space="preserve"> among history, biology, culture, society and so on, </w:t>
      </w:r>
      <w:r w:rsidRPr="0058153D">
        <w:rPr>
          <w:rStyle w:val="StyleUnderline"/>
        </w:rPr>
        <w:t>when in fact</w:t>
      </w:r>
      <w:r w:rsidRPr="00CD3F0A">
        <w:rPr>
          <w:rStyle w:val="StyleUnderline"/>
        </w:rPr>
        <w:t xml:space="preserve"> the </w:t>
      </w:r>
      <w:r w:rsidRPr="0058153D">
        <w:rPr>
          <w:rStyle w:val="StyleUnderline"/>
          <w:highlight w:val="cyan"/>
        </w:rPr>
        <w:t>connections</w:t>
      </w:r>
      <w:r w:rsidRPr="00CD3F0A">
        <w:rPr>
          <w:rStyle w:val="StyleUnderline"/>
        </w:rPr>
        <w:t xml:space="preserve"> that bodies make exceed and </w:t>
      </w:r>
      <w:r w:rsidRPr="0058153D">
        <w:rPr>
          <w:rStyle w:val="StyleUnderline"/>
          <w:highlight w:val="cyan"/>
        </w:rPr>
        <w:t>undermine</w:t>
      </w:r>
      <w:r w:rsidRPr="0058153D">
        <w:rPr>
          <w:rStyle w:val="StyleUnderline"/>
        </w:rPr>
        <w:t xml:space="preserve"> these </w:t>
      </w:r>
      <w:r w:rsidRPr="0058153D">
        <w:rPr>
          <w:rStyle w:val="StyleUnderline"/>
          <w:highlight w:val="cyan"/>
        </w:rPr>
        <w:t>distinctions</w:t>
      </w:r>
      <w:r w:rsidRPr="00CD3F0A">
        <w:rPr>
          <w:rStyle w:val="StyleUnderline"/>
        </w:rPr>
        <w:t>.</w:t>
      </w:r>
      <w:r w:rsidRPr="00CD3F0A">
        <w:rPr>
          <w:sz w:val="16"/>
        </w:rPr>
        <w:t xml:space="preserve"> What is the key for Protevi is the way in which </w:t>
      </w:r>
      <w:r w:rsidRPr="0058153D">
        <w:rPr>
          <w:rStyle w:val="StyleUnderline"/>
          <w:highlight w:val="cyan"/>
        </w:rPr>
        <w:t>we</w:t>
      </w:r>
      <w:r w:rsidRPr="00CD3F0A">
        <w:rPr>
          <w:rStyle w:val="StyleUnderline"/>
        </w:rPr>
        <w:t xml:space="preserve"> can </w:t>
      </w:r>
      <w:r w:rsidRPr="0058153D">
        <w:rPr>
          <w:rStyle w:val="StyleUnderline"/>
          <w:highlight w:val="cyan"/>
        </w:rPr>
        <w:t>think of war in adaptive terms</w:t>
      </w:r>
      <w:r w:rsidRPr="00CD3F0A">
        <w:rPr>
          <w:rStyle w:val="StyleUnderline"/>
        </w:rPr>
        <w:t xml:space="preserve">, or as a selection pressure, </w:t>
      </w:r>
      <w:r w:rsidRPr="0058153D">
        <w:rPr>
          <w:rStyle w:val="StyleUnderline"/>
          <w:highlight w:val="cyan"/>
        </w:rPr>
        <w:t>without essentialising</w:t>
      </w:r>
      <w:r w:rsidRPr="00CD3F0A">
        <w:rPr>
          <w:rStyle w:val="StyleUnderline"/>
        </w:rPr>
        <w:t xml:space="preserve"> either what we mean by ‘war’, or what we take to be the responses and reactions of bodies.</w:t>
      </w:r>
      <w:r w:rsidRPr="00CD3F0A">
        <w:rPr>
          <w:sz w:val="16"/>
        </w:rPr>
        <w:t xml:space="preserve"> This involves rescuing from the idea of simple evolution a notion of the ‘body politic’ as a dynamic active and evolving assemblage. Discussing the phenomenon of ‘rage’ across historical cultures, Protevi wants to rescue some notion of ‘human nature’ from the notion that all emotions and affective manifestations are socially constructed or context specific. However, this does not mean that they are amenable to facile capture or representation through any single prism of analysis. Rather, </w:t>
      </w:r>
      <w:r w:rsidRPr="00CD3F0A">
        <w:rPr>
          <w:rStyle w:val="StyleUnderline"/>
        </w:rPr>
        <w:t xml:space="preserve">considering bodily responses and reactions from the perspective of </w:t>
      </w:r>
      <w:r w:rsidRPr="0058153D">
        <w:rPr>
          <w:rStyle w:val="StyleUnderline"/>
          <w:highlight w:val="cyan"/>
        </w:rPr>
        <w:t>affect demands attention to</w:t>
      </w:r>
      <w:r w:rsidRPr="00CD3F0A">
        <w:rPr>
          <w:rStyle w:val="StyleUnderline"/>
        </w:rPr>
        <w:t xml:space="preserve"> the cyclical, dynamic and reactive character of </w:t>
      </w:r>
      <w:r w:rsidRPr="0058153D">
        <w:rPr>
          <w:rStyle w:val="StyleUnderline"/>
          <w:highlight w:val="cyan"/>
        </w:rPr>
        <w:t>all actions/reactions</w:t>
      </w:r>
      <w:r w:rsidRPr="00CD3F0A">
        <w:rPr>
          <w:sz w:val="16"/>
        </w:rPr>
        <w:t xml:space="preserve">. It is </w:t>
      </w:r>
      <w:r w:rsidRPr="00CD3F0A">
        <w:rPr>
          <w:rStyle w:val="StyleUnderline"/>
        </w:rPr>
        <w:t xml:space="preserve">the </w:t>
      </w:r>
      <w:r w:rsidRPr="0058153D">
        <w:rPr>
          <w:rStyle w:val="StyleUnderline"/>
          <w:highlight w:val="cyan"/>
        </w:rPr>
        <w:t>differential bio-cultural production of</w:t>
      </w:r>
      <w:r w:rsidRPr="00CD3F0A">
        <w:rPr>
          <w:rStyle w:val="StyleUnderline"/>
        </w:rPr>
        <w:t xml:space="preserve"> certain </w:t>
      </w:r>
      <w:r w:rsidRPr="0058153D">
        <w:rPr>
          <w:rStyle w:val="StyleUnderline"/>
          <w:highlight w:val="cyan"/>
        </w:rPr>
        <w:t>war-bodies</w:t>
      </w:r>
      <w:r w:rsidRPr="00CD3F0A">
        <w:rPr>
          <w:sz w:val="16"/>
        </w:rPr>
        <w:t xml:space="preserve"> with which Protevi is concerned, which </w:t>
      </w:r>
      <w:r w:rsidRPr="00CD3F0A">
        <w:rPr>
          <w:rStyle w:val="StyleUnderline"/>
        </w:rPr>
        <w:t xml:space="preserve">means that </w:t>
      </w:r>
      <w:r w:rsidRPr="0058153D">
        <w:rPr>
          <w:rStyle w:val="StyleUnderline"/>
          <w:highlight w:val="cyan"/>
        </w:rPr>
        <w:t>it is not enough</w:t>
      </w:r>
      <w:r w:rsidRPr="00CD3F0A">
        <w:rPr>
          <w:rStyle w:val="StyleUnderline"/>
        </w:rPr>
        <w:t xml:space="preserve"> for us </w:t>
      </w:r>
      <w:r w:rsidRPr="0058153D">
        <w:rPr>
          <w:rStyle w:val="StyleUnderline"/>
          <w:highlight w:val="cyan"/>
        </w:rPr>
        <w:t>to say</w:t>
      </w:r>
      <w:r w:rsidRPr="00CD3F0A">
        <w:rPr>
          <w:rStyle w:val="StyleUnderline"/>
        </w:rPr>
        <w:t xml:space="preserve"> that </w:t>
      </w:r>
      <w:r w:rsidRPr="0058153D">
        <w:rPr>
          <w:rStyle w:val="StyleUnderline"/>
          <w:highlight w:val="cyan"/>
        </w:rPr>
        <w:t>war is</w:t>
      </w:r>
      <w:r w:rsidRPr="00CD3F0A">
        <w:rPr>
          <w:rStyle w:val="StyleUnderline"/>
        </w:rPr>
        <w:t xml:space="preserve"> an </w:t>
      </w:r>
      <w:r w:rsidRPr="0058153D">
        <w:rPr>
          <w:rStyle w:val="StyleUnderline"/>
          <w:highlight w:val="cyan"/>
        </w:rPr>
        <w:t>eternal</w:t>
      </w:r>
      <w:r w:rsidRPr="00CD3F0A">
        <w:rPr>
          <w:rStyle w:val="StyleUnderline"/>
        </w:rPr>
        <w:t xml:space="preserve"> human experience </w:t>
      </w:r>
      <w:r w:rsidRPr="0058153D">
        <w:rPr>
          <w:rStyle w:val="StyleUnderline"/>
          <w:highlight w:val="cyan"/>
        </w:rPr>
        <w:t>because of</w:t>
      </w:r>
      <w:r w:rsidRPr="00CD3F0A">
        <w:rPr>
          <w:rStyle w:val="StyleUnderline"/>
        </w:rPr>
        <w:t xml:space="preserve"> the highly </w:t>
      </w:r>
      <w:r w:rsidRPr="0058153D">
        <w:rPr>
          <w:rStyle w:val="StyleUnderline"/>
          <w:highlight w:val="cyan"/>
        </w:rPr>
        <w:t>variable ways</w:t>
      </w:r>
      <w:r w:rsidRPr="00CD3F0A">
        <w:rPr>
          <w:rStyle w:val="StyleUnderline"/>
        </w:rPr>
        <w:t xml:space="preserve"> in which ‘</w:t>
      </w:r>
      <w:r w:rsidRPr="0058153D">
        <w:rPr>
          <w:rStyle w:val="StyleUnderline"/>
          <w:highlight w:val="cyan"/>
        </w:rPr>
        <w:t>war’ is experienced</w:t>
      </w:r>
      <w:r w:rsidRPr="00CD3F0A">
        <w:rPr>
          <w:rStyle w:val="StyleUnderline"/>
        </w:rPr>
        <w:t xml:space="preserve"> and conceived in different cultures.</w:t>
      </w:r>
      <w:r w:rsidRPr="00CD3F0A">
        <w:rPr>
          <w:sz w:val="16"/>
        </w:rPr>
        <w:t xml:space="preserve"> He gives the example of music, which may create certain possibilities for group activity, and prime certain affective responses resulting in variable iterations of ‘war.’ In this sense, music is immediately physiological, social, cultural and military, in an emergent assemblage of bodies and populations. Brad Evans analyses the post-9/11 security landscape through the prism of Foucauldian biopolitics in order to outline the ways in which the referent object of security is changing, and to catalyse an exploration of the consequences of this for political possibility and resistance. </w:t>
      </w:r>
      <w:r w:rsidRPr="0058153D">
        <w:rPr>
          <w:rStyle w:val="StyleUnderline"/>
          <w:highlight w:val="cyan"/>
        </w:rPr>
        <w:t>We</w:t>
      </w:r>
      <w:r w:rsidRPr="00CD3F0A">
        <w:rPr>
          <w:rStyle w:val="StyleUnderline"/>
        </w:rPr>
        <w:t xml:space="preserve"> can </w:t>
      </w:r>
      <w:r w:rsidRPr="0058153D">
        <w:rPr>
          <w:rStyle w:val="StyleUnderline"/>
          <w:highlight w:val="cyan"/>
        </w:rPr>
        <w:t>see security</w:t>
      </w:r>
      <w:r w:rsidRPr="00CD3F0A">
        <w:rPr>
          <w:rStyle w:val="StyleUnderline"/>
        </w:rPr>
        <w:t xml:space="preserve"> becoming </w:t>
      </w:r>
      <w:r w:rsidRPr="0058153D">
        <w:rPr>
          <w:rStyle w:val="StyleUnderline"/>
          <w:highlight w:val="cyan"/>
        </w:rPr>
        <w:t>decreasingly concerned with identity</w:t>
      </w:r>
      <w:r w:rsidRPr="0058153D">
        <w:rPr>
          <w:rStyle w:val="StyleUnderline"/>
        </w:rPr>
        <w:t xml:space="preserve"> and increasingly focused on circulation</w:t>
      </w:r>
      <w:r w:rsidRPr="00CD3F0A">
        <w:rPr>
          <w:rStyle w:val="StyleUnderline"/>
        </w:rPr>
        <w:t xml:space="preserve"> and emergence.</w:t>
      </w:r>
      <w:r w:rsidRPr="00CD3F0A">
        <w:rPr>
          <w:sz w:val="16"/>
        </w:rPr>
        <w:t xml:space="preserve"> In this sense</w:t>
      </w:r>
      <w:r w:rsidRPr="00CD3F0A">
        <w:rPr>
          <w:rStyle w:val="StyleUnderline"/>
        </w:rPr>
        <w:t xml:space="preserve">, it is </w:t>
      </w:r>
      <w:r w:rsidRPr="0058153D">
        <w:rPr>
          <w:rStyle w:val="StyleUnderline"/>
          <w:highlight w:val="cyan"/>
        </w:rPr>
        <w:t>no longer what things are</w:t>
      </w:r>
      <w:r w:rsidRPr="00CD3F0A">
        <w:rPr>
          <w:rStyle w:val="StyleUnderline"/>
        </w:rPr>
        <w:t xml:space="preserve"> that is the focus of the martial sciences, </w:t>
      </w:r>
      <w:r w:rsidRPr="00F811E0">
        <w:rPr>
          <w:rStyle w:val="StyleUnderline"/>
        </w:rPr>
        <w:t xml:space="preserve">but what </w:t>
      </w:r>
      <w:r w:rsidRPr="0058153D">
        <w:rPr>
          <w:rStyle w:val="StyleUnderline"/>
          <w:highlight w:val="cyan"/>
        </w:rPr>
        <w:t>they are becoming. This produces</w:t>
      </w:r>
      <w:r w:rsidRPr="00CD3F0A">
        <w:rPr>
          <w:rStyle w:val="StyleUnderline"/>
        </w:rPr>
        <w:t xml:space="preserve"> a </w:t>
      </w:r>
      <w:r w:rsidRPr="0058153D">
        <w:rPr>
          <w:rStyle w:val="StyleUnderline"/>
          <w:highlight w:val="cyan"/>
        </w:rPr>
        <w:t>re-evaluation of</w:t>
      </w:r>
      <w:r w:rsidRPr="00CD3F0A">
        <w:rPr>
          <w:rStyle w:val="StyleUnderline"/>
        </w:rPr>
        <w:t xml:space="preserve"> the very meaning of </w:t>
      </w:r>
      <w:r w:rsidRPr="0058153D">
        <w:rPr>
          <w:rStyle w:val="StyleUnderline"/>
          <w:highlight w:val="cyan"/>
        </w:rPr>
        <w:t>‘security’, and</w:t>
      </w:r>
      <w:r w:rsidRPr="00CD3F0A">
        <w:rPr>
          <w:rStyle w:val="StyleUnderline"/>
        </w:rPr>
        <w:t xml:space="preserve"> of </w:t>
      </w:r>
      <w:r w:rsidRPr="0058153D">
        <w:rPr>
          <w:rStyle w:val="StyleUnderline"/>
          <w:highlight w:val="cyan"/>
        </w:rPr>
        <w:t>its meaning for politics and</w:t>
      </w:r>
      <w:r w:rsidRPr="00CD3F0A">
        <w:rPr>
          <w:rStyle w:val="StyleUnderline"/>
        </w:rPr>
        <w:t xml:space="preserve"> the place of </w:t>
      </w:r>
      <w:r w:rsidRPr="0058153D">
        <w:rPr>
          <w:rStyle w:val="StyleUnderline"/>
          <w:highlight w:val="cyan"/>
        </w:rPr>
        <w:t>war</w:t>
      </w:r>
      <w:r w:rsidRPr="00CD3F0A">
        <w:rPr>
          <w:rStyle w:val="StyleUnderline"/>
        </w:rPr>
        <w:t xml:space="preserve"> in contemporary society.</w:t>
      </w:r>
      <w:r w:rsidRPr="00CD3F0A">
        <w:rPr>
          <w:sz w:val="16"/>
        </w:rPr>
        <w:t xml:space="preserve"> Moreover, </w:t>
      </w:r>
      <w:r w:rsidRPr="00CD3F0A">
        <w:rPr>
          <w:rStyle w:val="StyleUnderline"/>
        </w:rPr>
        <w:t>it is productive of a change in the object of security, which is no longer a defined group or state, but life itself;</w:t>
      </w:r>
      <w:r w:rsidRPr="00CD3F0A">
        <w:rPr>
          <w:sz w:val="16"/>
        </w:rPr>
        <w:t xml:space="preserve"> life understood as always being in the process of change and emergence. Indeed, it this ongoing process of becoming which defines ‘life’ as such. </w:t>
      </w:r>
      <w:r w:rsidRPr="0058153D">
        <w:rPr>
          <w:rStyle w:val="StyleUnderline"/>
          <w:highlight w:val="cyan"/>
        </w:rPr>
        <w:t>Life</w:t>
      </w:r>
      <w:r w:rsidRPr="00CD3F0A">
        <w:rPr>
          <w:rStyle w:val="StyleUnderline"/>
        </w:rPr>
        <w:t xml:space="preserve"> is becoming. It therefore </w:t>
      </w:r>
      <w:r w:rsidRPr="0058153D">
        <w:rPr>
          <w:rStyle w:val="StyleUnderline"/>
          <w:highlight w:val="cyan"/>
        </w:rPr>
        <w:t>cannot be secured</w:t>
      </w:r>
      <w:r w:rsidRPr="00CD3F0A">
        <w:rPr>
          <w:rStyle w:val="StyleUnderline"/>
        </w:rPr>
        <w:t xml:space="preserve"> through being fixed, rather, </w:t>
      </w:r>
      <w:r w:rsidRPr="0058153D">
        <w:rPr>
          <w:rStyle w:val="StyleUnderline"/>
          <w:highlight w:val="cyan"/>
        </w:rPr>
        <w:t>its becomings must be monitored and</w:t>
      </w:r>
      <w:r w:rsidRPr="00CD3F0A">
        <w:rPr>
          <w:rStyle w:val="StyleUnderline"/>
        </w:rPr>
        <w:t xml:space="preserve">, if necessary, </w:t>
      </w:r>
      <w:r w:rsidRPr="0058153D">
        <w:rPr>
          <w:rStyle w:val="StyleUnderline"/>
          <w:highlight w:val="cyan"/>
        </w:rPr>
        <w:t>terminated</w:t>
      </w:r>
      <w:r w:rsidRPr="00CD3F0A">
        <w:rPr>
          <w:rStyle w:val="StyleUnderline"/>
        </w:rPr>
        <w:t xml:space="preserve"> </w:t>
      </w:r>
      <w:r w:rsidRPr="00CD3F0A">
        <w:rPr>
          <w:rStyle w:val="StyleUnderline"/>
        </w:rPr>
        <w:lastRenderedPageBreak/>
        <w:t>before danger can be said to have emerged.</w:t>
      </w:r>
      <w:r w:rsidRPr="00CD3F0A">
        <w:rPr>
          <w:sz w:val="16"/>
        </w:rPr>
        <w:t xml:space="preserve"> As Evans indicates, this creates serious challenges for political thought. Firstly, </w:t>
      </w:r>
      <w:r w:rsidRPr="00F811E0">
        <w:rPr>
          <w:rStyle w:val="StyleUnderline"/>
          <w:highlight w:val="cyan"/>
        </w:rPr>
        <w:t>‘f</w:t>
      </w:r>
      <w:r w:rsidRPr="0058153D">
        <w:rPr>
          <w:rStyle w:val="StyleUnderline"/>
          <w:highlight w:val="cyan"/>
        </w:rPr>
        <w:t>reedom’ becomes internalised within</w:t>
      </w:r>
      <w:r w:rsidRPr="00CD3F0A">
        <w:rPr>
          <w:rStyle w:val="StyleUnderline"/>
        </w:rPr>
        <w:t xml:space="preserve"> the system of </w:t>
      </w:r>
      <w:r w:rsidRPr="0058153D">
        <w:rPr>
          <w:rStyle w:val="StyleUnderline"/>
          <w:highlight w:val="cyan"/>
        </w:rPr>
        <w:t>security</w:t>
      </w:r>
      <w:r w:rsidRPr="00CD3F0A">
        <w:rPr>
          <w:rStyle w:val="StyleUnderline"/>
        </w:rPr>
        <w:t xml:space="preserve"> and governance, so that </w:t>
      </w:r>
      <w:r w:rsidRPr="0058153D">
        <w:rPr>
          <w:rStyle w:val="StyleUnderline"/>
          <w:highlight w:val="cyan"/>
        </w:rPr>
        <w:t>we</w:t>
      </w:r>
      <w:r w:rsidRPr="00CD3F0A">
        <w:rPr>
          <w:rStyle w:val="StyleUnderline"/>
        </w:rPr>
        <w:t xml:space="preserve"> can no longer </w:t>
      </w:r>
      <w:r w:rsidRPr="0058153D">
        <w:rPr>
          <w:rStyle w:val="StyleUnderline"/>
          <w:highlight w:val="cyan"/>
        </w:rPr>
        <w:t>think</w:t>
      </w:r>
      <w:r w:rsidRPr="00CD3F0A">
        <w:rPr>
          <w:rStyle w:val="StyleUnderline"/>
        </w:rPr>
        <w:t xml:space="preserve"> of freedom from security, but </w:t>
      </w:r>
      <w:r w:rsidRPr="0058153D">
        <w:rPr>
          <w:rStyle w:val="StyleUnderline"/>
          <w:highlight w:val="cyan"/>
        </w:rPr>
        <w:t>of security as</w:t>
      </w:r>
      <w:r w:rsidRPr="00CD3F0A">
        <w:rPr>
          <w:rStyle w:val="StyleUnderline"/>
        </w:rPr>
        <w:t xml:space="preserve"> the </w:t>
      </w:r>
      <w:r w:rsidRPr="0058153D">
        <w:rPr>
          <w:rStyle w:val="StyleUnderline"/>
          <w:highlight w:val="cyan"/>
        </w:rPr>
        <w:t>production of freedom</w:t>
      </w:r>
      <w:r w:rsidRPr="00CD3F0A">
        <w:rPr>
          <w:rStyle w:val="StyleUnderline"/>
        </w:rPr>
        <w:t>.</w:t>
      </w:r>
      <w:r w:rsidRPr="00CD3F0A">
        <w:rPr>
          <w:sz w:val="16"/>
        </w:rPr>
        <w:t xml:space="preserve"> Secondly, </w:t>
      </w:r>
      <w:r w:rsidRPr="00CD3F0A">
        <w:rPr>
          <w:rStyle w:val="StyleUnderline"/>
        </w:rPr>
        <w:t xml:space="preserve">the </w:t>
      </w:r>
      <w:r w:rsidRPr="0058153D">
        <w:rPr>
          <w:rStyle w:val="StyleUnderline"/>
          <w:highlight w:val="cyan"/>
        </w:rPr>
        <w:t>consequences</w:t>
      </w:r>
      <w:r w:rsidRPr="00CD3F0A">
        <w:rPr>
          <w:rStyle w:val="StyleUnderline"/>
        </w:rPr>
        <w:t xml:space="preserve"> of ‘freedom’ </w:t>
      </w:r>
      <w:r w:rsidRPr="0058153D">
        <w:rPr>
          <w:rStyle w:val="StyleUnderline"/>
          <w:highlight w:val="cyan"/>
        </w:rPr>
        <w:t>become</w:t>
      </w:r>
      <w:r w:rsidRPr="00CD3F0A">
        <w:rPr>
          <w:rStyle w:val="StyleUnderline"/>
        </w:rPr>
        <w:t xml:space="preserve"> radically </w:t>
      </w:r>
      <w:r w:rsidRPr="0058153D">
        <w:rPr>
          <w:rStyle w:val="StyleUnderline"/>
          <w:highlight w:val="cyan"/>
        </w:rPr>
        <w:t>unpredictable</w:t>
      </w:r>
      <w:r w:rsidRPr="00CD3F0A">
        <w:rPr>
          <w:rStyle w:val="StyleUnderline"/>
        </w:rPr>
        <w:t>.</w:t>
      </w:r>
      <w:r w:rsidRPr="00CD3F0A">
        <w:rPr>
          <w:sz w:val="16"/>
        </w:rPr>
        <w:t xml:space="preserve"> The new sciences of complexity tell us that we cannot contain this radical freedom within a certain political territory or ideology: rather, the consequences of freedom are inherently unpredictable and unstable. This is nowhere better illustrated than by the events of 9/11, when the potential of a ‘catastrophic individual’ to bring destruction and to transform perceptions of the security situation was brought into painfully sharp relief. What this means is that </w:t>
      </w:r>
      <w:r w:rsidRPr="0058153D">
        <w:rPr>
          <w:rStyle w:val="StyleUnderline"/>
          <w:highlight w:val="cyan"/>
        </w:rPr>
        <w:t>the event</w:t>
      </w:r>
      <w:r w:rsidRPr="00CD3F0A">
        <w:rPr>
          <w:sz w:val="16"/>
        </w:rPr>
        <w:t xml:space="preserve">, in Deleuzian terms, </w:t>
      </w:r>
      <w:r w:rsidRPr="0058153D">
        <w:rPr>
          <w:rStyle w:val="StyleUnderline"/>
          <w:highlight w:val="cyan"/>
        </w:rPr>
        <w:t>becomes the object of security</w:t>
      </w:r>
      <w:r w:rsidRPr="00CD3F0A">
        <w:rPr>
          <w:rStyle w:val="StyleUnderline"/>
        </w:rPr>
        <w:t xml:space="preserve">, thereby </w:t>
      </w:r>
      <w:r w:rsidRPr="0058153D">
        <w:rPr>
          <w:rStyle w:val="StyleUnderline"/>
          <w:highlight w:val="cyan"/>
        </w:rPr>
        <w:t>creating a paradox in which</w:t>
      </w:r>
      <w:r w:rsidRPr="00CD3F0A">
        <w:rPr>
          <w:rStyle w:val="StyleUnderline"/>
        </w:rPr>
        <w:t xml:space="preserve"> the moment of </w:t>
      </w:r>
      <w:r w:rsidRPr="0058153D">
        <w:rPr>
          <w:rStyle w:val="StyleUnderline"/>
          <w:highlight w:val="cyan"/>
        </w:rPr>
        <w:t>political possibility is</w:t>
      </w:r>
      <w:r w:rsidRPr="00CD3F0A">
        <w:rPr>
          <w:rStyle w:val="StyleUnderline"/>
        </w:rPr>
        <w:t xml:space="preserve"> also the moment for the </w:t>
      </w:r>
      <w:r w:rsidRPr="0058153D">
        <w:rPr>
          <w:rStyle w:val="StyleUnderline"/>
          <w:highlight w:val="cyan"/>
        </w:rPr>
        <w:t>concentration of</w:t>
      </w:r>
      <w:r w:rsidRPr="00CD3F0A">
        <w:rPr>
          <w:rStyle w:val="StyleUnderline"/>
        </w:rPr>
        <w:t xml:space="preserve"> an arsenal of </w:t>
      </w:r>
      <w:r w:rsidRPr="0058153D">
        <w:rPr>
          <w:rStyle w:val="StyleUnderline"/>
          <w:highlight w:val="cyan"/>
        </w:rPr>
        <w:t>military-strategic forces which are</w:t>
      </w:r>
      <w:r w:rsidRPr="00CD3F0A">
        <w:rPr>
          <w:rStyle w:val="StyleUnderline"/>
        </w:rPr>
        <w:t xml:space="preserve"> actually </w:t>
      </w:r>
      <w:r w:rsidRPr="0058153D">
        <w:rPr>
          <w:rStyle w:val="StyleUnderline"/>
          <w:highlight w:val="cyan"/>
        </w:rPr>
        <w:t>productive of the</w:t>
      </w:r>
      <w:r w:rsidRPr="00CD3F0A">
        <w:rPr>
          <w:rStyle w:val="StyleUnderline"/>
        </w:rPr>
        <w:t xml:space="preserve"> terrifying sorts of </w:t>
      </w:r>
      <w:r w:rsidRPr="0058153D">
        <w:rPr>
          <w:rStyle w:val="StyleUnderline"/>
          <w:highlight w:val="cyan"/>
        </w:rPr>
        <w:t>event which they</w:t>
      </w:r>
      <w:r w:rsidRPr="00CD3F0A">
        <w:rPr>
          <w:rStyle w:val="StyleUnderline"/>
        </w:rPr>
        <w:t xml:space="preserve"> would </w:t>
      </w:r>
      <w:r w:rsidRPr="0058153D">
        <w:rPr>
          <w:rStyle w:val="StyleUnderline"/>
          <w:highlight w:val="cyan"/>
        </w:rPr>
        <w:t>seek to foreclose</w:t>
      </w:r>
      <w:r w:rsidRPr="00F811E0">
        <w:rPr>
          <w:rStyle w:val="StyleUnderline"/>
        </w:rPr>
        <w:t>.</w:t>
      </w:r>
      <w:r w:rsidRPr="00CD3F0A">
        <w:rPr>
          <w:sz w:val="16"/>
        </w:rPr>
        <w:t xml:space="preserve"> Evans suggests that resources from Deleuze’s thought may allow us to think through binaries such as present/future, finite/infinite, known/unknown, which litter the terrain of discourses of security/freedom, </w:t>
      </w:r>
      <w:r w:rsidRPr="00CD3F0A">
        <w:rPr>
          <w:rStyle w:val="StyleUnderline"/>
        </w:rPr>
        <w:t xml:space="preserve">through the concept of </w:t>
      </w:r>
      <w:r w:rsidRPr="0058153D">
        <w:rPr>
          <w:rStyle w:val="StyleUnderline"/>
          <w:highlight w:val="cyan"/>
        </w:rPr>
        <w:t>difference</w:t>
      </w:r>
      <w:r w:rsidRPr="00CD3F0A">
        <w:rPr>
          <w:rStyle w:val="StyleUnderline"/>
        </w:rPr>
        <w:t xml:space="preserve"> which may </w:t>
      </w:r>
      <w:r w:rsidRPr="0058153D">
        <w:rPr>
          <w:rStyle w:val="StyleUnderline"/>
          <w:highlight w:val="cyan"/>
        </w:rPr>
        <w:t>mobilise</w:t>
      </w:r>
      <w:r w:rsidRPr="00CD3F0A">
        <w:rPr>
          <w:rStyle w:val="StyleUnderline"/>
        </w:rPr>
        <w:t xml:space="preserve"> an </w:t>
      </w:r>
      <w:r w:rsidRPr="0058153D">
        <w:rPr>
          <w:rStyle w:val="StyleUnderline"/>
          <w:highlight w:val="cyan"/>
        </w:rPr>
        <w:t>openness to political formation which enables</w:t>
      </w:r>
      <w:r w:rsidRPr="00CD3F0A">
        <w:rPr>
          <w:rStyle w:val="StyleUnderline"/>
        </w:rPr>
        <w:t xml:space="preserve"> us to think </w:t>
      </w:r>
      <w:r w:rsidRPr="0058153D">
        <w:rPr>
          <w:rStyle w:val="StyleUnderline"/>
          <w:highlight w:val="cyan"/>
        </w:rPr>
        <w:t>a future beyond security</w:t>
      </w:r>
      <w:r w:rsidRPr="00CD3F0A">
        <w:rPr>
          <w:rStyle w:val="StyleUnderline"/>
        </w:rPr>
        <w:t>, danger and pre-emption.</w:t>
      </w:r>
    </w:p>
    <w:p w14:paraId="00ECC3AC" w14:textId="161B5E86" w:rsidR="00E735C3" w:rsidRDefault="00E735C3" w:rsidP="00C63446">
      <w:pPr>
        <w:rPr>
          <w:rStyle w:val="StyleUnderline"/>
        </w:rPr>
      </w:pPr>
    </w:p>
    <w:p w14:paraId="7A7107EC" w14:textId="77777777" w:rsidR="005D48D5" w:rsidRPr="00E747BF" w:rsidRDefault="00E735C3" w:rsidP="00E747BF">
      <w:pPr>
        <w:pStyle w:val="Heading2"/>
        <w:rPr>
          <w:rStyle w:val="StyleUnderline"/>
          <w:sz w:val="44"/>
          <w:u w:val="double"/>
        </w:rPr>
      </w:pPr>
      <w:r>
        <w:rPr>
          <w:rStyle w:val="StyleUnderline"/>
        </w:rPr>
        <w:lastRenderedPageBreak/>
        <w:br w:type="page"/>
      </w:r>
      <w:r w:rsidR="005D48D5" w:rsidRPr="00E747BF">
        <w:rPr>
          <w:rStyle w:val="StyleUnderline"/>
          <w:sz w:val="44"/>
          <w:u w:val="double"/>
        </w:rPr>
        <w:lastRenderedPageBreak/>
        <w:t>Perm Solvency</w:t>
      </w:r>
    </w:p>
    <w:p w14:paraId="71B1B2A3" w14:textId="7434F858" w:rsidR="005D48D5" w:rsidRPr="00BC43B1" w:rsidRDefault="005D48D5" w:rsidP="005D48D5">
      <w:pPr>
        <w:pStyle w:val="Heading4"/>
        <w:rPr>
          <w:rStyle w:val="Style13ptBold"/>
          <w:b/>
        </w:rPr>
      </w:pPr>
      <w:r>
        <w:t>Whilst maintaining affirmation you should regard in terms of difference rather than opposition- anything else negates the possibility for enmity perceived by only one subject</w:t>
      </w:r>
      <w:r w:rsidR="00BC43B1">
        <w:t xml:space="preserve"> - </w:t>
      </w:r>
      <w:r w:rsidRPr="00BC43B1">
        <w:rPr>
          <w:rStyle w:val="Style13ptBold"/>
          <w:b/>
          <w:bCs w:val="0"/>
        </w:rPr>
        <w:t>Norman 2k</w:t>
      </w:r>
    </w:p>
    <w:p w14:paraId="491F0D00" w14:textId="77777777" w:rsidR="005D48D5" w:rsidRDefault="005D48D5" w:rsidP="005D48D5">
      <w:r>
        <w:t>(Judith Norman is the director of the department of philosophy at Trinity University, Ph.D. from University of Wisconsin-Madison B.A. from Carleton College, Nietzsche contra contra: difference and opposition, 194-196)</w:t>
      </w:r>
    </w:p>
    <w:p w14:paraId="4742A785" w14:textId="516455A0" w:rsidR="005D48D5" w:rsidRDefault="005D48D5" w:rsidP="005D48D5">
      <w:pPr>
        <w:rPr>
          <w:sz w:val="16"/>
        </w:rPr>
      </w:pPr>
      <w:r w:rsidRPr="00375046">
        <w:rPr>
          <w:sz w:val="16"/>
        </w:rPr>
        <w:t xml:space="preserve">In his book, Difference and Repetition, Gilles </w:t>
      </w:r>
      <w:r w:rsidRPr="00A23182">
        <w:rPr>
          <w:rStyle w:val="StyleUnderline"/>
          <w:highlight w:val="cyan"/>
        </w:rPr>
        <w:t>Deleuze offers a model for understanding what he calls unilateral distinctio</w:t>
      </w:r>
      <w:r w:rsidRPr="00754AED">
        <w:rPr>
          <w:rStyle w:val="StyleUnderline"/>
        </w:rPr>
        <w:t>n,</w:t>
      </w:r>
      <w:r w:rsidRPr="00375046">
        <w:rPr>
          <w:sz w:val="16"/>
        </w:rPr>
        <w:t xml:space="preserve"> a distinction </w:t>
      </w:r>
      <w:r w:rsidRPr="00754AED">
        <w:rPr>
          <w:rStyle w:val="Emphasis"/>
        </w:rPr>
        <w:t xml:space="preserve">which </w:t>
      </w:r>
      <w:r w:rsidRPr="00A23182">
        <w:rPr>
          <w:rStyle w:val="Emphasis"/>
          <w:highlight w:val="cyan"/>
        </w:rPr>
        <w:t>only exists for one of two elements being distinguished</w:t>
      </w:r>
      <w:r w:rsidRPr="00375046">
        <w:rPr>
          <w:sz w:val="16"/>
        </w:rPr>
        <w:t xml:space="preserve">. </w:t>
      </w:r>
      <w:r w:rsidRPr="00A23182">
        <w:rPr>
          <w:rStyle w:val="StyleUnderline"/>
          <w:highlight w:val="cyan"/>
        </w:rPr>
        <w:t>Instead of something distinguished from something</w:t>
      </w:r>
      <w:r w:rsidRPr="00754AED">
        <w:rPr>
          <w:rStyle w:val="StyleUnderline"/>
        </w:rPr>
        <w:t xml:space="preserve"> else</w:t>
      </w:r>
      <w:r w:rsidRPr="00375046">
        <w:rPr>
          <w:sz w:val="16"/>
        </w:rPr>
        <w:t xml:space="preserve">, imagine </w:t>
      </w:r>
      <w:r w:rsidRPr="00754AED">
        <w:rPr>
          <w:rStyle w:val="StyleUnderline"/>
        </w:rPr>
        <w:t xml:space="preserve">some-thing which distinguishes itself – and </w:t>
      </w:r>
      <w:r w:rsidRPr="00754AED">
        <w:rPr>
          <w:rStyle w:val="Emphasis"/>
        </w:rPr>
        <w:t xml:space="preserve">yet that </w:t>
      </w:r>
      <w:r w:rsidRPr="00A23182">
        <w:rPr>
          <w:rStyle w:val="Emphasis"/>
          <w:highlight w:val="cyan"/>
        </w:rPr>
        <w:t>from which it distinguishes itself does not distinguish itself from it</w:t>
      </w:r>
      <w:r w:rsidRPr="00754AED">
        <w:rPr>
          <w:rStyle w:val="StyleUnderline"/>
        </w:rPr>
        <w:t xml:space="preserve"> </w:t>
      </w:r>
      <w:r w:rsidRPr="00375046">
        <w:rPr>
          <w:sz w:val="16"/>
        </w:rPr>
        <w:t xml:space="preserve">. . . It is as if the ground rose to the surface, without ceasing to be ground . . .So, for instance, </w:t>
      </w:r>
      <w:r w:rsidRPr="00754AED">
        <w:rPr>
          <w:rStyle w:val="StyleUnderline"/>
        </w:rPr>
        <w:t>the mind is</w:t>
      </w:r>
      <w:r w:rsidRPr="00375046">
        <w:rPr>
          <w:sz w:val="16"/>
        </w:rPr>
        <w:t xml:space="preserve"> unilaterally </w:t>
      </w:r>
      <w:r w:rsidRPr="00754AED">
        <w:rPr>
          <w:rStyle w:val="StyleUnderline"/>
        </w:rPr>
        <w:t>distinct from the body; it sees itself as special, although it is really more gray matter, from the perspective of thebody</w:t>
      </w:r>
      <w:r w:rsidRPr="00375046">
        <w:rPr>
          <w:sz w:val="16"/>
        </w:rPr>
        <w:t xml:space="preserve">.25 An image of this could be provided by a </w:t>
      </w:r>
      <w:r w:rsidRPr="00754AED">
        <w:rPr>
          <w:rStyle w:val="StyleUnderline"/>
        </w:rPr>
        <w:t>one-way mirror</w:t>
      </w:r>
      <w:r w:rsidRPr="00375046">
        <w:rPr>
          <w:sz w:val="16"/>
        </w:rPr>
        <w:t xml:space="preserve">, which acts as a </w:t>
      </w:r>
      <w:r w:rsidRPr="00754AED">
        <w:rPr>
          <w:rStyle w:val="StyleUnderline"/>
        </w:rPr>
        <w:t>transparent window on one side, and a mirror on the other</w:t>
      </w:r>
      <w:r w:rsidRPr="00375046">
        <w:rPr>
          <w:sz w:val="16"/>
        </w:rPr>
        <w:t xml:space="preserve">. On </w:t>
      </w:r>
      <w:r w:rsidRPr="00754AED">
        <w:rPr>
          <w:rStyle w:val="StyleUnderline"/>
        </w:rPr>
        <w:t>the first side, a distinction of sides is not apparent</w:t>
      </w:r>
      <w:r w:rsidRPr="00375046">
        <w:rPr>
          <w:sz w:val="16"/>
        </w:rPr>
        <w:t xml:space="preserve">; there seems to be just one continuous space. On the other, however, there is the </w:t>
      </w:r>
      <w:r w:rsidRPr="00A23182">
        <w:rPr>
          <w:rStyle w:val="StyleUnderline"/>
          <w:highlight w:val="cyan"/>
        </w:rPr>
        <w:t xml:space="preserve">experience of a boundary </w:t>
      </w:r>
      <w:r w:rsidRPr="00A23182">
        <w:rPr>
          <w:rStyle w:val="Emphasis"/>
          <w:highlight w:val="cyan"/>
        </w:rPr>
        <w:t>be-yond which we cannot see</w:t>
      </w:r>
      <w:r w:rsidRPr="00754AED">
        <w:rPr>
          <w:rStyle w:val="Emphasis"/>
        </w:rPr>
        <w:t xml:space="preserve">; </w:t>
      </w:r>
      <w:r w:rsidRPr="00375046">
        <w:rPr>
          <w:sz w:val="16"/>
        </w:rPr>
        <w:t xml:space="preserve">all we are given is our own image. This </w:t>
      </w:r>
      <w:r w:rsidRPr="00754AED">
        <w:rPr>
          <w:rStyle w:val="Emphasis"/>
        </w:rPr>
        <w:t xml:space="preserve">second side </w:t>
      </w:r>
      <w:r w:rsidRPr="00A23182">
        <w:rPr>
          <w:rStyle w:val="Emphasis"/>
          <w:highlight w:val="cyan"/>
        </w:rPr>
        <w:t>suggests oppositional thinking: self vs. other</w:t>
      </w:r>
      <w:r w:rsidRPr="00375046">
        <w:rPr>
          <w:sz w:val="16"/>
        </w:rPr>
        <w:t xml:space="preserve">. The first side suggests, perhaps, something else? We can extend </w:t>
      </w:r>
      <w:r w:rsidRPr="00375046">
        <w:rPr>
          <w:rStyle w:val="StyleUnderline"/>
        </w:rPr>
        <w:t xml:space="preserve">Deleuze’s concept </w:t>
      </w:r>
      <w:r w:rsidRPr="00375046">
        <w:rPr>
          <w:sz w:val="16"/>
        </w:rPr>
        <w:t xml:space="preserve">to construct a </w:t>
      </w:r>
      <w:r w:rsidRPr="00375046">
        <w:rPr>
          <w:rStyle w:val="Emphasis"/>
        </w:rPr>
        <w:t>model of unilateral oppositions</w:t>
      </w:r>
      <w:r w:rsidRPr="00375046">
        <w:rPr>
          <w:rStyle w:val="StyleUnderline"/>
        </w:rPr>
        <w:t xml:space="preserve">; </w:t>
      </w:r>
      <w:r w:rsidRPr="00A23182">
        <w:rPr>
          <w:rStyle w:val="StyleUnderline"/>
          <w:highlight w:val="cyan"/>
        </w:rPr>
        <w:t>rather than one side experiencing opposition and the other side none, imagine</w:t>
      </w:r>
      <w:r w:rsidRPr="00375046">
        <w:rPr>
          <w:rStyle w:val="StyleUnderline"/>
        </w:rPr>
        <w:t xml:space="preserve"> a case </w:t>
      </w:r>
      <w:r w:rsidRPr="00A23182">
        <w:rPr>
          <w:rStyle w:val="StyleUnderline"/>
          <w:highlight w:val="cyan"/>
        </w:rPr>
        <w:t>where one side experiences opposition</w:t>
      </w:r>
      <w:r w:rsidRPr="00375046">
        <w:rPr>
          <w:rStyle w:val="StyleUnderline"/>
        </w:rPr>
        <w:t xml:space="preserve"> – and </w:t>
      </w:r>
      <w:r w:rsidRPr="00A23182">
        <w:rPr>
          <w:rStyle w:val="StyleUnderline"/>
          <w:highlight w:val="cyan"/>
        </w:rPr>
        <w:t>the other side experiences not opposition, but – difference</w:t>
      </w:r>
      <w:r w:rsidRPr="00375046">
        <w:rPr>
          <w:sz w:val="16"/>
        </w:rPr>
        <w:t xml:space="preserve">. This model can be used to </w:t>
      </w:r>
      <w:r w:rsidRPr="00A23182">
        <w:rPr>
          <w:rStyle w:val="StyleUnderline"/>
          <w:highlight w:val="cyan"/>
        </w:rPr>
        <w:t xml:space="preserve">de-scribe a situation in which a relation of </w:t>
      </w:r>
      <w:r w:rsidRPr="00A23182">
        <w:rPr>
          <w:rStyle w:val="Emphasis"/>
          <w:highlight w:val="cyan"/>
        </w:rPr>
        <w:t>enmity is perceived by only one of two</w:t>
      </w:r>
      <w:r w:rsidRPr="00375046">
        <w:rPr>
          <w:rStyle w:val="StyleUnderline"/>
        </w:rPr>
        <w:t xml:space="preserve"> related </w:t>
      </w:r>
      <w:r w:rsidRPr="00A23182">
        <w:rPr>
          <w:rStyle w:val="Emphasis"/>
          <w:highlight w:val="cyan"/>
        </w:rPr>
        <w:t>groups</w:t>
      </w:r>
      <w:r w:rsidRPr="00375046">
        <w:rPr>
          <w:rStyle w:val="StyleUnderline"/>
        </w:rPr>
        <w:t>.</w:t>
      </w:r>
      <w:r w:rsidRPr="00375046">
        <w:rPr>
          <w:sz w:val="16"/>
        </w:rPr>
        <w:t xml:space="preserve"> In the case of Nietzsche, of course, the groups are the noble and the base. The </w:t>
      </w:r>
      <w:r w:rsidRPr="00375046">
        <w:rPr>
          <w:rStyle w:val="StyleUnderline"/>
        </w:rPr>
        <w:t>base sees the nobles as their evil antagonists</w:t>
      </w:r>
      <w:r w:rsidRPr="00375046">
        <w:rPr>
          <w:sz w:val="16"/>
        </w:rPr>
        <w:t xml:space="preserve">, while </w:t>
      </w:r>
      <w:r w:rsidRPr="00375046">
        <w:rPr>
          <w:rStyle w:val="StyleUnderline"/>
        </w:rPr>
        <w:t>the nobles see the base as different</w:t>
      </w:r>
      <w:r w:rsidRPr="00375046">
        <w:rPr>
          <w:sz w:val="16"/>
        </w:rPr>
        <w:t xml:space="preserve"> (and perhaps pitiful) but </w:t>
      </w:r>
      <w:r w:rsidRPr="00375046">
        <w:rPr>
          <w:rStyle w:val="Emphasis"/>
        </w:rPr>
        <w:t>not worthy of enmity</w:t>
      </w:r>
      <w:r w:rsidRPr="00375046">
        <w:rPr>
          <w:sz w:val="16"/>
        </w:rPr>
        <w:t xml:space="preserve">. </w:t>
      </w:r>
      <w:r w:rsidRPr="00375046">
        <w:rPr>
          <w:rStyle w:val="StyleUnderline"/>
        </w:rPr>
        <w:t>Oppositional thinking</w:t>
      </w:r>
      <w:r w:rsidRPr="00375046">
        <w:rPr>
          <w:sz w:val="16"/>
        </w:rPr>
        <w:t xml:space="preserve">, then, </w:t>
      </w:r>
      <w:r w:rsidRPr="00375046">
        <w:rPr>
          <w:rStyle w:val="StyleUnderline"/>
        </w:rPr>
        <w:t>is a product of the base</w:t>
      </w:r>
      <w:r w:rsidRPr="00375046">
        <w:rPr>
          <w:sz w:val="16"/>
        </w:rPr>
        <w:t xml:space="preserve">. The </w:t>
      </w:r>
      <w:r w:rsidRPr="00375046">
        <w:rPr>
          <w:rStyle w:val="Emphasis"/>
        </w:rPr>
        <w:t>nobles see only difference</w:t>
      </w:r>
      <w:r w:rsidRPr="00375046">
        <w:rPr>
          <w:sz w:val="16"/>
        </w:rPr>
        <w:t xml:space="preserve">. Indeed, Deleuze explicitly employs this structure in his reading of Nietzsche: If we understand affirmation and negation as qualities of the will to power, we see that they do not have a univocal relation. </w:t>
      </w:r>
      <w:r w:rsidRPr="00375046">
        <w:rPr>
          <w:rStyle w:val="Emphasis"/>
        </w:rPr>
        <w:t>Negation is opposed to affirmation, but affirmation differs from negation</w:t>
      </w:r>
      <w:r w:rsidRPr="00375046">
        <w:rPr>
          <w:sz w:val="16"/>
        </w:rPr>
        <w:t xml:space="preserve">. We </w:t>
      </w:r>
      <w:r w:rsidRPr="00375046">
        <w:rPr>
          <w:rStyle w:val="StyleUnderline"/>
        </w:rPr>
        <w:t>cannot think of affirmation as ‘being opposed’ to negation</w:t>
      </w:r>
      <w:r w:rsidRPr="00375046">
        <w:rPr>
          <w:sz w:val="16"/>
        </w:rPr>
        <w:t xml:space="preserve">: this would be to place the negative within it. Opposition is not only the relation of negation with affirmation but the essence of the negative as such. </w:t>
      </w:r>
      <w:r w:rsidRPr="00A23182">
        <w:rPr>
          <w:rStyle w:val="StyleUnderline"/>
          <w:highlight w:val="cyan"/>
        </w:rPr>
        <w:t>Affirmation is the enjoyment and play of its own difference</w:t>
      </w:r>
      <w:r w:rsidRPr="00375046">
        <w:rPr>
          <w:sz w:val="16"/>
        </w:rPr>
        <w:t xml:space="preserve">, just as negation is the suffering and labor of the opposition that belongs to it. </w:t>
      </w:r>
      <w:r w:rsidRPr="00A23182">
        <w:rPr>
          <w:rStyle w:val="Emphasis"/>
          <w:highlight w:val="cyan"/>
        </w:rPr>
        <w:t>Difference</w:t>
      </w:r>
      <w:r w:rsidRPr="00375046">
        <w:rPr>
          <w:rStyle w:val="Emphasis"/>
        </w:rPr>
        <w:t>, then,</w:t>
      </w:r>
      <w:r w:rsidRPr="00375046">
        <w:rPr>
          <w:sz w:val="16"/>
        </w:rPr>
        <w:t xml:space="preserve"> </w:t>
      </w:r>
      <w:r w:rsidRPr="00A23182">
        <w:rPr>
          <w:rStyle w:val="StyleUnderline"/>
          <w:highlight w:val="cyan"/>
        </w:rPr>
        <w:t>with its affinity to affirmation, becomes</w:t>
      </w:r>
      <w:r w:rsidRPr="00375046">
        <w:rPr>
          <w:rStyle w:val="StyleUnderline"/>
        </w:rPr>
        <w:t xml:space="preserve"> Deleuze’s candi-date </w:t>
      </w:r>
      <w:r w:rsidRPr="00A23182">
        <w:rPr>
          <w:rStyle w:val="StyleUnderline"/>
          <w:highlight w:val="cyan"/>
        </w:rPr>
        <w:t>alternative to opposition</w:t>
      </w:r>
      <w:r w:rsidRPr="00375046">
        <w:rPr>
          <w:sz w:val="16"/>
        </w:rPr>
        <w:t xml:space="preserve">. It is important to note that this concept belong outside of the dialectics of oppositionality. Returning briefly to the image of the one-way mirror, we can also see that this concept, that </w:t>
      </w:r>
      <w:r w:rsidRPr="00375046">
        <w:rPr>
          <w:rStyle w:val="StyleUnderline"/>
        </w:rPr>
        <w:t xml:space="preserve">of </w:t>
      </w:r>
      <w:r w:rsidRPr="00A23182">
        <w:rPr>
          <w:rStyle w:val="StyleUnderline"/>
          <w:highlight w:val="cyan"/>
        </w:rPr>
        <w:t>affirmation</w:t>
      </w:r>
      <w:r w:rsidRPr="00375046">
        <w:rPr>
          <w:rStyle w:val="StyleUnderline"/>
        </w:rPr>
        <w:t xml:space="preserve">, is not </w:t>
      </w:r>
      <w:r w:rsidRPr="00A23182">
        <w:rPr>
          <w:rStyle w:val="StyleUnderline"/>
          <w:highlight w:val="cyan"/>
        </w:rPr>
        <w:t>visible within the terms of oppositional</w:t>
      </w:r>
      <w:r w:rsidRPr="00375046">
        <w:rPr>
          <w:sz w:val="16"/>
        </w:rPr>
        <w:t xml:space="preserve"> thought. It cannot be developed by modifying – or especially by rejecting – an oppositional method. It must be developed without any regard for oppositionality at all; it is up to Nietzsche to show whether in fact it can be developed in this manner, but it should serve as a starting point.</w:t>
      </w:r>
    </w:p>
    <w:p w14:paraId="53FEFE51" w14:textId="53D88E2F" w:rsidR="000B45D3" w:rsidRDefault="000B45D3" w:rsidP="000B45D3">
      <w:pPr>
        <w:pStyle w:val="Heading4"/>
      </w:pPr>
      <w:r>
        <w:t>Permutation works – Deleuze was an abolitionist activist</w:t>
      </w:r>
    </w:p>
    <w:p w14:paraId="786F45F6" w14:textId="77777777" w:rsidR="000B45D3" w:rsidRPr="00D7753E" w:rsidRDefault="000B45D3" w:rsidP="000B45D3">
      <w:r>
        <w:rPr>
          <w:b/>
          <w:bCs/>
          <w:sz w:val="26"/>
          <w:szCs w:val="26"/>
        </w:rPr>
        <w:t>Dilts and Zurn 15</w:t>
      </w:r>
      <w:r>
        <w:t>,- (Professor Dilts is Associate Professor of Political Theory in the Department of Political Science at Loyola Marymount University who works in the traditions of critical theory and the history of political thought, focusing primarily on the relationships of race, sexuality, political membership, sovereignty, and punishment in the United States</w:t>
      </w:r>
      <w:r w:rsidRPr="00D7753E">
        <w:t xml:space="preserve">. Dr. Perry Zurn is Assistant Professor of Philosophy at American University and researches in political </w:t>
      </w:r>
      <w:r w:rsidRPr="00D7753E">
        <w:lastRenderedPageBreak/>
        <w:t xml:space="preserve">philosophy, gender theory, and applied ethics. </w:t>
      </w:r>
      <w:r>
        <w:t>“</w:t>
      </w:r>
      <w:r w:rsidRPr="00D7753E">
        <w:t>Active Intolerance: Michel Foucault, the Prisons Information Group, and the Future of Abolition</w:t>
      </w:r>
      <w:r>
        <w:t>.” 2016, pg. 75)</w:t>
      </w:r>
    </w:p>
    <w:p w14:paraId="5FDBD4B8" w14:textId="77777777" w:rsidR="000B45D3" w:rsidRPr="00D7753E" w:rsidRDefault="000B45D3" w:rsidP="000B45D3">
      <w:pPr>
        <w:autoSpaceDE w:val="0"/>
        <w:autoSpaceDN w:val="0"/>
        <w:adjustRightInd w:val="0"/>
        <w:spacing w:after="0" w:line="276" w:lineRule="auto"/>
        <w:rPr>
          <w:rFonts w:cs="Calibri"/>
        </w:rPr>
      </w:pPr>
      <w:r w:rsidRPr="00D7753E">
        <w:rPr>
          <w:rFonts w:cs="Calibri"/>
          <w:sz w:val="16"/>
          <w:szCs w:val="16"/>
        </w:rPr>
        <w:t xml:space="preserve">Perhaps the most banal question one can ask of an activist effort is this: Did it work? Did you accomplish something? Did you get something done? I want to ask this very banal question of the Prisons Information Group. I do so, however, with the conviction that the philosophical analysis requisite to answering such a question will uncover something significant about the nature of work, about the subject of work, and their relative failures. </w:t>
      </w:r>
      <w:r w:rsidRPr="00D7753E">
        <w:rPr>
          <w:rFonts w:cs="Calibri"/>
          <w:u w:val="single"/>
        </w:rPr>
        <w:t>The Prisons Information Group (GIP) was a French activist organization, extant between 1970 and 1973, in which thinkers like Hélène Cixous, Daniel Defert, Gilles Deleuze, Michel Foucault, and Jean-Paul Sartre were involved</w:t>
      </w:r>
      <w:r w:rsidRPr="00D7753E">
        <w:rPr>
          <w:rStyle w:val="StyleUnderline"/>
        </w:rPr>
        <w:t>. It aimed to resist the prison system by gathering and disseminating information about prison conditions, whether relative to the institution, to its prisoners, or to its personnel.</w:t>
      </w:r>
      <w:r w:rsidRPr="00D7753E">
        <w:t xml:space="preserve"> </w:t>
      </w:r>
      <w:r w:rsidRPr="00D7753E">
        <w:rPr>
          <w:rFonts w:cs="Calibri"/>
        </w:rPr>
        <w:t xml:space="preserve">Inaugurated in December 1970, the GIP was officiated by Jean-Marie Domenach, Foucault, and Pierre Vidal-Naquet. </w:t>
      </w:r>
      <w:r w:rsidRPr="00D7753E">
        <w:rPr>
          <w:rStyle w:val="StyleUnderline"/>
        </w:rPr>
        <w:t>At its height, the GIP publicized information from prisoners, catalyzed prison revolts, and created a network of prison activists across France. It did not, however, aim to or successfully institute any full-fledged prison reforms during its time</w:t>
      </w:r>
      <w:r w:rsidRPr="00D7753E">
        <w:rPr>
          <w:rFonts w:cs="Calibri"/>
        </w:rPr>
        <w:t xml:space="preserve">. Given its aspiration to </w:t>
      </w:r>
      <w:r w:rsidRPr="00D7753E">
        <w:rPr>
          <w:rFonts w:eastAsia="AGaramondPro-Italic" w:cs="Calibri"/>
          <w:i/>
          <w:iCs/>
        </w:rPr>
        <w:t xml:space="preserve">donner la parole </w:t>
      </w:r>
      <w:r w:rsidRPr="00D7753E">
        <w:rPr>
          <w:rFonts w:cs="Calibri"/>
        </w:rPr>
        <w:t>, or give detainees the floor, the GIP eventually gave way to the entirely ex-prisoner led Prisoners ActionCommittee (CAP) in 1973.</w:t>
      </w:r>
    </w:p>
    <w:p w14:paraId="1135B21F" w14:textId="77777777" w:rsidR="000B45D3" w:rsidRDefault="000B45D3" w:rsidP="005D48D5">
      <w:pPr>
        <w:rPr>
          <w:sz w:val="16"/>
        </w:rPr>
      </w:pPr>
    </w:p>
    <w:p w14:paraId="07844AFE" w14:textId="5D49D8FA" w:rsidR="005D48D5" w:rsidRDefault="005D48D5" w:rsidP="005D48D5">
      <w:pPr>
        <w:pStyle w:val="Heading3"/>
        <w:jc w:val="both"/>
        <w:rPr>
          <w:rStyle w:val="StyleUnderline"/>
          <w:b w:val="0"/>
          <w:bCs w:val="0"/>
        </w:rPr>
      </w:pPr>
      <w:r>
        <w:rPr>
          <w:rStyle w:val="StyleUnderline"/>
        </w:rPr>
        <w:lastRenderedPageBreak/>
        <w:br w:type="page"/>
      </w:r>
    </w:p>
    <w:p w14:paraId="4D418B9A" w14:textId="21EE4F10" w:rsidR="00E747BF" w:rsidRPr="00E747BF" w:rsidRDefault="00E747BF" w:rsidP="00E747BF">
      <w:pPr>
        <w:pStyle w:val="Heading2"/>
        <w:rPr>
          <w:rStyle w:val="StyleUnderline"/>
          <w:sz w:val="44"/>
          <w:u w:val="double"/>
        </w:rPr>
      </w:pPr>
      <w:r w:rsidRPr="00E747BF">
        <w:rPr>
          <w:rStyle w:val="StyleUnderline"/>
          <w:sz w:val="44"/>
          <w:u w:val="double"/>
        </w:rPr>
        <w:lastRenderedPageBreak/>
        <w:t>Answers</w:t>
      </w:r>
      <w:r w:rsidR="002C6121">
        <w:rPr>
          <w:rStyle w:val="StyleUnderline"/>
          <w:sz w:val="44"/>
          <w:u w:val="double"/>
        </w:rPr>
        <w:t xml:space="preserve"> To</w:t>
      </w:r>
    </w:p>
    <w:p w14:paraId="330607A2" w14:textId="4E5BDD1C" w:rsidR="00E735C3" w:rsidRPr="00E3545D" w:rsidRDefault="00E735C3" w:rsidP="00E3545D">
      <w:pPr>
        <w:pStyle w:val="Heading3"/>
        <w:rPr>
          <w:rStyle w:val="StyleUnderline"/>
          <w:sz w:val="32"/>
        </w:rPr>
      </w:pPr>
      <w:r w:rsidRPr="00E3545D">
        <w:rPr>
          <w:rStyle w:val="StyleUnderline"/>
          <w:sz w:val="32"/>
        </w:rPr>
        <w:lastRenderedPageBreak/>
        <w:t xml:space="preserve">Anti-Blackness </w:t>
      </w:r>
    </w:p>
    <w:p w14:paraId="2CC51B1C" w14:textId="77777777" w:rsidR="00E735C3" w:rsidRDefault="00E735C3">
      <w:pPr>
        <w:rPr>
          <w:rStyle w:val="StyleUnderline"/>
        </w:rPr>
      </w:pPr>
    </w:p>
    <w:p w14:paraId="22E5258A" w14:textId="77777777" w:rsidR="00E735C3" w:rsidRPr="00A31B56" w:rsidRDefault="00E735C3" w:rsidP="00E735C3">
      <w:pPr>
        <w:pStyle w:val="Heading4"/>
        <w:rPr>
          <w:rFonts w:asciiTheme="majorHAnsi" w:hAnsiTheme="majorHAnsi"/>
        </w:rPr>
      </w:pPr>
      <w:r w:rsidRPr="00A31B56">
        <w:rPr>
          <w:rFonts w:asciiTheme="majorHAnsi" w:hAnsiTheme="majorHAnsi"/>
        </w:rPr>
        <w:t>There is a Ressentiment DA because the reactive definition of blackness to a merely opposable term destroys the possibility of freedom and the active creation of value.</w:t>
      </w:r>
    </w:p>
    <w:p w14:paraId="4BDDF5E6" w14:textId="77777777" w:rsidR="00E735C3" w:rsidRPr="00A31B56" w:rsidRDefault="00E735C3" w:rsidP="00E735C3">
      <w:pPr>
        <w:rPr>
          <w:rFonts w:asciiTheme="majorHAnsi" w:hAnsiTheme="majorHAnsi"/>
        </w:rPr>
      </w:pPr>
      <w:r w:rsidRPr="00A31B56">
        <w:rPr>
          <w:rStyle w:val="Style13ptBold"/>
          <w:rFonts w:asciiTheme="majorHAnsi" w:hAnsiTheme="majorHAnsi"/>
        </w:rPr>
        <w:t>Marriot 07.</w:t>
      </w:r>
      <w:r w:rsidRPr="00A31B56">
        <w:rPr>
          <w:rFonts w:asciiTheme="majorHAnsi" w:hAnsiTheme="majorHAnsi"/>
        </w:rPr>
        <w:t xml:space="preserve">  David Marriot, Professor of the History of Consciousness Department at the University of California, Santa Cruz, </w:t>
      </w:r>
      <w:r w:rsidRPr="00A31B56">
        <w:rPr>
          <w:rFonts w:asciiTheme="majorHAnsi" w:hAnsiTheme="majorHAnsi"/>
          <w:i/>
        </w:rPr>
        <w:t>Haunted Life: Visual culture and Black modernity,</w:t>
      </w:r>
      <w:r w:rsidRPr="00A31B56">
        <w:rPr>
          <w:rFonts w:asciiTheme="majorHAnsi" w:hAnsiTheme="majorHAnsi"/>
        </w:rPr>
        <w:t xml:space="preserve"> Newark, New Jersey: 2007, Rutgers University Press, 233-237</w:t>
      </w:r>
    </w:p>
    <w:p w14:paraId="1D2F5F6F" w14:textId="77777777" w:rsidR="00E735C3" w:rsidRPr="00A31B56" w:rsidRDefault="00E735C3" w:rsidP="00E735C3">
      <w:pPr>
        <w:rPr>
          <w:rFonts w:asciiTheme="majorHAnsi" w:hAnsiTheme="majorHAnsi"/>
          <w:b/>
          <w:bCs/>
          <w:smallCaps/>
          <w:u w:val="single"/>
        </w:rPr>
      </w:pPr>
    </w:p>
    <w:p w14:paraId="3D6CE7DC" w14:textId="66F829E9" w:rsidR="00401EAF" w:rsidRDefault="00E735C3" w:rsidP="00E735C3">
      <w:pPr>
        <w:rPr>
          <w:rFonts w:asciiTheme="majorHAnsi" w:hAnsiTheme="majorHAnsi"/>
          <w:szCs w:val="22"/>
          <w:u w:val="single"/>
        </w:rPr>
      </w:pPr>
      <w:r w:rsidRPr="00481937">
        <w:rPr>
          <w:rFonts w:asciiTheme="majorHAnsi" w:hAnsiTheme="majorHAnsi"/>
          <w:szCs w:val="22"/>
          <w:u w:val="single"/>
        </w:rPr>
        <w:t xml:space="preserve">Fanon borrows this formulation from Nietzsche, in particular The Genealogy of Morals and The Will to Power. Nietzsche defines "ressentiment" as developing in those "natures who are denied true reactions, those of deeds."!' </w:t>
      </w:r>
      <w:r w:rsidRPr="00481937">
        <w:rPr>
          <w:rStyle w:val="TitleChar"/>
          <w:sz w:val="22"/>
          <w:szCs w:val="22"/>
          <w:highlight w:val="yellow"/>
          <w:u w:val="single"/>
        </w:rPr>
        <w:t>Ressentiment</w:t>
      </w:r>
      <w:r w:rsidRPr="00481937">
        <w:rPr>
          <w:rStyle w:val="TitleChar"/>
          <w:sz w:val="22"/>
          <w:szCs w:val="22"/>
          <w:u w:val="single"/>
        </w:rPr>
        <w:t xml:space="preserve"> psychology </w:t>
      </w:r>
      <w:r w:rsidRPr="00481937">
        <w:rPr>
          <w:rFonts w:asciiTheme="majorHAnsi" w:hAnsiTheme="majorHAnsi"/>
          <w:szCs w:val="22"/>
          <w:u w:val="single"/>
        </w:rPr>
        <w:t xml:space="preserve">– and this point </w:t>
      </w:r>
      <w:r w:rsidRPr="00481937">
        <w:rPr>
          <w:rStyle w:val="TitleChar"/>
          <w:sz w:val="22"/>
          <w:szCs w:val="22"/>
          <w:highlight w:val="yellow"/>
          <w:u w:val="single"/>
        </w:rPr>
        <w:t>is crucial</w:t>
      </w:r>
      <w:r w:rsidRPr="00481937">
        <w:rPr>
          <w:rFonts w:asciiTheme="majorHAnsi" w:hAnsiTheme="majorHAnsi"/>
          <w:szCs w:val="22"/>
          <w:u w:val="single"/>
        </w:rPr>
        <w:t xml:space="preserve"> both </w:t>
      </w:r>
      <w:r w:rsidRPr="00481937">
        <w:rPr>
          <w:rStyle w:val="TitleChar"/>
          <w:sz w:val="22"/>
          <w:szCs w:val="22"/>
          <w:highlight w:val="yellow"/>
          <w:u w:val="single"/>
        </w:rPr>
        <w:t>for Nietzsche and</w:t>
      </w:r>
      <w:r w:rsidRPr="00481937">
        <w:rPr>
          <w:rStyle w:val="TitleChar"/>
          <w:sz w:val="22"/>
          <w:szCs w:val="22"/>
          <w:u w:val="single"/>
        </w:rPr>
        <w:t xml:space="preserve"> for </w:t>
      </w:r>
      <w:r w:rsidRPr="00481937">
        <w:rPr>
          <w:rStyle w:val="TitleChar"/>
          <w:sz w:val="22"/>
          <w:szCs w:val="22"/>
          <w:highlight w:val="yellow"/>
          <w:u w:val="single"/>
        </w:rPr>
        <w:t>Fanon</w:t>
      </w:r>
      <w:r w:rsidRPr="00481937">
        <w:rPr>
          <w:rStyle w:val="TitleChar"/>
          <w:sz w:val="22"/>
          <w:szCs w:val="22"/>
          <w:u w:val="single"/>
        </w:rPr>
        <w:t xml:space="preserve">'s appropriation – is </w:t>
      </w:r>
      <w:r w:rsidRPr="00481937">
        <w:rPr>
          <w:rStyle w:val="TitleChar"/>
          <w:sz w:val="22"/>
          <w:szCs w:val="22"/>
          <w:highlight w:val="yellow"/>
          <w:u w:val="single"/>
        </w:rPr>
        <w:t xml:space="preserve">distinguished by a consciousness of loss, </w:t>
      </w:r>
      <w:r w:rsidRPr="00481937">
        <w:rPr>
          <w:rStyle w:val="TitleChar"/>
          <w:sz w:val="22"/>
          <w:szCs w:val="22"/>
          <w:u w:val="single"/>
        </w:rPr>
        <w:t xml:space="preserve">by a </w:t>
      </w:r>
      <w:r w:rsidRPr="00481937">
        <w:rPr>
          <w:rStyle w:val="TitleChar"/>
          <w:sz w:val="22"/>
          <w:szCs w:val="22"/>
          <w:highlight w:val="yellow"/>
          <w:u w:val="single"/>
        </w:rPr>
        <w:t>failure to integrate experiences of powerlessness, leaving this</w:t>
      </w:r>
      <w:r w:rsidRPr="00481937">
        <w:rPr>
          <w:rStyle w:val="TitleChar"/>
          <w:sz w:val="22"/>
          <w:szCs w:val="22"/>
          <w:u w:val="single"/>
        </w:rPr>
        <w:t xml:space="preserve"> experience </w:t>
      </w:r>
      <w:r w:rsidRPr="00481937">
        <w:rPr>
          <w:rStyle w:val="TitleChar"/>
          <w:sz w:val="22"/>
          <w:szCs w:val="22"/>
          <w:highlight w:val="yellow"/>
          <w:u w:val="single"/>
        </w:rPr>
        <w:t>to remain</w:t>
      </w:r>
      <w:r w:rsidRPr="00481937">
        <w:rPr>
          <w:rStyle w:val="TitleChar"/>
          <w:sz w:val="22"/>
          <w:szCs w:val="22"/>
          <w:u w:val="single"/>
        </w:rPr>
        <w:t xml:space="preserve"> in the memory </w:t>
      </w:r>
      <w:r w:rsidRPr="00481937">
        <w:rPr>
          <w:rStyle w:val="TitleChar"/>
          <w:sz w:val="22"/>
          <w:szCs w:val="22"/>
          <w:highlight w:val="yellow"/>
          <w:u w:val="single"/>
        </w:rPr>
        <w:t>as a traumatic kernel, leading to an obsession with past racial injuries that poison the ability of the self to function in the present or project an active future.</w:t>
      </w:r>
      <w:r w:rsidRPr="00481937">
        <w:rPr>
          <w:rFonts w:asciiTheme="majorHAnsi" w:hAnsiTheme="majorHAnsi"/>
          <w:szCs w:val="22"/>
          <w:u w:val="single"/>
        </w:rPr>
        <w:t xml:space="preserve"> In The Genealogy of Morals, Nietzsche defines "</w:t>
      </w:r>
      <w:r w:rsidRPr="00481937">
        <w:rPr>
          <w:rStyle w:val="TitleChar"/>
          <w:sz w:val="22"/>
          <w:szCs w:val="22"/>
          <w:highlight w:val="yellow"/>
          <w:u w:val="single"/>
        </w:rPr>
        <w:t>Slave ethics</w:t>
      </w:r>
      <w:r w:rsidRPr="00481937">
        <w:rPr>
          <w:rFonts w:asciiTheme="majorHAnsi" w:hAnsiTheme="majorHAnsi"/>
          <w:szCs w:val="22"/>
          <w:u w:val="single"/>
        </w:rPr>
        <w:t xml:space="preserve"> are what] </w:t>
      </w:r>
      <w:r w:rsidRPr="00481937">
        <w:rPr>
          <w:rStyle w:val="TitleChar"/>
          <w:sz w:val="22"/>
          <w:szCs w:val="22"/>
          <w:highlight w:val="yellow"/>
          <w:u w:val="single"/>
        </w:rPr>
        <w:t>begins by saying no</w:t>
      </w:r>
      <w:r w:rsidRPr="00481937">
        <w:rPr>
          <w:rFonts w:asciiTheme="majorHAnsi" w:hAnsiTheme="majorHAnsi"/>
          <w:szCs w:val="22"/>
          <w:u w:val="single"/>
        </w:rPr>
        <w:t xml:space="preserve"> 110 </w:t>
      </w:r>
      <w:r w:rsidRPr="00481937">
        <w:rPr>
          <w:rStyle w:val="TitleChar"/>
          <w:sz w:val="22"/>
          <w:szCs w:val="22"/>
          <w:highlight w:val="yellow"/>
          <w:u w:val="single"/>
        </w:rPr>
        <w:t>to an</w:t>
      </w:r>
      <w:r w:rsidRPr="00481937">
        <w:rPr>
          <w:rStyle w:val="TitleChar"/>
          <w:sz w:val="22"/>
          <w:szCs w:val="22"/>
          <w:u w:val="single"/>
        </w:rPr>
        <w:t xml:space="preserve"> "outsider," an "</w:t>
      </w:r>
      <w:r w:rsidRPr="00481937">
        <w:rPr>
          <w:rStyle w:val="TitleChar"/>
          <w:sz w:val="22"/>
          <w:szCs w:val="22"/>
          <w:highlight w:val="yellow"/>
          <w:u w:val="single"/>
        </w:rPr>
        <w:t>other</w:t>
      </w:r>
      <w:r w:rsidRPr="00481937">
        <w:rPr>
          <w:rStyle w:val="TitleChar"/>
          <w:sz w:val="22"/>
          <w:szCs w:val="22"/>
          <w:u w:val="single"/>
        </w:rPr>
        <w:t>," a non-self, and that no is its creative act</w:t>
      </w:r>
      <w:r w:rsidRPr="00481937">
        <w:rPr>
          <w:rFonts w:asciiTheme="majorHAnsi" w:hAnsiTheme="majorHAnsi"/>
          <w:szCs w:val="22"/>
          <w:u w:val="single"/>
        </w:rPr>
        <w:t xml:space="preserve">. This reversal of direction of the evaluating look, this invariable looking outward instead of inward, is a fundamental feature of rancor. </w:t>
      </w:r>
      <w:r w:rsidRPr="00481937">
        <w:rPr>
          <w:rStyle w:val="TitleChar"/>
          <w:sz w:val="22"/>
          <w:szCs w:val="22"/>
          <w:highlight w:val="yellow"/>
          <w:u w:val="single"/>
        </w:rPr>
        <w:t>Slave ethics requires</w:t>
      </w:r>
      <w:r w:rsidRPr="00481937">
        <w:rPr>
          <w:rStyle w:val="TitleChar"/>
          <w:sz w:val="22"/>
          <w:szCs w:val="22"/>
          <w:u w:val="single"/>
        </w:rPr>
        <w:t xml:space="preserve"> for its inception a sphere different from and hostile to its own.</w:t>
      </w:r>
      <w:r w:rsidRPr="00481937">
        <w:rPr>
          <w:rFonts w:asciiTheme="majorHAnsi" w:hAnsiTheme="majorHAnsi"/>
          <w:szCs w:val="22"/>
          <w:u w:val="single"/>
        </w:rPr>
        <w:t xml:space="preserve"> Physiologically speaking, </w:t>
      </w:r>
      <w:r w:rsidRPr="00481937">
        <w:rPr>
          <w:rStyle w:val="TitleChar"/>
          <w:sz w:val="22"/>
          <w:szCs w:val="22"/>
          <w:u w:val="single"/>
        </w:rPr>
        <w:t xml:space="preserve">it requires </w:t>
      </w:r>
      <w:r w:rsidRPr="00481937">
        <w:rPr>
          <w:rStyle w:val="TitleChar"/>
          <w:sz w:val="22"/>
          <w:szCs w:val="22"/>
          <w:highlight w:val="yellow"/>
          <w:u w:val="single"/>
        </w:rPr>
        <w:t>an outside stimulus in order to act at all; all action is reaction</w:t>
      </w:r>
      <w:r w:rsidRPr="00481937">
        <w:rPr>
          <w:rFonts w:asciiTheme="majorHAnsi" w:hAnsiTheme="majorHAnsi"/>
          <w:szCs w:val="22"/>
          <w:u w:val="single"/>
        </w:rPr>
        <w:t xml:space="preserve">" (Nietzsche, The Birth, 170-171). </w:t>
      </w:r>
      <w:r w:rsidRPr="00481937">
        <w:rPr>
          <w:rStyle w:val="TitleChar"/>
          <w:sz w:val="22"/>
          <w:szCs w:val="22"/>
          <w:highlight w:val="yellow"/>
          <w:u w:val="single"/>
        </w:rPr>
        <w:t>The slave blames the other,</w:t>
      </w:r>
      <w:r w:rsidRPr="00481937">
        <w:rPr>
          <w:rStyle w:val="TitleChar"/>
          <w:sz w:val="22"/>
          <w:szCs w:val="22"/>
          <w:u w:val="single"/>
        </w:rPr>
        <w:t xml:space="preserve"> or outsider, </w:t>
      </w:r>
      <w:r w:rsidRPr="00481937">
        <w:rPr>
          <w:rStyle w:val="TitleChar"/>
          <w:sz w:val="22"/>
          <w:szCs w:val="22"/>
          <w:highlight w:val="yellow"/>
          <w:u w:val="single"/>
        </w:rPr>
        <w:t>for his suffering, makes</w:t>
      </w:r>
      <w:r w:rsidRPr="00481937">
        <w:rPr>
          <w:rStyle w:val="TitleChar"/>
          <w:sz w:val="22"/>
          <w:szCs w:val="22"/>
          <w:u w:val="single"/>
        </w:rPr>
        <w:t xml:space="preserve"> him or her the symbol of evil and </w:t>
      </w:r>
      <w:r w:rsidRPr="00481937">
        <w:rPr>
          <w:rStyle w:val="TitleChar"/>
          <w:sz w:val="22"/>
          <w:szCs w:val="22"/>
          <w:highlight w:val="yellow"/>
          <w:u w:val="single"/>
        </w:rPr>
        <w:t>a phobic object</w:t>
      </w:r>
      <w:r w:rsidRPr="00481937">
        <w:rPr>
          <w:rFonts w:asciiTheme="majorHAnsi" w:hAnsiTheme="majorHAnsi"/>
          <w:szCs w:val="22"/>
          <w:u w:val="single"/>
        </w:rPr>
        <w:t xml:space="preserve">. This response remains reactive. </w:t>
      </w:r>
      <w:r w:rsidRPr="00481937">
        <w:rPr>
          <w:rStyle w:val="TitleChar"/>
          <w:sz w:val="22"/>
          <w:szCs w:val="22"/>
          <w:highlight w:val="yellow"/>
          <w:u w:val="single"/>
        </w:rPr>
        <w:t>The slave does not act on the basis of</w:t>
      </w:r>
      <w:r w:rsidRPr="00481937">
        <w:rPr>
          <w:rStyle w:val="TitleChar"/>
          <w:sz w:val="22"/>
          <w:szCs w:val="22"/>
          <w:u w:val="single"/>
        </w:rPr>
        <w:t xml:space="preserve"> his or </w:t>
      </w:r>
      <w:r w:rsidRPr="00481937">
        <w:rPr>
          <w:rStyle w:val="TitleChar"/>
          <w:sz w:val="22"/>
          <w:szCs w:val="22"/>
          <w:highlight w:val="yellow"/>
          <w:u w:val="single"/>
        </w:rPr>
        <w:t>her sovereignty, but in opposition to</w:t>
      </w:r>
      <w:r w:rsidRPr="00481937">
        <w:rPr>
          <w:rStyle w:val="TitleChar"/>
          <w:sz w:val="22"/>
          <w:szCs w:val="22"/>
          <w:u w:val="single"/>
        </w:rPr>
        <w:t xml:space="preserve"> the other's </w:t>
      </w:r>
      <w:r w:rsidRPr="00481937">
        <w:rPr>
          <w:rStyle w:val="TitleChar"/>
          <w:sz w:val="22"/>
          <w:szCs w:val="22"/>
          <w:highlight w:val="yellow"/>
          <w:u w:val="single"/>
        </w:rPr>
        <w:t>domination</w:t>
      </w:r>
      <w:r w:rsidRPr="00481937">
        <w:rPr>
          <w:rStyle w:val="TitleChar"/>
          <w:sz w:val="22"/>
          <w:szCs w:val="22"/>
          <w:u w:val="single"/>
        </w:rPr>
        <w:t>.</w:t>
      </w:r>
      <w:r w:rsidRPr="00481937">
        <w:rPr>
          <w:rFonts w:asciiTheme="majorHAnsi" w:hAnsiTheme="majorHAnsi"/>
          <w:szCs w:val="22"/>
          <w:u w:val="single"/>
        </w:rPr>
        <w:t xml:space="preserve"> Nietzsche argues that </w:t>
      </w:r>
      <w:r w:rsidRPr="00481937">
        <w:rPr>
          <w:rStyle w:val="TitleChar"/>
          <w:sz w:val="22"/>
          <w:szCs w:val="22"/>
          <w:highlight w:val="yellow"/>
          <w:u w:val="single"/>
        </w:rPr>
        <w:t>ressentiment indicates a failure</w:t>
      </w:r>
      <w:r w:rsidRPr="00481937">
        <w:rPr>
          <w:rFonts w:asciiTheme="majorHAnsi" w:hAnsiTheme="majorHAnsi"/>
          <w:szCs w:val="22"/>
          <w:u w:val="single"/>
        </w:rPr>
        <w:t xml:space="preserve">, not so much to accept responsibility for one's existence (Sartrean "bad faith"), but a failure </w:t>
      </w:r>
      <w:r w:rsidRPr="00481937">
        <w:rPr>
          <w:rStyle w:val="TitleChar"/>
          <w:sz w:val="22"/>
          <w:szCs w:val="22"/>
          <w:highlight w:val="yellow"/>
          <w:u w:val="single"/>
        </w:rPr>
        <w:t>to affirm life as a spirit of becoming</w:t>
      </w:r>
      <w:r w:rsidRPr="00481937">
        <w:rPr>
          <w:rFonts w:asciiTheme="majorHAnsi" w:hAnsiTheme="majorHAnsi"/>
          <w:szCs w:val="22"/>
          <w:highlight w:val="yellow"/>
          <w:u w:val="single"/>
        </w:rPr>
        <w:t xml:space="preserve">. </w:t>
      </w:r>
      <w:r w:rsidRPr="00481937">
        <w:rPr>
          <w:rStyle w:val="TitleChar"/>
          <w:sz w:val="22"/>
          <w:szCs w:val="22"/>
          <w:highlight w:val="yellow"/>
          <w:u w:val="single"/>
        </w:rPr>
        <w:t>Fanon terms it a slavish, reactive attitude toward the future and the past.</w:t>
      </w:r>
      <w:r w:rsidRPr="00481937">
        <w:rPr>
          <w:rStyle w:val="TitleChar"/>
          <w:sz w:val="22"/>
          <w:szCs w:val="22"/>
          <w:u w:val="single"/>
        </w:rPr>
        <w:t xml:space="preserve"> In this "pessimism of indignation" </w:t>
      </w:r>
      <w:r w:rsidRPr="00481937">
        <w:rPr>
          <w:rStyle w:val="TitleChar"/>
          <w:sz w:val="22"/>
          <w:szCs w:val="22"/>
          <w:highlight w:val="yellow"/>
          <w:u w:val="single"/>
        </w:rPr>
        <w:t>one assumes that one can do nothing because one is wretched, and one blames someone else for one's wretchedness. This is why,</w:t>
      </w:r>
      <w:r w:rsidRPr="00481937">
        <w:rPr>
          <w:rFonts w:asciiTheme="majorHAnsi" w:hAnsiTheme="majorHAnsi"/>
          <w:szCs w:val="22"/>
          <w:u w:val="single"/>
        </w:rPr>
        <w:t xml:space="preserve"> in Wretched of tlte Earth, Fanon argues that </w:t>
      </w:r>
      <w:r w:rsidRPr="00481937">
        <w:rPr>
          <w:rStyle w:val="TitleChar"/>
          <w:sz w:val="22"/>
          <w:szCs w:val="22"/>
          <w:highlight w:val="yellow"/>
          <w:u w:val="single"/>
        </w:rPr>
        <w:t>the first stages of spontaneous anticolonial violence are always reactive:</w:t>
      </w:r>
      <w:r w:rsidRPr="00481937">
        <w:rPr>
          <w:rFonts w:asciiTheme="majorHAnsi" w:hAnsiTheme="majorHAnsi"/>
          <w:szCs w:val="22"/>
          <w:highlight w:val="yellow"/>
          <w:u w:val="single"/>
        </w:rPr>
        <w:t xml:space="preserve"> </w:t>
      </w:r>
      <w:r w:rsidRPr="00481937">
        <w:rPr>
          <w:rStyle w:val="TitleChar"/>
          <w:sz w:val="22"/>
          <w:szCs w:val="22"/>
          <w:highlight w:val="yellow"/>
          <w:u w:val="single"/>
        </w:rPr>
        <w:t>"racism, hatred, resentment,"</w:t>
      </w:r>
      <w:r w:rsidRPr="00481937">
        <w:rPr>
          <w:rStyle w:val="TitleChar"/>
          <w:sz w:val="22"/>
          <w:szCs w:val="22"/>
          <w:u w:val="single"/>
        </w:rPr>
        <w:t xml:space="preserve"> "the legitimate desire for vengeance," </w:t>
      </w:r>
      <w:r w:rsidRPr="00481937">
        <w:rPr>
          <w:rStyle w:val="TitleChar"/>
          <w:sz w:val="22"/>
          <w:szCs w:val="22"/>
          <w:highlight w:val="yellow"/>
          <w:u w:val="single"/>
        </w:rPr>
        <w:t>cannot sustain a war of liberation.</w:t>
      </w:r>
      <w:r w:rsidRPr="00481937">
        <w:rPr>
          <w:rFonts w:asciiTheme="majorHAnsi" w:hAnsiTheme="majorHAnsi"/>
          <w:szCs w:val="22"/>
          <w:u w:val="single"/>
        </w:rPr>
        <w:t xml:space="preserve"> 14 Such reactive moments are linked to questions of time but in a negative sense, as examples of a reactive affirmation of history. It is precisely because he recognizes racist historicity in these attitudes that Fanon's work is taken up with the problem of time and death. </w:t>
      </w:r>
      <w:r w:rsidRPr="00481937">
        <w:rPr>
          <w:rStyle w:val="TitleChar"/>
          <w:sz w:val="22"/>
          <w:szCs w:val="22"/>
          <w:u w:val="single"/>
        </w:rPr>
        <w:t>If the limit set to black life is the significance conferred on presence by racism which voids all black life of value as life, with the result that one cannot live it, racism also robs the black of his or her ability to live and so to die as a free subject</w:t>
      </w:r>
      <w:r w:rsidRPr="00481937">
        <w:rPr>
          <w:rFonts w:asciiTheme="majorHAnsi" w:hAnsiTheme="majorHAnsi"/>
          <w:szCs w:val="22"/>
          <w:u w:val="single"/>
        </w:rPr>
        <w:t xml:space="preserve">. Spurned by history, </w:t>
      </w:r>
      <w:r w:rsidRPr="00481937">
        <w:rPr>
          <w:rStyle w:val="TitleChar"/>
          <w:sz w:val="22"/>
          <w:szCs w:val="22"/>
          <w:u w:val="single"/>
        </w:rPr>
        <w:t xml:space="preserve">the </w:t>
      </w:r>
      <w:r w:rsidRPr="00481937">
        <w:rPr>
          <w:rStyle w:val="TitleChar"/>
          <w:sz w:val="22"/>
          <w:szCs w:val="22"/>
          <w:highlight w:val="yellow"/>
          <w:u w:val="single"/>
        </w:rPr>
        <w:t>attempts</w:t>
      </w:r>
      <w:r w:rsidRPr="00481937">
        <w:rPr>
          <w:rStyle w:val="TitleChar"/>
          <w:sz w:val="22"/>
          <w:szCs w:val="22"/>
          <w:u w:val="single"/>
        </w:rPr>
        <w:t xml:space="preserve"> by blacks </w:t>
      </w:r>
      <w:r w:rsidRPr="00481937">
        <w:rPr>
          <w:rStyle w:val="TitleChar"/>
          <w:sz w:val="22"/>
          <w:szCs w:val="22"/>
          <w:highlight w:val="yellow"/>
          <w:u w:val="single"/>
        </w:rPr>
        <w:t>to reimmerse</w:t>
      </w:r>
      <w:r w:rsidRPr="00481937">
        <w:rPr>
          <w:rStyle w:val="TitleChar"/>
          <w:sz w:val="22"/>
          <w:szCs w:val="22"/>
          <w:u w:val="single"/>
        </w:rPr>
        <w:t xml:space="preserve"> themselves </w:t>
      </w:r>
      <w:r w:rsidRPr="00481937">
        <w:rPr>
          <w:rStyle w:val="TitleChar"/>
          <w:sz w:val="22"/>
          <w:szCs w:val="22"/>
          <w:highlight w:val="yellow"/>
          <w:u w:val="single"/>
        </w:rPr>
        <w:t>in time have resulted in</w:t>
      </w:r>
      <w:r w:rsidRPr="00481937">
        <w:rPr>
          <w:rStyle w:val="TitleChar"/>
          <w:sz w:val="22"/>
          <w:szCs w:val="22"/>
          <w:u w:val="single"/>
        </w:rPr>
        <w:t xml:space="preserve"> a turn toward allegory and myth</w:t>
      </w:r>
      <w:r w:rsidRPr="00481937">
        <w:rPr>
          <w:rFonts w:asciiTheme="majorHAnsi" w:hAnsiTheme="majorHAnsi"/>
          <w:szCs w:val="22"/>
          <w:u w:val="single"/>
        </w:rPr>
        <w:t xml:space="preserve">. </w:t>
      </w:r>
      <w:r w:rsidRPr="00481937">
        <w:rPr>
          <w:rStyle w:val="TitleChar"/>
          <w:sz w:val="22"/>
          <w:szCs w:val="22"/>
          <w:u w:val="single"/>
        </w:rPr>
        <w:t>These attempts</w:t>
      </w:r>
      <w:r w:rsidRPr="00481937">
        <w:rPr>
          <w:rFonts w:asciiTheme="majorHAnsi" w:hAnsiTheme="majorHAnsi"/>
          <w:szCs w:val="22"/>
          <w:u w:val="single"/>
        </w:rPr>
        <w:t xml:space="preserve"> are condemned because they</w:t>
      </w:r>
      <w:r w:rsidRPr="00481937">
        <w:rPr>
          <w:rStyle w:val="TitleChar"/>
          <w:sz w:val="22"/>
          <w:szCs w:val="22"/>
          <w:u w:val="single"/>
        </w:rPr>
        <w:t xml:space="preserve"> restrict the life as lived to one held in abeyance, in suspension, </w:t>
      </w:r>
      <w:r w:rsidRPr="00481937">
        <w:rPr>
          <w:rStyle w:val="TitleChar"/>
          <w:sz w:val="22"/>
          <w:szCs w:val="22"/>
          <w:highlight w:val="yellow"/>
          <w:u w:val="single"/>
        </w:rPr>
        <w:t>a life ossified</w:t>
      </w:r>
      <w:r w:rsidRPr="00481937">
        <w:rPr>
          <w:rStyle w:val="TitleChar"/>
          <w:sz w:val="22"/>
          <w:szCs w:val="22"/>
          <w:u w:val="single"/>
        </w:rPr>
        <w:t xml:space="preserve"> either </w:t>
      </w:r>
      <w:r w:rsidRPr="00481937">
        <w:rPr>
          <w:rStyle w:val="TitleChar"/>
          <w:sz w:val="22"/>
          <w:szCs w:val="22"/>
          <w:highlight w:val="yellow"/>
          <w:u w:val="single"/>
        </w:rPr>
        <w:t>by its slavish reverence for the precolonial past or by its abject sacrificing of itself to the future to come</w:t>
      </w:r>
      <w:r w:rsidRPr="00481937">
        <w:rPr>
          <w:rFonts w:asciiTheme="majorHAnsi" w:hAnsiTheme="majorHAnsi"/>
          <w:szCs w:val="22"/>
          <w:u w:val="single"/>
        </w:rPr>
        <w:t xml:space="preserve">, the freedom always to come in eternity. </w:t>
      </w:r>
      <w:r w:rsidRPr="00481937">
        <w:rPr>
          <w:rStyle w:val="TitleChar"/>
          <w:sz w:val="22"/>
          <w:szCs w:val="22"/>
          <w:highlight w:val="yellow"/>
          <w:u w:val="single"/>
        </w:rPr>
        <w:t>Both attitudes are positings of finite being that refuse to tarry with death as the true scandal of black historical experience and so become even less capable of resolving</w:t>
      </w:r>
      <w:r w:rsidRPr="00481937">
        <w:rPr>
          <w:rFonts w:asciiTheme="majorHAnsi" w:hAnsiTheme="majorHAnsi"/>
          <w:szCs w:val="22"/>
          <w:highlight w:val="yellow"/>
          <w:u w:val="single"/>
        </w:rPr>
        <w:t xml:space="preserve"> </w:t>
      </w:r>
      <w:r w:rsidRPr="00481937">
        <w:rPr>
          <w:rStyle w:val="TitleChar"/>
          <w:sz w:val="22"/>
          <w:szCs w:val="22"/>
          <w:highlight w:val="yellow"/>
          <w:u w:val="single"/>
        </w:rPr>
        <w:t>it</w:t>
      </w:r>
      <w:r w:rsidRPr="00481937">
        <w:rPr>
          <w:rFonts w:asciiTheme="majorHAnsi" w:hAnsiTheme="majorHAnsi"/>
          <w:szCs w:val="22"/>
          <w:highlight w:val="yellow"/>
          <w:u w:val="single"/>
        </w:rPr>
        <w:t>.</w:t>
      </w:r>
      <w:r w:rsidRPr="00481937">
        <w:rPr>
          <w:rFonts w:asciiTheme="majorHAnsi" w:hAnsiTheme="majorHAnsi"/>
          <w:szCs w:val="22"/>
          <w:u w:val="single"/>
        </w:rPr>
        <w:t xml:space="preserve"> This is not to say that Fanon has lost faith in a redemptive future, or that he wants to routinize and categorize such temporal </w:t>
      </w:r>
      <w:r w:rsidRPr="00481937">
        <w:rPr>
          <w:rFonts w:asciiTheme="majorHAnsi" w:hAnsiTheme="majorHAnsi"/>
          <w:szCs w:val="22"/>
          <w:u w:val="single"/>
        </w:rPr>
        <w:lastRenderedPageBreak/>
        <w:t xml:space="preserve">ecstasies by representing death as life's categorical commandment. Rather that, as in the letter to Tayeb, </w:t>
      </w:r>
      <w:r w:rsidRPr="00481937">
        <w:rPr>
          <w:rStyle w:val="TitleChar"/>
          <w:sz w:val="22"/>
          <w:szCs w:val="22"/>
          <w:highlight w:val="yellow"/>
          <w:u w:val="single"/>
        </w:rPr>
        <w:t>what matters is the life earned when it plunges into the inexplicable and emerges from it</w:t>
      </w:r>
      <w:r w:rsidRPr="00481937">
        <w:rPr>
          <w:rFonts w:asciiTheme="majorHAnsi" w:hAnsiTheme="majorHAnsi"/>
          <w:szCs w:val="22"/>
          <w:u w:val="single"/>
        </w:rPr>
        <w:t xml:space="preserve">; what matters is </w:t>
      </w:r>
      <w:r w:rsidRPr="00481937">
        <w:rPr>
          <w:rStyle w:val="TitleChar"/>
          <w:sz w:val="22"/>
          <w:szCs w:val="22"/>
          <w:highlight w:val="yellow"/>
          <w:u w:val="single"/>
        </w:rPr>
        <w:t>how we</w:t>
      </w:r>
      <w:r w:rsidRPr="00481937">
        <w:rPr>
          <w:rFonts w:asciiTheme="majorHAnsi" w:hAnsiTheme="majorHAnsi"/>
          <w:szCs w:val="22"/>
          <w:highlight w:val="yellow"/>
          <w:u w:val="single"/>
        </w:rPr>
        <w:t>,</w:t>
      </w:r>
      <w:r w:rsidRPr="00481937">
        <w:rPr>
          <w:rFonts w:asciiTheme="majorHAnsi" w:hAnsiTheme="majorHAnsi"/>
          <w:szCs w:val="22"/>
          <w:u w:val="single"/>
        </w:rPr>
        <w:t xml:space="preserve"> like Orpheus, </w:t>
      </w:r>
      <w:r w:rsidRPr="00481937">
        <w:rPr>
          <w:rStyle w:val="TitleChar"/>
          <w:sz w:val="22"/>
          <w:szCs w:val="22"/>
          <w:u w:val="single"/>
        </w:rPr>
        <w:t>take up the cunning and creativity of ressentiment as a culture on the edge of nothingness</w:t>
      </w:r>
      <w:r w:rsidRPr="00481937">
        <w:rPr>
          <w:rFonts w:asciiTheme="majorHAnsi" w:hAnsiTheme="majorHAnsi"/>
          <w:szCs w:val="22"/>
          <w:u w:val="single"/>
        </w:rPr>
        <w:t xml:space="preserve">. Only </w:t>
      </w:r>
      <w:r w:rsidRPr="00481937">
        <w:rPr>
          <w:rStyle w:val="TitleChar"/>
          <w:sz w:val="22"/>
          <w:szCs w:val="22"/>
          <w:highlight w:val="yellow"/>
          <w:u w:val="single"/>
        </w:rPr>
        <w:t>by negotiating power and violence can we engage and reconfigure virtue for the modem polity</w:t>
      </w:r>
      <w:r w:rsidRPr="00481937">
        <w:rPr>
          <w:rStyle w:val="TitleChar"/>
          <w:sz w:val="22"/>
          <w:szCs w:val="22"/>
          <w:u w:val="single"/>
        </w:rPr>
        <w:t xml:space="preserve"> </w:t>
      </w:r>
      <w:r w:rsidRPr="00481937">
        <w:rPr>
          <w:rFonts w:asciiTheme="majorHAnsi" w:hAnsiTheme="majorHAnsi"/>
          <w:szCs w:val="22"/>
          <w:u w:val="single"/>
        </w:rPr>
        <w:t>(</w:t>
      </w:r>
      <w:r w:rsidRPr="00481937">
        <w:rPr>
          <w:rFonts w:asciiTheme="majorHAnsi" w:hAnsiTheme="majorHAnsi"/>
          <w:szCs w:val="22"/>
        </w:rPr>
        <w:t xml:space="preserve">the "new humanism" that emerges from the "tabula rasa" </w:t>
      </w:r>
      <w:r w:rsidRPr="00481937">
        <w:rPr>
          <w:rStyle w:val="TitleChar"/>
          <w:sz w:val="22"/>
          <w:szCs w:val="22"/>
          <w:highlight w:val="yellow"/>
        </w:rPr>
        <w:t>opened up by</w:t>
      </w:r>
      <w:r w:rsidRPr="00481937">
        <w:rPr>
          <w:rFonts w:asciiTheme="majorHAnsi" w:hAnsiTheme="majorHAnsi"/>
          <w:szCs w:val="22"/>
        </w:rPr>
        <w:t xml:space="preserve"> the colonized on </w:t>
      </w:r>
      <w:r w:rsidRPr="00481937">
        <w:rPr>
          <w:rStyle w:val="TitleChar"/>
          <w:sz w:val="22"/>
          <w:szCs w:val="22"/>
          <w:highlight w:val="yellow"/>
        </w:rPr>
        <w:t>the path toward revolution</w:t>
      </w:r>
      <w:r w:rsidRPr="00481937">
        <w:rPr>
          <w:rFonts w:asciiTheme="majorHAnsi" w:hAnsiTheme="majorHAnsi"/>
          <w:szCs w:val="22"/>
        </w:rPr>
        <w:t xml:space="preserve">-a possibility which is </w:t>
      </w:r>
      <w:r w:rsidRPr="00481937">
        <w:rPr>
          <w:rStyle w:val="TitleChar"/>
          <w:sz w:val="22"/>
          <w:szCs w:val="22"/>
          <w:highlight w:val="yellow"/>
        </w:rPr>
        <w:t>neither an end nor a beginning but an endless "tension of opening</w:t>
      </w:r>
      <w:r w:rsidRPr="00481937">
        <w:rPr>
          <w:rFonts w:asciiTheme="majorHAnsi" w:hAnsiTheme="majorHAnsi"/>
          <w:szCs w:val="22"/>
        </w:rPr>
        <w:t xml:space="preserve">" between the twO).IS That is, </w:t>
      </w:r>
      <w:r w:rsidRPr="00481937">
        <w:rPr>
          <w:rStyle w:val="TitleChar"/>
          <w:sz w:val="22"/>
          <w:szCs w:val="22"/>
          <w:highlight w:val="yellow"/>
        </w:rPr>
        <w:t>death as lawless violence is the predicament and possibility of who we are and might become,</w:t>
      </w:r>
      <w:r w:rsidRPr="00481937">
        <w:rPr>
          <w:rFonts w:asciiTheme="majorHAnsi" w:hAnsiTheme="majorHAnsi"/>
          <w:szCs w:val="22"/>
        </w:rPr>
        <w:t xml:space="preserve"> here, now, the tenses through which we belong irreducibly to this time. This is also why Fanon rejects Sartrean, Hegelian, and other forms of determinate historicism, the logic according to which everything that happens had to happen. Against dialectical logic – and its view that out of experience, no matter how negative. something emerges – Fanon posits a black existential time in which what happened happens and keeps on happening in ways that remain unforeseeable and unknowable but which nonetheless forces us to be responsible at the level of ethics, politics, and will. Throughout Fanon's oeuvre. </w:t>
      </w:r>
      <w:r w:rsidRPr="00481937">
        <w:rPr>
          <w:rStyle w:val="TitleChar"/>
          <w:sz w:val="22"/>
          <w:szCs w:val="22"/>
        </w:rPr>
        <w:t>antihistoricism turns on the difficulty of naming and situating a black orphism beyond identity and alterity, beyond loss and the annihilation of being. True anticolonial violence, if it is to go beyond such Manichacism,</w:t>
      </w:r>
      <w:r w:rsidRPr="00481937">
        <w:rPr>
          <w:rFonts w:asciiTheme="majorHAnsi" w:hAnsiTheme="majorHAnsi"/>
          <w:szCs w:val="22"/>
        </w:rPr>
        <w:t xml:space="preserve"> </w:t>
      </w:r>
      <w:r w:rsidRPr="00481937">
        <w:rPr>
          <w:rStyle w:val="TitleChar"/>
          <w:sz w:val="22"/>
          <w:szCs w:val="22"/>
        </w:rPr>
        <w:t>must arrive at a teleological suspension of the ethical</w:t>
      </w:r>
      <w:r w:rsidRPr="00481937">
        <w:rPr>
          <w:rFonts w:asciiTheme="majorHAnsi" w:hAnsiTheme="majorHAnsi"/>
          <w:szCs w:val="22"/>
        </w:rPr>
        <w:t xml:space="preserve"> and so go beyond the spurious opposition between murder and illegitimate right, or murder dressed up as political vengeance. </w:t>
      </w:r>
      <w:r w:rsidRPr="00481937">
        <w:rPr>
          <w:rStyle w:val="TitleChar"/>
          <w:sz w:val="22"/>
          <w:szCs w:val="22"/>
        </w:rPr>
        <w:t>Manichean violence is ressentiment, for liberation is not a higher ethical law than murder and can only be justified in the pursuit of freedom, which is incommensurable with domination but nevertheless implicated in its violence.</w:t>
      </w:r>
      <w:r w:rsidRPr="00481937">
        <w:rPr>
          <w:rFonts w:asciiTheme="majorHAnsi" w:hAnsiTheme="majorHAnsi"/>
          <w:szCs w:val="22"/>
        </w:rPr>
        <w:t xml:space="preserve"> Hence Fanon is not trying to ethically justify the violence of anticolonial war (as he is often accused of doing). but trying to account for the use of violence in the revolutionary pursuit of freedom." Liberatory violence. in brief. as one possible memory of the future; as one possible pathway through the unjust violences of the political world. Both the conclusions to Black Skill, While Masks and Wretched of t/-ie Earlh define that memory as thc horizon of revolutionary hope and politics. as a rupture of time without end but within time's workings. POl' this reason, I cannot accept Patrick Taylor's dircrnpuvc opposition between Black Skill, While Masks as a work that ends with ethics over history. and Wretched of the Earth as a work that moves from ethics to revolutionary history (Taylor. Narratives, 74-76). Such opposition misreads the conclusion to Black Skill, White Mllsks. where</w:t>
      </w:r>
      <w:r w:rsidRPr="00481937">
        <w:rPr>
          <w:rFonts w:asciiTheme="majorHAnsi" w:hAnsiTheme="majorHAnsi"/>
          <w:szCs w:val="22"/>
          <w:u w:val="single"/>
        </w:rPr>
        <w:t xml:space="preserve"> </w:t>
      </w:r>
      <w:r w:rsidRPr="00481937">
        <w:rPr>
          <w:rStyle w:val="TitleChar"/>
          <w:sz w:val="22"/>
          <w:szCs w:val="22"/>
          <w:highlight w:val="yellow"/>
          <w:u w:val="single"/>
        </w:rPr>
        <w:t>Fanon writes, "I am not the slave of the Slavery that dehumanized my ancestors</w:t>
      </w:r>
      <w:r w:rsidRPr="00481937">
        <w:rPr>
          <w:rFonts w:asciiTheme="majorHAnsi" w:hAnsiTheme="majorHAnsi"/>
          <w:szCs w:val="22"/>
          <w:u w:val="single"/>
        </w:rPr>
        <w:t xml:space="preserve">" (230). </w:t>
      </w:r>
      <w:r w:rsidRPr="00481937">
        <w:rPr>
          <w:rStyle w:val="TitleChar"/>
          <w:sz w:val="22"/>
          <w:szCs w:val="22"/>
          <w:highlight w:val="yellow"/>
          <w:u w:val="single"/>
        </w:rPr>
        <w:t>Antillean culture is a slave culture</w:t>
      </w:r>
      <w:r w:rsidRPr="00481937">
        <w:rPr>
          <w:rFonts w:asciiTheme="majorHAnsi" w:hAnsiTheme="majorHAnsi"/>
          <w:szCs w:val="22"/>
          <w:u w:val="single"/>
        </w:rPr>
        <w:t xml:space="preserve"> for Fanon, </w:t>
      </w:r>
      <w:r w:rsidRPr="00481937">
        <w:rPr>
          <w:rStyle w:val="TitleChar"/>
          <w:sz w:val="22"/>
          <w:szCs w:val="22"/>
          <w:u w:val="single"/>
        </w:rPr>
        <w:t xml:space="preserve">following Nietzsche, because </w:t>
      </w:r>
      <w:r w:rsidRPr="00481937">
        <w:rPr>
          <w:rStyle w:val="TitleChar"/>
          <w:sz w:val="22"/>
          <w:szCs w:val="22"/>
          <w:highlight w:val="yellow"/>
          <w:u w:val="single"/>
        </w:rPr>
        <w:t>its ressentiment represents a cultural-historico paralysis which has not yet become creative</w:t>
      </w:r>
      <w:r w:rsidRPr="00481937">
        <w:rPr>
          <w:rStyle w:val="TitleChar"/>
          <w:sz w:val="22"/>
          <w:szCs w:val="22"/>
          <w:u w:val="single"/>
        </w:rPr>
        <w:t xml:space="preserve"> </w:t>
      </w:r>
      <w:r w:rsidRPr="00481937">
        <w:rPr>
          <w:rStyle w:val="TitleChar"/>
          <w:sz w:val="22"/>
          <w:szCs w:val="22"/>
          <w:highlight w:val="yellow"/>
          <w:u w:val="single"/>
        </w:rPr>
        <w:t xml:space="preserve">and so achieve </w:t>
      </w:r>
      <w:r w:rsidRPr="00481937">
        <w:rPr>
          <w:rStyle w:val="TitleChar"/>
          <w:sz w:val="22"/>
          <w:szCs w:val="22"/>
          <w:u w:val="single"/>
        </w:rPr>
        <w:t xml:space="preserve">that active forgetfulness of the past that accompanies successful repression and defines a </w:t>
      </w:r>
      <w:r w:rsidRPr="00481937">
        <w:rPr>
          <w:rStyle w:val="TitleChar"/>
          <w:sz w:val="22"/>
          <w:szCs w:val="22"/>
          <w:highlight w:val="yellow"/>
          <w:u w:val="single"/>
        </w:rPr>
        <w:t>noble memory of the will.</w:t>
      </w:r>
      <w:r w:rsidRPr="00481937">
        <w:rPr>
          <w:rFonts w:asciiTheme="majorHAnsi" w:hAnsiTheme="majorHAnsi"/>
          <w:szCs w:val="22"/>
          <w:u w:val="single"/>
        </w:rPr>
        <w:t xml:space="preserve"> This peculiar anamnesis, which is the result of historically distinct configurations of power, dominarion. and race war, reveals how, for Fanon, the traumas of cultural assimilation for the colonial subject is already marked by historical forces and decisive events whose trauma cannot simply be dispelled by the time of analysis or the methods of genealogy. 17 </w:t>
      </w:r>
      <w:r w:rsidRPr="00481937">
        <w:rPr>
          <w:rStyle w:val="TitleChar"/>
          <w:sz w:val="22"/>
          <w:szCs w:val="22"/>
          <w:u w:val="single"/>
        </w:rPr>
        <w:t xml:space="preserve">Slave </w:t>
      </w:r>
      <w:r w:rsidRPr="00481937">
        <w:rPr>
          <w:rStyle w:val="TitleChar"/>
          <w:sz w:val="22"/>
          <w:szCs w:val="22"/>
          <w:highlight w:val="yellow"/>
          <w:u w:val="single"/>
        </w:rPr>
        <w:t xml:space="preserve">ethics, insofar as it is reactive and denies responsibility and its ability to act, cannot achieve </w:t>
      </w:r>
      <w:r w:rsidRPr="00481937">
        <w:rPr>
          <w:rStyle w:val="TitleChar"/>
          <w:sz w:val="22"/>
          <w:szCs w:val="22"/>
          <w:u w:val="single"/>
        </w:rPr>
        <w:t xml:space="preserve">this </w:t>
      </w:r>
      <w:r w:rsidRPr="00481937">
        <w:rPr>
          <w:rStyle w:val="TitleChar"/>
          <w:sz w:val="22"/>
          <w:szCs w:val="22"/>
          <w:highlight w:val="yellow"/>
          <w:u w:val="single"/>
        </w:rPr>
        <w:t>cultural-historico transmutation. Through decolonization and violence the colonized can break through the impasse of ressentiment and enter into history. The task for the colonized</w:t>
      </w:r>
      <w:r w:rsidRPr="00481937">
        <w:rPr>
          <w:rFonts w:asciiTheme="majorHAnsi" w:hAnsiTheme="majorHAnsi"/>
          <w:szCs w:val="22"/>
          <w:highlight w:val="yellow"/>
          <w:u w:val="single"/>
        </w:rPr>
        <w:t>,</w:t>
      </w:r>
      <w:r w:rsidRPr="00481937">
        <w:rPr>
          <w:rFonts w:asciiTheme="majorHAnsi" w:hAnsiTheme="majorHAnsi"/>
          <w:szCs w:val="22"/>
          <w:u w:val="single"/>
        </w:rPr>
        <w:t xml:space="preserve"> Fanon implies, </w:t>
      </w:r>
      <w:r w:rsidRPr="00481937">
        <w:rPr>
          <w:rStyle w:val="TitleChar"/>
          <w:sz w:val="22"/>
          <w:szCs w:val="22"/>
          <w:highlight w:val="yellow"/>
          <w:u w:val="single"/>
        </w:rPr>
        <w:t>is to risk the orphic "leap" into the "black hole"</w:t>
      </w:r>
      <w:r w:rsidRPr="00481937">
        <w:rPr>
          <w:rStyle w:val="TitleChar"/>
          <w:sz w:val="22"/>
          <w:szCs w:val="22"/>
          <w:u w:val="single"/>
        </w:rPr>
        <w:t xml:space="preserve"> while also moving Out to the universal</w:t>
      </w:r>
      <w:r w:rsidRPr="00481937">
        <w:rPr>
          <w:rFonts w:asciiTheme="majorHAnsi" w:hAnsiTheme="majorHAnsi"/>
          <w:szCs w:val="22"/>
          <w:u w:val="single"/>
        </w:rPr>
        <w:t xml:space="preserve"> (199). One must move beyond the "absurd drama" of colonialism dialectically. </w:t>
      </w:r>
      <w:r w:rsidRPr="00481937">
        <w:rPr>
          <w:rStyle w:val="TitleChar"/>
          <w:sz w:val="22"/>
          <w:szCs w:val="22"/>
          <w:highlight w:val="yellow"/>
          <w:u w:val="single"/>
        </w:rPr>
        <w:t>One must move to ethics from history because ethics is the affirmation of the radical transformation of time, a decision to change both the meaning of the deathliness of black life and its sign of ressentiment</w:t>
      </w:r>
      <w:r w:rsidRPr="00481937">
        <w:rPr>
          <w:rStyle w:val="TitleChar"/>
          <w:sz w:val="22"/>
          <w:szCs w:val="22"/>
          <w:u w:val="single"/>
        </w:rPr>
        <w:t>.</w:t>
      </w:r>
      <w:r w:rsidRPr="00481937">
        <w:rPr>
          <w:rFonts w:asciiTheme="majorHAnsi" w:hAnsiTheme="majorHAnsi"/>
          <w:szCs w:val="22"/>
          <w:u w:val="single"/>
        </w:rPr>
        <w:t xml:space="preserve"> In the essay "West Indians and </w:t>
      </w:r>
      <w:r w:rsidRPr="00481937">
        <w:rPr>
          <w:rFonts w:asciiTheme="majorHAnsi" w:hAnsiTheme="majorHAnsi"/>
          <w:szCs w:val="22"/>
          <w:u w:val="single"/>
        </w:rPr>
        <w:lastRenderedPageBreak/>
        <w:t>Africans," Fanon writes, 'The task consists of removing the problem, puuing the contingent in its place, and leaving the Martinican the choice of supreme values. One sees everything that could be said by envisaging this situation in accordance with the Kierkegaardian stages. "18 These stages arc the aesthetic, the ethical and the religious, Fanon's turn to Kierkegaard is not, as Patrick Taylor presents it,</w:t>
      </w:r>
      <w:r w:rsidRPr="00481937">
        <w:rPr>
          <w:rStyle w:val="TitleChar"/>
          <w:sz w:val="22"/>
          <w:szCs w:val="22"/>
          <w:u w:val="single"/>
        </w:rPr>
        <w:t xml:space="preserve"> a move from ethics to history or, more accurately, inner morality to objective or ethical freedom</w:t>
      </w:r>
      <w:r w:rsidRPr="00481937">
        <w:rPr>
          <w:rFonts w:asciiTheme="majorHAnsi" w:hAnsiTheme="majorHAnsi"/>
          <w:szCs w:val="22"/>
          <w:u w:val="single"/>
        </w:rPr>
        <w:t xml:space="preserve">. but a recognition of how violence and law pervade each other, and of how </w:t>
      </w:r>
      <w:r w:rsidRPr="00481937">
        <w:rPr>
          <w:rStyle w:val="TitleChar"/>
          <w:sz w:val="22"/>
          <w:szCs w:val="22"/>
          <w:u w:val="single"/>
        </w:rPr>
        <w:t xml:space="preserve">ethics is an encounter with the violence of power and its legitimation. </w:t>
      </w:r>
      <w:r w:rsidRPr="00481937">
        <w:rPr>
          <w:rStyle w:val="Emphasis"/>
          <w:rFonts w:asciiTheme="majorHAnsi" w:hAnsiTheme="majorHAnsi"/>
          <w:szCs w:val="22"/>
          <w:highlight w:val="yellow"/>
        </w:rPr>
        <w:t>The task is to move, not from values based on race to human values understood as transcending the old humanisms of Europe, which formed the foundations of colonial racism, but to address the phantasmatic and racist underpinnings of value as such</w:t>
      </w:r>
      <w:r w:rsidRPr="00481937">
        <w:rPr>
          <w:rStyle w:val="TitleChar"/>
          <w:sz w:val="22"/>
          <w:szCs w:val="22"/>
          <w:u w:val="single"/>
        </w:rPr>
        <w:t>.</w:t>
      </w:r>
      <w:r w:rsidRPr="00481937">
        <w:rPr>
          <w:rFonts w:asciiTheme="majorHAnsi" w:hAnsiTheme="majorHAnsi"/>
          <w:szCs w:val="22"/>
          <w:u w:val="single"/>
        </w:rPr>
        <w:t xml:space="preserve"> Fanon explicitly mentions Kierkegaard when discussing how law and violence remain implicated in the movement from ethics to freedom in history. The slave's struggle for freedom cannot only be defined in ethical terms. On the other hand, it is naive to assume that the decolonial world will exist beyond law and coercion. In Black Skin, W!tiLe Masks Fanon writes, "The former slave, who can find in his memory no trace of the struggle for liberty or of that anguish of liberty of which Kierkegaard speaks, sits unmoved before the young white man singing and dancing on the tightrope of existence" (22t). Because the slave has no memory of that "anguish of liberty," the ethical and the historical condition of freedom remains unavowable. The slave remains a dumb wimess to his own violated singularity which he can neither comprehend, renounce nor test. Fanon says that "</w:t>
      </w:r>
      <w:r w:rsidRPr="00481937">
        <w:rPr>
          <w:rStyle w:val="TitleChar"/>
          <w:sz w:val="22"/>
          <w:szCs w:val="22"/>
          <w:highlight w:val="yellow"/>
          <w:u w:val="single"/>
        </w:rPr>
        <w:t>the real leap consists in introducing invention into existence</w:t>
      </w:r>
      <w:r w:rsidRPr="00481937">
        <w:rPr>
          <w:rStyle w:val="TitleChar"/>
          <w:sz w:val="22"/>
          <w:szCs w:val="22"/>
          <w:u w:val="single"/>
        </w:rPr>
        <w:t>"</w:t>
      </w:r>
      <w:r w:rsidRPr="00481937">
        <w:rPr>
          <w:rFonts w:asciiTheme="majorHAnsi" w:hAnsiTheme="majorHAnsi"/>
          <w:szCs w:val="22"/>
          <w:u w:val="single"/>
        </w:rPr>
        <w:t xml:space="preserve"> (229). </w:t>
      </w:r>
      <w:r w:rsidRPr="00481937">
        <w:rPr>
          <w:rStyle w:val="TitleChar"/>
          <w:sz w:val="22"/>
          <w:szCs w:val="22"/>
          <w:highlight w:val="yellow"/>
          <w:u w:val="single"/>
        </w:rPr>
        <w:t>One shows how the ethical is mediated by the promise and actuality of such "invention" by becoming actively creative at the level of history</w:t>
      </w:r>
      <w:r w:rsidRPr="00481937">
        <w:rPr>
          <w:rFonts w:asciiTheme="majorHAnsi" w:hAnsiTheme="majorHAnsi"/>
          <w:szCs w:val="22"/>
          <w:highlight w:val="yellow"/>
          <w:u w:val="single"/>
        </w:rPr>
        <w:t xml:space="preserve">. </w:t>
      </w:r>
      <w:r w:rsidRPr="00481937">
        <w:rPr>
          <w:rStyle w:val="TitleChar"/>
          <w:sz w:val="22"/>
          <w:szCs w:val="22"/>
          <w:highlight w:val="yellow"/>
          <w:u w:val="single"/>
        </w:rPr>
        <w:t>Acceptance of this coexistence does not "eliminate ... the ethical in oneself," but forces one to return to the ethical as the always potential encounter with the violence of the world as a test of one's faith</w:t>
      </w:r>
      <w:r w:rsidRPr="00481937">
        <w:rPr>
          <w:rFonts w:asciiTheme="majorHAnsi" w:hAnsiTheme="majorHAnsi"/>
          <w:szCs w:val="22"/>
          <w:u w:val="single"/>
        </w:rPr>
        <w:t xml:space="preserve"> (Taylor, Narmtives, 76)</w:t>
      </w:r>
    </w:p>
    <w:p w14:paraId="596CAFC7" w14:textId="39A040DB" w:rsidR="00E3545D" w:rsidRDefault="00E3545D" w:rsidP="00E735C3">
      <w:pPr>
        <w:rPr>
          <w:rFonts w:asciiTheme="majorHAnsi" w:hAnsiTheme="majorHAnsi"/>
          <w:szCs w:val="22"/>
          <w:u w:val="single"/>
        </w:rPr>
      </w:pPr>
    </w:p>
    <w:p w14:paraId="0FF3BC0F" w14:textId="77777777" w:rsidR="00E3545D" w:rsidRPr="004542FC" w:rsidRDefault="00E3545D" w:rsidP="00E3545D">
      <w:pPr>
        <w:pStyle w:val="Heading4"/>
        <w:rPr>
          <w:rFonts w:eastAsia="Times New Roman" w:cs="Calibri"/>
          <w:sz w:val="24"/>
        </w:rPr>
      </w:pPr>
      <w:r w:rsidRPr="004542FC">
        <w:rPr>
          <w:rFonts w:cs="Calibri"/>
        </w:rPr>
        <w:t>The aff’s method is key to formulate new modes of kinship through an anti-Oedipal model.</w:t>
      </w:r>
    </w:p>
    <w:p w14:paraId="14823BEE" w14:textId="77777777" w:rsidR="00E3545D" w:rsidRPr="004542FC" w:rsidRDefault="00E3545D" w:rsidP="00E3545D">
      <w:pPr>
        <w:rPr>
          <w:rStyle w:val="StyleUnderline"/>
          <w:rFonts w:cs="Calibri"/>
          <w:sz w:val="24"/>
          <w:u w:val="none"/>
        </w:rPr>
      </w:pPr>
      <w:r w:rsidRPr="004542FC">
        <w:rPr>
          <w:rStyle w:val="Style13ptBold"/>
          <w:rFonts w:cs="Calibri"/>
        </w:rPr>
        <w:t>de Castro 9</w:t>
      </w:r>
      <w:r w:rsidRPr="004542FC">
        <w:rPr>
          <w:rFonts w:cs="Calibri"/>
        </w:rPr>
        <w:t xml:space="preserve"> (Eduardo Batalha Viveiros de Castro is a Brazilian anthropologist and a professor at the National Museum of the Federal University of Rio de Janeiro., "Cannibal Metaphysics", 2009, Pgs 131-133)</w:t>
      </w:r>
    </w:p>
    <w:p w14:paraId="6341E0F1" w14:textId="77777777" w:rsidR="00E3545D" w:rsidRPr="001B4092" w:rsidRDefault="00E3545D" w:rsidP="00E3545D">
      <w:pPr>
        <w:rPr>
          <w:rStyle w:val="StyleUnderline"/>
          <w:rFonts w:cs="Calibri"/>
        </w:rPr>
      </w:pPr>
      <w:r w:rsidRPr="001B4092">
        <w:rPr>
          <w:rFonts w:cs="Calibri"/>
          <w:sz w:val="16"/>
        </w:rPr>
        <w:t xml:space="preserve">It would be necessary to add here that if this intensive order knows neither distinctions of person nor sex, </w:t>
      </w:r>
      <w:r w:rsidRPr="001B4092">
        <w:rPr>
          <w:rStyle w:val="StyleUnderline"/>
          <w:rFonts w:cs="Calibri"/>
        </w:rPr>
        <w:t>it should no more allow for distinctions of species, especially not of humans and nonhumans.</w:t>
      </w:r>
      <w:r w:rsidRPr="001B4092">
        <w:rPr>
          <w:rFonts w:cs="Calibri"/>
          <w:sz w:val="16"/>
        </w:rPr>
        <w:t xml:space="preserve"> In myth, all actants occupy a unique interactional field that is at the same time ontologically heterogeneous and sociologically continuous. </w:t>
      </w:r>
      <w:r w:rsidRPr="001B4092">
        <w:rPr>
          <w:rStyle w:val="StyleUnderline"/>
          <w:rFonts w:cs="Calibri"/>
        </w:rPr>
        <w:t>Once again, when everything is human, the human is an entirely different thing .... The following question thus naturally emerges: if "nothing is changed" by the fact that the primary energy is filiative, is it possible to determine an intensive order in which it would be alliance that is primary?</w:t>
      </w:r>
      <w:r w:rsidRPr="001B4092">
        <w:rPr>
          <w:rFonts w:cs="Calibri"/>
          <w:sz w:val="16"/>
        </w:rPr>
        <w:t xml:space="preserve"> Is it truly necessary for alliance to always exclusively arrange, distinguish, render discrete, and police an anterior pre-incestuous filiation? Is it possible to conceive of an intensive, anOedipal alliance including "prepersonal variations in intensity?" In short, </w:t>
      </w:r>
      <w:r w:rsidRPr="001B4092">
        <w:rPr>
          <w:rStyle w:val="StyleUnderline"/>
          <w:rFonts w:cs="Calibri"/>
        </w:rPr>
        <w:t>the problem consists in constructing a concept of alliance qua disjunctive synthesis</w:t>
      </w:r>
      <w:r w:rsidRPr="001B4092">
        <w:rPr>
          <w:rFonts w:cs="Calibri"/>
          <w:sz w:val="16"/>
        </w:rPr>
        <w:t xml:space="preserve">. Yet to do this, significant distance would have to be taken from Anti-Oedipus' account of the sociocosmology of Levi-Strauss, while the concept of exchange would have to be submitted to a perversive Deleuzian interpretation. And to that end, one would simultaneously and reciprocally have to admit, once and for all, that the Levi-Straussian theory of matrimonial exchange continues to be, once everything is accounted for, an infinitely more sophisticated anthropological construction than the juralist doctrine of filiation groups. In a certain sense, </w:t>
      </w:r>
      <w:r w:rsidRPr="001B4092">
        <w:rPr>
          <w:rStyle w:val="Emphasis"/>
          <w:rFonts w:cs="Calibri"/>
        </w:rPr>
        <w:t xml:space="preserve">The Elementary Structures of Kinship was the first Anti-Oedipus inasmuch as it forced a break with </w:t>
      </w:r>
      <w:r w:rsidRPr="001B4092">
        <w:rPr>
          <w:rStyle w:val="Emphasis"/>
          <w:rFonts w:cs="Calibri"/>
        </w:rPr>
        <w:lastRenderedPageBreak/>
        <w:t>the family-centric, parenthood-dominated image of kinship.</w:t>
      </w:r>
      <w:r w:rsidRPr="001B4092">
        <w:rPr>
          <w:rFonts w:cs="Calibri"/>
          <w:sz w:val="16"/>
        </w:rPr>
        <w:t xml:space="preserve"> Or, to put things slightly differently, </w:t>
      </w:r>
      <w:r w:rsidRPr="001B4092">
        <w:rPr>
          <w:rStyle w:val="StyleUnderline"/>
          <w:rFonts w:cs="Calibri"/>
        </w:rPr>
        <w:t>the relation between Anti-Oedipus and The Elementary Structures is analogous to that between the latter and Totem and Taboo.</w:t>
      </w:r>
      <w:r w:rsidRPr="001B4092">
        <w:rPr>
          <w:rFonts w:cs="Calibri"/>
          <w:sz w:val="16"/>
        </w:rPr>
        <w:t xml:space="preserve"> At the very least, </w:t>
      </w:r>
      <w:r w:rsidRPr="001B4092">
        <w:rPr>
          <w:rStyle w:val="StyleUnderline"/>
          <w:rFonts w:cs="Calibri"/>
        </w:rPr>
        <w:t>a reprise of structuralist kinship discourse in an anti-Oedipal key requires abandoning the description of the "atom of kinship" as an exclusive alternative-this woman is either my sister or spouse, that man is either my father or my maternal uncle-and then reformulating it in terms of an inclusive, nonrestrictive disjunction: "my sister and/or my spouse."</w:t>
      </w:r>
      <w:r w:rsidRPr="001B4092">
        <w:rPr>
          <w:rFonts w:cs="Calibri"/>
          <w:sz w:val="16"/>
        </w:rPr>
        <w:t xml:space="preserve"> </w:t>
      </w:r>
      <w:r w:rsidRPr="001B4092">
        <w:rPr>
          <w:rStyle w:val="Emphasis"/>
          <w:rFonts w:cs="Calibri"/>
        </w:rPr>
        <w:t>The difference between sister and spouse or brother and brother-in-law should be taken as an internal difference, "nondecomposable and unequal with itself";</w:t>
      </w:r>
      <w:r w:rsidRPr="001B4092">
        <w:rPr>
          <w:rFonts w:cs="Calibri"/>
          <w:sz w:val="16"/>
        </w:rPr>
        <w:t xml:space="preserve"> what Deleuze and Guattari say about schizophrenia and the masculine/feminine and dead/living disjunctions would also be valuable in our case: </w:t>
      </w:r>
      <w:r w:rsidRPr="001B4092">
        <w:rPr>
          <w:rStyle w:val="StyleUnderline"/>
          <w:rFonts w:cs="Calibri"/>
        </w:rPr>
        <w:t>a given woman is in fact either my sister or my sister-in-law but "belongs precisely to both sides"-as a sister on the side of sisters (and brothers) and as a wife on the side of wives (and husbands).</w:t>
      </w:r>
      <w:r w:rsidRPr="001B4092">
        <w:rPr>
          <w:rFonts w:cs="Calibri"/>
          <w:sz w:val="16"/>
        </w:rPr>
        <w:t xml:space="preserve"> </w:t>
      </w:r>
      <w:r w:rsidRPr="001B4092">
        <w:rPr>
          <w:rStyle w:val="StyleUnderline"/>
          <w:rFonts w:cs="Calibri"/>
        </w:rPr>
        <w:t>Not both at once for me but "each of the two as a terminal point of the distance over which [she] glides. [ ... ] [The] one at the end of the other, like the two ends of a stick in a nondecomposable space"</w:t>
      </w:r>
      <w:r w:rsidRPr="001B4092">
        <w:rPr>
          <w:rFonts w:cs="Calibri"/>
          <w:sz w:val="16"/>
        </w:rPr>
        <w:t xml:space="preserve"> (D. G. 1 983: 76). This point can be reformulated in language that every anthropologist will recognize. My sister is my sister because she is someone else's wife. Sisters are not born sisters without at the same time being born as wives; the sister exists in order that there will be a wife; every "woman" is a term-a metarelation-constituted by</w:t>
      </w:r>
      <w:r w:rsidRPr="004542FC">
        <w:rPr>
          <w:rFonts w:cs="Calibri"/>
          <w:sz w:val="16"/>
        </w:rPr>
        <w:t xml:space="preserve"> he assymetrical relation between "sisterly" and "wifely" relations (with the same things obviously applying to "men"). </w:t>
      </w:r>
      <w:r w:rsidRPr="004542FC">
        <w:rPr>
          <w:rStyle w:val="StyleUnderline"/>
          <w:rFonts w:cs="Calibri"/>
        </w:rPr>
        <w:t>The consanguinity of the sister, like its molar sexual affectation, is not given-there never is a "basic biological given" (Heritier 1 98 1)-but rather instituted</w:t>
      </w:r>
      <w:r w:rsidRPr="004542FC">
        <w:rPr>
          <w:rFonts w:cs="Calibri"/>
          <w:sz w:val="16"/>
        </w:rPr>
        <w:t xml:space="preserve">, not only in the way the affinity of the wife is but also by its intermediary (formal causality inside out). The opposed sexual relation between my sister/wife and I is what engenders my relation with my brother-in-law. Opposed sexual relations engender not only relations of the same sex but also communicate their own internal differential potential (Strathern 1 988, 200 1). Two brothers-in-law are linked in the same way as the cross-sex dyads that founds their relation (brother/sister-husband/wife), and this not despite their difference but because of it. One of the brothers-in-law sees the conjugal face of his sister in her husband, and the other sees the sororal side of his wife in her brother. They both see the other as defined by the link with the opposite sex that differentiates them: each sees himself as having "the same sex" as the other inasmuch as the latter is seen as being "like" the opposite sex, and reciprocally. The two faces of the relational term thereby create a division internal to the terms thereby connected. </w:t>
      </w:r>
      <w:r w:rsidRPr="004542FC">
        <w:rPr>
          <w:rStyle w:val="StyleUnderline"/>
          <w:rFonts w:cs="Calibri"/>
        </w:rPr>
        <w:t xml:space="preserve">Everyone becomes double, simultaneously "man" and "woman"; connecter and connected are revealed to be permutable without thereby becoming redundant; each point of the triangle of affinity includes the other two as versions of itself. </w:t>
      </w:r>
    </w:p>
    <w:p w14:paraId="53E4EA0C" w14:textId="77777777" w:rsidR="00E3545D" w:rsidRDefault="00E3545D" w:rsidP="00E735C3">
      <w:pPr>
        <w:rPr>
          <w:rFonts w:asciiTheme="majorHAnsi" w:hAnsiTheme="majorHAnsi"/>
          <w:szCs w:val="22"/>
          <w:u w:val="single"/>
        </w:rPr>
      </w:pPr>
    </w:p>
    <w:p w14:paraId="447BA371" w14:textId="77777777" w:rsidR="00401EAF" w:rsidRDefault="00401EAF">
      <w:pPr>
        <w:rPr>
          <w:rFonts w:asciiTheme="majorHAnsi" w:hAnsiTheme="majorHAnsi"/>
          <w:szCs w:val="22"/>
          <w:u w:val="single"/>
        </w:rPr>
      </w:pPr>
      <w:r>
        <w:rPr>
          <w:rFonts w:asciiTheme="majorHAnsi" w:hAnsiTheme="majorHAnsi"/>
          <w:szCs w:val="22"/>
          <w:u w:val="single"/>
        </w:rPr>
        <w:br w:type="page"/>
      </w:r>
    </w:p>
    <w:p w14:paraId="190A7B5A" w14:textId="353E5786" w:rsidR="006F60A1" w:rsidRDefault="006F60A1" w:rsidP="006F60A1">
      <w:pPr>
        <w:pStyle w:val="Heading3"/>
      </w:pPr>
      <w:r>
        <w:lastRenderedPageBreak/>
        <w:br w:type="page"/>
      </w:r>
      <w:r>
        <w:lastRenderedPageBreak/>
        <w:t xml:space="preserve"> Settler Colonialism</w:t>
      </w:r>
    </w:p>
    <w:p w14:paraId="422ADB33" w14:textId="77777777" w:rsidR="006F60A1" w:rsidRDefault="006F60A1" w:rsidP="006F60A1"/>
    <w:p w14:paraId="79815636" w14:textId="77777777" w:rsidR="006F60A1" w:rsidRDefault="006F60A1" w:rsidP="006F60A1"/>
    <w:p w14:paraId="71D55CB6" w14:textId="77777777" w:rsidR="006F60A1" w:rsidRPr="004542FC" w:rsidRDefault="006F60A1" w:rsidP="006F60A1">
      <w:pPr>
        <w:pStyle w:val="Heading4"/>
        <w:rPr>
          <w:rFonts w:cs="Calibri"/>
        </w:rPr>
      </w:pPr>
      <w:r w:rsidRPr="004542FC">
        <w:rPr>
          <w:rFonts w:cs="Calibri"/>
        </w:rPr>
        <w:t xml:space="preserve">Buying into ontological states of indigeneity locks in genocide and denies the capacity of change emblematic of humanity. Only the aff’s embracement of difference through becoming can generate the momentum to destabilize the system. </w:t>
      </w:r>
    </w:p>
    <w:p w14:paraId="7B6A92B9" w14:textId="715F6254" w:rsidR="006F60A1" w:rsidRPr="000B0E8A" w:rsidRDefault="006F60A1" w:rsidP="006F60A1">
      <w:pPr>
        <w:rPr>
          <w:rFonts w:cs="Calibri"/>
        </w:rPr>
      </w:pPr>
      <w:r w:rsidRPr="004542FC">
        <w:rPr>
          <w:rStyle w:val="Style13ptBold"/>
          <w:rFonts w:cs="Calibri"/>
        </w:rPr>
        <w:t>de Castro 9</w:t>
      </w:r>
      <w:r w:rsidRPr="004542FC">
        <w:rPr>
          <w:rFonts w:cs="Calibri"/>
        </w:rPr>
        <w:t xml:space="preserve"> (Eduardo Batalha Viveiros de Castro is a Brazilian anthropologist and a professor at the National Museum of the Federal University of Rio de Janeiro., "Cannibal Metaphysics", 2009, Pgs 65-69) *edited for gendered language</w:t>
      </w:r>
    </w:p>
    <w:p w14:paraId="428BC848" w14:textId="77777777" w:rsidR="006F60A1" w:rsidRPr="004542FC" w:rsidRDefault="006F60A1" w:rsidP="006F60A1">
      <w:pPr>
        <w:rPr>
          <w:rFonts w:cs="Calibri"/>
          <w:sz w:val="16"/>
        </w:rPr>
      </w:pPr>
      <w:r w:rsidRPr="004542FC">
        <w:rPr>
          <w:rStyle w:val="Emphasis"/>
          <w:rFonts w:cs="Calibri"/>
        </w:rPr>
        <w:t>"We moderns possess the concept but have lost sight of the plane of immanence ... . "</w:t>
      </w:r>
      <w:r w:rsidRPr="004542FC">
        <w:rPr>
          <w:rFonts w:cs="Calibri"/>
          <w:sz w:val="16"/>
        </w:rPr>
        <w:t xml:space="preserve"> (D. G. 1 994: 1 04). </w:t>
      </w:r>
      <w:r w:rsidRPr="004542FC">
        <w:rPr>
          <w:rStyle w:val="StyleUnderline"/>
          <w:rFonts w:cs="Calibri"/>
        </w:rPr>
        <w:t>All the foregoing is merely the development of the founding intuition, deductively effectuated by indigenous theoretical practice</w:t>
      </w:r>
      <w:r w:rsidRPr="004542FC">
        <w:rPr>
          <w:rFonts w:cs="Calibri"/>
          <w:sz w:val="16"/>
        </w:rPr>
        <w:t xml:space="preserve">, of the mythology of the continent, </w:t>
      </w:r>
      <w:r w:rsidRPr="004542FC">
        <w:rPr>
          <w:rStyle w:val="StyleUnderline"/>
          <w:rFonts w:cs="Calibri"/>
        </w:rPr>
        <w:t>which concerns a milieu that can rightly be called prehistorical</w:t>
      </w:r>
      <w:r w:rsidRPr="004542FC">
        <w:rPr>
          <w:rFonts w:cs="Calibri"/>
          <w:sz w:val="16"/>
        </w:rPr>
        <w:t xml:space="preserve"> (in the sense of the celebrated absolute past: the past that has never been present and which therefore is never past, while the present never ceases to pass), </w:t>
      </w:r>
      <w:r w:rsidRPr="004542FC">
        <w:rPr>
          <w:rStyle w:val="Emphasis"/>
          <w:rFonts w:cs="Calibri"/>
        </w:rPr>
        <w:t>and that is defined by the ontological impenetrability of all the "insistents" populating and constituting this milieu-the templates and standards of actual existents.</w:t>
      </w:r>
      <w:r w:rsidRPr="004542FC">
        <w:rPr>
          <w:rFonts w:cs="Calibri"/>
          <w:sz w:val="16"/>
        </w:rPr>
        <w:t xml:space="preserve"> As the Mythologiques teach us, </w:t>
      </w:r>
      <w:r w:rsidRPr="004542FC">
        <w:rPr>
          <w:rStyle w:val="StyleUnderline"/>
          <w:rFonts w:cs="Calibri"/>
        </w:rPr>
        <w:t>the narrativization of the indigenous plane of immanence articulates in a privileged way the causes and consequences of speciation-the assumption of a specific corporeality</w:t>
      </w:r>
      <w:r w:rsidRPr="004542FC">
        <w:rPr>
          <w:rFonts w:cs="Calibri"/>
          <w:sz w:val="16"/>
        </w:rPr>
        <w:t xml:space="preserve">-by the personae or actants therein, </w:t>
      </w:r>
      <w:r w:rsidRPr="004542FC">
        <w:rPr>
          <w:rStyle w:val="Emphasis"/>
          <w:rFonts w:cs="Calibri"/>
        </w:rPr>
        <w:t>all of whom are conceived as sharing a general unstable condition in which the aspects of humans and nonhumans are inextricably enmeshed:</w:t>
      </w:r>
      <w:r w:rsidRPr="004542FC">
        <w:rPr>
          <w:rFonts w:cs="Calibri"/>
          <w:sz w:val="16"/>
        </w:rPr>
        <w:t xml:space="preserve"> I would like to ask a simple question. What is a myth? It's the very opposite of a simple question [ ... ]. If you were to ask an American Indian, </w:t>
      </w:r>
      <w:r w:rsidRPr="004542FC">
        <w:rPr>
          <w:rFonts w:cs="Calibri"/>
          <w:strike/>
          <w:sz w:val="16"/>
        </w:rPr>
        <w:t>he</w:t>
      </w:r>
      <w:r w:rsidRPr="004542FC">
        <w:rPr>
          <w:rFonts w:cs="Calibri"/>
          <w:sz w:val="16"/>
        </w:rPr>
        <w:t xml:space="preserve"> (they) would most likely tell you that it is a story of the time before men and animals became distinct beings. This definition seems very profound to me. (L.-S. and Eribon: 1991: 1 39) In fact, the definition is profound, even if showing this requires taking a slightly different direction than the one Levi-Strauss had in mind in his response. Mythic discourse registers the movement by which the present state of things is actualized from a virtual, precosmological condition that is perfectly transparent-a chaosmos where the corporeal and spiritual dimensions of beings do not yet conceal each other. </w:t>
      </w:r>
      <w:r w:rsidRPr="004542FC">
        <w:rPr>
          <w:rStyle w:val="Emphasis"/>
          <w:rFonts w:cs="Calibri"/>
        </w:rPr>
        <w:t>Far from evincing the primordial identification between humans and nonhumans commonly ascribed to it, this precosmos is traversed by an infinite difference</w:t>
      </w:r>
      <w:r w:rsidRPr="004542FC">
        <w:rPr>
          <w:rFonts w:cs="Calibri"/>
          <w:sz w:val="16"/>
        </w:rPr>
        <w:t xml:space="preserve"> (even if, or because, it is internal to each person or agent) contrary to the finite and external differences constituting the actual world's species and qualities. </w:t>
      </w:r>
      <w:r w:rsidRPr="004542FC">
        <w:rPr>
          <w:rStyle w:val="StyleUnderline"/>
          <w:rFonts w:cs="Calibri"/>
        </w:rPr>
        <w:t>Whence the regime of qualitative multiplicity proper</w:t>
      </w:r>
      <w:r w:rsidRPr="004542FC">
        <w:rPr>
          <w:rFonts w:cs="Calibri"/>
          <w:sz w:val="16"/>
        </w:rPr>
        <w:t xml:space="preserve"> to myth: the question, for example, of whether the mythic jaguar is a block of human affects having the form of a jaguar or a block of human affects </w:t>
      </w:r>
      <w:r w:rsidRPr="004542FC">
        <w:rPr>
          <w:rStyle w:val="StyleUnderline"/>
          <w:rFonts w:cs="Calibri"/>
        </w:rPr>
        <w:t xml:space="preserve">having a human form is strictly undecidable, as mythic "metamorphosis" is an event, </w:t>
      </w:r>
      <w:r w:rsidRPr="004542FC">
        <w:rPr>
          <w:rStyle w:val="Emphasis"/>
          <w:rFonts w:cs="Calibri"/>
        </w:rPr>
        <w:t>a change on the spot: an intensive superposition of heterogeneous states rather than an extensive transposition of homogenous states.</w:t>
      </w:r>
      <w:r w:rsidRPr="004542FC">
        <w:rPr>
          <w:rFonts w:cs="Calibri"/>
          <w:sz w:val="16"/>
        </w:rPr>
        <w:t xml:space="preserve"> Myth is not history because metamorphosis is not a process, was not yet a process and will never be a process. </w:t>
      </w:r>
      <w:r w:rsidRPr="004542FC">
        <w:rPr>
          <w:rStyle w:val="Emphasis"/>
          <w:rFonts w:cs="Calibri"/>
        </w:rPr>
        <w:t>Metamorphosis is both anterior and external to the process of process-it is a figure (a figuration) of becoming.</w:t>
      </w:r>
      <w:r w:rsidRPr="004542FC">
        <w:rPr>
          <w:rFonts w:cs="Calibri"/>
          <w:sz w:val="16"/>
        </w:rPr>
        <w:t xml:space="preserve"> </w:t>
      </w:r>
      <w:r w:rsidRPr="004542FC">
        <w:rPr>
          <w:rStyle w:val="StyleUnderline"/>
          <w:rFonts w:cs="Calibri"/>
        </w:rPr>
        <w:t>The general line traced by mythic discourse thus describes the instantaneous sorting of the precosmological flux of indiscernibility that occurs when it enters the cosmological process.</w:t>
      </w:r>
      <w:r w:rsidRPr="004542FC">
        <w:rPr>
          <w:rFonts w:cs="Calibri"/>
          <w:sz w:val="16"/>
        </w:rPr>
        <w:t xml:space="preserve"> Following that, the feline and human dimensions of jaguars (and of humans) will alternately function as figure and potential ground for each other. </w:t>
      </w:r>
      <w:r w:rsidRPr="004542FC">
        <w:rPr>
          <w:rStyle w:val="StyleUnderline"/>
          <w:rFonts w:cs="Calibri"/>
        </w:rPr>
        <w:t>The original transparence or infinitely bifurcated complicatio gets explicated in the invisibility</w:t>
      </w:r>
      <w:r w:rsidRPr="004542FC">
        <w:rPr>
          <w:rFonts w:cs="Calibri"/>
          <w:sz w:val="16"/>
        </w:rPr>
        <w:t xml:space="preserve"> (of human souls and animal spirits) and opacity (of human bodies and animal somatic "garb"25) </w:t>
      </w:r>
      <w:r w:rsidRPr="004542FC">
        <w:rPr>
          <w:rStyle w:val="StyleUnderline"/>
          <w:rFonts w:cs="Calibri"/>
        </w:rPr>
        <w:t>that mark the constitution of all mundane beings.</w:t>
      </w:r>
      <w:r w:rsidRPr="004542FC">
        <w:rPr>
          <w:rFonts w:cs="Calibri"/>
          <w:sz w:val="16"/>
        </w:rPr>
        <w:t xml:space="preserve"> This invisibility and opacity are, however, relative and reversible, even as the ground of virtuality is indestructible or inexhaustible; the great indigenous rituals of the recreation of the world are precisely dispositifs for the counter-effectuation of this indestructible ground. </w:t>
      </w:r>
      <w:r w:rsidRPr="004542FC">
        <w:rPr>
          <w:rStyle w:val="Emphasis"/>
          <w:rFonts w:cs="Calibri"/>
        </w:rPr>
        <w:t xml:space="preserve">The differences </w:t>
      </w:r>
      <w:r w:rsidRPr="004542FC">
        <w:rPr>
          <w:rStyle w:val="Emphasis"/>
          <w:rFonts w:cs="Calibri"/>
        </w:rPr>
        <w:lastRenderedPageBreak/>
        <w:t>coming into effect</w:t>
      </w:r>
      <w:r w:rsidRPr="004542FC">
        <w:rPr>
          <w:rFonts w:cs="Calibri"/>
          <w:sz w:val="16"/>
        </w:rPr>
        <w:t xml:space="preserve"> within myths </w:t>
      </w:r>
      <w:r w:rsidRPr="004542FC">
        <w:rPr>
          <w:rStyle w:val="Emphasis"/>
          <w:rFonts w:cs="Calibri"/>
        </w:rPr>
        <w:t>are, again, infinite and internal, contrary to the external, finite differences between species.</w:t>
      </w:r>
      <w:r w:rsidRPr="004542FC">
        <w:rPr>
          <w:rFonts w:cs="Calibri"/>
          <w:sz w:val="16"/>
        </w:rPr>
        <w:t xml:space="preserve"> </w:t>
      </w:r>
      <w:r w:rsidRPr="004542FC">
        <w:rPr>
          <w:rStyle w:val="StyleUnderline"/>
          <w:rFonts w:cs="Calibri"/>
        </w:rPr>
        <w:t xml:space="preserve">What defines the agents </w:t>
      </w:r>
      <w:r w:rsidRPr="004542FC">
        <w:rPr>
          <w:rFonts w:cs="Calibri"/>
          <w:sz w:val="16"/>
        </w:rPr>
        <w:t xml:space="preserve">and patients of mythic events </w:t>
      </w:r>
      <w:r w:rsidRPr="004542FC">
        <w:rPr>
          <w:rStyle w:val="StyleUnderline"/>
          <w:rFonts w:cs="Calibri"/>
        </w:rPr>
        <w:t>is their intrinsic capacity to be something else.</w:t>
      </w:r>
      <w:r w:rsidRPr="004542FC">
        <w:rPr>
          <w:rFonts w:cs="Calibri"/>
          <w:sz w:val="16"/>
        </w:rPr>
        <w:t xml:space="preserve"> In this sense</w:t>
      </w:r>
      <w:r w:rsidRPr="004542FC">
        <w:rPr>
          <w:rStyle w:val="StyleUnderline"/>
          <w:rFonts w:cs="Calibri"/>
        </w:rPr>
        <w:t xml:space="preserve">, each persona infinitely differs from itself, given that it is initially supposed by mythic discourse only in order to be replaced, which is to say transformed. </w:t>
      </w:r>
      <w:r w:rsidRPr="004542FC">
        <w:rPr>
          <w:rStyle w:val="Emphasis"/>
          <w:rFonts w:cs="Calibri"/>
        </w:rPr>
        <w:t>Such "self-" difference is the characteristic property of the notion of "spirit,"</w:t>
      </w:r>
      <w:r w:rsidRPr="004542FC">
        <w:rPr>
          <w:rFonts w:cs="Calibri"/>
          <w:sz w:val="16"/>
        </w:rPr>
        <w:t xml:space="preserve"> which is why all mythic beings are conceived of as spirits (and as shamans), and every finite mode or actual existent, reciprocally, can manifest as (for it was) a spirit when its reason to be is recounted in myth. </w:t>
      </w:r>
      <w:r w:rsidRPr="004542FC">
        <w:rPr>
          <w:rStyle w:val="Emphasis"/>
          <w:rFonts w:cs="Calibri"/>
        </w:rPr>
        <w:t>The supposed lack of differentiation</w:t>
      </w:r>
      <w:r w:rsidRPr="004542FC">
        <w:rPr>
          <w:rFonts w:cs="Calibri"/>
          <w:sz w:val="16"/>
        </w:rPr>
        <w:t xml:space="preserve"> between mythic subjects </w:t>
      </w:r>
      <w:r w:rsidRPr="004542FC">
        <w:rPr>
          <w:rStyle w:val="Emphasis"/>
          <w:rFonts w:cs="Calibri"/>
        </w:rPr>
        <w:t>is a function of their being constitutively irreducible to essences or fixed identities, whether generic, specific, or even individual.</w:t>
      </w:r>
      <w:r w:rsidRPr="004542FC">
        <w:rPr>
          <w:rFonts w:cs="Calibri"/>
          <w:sz w:val="16"/>
        </w:rPr>
        <w:t xml:space="preserve"> 26 In sum, myth proposes </w:t>
      </w:r>
      <w:r w:rsidRPr="004542FC">
        <w:rPr>
          <w:rStyle w:val="StyleUnderline"/>
          <w:rFonts w:cs="Calibri"/>
        </w:rPr>
        <w:t>an ontological regime ordered by a fluent intensive difference bearing on each of the points of a heterogeneous continuum, where transformation is anterior to form, relations superior to terms, and intervals interior to being.</w:t>
      </w:r>
      <w:r w:rsidRPr="004542FC">
        <w:rPr>
          <w:rFonts w:cs="Calibri"/>
          <w:sz w:val="16"/>
        </w:rPr>
        <w:t xml:space="preserve"> Each mythic subject, being a pure virtuality, "was already previously" what it "would be next" and this is why </w:t>
      </w:r>
      <w:r w:rsidRPr="004542FC">
        <w:rPr>
          <w:rStyle w:val="StyleUnderline"/>
          <w:rFonts w:cs="Calibri"/>
        </w:rPr>
        <w:t>it is not something actually determined.</w:t>
      </w:r>
      <w:r w:rsidRPr="004542FC">
        <w:rPr>
          <w:rFonts w:cs="Calibri"/>
          <w:sz w:val="16"/>
        </w:rPr>
        <w:t xml:space="preserve"> </w:t>
      </w:r>
      <w:r w:rsidRPr="004542FC">
        <w:rPr>
          <w:rStyle w:val="StyleUnderline"/>
          <w:rFonts w:cs="Calibri"/>
        </w:rPr>
        <w:t>The extensive differences,</w:t>
      </w:r>
      <w:r w:rsidRPr="004542FC">
        <w:rPr>
          <w:rFonts w:cs="Calibri"/>
          <w:sz w:val="16"/>
        </w:rPr>
        <w:t xml:space="preserve"> moreover, introduced by post-mythic speciation (sensu lato)-the passage from the continuous to the discrete constituting the grand (my) theme of structural anthropology-</w:t>
      </w:r>
      <w:r w:rsidRPr="004542FC">
        <w:rPr>
          <w:rStyle w:val="Emphasis"/>
          <w:rFonts w:cs="Calibri"/>
        </w:rPr>
        <w:t>is crystallized in molar blocks of infinitely internal identity</w:t>
      </w:r>
      <w:r w:rsidRPr="004542FC">
        <w:rPr>
          <w:rFonts w:cs="Calibri"/>
          <w:sz w:val="16"/>
        </w:rPr>
        <w:t xml:space="preserve"> (each species is internally homogeneous, and its members are equally and indifferently representatives of the species as such).27 </w:t>
      </w:r>
      <w:r w:rsidRPr="004542FC">
        <w:rPr>
          <w:rStyle w:val="StyleUnderline"/>
          <w:rFonts w:cs="Calibri"/>
        </w:rPr>
        <w:t xml:space="preserve">These blocks are separated by external intervals that are quantifiable and measurable, since differences between species are finite systems for the correlation, proportioning, and permutation of characteristics of the same order and same nature. </w:t>
      </w:r>
      <w:r w:rsidRPr="004542FC">
        <w:rPr>
          <w:rFonts w:cs="Calibri"/>
          <w:sz w:val="16"/>
        </w:rPr>
        <w:t xml:space="preserve">The heterogeneous continuum of the precosmological world thus gives way to a discrete, homogeneous space in whose terms </w:t>
      </w:r>
      <w:r w:rsidRPr="004542FC">
        <w:rPr>
          <w:rStyle w:val="StyleUnderline"/>
          <w:rFonts w:cs="Calibri"/>
        </w:rPr>
        <w:t xml:space="preserve">each being is only what it is, and is so only because it is not what it is not. </w:t>
      </w:r>
      <w:r w:rsidRPr="004542FC">
        <w:rPr>
          <w:rFonts w:cs="Calibri"/>
          <w:sz w:val="16"/>
        </w:rPr>
        <w:t xml:space="preserve">But spirits are the proof that all virtualities have not necessarily been actualized, and that </w:t>
      </w:r>
      <w:r w:rsidRPr="004542FC">
        <w:rPr>
          <w:rStyle w:val="Emphasis"/>
          <w:rFonts w:cs="Calibri"/>
        </w:rPr>
        <w:t xml:space="preserve">the turbulent </w:t>
      </w:r>
      <w:r w:rsidRPr="004542FC">
        <w:rPr>
          <w:rFonts w:cs="Calibri"/>
          <w:sz w:val="16"/>
        </w:rPr>
        <w:t xml:space="preserve">mythic </w:t>
      </w:r>
      <w:r w:rsidRPr="004542FC">
        <w:rPr>
          <w:rStyle w:val="Emphasis"/>
          <w:rFonts w:cs="Calibri"/>
        </w:rPr>
        <w:t>flux continues to rumble beneath the apparent discontinuities between types and species.</w:t>
      </w:r>
      <w:r w:rsidRPr="004542FC">
        <w:rPr>
          <w:rFonts w:cs="Calibri"/>
          <w:sz w:val="16"/>
        </w:rPr>
        <w:t xml:space="preserve"> Amerindian perspectivism, then, finds in myth a geometrical locus where the difference between points of view is at once annulled and exacerbated. In this absolute discourse, </w:t>
      </w:r>
      <w:r w:rsidRPr="004542FC">
        <w:rPr>
          <w:rStyle w:val="StyleUnderline"/>
          <w:rFonts w:cs="Calibri"/>
        </w:rPr>
        <w:t>each kind of being appears to other beings as it appears to itself</w:t>
      </w:r>
      <w:r w:rsidRPr="004542FC">
        <w:rPr>
          <w:rFonts w:cs="Calibri"/>
          <w:sz w:val="16"/>
        </w:rPr>
        <w:t xml:space="preserve">-as humaneven as it already acts by manifesting its distinct and definitive animal, plant, or spirit nature. 28 Myth, the universal point of flight of perspectivism, speaks of a state of being where bodies and names, souls and actions, egos and others are interpenetrated, immersed in one and the same presubjective and preobjective milieu. The aim of mythology is precisely to recount the "end" of this "milieu"; in other words, to describe "the passage from Nature to Culture," the theme to which Levi-Strauss attributed a central role in Amerindian mythology. And contrary to what others have said, this was not without reason; </w:t>
      </w:r>
      <w:r w:rsidRPr="004542FC">
        <w:rPr>
          <w:rStyle w:val="StyleUnderline"/>
          <w:rFonts w:cs="Calibri"/>
        </w:rPr>
        <w:t>it would only be necessary to specify that the centrality of this passage by no means excludes its profound ambivalence-the double sense (in more than one sense) it has in indigenous thought</w:t>
      </w:r>
      <w:r w:rsidRPr="004542FC">
        <w:rPr>
          <w:rFonts w:cs="Calibri"/>
          <w:sz w:val="16"/>
        </w:rPr>
        <w:t xml:space="preserve">, as becomes evident the farther one advances through the Mythologiques. It is likewise important to emphasize that what results from this passage is not exactly what has been imagined. The passage is not a process by which the human is differentiated from the animal, as the evolutionist Occidental vulgate would have it. </w:t>
      </w:r>
      <w:r w:rsidRPr="004542FC">
        <w:rPr>
          <w:rStyle w:val="StyleUnderline"/>
          <w:rFonts w:cs="Calibri"/>
        </w:rPr>
        <w:t>The common condition of humans and animals is not animality but humanity.</w:t>
      </w:r>
      <w:r w:rsidRPr="004542FC">
        <w:rPr>
          <w:rFonts w:cs="Calibri"/>
          <w:sz w:val="16"/>
        </w:rPr>
        <w:t xml:space="preserve"> The great mythic division shows less culture distinguished from nature than nature estranged from itself by culture: the myths recount </w:t>
      </w:r>
      <w:r w:rsidRPr="004542FC">
        <w:rPr>
          <w:rStyle w:val="StyleUnderline"/>
          <w:rFonts w:cs="Calibri"/>
        </w:rPr>
        <w:t>how animals lost certain attributes humans inherited or conserved.</w:t>
      </w:r>
      <w:r w:rsidRPr="004542FC">
        <w:rPr>
          <w:rFonts w:cs="Calibri"/>
          <w:sz w:val="16"/>
        </w:rPr>
        <w:t xml:space="preserve"> </w:t>
      </w:r>
      <w:r w:rsidRPr="004542FC">
        <w:rPr>
          <w:rStyle w:val="StyleUnderline"/>
          <w:rFonts w:cs="Calibri"/>
        </w:rPr>
        <w:t>Nonhumans are ex-humans</w:t>
      </w:r>
      <w:r w:rsidRPr="004542FC">
        <w:rPr>
          <w:rFonts w:cs="Calibri"/>
          <w:sz w:val="16"/>
        </w:rPr>
        <w:t>-and not humans are ex-nonhumans. So where our popular anthropology regards humanity as standing upon animal foundations ordinarily occluded by culture-having once been entirely animal, we remain, at bottom, animals-indigenous thought instead concludes that having formerly been human, animals and other cosmic existents continue to be so, even if in a way scarcely obvious to us.29</w:t>
      </w:r>
    </w:p>
    <w:p w14:paraId="078F3C6A" w14:textId="77777777" w:rsidR="006F60A1" w:rsidRDefault="006F60A1" w:rsidP="006F60A1"/>
    <w:p w14:paraId="1D0D6236" w14:textId="77777777" w:rsidR="006F60A1" w:rsidRPr="004D41DD" w:rsidRDefault="006F60A1" w:rsidP="006F60A1">
      <w:pPr>
        <w:pStyle w:val="Heading4"/>
        <w:rPr>
          <w:rFonts w:cs="Calibri"/>
        </w:rPr>
      </w:pPr>
      <w:r>
        <w:rPr>
          <w:rFonts w:cs="Calibri"/>
        </w:rPr>
        <w:lastRenderedPageBreak/>
        <w:t>Only by adopting an orientation of becoming can we account for the very nature of settler colonialism that exists in constant movement. The alt’s theory forecloes attempts at resistance by falsly ontologizing the structure.</w:t>
      </w:r>
    </w:p>
    <w:p w14:paraId="257D71D5" w14:textId="77777777" w:rsidR="006F60A1" w:rsidRPr="004D41DD" w:rsidRDefault="006F60A1" w:rsidP="006F60A1">
      <w:pPr>
        <w:rPr>
          <w:rFonts w:cs="Calibri"/>
        </w:rPr>
      </w:pPr>
      <w:r w:rsidRPr="004D41DD">
        <w:rPr>
          <w:rStyle w:val="Style13ptBold"/>
          <w:rFonts w:cs="Calibri"/>
        </w:rPr>
        <w:t>Svirsky 16</w:t>
      </w:r>
      <w:r w:rsidRPr="004D41DD">
        <w:rPr>
          <w:rFonts w:cs="Calibri"/>
        </w:rPr>
        <w:t xml:space="preserve"> (Marcelo Svirsky is a Senior Lecturer at the School for Humanities and Social Inquiry, University of Wollongong, "Resistance is a structure not an event", March 7 2016, Pgs 24-27)</w:t>
      </w:r>
    </w:p>
    <w:p w14:paraId="5884C567" w14:textId="77777777" w:rsidR="006F60A1" w:rsidRPr="004D41DD" w:rsidRDefault="006F60A1" w:rsidP="006F60A1">
      <w:pPr>
        <w:rPr>
          <w:rFonts w:cs="Calibri"/>
          <w:sz w:val="16"/>
        </w:rPr>
      </w:pPr>
      <w:r w:rsidRPr="004D41DD">
        <w:rPr>
          <w:rFonts w:cs="Calibri"/>
          <w:sz w:val="16"/>
        </w:rPr>
        <w:t xml:space="preserve">Structure, power, forces In what seems to be an attempt to soften Wolfe’s methodological position, Veracini explains that if ‘there is a plot in the “historiography of elimination” and more generally in settler-colonial studies it is that while the structure attempts to eliminate Indigenous peoples it fails to do so’. The ‘structure cannot be reduced to its intention’. 35 That is to say, </w:t>
      </w:r>
      <w:r w:rsidRPr="004D41DD">
        <w:rPr>
          <w:rStyle w:val="StyleUnderline"/>
          <w:rFonts w:cs="Calibri"/>
        </w:rPr>
        <w:t>Wolfe’s logic of elimination should not be equated with elimination itself. As Veracini explains: Far from equating settler colonialism with elimination, Wolfe’s ‘structure’ refers to a continuing relationship of inequality between Indigenous and settler collectives. Beside ‘structure’ and ‘event’, it seems important to note that Wolfe refers to a logic of elimination, not to elimination itself.</w:t>
      </w:r>
      <w:r w:rsidRPr="004D41DD">
        <w:rPr>
          <w:rFonts w:cs="Calibri"/>
          <w:sz w:val="16"/>
        </w:rPr>
        <w:t xml:space="preserve"> After all, were Indigenous elimination to become an accomplished and irretrievable fact, settler colonialism would lose its logic.36 Though the key for Wolfe is to shed light on the mechanisms of elimination, Veracini takes Wolfe’s position that ‘</w:t>
      </w:r>
      <w:r w:rsidRPr="004D41DD">
        <w:rPr>
          <w:rStyle w:val="StyleUnderline"/>
          <w:rFonts w:cs="Calibri"/>
        </w:rPr>
        <w:t>we should not view the logic of elimination as solely a drive to exterminate Native human beings’, and suggests that we should focus on what the structure actualising the logic fails to accomplish.37</w:t>
      </w:r>
      <w:r w:rsidRPr="004D41DD">
        <w:rPr>
          <w:rFonts w:cs="Calibri"/>
          <w:sz w:val="16"/>
        </w:rPr>
        <w:t xml:space="preserve"> </w:t>
      </w:r>
      <w:r w:rsidRPr="004D41DD">
        <w:rPr>
          <w:rStyle w:val="Emphasis"/>
          <w:rFonts w:cs="Calibri"/>
        </w:rPr>
        <w:t>The difference between the two highlights the incompleteness of the settler project</w:t>
      </w:r>
      <w:r w:rsidRPr="004D41DD">
        <w:rPr>
          <w:rFonts w:cs="Calibri"/>
          <w:sz w:val="16"/>
        </w:rPr>
        <w:t xml:space="preserve">. If settler colonialism is not a fait accompli but an incomplete project invested in a continuing structuration of life actualising the logic of elimination, then </w:t>
      </w:r>
      <w:r w:rsidRPr="004D41DD">
        <w:rPr>
          <w:rStyle w:val="StyleUnderline"/>
          <w:rFonts w:cs="Calibri"/>
        </w:rPr>
        <w:t xml:space="preserve">we may expect the settler colonial paradigm to take seriously phenomena of struggle, resistance and confrontation, and </w:t>
      </w:r>
      <w:r w:rsidRPr="004D41DD">
        <w:rPr>
          <w:rStyle w:val="Emphasis"/>
          <w:rFonts w:cs="Calibri"/>
        </w:rPr>
        <w:t xml:space="preserve">hence to align itself with the idea of power not just as coercion or repression but as a complex multiplicity. </w:t>
      </w:r>
      <w:r w:rsidRPr="004D41DD">
        <w:rPr>
          <w:rStyle w:val="StyleUnderline"/>
          <w:rFonts w:cs="Calibri"/>
        </w:rPr>
        <w:t>This is simply because the incompleteness of elimination must be explained</w:t>
      </w:r>
      <w:r w:rsidRPr="004D41DD">
        <w:rPr>
          <w:rFonts w:cs="Calibri"/>
          <w:sz w:val="16"/>
        </w:rPr>
        <w:t xml:space="preserve">, and it cannot be explained just in terms of the oppressor’s self-error or strategic deferment. The methodological imperative that derives then, is to trace the forces that cause the settler structure to fail and remain incomplete – </w:t>
      </w:r>
      <w:r w:rsidRPr="004D41DD">
        <w:rPr>
          <w:rStyle w:val="Emphasis"/>
          <w:rFonts w:cs="Calibri"/>
        </w:rPr>
        <w:t xml:space="preserve">forces that work either by compelling retreat in specific policy areas, or because of the ineffectiveness of the settler structure in territorialising its logic and imposing its discourse, codifications, and meanings in all areas of life. </w:t>
      </w:r>
      <w:r w:rsidRPr="004D41DD">
        <w:rPr>
          <w:rFonts w:cs="Calibri"/>
          <w:sz w:val="16"/>
        </w:rPr>
        <w:t xml:space="preserve">As Macoun and Strakosch note, </w:t>
      </w:r>
      <w:r w:rsidRPr="004D41DD">
        <w:rPr>
          <w:rStyle w:val="StyleUnderline"/>
          <w:rFonts w:cs="Calibri"/>
        </w:rPr>
        <w:t>‘[e]xposing the settler colonial project as fundamentally incomplete – and unable to be completed in the face of Indigenous resistance – has the potential to be a profoundly liberating and destabilizing move’</w:t>
      </w:r>
      <w:r w:rsidRPr="004D41DD">
        <w:rPr>
          <w:rFonts w:cs="Calibri"/>
          <w:sz w:val="16"/>
        </w:rPr>
        <w:t xml:space="preserve">. 38 This is because this move leads research to deal with liberatory forces. Some Palestinian scholars have taken the analysis of the Israeli settler state in this direction. Recently, Nadera Shalhoub-Kevorkian draws on Wolfe’s logic of elimination but not without combining her analysis of surveillance and fear with an account of practices of resistance.39 Similarly, Mazin Qumsiyeh notes that the brutal removal of villagers during Ottoman and later the British and, finally, Israeli rule over the past thirteen decades would have proceeded much faster and certainly would have resulted in a far more homogeneous Jewish state had it not been for Palestinian resistance.40 </w:t>
      </w:r>
      <w:r w:rsidRPr="004D41DD">
        <w:rPr>
          <w:rStyle w:val="Emphasis"/>
          <w:rFonts w:cs="Calibri"/>
        </w:rPr>
        <w:t>Explaining strategic and tactical changes in the continuing implementation of elimination only by means of the subject’s determination to eliminate appears as an act of theoretical cannibalism.</w:t>
      </w:r>
      <w:r w:rsidRPr="004D41DD">
        <w:rPr>
          <w:rFonts w:cs="Calibri"/>
          <w:sz w:val="16"/>
        </w:rPr>
        <w:t xml:space="preserve"> The vicissitudes of elimination are the vicissitudes of the struggle, of resistance; or, as Veracini recently put it: the ‘settler colonial present is also an indigenous one’. 41 Settler stability, in other words, needs to be explained not just by way of the discourse of settler inscription but by taking seriously Veracini’s insistence that the </w:t>
      </w:r>
      <w:r w:rsidRPr="004D41DD">
        <w:rPr>
          <w:rStyle w:val="Emphasis"/>
          <w:rFonts w:cs="Calibri"/>
        </w:rPr>
        <w:t>settler colonial situation is best described in terms of a ‘permanent movement’.</w:t>
      </w:r>
      <w:r w:rsidRPr="004D41DD">
        <w:rPr>
          <w:rFonts w:cs="Calibri"/>
          <w:sz w:val="16"/>
        </w:rPr>
        <w:t xml:space="preserve"> 42 </w:t>
      </w:r>
      <w:r w:rsidRPr="004D41DD">
        <w:rPr>
          <w:rStyle w:val="StyleUnderline"/>
          <w:rFonts w:cs="Calibri"/>
        </w:rPr>
        <w:t xml:space="preserve">Movement here needs to be conceived as a constantly changing composition of forces – those which seek to eliminate indigenous life together with those that either cause some of these attempts to fail, or that institute forms of life contiguous to settlerism – in both cases compelling settler colonialism to rework itself. </w:t>
      </w:r>
      <w:r w:rsidRPr="004D41DD">
        <w:rPr>
          <w:rFonts w:cs="Calibri"/>
          <w:sz w:val="16"/>
        </w:rPr>
        <w:t xml:space="preserve">The benefit of adopting the perspective of a field of forces lies, in the words of James Williams, in its questioning of ‘the evolution of things in order to sense how they have become what they are and how they may become something other’. </w:t>
      </w:r>
      <w:r w:rsidRPr="004D41DD">
        <w:rPr>
          <w:rStyle w:val="StyleUnderline"/>
          <w:rFonts w:cs="Calibri"/>
        </w:rPr>
        <w:t xml:space="preserve">This analytical sensibility, as he rightly adds, ‘sets things in movement above the secure foundation of an unchanging given’, enabling a view of political life </w:t>
      </w:r>
      <w:r w:rsidRPr="004D41DD">
        <w:rPr>
          <w:rStyle w:val="StyleUnderline"/>
          <w:rFonts w:cs="Calibri"/>
        </w:rPr>
        <w:lastRenderedPageBreak/>
        <w:t xml:space="preserve">which emphasises the variations occurring within a social order – though always in the making – claiming to be established.43 This logical development and contribution to the settler colonial paradigm is inspired mainly by the works of Gilles Deleuze and Félix Guattari. </w:t>
      </w:r>
      <w:r w:rsidRPr="004D41DD">
        <w:rPr>
          <w:rFonts w:cs="Calibri"/>
          <w:sz w:val="16"/>
        </w:rPr>
        <w:t xml:space="preserve">However, the objections to their works among some scholars of settler colonialism, warrant a more extended response. The opposition to Deleuze and Guattari in settler colonial studies may be seen as originally deriving from Gayatri Chakravorty Spivak’s famous ‘Can the Subaltern Speak?’ 44 The short answer to that question is that </w:t>
      </w:r>
      <w:r w:rsidRPr="004D41DD">
        <w:rPr>
          <w:rStyle w:val="StyleUnderline"/>
          <w:rFonts w:cs="Calibri"/>
        </w:rPr>
        <w:t>the charges raised by Spivak cannot stand, especially if we take into account Deleuze and Guattari’s own political activism in indigenous struggles, particularly with specific Palestinian and Algerian anticolonial campaigns</w:t>
      </w:r>
      <w:r w:rsidRPr="004D41DD">
        <w:rPr>
          <w:rFonts w:cs="Calibri"/>
          <w:sz w:val="16"/>
        </w:rPr>
        <w:t xml:space="preserve">.45 Spivak hinged her critique of Deleuze and Foucault on a conversation between them.46 According to Spivak, Deleuze is ‘a dangerous [ … ] first world intellectual masquerading as the absent non-representor who lets the oppressed speak for themselves’, where in fact, so the story goes, he is ascribing to a Western philosophy and politics of anti-difference.47 As Robinson and Tormey rightly explain, Deleuze and Guattari focus not on the authenticity of the voice but on ‘whether the subaltern is “speaking” so as to be added as an axiom, or is “speaking” in a manner disruptive of processes of capture and control’. 48 </w:t>
      </w:r>
      <w:r w:rsidRPr="004D41DD">
        <w:rPr>
          <w:rStyle w:val="Emphasis"/>
          <w:rFonts w:cs="Calibri"/>
        </w:rPr>
        <w:t>Namely, in Deleuze and Guattari, questions of representation are relegated in favour of strategic questions of decolonisation.</w:t>
      </w:r>
      <w:r w:rsidRPr="004D41DD">
        <w:rPr>
          <w:rFonts w:cs="Calibri"/>
          <w:sz w:val="16"/>
        </w:rPr>
        <w:t xml:space="preserve"> As Robinson and Tormey put it, for Spivak, ‘Subalternity is thus a condition of inaccessibility and radical otherness that in turn escapes the clutches of anthropology and the “human sciences”. They cannot speak and we cannot “know” them – though of course the subaltern can be represented’. 49 Agreed: if the subaltern can speak, it is certainly not through the theorisations of Western SETTLER COLONIAL STUDIES 25 white intellectuals. This is where, to some extent, Wolfe’s critique of white ventriloquism and the resonances of this form of representation with the settler project, finds an ally. Moreover, the relegation of the study of resistance to that of domination and the belief on the inevitability of oppression is also common to both. As Spivak states, the question is not of female participation in insurgency, or the ground rules of the sexual division of labour, for both of which there is ‘evidence’. It is, rather, that, both as object of colonialist historiography and as subject of insurgency, the ideological construction of gender keeps the male dominant.50 The inevitability of power, so to speak, seems to be the Spivak’s standpoint, from where, as Andrew Robinson explains, she opposes the openness of theories such as those of Deleuze and Foucault, who leave space for resistance and ‘lines of flights’, insisting instead that the system is a total trap which can actually go as far as to foreclose the possibility of subaltern colletivities emerging.51 </w:t>
      </w:r>
      <w:r w:rsidRPr="004D41DD">
        <w:rPr>
          <w:rStyle w:val="StyleUnderline"/>
          <w:rFonts w:cs="Calibri"/>
        </w:rPr>
        <w:t>This reading of Deleuze, Guattari and Foucault turned into a springboard for others, and has influenced the works of a number of scholars in settler colonial studies, such as Jodi Byrd, and Alex Trimble Young.</w:t>
      </w:r>
      <w:r w:rsidRPr="004D41DD">
        <w:rPr>
          <w:rFonts w:cs="Calibri"/>
          <w:sz w:val="16"/>
        </w:rPr>
        <w:t xml:space="preserve"> Eyal Weizman’s works have also been marked as critical of Deleuze and Guattari.52 Byrd and Young share a similar critique – that Deleuze and Guattari ‘reproduce frontier tropes’, particularly in their engagement with the US west and with some American writers.53 According to Byrd, A Thousand Plateaus ‘performs a global, nomadic reframing in which the frontier becomes, again, Frederick Turner’s site of transformation, possibility, and mapping’. 54 </w:t>
      </w:r>
      <w:r w:rsidRPr="004D41DD">
        <w:rPr>
          <w:rStyle w:val="StyleUnderline"/>
          <w:rFonts w:cs="Calibri"/>
        </w:rPr>
        <w:t>The disavowal of Deleuze and Guattari in these authors is fashioned by means of three techniques: decontextualisation, adjectivation, and bad association.</w:t>
      </w:r>
      <w:r w:rsidRPr="004D41DD">
        <w:rPr>
          <w:rFonts w:cs="Calibri"/>
          <w:sz w:val="16"/>
        </w:rPr>
        <w:t xml:space="preserve"> In the first technique, passages from A Thousand Plateaus are disassociated from the general method according to which there are no good or bad rhizomes, nomads, transformations, or possibilities – but rather a Spinozean ethics of movements and forces as a problem of what can a system do. Thus, to imply that Deleuze and Guattari are not offering theoretical tools but rather celebrate white-led deterritorialisations – as ‘US imperialism has always celebrated “pioneers” who would “go across, get out, break through” new frontiers’ – is to join Spivak in her critique.55 The second technique is an exercise on appropriating Deleuze and Guattari’s concepts to enliven depictions of settler domination. In a bid to prove the natural suitability of Deleuze and Guattari’s concepts to speak power, Young deploys their work to animate descriptions of settler domination. </w:t>
      </w:r>
      <w:r w:rsidRPr="004D41DD">
        <w:rPr>
          <w:rStyle w:val="StyleUnderline"/>
          <w:rFonts w:cs="Calibri"/>
        </w:rPr>
        <w:t>For instance: ‘For Wolfe, there is a parallel between nationalist historiography [ … ] which imagines the frontier as the site where a diverse assemblage of settlers is forged into a “composite nationality”’</w:t>
      </w:r>
      <w:r w:rsidRPr="004D41DD">
        <w:rPr>
          <w:rFonts w:cs="Calibri"/>
          <w:sz w:val="16"/>
        </w:rPr>
        <w:t xml:space="preserve">. 56 A similar form of adjectivation takes place in Young’s analysis of Eyal Weizman’s ‘Walking through Walls’. There, Young designates Israeli power in terms of settlers following ‘“lines of flight” made possible by the “smoothing” of indigenous space’. 57 In this narrative, ‘assemblage’, ‘rhizomes’, and ‘lines of flights’ are produced or experimented by villains – whether the legendary frontier addict Frederick Jackson Turner, Kerouac’s characters, or IDF general Kohavi. With the third technique Young condemns Deleuze and Guattari for citing authors such as Leslie Fiedler, and Jack Kerouac, who imagined ‘the West as a site of national significance’. 58 What matters, however, is how we use a thing and not how others use, or who these others are. </w:t>
      </w:r>
    </w:p>
    <w:p w14:paraId="7895F621" w14:textId="77777777" w:rsidR="006F60A1" w:rsidRPr="00F601E6" w:rsidRDefault="006F60A1" w:rsidP="006F60A1"/>
    <w:p w14:paraId="2C10378A" w14:textId="77777777" w:rsidR="006F60A1" w:rsidRPr="002B03AD" w:rsidRDefault="006F60A1" w:rsidP="006F60A1"/>
    <w:p w14:paraId="052F842D" w14:textId="77777777" w:rsidR="006F60A1" w:rsidRPr="002B03AD" w:rsidRDefault="006F60A1" w:rsidP="006F60A1"/>
    <w:p w14:paraId="0AEE5A10" w14:textId="77777777" w:rsidR="006F60A1" w:rsidRPr="004542FC" w:rsidRDefault="006F60A1" w:rsidP="006F60A1">
      <w:pPr>
        <w:pStyle w:val="Heading4"/>
        <w:rPr>
          <w:rFonts w:cs="Calibri"/>
        </w:rPr>
      </w:pPr>
      <w:r w:rsidRPr="004542FC">
        <w:rPr>
          <w:rFonts w:cs="Calibri"/>
        </w:rPr>
        <w:lastRenderedPageBreak/>
        <w:t>Our Deleuzian project enables the permanent decolonization thought through becoming as the constant rejection of the portrayal of savagery onto the Indigenous.</w:t>
      </w:r>
    </w:p>
    <w:p w14:paraId="7501D5A0" w14:textId="77777777" w:rsidR="006F60A1" w:rsidRPr="004542FC" w:rsidRDefault="006F60A1" w:rsidP="006F60A1">
      <w:pPr>
        <w:rPr>
          <w:rStyle w:val="StyleUnderline"/>
          <w:rFonts w:cs="Calibri"/>
          <w:u w:val="none"/>
        </w:rPr>
      </w:pPr>
      <w:r w:rsidRPr="004542FC">
        <w:rPr>
          <w:rStyle w:val="Style13ptBold"/>
          <w:rFonts w:cs="Calibri"/>
        </w:rPr>
        <w:t>de Castro 9</w:t>
      </w:r>
      <w:r w:rsidRPr="004542FC">
        <w:rPr>
          <w:rFonts w:cs="Calibri"/>
        </w:rPr>
        <w:t xml:space="preserve"> (Eduardo Batalha Viveiros de Castro is a Brazilian anthropologist and a professor at the National Museum of the Federal University of Rio de Janeiro., "Cannibal Metaphysics", 2009, Pgs 91-93)</w:t>
      </w:r>
    </w:p>
    <w:p w14:paraId="626D55B5" w14:textId="77777777" w:rsidR="006F60A1" w:rsidRPr="004542FC" w:rsidRDefault="006F60A1" w:rsidP="006F60A1">
      <w:pPr>
        <w:rPr>
          <w:rFonts w:cs="Calibri"/>
          <w:sz w:val="16"/>
        </w:rPr>
      </w:pPr>
      <w:r w:rsidRPr="000B0E8A">
        <w:rPr>
          <w:rStyle w:val="StyleUnderline"/>
          <w:rFonts w:cs="Calibri"/>
        </w:rPr>
        <w:t>So we really are dealing with something other than a return of the native.</w:t>
      </w:r>
      <w:r w:rsidRPr="000B0E8A">
        <w:rPr>
          <w:rFonts w:cs="Calibri"/>
          <w:sz w:val="16"/>
        </w:rPr>
        <w:t xml:space="preserve"> If there is a return at all, it is Levi-Strauss' "striking return to things": </w:t>
      </w:r>
      <w:r w:rsidRPr="000B0E8A">
        <w:rPr>
          <w:rStyle w:val="StyleUnderline"/>
          <w:rFonts w:cs="Calibri"/>
        </w:rPr>
        <w:t>the return of philosophy to center stage.</w:t>
      </w:r>
      <w:r w:rsidRPr="000B0E8A">
        <w:rPr>
          <w:rFonts w:cs="Calibri"/>
          <w:sz w:val="16"/>
        </w:rPr>
        <w:t xml:space="preserve"> Not, however, according to his suggestion that this would entail a mutually exclusive choice between our philosophy and theirs (yet another case of</w:t>
      </w:r>
      <w:r w:rsidRPr="004542FC">
        <w:rPr>
          <w:rFonts w:cs="Calibri"/>
          <w:sz w:val="16"/>
        </w:rPr>
        <w:t xml:space="preserve"> </w:t>
      </w:r>
      <w:r w:rsidRPr="000B0E8A">
        <w:rPr>
          <w:rFonts w:cs="Calibri"/>
          <w:sz w:val="16"/>
        </w:rPr>
        <w:t xml:space="preserve">homonymy? So much the better!) but in terms of a disjunctive synthesis between anthropology understood as </w:t>
      </w:r>
      <w:r w:rsidRPr="004542FC">
        <w:rPr>
          <w:rFonts w:cs="Calibri"/>
          <w:sz w:val="16"/>
        </w:rPr>
        <w:t xml:space="preserve">experimental metaphysics or field geophilosophy, and philosophy conceived as the sui generis ethno-anthropological practice of the creation of concepts (D. G. 1 994). </w:t>
      </w:r>
      <w:r w:rsidRPr="004542FC">
        <w:rPr>
          <w:rStyle w:val="Emphasis"/>
          <w:rFonts w:cs="Calibri"/>
        </w:rPr>
        <w:t>This traversalization of anthropology and philosophy, which is a "demonic alliance" a la A Thousand Plateaus, is established in view of a common objective, which is the entry into a state (a plateau of intensity) of the permanent decolonization of thought.</w:t>
      </w:r>
      <w:r w:rsidRPr="004542FC">
        <w:rPr>
          <w:rFonts w:cs="Calibri"/>
          <w:sz w:val="16"/>
        </w:rPr>
        <w:t xml:space="preserve"> It would be useful to recall that sociocultural anthropology has always been thoroughly saturated with philosophical problems and concepts, from that philosophical concept of ours-mythto the quite philosophical problem, evoked by Levi-Strauss, of how to exit philosophy, which is to say the cultural matrix of anthropology. The question, then, is not of knowing if anthropology should renew its constantly interrupted dialogue with philosophy but of determining which philosophy it should take the time to link into. Clearly it depends both on what one wants and on what one can do. </w:t>
      </w:r>
      <w:r w:rsidRPr="004542FC">
        <w:rPr>
          <w:rStyle w:val="StyleUnderline"/>
          <w:rFonts w:cs="Calibri"/>
        </w:rPr>
        <w:t>Defining an image of savage thought with the help of Kant, Heidegger, or Wittgenstein is entirely possible. And it is no less the case that direct parallelisms can be established between the contents on both sides: Amazonian cosmologies, for example, have rich, equivocating resemblances to the distinction between the worlds of essence and appearance and could thus seem to lend themselves to a Platonic reading (the sole interest of which, however, would be to show how this Indian Platonism is merely apparent).</w:t>
      </w:r>
      <w:r w:rsidRPr="004542FC">
        <w:rPr>
          <w:rFonts w:cs="Calibri"/>
          <w:sz w:val="16"/>
        </w:rPr>
        <w:t xml:space="preserve"> But </w:t>
      </w:r>
      <w:r w:rsidRPr="004542FC">
        <w:rPr>
          <w:rStyle w:val="Emphasis"/>
          <w:rFonts w:cs="Calibri"/>
        </w:rPr>
        <w:t>everything, I will repeat, depends on the problem that savage thought poses to us</w:t>
      </w:r>
      <w:r w:rsidRPr="004542FC">
        <w:rPr>
          <w:rStyle w:val="StyleUnderline"/>
          <w:rFonts w:cs="Calibri"/>
        </w:rPr>
        <w:t>, which is the question of what the interesting philosophical problems are among all those to be discerned in the innumerable, complex semiopratical arrangements invented by the collectives anthropology has studied. The philosophy of Deleuze</w:t>
      </w:r>
      <w:r w:rsidRPr="004542FC">
        <w:rPr>
          <w:rFonts w:cs="Calibri"/>
          <w:sz w:val="16"/>
        </w:rPr>
        <w:t xml:space="preserve">, and more particularly the two volumes of Capitalism and Schizophrenia that were written with Guattari, </w:t>
      </w:r>
      <w:r w:rsidRPr="004542FC">
        <w:rPr>
          <w:rStyle w:val="Emphasis"/>
          <w:rFonts w:cs="Calibri"/>
        </w:rPr>
        <w:t xml:space="preserve">is where I found the most appropriate machine for retransmitting the sonar frequency that I had picked up from Amerindian thought. </w:t>
      </w:r>
      <w:r w:rsidRPr="004542FC">
        <w:rPr>
          <w:rFonts w:cs="Calibri"/>
          <w:sz w:val="16"/>
        </w:rPr>
        <w:t xml:space="preserve">Perspectivism and multinaturalism, which are, again, </w:t>
      </w:r>
      <w:r w:rsidRPr="004542FC">
        <w:rPr>
          <w:rStyle w:val="StyleUnderline"/>
          <w:rFonts w:cs="Calibri"/>
        </w:rPr>
        <w:t xml:space="preserve">objects that have been resynthesized by anthropological discourse </w:t>
      </w:r>
      <w:r w:rsidRPr="004542FC">
        <w:rPr>
          <w:rFonts w:cs="Calibri"/>
          <w:sz w:val="16"/>
        </w:rPr>
        <w:t>(</w:t>
      </w:r>
      <w:r w:rsidRPr="004542FC">
        <w:rPr>
          <w:rStyle w:val="StyleUnderline"/>
          <w:rFonts w:cs="Calibri"/>
        </w:rPr>
        <w:t>indigenous theories</w:t>
      </w:r>
      <w:r w:rsidRPr="004542FC">
        <w:rPr>
          <w:rFonts w:cs="Calibri"/>
          <w:sz w:val="16"/>
        </w:rPr>
        <w:t xml:space="preserve">, I dare say, do not present themselves in such conveniently pre-packaged fashion!), </w:t>
      </w:r>
      <w:r w:rsidRPr="004542FC">
        <w:rPr>
          <w:rStyle w:val="Emphasis"/>
          <w:rFonts w:cs="Calibri"/>
        </w:rPr>
        <w:t>are the result of the encounter between a certain becoming-Deleuzian of Amerindian ethnology and a certain becoming-Indian of Deleuze and Guattari's thought-a becoming-Indian that decisively passes, as we will see, through the chapter concerning becomings in A Thousand Plateaus.</w:t>
      </w:r>
      <w:r w:rsidRPr="004542FC">
        <w:rPr>
          <w:rFonts w:cs="Calibri"/>
          <w:sz w:val="16"/>
        </w:rPr>
        <w:t xml:space="preserve"> Does that come down to saying that </w:t>
      </w:r>
      <w:r w:rsidRPr="004542FC">
        <w:rPr>
          <w:rStyle w:val="StyleUnderline"/>
          <w:rFonts w:cs="Calibri"/>
        </w:rPr>
        <w:t>the Indians are Deleuzians</w:t>
      </w:r>
      <w:r w:rsidRPr="004542FC">
        <w:rPr>
          <w:rFonts w:cs="Calibri"/>
          <w:sz w:val="16"/>
        </w:rPr>
        <w:t xml:space="preserve">, as I once cheekily declared?48 Yes and no. </w:t>
      </w:r>
      <w:r w:rsidRPr="004542FC">
        <w:rPr>
          <w:rStyle w:val="Emphasis"/>
          <w:rFonts w:cs="Calibri"/>
        </w:rPr>
        <w:t>Yes, first because Deleuze and Guattari do not ring hollow when struck with indigenous ideas; second, because the line of thinkers privileged by Deleuze, inasmuch as they constitute a minor lineage within the Western tradition, allows for a series of connections with the outside of the tradition</w:t>
      </w:r>
      <w:r w:rsidRPr="004542FC">
        <w:rPr>
          <w:rFonts w:cs="Calibri"/>
          <w:sz w:val="16"/>
        </w:rPr>
        <w:t xml:space="preserve">. But in the last analysis, no, the Indians are not Deleuzians, for they can just as much be Kantians as Nietzscheans, Bergsonians as Wittgensteinians, and Merleau-Pontyeans, Marxists, Freudians, and, above all, Levi-Straussians ... . I believe that I have even heard them referred to as Habermasians, and in that case, </w:t>
      </w:r>
      <w:r w:rsidRPr="004542FC">
        <w:rPr>
          <w:rStyle w:val="StyleUnderline"/>
          <w:rFonts w:cs="Calibri"/>
        </w:rPr>
        <w:t>anything is possible</w:t>
      </w:r>
      <w:r w:rsidRPr="004542FC">
        <w:rPr>
          <w:rFonts w:cs="Calibri"/>
          <w:sz w:val="16"/>
        </w:rPr>
        <w:t>. Yes and no. Obviously, "the problem is poorly posed." Because from the point of view of a multinaturalist counter-anthropology, which is what is at stake</w:t>
      </w:r>
      <w:r w:rsidRPr="004542FC">
        <w:rPr>
          <w:rStyle w:val="Emphasis"/>
          <w:rFonts w:cs="Calibri"/>
        </w:rPr>
        <w:t>, the philosophers are to be read in light of savage thought, and not the reverse: it is a matter of actualizing the innumerable becomings-other that exist as virtualities of our own thinking.</w:t>
      </w:r>
      <w:r w:rsidRPr="004542FC">
        <w:rPr>
          <w:rFonts w:cs="Calibri"/>
          <w:sz w:val="16"/>
        </w:rPr>
        <w:t xml:space="preserve"> To </w:t>
      </w:r>
      <w:r w:rsidRPr="004542FC">
        <w:rPr>
          <w:rFonts w:cs="Calibri"/>
          <w:sz w:val="16"/>
        </w:rPr>
        <w:lastRenderedPageBreak/>
        <w:t xml:space="preserve">think an outside (not necessarily China49) in order to run against the grain of the thought of the Outside, by starting from the other end. Every experience of another thinking is an experience of our own. </w:t>
      </w:r>
    </w:p>
    <w:p w14:paraId="177DE0E4" w14:textId="77777777" w:rsidR="006F60A1" w:rsidRPr="004542FC" w:rsidRDefault="006F60A1" w:rsidP="006F60A1">
      <w:pPr>
        <w:rPr>
          <w:rFonts w:cs="Calibri"/>
        </w:rPr>
      </w:pPr>
    </w:p>
    <w:p w14:paraId="53294007" w14:textId="77777777" w:rsidR="006F60A1" w:rsidRPr="004542FC" w:rsidRDefault="006F60A1" w:rsidP="006F60A1">
      <w:pPr>
        <w:rPr>
          <w:rFonts w:cs="Calibri"/>
        </w:rPr>
      </w:pPr>
    </w:p>
    <w:p w14:paraId="708A2508" w14:textId="77777777" w:rsidR="006F60A1" w:rsidRDefault="006F60A1" w:rsidP="006F60A1">
      <w:pPr>
        <w:rPr>
          <w:rFonts w:cs="Calibri"/>
        </w:rPr>
      </w:pPr>
    </w:p>
    <w:p w14:paraId="7CCD97C9" w14:textId="77777777" w:rsidR="006F60A1" w:rsidRPr="004542FC" w:rsidRDefault="006F60A1" w:rsidP="006F60A1">
      <w:pPr>
        <w:rPr>
          <w:rFonts w:cs="Calibri"/>
        </w:rPr>
      </w:pPr>
    </w:p>
    <w:p w14:paraId="7644E7F0" w14:textId="77777777" w:rsidR="006F60A1" w:rsidRPr="004542FC" w:rsidRDefault="006F60A1" w:rsidP="006F60A1">
      <w:pPr>
        <w:pStyle w:val="Heading4"/>
        <w:rPr>
          <w:rFonts w:cs="Calibri"/>
        </w:rPr>
      </w:pPr>
      <w:r w:rsidRPr="004542FC">
        <w:rPr>
          <w:rFonts w:cs="Calibri"/>
        </w:rPr>
        <w:t>Becoming is a key strategy for forming effective alliances and movements as a push towards decolonization.</w:t>
      </w:r>
    </w:p>
    <w:p w14:paraId="4C82CE02" w14:textId="77777777" w:rsidR="006F60A1" w:rsidRPr="004542FC" w:rsidRDefault="006F60A1" w:rsidP="006F60A1">
      <w:pPr>
        <w:rPr>
          <w:rFonts w:cs="Calibri"/>
        </w:rPr>
      </w:pPr>
      <w:r w:rsidRPr="004542FC">
        <w:rPr>
          <w:rStyle w:val="Style13ptBold"/>
          <w:rFonts w:cs="Calibri"/>
        </w:rPr>
        <w:t>de Castro 9</w:t>
      </w:r>
      <w:r w:rsidRPr="004542FC">
        <w:rPr>
          <w:rFonts w:cs="Calibri"/>
        </w:rPr>
        <w:t xml:space="preserve"> (Eduardo Batalha Viveiros de Castro is a Brazilian anthropologist and a professor at the National Museum of the Federal University of Rio de Janeiro., "Cannibal Metaphysics", 2009, Pgs 163-165) *edited for gendered language</w:t>
      </w:r>
    </w:p>
    <w:p w14:paraId="51260B40" w14:textId="6256E1E3" w:rsidR="006F60A1" w:rsidRDefault="006F60A1" w:rsidP="006F60A1">
      <w:pPr>
        <w:rPr>
          <w:rFonts w:cs="Calibri"/>
          <w:sz w:val="16"/>
        </w:rPr>
      </w:pPr>
      <w:r w:rsidRPr="004542FC">
        <w:rPr>
          <w:rStyle w:val="StyleUnderline"/>
          <w:rFonts w:cs="Calibri"/>
        </w:rPr>
        <w:t>Alliance, perhaps ... but not every alliance.</w:t>
      </w:r>
      <w:r w:rsidRPr="004542FC">
        <w:rPr>
          <w:rFonts w:cs="Calibri"/>
          <w:sz w:val="16"/>
        </w:rPr>
        <w:t xml:space="preserve"> As we have seen, the first volume of Capitalism and Schizophrenia postulates two filiations: an intensive and germinal one, and another that is extensive and somatic, with the latter </w:t>
      </w:r>
      <w:r w:rsidRPr="004542FC">
        <w:rPr>
          <w:rStyle w:val="StyleUnderline"/>
          <w:rFonts w:cs="Calibri"/>
        </w:rPr>
        <w:t>being counterposed to alliance, the extensive principle that plays the role of the "repressing representation" of the representative of desire or germinal impulse.</w:t>
      </w:r>
      <w:r w:rsidRPr="004542FC">
        <w:rPr>
          <w:rFonts w:cs="Calibri"/>
          <w:sz w:val="16"/>
        </w:rPr>
        <w:t xml:space="preserve"> Now in A Thousand Plateaus, </w:t>
      </w:r>
      <w:r w:rsidRPr="004542FC">
        <w:rPr>
          <w:rStyle w:val="StyleUnderline"/>
          <w:rFonts w:cs="Calibri"/>
        </w:rPr>
        <w:t xml:space="preserve">we find two alliances: the one dissected in Anti-Oedipus, which is internal to the socius and even to the masculine gender (primary collective homosexuality), and another, </w:t>
      </w:r>
      <w:r w:rsidRPr="004542FC">
        <w:rPr>
          <w:rStyle w:val="Emphasis"/>
          <w:rFonts w:cs="Calibri"/>
        </w:rPr>
        <w:t>immanent to becoming, that is as irreducible to production and imaginary metamorphosis</w:t>
      </w:r>
      <w:r w:rsidRPr="004542FC">
        <w:rPr>
          <w:rStyle w:val="StyleUnderline"/>
          <w:rFonts w:cs="Calibri"/>
        </w:rPr>
        <w:t xml:space="preserve"> (mythic genealogy, animal filiation) as to exchange and symbolic classification (exogamic alliance, totemism).</w:t>
      </w:r>
      <w:r w:rsidRPr="004542FC">
        <w:rPr>
          <w:rFonts w:cs="Calibri"/>
          <w:sz w:val="16"/>
        </w:rPr>
        <w:t xml:space="preserve"> </w:t>
      </w:r>
      <w:r w:rsidRPr="004542FC">
        <w:rPr>
          <w:rStyle w:val="Emphasis"/>
          <w:rFonts w:cs="Calibri"/>
        </w:rPr>
        <w:t>Every becoming is an alliance. Which does not mean, once again, that every alliance is a becoming.</w:t>
      </w:r>
      <w:r w:rsidRPr="004542FC">
        <w:rPr>
          <w:rFonts w:cs="Calibri"/>
          <w:sz w:val="16"/>
        </w:rPr>
        <w:t xml:space="preserve"> There is extensive, cultural, and sociopolitical alliance, and intensive, counter-natural, and cosmopolitical alliance. If the first distinguishes filiations</w:t>
      </w:r>
      <w:r w:rsidRPr="004542FC">
        <w:rPr>
          <w:rStyle w:val="Emphasis"/>
          <w:rFonts w:cs="Calibri"/>
        </w:rPr>
        <w:t>, the second confuses species or, better yet, counter-effectuates by implicative synthesis the continuous differences that are actualized in the other direction</w:t>
      </w:r>
      <w:r w:rsidRPr="004542FC">
        <w:rPr>
          <w:rFonts w:cs="Calibri"/>
          <w:sz w:val="16"/>
        </w:rPr>
        <w:t xml:space="preserve"> (the way is not the same ... ) through the limiting synthesis of discontinuous speciation. When a shaman activates a becoming-jaguar, </w:t>
      </w:r>
      <w:r w:rsidRPr="004542FC">
        <w:rPr>
          <w:rFonts w:cs="Calibri"/>
          <w:strike/>
          <w:sz w:val="16"/>
        </w:rPr>
        <w:t>he</w:t>
      </w:r>
      <w:r w:rsidRPr="004542FC">
        <w:rPr>
          <w:rFonts w:cs="Calibri"/>
          <w:sz w:val="16"/>
        </w:rPr>
        <w:t xml:space="preserve"> (they) neither "produces" a jaguar nor "affiliates" with a reproductive line of jaguars: </w:t>
      </w:r>
      <w:r w:rsidRPr="004542FC">
        <w:rPr>
          <w:rFonts w:cs="Calibri"/>
          <w:strike/>
          <w:sz w:val="16"/>
        </w:rPr>
        <w:t>he</w:t>
      </w:r>
      <w:r w:rsidRPr="004542FC">
        <w:rPr>
          <w:rFonts w:cs="Calibri"/>
          <w:sz w:val="16"/>
        </w:rPr>
        <w:t xml:space="preserve"> (they) adopts and coopts a jaguar-establishes a feline alliance: </w:t>
      </w:r>
      <w:r w:rsidRPr="004542FC">
        <w:rPr>
          <w:rStyle w:val="Emphasis"/>
          <w:rFonts w:cs="Calibri"/>
        </w:rPr>
        <w:t>Rather, a zone of indistinction, of indiscernibility, or of ambiguity seems to be established between two terms, as if they had reached the point immediately preceding their respective differentiation: not a similitude, but a slippage, an extreme proximity, and absolute contiguity; not a natural filiation, but an unnatural alliance.</w:t>
      </w:r>
      <w:r w:rsidRPr="004542FC">
        <w:rPr>
          <w:rFonts w:cs="Calibri"/>
          <w:sz w:val="16"/>
        </w:rPr>
        <w:t xml:space="preserve"> (D. 1 997: 78) We can observe the way this definition of becoming (for that is exactly what is at stake here) transversally sets up a paradigmatic dualism: {filiation, metonymic continuity, serial resemblance} vs. {alliance, discontinuity, oppositional difference}. The "absolute contiguity" of the tangential-differential kind established by counter-natural alliance is certainly different from the absolute, contrastive "discontiguity" between filiative lineages that is established by symbolico-cultural alliance (exogamy). But at the same time, needless to say, </w:t>
      </w:r>
      <w:r w:rsidRPr="004542FC">
        <w:rPr>
          <w:rStyle w:val="StyleUnderline"/>
          <w:rFonts w:cs="Calibri"/>
        </w:rPr>
        <w:t>it does not come down to an imaginary identification or nondifferentiation between "two terms."</w:t>
      </w:r>
      <w:r w:rsidRPr="004542FC">
        <w:rPr>
          <w:rFonts w:cs="Calibri"/>
          <w:sz w:val="16"/>
        </w:rPr>
        <w:t xml:space="preserve"> </w:t>
      </w:r>
      <w:r w:rsidRPr="004542FC">
        <w:rPr>
          <w:rStyle w:val="Emphasis"/>
          <w:rFonts w:cs="Calibri"/>
        </w:rPr>
        <w:t>It is not a matter of opposing</w:t>
      </w:r>
      <w:r w:rsidRPr="004542FC">
        <w:rPr>
          <w:rFonts w:cs="Calibri"/>
          <w:sz w:val="16"/>
        </w:rPr>
        <w:t xml:space="preserve">, as classical structuralism did, natural filiation and cultural alliance. The counter-naturality of intensive alliance is equally counter-cultural or counter-social. 10 5 What we are discussing is an included third, or another relation-a "new alliance": "Alliance" is a good and a bad word. Every word is good if it can be used to cross the boundary between people and things. So alliance is a good word if you use it for a microbe. Force is a good word if you use it for a human. (Latour 1 993: 263) </w:t>
      </w:r>
    </w:p>
    <w:p w14:paraId="3A24A75E" w14:textId="2B359C30" w:rsidR="00612A71" w:rsidRDefault="00612A71" w:rsidP="006F60A1">
      <w:pPr>
        <w:rPr>
          <w:rFonts w:cs="Calibri"/>
          <w:sz w:val="16"/>
        </w:rPr>
      </w:pPr>
    </w:p>
    <w:p w14:paraId="4E81A4C5" w14:textId="77777777" w:rsidR="00612A71" w:rsidRDefault="00612A71" w:rsidP="00612A71">
      <w:pPr>
        <w:pStyle w:val="Heading4"/>
      </w:pPr>
      <w:r>
        <w:lastRenderedPageBreak/>
        <w:t>Our lens of analysis is crucial to challenging power and for disrupting the flow of settler colonialism.</w:t>
      </w:r>
    </w:p>
    <w:p w14:paraId="5E9AEDC9" w14:textId="77777777" w:rsidR="00612A71" w:rsidRDefault="00612A71" w:rsidP="00612A71">
      <w:pPr>
        <w:rPr>
          <w:rFonts w:ascii="Georgia" w:eastAsia="Georgia" w:hAnsi="Georgia" w:cs="Georgia"/>
          <w:sz w:val="18"/>
          <w:szCs w:val="18"/>
        </w:rPr>
      </w:pPr>
      <w:r>
        <w:rPr>
          <w:rFonts w:ascii="Georgia" w:eastAsia="Georgia" w:hAnsi="Georgia" w:cs="Georgia"/>
          <w:b/>
          <w:sz w:val="26"/>
          <w:szCs w:val="26"/>
        </w:rPr>
        <w:t>Svirsky 16</w:t>
      </w:r>
      <w:r>
        <w:rPr>
          <w:rFonts w:ascii="Georgia" w:eastAsia="Georgia" w:hAnsi="Georgia" w:cs="Georgia"/>
        </w:rPr>
        <w:t xml:space="preserve"> </w:t>
      </w:r>
      <w:r>
        <w:rPr>
          <w:rFonts w:ascii="Georgia" w:eastAsia="Georgia" w:hAnsi="Georgia" w:cs="Georgia"/>
          <w:sz w:val="18"/>
          <w:szCs w:val="18"/>
        </w:rPr>
        <w:t>(Marcelo Svirsky, Lecturer at School of Humanities and Social Inquiry, University of Wollongong. “Resistance is a structure not an event” Published March 7, 2016. Section: Structure, power, forces https://www.tandfonline.com/doi/full/10.1080/2201473X.2016.1141462?casa_token=Cht7qIt3BWwAAAAA%3AXjK0xQS057ASImPY3wtCzYePeDLGIgCjC4tzAiN_zEMlgw_8_IK5L_AAjydp95vZmq_8hizA_0UmSg)</w:t>
      </w:r>
    </w:p>
    <w:p w14:paraId="78A11826" w14:textId="77777777" w:rsidR="00612A71" w:rsidRDefault="00612A71" w:rsidP="00612A71">
      <w:pPr>
        <w:spacing w:before="260" w:after="260"/>
        <w:rPr>
          <w:sz w:val="24"/>
        </w:rPr>
      </w:pPr>
      <w:r>
        <w:rPr>
          <w:sz w:val="24"/>
          <w:highlight w:val="yellow"/>
          <w:u w:val="single"/>
        </w:rPr>
        <w:t>Deleuze and Guattari are important for a focus on resistance.</w:t>
      </w:r>
      <w:r>
        <w:rPr>
          <w:sz w:val="24"/>
        </w:rPr>
        <w:t xml:space="preserve"> Pivotal to a Deleuzian-Guattarian ontology is that its ‘elements’ – defined in terms of forces, fluxes and their relations – exist in a processual state. For them, ‘</w:t>
      </w:r>
      <w:r>
        <w:rPr>
          <w:sz w:val="24"/>
          <w:highlight w:val="yellow"/>
          <w:u w:val="single"/>
        </w:rPr>
        <w:t>the general theory of society is a generalized theory of flows</w:t>
      </w:r>
      <w:r>
        <w:rPr>
          <w:sz w:val="24"/>
        </w:rPr>
        <w:t>’.</w:t>
      </w:r>
      <w:hyperlink r:id="rId10">
        <w:r>
          <w:rPr>
            <w:sz w:val="24"/>
          </w:rPr>
          <w:t>59</w:t>
        </w:r>
      </w:hyperlink>
      <w:r>
        <w:rPr>
          <w:sz w:val="24"/>
        </w:rPr>
        <w:t xml:space="preserve"> </w:t>
      </w:r>
      <w:r>
        <w:rPr>
          <w:sz w:val="24"/>
          <w:u w:val="single"/>
        </w:rPr>
        <w:t xml:space="preserve">It may be argued that the settler colonial paradigm does investigate processes, as, for instance, in Wolfe's three-phased genealogy of settler </w:t>
      </w:r>
      <w:r>
        <w:rPr>
          <w:sz w:val="20"/>
          <w:szCs w:val="20"/>
          <w:u w:val="single"/>
        </w:rPr>
        <w:t xml:space="preserve">domination. </w:t>
      </w:r>
      <w:r>
        <w:rPr>
          <w:sz w:val="20"/>
          <w:szCs w:val="20"/>
        </w:rPr>
        <w:t xml:space="preserve">But the problem with this genealogy is the majoritarian role the monologue of oppression plays in it.To become a truly critical enterprise, </w:t>
      </w:r>
      <w:r>
        <w:rPr>
          <w:sz w:val="20"/>
          <w:szCs w:val="20"/>
          <w:u w:val="single"/>
        </w:rPr>
        <w:t xml:space="preserve">settler colonial theory must foster an ethical sensibility towards the coexistence and competition of the myriad forces that aggregatively produce transformation or its arrest, and to translate this sensibility into </w:t>
      </w:r>
      <w:r>
        <w:rPr>
          <w:sz w:val="24"/>
          <w:u w:val="single"/>
        </w:rPr>
        <w:t>a new methodology. Deterritorialisations and reterritorialisations occur, as Deleuze and Guattari explain, as ‘strictly complementary and coexistent, because one exists only as a function of the other’.</w:t>
      </w:r>
      <w:hyperlink r:id="rId11">
        <w:r>
          <w:rPr>
            <w:sz w:val="24"/>
            <w:u w:val="single"/>
          </w:rPr>
          <w:t>60</w:t>
        </w:r>
      </w:hyperlink>
      <w:r>
        <w:rPr>
          <w:sz w:val="24"/>
          <w:u w:val="single"/>
        </w:rPr>
        <w:t xml:space="preserve"> </w:t>
      </w:r>
      <w:r>
        <w:rPr>
          <w:sz w:val="24"/>
          <w:highlight w:val="yellow"/>
          <w:u w:val="single"/>
        </w:rPr>
        <w:t>This ontological perspective may promote in settler colonial studies interpretations that acknowledge the multiplicity of the field of forces manufacturing the social</w:t>
      </w:r>
      <w:r>
        <w:rPr>
          <w:sz w:val="24"/>
          <w:highlight w:val="yellow"/>
        </w:rPr>
        <w:t>.</w:t>
      </w:r>
      <w:r>
        <w:rPr>
          <w:sz w:val="24"/>
        </w:rPr>
        <w:t xml:space="preserve"> Deleuze and Guattari add: </w:t>
      </w:r>
      <w:r>
        <w:rPr>
          <w:sz w:val="24"/>
          <w:highlight w:val="yellow"/>
        </w:rPr>
        <w:t>‘It is in terms not of independence, but of coexistence and competition</w:t>
      </w:r>
      <w:r>
        <w:rPr>
          <w:sz w:val="24"/>
        </w:rPr>
        <w:t xml:space="preserve"> in a perpetual field of interaction, </w:t>
      </w:r>
      <w:r>
        <w:rPr>
          <w:sz w:val="24"/>
          <w:highlight w:val="yellow"/>
        </w:rPr>
        <w:t xml:space="preserve">that </w:t>
      </w:r>
      <w:r>
        <w:rPr>
          <w:sz w:val="24"/>
          <w:highlight w:val="yellow"/>
          <w:u w:val="single"/>
        </w:rPr>
        <w:t>we must conceive of exteriority and interiority,</w:t>
      </w:r>
      <w:r>
        <w:rPr>
          <w:sz w:val="24"/>
          <w:u w:val="single"/>
        </w:rPr>
        <w:t xml:space="preserve"> war machines of metamorphosis and state apparatuses of identity’.</w:t>
      </w:r>
      <w:hyperlink r:id="rId12">
        <w:r>
          <w:rPr>
            <w:sz w:val="24"/>
            <w:u w:val="single"/>
          </w:rPr>
          <w:t>61</w:t>
        </w:r>
      </w:hyperlink>
      <w:r>
        <w:rPr>
          <w:sz w:val="24"/>
          <w:u w:val="single"/>
        </w:rPr>
        <w:t xml:space="preserve"> The question is how to translate this ontology of social forces and flows into a model for what we commonly term ‘resistance’.</w:t>
      </w:r>
      <w:r>
        <w:rPr>
          <w:sz w:val="16"/>
          <w:szCs w:val="16"/>
        </w:rPr>
        <w:t xml:space="preserve">The problem of theory with ‘phenomena of resistance’ is not only how we conceptualise the material and discursive </w:t>
      </w:r>
      <w:r>
        <w:rPr>
          <w:sz w:val="12"/>
          <w:szCs w:val="12"/>
        </w:rPr>
        <w:t>manifestations of these phenomena and their potentialities, but also how we carry the linguistic burden of a concept – resistance – that etymologically and semantically, in all its various fields of application, speaks of ‘opposition to’ an acknowledged arrangement of organised force (electrical current, motion of solids or fluids, erosion, political power, and so forth). This convention is indeed problematic not only because there is more to ‘phenomena of resistance’ than operations of counterattack, but also because operations of counterattack have a low liberatory theoretical status, or as Wolfe puts it, because ‘in generating its own resistance, settler-colonial power also contains it'.</w:t>
      </w:r>
      <w:hyperlink r:id="rId13">
        <w:r>
          <w:rPr>
            <w:sz w:val="12"/>
            <w:szCs w:val="12"/>
          </w:rPr>
          <w:t>62</w:t>
        </w:r>
      </w:hyperlink>
      <w:r>
        <w:rPr>
          <w:sz w:val="12"/>
          <w:szCs w:val="12"/>
        </w:rPr>
        <w:t xml:space="preserve"> In my attempt to develop a model for ‘phenomena of resistance’, I propose firstly to retain the term resistance as employed in public discourse, and also in the humanities and the social sciences. In retaining the name of resistance for ‘phenomena of resistance’, I aim to challenge not only the straightjacket of designation (or denotation), but also the cuff of existent significations that make resistance as ‘opposition to’ to be the condition of truth and falsehood of the phenomena.</w:t>
      </w:r>
      <w:hyperlink r:id="rId14">
        <w:r>
          <w:rPr>
            <w:sz w:val="12"/>
            <w:szCs w:val="12"/>
          </w:rPr>
          <w:t>63</w:t>
        </w:r>
      </w:hyperlink>
      <w:r>
        <w:rPr>
          <w:sz w:val="12"/>
          <w:szCs w:val="12"/>
        </w:rPr>
        <w:t xml:space="preserve"> Secondly, beyond controversies over the term resistance, what matters is the </w:t>
      </w:r>
      <w:r>
        <w:rPr>
          <w:i/>
          <w:sz w:val="12"/>
          <w:szCs w:val="12"/>
        </w:rPr>
        <w:t>sense</w:t>
      </w:r>
      <w:r>
        <w:rPr>
          <w:sz w:val="12"/>
          <w:szCs w:val="12"/>
        </w:rPr>
        <w:t xml:space="preserve"> of ‘phenomena of resistance’, that is, an affection of dis-alignment of bodies (material and non-material bodies) in relation to common sense and the consensual patterns and directions</w:t>
      </w:r>
      <w:r>
        <w:rPr>
          <w:sz w:val="16"/>
          <w:szCs w:val="16"/>
        </w:rPr>
        <w:t xml:space="preserve"> of </w:t>
      </w:r>
      <w:r>
        <w:rPr>
          <w:sz w:val="24"/>
        </w:rPr>
        <w:t>society.</w:t>
      </w:r>
      <w:hyperlink r:id="rId15">
        <w:r>
          <w:rPr>
            <w:sz w:val="24"/>
          </w:rPr>
          <w:t>64</w:t>
        </w:r>
      </w:hyperlink>
      <w:r>
        <w:rPr>
          <w:sz w:val="24"/>
        </w:rPr>
        <w:t xml:space="preserve"> I</w:t>
      </w:r>
      <w:r>
        <w:rPr>
          <w:sz w:val="24"/>
          <w:highlight w:val="yellow"/>
          <w:u w:val="single"/>
        </w:rPr>
        <w:t>n resistance, as Deleuze put it, we resist ‘the temptation against being forced’ in the majoritarian directions of society and popular opinion</w:t>
      </w:r>
      <w:r>
        <w:rPr>
          <w:sz w:val="24"/>
        </w:rPr>
        <w:t>.</w:t>
      </w:r>
      <w:hyperlink r:id="rId16">
        <w:r>
          <w:rPr>
            <w:sz w:val="24"/>
          </w:rPr>
          <w:t>65</w:t>
        </w:r>
      </w:hyperlink>
      <w:r>
        <w:rPr>
          <w:sz w:val="16"/>
          <w:szCs w:val="16"/>
        </w:rPr>
        <w:t xml:space="preserve">To move this discussion one step forward, we would need to provide an answer to the problem of the location of the initial gesture of dis-alignment. Given the arrangements of power, I would like to argue that ‘phenomena of resistance’ or dis-alignment may take place both before and after processes of capture, organisation and signification by forces operating in the space of interiority of systems. This suggestion risks being seen as going against Deleuze and Guattari's choices: in 1977 Deleuze writes to Foucault in a letter, I </w:t>
      </w:r>
      <w:r>
        <w:rPr>
          <w:sz w:val="24"/>
        </w:rPr>
        <w:t xml:space="preserve">myself don't wonder about the status resistance phenomena may have, since </w:t>
      </w:r>
      <w:r>
        <w:rPr>
          <w:sz w:val="24"/>
          <w:highlight w:val="yellow"/>
          <w:u w:val="single"/>
        </w:rPr>
        <w:t>flights line are the first determinations, since desire assembles the social field, power arrangement are both products of these assemblages and that which stamps them out or seal them up</w:t>
      </w:r>
      <w:r>
        <w:rPr>
          <w:sz w:val="24"/>
        </w:rPr>
        <w:t>.</w:t>
      </w:r>
      <w:hyperlink r:id="rId17">
        <w:r>
          <w:rPr>
            <w:sz w:val="24"/>
          </w:rPr>
          <w:t>66</w:t>
        </w:r>
      </w:hyperlink>
    </w:p>
    <w:p w14:paraId="57286BBB" w14:textId="77777777" w:rsidR="00612A71" w:rsidRDefault="00612A71" w:rsidP="00612A71">
      <w:pPr>
        <w:rPr>
          <w:sz w:val="16"/>
          <w:szCs w:val="16"/>
        </w:rPr>
      </w:pPr>
      <w:r>
        <w:rPr>
          <w:sz w:val="24"/>
          <w:u w:val="single"/>
        </w:rPr>
        <w:t>Lines of flights come first, power stratifies them after.</w:t>
      </w:r>
      <w:r>
        <w:rPr>
          <w:sz w:val="24"/>
        </w:rPr>
        <w:t xml:space="preserve"> Three years after, in </w:t>
      </w:r>
      <w:r>
        <w:rPr>
          <w:i/>
          <w:sz w:val="24"/>
        </w:rPr>
        <w:t>A Thousand Plateaus</w:t>
      </w:r>
      <w:r>
        <w:rPr>
          <w:sz w:val="24"/>
        </w:rPr>
        <w:t xml:space="preserve"> Deleuze and Guattari ratify this view that ‘</w:t>
      </w:r>
      <w:r>
        <w:rPr>
          <w:sz w:val="24"/>
          <w:highlight w:val="yellow"/>
          <w:u w:val="single"/>
        </w:rPr>
        <w:t xml:space="preserve">power is a stratified dimension of </w:t>
      </w:r>
      <w:r>
        <w:rPr>
          <w:sz w:val="24"/>
          <w:highlight w:val="yellow"/>
          <w:u w:val="single"/>
        </w:rPr>
        <w:lastRenderedPageBreak/>
        <w:t>the assemblage’</w:t>
      </w:r>
      <w:r>
        <w:rPr>
          <w:sz w:val="24"/>
          <w:u w:val="single"/>
        </w:rPr>
        <w:t xml:space="preserve">, and that </w:t>
      </w:r>
      <w:r>
        <w:rPr>
          <w:sz w:val="24"/>
          <w:highlight w:val="yellow"/>
          <w:u w:val="single"/>
        </w:rPr>
        <w:t>‘lines of flight are primary’</w:t>
      </w:r>
      <w:r>
        <w:rPr>
          <w:sz w:val="24"/>
          <w:u w:val="single"/>
        </w:rPr>
        <w:t>, that lines of flights ‘are not phenomena of resistance and counterattack</w:t>
      </w:r>
      <w:r>
        <w:rPr>
          <w:sz w:val="24"/>
        </w:rPr>
        <w:t>’.</w:t>
      </w:r>
      <w:hyperlink r:id="rId18">
        <w:r>
          <w:rPr>
            <w:sz w:val="24"/>
          </w:rPr>
          <w:t>67</w:t>
        </w:r>
      </w:hyperlink>
      <w:r>
        <w:rPr>
          <w:sz w:val="24"/>
        </w:rPr>
        <w:t xml:space="preserve">Hence, here they distinguish between flow/forces that </w:t>
      </w:r>
      <w:r>
        <w:rPr>
          <w:sz w:val="16"/>
          <w:szCs w:val="16"/>
        </w:rPr>
        <w:t xml:space="preserve">in their nature are pre-capture, and other forces – of resistance or counterattack – operating as a reaction to power arrangements. Again, it is commonplace to see this distinction as a cautionary measure against mixing up always-already reterritorialised challenges of power with the exteriority of lines of flights. But this distinction omits some materialisations of ‘phenomena of resistance’. I would like to suggest that three </w:t>
      </w:r>
      <w:r>
        <w:rPr>
          <w:i/>
          <w:sz w:val="16"/>
          <w:szCs w:val="16"/>
        </w:rPr>
        <w:t>modus operandi</w:t>
      </w:r>
      <w:r>
        <w:rPr>
          <w:sz w:val="16"/>
          <w:szCs w:val="16"/>
        </w:rPr>
        <w:t xml:space="preserve"> under the general name of resistance derive from this view on social flows and forces.</w:t>
      </w:r>
      <w:r>
        <w:rPr>
          <w:sz w:val="24"/>
        </w:rPr>
        <w:t>The first form of resistance is Deleuze and Guattari's lines of flights, or resistance ‘A’: as Ronnen Ben-Arie explains following Deleuze and Guattari, ‘</w:t>
      </w:r>
      <w:r>
        <w:rPr>
          <w:sz w:val="24"/>
          <w:highlight w:val="yellow"/>
          <w:u w:val="single"/>
        </w:rPr>
        <w:t>there is always an excess of flows and forces that escape the mechanisms of organisation, codification and management’ of power</w:t>
      </w:r>
      <w:r>
        <w:rPr>
          <w:sz w:val="24"/>
        </w:rPr>
        <w:t>;</w:t>
      </w:r>
      <w:hyperlink r:id="rId19">
        <w:r>
          <w:rPr>
            <w:sz w:val="24"/>
          </w:rPr>
          <w:t>68</w:t>
        </w:r>
      </w:hyperlink>
      <w:r>
        <w:rPr>
          <w:sz w:val="24"/>
        </w:rPr>
        <w:t xml:space="preserve"> </w:t>
      </w:r>
      <w:r>
        <w:rPr>
          <w:sz w:val="24"/>
          <w:u w:val="single"/>
        </w:rPr>
        <w:t>‘there is always something that flows or flees; that escapes the binary organizations’.</w:t>
      </w:r>
      <w:hyperlink r:id="rId20">
        <w:r>
          <w:rPr>
            <w:sz w:val="24"/>
            <w:u w:val="single"/>
          </w:rPr>
          <w:t>69</w:t>
        </w:r>
      </w:hyperlink>
      <w:r>
        <w:rPr>
          <w:sz w:val="24"/>
          <w:u w:val="single"/>
        </w:rPr>
        <w:t xml:space="preserve"> It is this excess, produced as external to the operations of systems, that eludes the attempts of power to organise and codify it.</w:t>
      </w:r>
      <w:r>
        <w:rPr>
          <w:sz w:val="24"/>
        </w:rPr>
        <w:t xml:space="preserve"> In their nature, these movements of life do not retaliate directly against state power – though doubtless they do not dwell in a state of unawareness in relation to it.</w:t>
      </w:r>
      <w:r>
        <w:rPr>
          <w:sz w:val="24"/>
          <w:u w:val="single"/>
        </w:rPr>
        <w:t xml:space="preserve"> But</w:t>
      </w:r>
      <w:r>
        <w:rPr>
          <w:sz w:val="24"/>
          <w:highlight w:val="yellow"/>
          <w:u w:val="single"/>
        </w:rPr>
        <w:t xml:space="preserve"> they challenge power by speaking and acting outside of the common institutional and normative boundaries</w:t>
      </w:r>
      <w:r>
        <w:rPr>
          <w:sz w:val="24"/>
        </w:rPr>
        <w:t xml:space="preserve">. One example of </w:t>
      </w:r>
      <w:r>
        <w:rPr>
          <w:sz w:val="10"/>
          <w:szCs w:val="10"/>
        </w:rPr>
        <w:t>this resistance is the Boycotts, Divestments and Sanctions movement (BDS), led by Palestinian civil society since 2005. BDS weakens the dominance of the normative discourse about Israel-Palestine in the international arena because it refuses to engage with the traditional topics and assumptions of that discourse while at the same time it confronts Israel's violence on a new terrain of action in which Israel finds itself struggling.</w:t>
      </w:r>
      <w:hyperlink r:id="rId21">
        <w:r>
          <w:rPr>
            <w:sz w:val="10"/>
            <w:szCs w:val="10"/>
          </w:rPr>
          <w:t>70</w:t>
        </w:r>
      </w:hyperlink>
      <w:r>
        <w:rPr>
          <w:sz w:val="10"/>
          <w:szCs w:val="10"/>
        </w:rPr>
        <w:t xml:space="preserve"> The Palestinian efforts to build economic and social self-sufficiency and independence in the West Bank and Gaza is yet another example of civil resistance that does not face Israeli power directly, and in fact, it is a form of resistance that forces Israel to react.</w:t>
      </w:r>
      <w:hyperlink r:id="rId22">
        <w:r>
          <w:rPr>
            <w:sz w:val="10"/>
            <w:szCs w:val="10"/>
          </w:rPr>
          <w:t>71</w:t>
        </w:r>
      </w:hyperlink>
      <w:r>
        <w:rPr>
          <w:sz w:val="10"/>
          <w:szCs w:val="10"/>
        </w:rPr>
        <w:t xml:space="preserve"> Yet, these forms do not exhaust the entirety of forces misaligning with state power; the two remaining forms of resistance gesture their motion as countering forces. Resistance ‘B’: these are displays of resistance compelling majoritarian forces to adjust and at times to redefine themselves, even if this is a countering operation still functioning within the space of interiority of state power. In the Palestinian case, Supreme Court appeals countering unjust laws and policies, is a classic attempt to actualise this type of resistance. Resistance ‘C’: these displays of resistance become actualised in the way Wolfe conceives it, that is, they remain locked in the space of interiority of state power (or other systems) without affecting bodies in any significant way.</w:t>
      </w:r>
      <w:hyperlink r:id="rId23">
        <w:r>
          <w:rPr>
            <w:sz w:val="10"/>
            <w:szCs w:val="10"/>
          </w:rPr>
          <w:t>72</w:t>
        </w:r>
      </w:hyperlink>
      <w:r>
        <w:rPr>
          <w:sz w:val="10"/>
          <w:szCs w:val="10"/>
        </w:rPr>
        <w:t xml:space="preserve"> For instance, the main aspects of the actions led by the Zionist left in Israel fall into this category. These operations take the name of resistance in vain.Whether we produce lines of flight or adjacent existential territories to the system (resistance ‘A’), or we force it to deflect (resistance ‘B’), we create dis-alignments in relation to the arrangements of power. It is in this way I suggest listening to Deleuze in </w:t>
      </w:r>
      <w:r>
        <w:rPr>
          <w:i/>
          <w:sz w:val="10"/>
          <w:szCs w:val="10"/>
        </w:rPr>
        <w:t>L'Abécédaire</w:t>
      </w:r>
      <w:r>
        <w:rPr>
          <w:sz w:val="10"/>
          <w:szCs w:val="10"/>
        </w:rPr>
        <w:t xml:space="preserve">, seven years after the publication of </w:t>
      </w:r>
      <w:r>
        <w:rPr>
          <w:i/>
          <w:sz w:val="10"/>
          <w:szCs w:val="10"/>
        </w:rPr>
        <w:t>A Thousand Plateaus</w:t>
      </w:r>
      <w:r>
        <w:rPr>
          <w:sz w:val="10"/>
          <w:szCs w:val="10"/>
        </w:rPr>
        <w:t>, when answering Claire Parnet's question (‘what do we resist exactly?’): ‘whenever one creates, one resists’.</w:t>
      </w:r>
      <w:hyperlink r:id="rId24">
        <w:r>
          <w:rPr>
            <w:sz w:val="10"/>
            <w:szCs w:val="10"/>
          </w:rPr>
          <w:t>73</w:t>
        </w:r>
      </w:hyperlink>
      <w:r>
        <w:rPr>
          <w:sz w:val="10"/>
          <w:szCs w:val="10"/>
        </w:rPr>
        <w:t xml:space="preserve"> A caveat and a conclusion in regard to this model of resistance are of relevance at this point: we should not see the three modes as each corresponding to a different homogenous and shut-off operation of resistance. That is, the three modes of affection of resistance are not mutually exclusive, and in fact, are to be found always-already intermingling at different and changing intensities and degrees in any action that at </w:t>
      </w:r>
      <w:r>
        <w:rPr>
          <w:i/>
          <w:sz w:val="10"/>
          <w:szCs w:val="10"/>
        </w:rPr>
        <w:t>prima facie</w:t>
      </w:r>
      <w:r>
        <w:rPr>
          <w:sz w:val="10"/>
          <w:szCs w:val="10"/>
        </w:rPr>
        <w:t xml:space="preserve"> is claimed to challenge power. We rarely find a pure operation of resistance. For instance, elsewhere I have analysed the operations of resistance of the Arab-Jewish bilingual schools in Israel and there I noted that while some aspects of these assemblages invest in weaving new forms of cooperation and lifestyles, these are being partially stifled by the interests of identity and ethnicity.</w:t>
      </w:r>
      <w:hyperlink r:id="rId25">
        <w:r>
          <w:rPr>
            <w:sz w:val="10"/>
            <w:szCs w:val="10"/>
          </w:rPr>
          <w:t>74</w:t>
        </w:r>
      </w:hyperlink>
      <w:r>
        <w:rPr>
          <w:sz w:val="10"/>
          <w:szCs w:val="10"/>
        </w:rPr>
        <w:t xml:space="preserve"> The history of the Palestinian armed struggle is replete with lines of flights and reterritorialisations; the undertakings of legendary leader Izz al-Din al-Qassam who in the early 1930s called for armed revolt were ground-breaking both in creating alternative territories of leadership (i.e. rural vs. urban), and in organising farmers displaced by Zionist takeovers of land.</w:t>
      </w:r>
      <w:hyperlink r:id="rId26">
        <w:r>
          <w:rPr>
            <w:sz w:val="10"/>
            <w:szCs w:val="10"/>
          </w:rPr>
          <w:t>75</w:t>
        </w:r>
      </w:hyperlink>
      <w:r>
        <w:rPr>
          <w:sz w:val="10"/>
          <w:szCs w:val="10"/>
        </w:rPr>
        <w:t xml:space="preserve"> More generally, Yezid Sayigh's thesis is that the armed struggle was pivotal in the building a national Palestinian persona, even though it proved many times to carry a too high price for the Palestinian people to bear.</w:t>
      </w:r>
      <w:hyperlink r:id="rId27">
        <w:r>
          <w:rPr>
            <w:sz w:val="10"/>
            <w:szCs w:val="10"/>
          </w:rPr>
          <w:t>76</w:t>
        </w:r>
      </w:hyperlink>
      <w:r>
        <w:rPr>
          <w:sz w:val="24"/>
        </w:rPr>
        <w:t xml:space="preserve"> </w:t>
      </w:r>
      <w:r>
        <w:rPr>
          <w:sz w:val="24"/>
          <w:u w:val="single"/>
        </w:rPr>
        <w:t>Therefore,</w:t>
      </w:r>
      <w:r>
        <w:rPr>
          <w:sz w:val="24"/>
          <w:highlight w:val="yellow"/>
          <w:u w:val="single"/>
        </w:rPr>
        <w:t xml:space="preserve"> acts of resistance need to be analysed in their complexity to diagnose how and to what extent they submit to, confront or evade power.</w:t>
      </w:r>
      <w:r>
        <w:rPr>
          <w:sz w:val="24"/>
          <w:u w:val="single"/>
        </w:rPr>
        <w:t xml:space="preserve"> In other words, </w:t>
      </w:r>
      <w:r>
        <w:rPr>
          <w:sz w:val="24"/>
          <w:highlight w:val="yellow"/>
          <w:u w:val="single"/>
        </w:rPr>
        <w:t>betrayal, confrontation, and escape are forms of affection</w:t>
      </w:r>
      <w:r>
        <w:rPr>
          <w:sz w:val="24"/>
          <w:u w:val="single"/>
        </w:rPr>
        <w:t xml:space="preserve"> specific of forces misaligning with state power.</w:t>
      </w:r>
      <w:r>
        <w:rPr>
          <w:sz w:val="24"/>
        </w:rPr>
        <w:t xml:space="preserve"> In addition, we can already see where this model of resistance is taking </w:t>
      </w:r>
      <w:r>
        <w:rPr>
          <w:sz w:val="16"/>
          <w:szCs w:val="16"/>
        </w:rPr>
        <w:t>us in terms of conducting a full analysis of social formations: for such an analysis not to be deficient, it must take account of resistance in all its forms, of the organisations of power, and of the dynamics between the two forms of arrangement.</w:t>
      </w:r>
    </w:p>
    <w:p w14:paraId="44B9BD93" w14:textId="77777777" w:rsidR="00612A71" w:rsidRDefault="00612A71" w:rsidP="00612A71">
      <w:pPr>
        <w:rPr>
          <w:sz w:val="24"/>
        </w:rPr>
      </w:pPr>
    </w:p>
    <w:p w14:paraId="24AA85AC" w14:textId="77777777" w:rsidR="00612A71" w:rsidRDefault="00612A71" w:rsidP="00612A71">
      <w:pPr>
        <w:pStyle w:val="Heading4"/>
      </w:pPr>
      <w:bookmarkStart w:id="0" w:name="_4k67xodjzuqa" w:colFirst="0" w:colLast="0"/>
      <w:bookmarkEnd w:id="0"/>
      <w:r>
        <w:t xml:space="preserve">Settler colonialism arguments based on binary identities fail to take into account that settlerism can apply to everyone, and anthropocentrism ignores the Indigenous focus on land and nature. </w:t>
      </w:r>
    </w:p>
    <w:p w14:paraId="1B45A23A" w14:textId="2F7CE757" w:rsidR="00612A71" w:rsidRDefault="00612A71" w:rsidP="00612A71">
      <w:pPr>
        <w:keepNext/>
        <w:keepLines/>
        <w:spacing w:line="308" w:lineRule="auto"/>
        <w:rPr>
          <w:rFonts w:ascii="Georgia" w:eastAsia="Georgia" w:hAnsi="Georgia" w:cs="Georgia"/>
          <w:sz w:val="18"/>
          <w:szCs w:val="18"/>
        </w:rPr>
      </w:pPr>
      <w:r>
        <w:rPr>
          <w:rFonts w:ascii="Georgia" w:eastAsia="Georgia" w:hAnsi="Georgia" w:cs="Georgia"/>
          <w:b/>
          <w:sz w:val="24"/>
        </w:rPr>
        <w:t>Paperson 17</w:t>
      </w:r>
      <w:r>
        <w:rPr>
          <w:rFonts w:ascii="Georgia" w:eastAsia="Georgia" w:hAnsi="Georgia" w:cs="Georgia"/>
        </w:rPr>
        <w:t xml:space="preserve"> </w:t>
      </w:r>
      <w:r>
        <w:rPr>
          <w:rFonts w:ascii="Georgia" w:eastAsia="Georgia" w:hAnsi="Georgia" w:cs="Georgia"/>
          <w:sz w:val="18"/>
          <w:szCs w:val="18"/>
        </w:rPr>
        <w:t xml:space="preserve">(la paperson and K. Wayne Yang, UCSD Ethnic Studies Professor. “A Third University Is Possible” Published 2017. Section: </w:t>
      </w:r>
      <w:hyperlink r:id="rId28" w:anchor="toc">
        <w:r>
          <w:rPr>
            <w:rFonts w:ascii="Georgia" w:eastAsia="Georgia" w:hAnsi="Georgia" w:cs="Georgia"/>
            <w:sz w:val="18"/>
            <w:szCs w:val="18"/>
          </w:rPr>
          <w:t>Settler Colonialism Is a Set of Technologies</w:t>
        </w:r>
      </w:hyperlink>
      <w:r>
        <w:rPr>
          <w:rFonts w:ascii="Georgia" w:eastAsia="Georgia" w:hAnsi="Georgia" w:cs="Georgia"/>
          <w:sz w:val="18"/>
          <w:szCs w:val="18"/>
        </w:rPr>
        <w:t>, The Settler–Native–Slave Triad Does Not Describe Identities</w:t>
      </w:r>
    </w:p>
    <w:p w14:paraId="4F9ACBCE" w14:textId="65C3BD95" w:rsidR="00612A71" w:rsidRDefault="00612A71" w:rsidP="00612A71">
      <w:pPr>
        <w:rPr>
          <w:rFonts w:ascii="Georgia" w:eastAsia="Georgia" w:hAnsi="Georgia" w:cs="Georgia"/>
          <w:sz w:val="18"/>
          <w:szCs w:val="18"/>
        </w:rPr>
      </w:pPr>
      <w:r>
        <w:rPr>
          <w:rFonts w:ascii="Georgia" w:eastAsia="Georgia" w:hAnsi="Georgia" w:cs="Georgia"/>
          <w:sz w:val="18"/>
          <w:szCs w:val="18"/>
        </w:rPr>
        <w:t>https://manifold.umn.edu/read/7ba69a54-7131-4598-9fec-815890725d91/section/e33f977a-532b-4b87-b108-f106337d9e53#ch01)</w:t>
      </w:r>
    </w:p>
    <w:p w14:paraId="0089871D" w14:textId="77777777" w:rsidR="00612A71" w:rsidRDefault="00612A71" w:rsidP="00612A71">
      <w:pPr>
        <w:ind w:firstLine="220"/>
        <w:jc w:val="both"/>
        <w:rPr>
          <w:rFonts w:ascii="Times New Roman" w:eastAsia="Times New Roman" w:hAnsi="Times New Roman" w:cs="Times New Roman"/>
          <w:color w:val="363636"/>
          <w:sz w:val="24"/>
        </w:rPr>
      </w:pPr>
      <w:r>
        <w:rPr>
          <w:rFonts w:ascii="Times New Roman" w:eastAsia="Times New Roman" w:hAnsi="Times New Roman" w:cs="Times New Roman"/>
          <w:color w:val="363636"/>
          <w:sz w:val="24"/>
        </w:rPr>
        <w:t>For grasping the twisted plotlines written by colonialism,</w:t>
      </w:r>
      <w:r>
        <w:rPr>
          <w:rFonts w:ascii="Times New Roman" w:eastAsia="Times New Roman" w:hAnsi="Times New Roman" w:cs="Times New Roman"/>
          <w:color w:val="363636"/>
          <w:sz w:val="24"/>
          <w:u w:val="single"/>
        </w:rPr>
        <w:t xml:space="preserve"> </w:t>
      </w:r>
      <w:r>
        <w:rPr>
          <w:rFonts w:ascii="Times New Roman" w:eastAsia="Times New Roman" w:hAnsi="Times New Roman" w:cs="Times New Roman"/>
          <w:color w:val="363636"/>
          <w:sz w:val="24"/>
          <w:highlight w:val="yellow"/>
          <w:u w:val="single"/>
        </w:rPr>
        <w:t xml:space="preserve">the </w:t>
      </w:r>
      <w:r>
        <w:rPr>
          <w:rFonts w:ascii="Times New Roman" w:eastAsia="Times New Roman" w:hAnsi="Times New Roman" w:cs="Times New Roman"/>
          <w:i/>
          <w:color w:val="363636"/>
          <w:sz w:val="24"/>
          <w:highlight w:val="yellow"/>
          <w:u w:val="single"/>
        </w:rPr>
        <w:t>settler–native–slave triad</w:t>
      </w:r>
      <w:r>
        <w:rPr>
          <w:rFonts w:ascii="Times New Roman" w:eastAsia="Times New Roman" w:hAnsi="Times New Roman" w:cs="Times New Roman"/>
          <w:color w:val="363636"/>
          <w:sz w:val="24"/>
          <w:u w:val="single"/>
        </w:rPr>
        <w:t xml:space="preserve"> is one of the most useful and most problematic heuristics in settler colonial studies</w:t>
      </w:r>
      <w:r>
        <w:rPr>
          <w:rFonts w:ascii="Times New Roman" w:eastAsia="Times New Roman" w:hAnsi="Times New Roman" w:cs="Times New Roman"/>
          <w:color w:val="363636"/>
          <w:sz w:val="24"/>
        </w:rPr>
        <w:t xml:space="preserve">. This triad is useful </w:t>
      </w:r>
      <w:r>
        <w:rPr>
          <w:rFonts w:ascii="Times New Roman" w:eastAsia="Times New Roman" w:hAnsi="Times New Roman" w:cs="Times New Roman"/>
          <w:color w:val="363636"/>
          <w:sz w:val="16"/>
          <w:szCs w:val="16"/>
        </w:rPr>
        <w:t xml:space="preserve">because it quickly describes the crooked relationships constructed by settler colonialism: the settler who </w:t>
      </w:r>
      <w:r>
        <w:rPr>
          <w:rFonts w:ascii="Times New Roman" w:eastAsia="Times New Roman" w:hAnsi="Times New Roman" w:cs="Times New Roman"/>
          <w:color w:val="363636"/>
          <w:sz w:val="16"/>
          <w:szCs w:val="16"/>
        </w:rPr>
        <w:lastRenderedPageBreak/>
        <w:t xml:space="preserve">accumulates rights, land, and property; the native whose presence on land must be </w:t>
      </w:r>
      <w:r>
        <w:rPr>
          <w:rFonts w:ascii="Times New Roman" w:eastAsia="Times New Roman" w:hAnsi="Times New Roman" w:cs="Times New Roman"/>
          <w:color w:val="363636"/>
          <w:sz w:val="24"/>
        </w:rPr>
        <w:t xml:space="preserve">extinguished; the chattel slave who must be kept landless. </w:t>
      </w:r>
      <w:r>
        <w:rPr>
          <w:rFonts w:ascii="Times New Roman" w:eastAsia="Times New Roman" w:hAnsi="Times New Roman" w:cs="Times New Roman"/>
          <w:color w:val="363636"/>
          <w:sz w:val="24"/>
          <w:u w:val="single"/>
        </w:rPr>
        <w:t xml:space="preserve">Although simple, it nonetheless quickly </w:t>
      </w:r>
      <w:r>
        <w:rPr>
          <w:rFonts w:ascii="Times New Roman" w:eastAsia="Times New Roman" w:hAnsi="Times New Roman" w:cs="Times New Roman"/>
          <w:color w:val="363636"/>
          <w:sz w:val="24"/>
          <w:highlight w:val="yellow"/>
          <w:u w:val="single"/>
        </w:rPr>
        <w:t>complicates the binaries in terms of which we are trained to think: oppressor–oppressed, black–white, settler–native.</w:t>
      </w:r>
      <w:r>
        <w:rPr>
          <w:rFonts w:ascii="Times New Roman" w:eastAsia="Times New Roman" w:hAnsi="Times New Roman" w:cs="Times New Roman"/>
          <w:color w:val="363636"/>
          <w:sz w:val="24"/>
          <w:u w:val="single"/>
        </w:rPr>
        <w:t xml:space="preserve"> Even though white supremacy might be a prime architect in the triad,</w:t>
      </w:r>
      <w:r>
        <w:rPr>
          <w:rFonts w:ascii="Times New Roman" w:eastAsia="Times New Roman" w:hAnsi="Times New Roman" w:cs="Times New Roman"/>
          <w:color w:val="363636"/>
          <w:sz w:val="24"/>
          <w:highlight w:val="yellow"/>
          <w:u w:val="single"/>
        </w:rPr>
        <w:t xml:space="preserve"> a triadic analysis decenters white supremacy as the</w:t>
      </w:r>
      <w:r>
        <w:rPr>
          <w:rFonts w:ascii="Times New Roman" w:eastAsia="Times New Roman" w:hAnsi="Times New Roman" w:cs="Times New Roman"/>
          <w:color w:val="363636"/>
          <w:sz w:val="24"/>
          <w:u w:val="single"/>
        </w:rPr>
        <w:t xml:space="preserve"> absolute pole or </w:t>
      </w:r>
      <w:r>
        <w:rPr>
          <w:rFonts w:ascii="Times New Roman" w:eastAsia="Times New Roman" w:hAnsi="Times New Roman" w:cs="Times New Roman"/>
          <w:color w:val="363636"/>
          <w:sz w:val="24"/>
          <w:highlight w:val="yellow"/>
          <w:u w:val="single"/>
        </w:rPr>
        <w:t>umbrella of oppression. Instead, it shows our skewed participation in the colonization of other peoples</w:t>
      </w:r>
      <w:r>
        <w:rPr>
          <w:rFonts w:ascii="Times New Roman" w:eastAsia="Times New Roman" w:hAnsi="Times New Roman" w:cs="Times New Roman"/>
          <w:color w:val="363636"/>
          <w:sz w:val="24"/>
          <w:u w:val="single"/>
        </w:rPr>
        <w:t xml:space="preserve"> and places. </w:t>
      </w:r>
      <w:r>
        <w:rPr>
          <w:rFonts w:ascii="Times New Roman" w:eastAsia="Times New Roman" w:hAnsi="Times New Roman" w:cs="Times New Roman"/>
          <w:color w:val="363636"/>
          <w:sz w:val="24"/>
          <w:highlight w:val="yellow"/>
          <w:u w:val="single"/>
        </w:rPr>
        <w:t>We are all complicit, just some of us a lot more than others.</w:t>
      </w:r>
      <w:r>
        <w:rPr>
          <w:rFonts w:ascii="Times New Roman" w:eastAsia="Times New Roman" w:hAnsi="Times New Roman" w:cs="Times New Roman"/>
          <w:color w:val="363636"/>
          <w:sz w:val="24"/>
          <w:u w:val="single"/>
        </w:rPr>
        <w:t xml:space="preserve"> </w:t>
      </w:r>
      <w:r>
        <w:rPr>
          <w:rFonts w:ascii="Times New Roman" w:eastAsia="Times New Roman" w:hAnsi="Times New Roman" w:cs="Times New Roman"/>
          <w:color w:val="363636"/>
          <w:sz w:val="24"/>
        </w:rPr>
        <w:t>We can think of the triad as a quick sketch of colonialism on a napkin. It is useful for drawing attention to a complicated problem and for disrupting other paradigms. That is about how useful it is.</w:t>
      </w:r>
    </w:p>
    <w:p w14:paraId="37111EE1" w14:textId="77777777" w:rsidR="00612A71" w:rsidRDefault="00612A71" w:rsidP="00612A71">
      <w:pPr>
        <w:ind w:firstLine="220"/>
        <w:jc w:val="both"/>
        <w:rPr>
          <w:rFonts w:ascii="Times New Roman" w:eastAsia="Times New Roman" w:hAnsi="Times New Roman" w:cs="Times New Roman"/>
          <w:color w:val="363636"/>
          <w:sz w:val="24"/>
          <w:u w:val="single"/>
        </w:rPr>
      </w:pPr>
      <w:r>
        <w:rPr>
          <w:rFonts w:ascii="Times New Roman" w:eastAsia="Times New Roman" w:hAnsi="Times New Roman" w:cs="Times New Roman"/>
          <w:color w:val="363636"/>
          <w:sz w:val="24"/>
        </w:rPr>
        <w:t>However, the settler–native–slave triad has also forwarded many problems, in large part because it seems to describe racial identities: settlers, Indigenous peoples, and Black people.</w:t>
      </w:r>
      <w:r>
        <w:rPr>
          <w:rFonts w:ascii="Times New Roman" w:eastAsia="Times New Roman" w:hAnsi="Times New Roman" w:cs="Times New Roman"/>
          <w:color w:val="363636"/>
          <w:sz w:val="24"/>
          <w:highlight w:val="yellow"/>
          <w:u w:val="single"/>
        </w:rPr>
        <w:t>Thinking of this triad as identities creates major pitfalls</w:t>
      </w:r>
      <w:r>
        <w:rPr>
          <w:rFonts w:ascii="Times New Roman" w:eastAsia="Times New Roman" w:hAnsi="Times New Roman" w:cs="Times New Roman"/>
          <w:color w:val="363636"/>
          <w:sz w:val="24"/>
        </w:rPr>
        <w:t xml:space="preserve">—four of which are pointed out in what follows. </w:t>
      </w:r>
      <w:r>
        <w:rPr>
          <w:rFonts w:ascii="Times New Roman" w:eastAsia="Times New Roman" w:hAnsi="Times New Roman" w:cs="Times New Roman"/>
          <w:color w:val="363636"/>
          <w:sz w:val="24"/>
          <w:highlight w:val="yellow"/>
          <w:u w:val="single"/>
        </w:rPr>
        <w:t>The most obvious is the misconstrued question, are Black people settlers?</w:t>
      </w:r>
      <w:r>
        <w:rPr>
          <w:rFonts w:ascii="Times New Roman" w:eastAsia="Times New Roman" w:hAnsi="Times New Roman" w:cs="Times New Roman"/>
          <w:color w:val="363636"/>
          <w:sz w:val="24"/>
          <w:u w:val="single"/>
        </w:rPr>
        <w:t xml:space="preserve"> This question is symptomatic of a pitfall of settler elision, where </w:t>
      </w:r>
      <w:r>
        <w:rPr>
          <w:rFonts w:ascii="Times New Roman" w:eastAsia="Times New Roman" w:hAnsi="Times New Roman" w:cs="Times New Roman"/>
          <w:color w:val="363636"/>
          <w:sz w:val="24"/>
          <w:highlight w:val="yellow"/>
          <w:u w:val="single"/>
        </w:rPr>
        <w:t xml:space="preserve">everyone non-Native is assumed to fit the category of settler: </w:t>
      </w:r>
      <w:r>
        <w:rPr>
          <w:rFonts w:ascii="Times New Roman" w:eastAsia="Times New Roman" w:hAnsi="Times New Roman" w:cs="Times New Roman"/>
          <w:color w:val="363636"/>
          <w:sz w:val="24"/>
          <w:u w:val="single"/>
        </w:rPr>
        <w:t xml:space="preserve">settlers = non-Natives = people of color = migrants of color = settlers of color = Black people. </w:t>
      </w:r>
      <w:r>
        <w:rPr>
          <w:rFonts w:ascii="Times New Roman" w:eastAsia="Times New Roman" w:hAnsi="Times New Roman" w:cs="Times New Roman"/>
          <w:color w:val="363636"/>
          <w:sz w:val="24"/>
          <w:highlight w:val="yellow"/>
          <w:u w:val="single"/>
        </w:rPr>
        <w:t xml:space="preserve">Such a question cannot reckon with how Black people are often confronted by the </w:t>
      </w:r>
      <w:r>
        <w:rPr>
          <w:rFonts w:ascii="Times New Roman" w:eastAsia="Times New Roman" w:hAnsi="Times New Roman" w:cs="Times New Roman"/>
          <w:i/>
          <w:color w:val="363636"/>
          <w:sz w:val="24"/>
          <w:highlight w:val="yellow"/>
          <w:u w:val="single"/>
        </w:rPr>
        <w:t>impossibility</w:t>
      </w:r>
      <w:r>
        <w:rPr>
          <w:rFonts w:ascii="Times New Roman" w:eastAsia="Times New Roman" w:hAnsi="Times New Roman" w:cs="Times New Roman"/>
          <w:color w:val="363636"/>
          <w:sz w:val="24"/>
          <w:highlight w:val="yellow"/>
          <w:u w:val="single"/>
        </w:rPr>
        <w:t xml:space="preserve"> of settlement, because antiblackness positions Black people as “out of place” on land</w:t>
      </w:r>
      <w:r>
        <w:rPr>
          <w:rFonts w:ascii="Times New Roman" w:eastAsia="Times New Roman" w:hAnsi="Times New Roman" w:cs="Times New Roman"/>
          <w:color w:val="363636"/>
          <w:sz w:val="24"/>
          <w:u w:val="single"/>
        </w:rPr>
        <w:t>.</w:t>
      </w:r>
      <w:r>
        <w:rPr>
          <w:rFonts w:ascii="Times New Roman" w:eastAsia="Times New Roman" w:hAnsi="Times New Roman" w:cs="Times New Roman"/>
          <w:color w:val="363636"/>
          <w:sz w:val="24"/>
        </w:rPr>
        <w:t xml:space="preserve">More revealing questions would be more specific: </w:t>
      </w:r>
      <w:r>
        <w:rPr>
          <w:rFonts w:ascii="Times New Roman" w:eastAsia="Times New Roman" w:hAnsi="Times New Roman" w:cs="Times New Roman"/>
          <w:color w:val="363636"/>
          <w:sz w:val="24"/>
          <w:highlight w:val="yellow"/>
          <w:u w:val="single"/>
        </w:rPr>
        <w:t>when and where have Black communities been settlers? When and where do they cease to be settlers? The same might be asked of other communities, Black and not, indeed, Indigenous and not. Such questions are not directly engaged by the triad</w:t>
      </w:r>
      <w:r>
        <w:rPr>
          <w:rFonts w:ascii="Times New Roman" w:eastAsia="Times New Roman" w:hAnsi="Times New Roman" w:cs="Times New Roman"/>
          <w:color w:val="363636"/>
          <w:sz w:val="24"/>
          <w:u w:val="single"/>
        </w:rPr>
        <w:t>, because “the slave” is not shorthand for a generalizable anywhere, anytime Black community anyway.</w:t>
      </w:r>
    </w:p>
    <w:p w14:paraId="26DA722F" w14:textId="77777777" w:rsidR="00612A71" w:rsidRDefault="00612A71" w:rsidP="00612A71">
      <w:pPr>
        <w:ind w:firstLine="220"/>
        <w:jc w:val="both"/>
        <w:rPr>
          <w:rFonts w:ascii="Times New Roman" w:eastAsia="Times New Roman" w:hAnsi="Times New Roman" w:cs="Times New Roman"/>
          <w:color w:val="363636"/>
          <w:sz w:val="24"/>
        </w:rPr>
      </w:pPr>
      <w:r>
        <w:rPr>
          <w:rFonts w:ascii="Times New Roman" w:eastAsia="Times New Roman" w:hAnsi="Times New Roman" w:cs="Times New Roman"/>
          <w:color w:val="363636"/>
          <w:sz w:val="24"/>
          <w:highlight w:val="yellow"/>
          <w:u w:val="single"/>
        </w:rPr>
        <w:t>We have another pitfall of turning the triad into an identity spectrum, where settler–native–slave are thought of as points on a graph</w:t>
      </w:r>
      <w:r>
        <w:rPr>
          <w:rFonts w:ascii="Times New Roman" w:eastAsia="Times New Roman" w:hAnsi="Times New Roman" w:cs="Times New Roman"/>
          <w:color w:val="363636"/>
          <w:sz w:val="24"/>
          <w:u w:val="single"/>
        </w:rPr>
        <w:t xml:space="preserve"> and individuals or ethnic groups can be located partway between different categories. </w:t>
      </w:r>
      <w:r>
        <w:rPr>
          <w:rFonts w:ascii="Times New Roman" w:eastAsia="Times New Roman" w:hAnsi="Times New Roman" w:cs="Times New Roman"/>
          <w:color w:val="363636"/>
          <w:sz w:val="24"/>
          <w:highlight w:val="yellow"/>
          <w:u w:val="single"/>
        </w:rPr>
        <w:t>Settler–native–slave technologies operate everywhere on everybody in intersecting, sometimes contradictory ways, and always with a dynamic specificity that radically changes with context.</w:t>
      </w:r>
      <w:r>
        <w:rPr>
          <w:rFonts w:ascii="Times New Roman" w:eastAsia="Times New Roman" w:hAnsi="Times New Roman" w:cs="Times New Roman"/>
          <w:color w:val="363636"/>
          <w:sz w:val="24"/>
          <w:highlight w:val="yellow"/>
        </w:rPr>
        <w:t xml:space="preserve"> </w:t>
      </w:r>
      <w:r>
        <w:rPr>
          <w:rFonts w:ascii="Times New Roman" w:eastAsia="Times New Roman" w:hAnsi="Times New Roman" w:cs="Times New Roman"/>
          <w:color w:val="363636"/>
          <w:sz w:val="24"/>
        </w:rPr>
        <w:t>Antiblack technologies operate on Mien people in Oakland, California, in 2016 differently from how antiblack/anti-Indigenous/pro-settler technologies might try to reconstruct Mien students into Asian students just a few miles away at UC Berkeley.</w:t>
      </w:r>
    </w:p>
    <w:p w14:paraId="255B4F37" w14:textId="77777777" w:rsidR="00612A71" w:rsidRDefault="00612A71" w:rsidP="00612A71">
      <w:pPr>
        <w:ind w:firstLine="220"/>
        <w:jc w:val="both"/>
        <w:rPr>
          <w:rFonts w:ascii="Times New Roman" w:eastAsia="Times New Roman" w:hAnsi="Times New Roman" w:cs="Times New Roman"/>
          <w:color w:val="363636"/>
          <w:sz w:val="24"/>
          <w:highlight w:val="yellow"/>
          <w:u w:val="single"/>
        </w:rPr>
      </w:pPr>
      <w:r>
        <w:rPr>
          <w:rFonts w:ascii="Times New Roman" w:eastAsia="Times New Roman" w:hAnsi="Times New Roman" w:cs="Times New Roman"/>
          <w:color w:val="363636"/>
          <w:sz w:val="24"/>
          <w:highlight w:val="yellow"/>
          <w:u w:val="single"/>
        </w:rPr>
        <w:t>We have the pitfall of anthropocentrism. Anthropocentric analyses of colonialism prefer to talk about colonized peoples, not animals, earth, water, and air.</w:t>
      </w:r>
      <w:r>
        <w:rPr>
          <w:rFonts w:ascii="Times New Roman" w:eastAsia="Times New Roman" w:hAnsi="Times New Roman" w:cs="Times New Roman"/>
          <w:color w:val="363636"/>
          <w:sz w:val="24"/>
          <w:u w:val="single"/>
        </w:rPr>
        <w:t xml:space="preserve"> </w:t>
      </w:r>
      <w:r>
        <w:rPr>
          <w:rFonts w:ascii="Times New Roman" w:eastAsia="Times New Roman" w:hAnsi="Times New Roman" w:cs="Times New Roman"/>
          <w:color w:val="363636"/>
          <w:sz w:val="24"/>
          <w:highlight w:val="yellow"/>
          <w:u w:val="single"/>
        </w:rPr>
        <w:t>This continual return to the racialized human subject</w:t>
      </w:r>
      <w:r>
        <w:rPr>
          <w:rFonts w:ascii="Times New Roman" w:eastAsia="Times New Roman" w:hAnsi="Times New Roman" w:cs="Times New Roman"/>
          <w:color w:val="363636"/>
          <w:sz w:val="24"/>
          <w:u w:val="single"/>
        </w:rPr>
        <w:t>—which is identity’s main referent—</w:t>
      </w:r>
      <w:r>
        <w:rPr>
          <w:rFonts w:ascii="Times New Roman" w:eastAsia="Times New Roman" w:hAnsi="Times New Roman" w:cs="Times New Roman"/>
          <w:color w:val="363636"/>
          <w:sz w:val="24"/>
          <w:highlight w:val="yellow"/>
          <w:u w:val="single"/>
        </w:rPr>
        <w:t>undermines the work that Indigenous studies has done to emphasize the geopolitical, the land, and the circle of relations that do not begin and end with the human.</w:t>
      </w:r>
    </w:p>
    <w:p w14:paraId="3AFAB82A" w14:textId="77777777" w:rsidR="00612A71" w:rsidRDefault="00612A71" w:rsidP="00612A71">
      <w:pPr>
        <w:ind w:firstLine="220"/>
        <w:jc w:val="both"/>
        <w:rPr>
          <w:rFonts w:ascii="Times New Roman" w:eastAsia="Times New Roman" w:hAnsi="Times New Roman" w:cs="Times New Roman"/>
          <w:color w:val="363636"/>
          <w:sz w:val="16"/>
          <w:szCs w:val="16"/>
        </w:rPr>
      </w:pPr>
      <w:r>
        <w:rPr>
          <w:rFonts w:ascii="Times New Roman" w:eastAsia="Times New Roman" w:hAnsi="Times New Roman" w:cs="Times New Roman"/>
          <w:color w:val="363636"/>
          <w:sz w:val="16"/>
          <w:szCs w:val="16"/>
        </w:rPr>
        <w:t>Finally, we have another pitfall of untranslatability of North American identities to non-North settings, because settler–native–slave do not map neatly onto other racialized groups elsewhere.</w:t>
      </w:r>
    </w:p>
    <w:p w14:paraId="3F77EC2A" w14:textId="77777777" w:rsidR="00612A71" w:rsidRDefault="00612A71" w:rsidP="00612A71">
      <w:pPr>
        <w:ind w:firstLine="220"/>
        <w:jc w:val="both"/>
        <w:rPr>
          <w:rFonts w:ascii="Times New Roman" w:eastAsia="Times New Roman" w:hAnsi="Times New Roman" w:cs="Times New Roman"/>
          <w:color w:val="363636"/>
          <w:sz w:val="16"/>
          <w:szCs w:val="16"/>
        </w:rPr>
      </w:pPr>
      <w:r>
        <w:rPr>
          <w:rFonts w:ascii="Times New Roman" w:eastAsia="Times New Roman" w:hAnsi="Times New Roman" w:cs="Times New Roman"/>
          <w:color w:val="363636"/>
          <w:sz w:val="16"/>
          <w:szCs w:val="16"/>
        </w:rPr>
        <w:t xml:space="preserve">If not identities, then what are the settler–native–slave in the triad? The triad is a figurative shorthand—settler–native–slave are figurae to describe relations of power with respect to land.They sound like identities, but they are not identities per se. As figurae, they represent sites of exception that reveal the underlying logic of settler colonial power. As a suitable analogy, sites of exception are like planets, supernovae, and black holes. None is quite comparable to the others; yet each can be analyzed for its particular gravitational effects, which in interaction come to define the field of gravity in the surrounding space. Sites of exception are not comparable, even </w:t>
      </w:r>
      <w:r>
        <w:rPr>
          <w:rFonts w:ascii="Times New Roman" w:eastAsia="Times New Roman" w:hAnsi="Times New Roman" w:cs="Times New Roman"/>
          <w:color w:val="363636"/>
          <w:sz w:val="16"/>
          <w:szCs w:val="16"/>
        </w:rPr>
        <w:lastRenderedPageBreak/>
        <w:t>though their effects can be felt as an interlocking lattice of power. The “settler” is a juridical space; the “native” is a world to be disavowed and dismembered; the “slave” is an ontological system. Space, world, and system are not of the same scale or form. They are not comparable units of analysis.</w:t>
      </w:r>
    </w:p>
    <w:p w14:paraId="76ABD6FA" w14:textId="77777777" w:rsidR="00612A71" w:rsidRDefault="00612A71" w:rsidP="00612A71">
      <w:pPr>
        <w:ind w:firstLine="220"/>
        <w:jc w:val="both"/>
        <w:rPr>
          <w:rFonts w:ascii="Times New Roman" w:eastAsia="Times New Roman" w:hAnsi="Times New Roman" w:cs="Times New Roman"/>
          <w:color w:val="1155CC"/>
          <w:sz w:val="16"/>
          <w:szCs w:val="16"/>
        </w:rPr>
      </w:pPr>
      <w:r>
        <w:rPr>
          <w:rFonts w:ascii="Times New Roman" w:eastAsia="Times New Roman" w:hAnsi="Times New Roman" w:cs="Times New Roman"/>
          <w:color w:val="363636"/>
          <w:sz w:val="24"/>
          <w:highlight w:val="yellow"/>
        </w:rPr>
        <w:t>The “settler” is not an identity;</w:t>
      </w:r>
      <w:r>
        <w:rPr>
          <w:rFonts w:ascii="Times New Roman" w:eastAsia="Times New Roman" w:hAnsi="Times New Roman" w:cs="Times New Roman"/>
          <w:color w:val="363636"/>
          <w:sz w:val="24"/>
        </w:rPr>
        <w:t xml:space="preserve"> it is the idealized juridical space of exceptional rights granted to normative settler citizens and the idealized exceptionalism by which the settler state exerts its sovereignty. </w:t>
      </w:r>
      <w:r>
        <w:rPr>
          <w:rFonts w:ascii="Times New Roman" w:eastAsia="Times New Roman" w:hAnsi="Times New Roman" w:cs="Times New Roman"/>
          <w:color w:val="363636"/>
          <w:sz w:val="24"/>
          <w:highlight w:val="yellow"/>
          <w:u w:val="single"/>
        </w:rPr>
        <w:t>The “settler” is a site of exception from which whiteness emerges.</w:t>
      </w:r>
      <w:r>
        <w:rPr>
          <w:rFonts w:ascii="Times New Roman" w:eastAsia="Times New Roman" w:hAnsi="Times New Roman" w:cs="Times New Roman"/>
          <w:color w:val="363636"/>
          <w:sz w:val="24"/>
          <w:u w:val="single"/>
        </w:rPr>
        <w:t xml:space="preserve"> Whiteness is property; it is the right to have rights; </w:t>
      </w:r>
      <w:r>
        <w:rPr>
          <w:rFonts w:ascii="Times New Roman" w:eastAsia="Times New Roman" w:hAnsi="Times New Roman" w:cs="Times New Roman"/>
          <w:color w:val="363636"/>
          <w:sz w:val="24"/>
          <w:highlight w:val="yellow"/>
          <w:u w:val="single"/>
        </w:rPr>
        <w:t>it is the legal human; the anthropocentric normal</w:t>
      </w:r>
      <w:r>
        <w:rPr>
          <w:rFonts w:ascii="Times New Roman" w:eastAsia="Times New Roman" w:hAnsi="Times New Roman" w:cs="Times New Roman"/>
          <w:color w:val="363636"/>
          <w:sz w:val="24"/>
          <w:u w:val="single"/>
        </w:rPr>
        <w:t xml:space="preserve"> is written in its image.</w:t>
      </w:r>
      <w:r>
        <w:rPr>
          <w:rFonts w:ascii="Times New Roman" w:eastAsia="Times New Roman" w:hAnsi="Times New Roman" w:cs="Times New Roman"/>
          <w:color w:val="363636"/>
          <w:sz w:val="24"/>
        </w:rPr>
        <w:t xml:space="preserve"> </w:t>
      </w:r>
      <w:r>
        <w:rPr>
          <w:rFonts w:ascii="Times New Roman" w:eastAsia="Times New Roman" w:hAnsi="Times New Roman" w:cs="Times New Roman"/>
          <w:color w:val="363636"/>
          <w:sz w:val="16"/>
          <w:szCs w:val="16"/>
        </w:rPr>
        <w:t>Not all settlers at all times enjoy the full privileges available to the “settler”; rather, settler supremacy is constructed and maintained by a number of technologies: citizenship, private property, civil and criminal innocence, normative settler sexuality, and so on. Settler technologies may be to your advantage always, sometimes, or never, depending on who you are, where you are, and what time it is.</w:t>
      </w:r>
      <w:hyperlink r:id="rId29" w:anchor="en33">
        <w:r>
          <w:rPr>
            <w:rFonts w:ascii="Times New Roman" w:eastAsia="Times New Roman" w:hAnsi="Times New Roman" w:cs="Times New Roman"/>
            <w:color w:val="1155CC"/>
            <w:sz w:val="16"/>
            <w:szCs w:val="16"/>
          </w:rPr>
          <w:t>[12]</w:t>
        </w:r>
      </w:hyperlink>
    </w:p>
    <w:p w14:paraId="39633F37" w14:textId="77777777" w:rsidR="00612A71" w:rsidRDefault="00612A71" w:rsidP="00612A71">
      <w:pPr>
        <w:ind w:firstLine="220"/>
        <w:jc w:val="both"/>
        <w:rPr>
          <w:sz w:val="16"/>
          <w:szCs w:val="16"/>
        </w:rPr>
      </w:pPr>
      <w:r>
        <w:rPr>
          <w:rFonts w:ascii="Times New Roman" w:eastAsia="Times New Roman" w:hAnsi="Times New Roman" w:cs="Times New Roman"/>
          <w:color w:val="363636"/>
          <w:sz w:val="24"/>
          <w:highlight w:val="yellow"/>
          <w:u w:val="single"/>
        </w:rPr>
        <w:t>The “native” is not an Indigenous identity;</w:t>
      </w:r>
      <w:r>
        <w:rPr>
          <w:rFonts w:ascii="Times New Roman" w:eastAsia="Times New Roman" w:hAnsi="Times New Roman" w:cs="Times New Roman"/>
          <w:color w:val="363636"/>
          <w:sz w:val="24"/>
          <w:u w:val="single"/>
        </w:rPr>
        <w:t xml:space="preserve"> it is a world to be obliterated, exceptionalized as the necropolitical target, and also to be splintered into pieces that are constructed as “naturally” eligible for “primitive accumulation.”</w:t>
      </w:r>
      <w:hyperlink r:id="rId30" w:anchor="en34">
        <w:r>
          <w:rPr>
            <w:rFonts w:ascii="Times New Roman" w:eastAsia="Times New Roman" w:hAnsi="Times New Roman" w:cs="Times New Roman"/>
            <w:color w:val="1155CC"/>
            <w:sz w:val="24"/>
            <w:u w:val="single"/>
          </w:rPr>
          <w:t>[13]</w:t>
        </w:r>
      </w:hyperlink>
      <w:r>
        <w:rPr>
          <w:rFonts w:ascii="Times New Roman" w:eastAsia="Times New Roman" w:hAnsi="Times New Roman" w:cs="Times New Roman"/>
          <w:color w:val="363636"/>
          <w:sz w:val="24"/>
          <w:u w:val="single"/>
        </w:rPr>
        <w:t xml:space="preserve"> </w:t>
      </w:r>
      <w:r>
        <w:rPr>
          <w:rFonts w:ascii="Times New Roman" w:eastAsia="Times New Roman" w:hAnsi="Times New Roman" w:cs="Times New Roman"/>
          <w:color w:val="363636"/>
          <w:sz w:val="24"/>
          <w:highlight w:val="yellow"/>
          <w:u w:val="single"/>
        </w:rPr>
        <w:t xml:space="preserve">The “native” is a site of exception </w:t>
      </w:r>
      <w:r>
        <w:rPr>
          <w:rFonts w:ascii="Times New Roman" w:eastAsia="Times New Roman" w:hAnsi="Times New Roman" w:cs="Times New Roman"/>
          <w:color w:val="363636"/>
          <w:sz w:val="24"/>
          <w:u w:val="single"/>
        </w:rPr>
        <w:t xml:space="preserve">for that which and those who are </w:t>
      </w:r>
      <w:r>
        <w:rPr>
          <w:rFonts w:ascii="Times New Roman" w:eastAsia="Times New Roman" w:hAnsi="Times New Roman" w:cs="Times New Roman"/>
          <w:color w:val="363636"/>
          <w:sz w:val="24"/>
          <w:highlight w:val="yellow"/>
          <w:u w:val="single"/>
        </w:rPr>
        <w:t>written as premodern, primitive,</w:t>
      </w:r>
      <w:r>
        <w:rPr>
          <w:rFonts w:ascii="Times New Roman" w:eastAsia="Times New Roman" w:hAnsi="Times New Roman" w:cs="Times New Roman"/>
          <w:color w:val="363636"/>
          <w:sz w:val="24"/>
          <w:u w:val="single"/>
        </w:rPr>
        <w:t xml:space="preserve"> and thus “</w:t>
      </w:r>
      <w:r>
        <w:rPr>
          <w:rFonts w:ascii="Times New Roman" w:eastAsia="Times New Roman" w:hAnsi="Times New Roman" w:cs="Times New Roman"/>
          <w:color w:val="363636"/>
          <w:sz w:val="24"/>
          <w:highlight w:val="yellow"/>
          <w:u w:val="single"/>
        </w:rPr>
        <w:t>before” law and “before” rights.</w:t>
      </w:r>
      <w:r>
        <w:rPr>
          <w:rFonts w:ascii="Times New Roman" w:eastAsia="Times New Roman" w:hAnsi="Times New Roman" w:cs="Times New Roman"/>
          <w:color w:val="363636"/>
          <w:sz w:val="24"/>
          <w:u w:val="single"/>
        </w:rPr>
        <w:t xml:space="preserve"> The “native” is thus exceptionalized from having any recognizable laws or rights that matter in modernity. </w:t>
      </w:r>
      <w:r>
        <w:rPr>
          <w:rFonts w:ascii="Times New Roman" w:eastAsia="Times New Roman" w:hAnsi="Times New Roman" w:cs="Times New Roman"/>
          <w:color w:val="363636"/>
          <w:sz w:val="24"/>
        </w:rPr>
        <w:t xml:space="preserve">Technologies of Indigenous erasure include military materiel and methodologies to </w:t>
      </w:r>
      <w:r>
        <w:rPr>
          <w:rFonts w:ascii="Times New Roman" w:eastAsia="Times New Roman" w:hAnsi="Times New Roman" w:cs="Times New Roman"/>
          <w:color w:val="363636"/>
          <w:sz w:val="16"/>
          <w:szCs w:val="16"/>
        </w:rPr>
        <w:t>carry out terror or genocide or containment; frontier law that legitimates murder, rape, torture, and abduction; racial science of disappearance (such as blood quantum); the partitioning of earth into “natural resources” that can be separated, owned, sold, and developed; land privation, privatization, fungibility, and development; boarding schools and institutions of cultural assimilation; resource development and cultivation, and so on. Technologies of Indigenous erasure are applied to Indigenous people, but some are also applied to enemy Others in war, some are recommissioned to reinvent spaces of frontier and border, some are used to gentrify and redevelop ghettoized space.</w:t>
      </w:r>
      <w:hyperlink r:id="rId31" w:anchor="en35">
        <w:r>
          <w:rPr>
            <w:rFonts w:ascii="Times New Roman" w:eastAsia="Times New Roman" w:hAnsi="Times New Roman" w:cs="Times New Roman"/>
            <w:color w:val="1155CC"/>
            <w:sz w:val="16"/>
            <w:szCs w:val="16"/>
          </w:rPr>
          <w:t>[14]</w:t>
        </w:r>
      </w:hyperlink>
      <w:r>
        <w:rPr>
          <w:rFonts w:ascii="Times New Roman" w:eastAsia="Times New Roman" w:hAnsi="Times New Roman" w:cs="Times New Roman"/>
          <w:color w:val="363636"/>
          <w:sz w:val="16"/>
          <w:szCs w:val="16"/>
        </w:rPr>
        <w:t xml:space="preserve"> Anti-indigenous technologies are applied to nonhumans—sometimes specifically to eliminate Indigenous people, such as killing the buffalo as a means to starve Plains peoples; sometimes in the name of progress, such as the killing of Haitian Kreyòl pigs; sometimes as a reflex of desecration, such as the poisoning of nonwhite waters. Primitive accumulation involves not only the gathering of “natural” resources as assets but also the externalizing of the “cost” of the accumulation in the form of contaminated water, disease, and other traumas to the “natural,” nonpropertied, that is, “indigenous,” world. To be subject to anti-Indian technologies does not require you to be an Indigenous person.</w:t>
      </w:r>
    </w:p>
    <w:p w14:paraId="42B5AB83" w14:textId="77777777" w:rsidR="00612A71" w:rsidRPr="004542FC" w:rsidRDefault="00612A71" w:rsidP="006F60A1">
      <w:pPr>
        <w:rPr>
          <w:rFonts w:cs="Calibri"/>
          <w:sz w:val="16"/>
        </w:rPr>
      </w:pPr>
    </w:p>
    <w:p w14:paraId="3B8A7F00" w14:textId="77777777" w:rsidR="006F60A1" w:rsidRPr="004542FC" w:rsidRDefault="006F60A1" w:rsidP="006F60A1">
      <w:pPr>
        <w:rPr>
          <w:rFonts w:cs="Calibri"/>
        </w:rPr>
      </w:pPr>
    </w:p>
    <w:p w14:paraId="4B36FA4B" w14:textId="77777777" w:rsidR="006F60A1" w:rsidRPr="004542FC" w:rsidRDefault="006F60A1" w:rsidP="006F60A1">
      <w:pPr>
        <w:rPr>
          <w:rFonts w:cs="Calibri"/>
        </w:rPr>
      </w:pPr>
    </w:p>
    <w:p w14:paraId="172CDA2D" w14:textId="77777777" w:rsidR="006F60A1" w:rsidRPr="004542FC" w:rsidRDefault="006F60A1" w:rsidP="006F60A1">
      <w:pPr>
        <w:rPr>
          <w:rFonts w:cs="Calibri"/>
        </w:rPr>
      </w:pPr>
    </w:p>
    <w:p w14:paraId="2EBABC67" w14:textId="77777777" w:rsidR="006F60A1" w:rsidRPr="004542FC" w:rsidRDefault="006F60A1" w:rsidP="006F60A1">
      <w:pPr>
        <w:rPr>
          <w:rFonts w:cs="Calibri"/>
        </w:rPr>
      </w:pPr>
    </w:p>
    <w:p w14:paraId="4CDA7CE8" w14:textId="77777777" w:rsidR="006F60A1" w:rsidRDefault="006F60A1" w:rsidP="006F60A1"/>
    <w:p w14:paraId="52977FB1" w14:textId="74F6A0AD" w:rsidR="006F60A1" w:rsidRDefault="006F60A1">
      <w:pPr>
        <w:spacing w:after="0" w:line="240" w:lineRule="auto"/>
        <w:rPr>
          <w:rFonts w:eastAsiaTheme="majorEastAsia" w:cstheme="majorBidi"/>
          <w:b/>
          <w:bCs/>
          <w:sz w:val="32"/>
          <w:szCs w:val="32"/>
          <w:u w:val="single"/>
        </w:rPr>
      </w:pPr>
    </w:p>
    <w:p w14:paraId="4700AB74" w14:textId="33B07178" w:rsidR="00E735C3" w:rsidRDefault="00401EAF" w:rsidP="00401EAF">
      <w:pPr>
        <w:pStyle w:val="Heading3"/>
      </w:pPr>
      <w:r>
        <w:lastRenderedPageBreak/>
        <w:t>Statephobia</w:t>
      </w:r>
    </w:p>
    <w:p w14:paraId="446A6455" w14:textId="77777777" w:rsidR="00401EAF" w:rsidRPr="00A31B56" w:rsidRDefault="00401EAF" w:rsidP="00401EAF">
      <w:pPr>
        <w:pStyle w:val="Heading4"/>
        <w:rPr>
          <w:rFonts w:asciiTheme="majorHAnsi" w:hAnsiTheme="majorHAnsi"/>
        </w:rPr>
      </w:pPr>
      <w:r w:rsidRPr="00A31B56">
        <w:rPr>
          <w:rFonts w:asciiTheme="majorHAnsi" w:hAnsiTheme="majorHAnsi"/>
        </w:rPr>
        <w:t xml:space="preserve">Permutation: do both – the attempt to use the necessity of macropolitical action to shut down micropolitical experimentation eviscerates radical potentiality. </w:t>
      </w:r>
    </w:p>
    <w:p w14:paraId="4097ED1E" w14:textId="77777777" w:rsidR="00401EAF" w:rsidRPr="00A31B56" w:rsidRDefault="00401EAF" w:rsidP="00401EAF">
      <w:pPr>
        <w:rPr>
          <w:rFonts w:asciiTheme="majorHAnsi" w:hAnsiTheme="majorHAnsi"/>
        </w:rPr>
      </w:pPr>
      <w:r w:rsidRPr="00A31B56">
        <w:rPr>
          <w:rStyle w:val="Style13ptBold"/>
          <w:rFonts w:asciiTheme="majorHAnsi" w:hAnsiTheme="majorHAnsi"/>
        </w:rPr>
        <w:t>Massumi and McKim 08.</w:t>
      </w:r>
      <w:r w:rsidRPr="00A31B56">
        <w:rPr>
          <w:rFonts w:asciiTheme="majorHAnsi" w:hAnsiTheme="majorHAnsi"/>
        </w:rPr>
        <w:t xml:space="preserve"> Brian Massumi, professor of communication science at the University of Montreal, and Joel McKim, professor of film, media, and cultural studies at the University of London, Birkbeck (UK), “Of Microperception and Micropolitics,” Micropolitics : Exploring Ethico-Aesthetics. Inflexions: A Journal for Research-Creation. No. 3. October 2009. </w:t>
      </w:r>
      <w:hyperlink r:id="rId32" w:history="1">
        <w:r w:rsidRPr="00A31B56">
          <w:rPr>
            <w:rFonts w:asciiTheme="majorHAnsi" w:hAnsiTheme="majorHAnsi"/>
          </w:rPr>
          <w:t>www.inflexions.org</w:t>
        </w:r>
      </w:hyperlink>
      <w:r w:rsidRPr="00A31B56">
        <w:rPr>
          <w:rFonts w:asciiTheme="majorHAnsi" w:hAnsiTheme="majorHAnsi"/>
        </w:rPr>
        <w:t>, 19-21</w:t>
      </w:r>
    </w:p>
    <w:p w14:paraId="1F706261" w14:textId="77777777" w:rsidR="00401EAF" w:rsidRPr="00A31B56" w:rsidRDefault="00401EAF" w:rsidP="00401EAF">
      <w:pPr>
        <w:rPr>
          <w:rFonts w:asciiTheme="majorHAnsi" w:hAnsiTheme="majorHAnsi"/>
        </w:rPr>
      </w:pPr>
    </w:p>
    <w:p w14:paraId="357AEBD8" w14:textId="77777777" w:rsidR="00401EAF" w:rsidRPr="00A31B56" w:rsidRDefault="00401EAF" w:rsidP="00401EAF">
      <w:pPr>
        <w:rPr>
          <w:rStyle w:val="Emphasis"/>
          <w:rFonts w:asciiTheme="majorHAnsi" w:hAnsiTheme="majorHAnsi"/>
        </w:rPr>
      </w:pPr>
      <w:r w:rsidRPr="00A31B56">
        <w:rPr>
          <w:rFonts w:asciiTheme="majorHAnsi" w:hAnsiTheme="majorHAnsi"/>
        </w:rPr>
        <w:t xml:space="preserve">JM: One of the things that I think is interesting about </w:t>
      </w:r>
      <w:r w:rsidRPr="00A31B56">
        <w:rPr>
          <w:rStyle w:val="StyleUnderline"/>
          <w:rFonts w:asciiTheme="majorHAnsi" w:hAnsiTheme="majorHAnsi"/>
        </w:rPr>
        <w:t>the approach is</w:t>
      </w:r>
      <w:r w:rsidRPr="00A31B56">
        <w:rPr>
          <w:rFonts w:asciiTheme="majorHAnsi" w:hAnsiTheme="majorHAnsi"/>
        </w:rPr>
        <w:t xml:space="preserve"> that it </w:t>
      </w:r>
      <w:r w:rsidRPr="00A31B56">
        <w:rPr>
          <w:rStyle w:val="StyleUnderline"/>
          <w:rFonts w:asciiTheme="majorHAnsi" w:hAnsiTheme="majorHAnsi"/>
        </w:rPr>
        <w:t xml:space="preserve">is both concerned with the </w:t>
      </w:r>
      <w:r w:rsidRPr="00A31B56">
        <w:rPr>
          <w:rStyle w:val="Emphasis"/>
          <w:rFonts w:asciiTheme="majorHAnsi" w:hAnsiTheme="majorHAnsi"/>
        </w:rPr>
        <w:t>creative limitations</w:t>
      </w:r>
      <w:r w:rsidRPr="00A31B56">
        <w:rPr>
          <w:rStyle w:val="StyleUnderline"/>
          <w:rFonts w:asciiTheme="majorHAnsi" w:hAnsiTheme="majorHAnsi"/>
        </w:rPr>
        <w:t xml:space="preserve"> required for </w:t>
      </w:r>
      <w:r w:rsidRPr="00A31B56">
        <w:rPr>
          <w:rStyle w:val="Emphasis"/>
          <w:rFonts w:asciiTheme="majorHAnsi" w:hAnsiTheme="majorHAnsi"/>
        </w:rPr>
        <w:t>producing an event</w:t>
      </w:r>
      <w:r w:rsidRPr="00A31B56">
        <w:rPr>
          <w:rStyle w:val="StyleUnderline"/>
          <w:rFonts w:asciiTheme="majorHAnsi" w:hAnsiTheme="majorHAnsi"/>
        </w:rPr>
        <w:t xml:space="preserve">, and also </w:t>
      </w:r>
      <w:r w:rsidRPr="00A31B56">
        <w:rPr>
          <w:rStyle w:val="Emphasis"/>
          <w:rFonts w:asciiTheme="majorHAnsi" w:hAnsiTheme="majorHAnsi"/>
        </w:rPr>
        <w:t>concerned with how various events resonate with each other and amplify each other</w:t>
      </w:r>
      <w:r w:rsidRPr="00A31B56">
        <w:rPr>
          <w:rFonts w:asciiTheme="majorHAnsi" w:hAnsiTheme="majorHAnsi"/>
        </w:rPr>
        <w:t xml:space="preserve">. This seems to bring us back to the problem we discussed earlier regarding how </w:t>
      </w:r>
      <w:r w:rsidRPr="00A31B56">
        <w:rPr>
          <w:rStyle w:val="StyleUnderline"/>
          <w:rFonts w:asciiTheme="majorHAnsi" w:hAnsiTheme="majorHAnsi"/>
        </w:rPr>
        <w:t xml:space="preserve">an affective politics may have a global presence, or work up to a scale larger than a single event. </w:t>
      </w:r>
      <w:r w:rsidRPr="00A31B56">
        <w:rPr>
          <w:rFonts w:asciiTheme="majorHAnsi" w:hAnsiTheme="majorHAnsi"/>
        </w:rPr>
        <w:t xml:space="preserve">BM: Yes, </w:t>
      </w:r>
      <w:r w:rsidRPr="00A31B56">
        <w:rPr>
          <w:rStyle w:val="StyleUnderline"/>
          <w:rFonts w:asciiTheme="majorHAnsi" w:hAnsiTheme="majorHAnsi"/>
        </w:rPr>
        <w:t xml:space="preserve">a micropolitical event can have broad range. What qualifies it as micropolitical is the way it happens, not the dimensions it takes. By micropolitical we mean returning to the generative moment of experience, at the dawning of an event, to produce a modulatory commotion internal to the constitution of the event. </w:t>
      </w:r>
      <w:r w:rsidRPr="00A31B56">
        <w:rPr>
          <w:rStyle w:val="Emphasis"/>
          <w:rFonts w:asciiTheme="majorHAnsi" w:hAnsiTheme="majorHAnsi"/>
        </w:rPr>
        <w:t>It’s a question of reconnecting processually with what’s germinal in your living, with the conditions of emergence of the situations you live</w:t>
      </w:r>
      <w:r w:rsidRPr="00A31B56">
        <w:rPr>
          <w:rFonts w:asciiTheme="majorHAnsi" w:hAnsiTheme="majorHAnsi"/>
        </w:rPr>
        <w:t xml:space="preserve">. </w:t>
      </w:r>
      <w:r w:rsidRPr="00A31B56">
        <w:rPr>
          <w:rStyle w:val="StyleUnderline"/>
          <w:rFonts w:asciiTheme="majorHAnsi" w:hAnsiTheme="majorHAnsi"/>
        </w:rPr>
        <w:t xml:space="preserve">The idea is then to find a mechanism to pass that reconnection forward. Not impose it, not even suggest it as a general model. </w:t>
      </w:r>
      <w:r w:rsidRPr="00A31B56">
        <w:rPr>
          <w:rStyle w:val="Emphasis"/>
          <w:rFonts w:asciiTheme="majorHAnsi" w:hAnsiTheme="majorHAnsi"/>
        </w:rPr>
        <w:t>Rather, to give it as a gift, a gift of self- renewing process</w:t>
      </w:r>
      <w:r w:rsidRPr="00A31B56">
        <w:rPr>
          <w:rFonts w:asciiTheme="majorHAnsi" w:hAnsiTheme="majorHAnsi"/>
        </w:rPr>
        <w:t xml:space="preserve">. </w:t>
      </w:r>
      <w:r w:rsidRPr="00A31B56">
        <w:rPr>
          <w:rStyle w:val="StyleUnderline"/>
          <w:rFonts w:asciiTheme="majorHAnsi" w:hAnsiTheme="majorHAnsi"/>
        </w:rPr>
        <w:t>This question of event-propagation, of processual seeding as part of a gift economy of revivifying experience, is the problem of a large-scale micropolitics</w:t>
      </w:r>
      <w:r w:rsidRPr="00A31B56">
        <w:rPr>
          <w:rFonts w:asciiTheme="majorHAnsi" w:hAnsiTheme="majorHAnsi"/>
        </w:rPr>
        <w:t xml:space="preserve">. The process itself has to be self-valorizing. It has to have a value in itself because the situation of the world, Obama notwithstanding, is not overall one of hope. </w:t>
      </w:r>
      <w:r w:rsidRPr="00A31B56">
        <w:rPr>
          <w:rStyle w:val="Emphasis"/>
          <w:rFonts w:asciiTheme="majorHAnsi" w:hAnsiTheme="majorHAnsi"/>
        </w:rPr>
        <w:t>The situation of the world is desperate. There’s no rational ground for hope</w:t>
      </w:r>
      <w:r w:rsidRPr="00A31B56">
        <w:rPr>
          <w:rFonts w:asciiTheme="majorHAnsi" w:hAnsiTheme="majorHAnsi"/>
        </w:rPr>
        <w:t xml:space="preserve">. </w:t>
      </w:r>
      <w:r w:rsidRPr="00A31B56">
        <w:rPr>
          <w:rStyle w:val="StyleUnderline"/>
          <w:rFonts w:asciiTheme="majorHAnsi" w:hAnsiTheme="majorHAnsi"/>
        </w:rPr>
        <w:t xml:space="preserve">If you look at things rationally, if you look at the increasing disparities of wealth and health in the world, if you look at the spreading environmental destruction, if you look at the looming disasters in the foundations of the economy, if you look at the the energy crisis and the food crises affecting the globe, and especially if you look at the way they interrelate, if you look at the virulence of renascent nationalist sentiment and of the culture of war, </w:t>
      </w:r>
      <w:r w:rsidRPr="00A31B56">
        <w:rPr>
          <w:rStyle w:val="Emphasis"/>
          <w:rFonts w:asciiTheme="majorHAnsi" w:hAnsiTheme="majorHAnsi"/>
        </w:rPr>
        <w:t>there is no hope</w:t>
      </w:r>
      <w:r w:rsidRPr="00A31B56">
        <w:rPr>
          <w:rFonts w:asciiTheme="majorHAnsi" w:hAnsiTheme="majorHAnsi"/>
        </w:rPr>
        <w:t xml:space="preserve">. So </w:t>
      </w:r>
      <w:r w:rsidRPr="00A31B56">
        <w:rPr>
          <w:rStyle w:val="Emphasis"/>
          <w:rFonts w:asciiTheme="majorHAnsi" w:hAnsiTheme="majorHAnsi"/>
        </w:rPr>
        <w:t>the micropolitical question is how to live more intensely, live more fully, with augmented powers of existence, within the limits of that desperate situation, while finding ways to continue nevertheless, chipping away at the macro problems</w:t>
      </w:r>
      <w:r w:rsidRPr="00A31B56">
        <w:rPr>
          <w:rFonts w:asciiTheme="majorHAnsi" w:hAnsiTheme="majorHAnsi"/>
        </w:rPr>
        <w:t xml:space="preserve">. </w:t>
      </w:r>
      <w:r w:rsidRPr="00A31B56">
        <w:rPr>
          <w:rStyle w:val="StyleUnderline"/>
          <w:rFonts w:asciiTheme="majorHAnsi" w:hAnsiTheme="majorHAnsi"/>
        </w:rPr>
        <w:t>There’s a certain incompleteness to any micropolitical event</w:t>
      </w:r>
      <w:r w:rsidRPr="00A31B56">
        <w:rPr>
          <w:rFonts w:asciiTheme="majorHAnsi" w:hAnsiTheme="majorHAnsi"/>
        </w:rPr>
        <w:t xml:space="preserve">, like the events I was talking about. A lot of things that you feel were on the verge of taking shape didn’t quite happen. Potentials that you could just glimpse didn’t come into focus. </w:t>
      </w:r>
      <w:r w:rsidRPr="00A31B56">
        <w:rPr>
          <w:rStyle w:val="StyleUnderline"/>
          <w:rFonts w:asciiTheme="majorHAnsi" w:hAnsiTheme="majorHAnsi"/>
        </w:rPr>
        <w:t xml:space="preserve">The goal is not to overcome the incompleteness. It’s to </w:t>
      </w:r>
      <w:r w:rsidRPr="00A31B56">
        <w:rPr>
          <w:rStyle w:val="Emphasis"/>
          <w:rFonts w:asciiTheme="majorHAnsi" w:hAnsiTheme="majorHAnsi"/>
        </w:rPr>
        <w:t>make it compelling</w:t>
      </w:r>
      <w:r w:rsidRPr="00A31B56">
        <w:rPr>
          <w:rStyle w:val="StyleUnderline"/>
          <w:rFonts w:asciiTheme="majorHAnsi" w:hAnsiTheme="majorHAnsi"/>
        </w:rPr>
        <w:t xml:space="preserve">. </w:t>
      </w:r>
      <w:r w:rsidRPr="00A31B56">
        <w:rPr>
          <w:rStyle w:val="Emphasis"/>
          <w:rFonts w:asciiTheme="majorHAnsi" w:hAnsiTheme="majorHAnsi"/>
        </w:rPr>
        <w:t>Compelling enough that you are moved to do it again, differently, bringing out another set of potentials, some more formed and focused, others that were clearly expressed before now backgrounded</w:t>
      </w:r>
      <w:r w:rsidRPr="00A31B56">
        <w:rPr>
          <w:rFonts w:asciiTheme="majorHAnsi" w:hAnsiTheme="majorHAnsi"/>
        </w:rPr>
        <w:t xml:space="preserve">. That creates a small, moveable environment of potential. </w:t>
      </w:r>
      <w:r w:rsidRPr="00A31B56">
        <w:rPr>
          <w:rStyle w:val="Emphasis"/>
          <w:rFonts w:asciiTheme="majorHAnsi" w:hAnsiTheme="majorHAnsi"/>
        </w:rPr>
        <w:t>The goal is to live in that moveable environment of potential</w:t>
      </w:r>
      <w:r w:rsidRPr="00A31B56">
        <w:rPr>
          <w:rFonts w:asciiTheme="majorHAnsi" w:hAnsiTheme="majorHAnsi"/>
        </w:rPr>
        <w:t xml:space="preserve">. </w:t>
      </w:r>
      <w:r w:rsidRPr="00A31B56">
        <w:rPr>
          <w:rStyle w:val="StyleUnderline"/>
          <w:rFonts w:asciiTheme="majorHAnsi" w:hAnsiTheme="majorHAnsi"/>
        </w:rPr>
        <w:t xml:space="preserve">If you manage to, you will </w:t>
      </w:r>
      <w:r w:rsidRPr="00A31B56">
        <w:rPr>
          <w:rStyle w:val="Emphasis"/>
          <w:rFonts w:asciiTheme="majorHAnsi" w:hAnsiTheme="majorHAnsi"/>
        </w:rPr>
        <w:t>avoid the paralysis of hopelessness</w:t>
      </w:r>
      <w:r w:rsidRPr="00A31B56">
        <w:rPr>
          <w:rFonts w:asciiTheme="majorHAnsi" w:hAnsiTheme="majorHAnsi"/>
        </w:rPr>
        <w:t xml:space="preserve">. </w:t>
      </w:r>
      <w:r w:rsidRPr="00A31B56">
        <w:rPr>
          <w:rStyle w:val="Emphasis"/>
          <w:rFonts w:asciiTheme="majorHAnsi" w:hAnsiTheme="majorHAnsi"/>
        </w:rPr>
        <w:t>Neither hope nor hopelessness—a pragmatics of potential</w:t>
      </w:r>
      <w:r w:rsidRPr="00A31B56">
        <w:rPr>
          <w:rFonts w:asciiTheme="majorHAnsi" w:hAnsiTheme="majorHAnsi"/>
        </w:rPr>
        <w:t xml:space="preserve">. </w:t>
      </w:r>
      <w:r w:rsidRPr="00A31B56">
        <w:rPr>
          <w:rStyle w:val="StyleUnderline"/>
          <w:rFonts w:asciiTheme="majorHAnsi" w:hAnsiTheme="majorHAnsi"/>
        </w:rPr>
        <w:t xml:space="preserve">You have to live it at </w:t>
      </w:r>
      <w:r w:rsidRPr="00A31B56">
        <w:rPr>
          <w:rStyle w:val="StyleUnderline"/>
          <w:rFonts w:asciiTheme="majorHAnsi" w:hAnsiTheme="majorHAnsi"/>
        </w:rPr>
        <w:lastRenderedPageBreak/>
        <w:t xml:space="preserve">every level. In the way you relate to your partner, and even your cat. The way you teach a class if you’re a professor. The way you create and present your art if you’re an artist. If you participate in more punctual events like the ones I was describing, this will provide a continuous background for what comes of those events to disseminate into and diffuse through. </w:t>
      </w:r>
      <w:r w:rsidRPr="00A31B56">
        <w:rPr>
          <w:rStyle w:val="Emphasis"/>
          <w:rFonts w:asciiTheme="majorHAnsi" w:hAnsiTheme="majorHAnsi"/>
        </w:rPr>
        <w:t xml:space="preserve">A symbiosis of the special event and the day-to-day, in creative connivance. </w:t>
      </w:r>
      <w:r w:rsidRPr="00A31B56">
        <w:rPr>
          <w:rStyle w:val="Emphasis"/>
          <w:rFonts w:asciiTheme="majorHAnsi" w:hAnsiTheme="majorHAnsi"/>
          <w:sz w:val="32"/>
          <w:szCs w:val="32"/>
        </w:rPr>
        <w:t>This is not to say that operating in a more macro, top-down manner, is wrong or should not be undertaken. It’s just to say that if it’s done to the exclusion of micropolitical activity it’s mortifying, even when it’s done for survival’s sake</w:t>
      </w:r>
      <w:r w:rsidRPr="00A31B56">
        <w:rPr>
          <w:rFonts w:asciiTheme="majorHAnsi" w:hAnsiTheme="majorHAnsi"/>
        </w:rPr>
        <w:t xml:space="preserve">. </w:t>
      </w:r>
      <w:r w:rsidRPr="00A31B56">
        <w:rPr>
          <w:rStyle w:val="StyleUnderline"/>
          <w:rFonts w:asciiTheme="majorHAnsi" w:hAnsiTheme="majorHAnsi"/>
        </w:rPr>
        <w:t>Sometimes there is no alternative but to centrally impose certain enabling constraints. For example, I’d be very happy if the transition to a renewable energy future or a global redistribution of wealth or a non-growth paradigm were imposed on the capitalist system</w:t>
      </w:r>
      <w:r w:rsidRPr="00A31B56">
        <w:rPr>
          <w:rFonts w:asciiTheme="majorHAnsi" w:hAnsiTheme="majorHAnsi"/>
        </w:rPr>
        <w:t xml:space="preserve">. But </w:t>
      </w:r>
      <w:r w:rsidRPr="00A31B56">
        <w:rPr>
          <w:rStyle w:val="Emphasis"/>
          <w:rFonts w:asciiTheme="majorHAnsi" w:hAnsiTheme="majorHAnsi"/>
        </w:rPr>
        <w:t>high-level solutions of that kind are only part of the political equation, and it’s not the part that the affective politics we’ve been talking about specifically addresses</w:t>
      </w:r>
      <w:r w:rsidRPr="00A31B56">
        <w:rPr>
          <w:rFonts w:asciiTheme="majorHAnsi" w:hAnsiTheme="majorHAnsi"/>
        </w:rPr>
        <w:t xml:space="preserve">. </w:t>
      </w:r>
      <w:r w:rsidRPr="00A31B56">
        <w:rPr>
          <w:rStyle w:val="Emphasis"/>
          <w:rFonts w:asciiTheme="majorHAnsi" w:hAnsiTheme="majorHAnsi"/>
        </w:rPr>
        <w:t>Micropolitics is not programmatic</w:t>
      </w:r>
      <w:r w:rsidRPr="00A31B56">
        <w:rPr>
          <w:rFonts w:asciiTheme="majorHAnsi" w:hAnsiTheme="majorHAnsi"/>
        </w:rPr>
        <w:t xml:space="preserve">. </w:t>
      </w:r>
      <w:r w:rsidRPr="00A31B56">
        <w:rPr>
          <w:rStyle w:val="Emphasis"/>
          <w:rFonts w:asciiTheme="majorHAnsi" w:hAnsiTheme="majorHAnsi"/>
        </w:rPr>
        <w:t>It doesn’t construct and impose global solutions</w:t>
      </w:r>
      <w:r w:rsidRPr="00A31B56">
        <w:rPr>
          <w:rFonts w:asciiTheme="majorHAnsi" w:hAnsiTheme="majorHAnsi"/>
        </w:rPr>
        <w:t xml:space="preserve">. But </w:t>
      </w:r>
      <w:r w:rsidRPr="00A31B56">
        <w:rPr>
          <w:rStyle w:val="StyleUnderline"/>
          <w:rFonts w:asciiTheme="majorHAnsi" w:hAnsiTheme="majorHAnsi"/>
        </w:rPr>
        <w:t>it would be naïve to think that is separate from that kind of macro-activity</w:t>
      </w:r>
      <w:r w:rsidRPr="00A31B56">
        <w:rPr>
          <w:rFonts w:asciiTheme="majorHAnsi" w:hAnsiTheme="majorHAnsi"/>
        </w:rPr>
        <w:t xml:space="preserve">. </w:t>
      </w:r>
      <w:r w:rsidRPr="00A31B56">
        <w:rPr>
          <w:rStyle w:val="StyleUnderline"/>
          <w:rFonts w:asciiTheme="majorHAnsi" w:hAnsiTheme="majorHAnsi"/>
        </w:rPr>
        <w:t xml:space="preserve">Anything that augments powers of existence creates conditions for micropolitical flourishings. No body flourishes without enough food and without health care. Micropolitical interventions need macro solutions. But </w:t>
      </w:r>
      <w:r w:rsidRPr="00A31B56">
        <w:rPr>
          <w:rStyle w:val="Emphasis"/>
          <w:rFonts w:asciiTheme="majorHAnsi" w:hAnsiTheme="majorHAnsi"/>
        </w:rPr>
        <w:t>success at the macropolitical level is at best partial without a complementary micropolitical flourishing</w:t>
      </w:r>
      <w:r w:rsidRPr="00A31B56">
        <w:rPr>
          <w:rFonts w:asciiTheme="majorHAnsi" w:hAnsiTheme="majorHAnsi"/>
        </w:rPr>
        <w:t xml:space="preserve">. </w:t>
      </w:r>
      <w:r w:rsidRPr="00A31B56">
        <w:rPr>
          <w:rStyle w:val="Emphasis"/>
          <w:rFonts w:asciiTheme="majorHAnsi" w:hAnsiTheme="majorHAnsi"/>
        </w:rPr>
        <w:t>Without it, the tendency is toward standardization</w:t>
      </w:r>
      <w:r w:rsidRPr="00A31B56">
        <w:rPr>
          <w:rFonts w:asciiTheme="majorHAnsi" w:hAnsiTheme="majorHAnsi"/>
        </w:rPr>
        <w:t xml:space="preserve">. </w:t>
      </w:r>
      <w:r w:rsidRPr="00A31B56">
        <w:rPr>
          <w:rStyle w:val="Emphasis"/>
          <w:rFonts w:asciiTheme="majorHAnsi" w:hAnsiTheme="majorHAnsi"/>
        </w:rPr>
        <w:t>Since macropolitical solutions are generally applicable by definition, by definition they act to curtail the variety and exuberance of forms of life</w:t>
      </w:r>
      <w:r w:rsidRPr="00A31B56">
        <w:rPr>
          <w:rFonts w:asciiTheme="majorHAnsi" w:hAnsiTheme="majorHAnsi"/>
        </w:rPr>
        <w:t xml:space="preserve">. </w:t>
      </w:r>
      <w:r w:rsidRPr="00A31B56">
        <w:rPr>
          <w:rStyle w:val="StyleUnderline"/>
          <w:rFonts w:asciiTheme="majorHAnsi" w:hAnsiTheme="majorHAnsi"/>
        </w:rPr>
        <w:t xml:space="preserve">Macropolitical intervention targets minimal conditions of survival. </w:t>
      </w:r>
      <w:r w:rsidRPr="00A31B56">
        <w:rPr>
          <w:rStyle w:val="Emphasis"/>
          <w:rFonts w:asciiTheme="majorHAnsi" w:hAnsiTheme="majorHAnsi"/>
        </w:rPr>
        <w:t>Micropolitics complements that by fostering an excess of conditions of emergence</w:t>
      </w:r>
      <w:r w:rsidRPr="00A31B56">
        <w:rPr>
          <w:rFonts w:asciiTheme="majorHAnsi" w:hAnsiTheme="majorHAnsi"/>
        </w:rPr>
        <w:t xml:space="preserve">. </w:t>
      </w:r>
      <w:r w:rsidRPr="00A31B56">
        <w:rPr>
          <w:rStyle w:val="Emphasis"/>
          <w:rFonts w:asciiTheme="majorHAnsi" w:hAnsiTheme="majorHAnsi"/>
        </w:rPr>
        <w:t>That inventiveness is where new solutions start to crystallize</w:t>
      </w:r>
      <w:r w:rsidRPr="00A31B56">
        <w:rPr>
          <w:rFonts w:asciiTheme="majorHAnsi" w:hAnsiTheme="majorHAnsi"/>
        </w:rPr>
        <w:t xml:space="preserve">. The potentials produced at the micropolitical level feed up, climbing the slope that macropolitics descends. </w:t>
      </w:r>
      <w:r w:rsidRPr="00A31B56">
        <w:rPr>
          <w:rStyle w:val="Emphasis"/>
          <w:rFonts w:asciiTheme="majorHAnsi" w:hAnsiTheme="majorHAnsi"/>
        </w:rPr>
        <w:t>Micropolitical and macropolitical go together</w:t>
      </w:r>
      <w:r w:rsidRPr="00A31B56">
        <w:rPr>
          <w:rFonts w:asciiTheme="majorHAnsi" w:hAnsiTheme="majorHAnsi"/>
        </w:rPr>
        <w:t xml:space="preserve">. One is never without the other. They are processual reciprocals. They aliment each other. </w:t>
      </w:r>
      <w:r w:rsidRPr="00A31B56">
        <w:rPr>
          <w:rStyle w:val="StyleUnderline"/>
          <w:rFonts w:asciiTheme="majorHAnsi" w:hAnsiTheme="majorHAnsi"/>
        </w:rPr>
        <w:t xml:space="preserve">At their best, they are mutually corrective. Even macro solutions designed to curtail micropolitical activity often end up feeding it by making it a necessity to invent new ways of getting by and getting around. </w:t>
      </w:r>
      <w:r w:rsidRPr="00A31B56">
        <w:rPr>
          <w:rStyle w:val="Emphasis"/>
          <w:rFonts w:asciiTheme="majorHAnsi" w:hAnsiTheme="majorHAnsi"/>
        </w:rPr>
        <w:t>Creative variation is the only real constant of politics</w:t>
      </w:r>
      <w:r w:rsidRPr="00A31B56">
        <w:rPr>
          <w:rFonts w:asciiTheme="majorHAnsi" w:hAnsiTheme="majorHAnsi"/>
        </w:rPr>
        <w:t xml:space="preserve">. Deleuze and Guattari often made this point, for example in their slogan that that </w:t>
      </w:r>
      <w:r w:rsidRPr="00A31B56">
        <w:rPr>
          <w:rStyle w:val="StyleUnderline"/>
          <w:rFonts w:asciiTheme="majorHAnsi" w:hAnsiTheme="majorHAnsi"/>
        </w:rPr>
        <w:t xml:space="preserve">the State is built on what escapes it. It has become a commonplace recently to say that we are in a situation where the end of the world is now imaginable—but the end of capitalism isn’t. That is definitely one “solution” that is not likely to come programmatically, top-down— </w:t>
      </w:r>
      <w:r w:rsidRPr="00A31B56">
        <w:rPr>
          <w:rStyle w:val="Emphasis"/>
          <w:rFonts w:asciiTheme="majorHAnsi" w:hAnsiTheme="majorHAnsi"/>
        </w:rPr>
        <w:t>given who’s on top</w:t>
      </w:r>
      <w:r w:rsidRPr="00A31B56">
        <w:rPr>
          <w:rFonts w:asciiTheme="majorHAnsi" w:hAnsiTheme="majorHAnsi"/>
        </w:rPr>
        <w:t xml:space="preserve">. The dismantling of capitalism is a “corrective” that will only come from a breaking of the reciprocity I was just talking about between the macro- and micropolitical. </w:t>
      </w:r>
      <w:r w:rsidRPr="00A31B56">
        <w:rPr>
          <w:rStyle w:val="StyleUnderline"/>
          <w:rFonts w:asciiTheme="majorHAnsi" w:hAnsiTheme="majorHAnsi"/>
        </w:rPr>
        <w:t xml:space="preserve">The prevailing operating conditions of macro/micropolitical reciprocity should not be taken to imply that the symmetry is never broken, that a bifurcation can never occur. The complementarity can be broken in both directions. When </w:t>
      </w:r>
      <w:r w:rsidRPr="00A31B56">
        <w:rPr>
          <w:rStyle w:val="Emphasis"/>
          <w:rFonts w:asciiTheme="majorHAnsi" w:hAnsiTheme="majorHAnsi"/>
        </w:rPr>
        <w:t>macrostructures miniaturize themselves and work to usurp the ground of the micropolitical with scaled-down versions of the dominant generalities, that is fascism</w:t>
      </w:r>
      <w:r w:rsidRPr="00A31B56">
        <w:rPr>
          <w:rFonts w:asciiTheme="majorHAnsi" w:hAnsiTheme="majorHAnsi"/>
        </w:rPr>
        <w:t xml:space="preserve">. </w:t>
      </w:r>
      <w:r w:rsidRPr="00A31B56">
        <w:rPr>
          <w:rStyle w:val="Emphasis"/>
          <w:rFonts w:asciiTheme="majorHAnsi" w:hAnsiTheme="majorHAnsi"/>
        </w:rPr>
        <w:t>When micropolitical flourishings proliferate to produce a singularity, in the sense of a systemic tipping point, that’s revolution</w:t>
      </w:r>
      <w:r w:rsidRPr="00A31B56">
        <w:rPr>
          <w:rFonts w:asciiTheme="majorHAnsi" w:hAnsiTheme="majorHAnsi"/>
        </w:rPr>
        <w:t xml:space="preserve">. </w:t>
      </w:r>
      <w:r w:rsidRPr="00A31B56">
        <w:rPr>
          <w:rStyle w:val="Emphasis"/>
          <w:rFonts w:asciiTheme="majorHAnsi" w:hAnsiTheme="majorHAnsi"/>
        </w:rPr>
        <w:t>The ultimate vocation of micropolitics is this: enacting the unimaginable</w:t>
      </w:r>
      <w:r w:rsidRPr="00A31B56">
        <w:rPr>
          <w:rFonts w:asciiTheme="majorHAnsi" w:hAnsiTheme="majorHAnsi"/>
        </w:rPr>
        <w:t xml:space="preserve">. </w:t>
      </w:r>
      <w:r w:rsidRPr="00A31B56">
        <w:rPr>
          <w:rStyle w:val="StyleUnderline"/>
          <w:rFonts w:asciiTheme="majorHAnsi" w:hAnsiTheme="majorHAnsi"/>
        </w:rPr>
        <w:t xml:space="preserve">The </w:t>
      </w:r>
      <w:r w:rsidRPr="00A31B56">
        <w:rPr>
          <w:rStyle w:val="Emphasis"/>
          <w:rFonts w:asciiTheme="majorHAnsi" w:hAnsiTheme="majorHAnsi"/>
        </w:rPr>
        <w:t>symmetry-breaking point</w:t>
      </w:r>
      <w:r w:rsidRPr="00A31B56">
        <w:rPr>
          <w:rStyle w:val="StyleUnderline"/>
          <w:rFonts w:asciiTheme="majorHAnsi" w:hAnsiTheme="majorHAnsi"/>
        </w:rPr>
        <w:t xml:space="preserve">, the </w:t>
      </w:r>
      <w:r w:rsidRPr="00A31B56">
        <w:rPr>
          <w:rStyle w:val="Emphasis"/>
          <w:rFonts w:asciiTheme="majorHAnsi" w:hAnsiTheme="majorHAnsi"/>
        </w:rPr>
        <w:t>point at which the unimaginable eventuates</w:t>
      </w:r>
      <w:r w:rsidRPr="00A31B56">
        <w:rPr>
          <w:rStyle w:val="StyleUnderline"/>
          <w:rFonts w:asciiTheme="majorHAnsi" w:hAnsiTheme="majorHAnsi"/>
        </w:rPr>
        <w:t xml:space="preserve">, </w:t>
      </w:r>
      <w:r w:rsidRPr="00A31B56">
        <w:rPr>
          <w:rStyle w:val="StyleUnderline"/>
          <w:rFonts w:asciiTheme="majorHAnsi" w:hAnsiTheme="majorHAnsi"/>
        </w:rPr>
        <w:lastRenderedPageBreak/>
        <w:t xml:space="preserve">is but </w:t>
      </w:r>
      <w:r w:rsidRPr="00A31B56">
        <w:rPr>
          <w:rStyle w:val="Emphasis"/>
          <w:rFonts w:asciiTheme="majorHAnsi" w:hAnsiTheme="majorHAnsi"/>
        </w:rPr>
        <w:t>a cut</w:t>
      </w:r>
      <w:r w:rsidRPr="00A31B56">
        <w:rPr>
          <w:rStyle w:val="StyleUnderline"/>
          <w:rFonts w:asciiTheme="majorHAnsi" w:hAnsiTheme="majorHAnsi"/>
        </w:rPr>
        <w:t>, “</w:t>
      </w:r>
      <w:r w:rsidRPr="00A31B56">
        <w:rPr>
          <w:rStyle w:val="Emphasis"/>
          <w:rFonts w:asciiTheme="majorHAnsi" w:hAnsiTheme="majorHAnsi"/>
        </w:rPr>
        <w:t>smaller</w:t>
      </w:r>
      <w:r w:rsidRPr="00A31B56">
        <w:rPr>
          <w:rStyle w:val="StyleUnderline"/>
          <w:rFonts w:asciiTheme="majorHAnsi" w:hAnsiTheme="majorHAnsi"/>
        </w:rPr>
        <w:t>” than the smallest historically perceivable interval</w:t>
      </w:r>
      <w:r w:rsidRPr="00A31B56">
        <w:rPr>
          <w:rFonts w:asciiTheme="majorHAnsi" w:hAnsiTheme="majorHAnsi"/>
        </w:rPr>
        <w:t xml:space="preserve">. That is to say, qualitatively different. </w:t>
      </w:r>
      <w:r w:rsidRPr="00A31B56">
        <w:rPr>
          <w:rStyle w:val="Emphasis"/>
          <w:rFonts w:asciiTheme="majorHAnsi" w:hAnsiTheme="majorHAnsi"/>
        </w:rPr>
        <w:t>A moment of a different color, one you never see coming, that comes when it’s least expected</w:t>
      </w:r>
      <w:r w:rsidRPr="00A31B56">
        <w:rPr>
          <w:rFonts w:asciiTheme="majorHAnsi" w:hAnsiTheme="majorHAnsi"/>
        </w:rPr>
        <w:t xml:space="preserve">. Inevitably, </w:t>
      </w:r>
      <w:r w:rsidRPr="00A31B56">
        <w:rPr>
          <w:rStyle w:val="StyleUnderline"/>
          <w:rFonts w:asciiTheme="majorHAnsi" w:hAnsiTheme="majorHAnsi"/>
        </w:rPr>
        <w:t xml:space="preserve">a next micro/macro complementarity will quickly settle in. But it will take a form that could not have been predicted, but is now suddenly doable and thinkable. </w:t>
      </w:r>
      <w:r w:rsidRPr="00A31B56">
        <w:rPr>
          <w:rStyle w:val="Emphasis"/>
          <w:rFonts w:asciiTheme="majorHAnsi" w:hAnsiTheme="majorHAnsi"/>
        </w:rPr>
        <w:t xml:space="preserve">Micropolitics is what makes the unimaginable practicable. It’s the potential that makes possible. </w:t>
      </w:r>
    </w:p>
    <w:p w14:paraId="47EC0436" w14:textId="77777777" w:rsidR="00401EAF" w:rsidRPr="00401EAF" w:rsidRDefault="00401EAF" w:rsidP="00401EAF"/>
    <w:p w14:paraId="3565F141" w14:textId="77777777" w:rsidR="00E735C3" w:rsidRDefault="00E735C3" w:rsidP="00C63446">
      <w:pPr>
        <w:rPr>
          <w:sz w:val="16"/>
        </w:rPr>
      </w:pPr>
    </w:p>
    <w:p w14:paraId="220A1456"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GaramondPro-Italic">
    <w:altName w:val="Yu Gothic"/>
    <w:panose1 w:val="020B0604020202020204"/>
    <w:charset w:val="80"/>
    <w:family w:val="auto"/>
    <w:notTrueType/>
    <w:pitch w:val="default"/>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C63446"/>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95A69"/>
    <w:rsid w:val="000A2D8A"/>
    <w:rsid w:val="000B45D3"/>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C44B4"/>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45B2"/>
    <w:rsid w:val="002B5511"/>
    <w:rsid w:val="002B7ACF"/>
    <w:rsid w:val="002C6121"/>
    <w:rsid w:val="002E0643"/>
    <w:rsid w:val="002E392E"/>
    <w:rsid w:val="002E6BBC"/>
    <w:rsid w:val="002F1948"/>
    <w:rsid w:val="002F1BA9"/>
    <w:rsid w:val="002F6E74"/>
    <w:rsid w:val="00307E09"/>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1EAF"/>
    <w:rsid w:val="004039AF"/>
    <w:rsid w:val="00407AFF"/>
    <w:rsid w:val="0041155D"/>
    <w:rsid w:val="004170BF"/>
    <w:rsid w:val="004270E3"/>
    <w:rsid w:val="004348DC"/>
    <w:rsid w:val="00434921"/>
    <w:rsid w:val="00442018"/>
    <w:rsid w:val="00442FEC"/>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1F71"/>
    <w:rsid w:val="00563D3D"/>
    <w:rsid w:val="005659AA"/>
    <w:rsid w:val="005676E8"/>
    <w:rsid w:val="00577C12"/>
    <w:rsid w:val="00580BFC"/>
    <w:rsid w:val="00581048"/>
    <w:rsid w:val="00581203"/>
    <w:rsid w:val="0058349C"/>
    <w:rsid w:val="00585FBE"/>
    <w:rsid w:val="005870E8"/>
    <w:rsid w:val="0058789C"/>
    <w:rsid w:val="005A43C0"/>
    <w:rsid w:val="005A4D4E"/>
    <w:rsid w:val="005A7237"/>
    <w:rsid w:val="005B21FA"/>
    <w:rsid w:val="005B3244"/>
    <w:rsid w:val="005B6EE8"/>
    <w:rsid w:val="005B7731"/>
    <w:rsid w:val="005C4515"/>
    <w:rsid w:val="005C5602"/>
    <w:rsid w:val="005C74A6"/>
    <w:rsid w:val="005D3B4D"/>
    <w:rsid w:val="005D48D5"/>
    <w:rsid w:val="005D615C"/>
    <w:rsid w:val="005E1860"/>
    <w:rsid w:val="005F063B"/>
    <w:rsid w:val="005F192D"/>
    <w:rsid w:val="005F24C8"/>
    <w:rsid w:val="005F26AF"/>
    <w:rsid w:val="00607D6C"/>
    <w:rsid w:val="00612A71"/>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6F60A1"/>
    <w:rsid w:val="00717B01"/>
    <w:rsid w:val="007227D9"/>
    <w:rsid w:val="0072491F"/>
    <w:rsid w:val="00725598"/>
    <w:rsid w:val="007374A1"/>
    <w:rsid w:val="00752712"/>
    <w:rsid w:val="00753A84"/>
    <w:rsid w:val="0075742C"/>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E5FD5"/>
    <w:rsid w:val="009F1CBB"/>
    <w:rsid w:val="009F3305"/>
    <w:rsid w:val="009F6FB2"/>
    <w:rsid w:val="00A071C0"/>
    <w:rsid w:val="00A22670"/>
    <w:rsid w:val="00A24B35"/>
    <w:rsid w:val="00A271BA"/>
    <w:rsid w:val="00A27F86"/>
    <w:rsid w:val="00A431C6"/>
    <w:rsid w:val="00A54315"/>
    <w:rsid w:val="00A56127"/>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ADB"/>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43B1"/>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0644"/>
    <w:rsid w:val="00C56DCC"/>
    <w:rsid w:val="00C57075"/>
    <w:rsid w:val="00C63446"/>
    <w:rsid w:val="00C72AFE"/>
    <w:rsid w:val="00C81619"/>
    <w:rsid w:val="00CA013C"/>
    <w:rsid w:val="00CA2935"/>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545D"/>
    <w:rsid w:val="00E36881"/>
    <w:rsid w:val="00E42E4C"/>
    <w:rsid w:val="00E47013"/>
    <w:rsid w:val="00E541F9"/>
    <w:rsid w:val="00E57B79"/>
    <w:rsid w:val="00E63419"/>
    <w:rsid w:val="00E64496"/>
    <w:rsid w:val="00E72115"/>
    <w:rsid w:val="00E735C3"/>
    <w:rsid w:val="00E747BF"/>
    <w:rsid w:val="00E8322E"/>
    <w:rsid w:val="00E903E0"/>
    <w:rsid w:val="00E92A7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1F9"/>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5F7FC1"/>
  <w14:defaultImageDpi w14:val="300"/>
  <w15:docId w15:val="{AFA36A7F-7E93-E74F-BEF3-36626AF82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5742C"/>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574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5742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5742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75742C"/>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574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742C"/>
  </w:style>
  <w:style w:type="character" w:customStyle="1" w:styleId="Heading1Char">
    <w:name w:val="Heading 1 Char"/>
    <w:aliases w:val="Pocket Char"/>
    <w:basedOn w:val="DefaultParagraphFont"/>
    <w:link w:val="Heading1"/>
    <w:uiPriority w:val="9"/>
    <w:rsid w:val="0075742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5742C"/>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5742C"/>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75742C"/>
    <w:rPr>
      <w:rFonts w:ascii="Calibri" w:eastAsiaTheme="majorEastAsia" w:hAnsi="Calibri" w:cstheme="majorBidi"/>
      <w:b/>
      <w:bCs/>
      <w:sz w:val="26"/>
      <w:szCs w:val="26"/>
    </w:rPr>
  </w:style>
  <w:style w:type="character" w:customStyle="1" w:styleId="Style13ptBold">
    <w:name w:val="Style 13 pt Bold"/>
    <w:aliases w:val="Cite,Style Style Bold + 12pt,Style Style Bold + 12 pt,Style Style Bold,Style Style + 12 pt,Style Style Bo... +,Old Cite,Style Style Bold + 10 pt,tagld + 12 pt,Style Style Bold + 13 pt,Style Style Bold + 11 pt,tag + 12 pt,Not...,Not.,Not"/>
    <w:basedOn w:val="DefaultParagraphFont"/>
    <w:uiPriority w:val="1"/>
    <w:qFormat/>
    <w:rsid w:val="0075742C"/>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ci,Intense Emphasis111,c,Bo"/>
    <w:basedOn w:val="DefaultParagraphFont"/>
    <w:uiPriority w:val="1"/>
    <w:qFormat/>
    <w:rsid w:val="0075742C"/>
    <w:rPr>
      <w:b w:val="0"/>
      <w:sz w:val="22"/>
      <w:u w:val="single"/>
    </w:rPr>
  </w:style>
  <w:style w:type="character" w:styleId="Emphasis">
    <w:name w:val="Emphasis"/>
    <w:aliases w:val="Evidence,Minimized,minimized,Highlighted,tag2,Size 10,emphasis in card,CD Card,ED - Tag,emphasis,Underlined,Bold Underline,Emphasis!!,small,Qualifications,normal card text,Shrunk,qualifications in card,qualifications,Style1,Debate,B,Text 8,Box"/>
    <w:basedOn w:val="DefaultParagraphFont"/>
    <w:link w:val="Emphasis1"/>
    <w:uiPriority w:val="20"/>
    <w:qFormat/>
    <w:rsid w:val="0075742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5742C"/>
    <w:rPr>
      <w:color w:val="auto"/>
      <w:u w:val="none"/>
    </w:rPr>
  </w:style>
  <w:style w:type="character" w:styleId="Hyperlink">
    <w:name w:val="Hyperlink"/>
    <w:aliases w:val="Read,Important,heading 1 (block title),Card Text,Internet Link,Analytic Text"/>
    <w:basedOn w:val="DefaultParagraphFont"/>
    <w:uiPriority w:val="99"/>
    <w:unhideWhenUsed/>
    <w:rsid w:val="0075742C"/>
    <w:rPr>
      <w:color w:val="auto"/>
      <w:u w:val="none"/>
    </w:rPr>
  </w:style>
  <w:style w:type="paragraph" w:styleId="DocumentMap">
    <w:name w:val="Document Map"/>
    <w:basedOn w:val="Normal"/>
    <w:link w:val="DocumentMapChar"/>
    <w:uiPriority w:val="99"/>
    <w:semiHidden/>
    <w:unhideWhenUsed/>
    <w:rsid w:val="0075742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5742C"/>
    <w:rPr>
      <w:rFonts w:ascii="Lucida Grande" w:hAnsi="Lucida Grande" w:cs="Lucida Grande"/>
    </w:rPr>
  </w:style>
  <w:style w:type="paragraph" w:styleId="Title">
    <w:name w:val="Title"/>
    <w:basedOn w:val="Normal"/>
    <w:next w:val="Normal"/>
    <w:link w:val="TitleChar"/>
    <w:uiPriority w:val="1"/>
    <w:qFormat/>
    <w:rsid w:val="00E735C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qFormat/>
    <w:rsid w:val="00E735C3"/>
    <w:rPr>
      <w:rFonts w:asciiTheme="majorHAnsi" w:eastAsiaTheme="majorEastAsia" w:hAnsiTheme="majorHAnsi" w:cstheme="majorBidi"/>
      <w:spacing w:val="-10"/>
      <w:kern w:val="28"/>
      <w:sz w:val="56"/>
      <w:szCs w:val="56"/>
    </w:rPr>
  </w:style>
  <w:style w:type="paragraph" w:customStyle="1" w:styleId="Emphasis1">
    <w:name w:val="Emphasis1"/>
    <w:basedOn w:val="Normal"/>
    <w:link w:val="Emphasis"/>
    <w:autoRedefine/>
    <w:uiPriority w:val="20"/>
    <w:qFormat/>
    <w:rsid w:val="00E735C3"/>
    <w:pPr>
      <w:pBdr>
        <w:top w:val="single" w:sz="4" w:space="1" w:color="auto"/>
        <w:left w:val="single" w:sz="4" w:space="4" w:color="auto"/>
        <w:bottom w:val="single" w:sz="4" w:space="1" w:color="auto"/>
        <w:right w:val="single" w:sz="4" w:space="4" w:color="auto"/>
      </w:pBdr>
      <w:spacing w:line="256" w:lineRule="auto"/>
      <w:ind w:left="720"/>
    </w:pPr>
    <w:rPr>
      <w:b/>
      <w:iCs/>
      <w:u w:val="single"/>
    </w:rPr>
  </w:style>
  <w:style w:type="paragraph" w:customStyle="1" w:styleId="textbold">
    <w:name w:val="text bold"/>
    <w:basedOn w:val="Normal"/>
    <w:uiPriority w:val="20"/>
    <w:qFormat/>
    <w:rsid w:val="00401EAF"/>
    <w:pPr>
      <w:widowControl w:val="0"/>
      <w:ind w:left="720"/>
    </w:pPr>
    <w:rPr>
      <w:b/>
      <w:iCs/>
      <w:u w:val="single"/>
    </w:rPr>
  </w:style>
  <w:style w:type="paragraph" w:customStyle="1" w:styleId="card">
    <w:name w:val="card"/>
    <w:aliases w:val="No Spacing,Medium Grid 21,Tags,No Spacing31,No Spacing22,No Spacing111,No Spacing3,tag,Tag and Cite,nonunderlined,Dont use,Very Small Text,No Spacing111112,No Spacing1121,No Spacing41,No Spacing112,Card Format,Small Text,No Spacing21"/>
    <w:basedOn w:val="Normal"/>
    <w:next w:val="Normal"/>
    <w:uiPriority w:val="1"/>
    <w:qFormat/>
    <w:rsid w:val="006F60A1"/>
    <w:pPr>
      <w:ind w:left="288" w:right="288"/>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doi/full/10.1080/2201473X.2016.1141462?casa_token=Cht7qIt3BWwAAAAA%3AXjK0xQS057ASImPY3wtCzYePeDLGIgCjC4tzAiN_zEMlgw_8_IK5L_AAjydp95vZmq_8hizA_0UmSg" TargetMode="External"/><Relationship Id="rId18" Type="http://schemas.openxmlformats.org/officeDocument/2006/relationships/hyperlink" Target="https://www.tandfonline.com/doi/full/10.1080/2201473X.2016.1141462?casa_token=Cht7qIt3BWwAAAAA%3AXjK0xQS057ASImPY3wtCzYePeDLGIgCjC4tzAiN_zEMlgw_8_IK5L_AAjydp95vZmq_8hizA_0UmSg" TargetMode="External"/><Relationship Id="rId26" Type="http://schemas.openxmlformats.org/officeDocument/2006/relationships/hyperlink" Target="https://www.tandfonline.com/doi/full/10.1080/2201473X.2016.1141462?casa_token=Cht7qIt3BWwAAAAA%3AXjK0xQS057ASImPY3wtCzYePeDLGIgCjC4tzAiN_zEMlgw_8_IK5L_AAjydp95vZmq_8hizA_0UmSg" TargetMode="External"/><Relationship Id="rId3" Type="http://schemas.openxmlformats.org/officeDocument/2006/relationships/customXml" Target="../customXml/item3.xml"/><Relationship Id="rId21" Type="http://schemas.openxmlformats.org/officeDocument/2006/relationships/hyperlink" Target="https://www.tandfonline.com/doi/full/10.1080/2201473X.2016.1141462?casa_token=Cht7qIt3BWwAAAAA%3AXjK0xQS057ASImPY3wtCzYePeDLGIgCjC4tzAiN_zEMlgw_8_IK5L_AAjydp95vZmq_8hizA_0UmSg"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tandfonline.com/doi/full/10.1080/2201473X.2016.1141462?casa_token=Cht7qIt3BWwAAAAA%3AXjK0xQS057ASImPY3wtCzYePeDLGIgCjC4tzAiN_zEMlgw_8_IK5L_AAjydp95vZmq_8hizA_0UmSg" TargetMode="External"/><Relationship Id="rId17" Type="http://schemas.openxmlformats.org/officeDocument/2006/relationships/hyperlink" Target="https://www.tandfonline.com/doi/full/10.1080/2201473X.2016.1141462?casa_token=Cht7qIt3BWwAAAAA%3AXjK0xQS057ASImPY3wtCzYePeDLGIgCjC4tzAiN_zEMlgw_8_IK5L_AAjydp95vZmq_8hizA_0UmSg" TargetMode="External"/><Relationship Id="rId25" Type="http://schemas.openxmlformats.org/officeDocument/2006/relationships/hyperlink" Target="https://www.tandfonline.com/doi/full/10.1080/2201473X.2016.1141462?casa_token=Cht7qIt3BWwAAAAA%3AXjK0xQS057ASImPY3wtCzYePeDLGIgCjC4tzAiN_zEMlgw_8_IK5L_AAjydp95vZmq_8hizA_0UmSg"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tandfonline.com/doi/full/10.1080/2201473X.2016.1141462?casa_token=Cht7qIt3BWwAAAAA%3AXjK0xQS057ASImPY3wtCzYePeDLGIgCjC4tzAiN_zEMlgw_8_IK5L_AAjydp95vZmq_8hizA_0UmSg" TargetMode="External"/><Relationship Id="rId20" Type="http://schemas.openxmlformats.org/officeDocument/2006/relationships/hyperlink" Target="https://www.tandfonline.com/doi/full/10.1080/2201473X.2016.1141462?casa_token=Cht7qIt3BWwAAAAA%3AXjK0xQS057ASImPY3wtCzYePeDLGIgCjC4tzAiN_zEMlgw_8_IK5L_AAjydp95vZmq_8hizA_0UmSg" TargetMode="External"/><Relationship Id="rId29" Type="http://schemas.openxmlformats.org/officeDocument/2006/relationships/hyperlink" Target="https://manifold.umn.edu/read/7ba69a54-7131-4598-9fec-815890725d91/section/06ac5ab1-761c-43da-8a6a-0cb7ecc1760b"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andfonline.com/doi/full/10.1080/2201473X.2016.1141462?casa_token=Cht7qIt3BWwAAAAA%3AXjK0xQS057ASImPY3wtCzYePeDLGIgCjC4tzAiN_zEMlgw_8_IK5L_AAjydp95vZmq_8hizA_0UmSg" TargetMode="External"/><Relationship Id="rId24" Type="http://schemas.openxmlformats.org/officeDocument/2006/relationships/hyperlink" Target="https://www.tandfonline.com/doi/full/10.1080/2201473X.2016.1141462?casa_token=Cht7qIt3BWwAAAAA%3AXjK0xQS057ASImPY3wtCzYePeDLGIgCjC4tzAiN_zEMlgw_8_IK5L_AAjydp95vZmq_8hizA_0UmSg" TargetMode="External"/><Relationship Id="rId32" Type="http://schemas.openxmlformats.org/officeDocument/2006/relationships/hyperlink" Target="http://www.inflexions.org" TargetMode="External"/><Relationship Id="rId5" Type="http://schemas.openxmlformats.org/officeDocument/2006/relationships/numbering" Target="numbering.xml"/><Relationship Id="rId15" Type="http://schemas.openxmlformats.org/officeDocument/2006/relationships/hyperlink" Target="https://www.tandfonline.com/doi/full/10.1080/2201473X.2016.1141462?casa_token=Cht7qIt3BWwAAAAA%3AXjK0xQS057ASImPY3wtCzYePeDLGIgCjC4tzAiN_zEMlgw_8_IK5L_AAjydp95vZmq_8hizA_0UmSg" TargetMode="External"/><Relationship Id="rId23" Type="http://schemas.openxmlformats.org/officeDocument/2006/relationships/hyperlink" Target="https://www.tandfonline.com/doi/full/10.1080/2201473X.2016.1141462?casa_token=Cht7qIt3BWwAAAAA%3AXjK0xQS057ASImPY3wtCzYePeDLGIgCjC4tzAiN_zEMlgw_8_IK5L_AAjydp95vZmq_8hizA_0UmSg" TargetMode="External"/><Relationship Id="rId28" Type="http://schemas.openxmlformats.org/officeDocument/2006/relationships/hyperlink" Target="https://manifold.umn.edu/read/7ba69a54-7131-4598-9fec-815890725d91/section/d267e2f2-15aa-4484-a557-bf294627a0df" TargetMode="External"/><Relationship Id="rId10" Type="http://schemas.openxmlformats.org/officeDocument/2006/relationships/hyperlink" Target="https://www.tandfonline.com/doi/full/10.1080/2201473X.2016.1141462?casa_token=Cht7qIt3BWwAAAAA%3AXjK0xQS057ASImPY3wtCzYePeDLGIgCjC4tzAiN_zEMlgw_8_IK5L_AAjydp95vZmq_8hizA_0UmSg" TargetMode="External"/><Relationship Id="rId19" Type="http://schemas.openxmlformats.org/officeDocument/2006/relationships/hyperlink" Target="https://www.tandfonline.com/doi/full/10.1080/2201473X.2016.1141462?casa_token=Cht7qIt3BWwAAAAA%3AXjK0xQS057ASImPY3wtCzYePeDLGIgCjC4tzAiN_zEMlgw_8_IK5L_AAjydp95vZmq_8hizA_0UmSg" TargetMode="External"/><Relationship Id="rId31" Type="http://schemas.openxmlformats.org/officeDocument/2006/relationships/hyperlink" Target="https://manifold.umn.edu/read/7ba69a54-7131-4598-9fec-815890725d91/section/06ac5ab1-761c-43da-8a6a-0cb7ecc1760b" TargetMode="External"/><Relationship Id="rId4" Type="http://schemas.openxmlformats.org/officeDocument/2006/relationships/customXml" Target="../customXml/item4.xml"/><Relationship Id="rId9" Type="http://schemas.openxmlformats.org/officeDocument/2006/relationships/hyperlink" Target="http://muse.jhu.edu.proxy.lib.wayne.edu/journals/theory_and_event/v013/13.3.evans02.html" TargetMode="External"/><Relationship Id="rId14" Type="http://schemas.openxmlformats.org/officeDocument/2006/relationships/hyperlink" Target="https://www.tandfonline.com/doi/full/10.1080/2201473X.2016.1141462?casa_token=Cht7qIt3BWwAAAAA%3AXjK0xQS057ASImPY3wtCzYePeDLGIgCjC4tzAiN_zEMlgw_8_IK5L_AAjydp95vZmq_8hizA_0UmSg" TargetMode="External"/><Relationship Id="rId22" Type="http://schemas.openxmlformats.org/officeDocument/2006/relationships/hyperlink" Target="https://www.tandfonline.com/doi/full/10.1080/2201473X.2016.1141462?casa_token=Cht7qIt3BWwAAAAA%3AXjK0xQS057ASImPY3wtCzYePeDLGIgCjC4tzAiN_zEMlgw_8_IK5L_AAjydp95vZmq_8hizA_0UmSg" TargetMode="External"/><Relationship Id="rId27" Type="http://schemas.openxmlformats.org/officeDocument/2006/relationships/hyperlink" Target="https://www.tandfonline.com/doi/full/10.1080/2201473X.2016.1141462?casa_token=Cht7qIt3BWwAAAAA%3AXjK0xQS057ASImPY3wtCzYePeDLGIgCjC4tzAiN_zEMlgw_8_IK5L_AAjydp95vZmq_8hizA_0UmSg" TargetMode="External"/><Relationship Id="rId30" Type="http://schemas.openxmlformats.org/officeDocument/2006/relationships/hyperlink" Target="https://manifold.umn.edu/read/7ba69a54-7131-4598-9fec-815890725d91/section/06ac5ab1-761c-43da-8a6a-0cb7ecc1760b" TargetMode="Externa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mollis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1938FAEF-D1C3-4A40-B2AD-CB16706D2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TotalTime>
  <Pages>43</Pages>
  <Words>20891</Words>
  <Characters>119081</Characters>
  <Application>Microsoft Office Word</Application>
  <DocSecurity>0</DocSecurity>
  <Lines>992</Lines>
  <Paragraphs>279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139693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27</cp:revision>
  <dcterms:created xsi:type="dcterms:W3CDTF">2020-07-07T20:49:00Z</dcterms:created>
  <dcterms:modified xsi:type="dcterms:W3CDTF">2020-07-08T15:47:00Z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