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A5DA6" w14:textId="6A189079" w:rsidR="00A95652" w:rsidRPr="00661A68" w:rsidRDefault="00305A32" w:rsidP="00305A32">
      <w:pPr>
        <w:pStyle w:val="Heading1"/>
      </w:pPr>
      <w:r w:rsidRPr="00661A68">
        <w:t>WAVE 0—States CP</w:t>
      </w:r>
    </w:p>
    <w:p w14:paraId="4B6B5A7B" w14:textId="71140870" w:rsidR="00305A32" w:rsidRPr="00661A68" w:rsidRDefault="00305A32" w:rsidP="00305A32">
      <w:pPr>
        <w:pStyle w:val="Heading2"/>
      </w:pPr>
      <w:r w:rsidRPr="00661A68">
        <w:t>1NC</w:t>
      </w:r>
    </w:p>
    <w:p w14:paraId="2894946B" w14:textId="606F9564" w:rsidR="00305A32" w:rsidRPr="00661A68" w:rsidRDefault="00305A32" w:rsidP="00305A32">
      <w:pPr>
        <w:pStyle w:val="Heading3"/>
      </w:pPr>
      <w:r w:rsidRPr="00661A68">
        <w:t>Gener</w:t>
      </w:r>
      <w:r w:rsidR="00EA1D58" w:rsidRPr="00661A68">
        <w:t>ic</w:t>
      </w:r>
    </w:p>
    <w:p w14:paraId="12FCD044" w14:textId="1359118D" w:rsidR="001901FC" w:rsidRPr="00661A68" w:rsidRDefault="001901FC" w:rsidP="001901FC">
      <w:pPr>
        <w:pStyle w:val="Heading4"/>
      </w:pPr>
      <w:r w:rsidRPr="00661A68">
        <w:t>The fifty United States and relevant territories should [PLAN]</w:t>
      </w:r>
    </w:p>
    <w:p w14:paraId="72BEB045" w14:textId="77777777" w:rsidR="00AF46E1" w:rsidRPr="00661A68" w:rsidRDefault="00AF46E1" w:rsidP="00AF46E1"/>
    <w:p w14:paraId="26E6CA3C" w14:textId="0CC84271" w:rsidR="00CF2716" w:rsidRPr="00661A68" w:rsidRDefault="00CF2716" w:rsidP="00CF2716">
      <w:pPr>
        <w:pStyle w:val="Heading4"/>
      </w:pPr>
      <w:r w:rsidRPr="00661A68">
        <w:t>States solve better</w:t>
      </w:r>
      <w:r w:rsidR="00CD3373" w:rsidRPr="00661A68">
        <w:t>—</w:t>
      </w:r>
      <w:r w:rsidRPr="00661A68">
        <w:t>empirics</w:t>
      </w:r>
      <w:r w:rsidR="00CD3373" w:rsidRPr="00661A68">
        <w:t xml:space="preserve"> </w:t>
      </w:r>
    </w:p>
    <w:p w14:paraId="79A9A9A3" w14:textId="34911CC6" w:rsidR="00CD3373" w:rsidRPr="00661A68" w:rsidRDefault="00CD3373" w:rsidP="00CD3373">
      <w:r w:rsidRPr="00661A68">
        <w:t>--public opinion sides with state policy</w:t>
      </w:r>
    </w:p>
    <w:p w14:paraId="3E09B943" w14:textId="7843A538" w:rsidR="00CD3373" w:rsidRPr="00661A68" w:rsidRDefault="00CD3373" w:rsidP="00CD3373">
      <w:r w:rsidRPr="00661A68">
        <w:t>--even red states want sentencing reduction and prison reform (political w</w:t>
      </w:r>
      <w:r w:rsidR="00C1538C" w:rsidRPr="00661A68">
        <w:t>ill)</w:t>
      </w:r>
    </w:p>
    <w:p w14:paraId="5626462F" w14:textId="23D69358" w:rsidR="008C5A6B" w:rsidRPr="00661A68" w:rsidRDefault="008C5A6B" w:rsidP="00CD3373">
      <w:r w:rsidRPr="00661A68">
        <w:t>***YOU DON’T HAVE TO INCLUDE THE GRAPHS they’re just useful to have</w:t>
      </w:r>
    </w:p>
    <w:p w14:paraId="7EE9385C" w14:textId="77777777" w:rsidR="00CF2716" w:rsidRPr="00661A68" w:rsidRDefault="00CF2716" w:rsidP="00CF2716">
      <w:r w:rsidRPr="00661A68">
        <w:rPr>
          <w:rStyle w:val="Style13ptBold"/>
        </w:rPr>
        <w:t>PEW Research Center 17</w:t>
      </w:r>
      <w:r w:rsidRPr="00661A68">
        <w:t xml:space="preserve"> [“State Reforms Reverse Decades of Incarceration Growth”, Public Safety Projects; published 3/21/17, accessed 5/30/20; https://www.pewtrusts.org/en/research-and-analysis/issue-briefs/2017/03/state-reforms-reverse-decades-of-incarceration-growth</w:t>
      </w:r>
    </w:p>
    <w:p w14:paraId="22D875A6" w14:textId="77777777" w:rsidR="00D11908" w:rsidRPr="00661A68" w:rsidRDefault="00CF2716" w:rsidP="00CF2716">
      <w:pPr>
        <w:rPr>
          <w:sz w:val="16"/>
        </w:rPr>
      </w:pPr>
      <w:r w:rsidRPr="00661A68">
        <w:rPr>
          <w:sz w:val="16"/>
        </w:rPr>
        <w:t>Overview</w:t>
      </w:r>
      <w:r w:rsidR="00CD3373" w:rsidRPr="00661A68">
        <w:rPr>
          <w:sz w:val="16"/>
        </w:rPr>
        <w:t xml:space="preserve"> </w:t>
      </w:r>
      <w:r w:rsidRPr="00661A68">
        <w:rPr>
          <w:u w:val="single"/>
        </w:rPr>
        <w:t>From the mid-1970s to the mid-2000s, the U.S. incarceration rate more than quadrupled</w:t>
      </w:r>
      <w:r w:rsidRPr="00661A68">
        <w:rPr>
          <w:sz w:val="16"/>
        </w:rPr>
        <w:t xml:space="preserve"> as federal and state lawmakers mandated longer criminal sentences, placed restrictions on inmates’ release from prison, and made other policy changes intended to reduce crime.1</w:t>
      </w:r>
      <w:r w:rsidR="00CD3373" w:rsidRPr="00661A68">
        <w:rPr>
          <w:sz w:val="16"/>
        </w:rPr>
        <w:t xml:space="preserve"> </w:t>
      </w:r>
      <w:r w:rsidRPr="00661A68">
        <w:rPr>
          <w:sz w:val="16"/>
        </w:rPr>
        <w:t>By 2007,</w:t>
      </w:r>
      <w:r w:rsidR="00CD3373" w:rsidRPr="00661A68">
        <w:rPr>
          <w:sz w:val="16"/>
        </w:rPr>
        <w:t xml:space="preserve"> </w:t>
      </w:r>
      <w:hyperlink r:id="rId6" w:history="1">
        <w:r w:rsidRPr="00661A68">
          <w:rPr>
            <w:rStyle w:val="Hyperlink"/>
            <w:sz w:val="16"/>
          </w:rPr>
          <w:t>1 in 100</w:t>
        </w:r>
      </w:hyperlink>
      <w:r w:rsidR="00CD3373" w:rsidRPr="00661A68">
        <w:rPr>
          <w:sz w:val="16"/>
        </w:rPr>
        <w:t xml:space="preserve"> </w:t>
      </w:r>
      <w:r w:rsidRPr="00661A68">
        <w:rPr>
          <w:sz w:val="16"/>
        </w:rPr>
        <w:t>American adults was behind bars, and</w:t>
      </w:r>
      <w:r w:rsidR="00CD3373" w:rsidRPr="00661A68">
        <w:rPr>
          <w:sz w:val="16"/>
        </w:rPr>
        <w:t xml:space="preserve"> </w:t>
      </w:r>
      <w:hyperlink r:id="rId7" w:tgtFrame="_blank" w:history="1">
        <w:r w:rsidRPr="00661A68">
          <w:rPr>
            <w:rStyle w:val="Hyperlink"/>
            <w:sz w:val="16"/>
          </w:rPr>
          <w:t>1 in 31</w:t>
        </w:r>
      </w:hyperlink>
      <w:r w:rsidR="00CD3373" w:rsidRPr="00661A68">
        <w:rPr>
          <w:sz w:val="16"/>
        </w:rPr>
        <w:t xml:space="preserve"> </w:t>
      </w:r>
      <w:r w:rsidRPr="00661A68">
        <w:rPr>
          <w:sz w:val="16"/>
        </w:rPr>
        <w:t>was under some form of correctional control, including probation or parole.2</w:t>
      </w:r>
      <w:r w:rsidR="00CD3373" w:rsidRPr="00661A68">
        <w:rPr>
          <w:sz w:val="16"/>
        </w:rPr>
        <w:t xml:space="preserve"> </w:t>
      </w:r>
      <w:r w:rsidRPr="00661A68">
        <w:rPr>
          <w:sz w:val="16"/>
        </w:rPr>
        <w:t>Meanwhile, combined local, state, and federal taxpayer spending on corrections had soared to more than $74 billion a year.3</w:t>
      </w:r>
      <w:r w:rsidR="00CD3373" w:rsidRPr="00661A68">
        <w:rPr>
          <w:sz w:val="16"/>
        </w:rPr>
        <w:t xml:space="preserve"> </w:t>
      </w:r>
      <w:r w:rsidRPr="00661A68">
        <w:rPr>
          <w:u w:val="single"/>
        </w:rPr>
        <w:t>Since 2007, more than 30 states have enacted policies to reverse corrections growth and contain costs, while maintaining the long-term, nationwide decline in the crime rate that began in the early 1990s</w:t>
      </w:r>
      <w:r w:rsidRPr="00661A68">
        <w:rPr>
          <w:sz w:val="16"/>
        </w:rPr>
        <w:t>.4</w:t>
      </w:r>
      <w:r w:rsidR="00CD3373" w:rsidRPr="00661A68">
        <w:rPr>
          <w:sz w:val="16"/>
        </w:rPr>
        <w:t xml:space="preserve"> </w:t>
      </w:r>
      <w:r w:rsidRPr="00661A68">
        <w:rPr>
          <w:sz w:val="16"/>
        </w:rPr>
        <w:t>These policies prioritize costly prison space for violent and career offenders, adjust lengthy prison terms, expand prison alternatives for nonviolent offenders, and direct the resulting savings into programs that reduce recidivism.</w:t>
      </w:r>
      <w:r w:rsidR="00CD3373" w:rsidRPr="00661A68">
        <w:rPr>
          <w:sz w:val="16"/>
        </w:rPr>
        <w:t xml:space="preserve"> </w:t>
      </w:r>
      <w:r w:rsidRPr="00661A68">
        <w:rPr>
          <w:sz w:val="16"/>
        </w:rPr>
        <w:t>Many of the reforms were advanced with technical assistance provided to states as part of the Justice Reinvestment Initiative, a partnership of The Pew Charitable Trusts, the U.S. Department of Justice Bureau of Justice Assistance, the Council of State Governments Justice Center, the Crime and Justice Institute, and other organizations.</w:t>
      </w:r>
      <w:r w:rsidR="00CD3373" w:rsidRPr="00661A68">
        <w:rPr>
          <w:sz w:val="16"/>
        </w:rPr>
        <w:t xml:space="preserve"> </w:t>
      </w:r>
      <w:r w:rsidRPr="00661A68">
        <w:rPr>
          <w:u w:val="single"/>
        </w:rPr>
        <w:t>Between 2007 and 2015, the incarceration rate receded to 1 in 115 adults, the correctional control rate dropped to</w:t>
      </w:r>
      <w:r w:rsidR="00CD3373" w:rsidRPr="00661A68">
        <w:rPr>
          <w:u w:val="single"/>
        </w:rPr>
        <w:t xml:space="preserve"> </w:t>
      </w:r>
      <w:hyperlink r:id="rId8" w:tgtFrame="_blank" w:history="1">
        <w:r w:rsidRPr="00661A68">
          <w:rPr>
            <w:rStyle w:val="Hyperlink"/>
            <w:u w:val="single"/>
          </w:rPr>
          <w:t>1 in 37</w:t>
        </w:r>
      </w:hyperlink>
      <w:r w:rsidRPr="00661A68">
        <w:rPr>
          <w:u w:val="single"/>
        </w:rPr>
        <w:t>, and the overall crime rate continued its downward trend</w:t>
      </w:r>
      <w:r w:rsidRPr="00661A68">
        <w:rPr>
          <w:sz w:val="16"/>
        </w:rPr>
        <w:t>.5</w:t>
      </w:r>
      <w:r w:rsidR="00CD3373" w:rsidRPr="00661A68">
        <w:rPr>
          <w:sz w:val="16"/>
        </w:rPr>
        <w:t xml:space="preserve"> </w:t>
      </w:r>
      <w:r w:rsidRPr="00661A68">
        <w:rPr>
          <w:sz w:val="16"/>
        </w:rPr>
        <w:t>This chartbook examines the long-term increase in U.S. incarceration and highlights three key drivers of the recent decline:</w:t>
      </w:r>
      <w:r w:rsidR="00CD3373" w:rsidRPr="00661A68">
        <w:rPr>
          <w:sz w:val="16"/>
        </w:rPr>
        <w:t xml:space="preserve"> </w:t>
      </w:r>
      <w:r w:rsidRPr="00661A68">
        <w:rPr>
          <w:sz w:val="16"/>
        </w:rPr>
        <w:t>States have shown it is possible to reduce imprisonment and crime rates at the same time.</w:t>
      </w:r>
      <w:r w:rsidR="00CD3373" w:rsidRPr="00661A68">
        <w:rPr>
          <w:sz w:val="16"/>
        </w:rPr>
        <w:t xml:space="preserve"> </w:t>
      </w:r>
      <w:r w:rsidRPr="00661A68">
        <w:rPr>
          <w:sz w:val="16"/>
        </w:rPr>
        <w:t>Research has identified effective alternatives to incarceration.</w:t>
      </w:r>
      <w:r w:rsidR="00CD3373" w:rsidRPr="00661A68">
        <w:rPr>
          <w:sz w:val="16"/>
        </w:rPr>
        <w:t xml:space="preserve"> </w:t>
      </w:r>
      <w:r w:rsidRPr="00661A68">
        <w:rPr>
          <w:sz w:val="16"/>
        </w:rPr>
        <w:t>Voters across the political spectrum strongly support criminal justice reform.</w:t>
      </w:r>
      <w:r w:rsidR="00CD3373" w:rsidRPr="00661A68">
        <w:rPr>
          <w:sz w:val="16"/>
        </w:rPr>
        <w:t xml:space="preserve"> </w:t>
      </w:r>
      <w:r w:rsidRPr="00661A68">
        <w:rPr>
          <w:noProof/>
          <w:sz w:val="16"/>
        </w:rPr>
        <w:drawing>
          <wp:inline distT="0" distB="0" distL="0" distR="0" wp14:anchorId="04766C95" wp14:editId="4E3036B7">
            <wp:extent cx="6195060" cy="4213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95060" cy="4213860"/>
                    </a:xfrm>
                    <a:prstGeom prst="rect">
                      <a:avLst/>
                    </a:prstGeom>
                    <a:noFill/>
                    <a:ln>
                      <a:noFill/>
                    </a:ln>
                  </pic:spPr>
                </pic:pic>
              </a:graphicData>
            </a:graphic>
          </wp:inline>
        </w:drawing>
      </w:r>
      <w:r w:rsidR="00CD3373" w:rsidRPr="00661A68">
        <w:rPr>
          <w:sz w:val="16"/>
        </w:rPr>
        <w:t xml:space="preserve"> </w:t>
      </w:r>
      <w:r w:rsidRPr="00661A68">
        <w:rPr>
          <w:sz w:val="16"/>
        </w:rPr>
        <w:t>After remaining relatively stable for half a century, the U.S. incarceration rate grew more than fourfold between the mid-1970s and mid-2000s.6</w:t>
      </w:r>
      <w:r w:rsidR="00CD3373" w:rsidRPr="00661A68">
        <w:rPr>
          <w:sz w:val="16"/>
        </w:rPr>
        <w:t xml:space="preserve"> </w:t>
      </w:r>
      <w:r w:rsidRPr="00661A68">
        <w:rPr>
          <w:sz w:val="16"/>
        </w:rPr>
        <w:t>In 1972, 1 in 417 adults was in a state or federal prison or a local jail, but by 2007 that rate had reached 1 in 100 adults, or roughly 2.3 million of 230 million adult Americans.7</w:t>
      </w:r>
      <w:r w:rsidR="00CD3373" w:rsidRPr="00661A68">
        <w:rPr>
          <w:sz w:val="16"/>
        </w:rPr>
        <w:t xml:space="preserve"> </w:t>
      </w:r>
      <w:r w:rsidRPr="00661A68">
        <w:rPr>
          <w:sz w:val="16"/>
        </w:rPr>
        <w:t>Changes in crime rates contributed “virtually nothing” to the growth in incarceration during this period, according to the National Research Council.8</w:t>
      </w:r>
      <w:r w:rsidR="00CD3373" w:rsidRPr="00661A68">
        <w:rPr>
          <w:sz w:val="16"/>
        </w:rPr>
        <w:t xml:space="preserve"> </w:t>
      </w:r>
      <w:r w:rsidRPr="00661A68">
        <w:rPr>
          <w:sz w:val="16"/>
        </w:rPr>
        <w:t>Instead, policy changes that increased prison admissions and extended the amount of time served were responsible for the dramatically higher incarceration levels.9</w:t>
      </w:r>
      <w:r w:rsidR="00CD3373" w:rsidRPr="00661A68">
        <w:rPr>
          <w:sz w:val="16"/>
        </w:rPr>
        <w:t xml:space="preserve"> </w:t>
      </w:r>
      <w:r w:rsidRPr="00661A68">
        <w:rPr>
          <w:sz w:val="16"/>
        </w:rPr>
        <w:t>Between 1990 and 2009, state prison terms grew by an average of 36 percent, or nine months, to nearly three years.10</w:t>
      </w:r>
      <w:r w:rsidR="00CD3373" w:rsidRPr="00661A68">
        <w:rPr>
          <w:sz w:val="16"/>
        </w:rPr>
        <w:t xml:space="preserve"> </w:t>
      </w:r>
      <w:r w:rsidRPr="00661A68">
        <w:rPr>
          <w:noProof/>
          <w:sz w:val="16"/>
        </w:rPr>
        <w:drawing>
          <wp:inline distT="0" distB="0" distL="0" distR="0" wp14:anchorId="2AAFF93A" wp14:editId="3BF8EB61">
            <wp:extent cx="6195060" cy="5067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5060" cy="5067300"/>
                    </a:xfrm>
                    <a:prstGeom prst="rect">
                      <a:avLst/>
                    </a:prstGeom>
                    <a:noFill/>
                    <a:ln>
                      <a:noFill/>
                    </a:ln>
                  </pic:spPr>
                </pic:pic>
              </a:graphicData>
            </a:graphic>
          </wp:inline>
        </w:drawing>
      </w:r>
      <w:r w:rsidR="00CD3373" w:rsidRPr="00661A68">
        <w:rPr>
          <w:sz w:val="16"/>
        </w:rPr>
        <w:t xml:space="preserve"> </w:t>
      </w:r>
      <w:r w:rsidRPr="00661A68">
        <w:rPr>
          <w:sz w:val="16"/>
        </w:rPr>
        <w:t>Rising taxpayer costs accompanied the explosive growth in the U.S. jail and prison populations. Adjusted for inflation, annual corrections expenditures—including federal, state, and local spending—rose from $21 billion in 1982, the earliest year for which comparable data are available, to more than $74 billion in 2007.11</w:t>
      </w:r>
      <w:r w:rsidR="00CD3373" w:rsidRPr="00661A68">
        <w:rPr>
          <w:sz w:val="16"/>
        </w:rPr>
        <w:t xml:space="preserve"> </w:t>
      </w:r>
      <w:r w:rsidRPr="00661A68">
        <w:rPr>
          <w:u w:val="single"/>
        </w:rPr>
        <w:t>For state governments, which manage most of the nation’s prisoners, general fund spending on corrections rose from $19 billion in 1987 to $49 billion in 2007</w:t>
      </w:r>
      <w:r w:rsidRPr="00661A68">
        <w:rPr>
          <w:sz w:val="16"/>
        </w:rPr>
        <w:t>, after adjusting for inflation.12</w:t>
      </w:r>
      <w:r w:rsidR="00CD3373" w:rsidRPr="00661A68">
        <w:rPr>
          <w:sz w:val="16"/>
        </w:rPr>
        <w:t xml:space="preserve"> </w:t>
      </w:r>
      <w:r w:rsidRPr="00661A68">
        <w:rPr>
          <w:sz w:val="16"/>
        </w:rPr>
        <w:t>By 2007, 1 in 14 state dollars was going to corrections, up from 1 in 20 in 1987.13</w:t>
      </w:r>
      <w:r w:rsidR="00CD3373" w:rsidRPr="00661A68">
        <w:rPr>
          <w:sz w:val="16"/>
        </w:rPr>
        <w:t xml:space="preserve"> </w:t>
      </w:r>
      <w:r w:rsidRPr="00661A68">
        <w:rPr>
          <w:u w:val="single"/>
        </w:rPr>
        <w:t>Prisons accounted for nearly 90 percent of those costs</w:t>
      </w:r>
      <w:r w:rsidRPr="00661A68">
        <w:rPr>
          <w:sz w:val="16"/>
        </w:rPr>
        <w:t>, even though two-thirds of offenders were under community supervision.14</w:t>
      </w:r>
      <w:r w:rsidR="00CD3373" w:rsidRPr="00661A68">
        <w:rPr>
          <w:sz w:val="16"/>
        </w:rPr>
        <w:t xml:space="preserve"> </w:t>
      </w:r>
      <w:r w:rsidRPr="00661A68">
        <w:rPr>
          <w:sz w:val="16"/>
        </w:rPr>
        <w:t>Throughout that 20-year period, corrections was the second-fastest growing category of state spending, trailing only Medicaid.15</w:t>
      </w:r>
      <w:r w:rsidR="00CD3373" w:rsidRPr="00661A68">
        <w:rPr>
          <w:sz w:val="16"/>
        </w:rPr>
        <w:t xml:space="preserve"> </w:t>
      </w:r>
      <w:r w:rsidRPr="00661A68">
        <w:rPr>
          <w:noProof/>
          <w:sz w:val="16"/>
        </w:rPr>
        <w:drawing>
          <wp:inline distT="0" distB="0" distL="0" distR="0" wp14:anchorId="576AC2C0" wp14:editId="35BE29C6">
            <wp:extent cx="6195060" cy="5242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5060" cy="5242560"/>
                    </a:xfrm>
                    <a:prstGeom prst="rect">
                      <a:avLst/>
                    </a:prstGeom>
                    <a:noFill/>
                    <a:ln>
                      <a:noFill/>
                    </a:ln>
                  </pic:spPr>
                </pic:pic>
              </a:graphicData>
            </a:graphic>
          </wp:inline>
        </w:drawing>
      </w:r>
      <w:r w:rsidR="00CD3373" w:rsidRPr="00661A68">
        <w:rPr>
          <w:sz w:val="16"/>
        </w:rPr>
        <w:t xml:space="preserve"> </w:t>
      </w:r>
      <w:r w:rsidRPr="00661A68">
        <w:rPr>
          <w:sz w:val="16"/>
        </w:rPr>
        <w:t xml:space="preserve">Large </w:t>
      </w:r>
      <w:r w:rsidRPr="00661A68">
        <w:rPr>
          <w:u w:val="single"/>
        </w:rPr>
        <w:t>increases in incarceration and taxpayer spending had a small impact on crime but did not reduce recidivism</w:t>
      </w:r>
      <w:r w:rsidRPr="00661A68">
        <w:rPr>
          <w:sz w:val="16"/>
        </w:rPr>
        <w:t>. A comprehensive study by the U.S. Bureau of Justice Statistics (BJS) found that half of the inmates who left state prisons in 2005 were back behind bars within three years, either for a new crime or for violating the conditions of their release.16</w:t>
      </w:r>
      <w:r w:rsidR="00CD3373" w:rsidRPr="00661A68">
        <w:rPr>
          <w:sz w:val="16"/>
        </w:rPr>
        <w:t xml:space="preserve"> </w:t>
      </w:r>
      <w:r w:rsidRPr="00661A68">
        <w:rPr>
          <w:sz w:val="16"/>
        </w:rPr>
        <w:t>That rate was virtually unchanged from the one reported for 1994, when BJS conducted its previous major study on the topic,17</w:t>
      </w:r>
      <w:r w:rsidR="00CD3373" w:rsidRPr="00661A68">
        <w:rPr>
          <w:sz w:val="16"/>
        </w:rPr>
        <w:t xml:space="preserve"> </w:t>
      </w:r>
      <w:r w:rsidRPr="00661A68">
        <w:rPr>
          <w:sz w:val="16"/>
        </w:rPr>
        <w:t>and similar to the results of</w:t>
      </w:r>
      <w:r w:rsidR="00CD3373" w:rsidRPr="00661A68">
        <w:rPr>
          <w:sz w:val="16"/>
        </w:rPr>
        <w:t xml:space="preserve"> </w:t>
      </w:r>
      <w:hyperlink r:id="rId12" w:tgtFrame="_blank" w:history="1">
        <w:r w:rsidRPr="00661A68">
          <w:rPr>
            <w:rStyle w:val="Hyperlink"/>
            <w:sz w:val="16"/>
          </w:rPr>
          <w:t>Pew research on prisoners released in 1999 and 2004</w:t>
        </w:r>
      </w:hyperlink>
      <w:r w:rsidRPr="00661A68">
        <w:rPr>
          <w:sz w:val="16"/>
        </w:rPr>
        <w:t>.18</w:t>
      </w:r>
      <w:r w:rsidR="00CD3373" w:rsidRPr="00661A68">
        <w:rPr>
          <w:sz w:val="16"/>
        </w:rPr>
        <w:t xml:space="preserve"> </w:t>
      </w:r>
      <w:r w:rsidRPr="00661A68">
        <w:rPr>
          <w:noProof/>
          <w:sz w:val="16"/>
        </w:rPr>
        <w:drawing>
          <wp:inline distT="0" distB="0" distL="0" distR="0" wp14:anchorId="5B556B97" wp14:editId="770D77D0">
            <wp:extent cx="6195060" cy="61798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95060" cy="6179820"/>
                    </a:xfrm>
                    <a:prstGeom prst="rect">
                      <a:avLst/>
                    </a:prstGeom>
                    <a:noFill/>
                    <a:ln>
                      <a:noFill/>
                    </a:ln>
                  </pic:spPr>
                </pic:pic>
              </a:graphicData>
            </a:graphic>
          </wp:inline>
        </w:drawing>
      </w:r>
      <w:r w:rsidR="00CD3373" w:rsidRPr="00661A68">
        <w:rPr>
          <w:sz w:val="16"/>
        </w:rPr>
        <w:t xml:space="preserve"> </w:t>
      </w:r>
      <w:r w:rsidRPr="00661A68">
        <w:rPr>
          <w:sz w:val="16"/>
        </w:rPr>
        <w:t xml:space="preserve">Faced with rising costs and poor recidivism outcomes, </w:t>
      </w:r>
      <w:r w:rsidRPr="00661A68">
        <w:rPr>
          <w:u w:val="single"/>
        </w:rPr>
        <w:t>states began searching for more effective approaches to corrections. Starting with Texas in 2007, more than 30 states have advanced reforms, including reducing lengthy prison sentences, eliminating mandatory minimum sentences, expanding parole eligibility, establishing and strengthening diversion programs, and investing the savings in evidence-based prison alternatives that can help break the cycle of recidivism.</w:t>
      </w:r>
      <w:r w:rsidRPr="00661A68">
        <w:rPr>
          <w:sz w:val="16"/>
        </w:rPr>
        <w:t>19</w:t>
      </w:r>
      <w:r w:rsidR="00CD3373" w:rsidRPr="00661A68">
        <w:rPr>
          <w:sz w:val="16"/>
        </w:rPr>
        <w:t xml:space="preserve"> </w:t>
      </w:r>
      <w:r w:rsidRPr="00661A68">
        <w:rPr>
          <w:u w:val="single"/>
        </w:rPr>
        <w:t>Although the specific policies vary from state to state, all are aimed at curbing the growth of prison populations and reducing costs to taxpayers while holding offenders accountable for their crimes.</w:t>
      </w:r>
      <w:r w:rsidRPr="00661A68">
        <w:rPr>
          <w:sz w:val="16"/>
        </w:rPr>
        <w:t xml:space="preserve"> Most of the </w:t>
      </w:r>
      <w:r w:rsidRPr="00661A68">
        <w:rPr>
          <w:u w:val="single"/>
        </w:rPr>
        <w:t>state reforms have garnered overwhelming bipartisan support</w:t>
      </w:r>
      <w:r w:rsidRPr="00661A68">
        <w:rPr>
          <w:sz w:val="16"/>
        </w:rPr>
        <w:t>, with state legislators casting more than 6,000 votes in support of the bills, compared with just over 500 votes against.20</w:t>
      </w:r>
      <w:r w:rsidR="00CD3373" w:rsidRPr="00661A68">
        <w:rPr>
          <w:sz w:val="16"/>
        </w:rPr>
        <w:t xml:space="preserve"> </w:t>
      </w:r>
      <w:r w:rsidRPr="00661A68">
        <w:rPr>
          <w:sz w:val="16"/>
        </w:rPr>
        <w:t>In several states, including Georgia, Nebraska, Pennsylvania, and Vermont, reforms passed unanimously.21</w:t>
      </w:r>
      <w:r w:rsidR="00CD3373" w:rsidRPr="00661A68">
        <w:rPr>
          <w:sz w:val="16"/>
        </w:rPr>
        <w:t xml:space="preserve"> </w:t>
      </w:r>
      <w:r w:rsidRPr="00661A68">
        <w:rPr>
          <w:noProof/>
          <w:sz w:val="16"/>
        </w:rPr>
        <w:drawing>
          <wp:inline distT="0" distB="0" distL="0" distR="0" wp14:anchorId="5ABA5F58" wp14:editId="3AE8ABAE">
            <wp:extent cx="6195060" cy="4770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5060" cy="4770120"/>
                    </a:xfrm>
                    <a:prstGeom prst="rect">
                      <a:avLst/>
                    </a:prstGeom>
                    <a:noFill/>
                    <a:ln>
                      <a:noFill/>
                    </a:ln>
                  </pic:spPr>
                </pic:pic>
              </a:graphicData>
            </a:graphic>
          </wp:inline>
        </w:drawing>
      </w:r>
      <w:r w:rsidR="00CD3373" w:rsidRPr="00661A68">
        <w:rPr>
          <w:sz w:val="16"/>
        </w:rPr>
        <w:t xml:space="preserve"> </w:t>
      </w:r>
      <w:hyperlink r:id="rId15" w:tgtFrame="_blank" w:history="1">
        <w:r w:rsidRPr="00661A68">
          <w:rPr>
            <w:rStyle w:val="Hyperlink"/>
            <w:sz w:val="16"/>
          </w:rPr>
          <w:t>South Carolina lawmakers passed far-reaching sentencing and corrections legislation in 2010</w:t>
        </w:r>
      </w:hyperlink>
      <w:r w:rsidR="00CD3373" w:rsidRPr="00661A68">
        <w:rPr>
          <w:sz w:val="16"/>
        </w:rPr>
        <w:t xml:space="preserve"> </w:t>
      </w:r>
      <w:r w:rsidRPr="00661A68">
        <w:rPr>
          <w:sz w:val="16"/>
        </w:rPr>
        <w:t>as part of the Justice Reinvestment Initiative to reduce penalties for lower-level drug offenders and prioritize prison space for chronic and violent offenders.22</w:t>
      </w:r>
      <w:r w:rsidR="00CD3373" w:rsidRPr="00661A68">
        <w:rPr>
          <w:sz w:val="16"/>
        </w:rPr>
        <w:t xml:space="preserve"> </w:t>
      </w:r>
      <w:r w:rsidRPr="00661A68">
        <w:rPr>
          <w:sz w:val="16"/>
        </w:rPr>
        <w:t>The state’s prison population was projected to surpass 28,000, but has instead fallen below 21,000, a difference of more than 25 percent. The state’s Department of Corrections has closed six prisons and estimates that the reforms have saved taxpayers $491 million.23</w:t>
      </w:r>
      <w:r w:rsidR="00CD3373" w:rsidRPr="00661A68">
        <w:rPr>
          <w:sz w:val="16"/>
        </w:rPr>
        <w:t xml:space="preserve"> </w:t>
      </w:r>
      <w:r w:rsidRPr="00661A68">
        <w:rPr>
          <w:sz w:val="16"/>
        </w:rPr>
        <w:t>South Carolina’s violent and property crime rates fell 25 and 15 percent, respectively, between 2009 and 2015.24</w:t>
      </w:r>
      <w:r w:rsidR="00CD3373" w:rsidRPr="00661A68">
        <w:rPr>
          <w:sz w:val="16"/>
        </w:rPr>
        <w:t xml:space="preserve"> </w:t>
      </w:r>
      <w:r w:rsidRPr="00661A68">
        <w:rPr>
          <w:noProof/>
          <w:sz w:val="16"/>
        </w:rPr>
        <w:drawing>
          <wp:anchor distT="0" distB="0" distL="114300" distR="114300" simplePos="0" relativeHeight="251659264" behindDoc="1" locked="0" layoutInCell="1" allowOverlap="1" wp14:anchorId="0B0EFD98" wp14:editId="6EA1017D">
            <wp:simplePos x="0" y="0"/>
            <wp:positionH relativeFrom="column">
              <wp:posOffset>0</wp:posOffset>
            </wp:positionH>
            <wp:positionV relativeFrom="paragraph">
              <wp:posOffset>0</wp:posOffset>
            </wp:positionV>
            <wp:extent cx="2346960" cy="1986111"/>
            <wp:effectExtent l="0" t="0" r="0" b="0"/>
            <wp:wrapTight wrapText="bothSides">
              <wp:wrapPolygon edited="0">
                <wp:start x="0" y="0"/>
                <wp:lineTo x="0" y="21344"/>
                <wp:lineTo x="21390" y="21344"/>
                <wp:lineTo x="2139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53098" cy="1991305"/>
                    </a:xfrm>
                    <a:prstGeom prst="rect">
                      <a:avLst/>
                    </a:prstGeom>
                    <a:noFill/>
                    <a:ln>
                      <a:noFill/>
                    </a:ln>
                  </pic:spPr>
                </pic:pic>
              </a:graphicData>
            </a:graphic>
          </wp:anchor>
        </w:drawing>
      </w:r>
      <w:r w:rsidR="00CD3373" w:rsidRPr="00661A68">
        <w:rPr>
          <w:sz w:val="16"/>
        </w:rPr>
        <w:t xml:space="preserve"> </w:t>
      </w:r>
      <w:r w:rsidRPr="00661A68">
        <w:rPr>
          <w:sz w:val="16"/>
        </w:rPr>
        <w:t>As state criminal justice reforms took hold, the U.S. incarceration rate declined from 1 in 100 adults in 2007 to 1 in 115 in 2015.25</w:t>
      </w:r>
      <w:r w:rsidR="00CD3373" w:rsidRPr="00661A68">
        <w:rPr>
          <w:sz w:val="16"/>
        </w:rPr>
        <w:t xml:space="preserve"> </w:t>
      </w:r>
      <w:r w:rsidRPr="00661A68">
        <w:rPr>
          <w:sz w:val="16"/>
        </w:rPr>
        <w:t>The share of adults on probation or parole declined from 1 in 45 to 1 in 53, and the combined rate of overall correctional control dropped from 1 in 31 adults to 1 in 37.26</w:t>
      </w:r>
      <w:r w:rsidR="00CD3373" w:rsidRPr="00661A68">
        <w:rPr>
          <w:sz w:val="16"/>
        </w:rPr>
        <w:t xml:space="preserve"> </w:t>
      </w:r>
      <w:r w:rsidRPr="00661A68">
        <w:rPr>
          <w:sz w:val="16"/>
        </w:rPr>
        <w:t>Despite this progress, the incarceration rate is still four times higher than what it was in the 1970s.</w:t>
      </w:r>
      <w:r w:rsidR="00CD3373" w:rsidRPr="00661A68">
        <w:rPr>
          <w:sz w:val="16"/>
        </w:rPr>
        <w:t xml:space="preserve">  </w:t>
      </w:r>
      <w:r w:rsidRPr="00661A68">
        <w:rPr>
          <w:sz w:val="16"/>
        </w:rPr>
        <w:t>After peaking in 1991, U.S. violent and property crime rates have plummeted to their lowest levels since the late 1960s.27</w:t>
      </w:r>
      <w:r w:rsidR="00CD3373" w:rsidRPr="00661A68">
        <w:rPr>
          <w:sz w:val="16"/>
        </w:rPr>
        <w:t xml:space="preserve"> </w:t>
      </w:r>
      <w:r w:rsidRPr="00661A68">
        <w:rPr>
          <w:sz w:val="16"/>
        </w:rPr>
        <w:t>This decline continued even as states reversed or slowed prison growth through justice reinvestment and other reforms. The violent crime rate was 21 percent lower in 2015 than in 2007, and the property crime rate fell 24 percent during that same span. Nationwide, police reports indicated a 3 percent rise in the violent crime rate in 2015, but the Justice Department’s national survey of victimization found no change in violent crime from 2014 to 2015.28</w:t>
      </w:r>
      <w:r w:rsidR="00CD3373" w:rsidRPr="00661A68">
        <w:rPr>
          <w:sz w:val="16"/>
        </w:rPr>
        <w:t xml:space="preserve"> </w:t>
      </w:r>
      <w:r w:rsidRPr="00661A68">
        <w:rPr>
          <w:sz w:val="16"/>
        </w:rPr>
        <w:t xml:space="preserve">Experts generally credit increased incarceration with a portion—as much as 25 percent—of the nationwide decrease in </w:t>
      </w:r>
    </w:p>
    <w:p w14:paraId="04818598" w14:textId="77777777" w:rsidR="00D11908" w:rsidRPr="00661A68" w:rsidRDefault="00D11908" w:rsidP="00CF2716">
      <w:pPr>
        <w:rPr>
          <w:sz w:val="16"/>
        </w:rPr>
      </w:pPr>
    </w:p>
    <w:p w14:paraId="1FE69361" w14:textId="77777777" w:rsidR="00D11908" w:rsidRPr="00661A68" w:rsidRDefault="00D11908" w:rsidP="00CF2716">
      <w:pPr>
        <w:rPr>
          <w:sz w:val="16"/>
        </w:rPr>
      </w:pPr>
    </w:p>
    <w:p w14:paraId="76A7458F" w14:textId="77777777" w:rsidR="00D11908" w:rsidRPr="00661A68" w:rsidRDefault="00D11908" w:rsidP="00CF2716">
      <w:pPr>
        <w:rPr>
          <w:sz w:val="16"/>
        </w:rPr>
      </w:pPr>
    </w:p>
    <w:p w14:paraId="3215709C" w14:textId="77777777" w:rsidR="00D11908" w:rsidRPr="00661A68" w:rsidRDefault="00D11908" w:rsidP="00CF2716">
      <w:pPr>
        <w:rPr>
          <w:sz w:val="16"/>
        </w:rPr>
      </w:pPr>
    </w:p>
    <w:p w14:paraId="137BD854" w14:textId="0A246A7A" w:rsidR="004D1026" w:rsidRPr="00661A68" w:rsidRDefault="00CF2716" w:rsidP="00CF2716">
      <w:pPr>
        <w:rPr>
          <w:sz w:val="16"/>
        </w:rPr>
      </w:pPr>
      <w:r w:rsidRPr="00661A68">
        <w:rPr>
          <w:sz w:val="16"/>
        </w:rPr>
        <w:t>crime that began in the early 1990s.29</w:t>
      </w:r>
      <w:r w:rsidR="00CD3373" w:rsidRPr="00661A68">
        <w:rPr>
          <w:sz w:val="16"/>
        </w:rPr>
        <w:t xml:space="preserve"> </w:t>
      </w:r>
      <w:r w:rsidRPr="00661A68">
        <w:rPr>
          <w:sz w:val="16"/>
        </w:rPr>
        <w:t xml:space="preserve">But </w:t>
      </w:r>
      <w:r w:rsidRPr="00661A68">
        <w:rPr>
          <w:u w:val="single"/>
        </w:rPr>
        <w:t>many researchers say that the nation’s prison buildup has passed a point of diminishing returns and may even be producing negative results</w:t>
      </w:r>
      <w:r w:rsidRPr="00661A68">
        <w:rPr>
          <w:sz w:val="16"/>
        </w:rPr>
        <w:t>, while other factors, such as changing demographics and reduced use of cash, are responsible for the bulk of the decline.30</w:t>
      </w:r>
      <w:r w:rsidR="00CD3373" w:rsidRPr="00661A68">
        <w:rPr>
          <w:sz w:val="16"/>
        </w:rPr>
        <w:t xml:space="preserve">  </w:t>
      </w:r>
      <w:r w:rsidRPr="00661A68">
        <w:rPr>
          <w:u w:val="single"/>
        </w:rPr>
        <w:t>The relationship between incarceration and crime is complex, but most states that have cut imprisonment have also experienced simultaneous declines in the crime rate.</w:t>
      </w:r>
      <w:r w:rsidR="00CD3373" w:rsidRPr="00661A68">
        <w:rPr>
          <w:u w:val="single"/>
        </w:rPr>
        <w:t xml:space="preserve"> </w:t>
      </w:r>
      <w:hyperlink r:id="rId17" w:tgtFrame="_blank" w:history="1">
        <w:r w:rsidRPr="00661A68">
          <w:rPr>
            <w:rStyle w:val="Hyperlink"/>
            <w:u w:val="single"/>
          </w:rPr>
          <w:t>Both rates fell in 31 states between 2010 and 2015.</w:t>
        </w:r>
      </w:hyperlink>
      <w:r w:rsidRPr="00661A68">
        <w:rPr>
          <w:u w:val="single"/>
        </w:rPr>
        <w:t>31</w:t>
      </w:r>
      <w:r w:rsidR="00CD3373" w:rsidRPr="00661A68">
        <w:rPr>
          <w:u w:val="single"/>
        </w:rPr>
        <w:t xml:space="preserve"> </w:t>
      </w:r>
      <w:r w:rsidRPr="00661A68">
        <w:rPr>
          <w:u w:val="single"/>
        </w:rPr>
        <w:t>The 10 states with the biggest decreases in their use of prisons saw crime drop more</w:t>
      </w:r>
      <w:r w:rsidRPr="00661A68">
        <w:rPr>
          <w:sz w:val="16"/>
        </w:rPr>
        <w:t xml:space="preserve">, on average, </w:t>
      </w:r>
      <w:r w:rsidRPr="00661A68">
        <w:rPr>
          <w:u w:val="single"/>
        </w:rPr>
        <w:t>than the 10 states with the largest increases in imprisonment</w:t>
      </w:r>
      <w:r w:rsidRPr="00661A68">
        <w:rPr>
          <w:sz w:val="16"/>
        </w:rPr>
        <w:t>.32</w:t>
      </w:r>
      <w:r w:rsidR="00CD3373" w:rsidRPr="00661A68">
        <w:rPr>
          <w:sz w:val="16"/>
        </w:rPr>
        <w:t xml:space="preserve"> </w:t>
      </w:r>
      <w:r w:rsidRPr="00661A68">
        <w:rPr>
          <w:u w:val="single"/>
        </w:rPr>
        <w:t>These states’ success in reducing crime and incarceration has encouraged leaders in other states to pursue criminal justice reforms</w:t>
      </w:r>
      <w:r w:rsidRPr="00661A68">
        <w:rPr>
          <w:sz w:val="16"/>
        </w:rPr>
        <w:t>.</w:t>
      </w:r>
      <w:r w:rsidR="00CD3373" w:rsidRPr="00661A68">
        <w:rPr>
          <w:sz w:val="16"/>
        </w:rPr>
        <w:t xml:space="preserve"> </w:t>
      </w:r>
      <w:r w:rsidRPr="00661A68">
        <w:rPr>
          <w:noProof/>
          <w:sz w:val="16"/>
        </w:rPr>
        <w:drawing>
          <wp:inline distT="0" distB="0" distL="0" distR="0" wp14:anchorId="4E31E7C7" wp14:editId="6B95AF2E">
            <wp:extent cx="6195060" cy="4427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5060" cy="4427220"/>
                    </a:xfrm>
                    <a:prstGeom prst="rect">
                      <a:avLst/>
                    </a:prstGeom>
                    <a:noFill/>
                    <a:ln>
                      <a:noFill/>
                    </a:ln>
                  </pic:spPr>
                </pic:pic>
              </a:graphicData>
            </a:graphic>
          </wp:inline>
        </w:drawing>
      </w:r>
      <w:r w:rsidR="00CD3373" w:rsidRPr="00661A68">
        <w:rPr>
          <w:sz w:val="16"/>
        </w:rPr>
        <w:t xml:space="preserve"> </w:t>
      </w:r>
      <w:r w:rsidRPr="00661A68">
        <w:rPr>
          <w:sz w:val="16"/>
        </w:rPr>
        <w:t>Research that identifies effective prison alternatives and correctional practices and policies has expanded greatly in recent years, and growing policymaker awareness of this body of evidence has been a driving force behind the wave of criminal justice reforms. Key advances include the development of risk and needs assessment tools that can identify the factors driving individuals’ criminal behavior and inform decisions about which programs and services can help offenders avoid future encounters with the justice system.</w:t>
      </w:r>
      <w:r w:rsidR="00CD3373" w:rsidRPr="00661A68">
        <w:rPr>
          <w:sz w:val="16"/>
        </w:rPr>
        <w:t xml:space="preserve"> </w:t>
      </w:r>
      <w:r w:rsidRPr="00661A68">
        <w:rPr>
          <w:sz w:val="16"/>
        </w:rPr>
        <w:t xml:space="preserve">For example, a 2007 Louisiana law (Act 402) set a 90-day incarceration limit on first-time revocations for violation of supervision rules. An evaluation found that after five years, the law had reduced the average length of such confinement by 9.2 months. It also had contributed to a 22 percent decline in returns to custody for new crimes, which fell from 7.9 to 6.2 percent, and saved taxpayers an average of </w:t>
      </w:r>
      <w:r w:rsidR="004D1026" w:rsidRPr="00661A68">
        <w:rPr>
          <w:noProof/>
          <w:sz w:val="16"/>
        </w:rPr>
        <w:drawing>
          <wp:anchor distT="0" distB="0" distL="114300" distR="114300" simplePos="0" relativeHeight="251660288" behindDoc="1" locked="0" layoutInCell="1" allowOverlap="1" wp14:anchorId="686E7B82" wp14:editId="61A36F0F">
            <wp:simplePos x="0" y="0"/>
            <wp:positionH relativeFrom="column">
              <wp:align>left</wp:align>
            </wp:positionH>
            <wp:positionV relativeFrom="paragraph">
              <wp:posOffset>41440735</wp:posOffset>
            </wp:positionV>
            <wp:extent cx="6195060" cy="5554980"/>
            <wp:effectExtent l="0" t="0" r="0" b="7620"/>
            <wp:wrapTight wrapText="bothSides">
              <wp:wrapPolygon edited="0">
                <wp:start x="0" y="0"/>
                <wp:lineTo x="0" y="21556"/>
                <wp:lineTo x="21520" y="21556"/>
                <wp:lineTo x="215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5060" cy="5554980"/>
                    </a:xfrm>
                    <a:prstGeom prst="rect">
                      <a:avLst/>
                    </a:prstGeom>
                    <a:noFill/>
                    <a:ln>
                      <a:noFill/>
                    </a:ln>
                  </pic:spPr>
                </pic:pic>
              </a:graphicData>
            </a:graphic>
          </wp:anchor>
        </w:drawing>
      </w:r>
      <w:r w:rsidRPr="00661A68">
        <w:rPr>
          <w:sz w:val="16"/>
        </w:rPr>
        <w:t>$17.6 million in annual corrections costs.33</w:t>
      </w:r>
      <w:r w:rsidR="00CD3373" w:rsidRPr="00661A68">
        <w:rPr>
          <w:sz w:val="16"/>
        </w:rPr>
        <w:t xml:space="preserve"> </w:t>
      </w:r>
    </w:p>
    <w:p w14:paraId="1609E92A" w14:textId="77777777" w:rsidR="004D1026" w:rsidRPr="00661A68" w:rsidRDefault="004D1026" w:rsidP="00CF2716">
      <w:pPr>
        <w:rPr>
          <w:sz w:val="16"/>
        </w:rPr>
      </w:pPr>
    </w:p>
    <w:p w14:paraId="3B4AB58B" w14:textId="55E88922" w:rsidR="004D1026" w:rsidRPr="00661A68" w:rsidRDefault="004D1026" w:rsidP="00CF2716">
      <w:pPr>
        <w:rPr>
          <w:sz w:val="16"/>
        </w:rPr>
      </w:pPr>
    </w:p>
    <w:p w14:paraId="54E1D2C3" w14:textId="5B280C5D" w:rsidR="004D1026" w:rsidRPr="00661A68" w:rsidRDefault="004D1026" w:rsidP="00CF2716">
      <w:pPr>
        <w:rPr>
          <w:sz w:val="16"/>
        </w:rPr>
      </w:pPr>
    </w:p>
    <w:p w14:paraId="2A6F20D5" w14:textId="044B4514" w:rsidR="004D1026" w:rsidRPr="00661A68" w:rsidRDefault="004D1026" w:rsidP="00CF2716">
      <w:pPr>
        <w:rPr>
          <w:sz w:val="16"/>
        </w:rPr>
      </w:pPr>
    </w:p>
    <w:p w14:paraId="56A5BE7F" w14:textId="2F89EAC0" w:rsidR="004D1026" w:rsidRPr="00661A68" w:rsidRDefault="004D1026" w:rsidP="00CF2716">
      <w:pPr>
        <w:rPr>
          <w:sz w:val="16"/>
        </w:rPr>
      </w:pPr>
    </w:p>
    <w:p w14:paraId="58FF8EB5" w14:textId="5F12901E" w:rsidR="004D1026" w:rsidRPr="00661A68" w:rsidRDefault="004D1026" w:rsidP="00CF2716">
      <w:pPr>
        <w:rPr>
          <w:sz w:val="16"/>
        </w:rPr>
      </w:pPr>
    </w:p>
    <w:p w14:paraId="662FAAFC" w14:textId="4DBF6874" w:rsidR="004D1026" w:rsidRPr="00661A68" w:rsidRDefault="004D1026" w:rsidP="00CF2716">
      <w:pPr>
        <w:rPr>
          <w:sz w:val="16"/>
        </w:rPr>
      </w:pPr>
    </w:p>
    <w:p w14:paraId="4316FAFD" w14:textId="63A7955F" w:rsidR="004D1026" w:rsidRPr="00661A68" w:rsidRDefault="004D1026" w:rsidP="00CF2716">
      <w:pPr>
        <w:rPr>
          <w:sz w:val="16"/>
        </w:rPr>
      </w:pPr>
    </w:p>
    <w:p w14:paraId="2F1A5912" w14:textId="20D7CF2C" w:rsidR="004D1026" w:rsidRPr="00661A68" w:rsidRDefault="004D1026" w:rsidP="00CF2716">
      <w:pPr>
        <w:rPr>
          <w:sz w:val="16"/>
        </w:rPr>
      </w:pPr>
    </w:p>
    <w:p w14:paraId="12339757" w14:textId="60419B9A" w:rsidR="004D1026" w:rsidRPr="00661A68" w:rsidRDefault="004D1026" w:rsidP="00CF2716">
      <w:pPr>
        <w:rPr>
          <w:sz w:val="16"/>
        </w:rPr>
      </w:pPr>
    </w:p>
    <w:p w14:paraId="4FFB4939" w14:textId="7634E738" w:rsidR="004D1026" w:rsidRPr="00661A68" w:rsidRDefault="004D1026" w:rsidP="00CF2716">
      <w:pPr>
        <w:rPr>
          <w:sz w:val="16"/>
        </w:rPr>
      </w:pPr>
    </w:p>
    <w:p w14:paraId="6697558A" w14:textId="56B97542" w:rsidR="004D1026" w:rsidRPr="00661A68" w:rsidRDefault="004D1026" w:rsidP="00CF2716">
      <w:pPr>
        <w:rPr>
          <w:sz w:val="16"/>
        </w:rPr>
      </w:pPr>
    </w:p>
    <w:p w14:paraId="23D454EC" w14:textId="23CAA373" w:rsidR="004D1026" w:rsidRPr="00661A68" w:rsidRDefault="004D1026" w:rsidP="00CF2716">
      <w:pPr>
        <w:rPr>
          <w:sz w:val="16"/>
        </w:rPr>
      </w:pPr>
    </w:p>
    <w:p w14:paraId="2FED31B8" w14:textId="39992980" w:rsidR="004D1026" w:rsidRPr="00661A68" w:rsidRDefault="004D1026" w:rsidP="00CF2716">
      <w:pPr>
        <w:rPr>
          <w:sz w:val="16"/>
        </w:rPr>
      </w:pPr>
    </w:p>
    <w:p w14:paraId="43D9DC2E" w14:textId="17E0B1E5" w:rsidR="004D1026" w:rsidRPr="00661A68" w:rsidRDefault="004D1026" w:rsidP="00CF2716">
      <w:pPr>
        <w:rPr>
          <w:sz w:val="16"/>
        </w:rPr>
      </w:pPr>
    </w:p>
    <w:p w14:paraId="22156839" w14:textId="2A4C17DE" w:rsidR="004D1026" w:rsidRPr="00661A68" w:rsidRDefault="004D1026" w:rsidP="00CF2716">
      <w:pPr>
        <w:rPr>
          <w:sz w:val="16"/>
        </w:rPr>
      </w:pPr>
    </w:p>
    <w:p w14:paraId="443C6C3A" w14:textId="5D10B8F9" w:rsidR="004D1026" w:rsidRPr="00661A68" w:rsidRDefault="004D1026" w:rsidP="00CF2716">
      <w:pPr>
        <w:rPr>
          <w:sz w:val="16"/>
        </w:rPr>
      </w:pPr>
    </w:p>
    <w:p w14:paraId="6595025E" w14:textId="7A0D2844" w:rsidR="004D1026" w:rsidRPr="00661A68" w:rsidRDefault="004D1026" w:rsidP="00CF2716">
      <w:pPr>
        <w:rPr>
          <w:sz w:val="16"/>
        </w:rPr>
      </w:pPr>
    </w:p>
    <w:p w14:paraId="65CEC1D2" w14:textId="47EE7EB7" w:rsidR="00D11908" w:rsidRPr="00661A68" w:rsidRDefault="00D11908" w:rsidP="00CF2716">
      <w:pPr>
        <w:rPr>
          <w:sz w:val="16"/>
        </w:rPr>
      </w:pPr>
    </w:p>
    <w:p w14:paraId="237FFBC3" w14:textId="7FEA340A" w:rsidR="00D11908" w:rsidRPr="00661A68" w:rsidRDefault="00D11908" w:rsidP="00CF2716">
      <w:pPr>
        <w:rPr>
          <w:sz w:val="16"/>
        </w:rPr>
      </w:pPr>
    </w:p>
    <w:p w14:paraId="56DB596B" w14:textId="38024C64" w:rsidR="00D11908" w:rsidRPr="00661A68" w:rsidRDefault="00D11908" w:rsidP="00CF2716">
      <w:pPr>
        <w:rPr>
          <w:sz w:val="16"/>
        </w:rPr>
      </w:pPr>
    </w:p>
    <w:p w14:paraId="4B396F18" w14:textId="7567D298" w:rsidR="00D11908" w:rsidRPr="00661A68" w:rsidRDefault="00D11908" w:rsidP="00CF2716">
      <w:pPr>
        <w:rPr>
          <w:sz w:val="16"/>
        </w:rPr>
      </w:pPr>
    </w:p>
    <w:p w14:paraId="7A4752AC" w14:textId="77777777" w:rsidR="00D11908" w:rsidRPr="00661A68" w:rsidRDefault="00D11908" w:rsidP="00CF2716">
      <w:pPr>
        <w:rPr>
          <w:sz w:val="16"/>
        </w:rPr>
      </w:pPr>
    </w:p>
    <w:p w14:paraId="3204B9C4" w14:textId="5C96FEFF" w:rsidR="00CF2716" w:rsidRPr="00661A68" w:rsidRDefault="00CD3373" w:rsidP="00CF2716">
      <w:pPr>
        <w:rPr>
          <w:sz w:val="16"/>
        </w:rPr>
      </w:pPr>
      <w:r w:rsidRPr="00661A68">
        <w:rPr>
          <w:sz w:val="16"/>
        </w:rPr>
        <w:t xml:space="preserve"> </w:t>
      </w:r>
      <w:r w:rsidR="00CF2716" w:rsidRPr="00661A68">
        <w:rPr>
          <w:u w:val="single"/>
        </w:rPr>
        <w:t>Public opinion has played a key role in the state-level reforms that have lowered the nation’s incarceration rate. According to national and state research conducted for Pew by independent, bipartisan polling firms, voters support a wide range of state and federal policy changes that steer nonviolent offenders into effective alternative programs</w:t>
      </w:r>
      <w:r w:rsidR="00CF2716" w:rsidRPr="00661A68">
        <w:rPr>
          <w:sz w:val="16"/>
        </w:rPr>
        <w:t>.34</w:t>
      </w:r>
      <w:r w:rsidRPr="00661A68">
        <w:rPr>
          <w:sz w:val="16"/>
        </w:rPr>
        <w:t xml:space="preserve"> </w:t>
      </w:r>
      <w:r w:rsidR="00CF2716" w:rsidRPr="00661A68">
        <w:rPr>
          <w:sz w:val="16"/>
        </w:rPr>
        <w:t xml:space="preserve">Voters want a strong criminal justice system, but they say the size and cost of the nation’s prison population can be reduced while protecting public safety. </w:t>
      </w:r>
      <w:r w:rsidR="00CF2716" w:rsidRPr="00661A68">
        <w:rPr>
          <w:u w:val="single"/>
        </w:rPr>
        <w:t>Their support holds across party affiliations and geographic regions and even among households in which a member has been a victim of crime or is a law enforcement officer.</w:t>
      </w:r>
      <w:r w:rsidRPr="00661A68">
        <w:rPr>
          <w:u w:val="single"/>
        </w:rPr>
        <w:t xml:space="preserve"> </w:t>
      </w:r>
      <w:r w:rsidR="00CF2716" w:rsidRPr="00661A68">
        <w:rPr>
          <w:sz w:val="16"/>
        </w:rPr>
        <w:t>Methodology</w:t>
      </w:r>
      <w:r w:rsidRPr="00661A68">
        <w:rPr>
          <w:sz w:val="16"/>
        </w:rPr>
        <w:t xml:space="preserve"> </w:t>
      </w:r>
      <w:r w:rsidR="00CF2716" w:rsidRPr="00661A68">
        <w:rPr>
          <w:sz w:val="16"/>
        </w:rPr>
        <w:t>To calculate the annual incarceration rate per 100,000 adults between 1972 and 2007 (Figure 1), Pew divided the combined number of prison and jail inmates by the number of residents 18 and older, then multiplied by 100,000. Pew collected prison population data from the U.S. Bureau of Justice Statistics, jail population data from the National Research Council, and adult population data from the U.S. Census Bureau.35</w:t>
      </w:r>
      <w:r w:rsidRPr="00661A68">
        <w:rPr>
          <w:sz w:val="16"/>
        </w:rPr>
        <w:t xml:space="preserve"> </w:t>
      </w:r>
      <w:r w:rsidR="00CF2716" w:rsidRPr="00661A68">
        <w:rPr>
          <w:sz w:val="16"/>
        </w:rPr>
        <w:t>All data are available upon request.</w:t>
      </w:r>
      <w:r w:rsidRPr="00661A68">
        <w:rPr>
          <w:sz w:val="16"/>
        </w:rPr>
        <w:t xml:space="preserve"> </w:t>
      </w:r>
      <w:r w:rsidR="00CF2716" w:rsidRPr="00661A68">
        <w:rPr>
          <w:sz w:val="16"/>
        </w:rPr>
        <w:t>To calculate inflation-adjusted state general fund spending on corrections between 1982 and 2007 (Figure 2), Pew used the Gross Domestic Product: Implicit Price Deflator of the Federal Reserve Bank of St. Louis.36</w:t>
      </w:r>
      <w:r w:rsidRPr="00661A68">
        <w:rPr>
          <w:sz w:val="16"/>
        </w:rPr>
        <w:t xml:space="preserve"> </w:t>
      </w:r>
      <w:r w:rsidR="00CF2716" w:rsidRPr="00661A68">
        <w:rPr>
          <w:sz w:val="16"/>
        </w:rPr>
        <w:t>Specific calculation parameters are available upon request.</w:t>
      </w:r>
    </w:p>
    <w:p w14:paraId="7A575C22" w14:textId="1A2B059C" w:rsidR="00CF2716" w:rsidRPr="00661A68" w:rsidRDefault="00D17D8C" w:rsidP="00370266">
      <w:pPr>
        <w:pStyle w:val="Heading3"/>
      </w:pPr>
      <w:r w:rsidRPr="00661A68">
        <w:t>Generic</w:t>
      </w:r>
      <w:r w:rsidR="00CB626C" w:rsidRPr="00661A68">
        <w:t>—</w:t>
      </w:r>
      <w:r w:rsidR="00EF601D" w:rsidRPr="00661A68">
        <w:t>Solvency Advocate—Specific Planks</w:t>
      </w:r>
    </w:p>
    <w:p w14:paraId="75755304" w14:textId="7B9E21E4" w:rsidR="00EF601D" w:rsidRPr="00661A68" w:rsidRDefault="00EF601D" w:rsidP="00EF601D">
      <w:pPr>
        <w:pStyle w:val="Heading4"/>
      </w:pPr>
      <w:r w:rsidRPr="00661A68">
        <w:t>States solve</w:t>
      </w:r>
      <w:r w:rsidR="007D4CAA" w:rsidRPr="00661A68">
        <w:t>—</w:t>
      </w:r>
      <w:r w:rsidR="007D4CAA" w:rsidRPr="00661A68">
        <w:rPr>
          <w:u w:val="single"/>
        </w:rPr>
        <w:t>only they</w:t>
      </w:r>
      <w:r w:rsidR="007D4CAA" w:rsidRPr="00661A68">
        <w:t xml:space="preserve"> can implement the necessary reforms</w:t>
      </w:r>
    </w:p>
    <w:p w14:paraId="7C871AFD" w14:textId="05D1AE94" w:rsidR="007D4CAA" w:rsidRPr="00661A68" w:rsidRDefault="00196106" w:rsidP="007D4CAA">
      <w:r w:rsidRPr="00661A68">
        <w:rPr>
          <w:rStyle w:val="Style13ptBold"/>
        </w:rPr>
        <w:t>Aiken 17</w:t>
      </w:r>
      <w:r w:rsidRPr="00661A68">
        <w:t xml:space="preserve"> [</w:t>
      </w:r>
      <w:r w:rsidR="005E4942" w:rsidRPr="00661A68">
        <w:t xml:space="preserve">Joshua, Policy Fellow from 2016-2017, at the Prison Policy Initiative he curated the research clearinghouse, graduated summa cum laude from Washington University in St. Louis in 2014 and graduated from the University of Oxford, where he received Masters' degrees in History, in 2015, and Forced Migration Studies, in 2016; </w:t>
      </w:r>
      <w:r w:rsidR="00AB7229" w:rsidRPr="00661A68">
        <w:t>“</w:t>
      </w:r>
      <w:r w:rsidR="002E7770" w:rsidRPr="00661A68">
        <w:t>Era of Mass Expansion:</w:t>
      </w:r>
      <w:r w:rsidR="00AB7229" w:rsidRPr="00661A68">
        <w:t xml:space="preserve"> </w:t>
      </w:r>
      <w:r w:rsidR="002E7770" w:rsidRPr="00661A68">
        <w:t>Why State Officials Should Fight Jail Growth</w:t>
      </w:r>
      <w:r w:rsidR="00AB7229" w:rsidRPr="00661A68">
        <w:t>”</w:t>
      </w:r>
      <w:r w:rsidR="004A198C" w:rsidRPr="00661A68">
        <w:t xml:space="preserve">, a </w:t>
      </w:r>
      <w:r w:rsidR="008909CD" w:rsidRPr="00661A68">
        <w:t>Prison Policy Initiative Report</w:t>
      </w:r>
      <w:r w:rsidR="005E4942" w:rsidRPr="00661A68">
        <w:t xml:space="preserve">; published </w:t>
      </w:r>
      <w:r w:rsidR="008909CD" w:rsidRPr="00661A68">
        <w:t>5/</w:t>
      </w:r>
      <w:r w:rsidR="00C71A24" w:rsidRPr="00661A68">
        <w:t>31/17, accessed 5/31/20; https://www.prisonpolicy.org/reports/jailsovertime.html]</w:t>
      </w:r>
    </w:p>
    <w:p w14:paraId="152A483C" w14:textId="2499E621" w:rsidR="00EF601D" w:rsidRPr="00661A68" w:rsidRDefault="00EF601D" w:rsidP="00EF601D">
      <w:pPr>
        <w:rPr>
          <w:sz w:val="16"/>
        </w:rPr>
      </w:pPr>
      <w:r w:rsidRPr="00661A68">
        <w:rPr>
          <w:u w:val="single"/>
        </w:rPr>
        <w:t>Recommendations</w:t>
      </w:r>
      <w:r w:rsidR="00C71A24" w:rsidRPr="00661A68">
        <w:rPr>
          <w:u w:val="single"/>
        </w:rPr>
        <w:t xml:space="preserve"> </w:t>
      </w:r>
      <w:r w:rsidRPr="00661A68">
        <w:rPr>
          <w:sz w:val="16"/>
        </w:rPr>
        <w:t>Local and state policies send people to jail almost 11 million times every year, but jails are largely off the public’s radar. If policymakers and state advocates want criminal justice reform they need to pay attention to jails, and we have ten recommendations for how they can break the cycle of using jails as catch-all responses to problems that disproportionately impact marginalized communities and people who are poor:</w:t>
      </w:r>
      <w:r w:rsidR="00C71A24" w:rsidRPr="00661A68">
        <w:rPr>
          <w:sz w:val="16"/>
        </w:rPr>
        <w:t xml:space="preserve"> </w:t>
      </w:r>
      <w:r w:rsidRPr="00661A68">
        <w:rPr>
          <w:u w:val="single"/>
        </w:rPr>
        <w:t>Change offenses and how offenses are treated</w:t>
      </w:r>
      <w:r w:rsidR="00C71A24" w:rsidRPr="00661A68">
        <w:rPr>
          <w:u w:val="single"/>
        </w:rPr>
        <w:t xml:space="preserve"> </w:t>
      </w:r>
      <w:r w:rsidRPr="00661A68">
        <w:rPr>
          <w:sz w:val="16"/>
        </w:rPr>
        <w:t xml:space="preserve">States should </w:t>
      </w:r>
      <w:r w:rsidRPr="00661A68">
        <w:rPr>
          <w:u w:val="single"/>
        </w:rPr>
        <w:t>reclassify criminal offenses and turn misdemeanor charges that don’t threaten public safety into non-jailable infractions</w:t>
      </w:r>
      <w:r w:rsidRPr="00661A68">
        <w:rPr>
          <w:sz w:val="16"/>
        </w:rPr>
        <w:t>.</w:t>
      </w:r>
      <w:r w:rsidR="00C71A24" w:rsidRPr="00661A68">
        <w:rPr>
          <w:sz w:val="16"/>
        </w:rPr>
        <w:t xml:space="preserve"> </w:t>
      </w:r>
      <w:r w:rsidRPr="00661A68">
        <w:rPr>
          <w:sz w:val="16"/>
        </w:rPr>
        <w:t>For other offenses, states should create a presumption of citation, in lieu of arrests, for certain low-level crimes.</w:t>
      </w:r>
      <w:r w:rsidR="00C71A24" w:rsidRPr="00661A68">
        <w:rPr>
          <w:sz w:val="16"/>
        </w:rPr>
        <w:t xml:space="preserve"> </w:t>
      </w:r>
      <w:r w:rsidRPr="00661A68">
        <w:rPr>
          <w:sz w:val="16"/>
        </w:rPr>
        <w:t>For low-level crimes where substance abuse and/or mental illnesses are involved, states should make treatment-based diversion programs the default instead of jail.</w:t>
      </w:r>
      <w:r w:rsidR="00C71A24" w:rsidRPr="00661A68">
        <w:rPr>
          <w:sz w:val="16"/>
        </w:rPr>
        <w:t xml:space="preserve"> </w:t>
      </w:r>
      <w:r w:rsidRPr="00661A68">
        <w:rPr>
          <w:u w:val="single"/>
        </w:rPr>
        <w:t>States should also fully fund these diversion programs.</w:t>
      </w:r>
      <w:r w:rsidR="00C71A24" w:rsidRPr="00661A68">
        <w:rPr>
          <w:sz w:val="16"/>
        </w:rPr>
        <w:t xml:space="preserve"> </w:t>
      </w:r>
      <w:r w:rsidRPr="00661A68">
        <w:rPr>
          <w:sz w:val="16"/>
        </w:rPr>
        <w:t>Help people successfully navigate the criminal justice system to more positive outcomes</w:t>
      </w:r>
      <w:r w:rsidR="00C71A24" w:rsidRPr="00661A68">
        <w:rPr>
          <w:sz w:val="16"/>
        </w:rPr>
        <w:t xml:space="preserve"> </w:t>
      </w:r>
      <w:r w:rsidRPr="00661A68">
        <w:rPr>
          <w:u w:val="single"/>
        </w:rPr>
        <w:t>States should immediately set up pilot projects to test promising programs that facilitate successful navigation of the criminal justice system. Community-based pretrial education programs, court notification systems, and other “wrap-around” pretrial services often increase court compliance while also reducing recidivism</w:t>
      </w:r>
      <w:r w:rsidRPr="00661A68">
        <w:rPr>
          <w:sz w:val="16"/>
        </w:rPr>
        <w:t>.</w:t>
      </w:r>
      <w:r w:rsidR="00C71A24" w:rsidRPr="00661A68">
        <w:rPr>
          <w:sz w:val="16"/>
        </w:rPr>
        <w:t xml:space="preserve"> </w:t>
      </w:r>
      <w:r w:rsidRPr="00661A68">
        <w:rPr>
          <w:sz w:val="16"/>
        </w:rPr>
        <w:t>Change policies that criminalize poverty or that create financial incentives for unnecessarily punitive policies</w:t>
      </w:r>
      <w:r w:rsidR="00C71A24" w:rsidRPr="00661A68">
        <w:rPr>
          <w:sz w:val="16"/>
        </w:rPr>
        <w:t xml:space="preserve"> </w:t>
      </w:r>
      <w:r w:rsidRPr="00661A68">
        <w:rPr>
          <w:sz w:val="16"/>
        </w:rPr>
        <w:t xml:space="preserve">States should </w:t>
      </w:r>
      <w:r w:rsidRPr="00661A68">
        <w:rPr>
          <w:u w:val="single"/>
        </w:rPr>
        <w:t>encourage judges to use non-monetary sanctions, rather than fines and fees</w:t>
      </w:r>
      <w:r w:rsidRPr="00661A68">
        <w:rPr>
          <w:sz w:val="16"/>
        </w:rPr>
        <w:t>; and states should ensure that judges are holding indigency hearings before imposing and enforcing unaffordable fees.</w:t>
      </w:r>
      <w:r w:rsidR="00C71A24" w:rsidRPr="00661A68">
        <w:rPr>
          <w:sz w:val="16"/>
        </w:rPr>
        <w:t xml:space="preserve"> </w:t>
      </w:r>
      <w:r w:rsidRPr="00661A68">
        <w:rPr>
          <w:sz w:val="16"/>
        </w:rPr>
        <w:t xml:space="preserve">States should </w:t>
      </w:r>
      <w:r w:rsidRPr="00661A68">
        <w:rPr>
          <w:u w:val="single"/>
        </w:rPr>
        <w:t>ban for-profit probation and publish court-level data on probation fees</w:t>
      </w:r>
      <w:r w:rsidRPr="00661A68">
        <w:rPr>
          <w:sz w:val="16"/>
        </w:rPr>
        <w:t>.</w:t>
      </w:r>
      <w:r w:rsidR="00C71A24" w:rsidRPr="00661A68">
        <w:rPr>
          <w:sz w:val="16"/>
        </w:rPr>
        <w:t xml:space="preserve"> </w:t>
      </w:r>
      <w:r w:rsidRPr="00661A68">
        <w:rPr>
          <w:sz w:val="16"/>
        </w:rPr>
        <w:t xml:space="preserve">States should </w:t>
      </w:r>
      <w:r w:rsidRPr="00661A68">
        <w:rPr>
          <w:u w:val="single"/>
        </w:rPr>
        <w:t>eliminate the two-track system of justice by abolishing money bail. States unwilling to take that step should abolish the for-profit bail industry in their state, and provide technical resources to existing local-level bail alternative programs to help these programs self-evaluate and improve state-level knowledge</w:t>
      </w:r>
      <w:r w:rsidRPr="00661A68">
        <w:rPr>
          <w:sz w:val="16"/>
        </w:rPr>
        <w:t>.</w:t>
      </w:r>
      <w:r w:rsidR="00C71A24" w:rsidRPr="00661A68">
        <w:rPr>
          <w:sz w:val="16"/>
        </w:rPr>
        <w:t xml:space="preserve"> </w:t>
      </w:r>
      <w:r w:rsidRPr="00661A68">
        <w:rPr>
          <w:sz w:val="16"/>
        </w:rPr>
        <w:t>Monitor how local discretion has statewide effects</w:t>
      </w:r>
      <w:r w:rsidR="00C71A24" w:rsidRPr="00661A68">
        <w:rPr>
          <w:sz w:val="16"/>
        </w:rPr>
        <w:t xml:space="preserve"> </w:t>
      </w:r>
      <w:r w:rsidRPr="00661A68">
        <w:rPr>
          <w:sz w:val="16"/>
        </w:rPr>
        <w:t xml:space="preserve">States should </w:t>
      </w:r>
      <w:r w:rsidRPr="00661A68">
        <w:rPr>
          <w:u w:val="single"/>
        </w:rPr>
        <w:t>actively monitor how local prosecutorial decisions impact state-level prison populations and also require prosecutors to collect and publish aggregate data on bail decisions, charging decisions, and other measures to allow</w:t>
      </w:r>
      <w:r w:rsidRPr="00661A68">
        <w:rPr>
          <w:sz w:val="16"/>
        </w:rPr>
        <w:t xml:space="preserve"> analysis of whether </w:t>
      </w:r>
      <w:r w:rsidRPr="00661A68">
        <w:rPr>
          <w:u w:val="single"/>
        </w:rPr>
        <w:t>prosecutorial discretion</w:t>
      </w:r>
      <w:r w:rsidRPr="00661A68">
        <w:rPr>
          <w:sz w:val="16"/>
        </w:rPr>
        <w:t xml:space="preserve"> is magnifying racial disparities or increasing the state’s prison population.</w:t>
      </w:r>
      <w:r w:rsidR="00C71A24" w:rsidRPr="00661A68">
        <w:rPr>
          <w:sz w:val="16"/>
        </w:rPr>
        <w:t xml:space="preserve"> </w:t>
      </w:r>
      <w:r w:rsidRPr="00661A68">
        <w:rPr>
          <w:sz w:val="16"/>
        </w:rPr>
        <w:t>Explore ways to advance justice by clearing court backlogs</w:t>
      </w:r>
      <w:r w:rsidR="00C71A24" w:rsidRPr="00661A68">
        <w:rPr>
          <w:sz w:val="16"/>
        </w:rPr>
        <w:t xml:space="preserve"> </w:t>
      </w:r>
      <w:r w:rsidRPr="00661A68">
        <w:rPr>
          <w:u w:val="single"/>
        </w:rPr>
        <w:t>States struggling with particularly backlogged courts should create a procedure to dismiss old, minor criminal cases</w:t>
      </w:r>
      <w:r w:rsidRPr="00661A68">
        <w:rPr>
          <w:sz w:val="16"/>
        </w:rPr>
        <w:t>.</w:t>
      </w:r>
      <w:r w:rsidR="00C71A24" w:rsidRPr="00661A68">
        <w:rPr>
          <w:sz w:val="16"/>
        </w:rPr>
        <w:t xml:space="preserve"> </w:t>
      </w:r>
      <w:r w:rsidRPr="00661A68">
        <w:rPr>
          <w:sz w:val="16"/>
        </w:rPr>
        <w:t>Address the troubling trend of renting jail space</w:t>
      </w:r>
      <w:r w:rsidR="00C71A24" w:rsidRPr="00661A68">
        <w:rPr>
          <w:sz w:val="16"/>
        </w:rPr>
        <w:t xml:space="preserve"> </w:t>
      </w:r>
      <w:r w:rsidRPr="00661A68">
        <w:rPr>
          <w:u w:val="single"/>
        </w:rPr>
        <w:t>States — particularly Alabama, Kansas, Kentucky, Louisiana, Mississippi, New Jersey, New Mexico, North Dakota, Tennessee, and Utah — should evaluate whether the renting of local jail space to state and federal authorities is steering local officials away from effectively addressing local needs</w:t>
      </w:r>
      <w:r w:rsidRPr="00661A68">
        <w:rPr>
          <w:sz w:val="16"/>
        </w:rPr>
        <w:t xml:space="preserve">. </w:t>
      </w:r>
    </w:p>
    <w:p w14:paraId="69C48407" w14:textId="4546E44B" w:rsidR="00305A32" w:rsidRPr="00661A68" w:rsidRDefault="00305A32" w:rsidP="00305A32">
      <w:pPr>
        <w:pStyle w:val="Heading3"/>
      </w:pPr>
      <w:r w:rsidRPr="00661A68">
        <w:t>Disciplined Devolution</w:t>
      </w:r>
      <w:r w:rsidR="00A821EB" w:rsidRPr="00661A68">
        <w:t>/Cooperative Federalism</w:t>
      </w:r>
    </w:p>
    <w:p w14:paraId="1997791B" w14:textId="77777777" w:rsidR="00E14D1F" w:rsidRPr="00661A68" w:rsidRDefault="00E14D1F" w:rsidP="00E14D1F">
      <w:pPr>
        <w:pStyle w:val="Heading4"/>
        <w:rPr>
          <w:rStyle w:val="Style13ptBold"/>
          <w:rFonts w:asciiTheme="majorHAnsi" w:hAnsiTheme="majorHAnsi"/>
          <w:b/>
        </w:rPr>
      </w:pPr>
      <w:r w:rsidRPr="00661A68">
        <w:rPr>
          <w:rStyle w:val="Style13ptBold"/>
          <w:rFonts w:asciiTheme="majorHAnsi" w:hAnsiTheme="majorHAnsi"/>
          <w:b/>
        </w:rPr>
        <w:t>Text: The United States Federal Government should recommend [the plan] to the 50 States and relevant sub-federal territories with the stipulation that federal agencies will continue oversight and provide feedback over policy development.</w:t>
      </w:r>
    </w:p>
    <w:p w14:paraId="0DA54D69" w14:textId="77777777" w:rsidR="00E14D1F" w:rsidRPr="00661A68" w:rsidRDefault="00E14D1F" w:rsidP="00E14D1F"/>
    <w:p w14:paraId="4BA5C9EC" w14:textId="77777777" w:rsidR="00305A32" w:rsidRPr="00661A68" w:rsidRDefault="00305A32" w:rsidP="00305A32">
      <w:pPr>
        <w:pStyle w:val="Heading4"/>
        <w:rPr>
          <w:rStyle w:val="Style13ptBold"/>
          <w:rFonts w:asciiTheme="majorHAnsi" w:hAnsiTheme="majorHAnsi"/>
          <w:b/>
        </w:rPr>
      </w:pPr>
      <w:r w:rsidRPr="00661A68">
        <w:rPr>
          <w:rStyle w:val="Style13ptBold"/>
          <w:rFonts w:asciiTheme="majorHAnsi" w:hAnsiTheme="majorHAnsi"/>
          <w:b/>
        </w:rPr>
        <w:t>The balance of federal and state power of disciplined devolution solves the plan — provides best policy feedback while maintaining federalist structure</w:t>
      </w:r>
    </w:p>
    <w:p w14:paraId="324030D0" w14:textId="77777777" w:rsidR="00305A32" w:rsidRPr="00661A68" w:rsidRDefault="00305A32" w:rsidP="00305A32">
      <w:pPr>
        <w:rPr>
          <w:rFonts w:asciiTheme="majorHAnsi" w:eastAsia="Times New Roman" w:hAnsiTheme="majorHAnsi" w:cs="Times New Roman"/>
        </w:rPr>
      </w:pPr>
      <w:r w:rsidRPr="00661A68">
        <w:rPr>
          <w:rStyle w:val="Style13ptBold"/>
          <w:rFonts w:asciiTheme="majorHAnsi" w:hAnsiTheme="majorHAnsi"/>
        </w:rPr>
        <w:t>Kurzweil '15</w:t>
      </w:r>
      <w:r w:rsidRPr="00661A68">
        <w:rPr>
          <w:rFonts w:asciiTheme="majorHAnsi" w:hAnsiTheme="majorHAnsi"/>
        </w:rPr>
        <w:t xml:space="preserve"> [Martin A., Disciplined Devolution and the New Education Federalism, 103 Cal. L. Rev. 565 (2015) </w:t>
      </w:r>
      <w:r w:rsidRPr="00661A68">
        <w:rPr>
          <w:rFonts w:asciiTheme="majorHAnsi" w:eastAsia="Times New Roman" w:hAnsiTheme="majorHAnsi" w:cs="Times New Roman"/>
        </w:rPr>
        <w:t xml:space="preserve">http://scholarship.law.berkeley.edu/californialawreview/vol103/iss3/3 </w:t>
      </w:r>
      <w:r w:rsidRPr="00661A68">
        <w:rPr>
          <w:rFonts w:asciiTheme="majorHAnsi" w:hAnsiTheme="majorHAnsi"/>
        </w:rPr>
        <w:t>accessed 1-16-17]//SC</w:t>
      </w:r>
    </w:p>
    <w:p w14:paraId="639D5960" w14:textId="77777777" w:rsidR="00305A32" w:rsidRPr="00661A68" w:rsidRDefault="00305A32" w:rsidP="00305A32">
      <w:pPr>
        <w:rPr>
          <w:rFonts w:asciiTheme="majorHAnsi" w:hAnsiTheme="majorHAnsi"/>
          <w:u w:val="single"/>
        </w:rPr>
      </w:pPr>
      <w:r w:rsidRPr="00661A68">
        <w:rPr>
          <w:rFonts w:asciiTheme="majorHAnsi" w:hAnsiTheme="majorHAnsi"/>
          <w:u w:val="single"/>
        </w:rPr>
        <w:t>E.</w:t>
      </w:r>
      <w:r w:rsidRPr="00661A68">
        <w:rPr>
          <w:rFonts w:asciiTheme="majorHAnsi" w:hAnsiTheme="majorHAnsi"/>
        </w:rPr>
        <w:t xml:space="preserve"> </w:t>
      </w:r>
      <w:r w:rsidRPr="00661A68">
        <w:rPr>
          <w:rFonts w:asciiTheme="majorHAnsi" w:hAnsiTheme="majorHAnsi"/>
          <w:u w:val="single"/>
        </w:rPr>
        <w:t>The Disciplined Devolution Model</w:t>
      </w:r>
      <w:r w:rsidRPr="00661A68">
        <w:rPr>
          <w:rFonts w:asciiTheme="majorHAnsi" w:hAnsiTheme="majorHAnsi"/>
        </w:rPr>
        <w:t xml:space="preserve"> </w:t>
      </w:r>
      <w:r w:rsidRPr="00661A68">
        <w:rPr>
          <w:rFonts w:asciiTheme="majorHAnsi" w:hAnsiTheme="majorHAnsi"/>
          <w:sz w:val="16"/>
          <w:szCs w:val="16"/>
        </w:rPr>
        <w:t>Big waiver, cooperative federalism, and experimentalism each offer a useful corrective to bureaucratic governance but come with some costs. It is important to recognize, however, that each of these strategies has been used to describe a large set of programs. Some of these programs do not suffer from the model’s shortcomings to the same extent as others. In particular</w:t>
      </w:r>
      <w:r w:rsidRPr="00661A68">
        <w:rPr>
          <w:rFonts w:asciiTheme="majorHAnsi" w:hAnsiTheme="majorHAnsi"/>
          <w:sz w:val="16"/>
          <w:szCs w:val="16"/>
          <w:u w:val="single"/>
        </w:rPr>
        <w:t>,</w:t>
      </w:r>
      <w:r w:rsidRPr="00661A68">
        <w:rPr>
          <w:rFonts w:asciiTheme="majorHAnsi" w:hAnsiTheme="majorHAnsi"/>
          <w:u w:val="single"/>
        </w:rPr>
        <w:t xml:space="preserve"> there is a set of programs in which all three strategies converge in a way that mitigates many of the shortcomings of each model standing alone. This convergence, which I call “disciplined devolution,” strikes a balance between the strong central oversight of big waiver and the decentralizing tendencies of cooperative federalism and experimentalism to yield a form of organization that is localized in its particulars and centralized in its overarching goals and accountability. Three features characterize disciplined devolution: 1) A federal agency uses its authority to deviate from an existing statutory scheme. </w:t>
      </w:r>
      <w:r w:rsidRPr="00661A68">
        <w:rPr>
          <w:rFonts w:asciiTheme="majorHAnsi" w:hAnsiTheme="majorHAnsi"/>
          <w:sz w:val="16"/>
          <w:szCs w:val="16"/>
        </w:rPr>
        <w:t>The agency will generally employ authority to waive requirements granted by the target statute itself to achieve this deviation but may also use regulatory, spending, or waiver power from a different statute</w:t>
      </w:r>
      <w:r w:rsidRPr="00661A68">
        <w:rPr>
          <w:rFonts w:asciiTheme="majorHAnsi" w:hAnsiTheme="majorHAnsi"/>
          <w:u w:val="single"/>
        </w:rPr>
        <w:t xml:space="preserve">. 2) The federal agency invites state or local governments to develop their own policies in the relevant domain, oriented toward broad goals identified by the agency. </w:t>
      </w:r>
      <w:r w:rsidRPr="00661A68">
        <w:rPr>
          <w:rFonts w:asciiTheme="majorHAnsi" w:hAnsiTheme="majorHAnsi"/>
          <w:sz w:val="16"/>
          <w:szCs w:val="16"/>
        </w:rPr>
        <w:t xml:space="preserve">Each state or locality’s decision to participate is voluntary; it may instead choose to continue abiding by the original legislative scheme. </w:t>
      </w:r>
      <w:r w:rsidRPr="00661A68">
        <w:rPr>
          <w:rFonts w:asciiTheme="majorHAnsi" w:hAnsiTheme="majorHAnsi"/>
          <w:u w:val="single"/>
        </w:rPr>
        <w:t>3) The federal agency evaluates and has approval authority over the state or locality’s initial plan and provides feedback to the state as part of that process.</w:t>
      </w:r>
      <w:r w:rsidRPr="00661A68">
        <w:rPr>
          <w:rFonts w:asciiTheme="majorHAnsi" w:hAnsiTheme="majorHAnsi"/>
        </w:rPr>
        <w:t xml:space="preserve"> </w:t>
      </w:r>
      <w:r w:rsidRPr="00661A68">
        <w:rPr>
          <w:rFonts w:asciiTheme="majorHAnsi" w:hAnsiTheme="majorHAnsi"/>
          <w:u w:val="single"/>
        </w:rPr>
        <w:t>After approving a state’s plan, the agency undertakes ongoing monitoring of implementation, with a focus on whether there is progress toward the original goals. The federal agency benchmarks each state’s successes against that of other states.</w:t>
      </w:r>
      <w:r w:rsidRPr="00661A68">
        <w:rPr>
          <w:rFonts w:asciiTheme="majorHAnsi" w:hAnsiTheme="majorHAnsi"/>
        </w:rPr>
        <w:t xml:space="preserve"> </w:t>
      </w:r>
      <w:r w:rsidRPr="00661A68">
        <w:rPr>
          <w:rFonts w:asciiTheme="majorHAnsi" w:hAnsiTheme="majorHAnsi"/>
          <w:sz w:val="16"/>
          <w:szCs w:val="16"/>
        </w:rPr>
        <w:t>The federal agency also may encourage collaboration with intrastate stakeholders or other states and facilitate the sharing of information across states. This combination of big waiver, cooperative federalism, and experimentalism is emerging in several significant and recent federal programs. The Obama Administration’s efforts to allow states to create new education reform schemes that deviate from the NCLB Act provide a particularly striking example and are the focus of much of the remainder of this Article. New programs in health care and welfare also have the potential to develop into disciplined devolution. In health care, the ACA authorizes the Secretary of Health and Human Services to waive major provisions of the law upon application of a state that seeks to implement an alternative health care framework.114 The Secretary may only issue the waiver, however, if the state’s alternative framework provides health care coverage “at least as comprehensive [and] . . . at least as affordable . . . to at least a comparable number of its residents” as that required by the ACA.115 A recent welfare rule creates a similar structure. Pursuant to the Personal Responsibility and Work Opportunity Reconciliation Act of 1996,116 the Secretary of Health and Human Services has recently issued guidance that invites states to apply for waivers from the law’s welfare-to-work requirement in order to implement program structures that are more likely to promote a transition to the workforce.117</w:t>
      </w:r>
      <w:r w:rsidRPr="00661A68">
        <w:rPr>
          <w:rFonts w:asciiTheme="majorHAnsi" w:hAnsiTheme="majorHAnsi"/>
        </w:rPr>
        <w:t xml:space="preserve"> </w:t>
      </w:r>
      <w:r w:rsidRPr="00661A68">
        <w:rPr>
          <w:rFonts w:asciiTheme="majorHAnsi" w:hAnsiTheme="majorHAnsi"/>
          <w:u w:val="single"/>
        </w:rPr>
        <w:t>Disciplined devolution addresses the problems of bureaucracy in many of the same ways as the strategies with which it overlaps. Like big waiver, disciplined devolution accommodates diversity and flexibility in policy making, while still using Congress’s preferred scheme as a baseline. Like cooperative federalism, it encourages state and local governments to take ownership of federal goals, tailor policies to local conditions, and sidestep national political disputes. And like experimentalism, disciplined devolution establishes a process of self-evaluation and adaptation in light of experience that also produces information about policy success and failure to be used by the federal government or shared across states.</w:t>
      </w:r>
    </w:p>
    <w:p w14:paraId="6FD5ED9D" w14:textId="78D63BA7" w:rsidR="00E33DDB" w:rsidRPr="00661A68" w:rsidRDefault="00E33DDB" w:rsidP="0084604C">
      <w:pPr>
        <w:pStyle w:val="Heading3"/>
      </w:pPr>
      <w:r w:rsidRPr="00661A68">
        <w:t>CJR—States Solve—Courts</w:t>
      </w:r>
      <w:r w:rsidR="00534D96" w:rsidRPr="00661A68">
        <w:t xml:space="preserve"> affs</w:t>
      </w:r>
    </w:p>
    <w:p w14:paraId="737E7685" w14:textId="77777777" w:rsidR="00E33DDB" w:rsidRPr="00661A68" w:rsidRDefault="00E33DDB" w:rsidP="00E33DDB">
      <w:pPr>
        <w:pStyle w:val="Heading4"/>
      </w:pPr>
      <w:r w:rsidRPr="00661A68">
        <w:t>The highest court for all 50 states should rule__________________________</w:t>
      </w:r>
    </w:p>
    <w:p w14:paraId="5595C300" w14:textId="77777777" w:rsidR="00E33DDB" w:rsidRPr="00661A68" w:rsidRDefault="00E33DDB" w:rsidP="00E33DDB"/>
    <w:p w14:paraId="75C46110" w14:textId="27F5E426" w:rsidR="00100C8F" w:rsidRPr="00661A68" w:rsidRDefault="00100C8F" w:rsidP="00100C8F">
      <w:pPr>
        <w:pStyle w:val="Heading4"/>
      </w:pPr>
      <w:r w:rsidRPr="00661A68">
        <w:t>state court rulings are more accepted than federal rulings</w:t>
      </w:r>
    </w:p>
    <w:p w14:paraId="09CC87F8" w14:textId="77777777" w:rsidR="00100C8F" w:rsidRPr="00661A68" w:rsidRDefault="00100C8F" w:rsidP="00100C8F">
      <w:pPr>
        <w:rPr>
          <w:bCs/>
          <w:sz w:val="26"/>
        </w:rPr>
      </w:pPr>
      <w:r w:rsidRPr="00661A68">
        <w:rPr>
          <w:rStyle w:val="Style13ptBold"/>
        </w:rPr>
        <w:t xml:space="preserve">Gardner 2003   </w:t>
      </w:r>
      <w:r w:rsidRPr="00661A68">
        <w:t xml:space="preserve">(James Gardner, professor of law @ State University of New York, “State Constitutional Rights as Resistance to National Power: Toward a Functional Theory of State Constitutions,” Georgetown Law Journal, June 2003, 91 Geo. L.J. 1003) </w:t>
      </w:r>
    </w:p>
    <w:p w14:paraId="0688F0F7" w14:textId="77777777" w:rsidR="00100C8F" w:rsidRPr="00661A68" w:rsidRDefault="00100C8F" w:rsidP="00100C8F">
      <w:pPr>
        <w:pStyle w:val="Cards"/>
      </w:pPr>
      <w:r w:rsidRPr="00661A68">
        <w:rPr>
          <w:rStyle w:val="StyleUnderline"/>
        </w:rPr>
        <w:t>Whenever a state's highest court,</w:t>
      </w:r>
      <w:r w:rsidRPr="00661A68">
        <w:t xml:space="preserve"> by constitutional ruling, </w:t>
      </w:r>
      <w:r w:rsidRPr="00661A68">
        <w:rPr>
          <w:rStyle w:val="StyleUnderline"/>
        </w:rPr>
        <w:t>recognizes a level of protection for individual rights that exceeds levels of protection for those rights established under parallel provisions of the national Constitution, it registers a forceful and often very public dissent from rulings of the U.S. Supreme Court. This kind of state constitutional rejectionism makes news</w:t>
      </w:r>
      <w:r w:rsidRPr="00661A68">
        <w:t xml:space="preserve">--not merely among members of the bar or those who follow legal affairs, but in the mainstream press as well--and such </w:t>
      </w:r>
      <w:r w:rsidRPr="00661A68">
        <w:rPr>
          <w:rStyle w:val="StyleUnderline"/>
        </w:rPr>
        <w:t>publicity inevitably influences long-term public understandings of the appropriate content of constitutionally guaranteed rights</w:t>
      </w:r>
      <w:r w:rsidRPr="00661A68">
        <w:t>.</w:t>
      </w:r>
    </w:p>
    <w:p w14:paraId="4E90EC3A" w14:textId="77777777" w:rsidR="00100C8F" w:rsidRPr="00661A68" w:rsidRDefault="00100C8F" w:rsidP="00100C8F">
      <w:pPr>
        <w:pStyle w:val="Cards"/>
      </w:pPr>
    </w:p>
    <w:p w14:paraId="63BD86B6" w14:textId="77777777" w:rsidR="00A26D7D" w:rsidRPr="00661A68" w:rsidRDefault="00A26D7D" w:rsidP="00A26D7D">
      <w:pPr>
        <w:pStyle w:val="Heading4"/>
      </w:pPr>
      <w:r w:rsidRPr="00661A68">
        <w:t>That’s key to local compliance which only the counterplan solves</w:t>
      </w:r>
    </w:p>
    <w:p w14:paraId="78E5D36C" w14:textId="77777777" w:rsidR="00A26D7D" w:rsidRPr="00661A68" w:rsidRDefault="00A26D7D" w:rsidP="00A26D7D">
      <w:pPr>
        <w:rPr>
          <w:bCs/>
          <w:sz w:val="26"/>
        </w:rPr>
      </w:pPr>
      <w:r w:rsidRPr="00661A68">
        <w:rPr>
          <w:b/>
          <w:bCs/>
          <w:sz w:val="26"/>
        </w:rPr>
        <w:t xml:space="preserve">Parker 4 </w:t>
      </w:r>
      <w:r w:rsidRPr="00661A68">
        <w:rPr>
          <w:bCs/>
          <w:sz w:val="26"/>
        </w:rPr>
        <w:t>– Wendy, James A. Webster Professor of Public Law at Wake Forest University, “Connecting the dots: Grutter, school desegregation, and federalism,” William and Mary Law Review 45.4, March 2004//ninerz</w:t>
      </w:r>
    </w:p>
    <w:p w14:paraId="23ECD83D" w14:textId="77777777" w:rsidR="00A26D7D" w:rsidRPr="00661A68" w:rsidRDefault="00A26D7D" w:rsidP="00A26D7D">
      <w:pPr>
        <w:rPr>
          <w:sz w:val="14"/>
        </w:rPr>
      </w:pPr>
      <w:r w:rsidRPr="00661A68">
        <w:rPr>
          <w:sz w:val="14"/>
        </w:rPr>
        <w:t xml:space="preserve">A. Local Control and Federalism This section explores the connection between local control and federalism (305)--the idea that over some matters the national government is to have control, while other areas are reserved for state and local governments. (306) For to the extent </w:t>
      </w:r>
      <w:r w:rsidRPr="00661A68">
        <w:rPr>
          <w:u w:val="single"/>
        </w:rPr>
        <w:t>federalism can justify local control</w:t>
      </w:r>
      <w:r w:rsidRPr="00661A68">
        <w:rPr>
          <w:sz w:val="14"/>
        </w:rPr>
        <w:t xml:space="preserve">, it may also justify the very similar approach of deference. (307) To determine whether local control is based on federalism, one must start with defining federalism. The textual bases for federalism (308) provide little guidance on the actual meaning of federalism as interpreted by the courts. (309) Nor is any definition of federalism universally accepted. (310) Yet, considerable agreement on federalism's underlying values exists. (311) Academics may disagree on the connection between state and local autonomy and actualization of the values, (312) but the values underlying </w:t>
      </w:r>
      <w:r w:rsidRPr="00661A68">
        <w:rPr>
          <w:u w:val="single"/>
        </w:rPr>
        <w:t>federalism</w:t>
      </w:r>
      <w:r w:rsidRPr="00661A68">
        <w:rPr>
          <w:sz w:val="14"/>
        </w:rPr>
        <w:t xml:space="preserve"> </w:t>
      </w:r>
      <w:r w:rsidRPr="00661A68">
        <w:rPr>
          <w:u w:val="single"/>
        </w:rPr>
        <w:t xml:space="preserve">provide the basis </w:t>
      </w:r>
      <w:r w:rsidRPr="00661A68">
        <w:rPr>
          <w:sz w:val="14"/>
        </w:rPr>
        <w:t xml:space="preserve">of a commonly employed "functional analysis" </w:t>
      </w:r>
      <w:r w:rsidRPr="00661A68">
        <w:rPr>
          <w:u w:val="single"/>
        </w:rPr>
        <w:t>to determine when it is appropriate to assign authority to the states and local governments</w:t>
      </w:r>
      <w:r w:rsidRPr="00661A68">
        <w:rPr>
          <w:sz w:val="14"/>
        </w:rPr>
        <w:t xml:space="preserve">. (313) Four values support the autonomy of states and localities: public participation in democracy, prevention of tyranny, promotion of experimentation, and allowance of shared communities. All apply in the education setting. Public participation in democracy is the first value for allowing state or local control over a matter. (314) Because states and localities are smaller elected bodies than national ones, individuals will have a greater voice in the decision-making process, and the smaller elected bodies will be more accountable. Another value counseling state or local authority is the diffusion of power to protect liberty. As the Supreme Court has noted, "the principal benefit of the federalist system is a check on abuses of government power." (315) </w:t>
      </w:r>
      <w:r w:rsidRPr="00661A68">
        <w:rPr>
          <w:u w:val="single"/>
        </w:rPr>
        <w:t>The conception of states and localities as laboratories for experimentation is</w:t>
      </w:r>
      <w:r w:rsidRPr="00661A68">
        <w:rPr>
          <w:sz w:val="14"/>
        </w:rPr>
        <w:t xml:space="preserve"> a third </w:t>
      </w:r>
      <w:r w:rsidRPr="00661A68">
        <w:rPr>
          <w:u w:val="single"/>
        </w:rPr>
        <w:t>value in evaluating state authority</w:t>
      </w:r>
      <w:r w:rsidRPr="00661A68">
        <w:rPr>
          <w:sz w:val="14"/>
        </w:rPr>
        <w:t xml:space="preserve">. (316) As smaller entities of government, </w:t>
      </w:r>
      <w:r w:rsidRPr="00661A68">
        <w:rPr>
          <w:u w:val="single"/>
        </w:rPr>
        <w:t>states</w:t>
      </w:r>
      <w:r w:rsidRPr="00661A68">
        <w:rPr>
          <w:sz w:val="14"/>
        </w:rPr>
        <w:t xml:space="preserve"> and localities </w:t>
      </w:r>
      <w:r w:rsidRPr="00661A68">
        <w:rPr>
          <w:u w:val="single"/>
        </w:rPr>
        <w:t xml:space="preserve">can experiment with different approaches to </w:t>
      </w:r>
      <w:r w:rsidRPr="00661A68">
        <w:rPr>
          <w:b/>
          <w:iCs/>
          <w:u w:val="single"/>
        </w:rPr>
        <w:t>maximize the opportunities for success</w:t>
      </w:r>
      <w:r w:rsidRPr="00661A68">
        <w:rPr>
          <w:sz w:val="14"/>
        </w:rPr>
        <w:t xml:space="preserve">. Lastly, and closely related to the value of promoting states as laboratories for experimentation, is the value of creating communities of shared interests. (317) </w:t>
      </w:r>
      <w:r w:rsidRPr="00661A68">
        <w:rPr>
          <w:u w:val="single"/>
        </w:rPr>
        <w:t>Allowing experimentation at the state</w:t>
      </w:r>
      <w:r w:rsidRPr="00661A68">
        <w:rPr>
          <w:sz w:val="14"/>
        </w:rPr>
        <w:t xml:space="preserve"> and local </w:t>
      </w:r>
      <w:r w:rsidRPr="00661A68">
        <w:rPr>
          <w:u w:val="single"/>
        </w:rPr>
        <w:t xml:space="preserve">level will </w:t>
      </w:r>
      <w:r w:rsidRPr="00661A68">
        <w:rPr>
          <w:sz w:val="14"/>
        </w:rPr>
        <w:t xml:space="preserve">also </w:t>
      </w:r>
      <w:r w:rsidRPr="00661A68">
        <w:rPr>
          <w:b/>
          <w:iCs/>
          <w:u w:val="single"/>
        </w:rPr>
        <w:t>allow cultural and local diversity</w:t>
      </w:r>
      <w:r w:rsidRPr="00661A68">
        <w:rPr>
          <w:sz w:val="14"/>
        </w:rPr>
        <w:t xml:space="preserve"> that can benefit any number of viewpoints. (318) Through the creation of communities of shared interests, people can choose to live in these communities. This allows maximizimation of choice and utility through competition and exit. (319) To determine whether a matter properly falls within the power of the national government, one typically determines first whether the states should have control. If that question is answered with a "no," then the matter is thought to be properly within the national power. Professor Barry Friedman, however, has properly noted that such an inquiry is only "half of the story about valuing federalism." (320) He cites four separate values for evaluating the need for national authority, all of which often arise in analyses of the values for evaluating the need for state or local authority, but only one of which is applicable to national authority over public schools. (321) That is, when uniformity is needed, national power is necessary. (322) At one level, asking whether federalism is the reason for allowing local control in school desegregation jurisprudence is troublesome. </w:t>
      </w:r>
      <w:r w:rsidRPr="00661A68">
        <w:rPr>
          <w:u w:val="single"/>
        </w:rPr>
        <w:t>The Court has</w:t>
      </w:r>
      <w:r w:rsidRPr="00661A68">
        <w:rPr>
          <w:sz w:val="14"/>
        </w:rPr>
        <w:t xml:space="preserve">, at times, </w:t>
      </w:r>
      <w:r w:rsidRPr="00661A68">
        <w:rPr>
          <w:b/>
          <w:iCs/>
          <w:u w:val="single"/>
        </w:rPr>
        <w:t>emphasized the need for local control</w:t>
      </w:r>
      <w:r w:rsidRPr="00661A68">
        <w:rPr>
          <w:sz w:val="14"/>
        </w:rPr>
        <w:t xml:space="preserve"> on grounds traditionally associated with federalism. (323) On another level, however, the Court could be employing federalist rhetoric to reach a desired result. In addition, guessing why the judiciary reaches a particular result surely cannot be reduced to a single concept. Yet, one cannot disconnect the idea of local control from federalism. Local control, at its core, prefers state and local authority over federal intervention; and this approach is, by definition, federalism at work. In addition, the American history of education rests on a solid foundation of "local control" of schools. (324) </w:t>
      </w:r>
      <w:r w:rsidRPr="00661A68">
        <w:rPr>
          <w:u w:val="single"/>
        </w:rPr>
        <w:t>Schools are typically governed not by the national government, but by state</w:t>
      </w:r>
      <w:r w:rsidRPr="00661A68">
        <w:rPr>
          <w:sz w:val="14"/>
        </w:rPr>
        <w:t xml:space="preserve"> and, particularly for primary and secondary schools, local governments. (325) Granted, public schools are not operated entirely independently of the national government, but local and state governance still predominates in theory and practice. (326) Three of the four values associated with state and local authority support school desegregation's allowance of local control over the remedial process. First, the value of public participation in democracy is furthered by state and local power over desegregating schools. If the alternative is authority by non-elected, life-tenured judges, then the opportunity for participation will only exist within the confines of party participation in litigation. </w:t>
      </w:r>
      <w:r w:rsidRPr="00661A68">
        <w:rPr>
          <w:u w:val="single"/>
        </w:rPr>
        <w:t xml:space="preserve">Affording authority to officials in the state and local executive and legislative branches will further democratic ideals by </w:t>
      </w:r>
      <w:r w:rsidRPr="00661A68">
        <w:rPr>
          <w:b/>
          <w:iCs/>
          <w:u w:val="single"/>
        </w:rPr>
        <w:t xml:space="preserve">increasing the number of voices heard in the remedial process and by </w:t>
      </w:r>
      <w:r w:rsidRPr="00661A68">
        <w:rPr>
          <w:b/>
          <w:iCs/>
          <w:sz w:val="26"/>
          <w:szCs w:val="26"/>
          <w:u w:val="single"/>
        </w:rPr>
        <w:t>holding the decision makers accountable</w:t>
      </w:r>
      <w:r w:rsidRPr="00661A68">
        <w:rPr>
          <w:sz w:val="14"/>
        </w:rPr>
        <w:t xml:space="preserve"> through any attending electoral process. Second, </w:t>
      </w:r>
      <w:r w:rsidRPr="00661A68">
        <w:rPr>
          <w:u w:val="single"/>
        </w:rPr>
        <w:t>promoting state</w:t>
      </w:r>
      <w:r w:rsidRPr="00661A68">
        <w:rPr>
          <w:sz w:val="14"/>
        </w:rPr>
        <w:t xml:space="preserve"> and local officials' </w:t>
      </w:r>
      <w:r w:rsidRPr="00661A68">
        <w:rPr>
          <w:u w:val="single"/>
        </w:rPr>
        <w:t xml:space="preserve">authority will </w:t>
      </w:r>
      <w:r w:rsidRPr="00661A68">
        <w:rPr>
          <w:b/>
          <w:iCs/>
          <w:u w:val="single"/>
        </w:rPr>
        <w:t>decrease the chances for tyranny</w:t>
      </w:r>
      <w:r w:rsidRPr="00661A68">
        <w:rPr>
          <w:sz w:val="14"/>
        </w:rPr>
        <w:t xml:space="preserve"> </w:t>
      </w:r>
      <w:r w:rsidRPr="00661A68">
        <w:rPr>
          <w:u w:val="single"/>
        </w:rPr>
        <w:t>because the checks on the abuses of judicial power</w:t>
      </w:r>
      <w:r w:rsidRPr="00661A68">
        <w:rPr>
          <w:sz w:val="14"/>
        </w:rPr>
        <w:t>--appellate review and impeachment--</w:t>
      </w:r>
      <w:r w:rsidRPr="00661A68">
        <w:rPr>
          <w:u w:val="single"/>
        </w:rPr>
        <w:t>are significantly weaker than that afforded by the electoral process.</w:t>
      </w:r>
      <w:r w:rsidRPr="00661A68">
        <w:rPr>
          <w:sz w:val="14"/>
        </w:rPr>
        <w:t xml:space="preserve"> Third, </w:t>
      </w:r>
      <w:r w:rsidRPr="00661A68">
        <w:rPr>
          <w:u w:val="single"/>
        </w:rPr>
        <w:t xml:space="preserve">local control furthers </w:t>
      </w:r>
      <w:r w:rsidRPr="00661A68">
        <w:rPr>
          <w:b/>
          <w:iCs/>
          <w:u w:val="single"/>
        </w:rPr>
        <w:t>experimentation in school desegregation</w:t>
      </w:r>
      <w:r w:rsidRPr="00661A68">
        <w:rPr>
          <w:sz w:val="14"/>
        </w:rPr>
        <w:t xml:space="preserve"> more than exclusive judicial control.</w:t>
      </w:r>
    </w:p>
    <w:p w14:paraId="2E9FD60F" w14:textId="77777777" w:rsidR="00DD4BE0" w:rsidRPr="00661A68" w:rsidRDefault="00DD4BE0" w:rsidP="00DD4BE0"/>
    <w:p w14:paraId="75386716" w14:textId="0C7CE668" w:rsidR="0084604C" w:rsidRPr="00661A68" w:rsidRDefault="0084604C" w:rsidP="0084604C">
      <w:pPr>
        <w:pStyle w:val="Heading3"/>
      </w:pPr>
      <w:r w:rsidRPr="00661A68">
        <w:t>CJR—States Solve—Forensic Science</w:t>
      </w:r>
    </w:p>
    <w:p w14:paraId="0FD7B94C" w14:textId="77777777" w:rsidR="0084604C" w:rsidRPr="00661A68" w:rsidRDefault="0084604C" w:rsidP="0084604C">
      <w:pPr>
        <w:pStyle w:val="Heading4"/>
      </w:pPr>
      <w:r w:rsidRPr="00661A68">
        <w:t>States are best equipped to reform forensic science</w:t>
      </w:r>
    </w:p>
    <w:p w14:paraId="61EC474A" w14:textId="77777777" w:rsidR="0084604C" w:rsidRPr="00661A68" w:rsidRDefault="0084604C" w:rsidP="0084604C">
      <w:r w:rsidRPr="00661A68">
        <w:rPr>
          <w:rStyle w:val="Style13ptBold"/>
        </w:rPr>
        <w:t>Goldstein 11</w:t>
      </w:r>
      <w:r w:rsidRPr="00661A68">
        <w:t xml:space="preserve"> [Ryan M., "Improving forensic science through state oversight." Tex. L. Rev. 90 (2011): 225., accessed 6/1/20; https://heinonline.org/HOL/LandingPage?handle=hein.journals/tlr90&amp;div=9&amp;id=&amp;page=]</w:t>
      </w:r>
    </w:p>
    <w:p w14:paraId="4077C1F1" w14:textId="77777777" w:rsidR="0084604C" w:rsidRPr="00661A68" w:rsidRDefault="0084604C" w:rsidP="0084604C">
      <w:pPr>
        <w:rPr>
          <w:sz w:val="16"/>
        </w:rPr>
      </w:pPr>
      <w:r w:rsidRPr="00661A68">
        <w:rPr>
          <w:u w:val="single"/>
        </w:rPr>
        <w:t>Two core problems plague forensic science</w:t>
      </w:r>
      <w:r w:rsidRPr="00661A68">
        <w:rPr>
          <w:sz w:val="16"/>
        </w:rPr>
        <w:t xml:space="preserve">. First, </w:t>
      </w:r>
      <w:r w:rsidRPr="00661A68">
        <w:rPr>
          <w:u w:val="single"/>
        </w:rPr>
        <w:t>questions of validity</w:t>
      </w:r>
      <w:r w:rsidRPr="00661A68">
        <w:rPr>
          <w:sz w:val="16"/>
        </w:rPr>
        <w:t xml:space="preserve">—whether forensic science truly measures real-world phenomena— threaten the foundation upon which disciplines are built. A landmark National Academy of Sciences report (NAS Report) on the state of non-DNA forensic science questioned whether underlying research supports many of the claims forensic scientists make in court.16 In other words, to what extent is there science in any given forensic science discipline?17 Because the criminal justice system routinely uses forensic science evidence and forensic experts,18 this question is significant. To address validity concerns, </w:t>
      </w:r>
      <w:r w:rsidRPr="00661A68">
        <w:rPr>
          <w:u w:val="single"/>
        </w:rPr>
        <w:t>the NAS Report recommended the creation of a new federal agency that would ―promote the development of forensic science into a mature field of multidisciplinary research and practice</w:t>
      </w:r>
      <w:r w:rsidRPr="00661A68">
        <w:rPr>
          <w:sz w:val="16"/>
        </w:rPr>
        <w:t xml:space="preserve">.‖19 Among its activities, the agency would encourage ―scholarly, competitive peer-reviewed research,‖ 20 including studies demonstrating the scientific validity of practices,21 and would oversee forensic science programs in higher education.22 Second, </w:t>
      </w:r>
      <w:r w:rsidRPr="00661A68">
        <w:rPr>
          <w:u w:val="single"/>
        </w:rPr>
        <w:t>questions of reliability</w:t>
      </w:r>
      <w:r w:rsidRPr="00661A68">
        <w:rPr>
          <w:sz w:val="16"/>
        </w:rPr>
        <w:t xml:space="preserve">—whether forensic results are accurate, assuming that the methods are valid—have already eroded the credibility of forensic science. Analyst errors, whether willful or negligent, have led to the dismissal of criminal convictions in many jurisdictions. While some of the instances of error have been attributed to ―rogue‖ analysts,23 systemic problems have caused many others.24 These systemic problems are difficult to diagnose and to remedy. A particular analyst may be the culprit, but the cause may be a systemic issue such as lack of effective laboratory management or biases caused by the relationship between the laboratory and law enforcement.25 </w:t>
      </w:r>
      <w:r w:rsidRPr="00661A68">
        <w:rPr>
          <w:u w:val="single"/>
        </w:rPr>
        <w:t>The NAS Report recommended various measures to address reliability concerns</w:t>
      </w:r>
      <w:r w:rsidRPr="00661A68">
        <w:rPr>
          <w:sz w:val="16"/>
        </w:rPr>
        <w:t xml:space="preserve">. These recommendations included encouraging research on quantifiable measures of the reliability of analyses26 and on humanobserver bias and sources of human error;27 developing best practices for professionals and laboratories;28 mandating laboratory accreditation and certification of forensic science professionals;29 and establishing a national code of ethics.30 Controversially, the NAS Report also recommended removing laboratories from law enforcement control.31 Viewpoints differ on the merits of these concerns. The NAS Report elicited widespread reaction from scholars in the fields of forensic science and evidence, as well as from professional organizations.32 </w:t>
      </w:r>
      <w:r w:rsidRPr="00661A68">
        <w:rPr>
          <w:u w:val="single"/>
        </w:rPr>
        <w:t>While academic commentators have endorsed most of the NAS Report‘s recommendations, many have questioned whether the recommendations are realistic</w:t>
      </w:r>
      <w:r w:rsidRPr="00661A68">
        <w:rPr>
          <w:sz w:val="16"/>
        </w:rPr>
        <w:t xml:space="preserve">.33 </w:t>
      </w:r>
      <w:r w:rsidRPr="00661A68">
        <w:rPr>
          <w:u w:val="single"/>
        </w:rPr>
        <w:t>Professional organizations representing differing interests agreed that forensic science is severely under-resourced but disagreed as to whether the NAS Report endorsed or criticized forensic science methods.</w:t>
      </w:r>
      <w:r w:rsidRPr="00661A68">
        <w:rPr>
          <w:sz w:val="16"/>
        </w:rPr>
        <w:t xml:space="preserve">34 They also disagreed about the practicality and necessity of the NAS Report‘s recommendations.35 Some even accused the NAS of bias against law enforcement.36 And while documented cases of analyst error or misconduct make it difficult to argue that the reliability concern is completely unwarranted, views differ on the extent of the problem and whether current protections such as accreditation can remedy it.37 </w:t>
      </w:r>
      <w:r w:rsidRPr="00661A68">
        <w:rPr>
          <w:u w:val="single"/>
        </w:rPr>
        <w:t>Unlike the NAS Report, courts have accepted most forensic science disciplines as valid and reliable</w:t>
      </w:r>
      <w:r w:rsidRPr="00661A68">
        <w:rPr>
          <w:sz w:val="16"/>
        </w:rPr>
        <w:t xml:space="preserve">. The well-documented legacy of Daubert v. Merrell Dow Pharmaceuticals, Inc.38 and its progeny is the relaxed judicial scrutiny of forensic science experts in criminal cases, as compared to heightened scrutiny of scientific experts in civil cases.39 Unlike in civil cases, where courts routinely exclude scientific expert evidence under the Daubert factors,40 they often admit forensic science evidence in criminal cases without question under the same Daubert standard.41 And </w:t>
      </w:r>
      <w:r w:rsidRPr="00661A68">
        <w:rPr>
          <w:u w:val="single"/>
        </w:rPr>
        <w:t xml:space="preserve">according to the NAS Report, even a change in ―[j]udicial review, by itself, will not cure the infirmities of the forensic science community,‖ no matter the gatekeeping standard.42 </w:t>
      </w:r>
      <w:r w:rsidRPr="00661A68">
        <w:rPr>
          <w:sz w:val="16"/>
        </w:rPr>
        <w:t xml:space="preserve">In a recent Confrontation Clause decision, the Supreme Court mentioned the possibility that forensic science evidence is unreliable due to analyst error or bias;43 however, it does not appear that the nation‘s highest court will administer any top-down changes in the way trial courts handle admissibility questions. </w:t>
      </w:r>
      <w:r w:rsidRPr="00661A68">
        <w:rPr>
          <w:u w:val="single"/>
        </w:rPr>
        <w:t>The Court‘s decision to cite the NAS Report may encourage defense counsel to try to use it in criminal cases to disqualify forensic scientists as unreliable expert witnesses under Daubert</w:t>
      </w:r>
      <w:r w:rsidRPr="00661A68">
        <w:rPr>
          <w:sz w:val="16"/>
        </w:rPr>
        <w:t xml:space="preserve">. 44 However, </w:t>
      </w:r>
      <w:r w:rsidRPr="00661A68">
        <w:rPr>
          <w:u w:val="single"/>
        </w:rPr>
        <w:t>the success of such a strategy is unlikely</w:t>
      </w:r>
      <w:r w:rsidRPr="00661A68">
        <w:rPr>
          <w:sz w:val="16"/>
        </w:rPr>
        <w:t xml:space="preserve">.45 </w:t>
      </w:r>
      <w:r w:rsidRPr="00661A68">
        <w:rPr>
          <w:u w:val="single"/>
        </w:rPr>
        <w:t>Fragmentation by jurisdiction, laboratory, and discipline exacerbates the validity and reliability problems</w:t>
      </w:r>
      <w:r w:rsidRPr="00661A68">
        <w:rPr>
          <w:sz w:val="16"/>
        </w:rPr>
        <w:t xml:space="preserve">. First, </w:t>
      </w:r>
      <w:r w:rsidRPr="00661A68">
        <w:rPr>
          <w:u w:val="single"/>
        </w:rPr>
        <w:t>forensic science has historically operated under the formal supervision of law enforcement</w:t>
      </w:r>
      <w:r w:rsidRPr="00661A68">
        <w:rPr>
          <w:sz w:val="16"/>
        </w:rPr>
        <w:t xml:space="preserve"> within each jurisdiction but </w:t>
      </w:r>
      <w:r w:rsidRPr="00661A68">
        <w:rPr>
          <w:u w:val="single"/>
        </w:rPr>
        <w:t>without any significant external regulation</w:t>
      </w:r>
      <w:r w:rsidRPr="00661A68">
        <w:rPr>
          <w:sz w:val="16"/>
        </w:rPr>
        <w:t xml:space="preserve">.46 </w:t>
      </w:r>
      <w:r w:rsidRPr="00661A68">
        <w:rPr>
          <w:u w:val="single"/>
        </w:rPr>
        <w:t>Funding often comes from different levels of government</w:t>
      </w:r>
      <w:r w:rsidRPr="00661A68">
        <w:rPr>
          <w:sz w:val="16"/>
        </w:rPr>
        <w:t xml:space="preserve">, and laboratories often perform analyses for law enforcement from neighboring or overlapping jurisdictions.47 </w:t>
      </w:r>
      <w:r w:rsidRPr="00661A68">
        <w:rPr>
          <w:u w:val="single"/>
        </w:rPr>
        <w:t>The large number of small laboratories</w:t>
      </w:r>
      <w:r w:rsidRPr="00661A68">
        <w:rPr>
          <w:sz w:val="16"/>
        </w:rPr>
        <w:t>48</w:t>
      </w:r>
      <w:r w:rsidRPr="00661A68">
        <w:rPr>
          <w:u w:val="single"/>
        </w:rPr>
        <w:t xml:space="preserve"> and laboratories that only perform limited types of analysis </w:t>
      </w:r>
      <w:r w:rsidRPr="00661A68">
        <w:rPr>
          <w:sz w:val="16"/>
        </w:rPr>
        <w:t xml:space="preserve">49 further </w:t>
      </w:r>
      <w:r w:rsidRPr="00661A68">
        <w:rPr>
          <w:u w:val="single"/>
        </w:rPr>
        <w:t>disaggregate forensic science</w:t>
      </w:r>
      <w:r w:rsidRPr="00661A68">
        <w:rPr>
          <w:sz w:val="16"/>
        </w:rPr>
        <w:t xml:space="preserve">. The rise of </w:t>
      </w:r>
      <w:r w:rsidRPr="00661A68">
        <w:rPr>
          <w:u w:val="single"/>
        </w:rPr>
        <w:t>private laboratories adds to the fragmentation as well</w:t>
      </w:r>
      <w:r w:rsidRPr="00661A68">
        <w:rPr>
          <w:sz w:val="16"/>
        </w:rPr>
        <w:t xml:space="preserve">,50 and any reform proposals must include increased oversight of these laboratories. In short, the term forensic science encompasses a complex world of overlapping jurisdictions and laboratories. The result is an environment where it is difficult to determine which entity should be responsible for oversight. Second, forensic science has historically subdivided itself by discipline, ―marked by multiple types of practitioners with different levels of education and training and different professional cultures and standards for performance.‖51 Disciplines have developed at different times and in different contexts. Some, such as fingerprint and firearm comparisons, developed as pragmatic solutions to help solve law enforcement needs, while others, such as DNA and blood-typing, developed in medicine or other scientific fields and later became useful to law enforcement.52 While professional associations organized by discipline have provided some leadership, they generally do not share standards or policies between organizations,53 and this breakdown by discipline often contributes to ―apprentice-type training and a guild-like structure of disciplines, which work against the goal of a single forensic science profession.‖54 </w:t>
      </w:r>
      <w:r w:rsidRPr="00661A68">
        <w:rPr>
          <w:u w:val="single"/>
        </w:rPr>
        <w:t>Key federal agencies</w:t>
      </w:r>
      <w:r w:rsidRPr="00661A68">
        <w:rPr>
          <w:sz w:val="16"/>
        </w:rPr>
        <w:t xml:space="preserve">, such as the Federal Bureau of Investigation (FBI) and the National Institute of Justice (NIJ), </w:t>
      </w:r>
      <w:r w:rsidRPr="00661A68">
        <w:rPr>
          <w:u w:val="single"/>
        </w:rPr>
        <w:t>have provided ―modest leadership</w:t>
      </w:r>
      <w:r w:rsidRPr="00661A68">
        <w:rPr>
          <w:sz w:val="16"/>
        </w:rPr>
        <w:t xml:space="preserve">,‖ </w:t>
      </w:r>
      <w:r w:rsidRPr="00661A68">
        <w:rPr>
          <w:u w:val="single"/>
        </w:rPr>
        <w:t>but neither has led calls for uniformity or scrutiny</w:t>
      </w:r>
      <w:r w:rsidRPr="00661A68">
        <w:rPr>
          <w:sz w:val="16"/>
        </w:rPr>
        <w:t xml:space="preserve">.55 In fact, </w:t>
      </w:r>
      <w:r w:rsidRPr="00661A68">
        <w:rPr>
          <w:u w:val="single"/>
        </w:rPr>
        <w:t xml:space="preserve">some </w:t>
      </w:r>
      <w:r w:rsidRPr="00661A68">
        <w:rPr>
          <w:sz w:val="16"/>
        </w:rPr>
        <w:t xml:space="preserve">discipline organizations, including Scientific Working Groups,56 </w:t>
      </w:r>
      <w:r w:rsidRPr="00661A68">
        <w:rPr>
          <w:u w:val="single"/>
        </w:rPr>
        <w:t>have refuted portions of the NAS</w:t>
      </w:r>
      <w:r w:rsidRPr="00661A68">
        <w:rPr>
          <w:sz w:val="16"/>
        </w:rPr>
        <w:t xml:space="preserve"> Report addressing individualization, error-rate data, and the need for oversight.57 The dichotomy between forensic science providers working in laboratories and providers working at crime scenes has also contributed to the fragmentation.58 Depending on the jurisdiction and the type of evidence, forensic science may be performed by laboratory technicians, sworn law enforcement officers, or crime scene investigators.59 Finally, even within disciplines, there are no formal entry mechanisms to the profession, such as exams or licensure, 60 which leads to variations between providers within a single discipline.61 These core problems—questionable validity and questionable reliability, both augmented by a fragmented profession—have contributed to the ever-growing list of jurisdictions suffering from laboratory scandals.62 Exonerations due in part to postconviction discovery of improper forensic science are well documented.63 And the mainstream media has repeatedly reported on significant laboratory scandals.64 But all is not lost. </w:t>
      </w:r>
      <w:r w:rsidRPr="00661A68">
        <w:rPr>
          <w:u w:val="single"/>
        </w:rPr>
        <w:t>In many jurisdictions, state-level oversight is minimal</w:t>
      </w:r>
      <w:r w:rsidRPr="00661A68">
        <w:rPr>
          <w:sz w:val="16"/>
        </w:rPr>
        <w:t xml:space="preserve">.65 Government action can address many of the problems and usher forensic science into a new era of valid, reliable science. II. State Oversight: An Ignored Resource </w:t>
      </w:r>
      <w:r w:rsidRPr="00661A68">
        <w:rPr>
          <w:u w:val="single"/>
        </w:rPr>
        <w:t>With attention concentrated on the NAS Report and possible federal legislation, commentators have ignored the role of state forensic science oversight</w:t>
      </w:r>
      <w:r w:rsidRPr="00661A68">
        <w:rPr>
          <w:sz w:val="16"/>
        </w:rPr>
        <w:t xml:space="preserve">.66 This lack of focus on state oversight is striking. </w:t>
      </w:r>
      <w:r w:rsidRPr="00661A68">
        <w:rPr>
          <w:u w:val="single"/>
        </w:rPr>
        <w:t>In the American system of federalism, criminal law is traditionally reserved to the states under the police or welfare power</w:t>
      </w:r>
      <w:r w:rsidRPr="00661A68">
        <w:rPr>
          <w:sz w:val="16"/>
        </w:rPr>
        <w:t xml:space="preserve">.67 Since any unresolved problems affect state criminal justice systems at their core, </w:t>
      </w:r>
      <w:r w:rsidRPr="00661A68">
        <w:rPr>
          <w:u w:val="single"/>
        </w:rPr>
        <w:t>state oversight should play a critical role in forensic science oversight.</w:t>
      </w:r>
      <w:r w:rsidRPr="00661A68">
        <w:rPr>
          <w:sz w:val="16"/>
        </w:rPr>
        <w:t xml:space="preserve"> A postconviction exoneration or the discovery of a negligent technician puts the credibility of the state criminal justice system in question. The decisions of state legislatures and state executives—and not those of the United States Congress—determine a state‘s forensic science policies, the structure of its laboratories, and changes to its regulatory scheme. 68 Although the body of federal criminal laws has ballooned in recent decades,69 </w:t>
      </w:r>
      <w:r w:rsidRPr="00661A68">
        <w:rPr>
          <w:u w:val="single"/>
        </w:rPr>
        <w:t>state and local law enforcement</w:t>
      </w:r>
      <w:r w:rsidRPr="00661A68">
        <w:rPr>
          <w:sz w:val="16"/>
        </w:rPr>
        <w:t xml:space="preserve"> and prosecutors still ―</w:t>
      </w:r>
      <w:r w:rsidRPr="00661A68">
        <w:rPr>
          <w:u w:val="single"/>
        </w:rPr>
        <w:t>process the lion‘s share of U.S. criminal offenders</w:t>
      </w:r>
      <w:r w:rsidRPr="00661A68">
        <w:rPr>
          <w:sz w:val="16"/>
        </w:rPr>
        <w:t xml:space="preserve">.‖70 While the federal government provides grants for laboratory operations,71 helps fund research,72 and influences state laboratories through its own laboratories and procedures,73 </w:t>
      </w:r>
      <w:r w:rsidRPr="00661A68">
        <w:rPr>
          <w:u w:val="single"/>
        </w:rPr>
        <w:t>the operation of state and local laboratories remains under the control of the state in which they are located</w:t>
      </w:r>
      <w:r w:rsidRPr="00661A68">
        <w:rPr>
          <w:sz w:val="16"/>
        </w:rPr>
        <w:t xml:space="preserve">. At the same time, formal federal regulation of non-DNA forensic science has lacked.74 The spending power triggers the only current federal regulations.75 The National Science Foundation and the National Institute of Standards and Technology have little experience with forensic science.76 And only in response to the NAS Report did the White House form an advisory committee on forensic science.77 </w:t>
      </w:r>
      <w:r w:rsidRPr="00661A68">
        <w:rPr>
          <w:u w:val="single"/>
        </w:rPr>
        <w:t>The NAS Report charged the federal government</w:t>
      </w:r>
      <w:r w:rsidRPr="00661A68">
        <w:rPr>
          <w:sz w:val="16"/>
        </w:rPr>
        <w:t xml:space="preserve"> with implementing its recommendations.78 </w:t>
      </w:r>
      <w:r w:rsidRPr="00661A68">
        <w:rPr>
          <w:u w:val="single"/>
        </w:rPr>
        <w:t>But</w:t>
      </w:r>
      <w:r w:rsidRPr="00661A68">
        <w:rPr>
          <w:sz w:val="16"/>
        </w:rPr>
        <w:t xml:space="preserve">, as mentioned above, this </w:t>
      </w:r>
      <w:r w:rsidRPr="00661A68">
        <w:rPr>
          <w:u w:val="single"/>
        </w:rPr>
        <w:t>ignores the direct control that states have over their laboratories and criminal justice systems. Furthermore, federal reform requires uniformity and ignores the benefits of state experimentation</w:t>
      </w:r>
      <w:r w:rsidRPr="00661A68">
        <w:rPr>
          <w:sz w:val="16"/>
        </w:rPr>
        <w:t xml:space="preserve">.79 It ignores geographic differences in values and the differences in the ways that states administer their systems of criminal justice and criminal investigation.80 Finally, with the current political climate in Washington, federal reform may be difficult to pass. And even if it were to pass, it may reflect a compromise between differing interests rather than the most robust oversight possible.81 </w:t>
      </w:r>
      <w:r w:rsidRPr="00661A68">
        <w:rPr>
          <w:u w:val="single"/>
        </w:rPr>
        <w:t>States,</w:t>
      </w:r>
      <w:r w:rsidRPr="00661A68">
        <w:rPr>
          <w:sz w:val="16"/>
        </w:rPr>
        <w:t xml:space="preserve"> on the other hand, </w:t>
      </w:r>
      <w:r w:rsidRPr="00661A68">
        <w:rPr>
          <w:u w:val="single"/>
        </w:rPr>
        <w:t>are well positioned to implement reforms, especially reforms that target reliability</w:t>
      </w:r>
      <w:r w:rsidRPr="00661A68">
        <w:rPr>
          <w:sz w:val="16"/>
        </w:rPr>
        <w:t xml:space="preserve">. States understand the structure of their own criminal justice systems and can experiment with new or nontraditional forms of oversight.82 </w:t>
      </w:r>
      <w:r w:rsidRPr="00661A68">
        <w:rPr>
          <w:u w:val="single"/>
        </w:rPr>
        <w:t>They operate on a smaller scale and are more likely to act quickly, especially those states that have experienced embarrassing scandal</w:t>
      </w:r>
      <w:r w:rsidRPr="00661A68">
        <w:rPr>
          <w:sz w:val="16"/>
        </w:rPr>
        <w:t xml:space="preserve">s.83 When reforms are implemented, a local presence allows for better enforcement and ground-level monitoring. When reforms prove unsuccessful or require tweaking, states can make the necessary changes without undue delay. </w:t>
      </w:r>
      <w:r w:rsidRPr="00661A68">
        <w:rPr>
          <w:u w:val="single"/>
        </w:rPr>
        <w:t>Most importantly, state officials bear responsibility for the failures of the state‘s forensic science laboratories. State officials are accessible to those directly affected by reform, such as forensic scientists and state police, and to state citizens who support the criminal justice system by paying taxes and serving on juries</w:t>
      </w:r>
      <w:r w:rsidRPr="00661A68">
        <w:rPr>
          <w:sz w:val="16"/>
        </w:rPr>
        <w:t xml:space="preserve">. </w:t>
      </w:r>
      <w:r w:rsidRPr="00661A68">
        <w:rPr>
          <w:u w:val="single"/>
        </w:rPr>
        <w:t>Local forensic scientists are likely to view reforms implemented from the state capital as more credible than those implemented by anonymous regulators in Washington</w:t>
      </w:r>
      <w:r w:rsidRPr="00661A68">
        <w:rPr>
          <w:sz w:val="16"/>
        </w:rPr>
        <w:t xml:space="preserve">, since the forensic science community within a state is more familiar with that state‘s government. </w:t>
      </w:r>
    </w:p>
    <w:p w14:paraId="4D580F25" w14:textId="77777777" w:rsidR="0084604C" w:rsidRPr="00661A68" w:rsidRDefault="0084604C" w:rsidP="0084604C"/>
    <w:p w14:paraId="6A45BB32" w14:textId="0F6127AB" w:rsidR="006103F6" w:rsidRPr="00661A68" w:rsidRDefault="006103F6" w:rsidP="007B4C29">
      <w:pPr>
        <w:pStyle w:val="Heading3"/>
      </w:pPr>
      <w:r w:rsidRPr="00661A68">
        <w:t>CJR—States Solve—Marijuana</w:t>
      </w:r>
    </w:p>
    <w:p w14:paraId="1ECF4042" w14:textId="29F48E10" w:rsidR="007D2992" w:rsidRPr="00661A68" w:rsidRDefault="007D2992" w:rsidP="007D2992">
      <w:pPr>
        <w:pStyle w:val="Heading4"/>
      </w:pPr>
      <w:r w:rsidRPr="00661A68">
        <w:t xml:space="preserve">States are better equipped to determine marijuana policy—legalization solves </w:t>
      </w:r>
      <w:r w:rsidR="00BC14AE" w:rsidRPr="00661A68">
        <w:t>the aff and avoids the DA</w:t>
      </w:r>
    </w:p>
    <w:p w14:paraId="0FE0F0EE" w14:textId="13D28659" w:rsidR="007D2992" w:rsidRPr="00661A68" w:rsidRDefault="007D2992" w:rsidP="007D2992">
      <w:pPr>
        <w:rPr>
          <w:b/>
          <w:bCs/>
        </w:rPr>
      </w:pPr>
      <w:r w:rsidRPr="00661A68">
        <w:rPr>
          <w:rStyle w:val="Style13ptBold"/>
        </w:rPr>
        <w:t>Tanner 17</w:t>
      </w:r>
      <w:r w:rsidRPr="00661A68">
        <w:t xml:space="preserve"> [Michael, Senior fellow at the Cato Institute and the author of Going for Broke: Deficits, Debt, and the Entitlement Crisis, “Marijuana Policy Is Best Left up to the States”; published on the Cato Institute’s website 3/1/17, accessed 6/2/20; </w:t>
      </w:r>
      <w:hyperlink r:id="rId20" w:history="1">
        <w:r w:rsidR="00CB0F49" w:rsidRPr="00661A68">
          <w:rPr>
            <w:rStyle w:val="Hyperlink"/>
          </w:rPr>
          <w:t>https://www.cato.org/publications/commentary/marijuana-policy-best-left-states</w:t>
        </w:r>
      </w:hyperlink>
      <w:r w:rsidRPr="00661A68">
        <w:t>]</w:t>
      </w:r>
      <w:r w:rsidR="00CB0F49" w:rsidRPr="00661A68">
        <w:t xml:space="preserve"> </w:t>
      </w:r>
      <w:r w:rsidR="00CB0F49" w:rsidRPr="00661A68">
        <w:rPr>
          <w:b/>
          <w:bCs/>
        </w:rPr>
        <w:t>**TW: crime reference</w:t>
      </w:r>
    </w:p>
    <w:p w14:paraId="4A7312BB" w14:textId="382645BF" w:rsidR="007D2992" w:rsidRPr="00661A68" w:rsidRDefault="007D2992" w:rsidP="007D2992">
      <w:pPr>
        <w:rPr>
          <w:sz w:val="16"/>
        </w:rPr>
      </w:pPr>
      <w:r w:rsidRPr="00661A68">
        <w:rPr>
          <w:sz w:val="16"/>
        </w:rPr>
        <w:t xml:space="preserve">In the last few years, </w:t>
      </w:r>
      <w:r w:rsidRPr="00661A68">
        <w:rPr>
          <w:u w:val="single"/>
        </w:rPr>
        <w:t>eight states and the District of Columbia have legalized recreational marijuana. Another 28 states have legalized the use of marijuana for medical purposes. But despite this shift, police still made more than 574,000 arrests in 2015 for simple marijuana possession</w:t>
      </w:r>
      <w:r w:rsidRPr="00661A68">
        <w:rPr>
          <w:sz w:val="16"/>
        </w:rPr>
        <w:t xml:space="preserve">. To put that in perspective, there were fewer than 506,000 arrests that year for murder, non‐​negligent manslaughter, rape, robbery, and aggravated assault. That means more people were arrested for marijuana possession than for all violent crime combined. </w:t>
      </w:r>
      <w:r w:rsidRPr="00661A68">
        <w:rPr>
          <w:u w:val="single"/>
        </w:rPr>
        <w:t>Does anyone really believe that this is a good use of police resources</w:t>
      </w:r>
      <w:r w:rsidRPr="00661A68">
        <w:rPr>
          <w:sz w:val="16"/>
        </w:rPr>
        <w:t>, or that federal agents should be ignoring serious crime and terrorism in order to chase after legal‐​weed users and producers in Colorado or Washington?</w:t>
      </w:r>
      <w:r w:rsidR="00BC14AE" w:rsidRPr="00661A68">
        <w:rPr>
          <w:sz w:val="16"/>
        </w:rPr>
        <w:t xml:space="preserve"> </w:t>
      </w:r>
      <w:r w:rsidRPr="00661A68">
        <w:rPr>
          <w:u w:val="single"/>
        </w:rPr>
        <w:t>In speaking of the federal crack down on pot, Spicer linked marijuana legalization with increased use of other drugs including opioids</w:t>
      </w:r>
      <w:r w:rsidRPr="00661A68">
        <w:rPr>
          <w:sz w:val="16"/>
        </w:rPr>
        <w:t xml:space="preserve">. “When you see something like the opioid‐​addiction crisis blossoming in so many states around this country, the last thing we should be doing is encouraging people,” he said. </w:t>
      </w:r>
      <w:r w:rsidRPr="00661A68">
        <w:rPr>
          <w:u w:val="single"/>
        </w:rPr>
        <w:t>But studies of Colorado’s experience with legalized marijuana show no increase in pot use among young people, and a decrease in consumption of other drugs as well as in binge drinking</w:t>
      </w:r>
      <w:r w:rsidRPr="00661A68">
        <w:rPr>
          <w:sz w:val="16"/>
        </w:rPr>
        <w:t>.</w:t>
      </w:r>
      <w:r w:rsidR="00BC14AE" w:rsidRPr="00661A68">
        <w:rPr>
          <w:sz w:val="16"/>
        </w:rPr>
        <w:t xml:space="preserve"> </w:t>
      </w:r>
      <w:r w:rsidRPr="00661A68">
        <w:rPr>
          <w:sz w:val="16"/>
        </w:rPr>
        <w:t xml:space="preserve">Donald Trump, of course, sees himself as the “law and order” president. This was a key plank in his campaign, and he has continued to make it a key part of his agenda as president. He regularly meets with police and other law‐​enforcement officials, and is effusive in praising their work. But a renewed war on pot may actually undermine the president’s goals. Studies show that </w:t>
      </w:r>
      <w:r w:rsidRPr="00661A68">
        <w:rPr>
          <w:u w:val="single"/>
        </w:rPr>
        <w:t>states that have legalized marijuana have seen a small but statistically significant decline in crime rates, including reductions in rape, larceny theft, property crime, and drunk and disorderly arrests.</w:t>
      </w:r>
      <w:r w:rsidRPr="00661A68">
        <w:rPr>
          <w:sz w:val="16"/>
        </w:rPr>
        <w:t xml:space="preserve"> Plus which, </w:t>
      </w:r>
      <w:r w:rsidRPr="00661A68">
        <w:rPr>
          <w:u w:val="single"/>
        </w:rPr>
        <w:t>marijuana legalization frees up police and prison resources for use in combating more serious crimes</w:t>
      </w:r>
      <w:r w:rsidRPr="00661A68">
        <w:rPr>
          <w:sz w:val="16"/>
        </w:rPr>
        <w:t>.</w:t>
      </w:r>
      <w:r w:rsidR="00BC14AE" w:rsidRPr="00661A68">
        <w:rPr>
          <w:sz w:val="16"/>
        </w:rPr>
        <w:t xml:space="preserve"> </w:t>
      </w:r>
      <w:r w:rsidRPr="00661A68">
        <w:rPr>
          <w:sz w:val="16"/>
        </w:rPr>
        <w:t>President Trump has repeatedly spoken of his desire to take on Mexico’s drug cartels, even musing about sending US troops to Mexico to fight drug traffickers. And, of course, one of the stated purposes of his signature border wall is to stop “drugs pouring into this country.” But if he really wants to hurt the cartels, he should leave marijuana legalization alone. The increased availability of legal, domestic marijuana has already reduced the demand for, and consequently the price of, Mexican marijuana, costing the cartels millions of dollars. One Mexican think tank calculated that if the United States legalized marijuana nationwide, the cartels would lose as much as $1.6 billion of their annual $2 billion in drug‐​smuggling revenue.</w:t>
      </w:r>
      <w:r w:rsidR="00BC14AE" w:rsidRPr="00661A68">
        <w:rPr>
          <w:sz w:val="16"/>
        </w:rPr>
        <w:t xml:space="preserve"> </w:t>
      </w:r>
      <w:r w:rsidRPr="00661A68">
        <w:rPr>
          <w:sz w:val="16"/>
        </w:rPr>
        <w:t xml:space="preserve">Even if these projections prove overly optimistic, </w:t>
      </w:r>
      <w:r w:rsidRPr="00661A68">
        <w:rPr>
          <w:u w:val="single"/>
        </w:rPr>
        <w:t>one doesn’t need to support legal marijuana to think that law‐​enforcement decisions, even more so than civil‐​rights protections, are best left up to the 50 states. It’s hard to believe that our country’s founders envisioned the federal government as a national sheriff</w:t>
      </w:r>
      <w:r w:rsidRPr="00661A68">
        <w:rPr>
          <w:sz w:val="16"/>
        </w:rPr>
        <w:t>. Indeed, the Constitution itself specifies just four federal crimes: treason, piracy, counterfeiting, and crimes committed on the high seas or against the law of nations. Today, the Congressional Research Service estimates that there are more than 4,000 federal offenses. On average, Congress creates 50 new federal crimes every year. The Trump administration’s fair‐​weather federalism is furthering this dangerous trend.</w:t>
      </w:r>
      <w:r w:rsidR="00BC14AE" w:rsidRPr="00661A68">
        <w:rPr>
          <w:sz w:val="16"/>
        </w:rPr>
        <w:t xml:space="preserve"> </w:t>
      </w:r>
      <w:r w:rsidRPr="00661A68">
        <w:rPr>
          <w:sz w:val="16"/>
        </w:rPr>
        <w:t>The good news is that so far, the Trump administration’s “war on pot” has been more talk than action. That means there is still time for the White House to realize that law enforcement’s treatment of drugs is still very much a “states’ rights issue.”</w:t>
      </w:r>
    </w:p>
    <w:p w14:paraId="1D3B83B2" w14:textId="22A6B28A" w:rsidR="009C74FB" w:rsidRPr="00661A68" w:rsidRDefault="009C74FB" w:rsidP="009C74FB">
      <w:pPr>
        <w:pStyle w:val="Heading4"/>
      </w:pPr>
      <w:r w:rsidRPr="00661A68">
        <w:t>State legalization solves—empirics</w:t>
      </w:r>
    </w:p>
    <w:p w14:paraId="701C1A4B" w14:textId="02AEB588" w:rsidR="00C17F21" w:rsidRPr="00661A68" w:rsidRDefault="00D14116" w:rsidP="00C17F21">
      <w:r w:rsidRPr="00661A68">
        <w:rPr>
          <w:rStyle w:val="Style13ptBold"/>
        </w:rPr>
        <w:t>Dragone et al 17</w:t>
      </w:r>
      <w:r w:rsidRPr="00661A68">
        <w:t xml:space="preserve"> [</w:t>
      </w:r>
      <w:r w:rsidR="00536F38" w:rsidRPr="00661A68">
        <w:t xml:space="preserve">David, </w:t>
      </w:r>
      <w:r w:rsidR="00085B4E" w:rsidRPr="00661A68">
        <w:t>Associate Professor, University of Bologna</w:t>
      </w:r>
      <w:r w:rsidR="00536F38" w:rsidRPr="00661A68">
        <w:t>. "Crime and the legalization of recreational marijuana." Journal of Economic Behavior &amp; Organization 159 (2019): 488-501.</w:t>
      </w:r>
      <w:r w:rsidR="00A90B6F" w:rsidRPr="00661A68">
        <w:t>;</w:t>
      </w:r>
      <w:r w:rsidR="00B1348A" w:rsidRPr="00661A68">
        <w:t xml:space="preserve"> initially published 2017, republished </w:t>
      </w:r>
      <w:r w:rsidR="007D2992" w:rsidRPr="00661A68">
        <w:t>by the Institute of Labor Economics in 2019, accessed 6/2/20; https://www.econstor.eu/bitstream/10419/161145/1/dp10522.pdf]</w:t>
      </w:r>
    </w:p>
    <w:p w14:paraId="10BE56AC" w14:textId="7E7D294F" w:rsidR="00671BC0" w:rsidRPr="00661A68" w:rsidRDefault="009C74FB" w:rsidP="009C74FB">
      <w:pPr>
        <w:rPr>
          <w:sz w:val="16"/>
        </w:rPr>
      </w:pPr>
      <w:r w:rsidRPr="00661A68">
        <w:rPr>
          <w:sz w:val="16"/>
        </w:rPr>
        <w:t xml:space="preserve">Our </w:t>
      </w:r>
      <w:r w:rsidRPr="00661A68">
        <w:rPr>
          <w:u w:val="single"/>
        </w:rPr>
        <w:t>analysis of the causal effects on crime of the legalization of cannabis for recreational use</w:t>
      </w:r>
      <w:r w:rsidR="00C17F21" w:rsidRPr="00661A68">
        <w:rPr>
          <w:sz w:val="16"/>
        </w:rPr>
        <w:t xml:space="preserve"> </w:t>
      </w:r>
      <w:r w:rsidRPr="00661A68">
        <w:rPr>
          <w:u w:val="single"/>
        </w:rPr>
        <w:t>reaches conclusions in line with</w:t>
      </w:r>
      <w:r w:rsidRPr="00661A68">
        <w:rPr>
          <w:sz w:val="16"/>
        </w:rPr>
        <w:t xml:space="preserve"> what Becker and Murphy (2013) expected when advocating</w:t>
      </w:r>
      <w:r w:rsidR="00C17F21" w:rsidRPr="00661A68">
        <w:rPr>
          <w:sz w:val="16"/>
        </w:rPr>
        <w:t xml:space="preserve"> </w:t>
      </w:r>
      <w:r w:rsidRPr="00661A68">
        <w:rPr>
          <w:u w:val="single"/>
        </w:rPr>
        <w:t>the full decriminalization of the drugs market, namely a crime drop</w:t>
      </w:r>
      <w:r w:rsidRPr="00661A68">
        <w:rPr>
          <w:sz w:val="16"/>
        </w:rPr>
        <w:t>. What are the possible</w:t>
      </w:r>
      <w:r w:rsidR="00C17F21" w:rsidRPr="00661A68">
        <w:rPr>
          <w:sz w:val="16"/>
        </w:rPr>
        <w:t xml:space="preserve"> </w:t>
      </w:r>
      <w:r w:rsidRPr="00661A68">
        <w:rPr>
          <w:sz w:val="16"/>
        </w:rPr>
        <w:t xml:space="preserve">possible channels through which legalizing the production and sales of cannabis affects criminal behavior? The </w:t>
      </w:r>
      <w:r w:rsidRPr="00661A68">
        <w:rPr>
          <w:u w:val="single"/>
        </w:rPr>
        <w:t>effects may work through a change in market price and market structure,</w:t>
      </w:r>
      <w:r w:rsidR="00C17F21" w:rsidRPr="00661A68">
        <w:rPr>
          <w:u w:val="single"/>
        </w:rPr>
        <w:t xml:space="preserve"> </w:t>
      </w:r>
      <w:r w:rsidRPr="00661A68">
        <w:rPr>
          <w:u w:val="single"/>
        </w:rPr>
        <w:t>as well as through institutional changes</w:t>
      </w:r>
      <w:r w:rsidRPr="00661A68">
        <w:rPr>
          <w:sz w:val="16"/>
        </w:rPr>
        <w:t>.</w:t>
      </w:r>
      <w:r w:rsidR="00C17F21" w:rsidRPr="00661A68">
        <w:rPr>
          <w:sz w:val="16"/>
        </w:rPr>
        <w:t xml:space="preserve"> </w:t>
      </w:r>
      <w:r w:rsidRPr="00661A68">
        <w:rPr>
          <w:sz w:val="16"/>
        </w:rPr>
        <w:t xml:space="preserve">First, the policy leads to </w:t>
      </w:r>
      <w:r w:rsidRPr="00661A68">
        <w:rPr>
          <w:u w:val="single"/>
        </w:rPr>
        <w:t>the emergence of a legal market, which offers more safety and</w:t>
      </w:r>
      <w:r w:rsidR="00C17F21" w:rsidRPr="00661A68">
        <w:rPr>
          <w:u w:val="single"/>
        </w:rPr>
        <w:t xml:space="preserve"> </w:t>
      </w:r>
      <w:r w:rsidRPr="00661A68">
        <w:rPr>
          <w:u w:val="single"/>
        </w:rPr>
        <w:t>more reliable product quality. It thus reduces the risk of being victimized while buying,</w:t>
      </w:r>
      <w:r w:rsidR="00C17F21" w:rsidRPr="00661A68">
        <w:rPr>
          <w:u w:val="single"/>
        </w:rPr>
        <w:t xml:space="preserve"> </w:t>
      </w:r>
      <w:r w:rsidRPr="00661A68">
        <w:rPr>
          <w:u w:val="single"/>
        </w:rPr>
        <w:t>the risk of being sanctioned, search costs</w:t>
      </w:r>
      <w:r w:rsidRPr="00661A68">
        <w:rPr>
          <w:sz w:val="16"/>
        </w:rPr>
        <w:t xml:space="preserve"> (especially for first-time buyers), </w:t>
      </w:r>
      <w:r w:rsidRPr="00661A68">
        <w:rPr>
          <w:u w:val="single"/>
        </w:rPr>
        <w:t>as well as the</w:t>
      </w:r>
      <w:r w:rsidR="00C17F21" w:rsidRPr="00661A68">
        <w:rPr>
          <w:u w:val="single"/>
        </w:rPr>
        <w:t xml:space="preserve"> </w:t>
      </w:r>
      <w:r w:rsidRPr="00661A68">
        <w:rPr>
          <w:u w:val="single"/>
        </w:rPr>
        <w:t>psychological unease possibly related to purchasing an illegal product</w:t>
      </w:r>
      <w:r w:rsidRPr="00661A68">
        <w:rPr>
          <w:sz w:val="16"/>
        </w:rPr>
        <w:t>. From the consumer’s</w:t>
      </w:r>
      <w:r w:rsidR="00C17F21" w:rsidRPr="00661A68">
        <w:rPr>
          <w:sz w:val="16"/>
        </w:rPr>
        <w:t xml:space="preserve"> </w:t>
      </w:r>
      <w:r w:rsidRPr="00661A68">
        <w:rPr>
          <w:sz w:val="16"/>
        </w:rPr>
        <w:t>point of view, this amounts to a reduction in quality-adjusted relative prices. Moreover,</w:t>
      </w:r>
      <w:r w:rsidR="00C17F21" w:rsidRPr="00661A68">
        <w:rPr>
          <w:sz w:val="16"/>
        </w:rPr>
        <w:t xml:space="preserve"> </w:t>
      </w:r>
      <w:r w:rsidRPr="00661A68">
        <w:rPr>
          <w:u w:val="single"/>
        </w:rPr>
        <w:t>retail prices should be expected, on average, to drop when the market is legalized due to a</w:t>
      </w:r>
      <w:r w:rsidR="00C17F21" w:rsidRPr="00661A68">
        <w:rPr>
          <w:u w:val="single"/>
        </w:rPr>
        <w:t xml:space="preserve"> </w:t>
      </w:r>
      <w:r w:rsidRPr="00661A68">
        <w:rPr>
          <w:u w:val="single"/>
        </w:rPr>
        <w:t>corresponding lower risk on the supply side</w:t>
      </w:r>
      <w:r w:rsidRPr="00661A68">
        <w:rPr>
          <w:sz w:val="16"/>
        </w:rPr>
        <w:t>. Provided that cannabis is a normal good, a price</w:t>
      </w:r>
      <w:r w:rsidR="00C17F21" w:rsidRPr="00661A68">
        <w:rPr>
          <w:sz w:val="16"/>
        </w:rPr>
        <w:t xml:space="preserve"> </w:t>
      </w:r>
      <w:r w:rsidRPr="00661A68">
        <w:rPr>
          <w:sz w:val="16"/>
        </w:rPr>
        <w:t>reduction should lead to an increase in its consumption, which is what we find analyzing</w:t>
      </w:r>
      <w:r w:rsidR="00C17F21" w:rsidRPr="00661A68">
        <w:rPr>
          <w:sz w:val="16"/>
        </w:rPr>
        <w:t xml:space="preserve"> </w:t>
      </w:r>
      <w:r w:rsidRPr="00661A68">
        <w:rPr>
          <w:sz w:val="16"/>
        </w:rPr>
        <w:t>consumption data. Such increase may take place both at the extensive and intensive margin:</w:t>
      </w:r>
      <w:r w:rsidR="00C17F21" w:rsidRPr="00661A68">
        <w:rPr>
          <w:sz w:val="16"/>
        </w:rPr>
        <w:t xml:space="preserve"> </w:t>
      </w:r>
      <w:r w:rsidRPr="00661A68">
        <w:rPr>
          <w:sz w:val="16"/>
        </w:rPr>
        <w:t>the number of consumers may increase and existing ones may consume more. Since cannabis</w:t>
      </w:r>
      <w:r w:rsidR="00C17F21" w:rsidRPr="00661A68">
        <w:rPr>
          <w:sz w:val="16"/>
        </w:rPr>
        <w:t xml:space="preserve"> </w:t>
      </w:r>
      <w:r w:rsidRPr="00661A68">
        <w:rPr>
          <w:sz w:val="16"/>
        </w:rPr>
        <w:t>use determines a variety of psychoactive effects, which include a state of relaxation and</w:t>
      </w:r>
      <w:r w:rsidR="00C17F21" w:rsidRPr="00661A68">
        <w:rPr>
          <w:sz w:val="16"/>
        </w:rPr>
        <w:t xml:space="preserve"> </w:t>
      </w:r>
      <w:r w:rsidRPr="00661A68">
        <w:rPr>
          <w:sz w:val="16"/>
        </w:rPr>
        <w:t>euphoria (Hall et al., 2001; Green et al, 2003), an increase in consumption may reduce the</w:t>
      </w:r>
      <w:r w:rsidR="00C17F21" w:rsidRPr="00661A68">
        <w:rPr>
          <w:sz w:val="16"/>
        </w:rPr>
        <w:t xml:space="preserve"> </w:t>
      </w:r>
      <w:r w:rsidRPr="00661A68">
        <w:rPr>
          <w:sz w:val="16"/>
        </w:rPr>
        <w:t>likelihood of engaging in violent activities. This would hold, in particular, if cannabis is a</w:t>
      </w:r>
      <w:r w:rsidR="00C17F21" w:rsidRPr="00661A68">
        <w:rPr>
          <w:sz w:val="16"/>
        </w:rPr>
        <w:t xml:space="preserve"> </w:t>
      </w:r>
      <w:r w:rsidRPr="00661A68">
        <w:rPr>
          <w:sz w:val="16"/>
        </w:rPr>
        <w:t>substitute for violence-inducing substances such as alcohol, cocaine and amphetamines.</w:t>
      </w:r>
      <w:r w:rsidR="00C17F21" w:rsidRPr="00661A68">
        <w:rPr>
          <w:sz w:val="16"/>
        </w:rPr>
        <w:t xml:space="preserve"> </w:t>
      </w:r>
      <w:r w:rsidRPr="00661A68">
        <w:rPr>
          <w:sz w:val="16"/>
        </w:rPr>
        <w:t>Interestingly, the evidence is mixed in this respect. Some studies find that marijuana and</w:t>
      </w:r>
      <w:r w:rsidR="00C17F21" w:rsidRPr="00661A68">
        <w:rPr>
          <w:sz w:val="16"/>
        </w:rPr>
        <w:t xml:space="preserve"> </w:t>
      </w:r>
      <w:r w:rsidRPr="00661A68">
        <w:rPr>
          <w:sz w:val="16"/>
        </w:rPr>
        <w:t>alcohol are substitutes (Anderson, Hansen, and Rees 2014; Crost and Guerrero 2012; Kelly</w:t>
      </w:r>
      <w:r w:rsidR="00C17F21" w:rsidRPr="00661A68">
        <w:rPr>
          <w:sz w:val="16"/>
        </w:rPr>
        <w:t xml:space="preserve"> </w:t>
      </w:r>
      <w:r w:rsidRPr="00661A68">
        <w:rPr>
          <w:sz w:val="16"/>
        </w:rPr>
        <w:t>and Rasul, 2014; DiNardo and Lemieux, 2001), while others find that they are complements</w:t>
      </w:r>
      <w:r w:rsidR="00C17F21" w:rsidRPr="00661A68">
        <w:rPr>
          <w:sz w:val="16"/>
        </w:rPr>
        <w:t xml:space="preserve"> </w:t>
      </w:r>
      <w:r w:rsidRPr="00661A68">
        <w:rPr>
          <w:sz w:val="16"/>
        </w:rPr>
        <w:t>(Williams et al., 2004; Wen et al., 2014). As observed in Sabia et al. (2016), who study the</w:t>
      </w:r>
      <w:r w:rsidR="00C17F21" w:rsidRPr="00661A68">
        <w:rPr>
          <w:sz w:val="16"/>
        </w:rPr>
        <w:t xml:space="preserve"> </w:t>
      </w:r>
      <w:r w:rsidRPr="00661A68">
        <w:rPr>
          <w:sz w:val="16"/>
        </w:rPr>
        <w:t>effects of MML on body weight and health, the substitutability/complementarity between</w:t>
      </w:r>
      <w:r w:rsidR="006540D4" w:rsidRPr="00661A68">
        <w:rPr>
          <w:sz w:val="16"/>
        </w:rPr>
        <w:t xml:space="preserve"> alcohol and marijuana seems to be heterogeneous, depending on age.</w:t>
      </w:r>
      <w:r w:rsidR="00C17F21" w:rsidRPr="00661A68">
        <w:rPr>
          <w:sz w:val="16"/>
        </w:rPr>
        <w:t xml:space="preserve"> </w:t>
      </w:r>
      <w:r w:rsidR="006540D4" w:rsidRPr="00661A68">
        <w:rPr>
          <w:sz w:val="16"/>
        </w:rPr>
        <w:t xml:space="preserve">Our results are in line with Gavrilova et al. (2016), who find that in </w:t>
      </w:r>
      <w:r w:rsidR="006540D4" w:rsidRPr="00661A68">
        <w:rPr>
          <w:u w:val="single"/>
        </w:rPr>
        <w:t>US states bordering</w:t>
      </w:r>
      <w:r w:rsidR="00C17F21" w:rsidRPr="00661A68">
        <w:rPr>
          <w:u w:val="single"/>
        </w:rPr>
        <w:t xml:space="preserve"> </w:t>
      </w:r>
      <w:r w:rsidR="006540D4" w:rsidRPr="00661A68">
        <w:rPr>
          <w:u w:val="single"/>
        </w:rPr>
        <w:t>Mexico the introduction of MML leads to a decrease in violent crimes</w:t>
      </w:r>
      <w:r w:rsidR="006540D4" w:rsidRPr="00661A68">
        <w:rPr>
          <w:sz w:val="16"/>
        </w:rPr>
        <w:t xml:space="preserve"> such as homicides,</w:t>
      </w:r>
      <w:r w:rsidR="00C17F21" w:rsidRPr="00661A68">
        <w:rPr>
          <w:sz w:val="16"/>
        </w:rPr>
        <w:t xml:space="preserve"> </w:t>
      </w:r>
      <w:r w:rsidR="006540D4" w:rsidRPr="00661A68">
        <w:rPr>
          <w:sz w:val="16"/>
        </w:rPr>
        <w:t>12</w:t>
      </w:r>
      <w:r w:rsidR="00C17F21" w:rsidRPr="00661A68">
        <w:rPr>
          <w:sz w:val="16"/>
        </w:rPr>
        <w:t xml:space="preserve"> </w:t>
      </w:r>
      <w:r w:rsidR="006540D4" w:rsidRPr="00661A68">
        <w:rPr>
          <w:sz w:val="16"/>
        </w:rPr>
        <w:t>aggravated assaults and robberies, and that this reduction in crime rates is mainly due to</w:t>
      </w:r>
      <w:r w:rsidR="00C17F21" w:rsidRPr="00661A68">
        <w:rPr>
          <w:sz w:val="16"/>
        </w:rPr>
        <w:t xml:space="preserve"> </w:t>
      </w:r>
      <w:r w:rsidR="006540D4" w:rsidRPr="00661A68">
        <w:rPr>
          <w:sz w:val="16"/>
        </w:rPr>
        <w:t>a drop in drug-law and juvenile-gang related homicides. The introduction of MML is found</w:t>
      </w:r>
      <w:r w:rsidR="00C17F21" w:rsidRPr="00661A68">
        <w:rPr>
          <w:sz w:val="16"/>
        </w:rPr>
        <w:t xml:space="preserve"> </w:t>
      </w:r>
      <w:r w:rsidR="006540D4" w:rsidRPr="00661A68">
        <w:rPr>
          <w:sz w:val="16"/>
        </w:rPr>
        <w:t xml:space="preserve">to reduce the violent crime rate in Mexican-border states </w:t>
      </w:r>
      <w:r w:rsidR="006540D4" w:rsidRPr="00661A68">
        <w:rPr>
          <w:u w:val="single"/>
        </w:rPr>
        <w:t>by 15-25 percent</w:t>
      </w:r>
      <w:r w:rsidR="006540D4" w:rsidRPr="00661A68">
        <w:rPr>
          <w:sz w:val="16"/>
        </w:rPr>
        <w:t>. This is a large</w:t>
      </w:r>
      <w:r w:rsidR="00C17F21" w:rsidRPr="00661A68">
        <w:rPr>
          <w:sz w:val="16"/>
        </w:rPr>
        <w:t xml:space="preserve"> </w:t>
      </w:r>
      <w:r w:rsidR="006540D4" w:rsidRPr="00661A68">
        <w:rPr>
          <w:sz w:val="16"/>
        </w:rPr>
        <w:t>effect, but it is fully compatible with our estimates on the impact of recreational marijuana.</w:t>
      </w:r>
      <w:r w:rsidR="00C17F21" w:rsidRPr="00661A68">
        <w:rPr>
          <w:sz w:val="16"/>
        </w:rPr>
        <w:t xml:space="preserve"> </w:t>
      </w:r>
      <w:r w:rsidR="006540D4" w:rsidRPr="00661A68">
        <w:rPr>
          <w:sz w:val="16"/>
        </w:rPr>
        <w:t xml:space="preserve">Besides directly affecting cannabis price and consumption, </w:t>
      </w:r>
      <w:r w:rsidR="006540D4" w:rsidRPr="00661A68">
        <w:rPr>
          <w:u w:val="single"/>
        </w:rPr>
        <w:t>legalizing cannabis also changes</w:t>
      </w:r>
      <w:r w:rsidR="00C17F21" w:rsidRPr="00661A68">
        <w:rPr>
          <w:u w:val="single"/>
        </w:rPr>
        <w:t xml:space="preserve"> </w:t>
      </w:r>
      <w:r w:rsidR="006540D4" w:rsidRPr="00661A68">
        <w:rPr>
          <w:u w:val="single"/>
        </w:rPr>
        <w:t>market structure</w:t>
      </w:r>
      <w:r w:rsidR="006540D4" w:rsidRPr="00661A68">
        <w:rPr>
          <w:sz w:val="16"/>
        </w:rPr>
        <w:t xml:space="preserve">. </w:t>
      </w:r>
      <w:r w:rsidR="006540D4" w:rsidRPr="00661A68">
        <w:rPr>
          <w:u w:val="single"/>
        </w:rPr>
        <w:t>Entry of new legal sellers, who provide better quality than illegal competitors, may drive the latter out of the market</w:t>
      </w:r>
      <w:r w:rsidR="006540D4" w:rsidRPr="00661A68">
        <w:rPr>
          <w:sz w:val="16"/>
        </w:rPr>
        <w:t>. Some illegal dealers might survive if legal</w:t>
      </w:r>
      <w:r w:rsidR="00C17F21" w:rsidRPr="00661A68">
        <w:rPr>
          <w:sz w:val="16"/>
        </w:rPr>
        <w:t xml:space="preserve"> </w:t>
      </w:r>
      <w:r w:rsidR="006540D4" w:rsidRPr="00661A68">
        <w:rPr>
          <w:sz w:val="16"/>
        </w:rPr>
        <w:t>consumption is severely taxed, and they will surely survive during the time it takes to open</w:t>
      </w:r>
      <w:r w:rsidR="00C17F21" w:rsidRPr="00661A68">
        <w:rPr>
          <w:sz w:val="16"/>
        </w:rPr>
        <w:t xml:space="preserve"> </w:t>
      </w:r>
      <w:r w:rsidR="006540D4" w:rsidRPr="00661A68">
        <w:rPr>
          <w:sz w:val="16"/>
        </w:rPr>
        <w:t>legal dispensaries. Yet, one may expect their profitability to fall – certainly their expected</w:t>
      </w:r>
      <w:r w:rsidR="00C17F21" w:rsidRPr="00661A68">
        <w:rPr>
          <w:sz w:val="16"/>
        </w:rPr>
        <w:t xml:space="preserve"> </w:t>
      </w:r>
      <w:r w:rsidR="006540D4" w:rsidRPr="00661A68">
        <w:rPr>
          <w:sz w:val="16"/>
        </w:rPr>
        <w:t>future profits do. One reason is the increase in competitive pressure. Another one is that</w:t>
      </w:r>
      <w:r w:rsidR="00C17F21" w:rsidRPr="00661A68">
        <w:rPr>
          <w:sz w:val="16"/>
        </w:rPr>
        <w:t xml:space="preserve"> </w:t>
      </w:r>
      <w:r w:rsidR="006540D4" w:rsidRPr="00661A68">
        <w:rPr>
          <w:sz w:val="16"/>
        </w:rPr>
        <w:t>product quality is not only likely to be higher in the legal part of the market, but it is</w:t>
      </w:r>
      <w:r w:rsidR="00A64D02" w:rsidRPr="00661A68">
        <w:rPr>
          <w:sz w:val="16"/>
        </w:rPr>
        <w:t xml:space="preserve"> </w:t>
      </w:r>
      <w:r w:rsidR="00842C1A" w:rsidRPr="00661A68">
        <w:rPr>
          <w:sz w:val="16"/>
        </w:rPr>
        <w:t>presumably also easier to identify, so that legalization might in principle introduce price</w:t>
      </w:r>
      <w:r w:rsidR="00C17F21" w:rsidRPr="00661A68">
        <w:rPr>
          <w:sz w:val="16"/>
        </w:rPr>
        <w:t xml:space="preserve"> </w:t>
      </w:r>
      <w:r w:rsidR="00842C1A" w:rsidRPr="00661A68">
        <w:rPr>
          <w:sz w:val="16"/>
        </w:rPr>
        <w:t xml:space="preserve">divergence: prices might increase in the legal relative to the illegal part of the market. </w:t>
      </w:r>
      <w:r w:rsidR="00842C1A" w:rsidRPr="00661A68">
        <w:rPr>
          <w:u w:val="single"/>
        </w:rPr>
        <w:t>The</w:t>
      </w:r>
      <w:r w:rsidR="00C17F21" w:rsidRPr="00661A68">
        <w:rPr>
          <w:u w:val="single"/>
        </w:rPr>
        <w:t xml:space="preserve"> </w:t>
      </w:r>
      <w:r w:rsidR="00842C1A" w:rsidRPr="00661A68">
        <w:rPr>
          <w:u w:val="single"/>
        </w:rPr>
        <w:t>likely result is an increase in average product quality and market exit by illegal suppliers</w:t>
      </w:r>
      <w:r w:rsidR="00842C1A" w:rsidRPr="00661A68">
        <w:rPr>
          <w:sz w:val="16"/>
        </w:rPr>
        <w:t>.</w:t>
      </w:r>
      <w:r w:rsidR="00C17F21" w:rsidRPr="00661A68">
        <w:rPr>
          <w:sz w:val="16"/>
        </w:rPr>
        <w:t xml:space="preserve"> </w:t>
      </w:r>
      <w:r w:rsidR="00842C1A" w:rsidRPr="00661A68">
        <w:rPr>
          <w:u w:val="single"/>
        </w:rPr>
        <w:t>This change</w:t>
      </w:r>
      <w:r w:rsidR="00842C1A" w:rsidRPr="00661A68">
        <w:rPr>
          <w:sz w:val="16"/>
        </w:rPr>
        <w:t xml:space="preserve"> in market structure </w:t>
      </w:r>
      <w:r w:rsidR="00842C1A" w:rsidRPr="00661A68">
        <w:rPr>
          <w:u w:val="single"/>
        </w:rPr>
        <w:t>is likely to reduce the presence of drug-trafficking criminal</w:t>
      </w:r>
      <w:r w:rsidR="00C17F21" w:rsidRPr="00661A68">
        <w:rPr>
          <w:u w:val="single"/>
        </w:rPr>
        <w:t xml:space="preserve"> </w:t>
      </w:r>
      <w:r w:rsidR="00842C1A" w:rsidRPr="00661A68">
        <w:rPr>
          <w:u w:val="single"/>
        </w:rPr>
        <w:t>organizations, together with drug-related conflicts and associated crimes</w:t>
      </w:r>
      <w:r w:rsidR="00842C1A" w:rsidRPr="00661A68">
        <w:rPr>
          <w:sz w:val="16"/>
        </w:rPr>
        <w:t>. Yet, we do not</w:t>
      </w:r>
      <w:r w:rsidR="00C17F21" w:rsidRPr="00661A68">
        <w:rPr>
          <w:sz w:val="16"/>
        </w:rPr>
        <w:t xml:space="preserve"> </w:t>
      </w:r>
      <w:r w:rsidR="00842C1A" w:rsidRPr="00661A68">
        <w:rPr>
          <w:sz w:val="16"/>
        </w:rPr>
        <w:t>really know what previous dealers do after legalization, so this argument remains necessarily</w:t>
      </w:r>
      <w:r w:rsidR="00C17F21" w:rsidRPr="00661A68">
        <w:rPr>
          <w:sz w:val="16"/>
        </w:rPr>
        <w:t xml:space="preserve"> </w:t>
      </w:r>
      <w:r w:rsidR="00842C1A" w:rsidRPr="00661A68">
        <w:rPr>
          <w:sz w:val="16"/>
        </w:rPr>
        <w:t xml:space="preserve">incomplete. Moreover, </w:t>
      </w:r>
      <w:r w:rsidR="00842C1A" w:rsidRPr="00661A68">
        <w:rPr>
          <w:u w:val="single"/>
        </w:rPr>
        <w:t>one might be concerned that even legal dispensaries attract criminals</w:t>
      </w:r>
      <w:r w:rsidR="00842C1A" w:rsidRPr="00661A68">
        <w:rPr>
          <w:sz w:val="16"/>
        </w:rPr>
        <w:t>,</w:t>
      </w:r>
      <w:r w:rsidR="00C17F21" w:rsidRPr="00661A68">
        <w:rPr>
          <w:sz w:val="16"/>
        </w:rPr>
        <w:t xml:space="preserve"> </w:t>
      </w:r>
      <w:r w:rsidR="00842C1A" w:rsidRPr="00661A68">
        <w:rPr>
          <w:sz w:val="16"/>
        </w:rPr>
        <w:t xml:space="preserve">e.g., to steal cash or marijuana. Yet, </w:t>
      </w:r>
      <w:r w:rsidR="00842C1A" w:rsidRPr="00661A68">
        <w:rPr>
          <w:u w:val="single"/>
        </w:rPr>
        <w:t xml:space="preserve">this </w:t>
      </w:r>
      <w:r w:rsidR="00842C1A" w:rsidRPr="00661A68">
        <w:rPr>
          <w:sz w:val="16"/>
        </w:rPr>
        <w:t xml:space="preserve">concern </w:t>
      </w:r>
      <w:r w:rsidR="00842C1A" w:rsidRPr="00661A68">
        <w:rPr>
          <w:u w:val="single"/>
        </w:rPr>
        <w:t>is mitigated by the fact that dispensaries</w:t>
      </w:r>
      <w:r w:rsidR="00C17F21" w:rsidRPr="00661A68">
        <w:rPr>
          <w:u w:val="single"/>
        </w:rPr>
        <w:t xml:space="preserve"> </w:t>
      </w:r>
      <w:r w:rsidR="00842C1A" w:rsidRPr="00661A68">
        <w:rPr>
          <w:u w:val="single"/>
        </w:rPr>
        <w:t>may take measures to reduce crime and increase guardianship, such as doormen or video</w:t>
      </w:r>
      <w:r w:rsidR="00C17F21" w:rsidRPr="00661A68">
        <w:rPr>
          <w:u w:val="single"/>
        </w:rPr>
        <w:t xml:space="preserve"> </w:t>
      </w:r>
      <w:r w:rsidR="00842C1A" w:rsidRPr="00661A68">
        <w:rPr>
          <w:u w:val="single"/>
        </w:rPr>
        <w:t xml:space="preserve">cameras </w:t>
      </w:r>
      <w:r w:rsidR="00842C1A" w:rsidRPr="00661A68">
        <w:rPr>
          <w:sz w:val="16"/>
        </w:rPr>
        <w:t>(Kepple and Freisthler, 2012). What seems more obvious is that the legalization</w:t>
      </w:r>
      <w:r w:rsidR="00C17F21" w:rsidRPr="00661A68">
        <w:rPr>
          <w:sz w:val="16"/>
        </w:rPr>
        <w:t xml:space="preserve"> </w:t>
      </w:r>
      <w:r w:rsidR="00842C1A" w:rsidRPr="00661A68">
        <w:rPr>
          <w:sz w:val="16"/>
        </w:rPr>
        <w:t>may not just affect the behavior of potential offenders, but also of potential victims. The</w:t>
      </w:r>
      <w:r w:rsidR="00C17F21" w:rsidRPr="00661A68">
        <w:rPr>
          <w:sz w:val="16"/>
        </w:rPr>
        <w:t xml:space="preserve"> </w:t>
      </w:r>
      <w:r w:rsidR="00842C1A" w:rsidRPr="00661A68">
        <w:rPr>
          <w:sz w:val="16"/>
        </w:rPr>
        <w:t>availability of cannabis through legal channels arguably makes consumers substantially less</w:t>
      </w:r>
      <w:r w:rsidR="00C17F21" w:rsidRPr="00661A68">
        <w:rPr>
          <w:sz w:val="16"/>
        </w:rPr>
        <w:t xml:space="preserve"> </w:t>
      </w:r>
      <w:r w:rsidR="00842C1A" w:rsidRPr="00661A68">
        <w:rPr>
          <w:sz w:val="16"/>
        </w:rPr>
        <w:t>willing to take risks in the illegal market. This might also contribute to explain the drop in</w:t>
      </w:r>
      <w:r w:rsidR="00C17F21" w:rsidRPr="00661A68">
        <w:rPr>
          <w:sz w:val="16"/>
        </w:rPr>
        <w:t xml:space="preserve"> </w:t>
      </w:r>
      <w:r w:rsidR="00842C1A" w:rsidRPr="00661A68">
        <w:rPr>
          <w:sz w:val="16"/>
        </w:rPr>
        <w:t>assaults, robberies and thefts that we document.</w:t>
      </w:r>
      <w:r w:rsidR="00C17F21" w:rsidRPr="00661A68">
        <w:rPr>
          <w:sz w:val="16"/>
        </w:rPr>
        <w:t xml:space="preserve"> </w:t>
      </w:r>
      <w:r w:rsidR="00842C1A" w:rsidRPr="00661A68">
        <w:rPr>
          <w:sz w:val="16"/>
        </w:rPr>
        <w:t>On top of altering behavior through changes in the cannabis market</w:t>
      </w:r>
      <w:r w:rsidR="00842C1A" w:rsidRPr="00661A68">
        <w:rPr>
          <w:u w:val="single"/>
        </w:rPr>
        <w:t>, legalization may</w:t>
      </w:r>
      <w:r w:rsidR="00C17F21" w:rsidRPr="00661A68">
        <w:rPr>
          <w:u w:val="single"/>
        </w:rPr>
        <w:t xml:space="preserve"> </w:t>
      </w:r>
      <w:r w:rsidR="00842C1A" w:rsidRPr="00661A68">
        <w:rPr>
          <w:u w:val="single"/>
        </w:rPr>
        <w:t>also generate a reallocation of police efforts. A lower rate of drug-related crimes opens the</w:t>
      </w:r>
      <w:r w:rsidR="00C17F21" w:rsidRPr="00661A68">
        <w:rPr>
          <w:u w:val="single"/>
        </w:rPr>
        <w:t xml:space="preserve"> </w:t>
      </w:r>
      <w:r w:rsidR="00842C1A" w:rsidRPr="00661A68">
        <w:rPr>
          <w:u w:val="single"/>
        </w:rPr>
        <w:t>possibility for the police to divert resources toward preventing non-cannabis related crimes</w:t>
      </w:r>
      <w:r w:rsidR="00842C1A" w:rsidRPr="00661A68">
        <w:rPr>
          <w:sz w:val="16"/>
        </w:rPr>
        <w:t>,</w:t>
      </w:r>
      <w:r w:rsidR="00C17F21" w:rsidRPr="00661A68">
        <w:rPr>
          <w:sz w:val="16"/>
        </w:rPr>
        <w:t xml:space="preserve"> </w:t>
      </w:r>
      <w:r w:rsidR="00842C1A" w:rsidRPr="00661A68">
        <w:rPr>
          <w:sz w:val="16"/>
        </w:rPr>
        <w:t>as shown by Adda et al. (2014) for the decriminalization of possession of small quantities</w:t>
      </w:r>
      <w:r w:rsidR="00C17F21" w:rsidRPr="00661A68">
        <w:rPr>
          <w:sz w:val="16"/>
        </w:rPr>
        <w:t xml:space="preserve"> </w:t>
      </w:r>
      <w:r w:rsidR="00842C1A" w:rsidRPr="00661A68">
        <w:rPr>
          <w:sz w:val="16"/>
        </w:rPr>
        <w:t xml:space="preserve">of cannabis in London, UK. Interestingly, </w:t>
      </w:r>
      <w:r w:rsidR="00842C1A" w:rsidRPr="00661A68">
        <w:rPr>
          <w:u w:val="single"/>
        </w:rPr>
        <w:t>such reallocation may be driven by expectations,</w:t>
      </w:r>
      <w:r w:rsidR="00C17F21" w:rsidRPr="00661A68">
        <w:rPr>
          <w:u w:val="single"/>
        </w:rPr>
        <w:t xml:space="preserve"> </w:t>
      </w:r>
      <w:r w:rsidR="00671BC0" w:rsidRPr="00661A68">
        <w:rPr>
          <w:u w:val="single"/>
        </w:rPr>
        <w:t>and therefore need not wait for the actual opening of new dispensaries.</w:t>
      </w:r>
      <w:r w:rsidR="00C17F21" w:rsidRPr="00661A68">
        <w:rPr>
          <w:u w:val="single"/>
        </w:rPr>
        <w:t xml:space="preserve"> </w:t>
      </w:r>
      <w:r w:rsidR="00671BC0" w:rsidRPr="00661A68">
        <w:rPr>
          <w:sz w:val="16"/>
        </w:rPr>
        <w:t>Summing up, the WA-OR quasi-experiment provides first-pass evidence that legalizing</w:t>
      </w:r>
      <w:r w:rsidR="00C17F21" w:rsidRPr="00661A68">
        <w:rPr>
          <w:sz w:val="16"/>
        </w:rPr>
        <w:t xml:space="preserve"> </w:t>
      </w:r>
      <w:r w:rsidR="00671BC0" w:rsidRPr="00661A68">
        <w:rPr>
          <w:sz w:val="16"/>
        </w:rPr>
        <w:t>cannabis may well cause a drop in crime. What we estimate is the short-run response. As</w:t>
      </w:r>
      <w:r w:rsidR="00C17F21" w:rsidRPr="00661A68">
        <w:rPr>
          <w:sz w:val="16"/>
        </w:rPr>
        <w:t xml:space="preserve"> </w:t>
      </w:r>
      <w:r w:rsidR="00671BC0" w:rsidRPr="00661A68">
        <w:rPr>
          <w:sz w:val="16"/>
        </w:rPr>
        <w:t>new data become available over time, for these states as well as for the other ones that</w:t>
      </w:r>
      <w:r w:rsidR="00C17F21" w:rsidRPr="00661A68">
        <w:rPr>
          <w:sz w:val="16"/>
        </w:rPr>
        <w:t xml:space="preserve"> </w:t>
      </w:r>
      <w:r w:rsidR="00671BC0" w:rsidRPr="00661A68">
        <w:rPr>
          <w:sz w:val="16"/>
        </w:rPr>
        <w:t>legalized in 2016, it will be possible to appropriately distinguish between short and long-run</w:t>
      </w:r>
      <w:r w:rsidR="00C17F21" w:rsidRPr="00661A68">
        <w:rPr>
          <w:sz w:val="16"/>
        </w:rPr>
        <w:t xml:space="preserve"> </w:t>
      </w:r>
      <w:r w:rsidR="00671BC0" w:rsidRPr="00661A68">
        <w:rPr>
          <w:sz w:val="16"/>
        </w:rPr>
        <w:t>effects.</w:t>
      </w:r>
    </w:p>
    <w:p w14:paraId="10B50375" w14:textId="765AB428" w:rsidR="009C74FB" w:rsidRPr="00661A68" w:rsidRDefault="009C74FB" w:rsidP="009C74FB"/>
    <w:p w14:paraId="4337B84A" w14:textId="1AE1FA22" w:rsidR="00305A32" w:rsidRPr="00661A68" w:rsidRDefault="00407237" w:rsidP="007B4C29">
      <w:pPr>
        <w:pStyle w:val="Heading3"/>
      </w:pPr>
      <w:r w:rsidRPr="00661A68">
        <w:t>CJR</w:t>
      </w:r>
      <w:r w:rsidR="007B4C29" w:rsidRPr="00661A68">
        <w:t>—States Solve</w:t>
      </w:r>
      <w:r w:rsidR="00D50AE8" w:rsidRPr="00661A68">
        <w:t>—Sentencing</w:t>
      </w:r>
    </w:p>
    <w:p w14:paraId="253659B8" w14:textId="4A5A1716" w:rsidR="007B4C29" w:rsidRPr="00661A68" w:rsidRDefault="007B4C29" w:rsidP="007B4C29">
      <w:pPr>
        <w:pStyle w:val="Heading4"/>
      </w:pPr>
      <w:r w:rsidRPr="00661A68">
        <w:t xml:space="preserve">States control the sentencing for the majority of crimes – </w:t>
      </w:r>
      <w:r w:rsidR="00806DA0" w:rsidRPr="00661A68">
        <w:t xml:space="preserve">they </w:t>
      </w:r>
      <w:r w:rsidR="00806DA0" w:rsidRPr="00661A68">
        <w:rPr>
          <w:u w:val="single"/>
        </w:rPr>
        <w:t>override</w:t>
      </w:r>
      <w:r w:rsidR="00806DA0" w:rsidRPr="00661A68">
        <w:t xml:space="preserve"> federal control by </w:t>
      </w:r>
      <w:r w:rsidR="00806DA0" w:rsidRPr="00661A68">
        <w:rPr>
          <w:u w:val="single"/>
        </w:rPr>
        <w:t>sheer volume</w:t>
      </w:r>
    </w:p>
    <w:p w14:paraId="387839C2" w14:textId="130F5A1A" w:rsidR="00407237" w:rsidRPr="00661A68" w:rsidRDefault="00407237" w:rsidP="007B4C29">
      <w:r w:rsidRPr="00661A68">
        <w:rPr>
          <w:rStyle w:val="Style13ptBold"/>
        </w:rPr>
        <w:t>Eisen 1/2</w:t>
      </w:r>
      <w:r w:rsidRPr="00661A68">
        <w:t>/20</w:t>
      </w:r>
      <w:r w:rsidR="00193057" w:rsidRPr="00661A68">
        <w:t xml:space="preserve"> [Lauren-Brooke, Director of the Brennan Center</w:t>
      </w:r>
      <w:r w:rsidR="00037BC7" w:rsidRPr="00661A68">
        <w:t>’s Justice Department</w:t>
      </w:r>
      <w:r w:rsidR="00193057" w:rsidRPr="00661A68">
        <w:t xml:space="preserve">, </w:t>
      </w:r>
      <w:r w:rsidR="00037BC7" w:rsidRPr="00661A68">
        <w:t>“Criminal Justice Reform at the State Level”; published 1/2/20, accessed 5/30</w:t>
      </w:r>
      <w:r w:rsidR="005044C0" w:rsidRPr="00661A68">
        <w:t xml:space="preserve">/20; </w:t>
      </w:r>
      <w:hyperlink r:id="rId21" w:history="1">
        <w:r w:rsidR="005044C0" w:rsidRPr="00661A68">
          <w:rPr>
            <w:rStyle w:val="Hyperlink"/>
          </w:rPr>
          <w:t>https://www.brennancenter.org/our-work/research-reports/criminal-justice-reform-state-level</w:t>
        </w:r>
      </w:hyperlink>
      <w:r w:rsidR="005044C0" w:rsidRPr="00661A68">
        <w:t>]</w:t>
      </w:r>
    </w:p>
    <w:p w14:paraId="2CC40085" w14:textId="73078E7F" w:rsidR="007B4C29" w:rsidRPr="00661A68" w:rsidRDefault="007B4C29" w:rsidP="007B4C29">
      <w:pPr>
        <w:rPr>
          <w:sz w:val="16"/>
        </w:rPr>
      </w:pPr>
      <w:r w:rsidRPr="00661A68">
        <w:rPr>
          <w:sz w:val="16"/>
        </w:rPr>
        <w:t>Harsher state criminal laws, followed by the prison-building boom</w:t>
      </w:r>
      <w:r w:rsidR="00C91601" w:rsidRPr="00661A68">
        <w:rPr>
          <w:sz w:val="16"/>
        </w:rPr>
        <w:t xml:space="preserve"> </w:t>
      </w:r>
      <w:r w:rsidRPr="00661A68">
        <w:rPr>
          <w:b/>
          <w:bCs/>
          <w:u w:val="single"/>
        </w:rPr>
        <w:t>State laws</w:t>
      </w:r>
      <w:r w:rsidRPr="00661A68">
        <w:rPr>
          <w:u w:val="single"/>
        </w:rPr>
        <w:t xml:space="preserve"> contributed to mass incarceration, and those laws must change to end it. </w:t>
      </w:r>
      <w:r w:rsidRPr="00661A68">
        <w:rPr>
          <w:b/>
          <w:bCs/>
          <w:u w:val="single"/>
        </w:rPr>
        <w:t>Federal crimes cover a relatively narrow range of conduct</w:t>
      </w:r>
      <w:r w:rsidRPr="00661A68">
        <w:rPr>
          <w:u w:val="single"/>
        </w:rPr>
        <w:t xml:space="preserve">, such as drug offenses. State laws, on the other hand, </w:t>
      </w:r>
      <w:r w:rsidRPr="00661A68">
        <w:rPr>
          <w:b/>
          <w:bCs/>
          <w:u w:val="single"/>
        </w:rPr>
        <w:t>cover crimes that are more recognizable to the average citizen</w:t>
      </w:r>
      <w:r w:rsidRPr="00661A68">
        <w:rPr>
          <w:u w:val="single"/>
        </w:rPr>
        <w:t xml:space="preserve">, like drunk driving, shoplifting, and homicide. It’s no surprise, then, that </w:t>
      </w:r>
      <w:r w:rsidRPr="00661A68">
        <w:rPr>
          <w:b/>
          <w:bCs/>
          <w:u w:val="single"/>
        </w:rPr>
        <w:t>state courts handle many more cases than federal courts</w:t>
      </w:r>
      <w:r w:rsidRPr="00661A68">
        <w:rPr>
          <w:sz w:val="16"/>
        </w:rPr>
        <w:t>.</w:t>
      </w:r>
      <w:r w:rsidR="00C91601" w:rsidRPr="00661A68">
        <w:rPr>
          <w:sz w:val="16"/>
        </w:rPr>
        <w:t xml:space="preserve"> </w:t>
      </w:r>
      <w:r w:rsidRPr="00661A68">
        <w:rPr>
          <w:sz w:val="16"/>
        </w:rPr>
        <w:t xml:space="preserve">As crime rose in the 1970s and 1980s, lawmakers at the state and federal level enacted more draconian laws that ensnared more people in the criminal justice system. In 1973, </w:t>
      </w:r>
      <w:r w:rsidRPr="00661A68">
        <w:rPr>
          <w:u w:val="single"/>
        </w:rPr>
        <w:t>legislators in New York passed the so-called Rockefeller drug laws, which imposed mandatory minimum 15-year terms for possession of marijuana and other drugs. Michigan and other states quickly enacted similar laws</w:t>
      </w:r>
      <w:r w:rsidRPr="00661A68">
        <w:rPr>
          <w:sz w:val="16"/>
        </w:rPr>
        <w:t>. Continuing this trend, Washington State in 1984 adopted the nation’s first “truth-in-sentencing” law, which required people to serve at least 85 percent of their sentences before becoming eligible for parole. In a domino effect across the country, 27 other states imposed similar requirements.</w:t>
      </w:r>
      <w:r w:rsidR="00C91601" w:rsidRPr="00661A68">
        <w:rPr>
          <w:sz w:val="16"/>
        </w:rPr>
        <w:t xml:space="preserve"> </w:t>
      </w:r>
      <w:r w:rsidRPr="00661A68">
        <w:rPr>
          <w:sz w:val="16"/>
        </w:rPr>
        <w:t>Although violent crime in America peaked in 1991, and crime today remains at historic lows, our nation’s punitive responses to crime resulted in a prison building spree throughout the 1990s. According to the Congressional Research Service, in the mid-1990s, at the peak of the prison construction boom, a new prison opened every 15 days on average.</w:t>
      </w:r>
      <w:r w:rsidR="00C91601" w:rsidRPr="00661A68">
        <w:rPr>
          <w:sz w:val="16"/>
        </w:rPr>
        <w:t xml:space="preserve"> </w:t>
      </w:r>
      <w:r w:rsidRPr="00661A68">
        <w:rPr>
          <w:sz w:val="16"/>
        </w:rPr>
        <w:t>Prosecutors and the vanishing criminal trial</w:t>
      </w:r>
      <w:r w:rsidR="00C91601" w:rsidRPr="00661A68">
        <w:rPr>
          <w:sz w:val="16"/>
        </w:rPr>
        <w:t xml:space="preserve"> </w:t>
      </w:r>
      <w:r w:rsidRPr="00661A68">
        <w:rPr>
          <w:u w:val="single"/>
        </w:rPr>
        <w:t>As the United States continued to build prisons, another trend emerged: the gradual disappearance of the jury trial and its replacement with plea bargaining, to the detriment of defendants’ rights</w:t>
      </w:r>
      <w:r w:rsidRPr="00661A68">
        <w:rPr>
          <w:sz w:val="16"/>
        </w:rPr>
        <w:t>.</w:t>
      </w:r>
      <w:r w:rsidR="00C91601" w:rsidRPr="00661A68">
        <w:rPr>
          <w:sz w:val="16"/>
        </w:rPr>
        <w:t xml:space="preserve"> </w:t>
      </w:r>
      <w:r w:rsidRPr="00661A68">
        <w:rPr>
          <w:sz w:val="16"/>
        </w:rPr>
        <w:t xml:space="preserve">About </w:t>
      </w:r>
      <w:r w:rsidRPr="00661A68">
        <w:rPr>
          <w:u w:val="single"/>
        </w:rPr>
        <w:t>94 percent of criminal cases at the state level are resolved through plea bargaining</w:t>
      </w:r>
      <w:r w:rsidRPr="00661A68">
        <w:rPr>
          <w:sz w:val="16"/>
        </w:rPr>
        <w:t>. This trend increases the already vast discretion wielded by local prosecutors, who handle more than 95 percent of America’s criminal cases.</w:t>
      </w:r>
      <w:r w:rsidR="00C91601" w:rsidRPr="00661A68">
        <w:rPr>
          <w:sz w:val="16"/>
        </w:rPr>
        <w:t xml:space="preserve"> </w:t>
      </w:r>
      <w:r w:rsidRPr="00661A68">
        <w:rPr>
          <w:u w:val="single"/>
        </w:rPr>
        <w:t>Prosecutors</w:t>
      </w:r>
      <w:r w:rsidRPr="00661A68">
        <w:rPr>
          <w:sz w:val="16"/>
        </w:rPr>
        <w:t xml:space="preserve"> enjoy unique authority to make decisions about what to charge someone with, making deals with witnesses, and negotiating pleas — and they </w:t>
      </w:r>
      <w:r w:rsidRPr="00661A68">
        <w:rPr>
          <w:u w:val="single"/>
        </w:rPr>
        <w:t>frequently dictate sentences or sentencing ranges</w:t>
      </w:r>
      <w:r w:rsidRPr="00661A68">
        <w:rPr>
          <w:sz w:val="16"/>
        </w:rPr>
        <w:t xml:space="preserve">. As a result, they have gained greater leverage to extract guilty pleas from defendants and reduce the number of cases that go to trial, </w:t>
      </w:r>
      <w:r w:rsidRPr="00661A68">
        <w:rPr>
          <w:u w:val="single"/>
        </w:rPr>
        <w:t>often by using the threat of more serious charges with mandatory minimum sentences or other harsh penalties</w:t>
      </w:r>
      <w:r w:rsidRPr="00661A68">
        <w:rPr>
          <w:sz w:val="16"/>
        </w:rPr>
        <w:t>.</w:t>
      </w:r>
      <w:r w:rsidR="00C91601" w:rsidRPr="00661A68">
        <w:rPr>
          <w:sz w:val="16"/>
        </w:rPr>
        <w:t xml:space="preserve"> </w:t>
      </w:r>
      <w:r w:rsidRPr="00661A68">
        <w:rPr>
          <w:sz w:val="16"/>
        </w:rPr>
        <w:t>In fact, fewer than 1 in 40 felony cases results in a trial, according to data from 9 states that have published their records since the 1970s, when the ratio was closer to 1 in 12. As New York University Law and Sociology Professor David Garland recently wrote, “The move away from rehabilitation, the spread of mandatory penalties, the creation of new categories of crimes, and the priority given to public safety over offenders’ rights — these all increased prosecutors’ leverage and incentivized them to use it aggressively.”</w:t>
      </w:r>
      <w:r w:rsidR="00C91601" w:rsidRPr="00661A68">
        <w:rPr>
          <w:sz w:val="16"/>
        </w:rPr>
        <w:t xml:space="preserve"> </w:t>
      </w:r>
      <w:r w:rsidRPr="00661A68">
        <w:rPr>
          <w:u w:val="single"/>
        </w:rPr>
        <w:t>State prosecutors often seek higher sentences against people who exercise their right to trial — something known as “the trial penalty” or the “trial tax.”</w:t>
      </w:r>
      <w:r w:rsidRPr="00661A68">
        <w:rPr>
          <w:sz w:val="16"/>
        </w:rPr>
        <w:t xml:space="preserve"> Historically, bringing the maximum possible charges has persuaded defendants to plead guilty instead of going to trial. This practice emerged to prioritize resources when courts across the country were overburdened lacked the resources to take every case to trial. Yet, as the late legal scholar William Stuntz noted in The Collapse of American Criminal Justice, “The law of guilty pleas made such pleas easy for prosecutors to extract, which allowed the justice system to increase dramatically the ratio of convicted felons to prosecutors and defense lawyers.” As Stuntz also explained, “Guilty pleas and the quick bargains that precede them have become the system’s primary means of judging criminal defendants’ guilt or innocence.”</w:t>
      </w:r>
      <w:r w:rsidR="00C91601" w:rsidRPr="00661A68">
        <w:rPr>
          <w:sz w:val="16"/>
        </w:rPr>
        <w:t xml:space="preserve"> </w:t>
      </w:r>
      <w:r w:rsidRPr="00661A68">
        <w:rPr>
          <w:sz w:val="16"/>
        </w:rPr>
        <w:t>County jail systems</w:t>
      </w:r>
      <w:r w:rsidR="00C91601" w:rsidRPr="00661A68">
        <w:rPr>
          <w:sz w:val="16"/>
        </w:rPr>
        <w:t xml:space="preserve"> </w:t>
      </w:r>
      <w:r w:rsidRPr="00661A68">
        <w:rPr>
          <w:u w:val="single"/>
        </w:rPr>
        <w:t>Many of those incarcerated have yet to even be convicted of a crime. According to 2017 figures from the Justice Department, about 482,000 people in jail were “awaiting court action on a current charge,” and about 260,000 people were convicted of violating a law</w:t>
      </w:r>
      <w:r w:rsidRPr="00661A68">
        <w:rPr>
          <w:sz w:val="16"/>
        </w:rPr>
        <w:t>.</w:t>
      </w:r>
      <w:r w:rsidR="00C91601" w:rsidRPr="00661A68">
        <w:rPr>
          <w:sz w:val="16"/>
        </w:rPr>
        <w:t xml:space="preserve"> </w:t>
      </w:r>
      <w:r w:rsidRPr="00661A68">
        <w:rPr>
          <w:u w:val="single"/>
        </w:rPr>
        <w:t>Jails are run by local governments</w:t>
      </w:r>
      <w:r w:rsidRPr="00661A68">
        <w:rPr>
          <w:sz w:val="16"/>
        </w:rPr>
        <w:t>, often managed by a sheriff’s department, and they operate independently from other jails in the same state. Jail populations typically consist of those who are being held on bail or bond pending trial and individuals who are serving out short sentences of less than a year.</w:t>
      </w:r>
      <w:r w:rsidR="00C91601" w:rsidRPr="00661A68">
        <w:rPr>
          <w:sz w:val="16"/>
        </w:rPr>
        <w:t xml:space="preserve"> </w:t>
      </w:r>
      <w:r w:rsidRPr="00661A68">
        <w:rPr>
          <w:sz w:val="16"/>
        </w:rPr>
        <w:t>On any given day, about 612,000 people are behind bars in county jails. But that number doesn’t reflect the roughly 10.6 million instances of people cycling through jails each year. These are not all separate individuals, as it includes some people who have been rearrested, sometimes many times in one single year.</w:t>
      </w:r>
      <w:r w:rsidR="00C91601" w:rsidRPr="00661A68">
        <w:rPr>
          <w:sz w:val="16"/>
        </w:rPr>
        <w:t xml:space="preserve"> </w:t>
      </w:r>
      <w:r w:rsidRPr="00661A68">
        <w:rPr>
          <w:sz w:val="16"/>
        </w:rPr>
        <w:t>State prison systems</w:t>
      </w:r>
      <w:r w:rsidR="00C91601" w:rsidRPr="00661A68">
        <w:rPr>
          <w:sz w:val="16"/>
        </w:rPr>
        <w:t xml:space="preserve"> </w:t>
      </w:r>
      <w:r w:rsidRPr="00661A68">
        <w:rPr>
          <w:u w:val="single"/>
        </w:rPr>
        <w:t>State prisons today hold about 1.3 million people, representing the biggest chunk of those who are behind bars in America. They typically house people convicted of felonies, which in most states are crimes that carry a sentence of one year or more</w:t>
      </w:r>
      <w:r w:rsidRPr="00661A68">
        <w:rPr>
          <w:sz w:val="16"/>
        </w:rPr>
        <w:t>.</w:t>
      </w:r>
      <w:r w:rsidR="00C91601" w:rsidRPr="00661A68">
        <w:rPr>
          <w:sz w:val="16"/>
        </w:rPr>
        <w:t xml:space="preserve"> </w:t>
      </w:r>
      <w:r w:rsidRPr="00661A68">
        <w:rPr>
          <w:sz w:val="16"/>
        </w:rPr>
        <w:t xml:space="preserve">According to Justice Department statistics, </w:t>
      </w:r>
      <w:r w:rsidRPr="00661A68">
        <w:rPr>
          <w:u w:val="single"/>
        </w:rPr>
        <w:t>more than half of those in state prisons are serving sentences for violent crimes: approximately 14 percent were serving time in state prison for murder or non-negligent manslaughter, and about 13 percent of state prisoners were sentenced for rape or sexual assault. As opposed to the federal population, where nearly half of the prison population is incarcerated for a drug offense, only about 15 percent were convicted of a drug offense.</w:t>
      </w:r>
      <w:r w:rsidR="00C91601" w:rsidRPr="00661A68">
        <w:rPr>
          <w:u w:val="single"/>
        </w:rPr>
        <w:t xml:space="preserve"> </w:t>
      </w:r>
      <w:r w:rsidRPr="00661A68">
        <w:rPr>
          <w:sz w:val="16"/>
        </w:rPr>
        <w:t>Minor violations</w:t>
      </w:r>
      <w:r w:rsidR="00C91601" w:rsidRPr="00661A68">
        <w:rPr>
          <w:sz w:val="16"/>
        </w:rPr>
        <w:t xml:space="preserve"> </w:t>
      </w:r>
      <w:r w:rsidRPr="00661A68">
        <w:rPr>
          <w:u w:val="single"/>
        </w:rPr>
        <w:t>Many state prison admissions result from violations of probation or parole conditions</w:t>
      </w:r>
      <w:r w:rsidRPr="00661A68">
        <w:rPr>
          <w:sz w:val="16"/>
        </w:rPr>
        <w:t xml:space="preserve">. In fact, in 2017, the states of Washington, Idaho, Vermont, Utah, Maine, New Hampshire, and Pennsylvania admitted more than half of their prisoners for probation or parole violations. Overall, </w:t>
      </w:r>
      <w:r w:rsidRPr="00661A68">
        <w:rPr>
          <w:u w:val="single"/>
        </w:rPr>
        <w:t>one-third of state prisoners admitted to prison in 2017 entered on a “new commitment” on such a violation</w:t>
      </w:r>
      <w:r w:rsidRPr="00661A68">
        <w:rPr>
          <w:sz w:val="16"/>
        </w:rPr>
        <w:t>, compared with only 10 percent in the federal system.</w:t>
      </w:r>
      <w:r w:rsidR="00C91601" w:rsidRPr="00661A68">
        <w:rPr>
          <w:sz w:val="16"/>
        </w:rPr>
        <w:t xml:space="preserve"> </w:t>
      </w:r>
      <w:r w:rsidRPr="00661A68">
        <w:rPr>
          <w:sz w:val="16"/>
        </w:rPr>
        <w:t xml:space="preserve">These re-incarcerations are often for minor violations, such as failing a drug test or not completing a drug or other required program. </w:t>
      </w:r>
      <w:r w:rsidRPr="00661A68">
        <w:rPr>
          <w:u w:val="single"/>
        </w:rPr>
        <w:t>States could make a huge dent in the prison population by passing reforms to ensure people are not sent back to prison for minor violations of conditions of probation such as not attending a hearing</w:t>
      </w:r>
      <w:r w:rsidRPr="00661A68">
        <w:rPr>
          <w:sz w:val="16"/>
        </w:rPr>
        <w:t>.</w:t>
      </w:r>
      <w:r w:rsidR="00C91601" w:rsidRPr="00661A68">
        <w:rPr>
          <w:sz w:val="16"/>
        </w:rPr>
        <w:t xml:space="preserve"> </w:t>
      </w:r>
      <w:r w:rsidRPr="00661A68">
        <w:rPr>
          <w:sz w:val="16"/>
        </w:rPr>
        <w:t>Needed Reforms</w:t>
      </w:r>
      <w:r w:rsidR="00C91601" w:rsidRPr="00661A68">
        <w:rPr>
          <w:sz w:val="16"/>
        </w:rPr>
        <w:t xml:space="preserve"> </w:t>
      </w:r>
      <w:r w:rsidRPr="00661A68">
        <w:rPr>
          <w:sz w:val="16"/>
        </w:rPr>
        <w:t xml:space="preserve">Given the toll that mass incarceration takes at the state and county level, </w:t>
      </w:r>
      <w:r w:rsidRPr="00661A68">
        <w:rPr>
          <w:u w:val="single"/>
        </w:rPr>
        <w:t>it’s essential that we focus reform efforts there to ensure that states roll back punitive laws that send too many people to prison for far too long</w:t>
      </w:r>
      <w:r w:rsidRPr="00661A68">
        <w:rPr>
          <w:sz w:val="16"/>
        </w:rPr>
        <w:t>. We’ve created blueprints for that work, including recommendations for sentencing reform and guidelines for prosecutors. Another key step would be for Congress to pass the Reverse Mass Incarceration Act.</w:t>
      </w:r>
      <w:r w:rsidR="00C91601" w:rsidRPr="00661A68">
        <w:rPr>
          <w:sz w:val="16"/>
        </w:rPr>
        <w:t xml:space="preserve"> </w:t>
      </w:r>
      <w:r w:rsidRPr="00661A68">
        <w:rPr>
          <w:sz w:val="16"/>
        </w:rPr>
        <w:t>None of these proposals offers a silver bullet. But they will do a great deal to improve the lives of countless Americans as we continue the fight to improve our justice system on multiple fronts.</w:t>
      </w:r>
    </w:p>
    <w:p w14:paraId="2CC8E359" w14:textId="2763F3BC" w:rsidR="00305A32" w:rsidRPr="00661A68" w:rsidRDefault="00305A32" w:rsidP="00305A32">
      <w:pPr>
        <w:pStyle w:val="Heading2"/>
      </w:pPr>
      <w:r w:rsidRPr="00661A68">
        <w:t>***NEG Blocks***</w:t>
      </w:r>
    </w:p>
    <w:p w14:paraId="172DC295" w14:textId="1B71A9F9" w:rsidR="00FD159D" w:rsidRPr="00661A68" w:rsidRDefault="00FD159D" w:rsidP="00305A32">
      <w:pPr>
        <w:pStyle w:val="Heading3"/>
      </w:pPr>
      <w:r w:rsidRPr="00661A68">
        <w:t>2NC Solvency—Prison Population Reduction</w:t>
      </w:r>
    </w:p>
    <w:p w14:paraId="46C4383C" w14:textId="703849F0" w:rsidR="00FD159D" w:rsidRPr="00661A68" w:rsidRDefault="00FD159D" w:rsidP="00FD159D">
      <w:pPr>
        <w:pStyle w:val="Heading4"/>
      </w:pPr>
      <w:r w:rsidRPr="00661A68">
        <w:t>Empirics prove state policies reduce the size of the prison population</w:t>
      </w:r>
    </w:p>
    <w:p w14:paraId="3A797CCD" w14:textId="7933C4A6" w:rsidR="00FD159D" w:rsidRPr="00661A68" w:rsidRDefault="00B34675" w:rsidP="00FD159D">
      <w:r w:rsidRPr="00661A68">
        <w:rPr>
          <w:rStyle w:val="Style13ptBold"/>
        </w:rPr>
        <w:t>Bertram 19</w:t>
      </w:r>
      <w:r w:rsidRPr="00661A68">
        <w:t xml:space="preserve"> [</w:t>
      </w:r>
      <w:r w:rsidR="009D4881" w:rsidRPr="00661A68">
        <w:t xml:space="preserve">Wanda, Communications Strategist for the PRISON Policy Initiative, </w:t>
      </w:r>
      <w:r w:rsidR="00CC1D9E" w:rsidRPr="00661A68">
        <w:t xml:space="preserve">former Seattle-based freelance writer while producing, managing, and strengthening the communications of area nonprofit organizations, </w:t>
      </w:r>
      <w:r w:rsidR="009D4881" w:rsidRPr="00661A68">
        <w:t>“</w:t>
      </w:r>
      <w:r w:rsidRPr="00661A68">
        <w:t>Winnable criminal justice reforms: A Prison Policy Initiative briefing on promising state reform issues for 2020</w:t>
      </w:r>
      <w:r w:rsidR="00CC1D9E" w:rsidRPr="00661A68">
        <w:t xml:space="preserve">”; published </w:t>
      </w:r>
      <w:r w:rsidR="00044BA5" w:rsidRPr="00661A68">
        <w:t>12/12/19, accessed 5/30/200</w:t>
      </w:r>
    </w:p>
    <w:p w14:paraId="729D644E" w14:textId="0CCBF085" w:rsidR="00FD159D" w:rsidRPr="00661A68" w:rsidRDefault="00FD159D" w:rsidP="00FD159D">
      <w:pPr>
        <w:rPr>
          <w:sz w:val="16"/>
        </w:rPr>
      </w:pPr>
      <w:r w:rsidRPr="00661A68">
        <w:rPr>
          <w:rStyle w:val="StyleUnderline"/>
        </w:rPr>
        <w:t>REDUCING THE SIZE OF THE PRISON POPULATION</w:t>
      </w:r>
      <w:r w:rsidR="001C4D91" w:rsidRPr="00661A68">
        <w:rPr>
          <w:rStyle w:val="StyleUnderline"/>
        </w:rPr>
        <w:t xml:space="preserve"> </w:t>
      </w:r>
      <w:r w:rsidRPr="00661A68">
        <w:rPr>
          <w:sz w:val="16"/>
        </w:rPr>
        <w:t>Reducing pretrial detention</w:t>
      </w:r>
      <w:r w:rsidR="001C4D91" w:rsidRPr="00661A68">
        <w:rPr>
          <w:sz w:val="16"/>
        </w:rPr>
        <w:t xml:space="preserve"> </w:t>
      </w:r>
      <w:r w:rsidRPr="00661A68">
        <w:rPr>
          <w:sz w:val="16"/>
        </w:rPr>
        <w:t xml:space="preserve">Problem: </w:t>
      </w:r>
      <w:r w:rsidRPr="00661A68">
        <w:rPr>
          <w:u w:val="single"/>
        </w:rPr>
        <w:t>Many people who face criminal charges are unnecessarily detained before trial. Of</w:t>
      </w:r>
      <w:r w:rsidR="00044BA5" w:rsidRPr="00661A68">
        <w:rPr>
          <w:u w:val="single"/>
        </w:rPr>
        <w:t>[t]</w:t>
      </w:r>
      <w:r w:rsidRPr="00661A68">
        <w:rPr>
          <w:u w:val="single"/>
        </w:rPr>
        <w:t>en the sole criteria for release is</w:t>
      </w:r>
      <w:r w:rsidR="001C4D91" w:rsidRPr="00661A68">
        <w:rPr>
          <w:u w:val="single"/>
        </w:rPr>
        <w:t xml:space="preserve"> </w:t>
      </w:r>
      <w:r w:rsidRPr="00661A68">
        <w:rPr>
          <w:u w:val="single"/>
        </w:rPr>
        <w:t>access to money for bail</w:t>
      </w:r>
      <w:r w:rsidRPr="00661A68">
        <w:rPr>
          <w:sz w:val="16"/>
        </w:rPr>
        <w:t>. Tis puts more pressure on defendants to accept plea bargains, and destabilizes the life of the</w:t>
      </w:r>
      <w:r w:rsidR="001C4D91" w:rsidRPr="00661A68">
        <w:rPr>
          <w:sz w:val="16"/>
        </w:rPr>
        <w:t xml:space="preserve"> </w:t>
      </w:r>
      <w:r w:rsidRPr="00661A68">
        <w:rPr>
          <w:sz w:val="16"/>
        </w:rPr>
        <w:t xml:space="preserve">person who is incarcerated, which can result in the loss of an apartment, a job, and even custody of children. </w:t>
      </w:r>
      <w:r w:rsidRPr="00661A68">
        <w:rPr>
          <w:u w:val="single"/>
        </w:rPr>
        <w:t>It also</w:t>
      </w:r>
      <w:r w:rsidR="001C4D91" w:rsidRPr="00661A68">
        <w:rPr>
          <w:u w:val="single"/>
        </w:rPr>
        <w:t xml:space="preserve"> </w:t>
      </w:r>
      <w:r w:rsidRPr="00661A68">
        <w:rPr>
          <w:u w:val="single"/>
        </w:rPr>
        <w:t>leads to jail overcrowding which drives the need for more and bigger jails, thus wasting taxpayer dollars</w:t>
      </w:r>
      <w:r w:rsidRPr="00661A68">
        <w:rPr>
          <w:sz w:val="16"/>
        </w:rPr>
        <w:t>.</w:t>
      </w:r>
      <w:r w:rsidR="001C4D91" w:rsidRPr="00661A68">
        <w:rPr>
          <w:sz w:val="16"/>
        </w:rPr>
        <w:t xml:space="preserve"> </w:t>
      </w:r>
      <w:r w:rsidRPr="00661A68">
        <w:rPr>
          <w:sz w:val="16"/>
        </w:rPr>
        <w:t xml:space="preserve">Solutions: </w:t>
      </w:r>
      <w:r w:rsidRPr="00661A68">
        <w:rPr>
          <w:u w:val="single"/>
        </w:rPr>
        <w:t>States are addressing this problem with a variety of approaches, including bail reform, ending money bail, pretrial</w:t>
      </w:r>
      <w:r w:rsidR="001C4D91" w:rsidRPr="00661A68">
        <w:rPr>
          <w:u w:val="single"/>
        </w:rPr>
        <w:t xml:space="preserve"> </w:t>
      </w:r>
      <w:r w:rsidRPr="00661A68">
        <w:rPr>
          <w:u w:val="single"/>
        </w:rPr>
        <w:t>services including monitoring and curfews, drug testing and treatment, and postcard or phone reminders to appear in</w:t>
      </w:r>
      <w:r w:rsidR="001C4D91" w:rsidRPr="00661A68">
        <w:rPr>
          <w:u w:val="single"/>
        </w:rPr>
        <w:t xml:space="preserve"> </w:t>
      </w:r>
      <w:r w:rsidRPr="00661A68">
        <w:rPr>
          <w:u w:val="single"/>
        </w:rPr>
        <w:t>court.</w:t>
      </w:r>
      <w:r w:rsidR="001C4D91" w:rsidRPr="00661A68">
        <w:rPr>
          <w:sz w:val="16"/>
        </w:rPr>
        <w:t xml:space="preserve"> </w:t>
      </w:r>
      <w:r w:rsidRPr="00661A68">
        <w:rPr>
          <w:sz w:val="16"/>
        </w:rPr>
        <w:t>More information: Pretrial Justice Institute: https://www.pretrial.org, Massachusetts Women’s Justice Network: Moving Beyond</w:t>
      </w:r>
      <w:r w:rsidR="001C4D91" w:rsidRPr="00661A68">
        <w:rPr>
          <w:sz w:val="16"/>
        </w:rPr>
        <w:t xml:space="preserve"> </w:t>
      </w:r>
      <w:r w:rsidRPr="00661A68">
        <w:rPr>
          <w:sz w:val="16"/>
        </w:rPr>
        <w:t>Incarceration for Women in Massachusetts: Te Necessity of Bail/Pretrial Reform http://www.wcwonline.org/images/</w:t>
      </w:r>
      <w:r w:rsidR="001C4D91" w:rsidRPr="00661A68">
        <w:rPr>
          <w:sz w:val="16"/>
        </w:rPr>
        <w:t xml:space="preserve"> </w:t>
      </w:r>
      <w:r w:rsidRPr="00661A68">
        <w:rPr>
          <w:sz w:val="16"/>
        </w:rPr>
        <w:t>PolicyBrief3.15.Bail.Pretrial_Reform.pdf, and Criminal Justice Policy Program at Harvard Law School Primer on Bail</w:t>
      </w:r>
      <w:r w:rsidR="001C4D91" w:rsidRPr="00661A68">
        <w:rPr>
          <w:sz w:val="16"/>
        </w:rPr>
        <w:t xml:space="preserve"> </w:t>
      </w:r>
      <w:r w:rsidRPr="00661A68">
        <w:rPr>
          <w:sz w:val="16"/>
        </w:rPr>
        <w:t>Reform: http://cjpp.law.harvard.edu/assets/FINAL-Primer-on-Bail-Reform.pdf</w:t>
      </w:r>
      <w:r w:rsidR="001C4D91" w:rsidRPr="00661A68">
        <w:rPr>
          <w:sz w:val="16"/>
        </w:rPr>
        <w:t xml:space="preserve"> </w:t>
      </w:r>
      <w:r w:rsidRPr="00661A68">
        <w:rPr>
          <w:u w:val="single"/>
        </w:rPr>
        <w:t>Decreasing state incarceration rates by reducing jail populations</w:t>
      </w:r>
      <w:r w:rsidR="001C4D91" w:rsidRPr="00661A68">
        <w:rPr>
          <w:u w:val="single"/>
        </w:rPr>
        <w:t xml:space="preserve"> </w:t>
      </w:r>
      <w:r w:rsidRPr="00661A68">
        <w:rPr>
          <w:sz w:val="16"/>
        </w:rPr>
        <w:t xml:space="preserve">Problem: </w:t>
      </w:r>
      <w:r w:rsidRPr="00661A68">
        <w:rPr>
          <w:u w:val="single"/>
        </w:rPr>
        <w:t>One out of every three people behind bars is being held in a local jail. Jails are ostensibly locally controlled, but the</w:t>
      </w:r>
      <w:r w:rsidR="001C4D91" w:rsidRPr="00661A68">
        <w:rPr>
          <w:u w:val="single"/>
        </w:rPr>
        <w:t xml:space="preserve"> </w:t>
      </w:r>
      <w:r w:rsidRPr="00661A68">
        <w:rPr>
          <w:u w:val="single"/>
        </w:rPr>
        <w:t>people held there are generally accused of violating state law</w:t>
      </w:r>
      <w:r w:rsidRPr="00661A68">
        <w:rPr>
          <w:sz w:val="16"/>
        </w:rPr>
        <w:t>, and all too ofen state policymakers ignore jails. Spending</w:t>
      </w:r>
      <w:r w:rsidR="001C4D91" w:rsidRPr="00661A68">
        <w:rPr>
          <w:sz w:val="16"/>
        </w:rPr>
        <w:t xml:space="preserve"> </w:t>
      </w:r>
      <w:r w:rsidRPr="00661A68">
        <w:rPr>
          <w:sz w:val="16"/>
        </w:rPr>
        <w:t>time in jail leads to a number of collateral consequences and other financial roadblocks to successful reentry, and higher</w:t>
      </w:r>
      <w:r w:rsidR="001C4D91" w:rsidRPr="00661A68">
        <w:rPr>
          <w:sz w:val="16"/>
        </w:rPr>
        <w:t xml:space="preserve"> </w:t>
      </w:r>
      <w:r w:rsidRPr="00661A68">
        <w:rPr>
          <w:sz w:val="16"/>
        </w:rPr>
        <w:t>recidivism rates that lead to higher state prison populations.</w:t>
      </w:r>
      <w:r w:rsidR="001C4D91" w:rsidRPr="00661A68">
        <w:rPr>
          <w:sz w:val="16"/>
        </w:rPr>
        <w:t xml:space="preserve"> </w:t>
      </w:r>
      <w:r w:rsidRPr="00661A68">
        <w:rPr>
          <w:sz w:val="16"/>
        </w:rPr>
        <w:t xml:space="preserve">Solutions: </w:t>
      </w:r>
      <w:r w:rsidRPr="00661A68">
        <w:rPr>
          <w:u w:val="single"/>
        </w:rPr>
        <w:t>States should address state causes of growing local jail populations. Although local practices and federal laws also</w:t>
      </w:r>
      <w:r w:rsidR="001C4D91" w:rsidRPr="00661A68">
        <w:rPr>
          <w:u w:val="single"/>
        </w:rPr>
        <w:t xml:space="preserve"> </w:t>
      </w:r>
      <w:r w:rsidRPr="00661A68">
        <w:rPr>
          <w:u w:val="single"/>
        </w:rPr>
        <w:t>impact jail incarceration rates, there are discrete small steps that state legislatures can take</w:t>
      </w:r>
      <w:r w:rsidRPr="00661A68">
        <w:rPr>
          <w:sz w:val="16"/>
        </w:rPr>
        <w:t xml:space="preserve"> that would have a big impact,</w:t>
      </w:r>
      <w:r w:rsidR="001C4D91" w:rsidRPr="00661A68">
        <w:rPr>
          <w:sz w:val="16"/>
        </w:rPr>
        <w:t xml:space="preserve"> </w:t>
      </w:r>
      <w:r w:rsidRPr="00661A68">
        <w:rPr>
          <w:sz w:val="16"/>
        </w:rPr>
        <w:t>such as:</w:t>
      </w:r>
      <w:r w:rsidR="001C4D91" w:rsidRPr="00661A68">
        <w:rPr>
          <w:sz w:val="16"/>
        </w:rPr>
        <w:t xml:space="preserve"> </w:t>
      </w:r>
      <w:r w:rsidRPr="00661A68">
        <w:rPr>
          <w:sz w:val="16"/>
        </w:rPr>
        <w:t xml:space="preserve">• </w:t>
      </w:r>
      <w:r w:rsidRPr="00661A68">
        <w:rPr>
          <w:u w:val="single"/>
        </w:rPr>
        <w:t>Encourage judges to use non-monetary sanctions</w:t>
      </w:r>
      <w:r w:rsidRPr="00661A68">
        <w:rPr>
          <w:sz w:val="16"/>
        </w:rPr>
        <w:t xml:space="preserve">, rather than fines and fees, and </w:t>
      </w:r>
      <w:r w:rsidRPr="00661A68">
        <w:rPr>
          <w:u w:val="single"/>
        </w:rPr>
        <w:t>ensure that judges are holding</w:t>
      </w:r>
      <w:r w:rsidR="001C4D91" w:rsidRPr="00661A68">
        <w:rPr>
          <w:u w:val="single"/>
        </w:rPr>
        <w:t xml:space="preserve"> </w:t>
      </w:r>
      <w:r w:rsidRPr="00661A68">
        <w:rPr>
          <w:u w:val="single"/>
        </w:rPr>
        <w:t>indigency hearings before imposing and enforcing unaffordable fees</w:t>
      </w:r>
      <w:r w:rsidRPr="00661A68">
        <w:rPr>
          <w:sz w:val="16"/>
        </w:rPr>
        <w:t>.</w:t>
      </w:r>
      <w:r w:rsidR="001C4D91" w:rsidRPr="00661A68">
        <w:rPr>
          <w:sz w:val="16"/>
        </w:rPr>
        <w:t xml:space="preserve"> </w:t>
      </w:r>
      <w:r w:rsidRPr="00661A68">
        <w:rPr>
          <w:sz w:val="16"/>
        </w:rPr>
        <w:t xml:space="preserve">• </w:t>
      </w:r>
      <w:r w:rsidRPr="00661A68">
        <w:rPr>
          <w:u w:val="single"/>
        </w:rPr>
        <w:t>Reclassify criminal offenses and turn misdemeanor charges that don’t threaten public safety into non-jailable</w:t>
      </w:r>
      <w:r w:rsidR="001C4D91" w:rsidRPr="00661A68">
        <w:rPr>
          <w:u w:val="single"/>
        </w:rPr>
        <w:t xml:space="preserve"> </w:t>
      </w:r>
      <w:r w:rsidRPr="00661A68">
        <w:rPr>
          <w:u w:val="single"/>
        </w:rPr>
        <w:t>infractions</w:t>
      </w:r>
      <w:r w:rsidRPr="00661A68">
        <w:rPr>
          <w:sz w:val="16"/>
        </w:rPr>
        <w:t>.</w:t>
      </w:r>
      <w:r w:rsidR="001C4D91" w:rsidRPr="00661A68">
        <w:rPr>
          <w:sz w:val="16"/>
        </w:rPr>
        <w:t xml:space="preserve"> </w:t>
      </w:r>
      <w:r w:rsidRPr="00661A68">
        <w:rPr>
          <w:sz w:val="16"/>
        </w:rPr>
        <w:t xml:space="preserve">• </w:t>
      </w:r>
      <w:r w:rsidRPr="00661A68">
        <w:rPr>
          <w:u w:val="single"/>
        </w:rPr>
        <w:t>Make citations, rather than arrest, the default action</w:t>
      </w:r>
      <w:r w:rsidRPr="00661A68">
        <w:rPr>
          <w:sz w:val="16"/>
        </w:rPr>
        <w:t xml:space="preserve"> </w:t>
      </w:r>
      <w:r w:rsidRPr="00661A68">
        <w:rPr>
          <w:u w:val="single"/>
        </w:rPr>
        <w:t>for certain low-level crimes</w:t>
      </w:r>
      <w:r w:rsidRPr="00661A68">
        <w:rPr>
          <w:sz w:val="16"/>
        </w:rPr>
        <w:t>.</w:t>
      </w:r>
      <w:r w:rsidR="001C4D91" w:rsidRPr="00661A68">
        <w:rPr>
          <w:sz w:val="16"/>
        </w:rPr>
        <w:t xml:space="preserve"> </w:t>
      </w:r>
      <w:r w:rsidRPr="00661A68">
        <w:rPr>
          <w:sz w:val="16"/>
        </w:rPr>
        <w:t>More information: Era of Mass Expansion: Why State Officials Should Fight Jail Growth https://www.prisonpolicy.org/reports/</w:t>
      </w:r>
      <w:r w:rsidR="001C4D91" w:rsidRPr="00661A68">
        <w:rPr>
          <w:sz w:val="16"/>
        </w:rPr>
        <w:t xml:space="preserve"> </w:t>
      </w:r>
      <w:r w:rsidRPr="00661A68">
        <w:rPr>
          <w:sz w:val="16"/>
        </w:rPr>
        <w:t>jailsovertime.html and Arrest, Release, Repeat: How Police and Jails Are Misused to Respond to Social Problems https://</w:t>
      </w:r>
      <w:r w:rsidR="001C4D91" w:rsidRPr="00661A68">
        <w:rPr>
          <w:sz w:val="16"/>
        </w:rPr>
        <w:t xml:space="preserve"> </w:t>
      </w:r>
      <w:r w:rsidRPr="00661A68">
        <w:rPr>
          <w:sz w:val="16"/>
        </w:rPr>
        <w:t>www.prisonpolicy.org/reports/repeatarrests.html</w:t>
      </w:r>
      <w:r w:rsidR="001C4D91" w:rsidRPr="00661A68">
        <w:rPr>
          <w:sz w:val="16"/>
        </w:rPr>
        <w:t xml:space="preserve"> </w:t>
      </w:r>
      <w:r w:rsidRPr="00661A68">
        <w:rPr>
          <w:sz w:val="16"/>
        </w:rPr>
        <w:t>page 1</w:t>
      </w:r>
      <w:r w:rsidR="001C4D91" w:rsidRPr="00661A68">
        <w:rPr>
          <w:sz w:val="16"/>
        </w:rPr>
        <w:t xml:space="preserve"> </w:t>
      </w:r>
      <w:r w:rsidRPr="00661A68">
        <w:rPr>
          <w:sz w:val="16"/>
        </w:rPr>
        <w:t>https://www.prisonpolicy.org/</w:t>
      </w:r>
      <w:r w:rsidR="001C4D91" w:rsidRPr="00661A68">
        <w:rPr>
          <w:sz w:val="16"/>
        </w:rPr>
        <w:t xml:space="preserve"> </w:t>
      </w:r>
      <w:r w:rsidRPr="00661A68">
        <w:rPr>
          <w:sz w:val="16"/>
        </w:rPr>
        <w:t>(413) 527-0845</w:t>
      </w:r>
      <w:r w:rsidR="001C4D91" w:rsidRPr="00661A68">
        <w:rPr>
          <w:sz w:val="16"/>
        </w:rPr>
        <w:t xml:space="preserve"> </w:t>
      </w:r>
      <w:r w:rsidRPr="00661A68">
        <w:rPr>
          <w:sz w:val="16"/>
        </w:rPr>
        <w:t>(continued on pages two through eight)</w:t>
      </w:r>
      <w:r w:rsidR="001C4D91" w:rsidRPr="00661A68">
        <w:rPr>
          <w:sz w:val="16"/>
        </w:rPr>
        <w:t xml:space="preserve"> </w:t>
      </w:r>
      <w:r w:rsidRPr="00661A68">
        <w:rPr>
          <w:u w:val="single"/>
        </w:rPr>
        <w:t>Shortening excessive prison sentences</w:t>
      </w:r>
      <w:r w:rsidR="001C4D91" w:rsidRPr="00661A68">
        <w:rPr>
          <w:u w:val="single"/>
        </w:rPr>
        <w:t xml:space="preserve"> </w:t>
      </w:r>
      <w:r w:rsidRPr="00661A68">
        <w:rPr>
          <w:sz w:val="16"/>
        </w:rPr>
        <w:t xml:space="preserve">Problem: Nationally, </w:t>
      </w:r>
      <w:r w:rsidRPr="00661A68">
        <w:rPr>
          <w:u w:val="single"/>
        </w:rPr>
        <w:t>one of every six people in state prisons have been incarcerated for a decade or more</w:t>
      </w:r>
      <w:r w:rsidRPr="00661A68">
        <w:rPr>
          <w:sz w:val="16"/>
        </w:rPr>
        <w:t>. While many states have</w:t>
      </w:r>
      <w:r w:rsidR="001C4D91" w:rsidRPr="00661A68">
        <w:rPr>
          <w:sz w:val="16"/>
        </w:rPr>
        <w:t xml:space="preserve"> </w:t>
      </w:r>
      <w:r w:rsidRPr="00661A68">
        <w:rPr>
          <w:sz w:val="16"/>
        </w:rPr>
        <w:t>taken laudable steps to reduce the number of people serving time for low-level offenses, little has been done to bring</w:t>
      </w:r>
      <w:r w:rsidR="001C4D91" w:rsidRPr="00661A68">
        <w:rPr>
          <w:sz w:val="16"/>
        </w:rPr>
        <w:t xml:space="preserve"> </w:t>
      </w:r>
      <w:r w:rsidRPr="00661A68">
        <w:rPr>
          <w:sz w:val="16"/>
        </w:rPr>
        <w:t>relief to people needlessly serving decades in prison.</w:t>
      </w:r>
      <w:r w:rsidR="001C4D91" w:rsidRPr="00661A68">
        <w:rPr>
          <w:sz w:val="16"/>
        </w:rPr>
        <w:t xml:space="preserve"> </w:t>
      </w:r>
      <w:r w:rsidRPr="00661A68">
        <w:rPr>
          <w:sz w:val="16"/>
        </w:rPr>
        <w:t xml:space="preserve">Solution: </w:t>
      </w:r>
      <w:r w:rsidRPr="00661A68">
        <w:rPr>
          <w:u w:val="single"/>
        </w:rPr>
        <w:t>State legislative strategies include: enacting presumptive parole, second-look sentencing, and other common-sense</w:t>
      </w:r>
      <w:r w:rsidR="001C4D91" w:rsidRPr="00661A68">
        <w:rPr>
          <w:u w:val="single"/>
        </w:rPr>
        <w:t xml:space="preserve"> </w:t>
      </w:r>
      <w:r w:rsidRPr="00661A68">
        <w:rPr>
          <w:u w:val="single"/>
        </w:rPr>
        <w:t>reforms, such as expanding good time</w:t>
      </w:r>
      <w:r w:rsidRPr="00661A68">
        <w:rPr>
          <w:sz w:val="16"/>
        </w:rPr>
        <w:t>.</w:t>
      </w:r>
      <w:r w:rsidR="001C4D91" w:rsidRPr="00661A68">
        <w:rPr>
          <w:sz w:val="16"/>
        </w:rPr>
        <w:t xml:space="preserve"> </w:t>
      </w:r>
      <w:r w:rsidRPr="00661A68">
        <w:rPr>
          <w:sz w:val="16"/>
        </w:rPr>
        <w:t>More information and suggested legislation: Our report, Eight Keys to Mercy, presents several effective options for states looking</w:t>
      </w:r>
      <w:r w:rsidR="001C4D91" w:rsidRPr="00661A68">
        <w:rPr>
          <w:sz w:val="16"/>
        </w:rPr>
        <w:t xml:space="preserve"> </w:t>
      </w:r>
      <w:r w:rsidRPr="00661A68">
        <w:rPr>
          <w:sz w:val="16"/>
        </w:rPr>
        <w:t>to shorten excessive sentences, including examples of model legislation: https://www.prisonpolicy.org/reports/</w:t>
      </w:r>
      <w:r w:rsidR="001C4D91" w:rsidRPr="00661A68">
        <w:rPr>
          <w:sz w:val="16"/>
        </w:rPr>
        <w:t xml:space="preserve"> </w:t>
      </w:r>
      <w:r w:rsidRPr="00661A68">
        <w:rPr>
          <w:sz w:val="16"/>
        </w:rPr>
        <w:t>longsentences.html</w:t>
      </w:r>
      <w:r w:rsidR="001C4D91" w:rsidRPr="00661A68">
        <w:rPr>
          <w:sz w:val="16"/>
        </w:rPr>
        <w:t xml:space="preserve"> </w:t>
      </w:r>
      <w:r w:rsidRPr="00661A68">
        <w:rPr>
          <w:u w:val="single"/>
        </w:rPr>
        <w:t>Repealing or reforming ineffective and harmful sentencing enhancement zone</w:t>
      </w:r>
      <w:r w:rsidRPr="00661A68">
        <w:rPr>
          <w:sz w:val="16"/>
        </w:rPr>
        <w:t>s</w:t>
      </w:r>
      <w:r w:rsidR="001C4D91" w:rsidRPr="00661A68">
        <w:rPr>
          <w:sz w:val="16"/>
        </w:rPr>
        <w:t xml:space="preserve"> </w:t>
      </w:r>
      <w:r w:rsidRPr="00661A68">
        <w:rPr>
          <w:sz w:val="16"/>
        </w:rPr>
        <w:t xml:space="preserve">Problem: </w:t>
      </w:r>
      <w:r w:rsidRPr="00661A68">
        <w:rPr>
          <w:u w:val="single"/>
        </w:rPr>
        <w:t>Most states have laws that are intended to keep children safe</w:t>
      </w:r>
      <w:r w:rsidRPr="00661A68">
        <w:rPr>
          <w:sz w:val="16"/>
        </w:rPr>
        <w:t xml:space="preserve"> by </w:t>
      </w:r>
      <w:r w:rsidRPr="00661A68">
        <w:rPr>
          <w:u w:val="single"/>
        </w:rPr>
        <w:t>creating enhanced penalties for various drug crimes</w:t>
      </w:r>
      <w:r w:rsidR="001C4D91" w:rsidRPr="00661A68">
        <w:rPr>
          <w:u w:val="single"/>
        </w:rPr>
        <w:t xml:space="preserve"> </w:t>
      </w:r>
      <w:r w:rsidRPr="00661A68">
        <w:rPr>
          <w:u w:val="single"/>
        </w:rPr>
        <w:t>committed within a certain distance of schools</w:t>
      </w:r>
      <w:r w:rsidRPr="00661A68">
        <w:rPr>
          <w:sz w:val="16"/>
        </w:rPr>
        <w:t xml:space="preserve">. Tese laws sound like a common sense approach, but our </w:t>
      </w:r>
      <w:r w:rsidRPr="00661A68">
        <w:rPr>
          <w:u w:val="single"/>
        </w:rPr>
        <w:t>research has</w:t>
      </w:r>
      <w:r w:rsidR="001C4D91" w:rsidRPr="00661A68">
        <w:rPr>
          <w:u w:val="single"/>
        </w:rPr>
        <w:t xml:space="preserve"> </w:t>
      </w:r>
      <w:r w:rsidRPr="00661A68">
        <w:rPr>
          <w:u w:val="single"/>
        </w:rPr>
        <w:t>shown that these laws do not work and exacerbate harmful racial disparities in the criminal justice system</w:t>
      </w:r>
      <w:r w:rsidRPr="00661A68">
        <w:rPr>
          <w:sz w:val="16"/>
        </w:rPr>
        <w:t>.</w:t>
      </w:r>
      <w:r w:rsidR="001C4D91" w:rsidRPr="00661A68">
        <w:rPr>
          <w:sz w:val="16"/>
        </w:rPr>
        <w:t xml:space="preserve"> </w:t>
      </w:r>
      <w:r w:rsidRPr="00661A68">
        <w:rPr>
          <w:sz w:val="16"/>
        </w:rPr>
        <w:t xml:space="preserve">Solution: Te most </w:t>
      </w:r>
      <w:r w:rsidRPr="00661A68">
        <w:rPr>
          <w:u w:val="single"/>
        </w:rPr>
        <w:t>comprehensive solution is</w:t>
      </w:r>
      <w:r w:rsidRPr="00661A68">
        <w:rPr>
          <w:sz w:val="16"/>
        </w:rPr>
        <w:t xml:space="preserve"> </w:t>
      </w:r>
      <w:r w:rsidRPr="00661A68">
        <w:rPr>
          <w:u w:val="single"/>
        </w:rPr>
        <w:t>for states to repeal the enhancement zones, and instead rely on the already-existing</w:t>
      </w:r>
      <w:r w:rsidR="001C4D91" w:rsidRPr="00661A68">
        <w:rPr>
          <w:u w:val="single"/>
        </w:rPr>
        <w:t xml:space="preserve"> </w:t>
      </w:r>
      <w:r w:rsidRPr="00661A68">
        <w:rPr>
          <w:u w:val="single"/>
        </w:rPr>
        <w:t>laws that give additional penalties for involving children in drug activity</w:t>
      </w:r>
      <w:r w:rsidRPr="00661A68">
        <w:rPr>
          <w:sz w:val="16"/>
        </w:rPr>
        <w:t>. Barring repeal, there are several other ways to</w:t>
      </w:r>
      <w:r w:rsidR="001C4D91" w:rsidRPr="00661A68">
        <w:rPr>
          <w:sz w:val="16"/>
        </w:rPr>
        <w:t xml:space="preserve"> </w:t>
      </w:r>
      <w:r w:rsidRPr="00661A68">
        <w:rPr>
          <w:sz w:val="16"/>
        </w:rPr>
        <w:t xml:space="preserve">modify the scope of the law. Te simplest approach is </w:t>
      </w:r>
      <w:r w:rsidRPr="00661A68">
        <w:rPr>
          <w:u w:val="single"/>
        </w:rPr>
        <w:t>reducing the size of the zones like Massachusetts and New Jersey</w:t>
      </w:r>
      <w:r w:rsidR="001C4D91" w:rsidRPr="00661A68">
        <w:rPr>
          <w:u w:val="single"/>
        </w:rPr>
        <w:t xml:space="preserve"> </w:t>
      </w:r>
      <w:r w:rsidRPr="00661A68">
        <w:rPr>
          <w:u w:val="single"/>
        </w:rPr>
        <w:t>did</w:t>
      </w:r>
      <w:r w:rsidRPr="00661A68">
        <w:rPr>
          <w:sz w:val="16"/>
        </w:rPr>
        <w:t xml:space="preserve">. </w:t>
      </w:r>
      <w:r w:rsidRPr="00661A68">
        <w:rPr>
          <w:u w:val="single"/>
        </w:rPr>
        <w:t>Alternatively</w:t>
      </w:r>
      <w:r w:rsidRPr="00661A68">
        <w:rPr>
          <w:sz w:val="16"/>
        </w:rPr>
        <w:t xml:space="preserve">, do as Connecticut did in 2015 </w:t>
      </w:r>
      <w:r w:rsidRPr="00661A68">
        <w:rPr>
          <w:u w:val="single"/>
        </w:rPr>
        <w:t>and make the enhancement penalty subject to judicial discretion</w:t>
      </w:r>
      <w:r w:rsidR="001C4D91" w:rsidRPr="00661A68">
        <w:rPr>
          <w:u w:val="single"/>
        </w:rPr>
        <w:t xml:space="preserve"> </w:t>
      </w:r>
      <w:r w:rsidRPr="00661A68">
        <w:rPr>
          <w:u w:val="single"/>
        </w:rPr>
        <w:t>rather than mandatory</w:t>
      </w:r>
      <w:r w:rsidRPr="00661A68">
        <w:rPr>
          <w:sz w:val="16"/>
        </w:rPr>
        <w:t>.</w:t>
      </w:r>
      <w:r w:rsidR="001C4D91" w:rsidRPr="00661A68">
        <w:rPr>
          <w:sz w:val="16"/>
        </w:rPr>
        <w:t xml:space="preserve"> </w:t>
      </w:r>
      <w:r w:rsidRPr="00661A68">
        <w:rPr>
          <w:sz w:val="16"/>
        </w:rPr>
        <w:t>More information: See our work about sentencing enhancement zones: https://www.prisonpolicy.org/zones.html</w:t>
      </w:r>
      <w:r w:rsidR="001C4D91" w:rsidRPr="00661A68">
        <w:rPr>
          <w:sz w:val="16"/>
        </w:rPr>
        <w:t xml:space="preserve"> </w:t>
      </w:r>
      <w:r w:rsidRPr="00661A68">
        <w:rPr>
          <w:u w:val="single"/>
        </w:rPr>
        <w:t>Creating a safety valve for mandatory minimum sentences</w:t>
      </w:r>
      <w:r w:rsidR="001C4D91" w:rsidRPr="00661A68">
        <w:rPr>
          <w:u w:val="single"/>
        </w:rPr>
        <w:t xml:space="preserve"> </w:t>
      </w:r>
      <w:r w:rsidRPr="00661A68">
        <w:rPr>
          <w:sz w:val="16"/>
        </w:rPr>
        <w:t xml:space="preserve">Problem: </w:t>
      </w:r>
      <w:r w:rsidRPr="00661A68">
        <w:rPr>
          <w:u w:val="single"/>
        </w:rPr>
        <w:t>Mandatory minimum sentences have fueled the country’s skyrocketing incarceration rates</w:t>
      </w:r>
      <w:r w:rsidRPr="00661A68">
        <w:rPr>
          <w:sz w:val="16"/>
        </w:rPr>
        <w:t>, harming individuals and</w:t>
      </w:r>
      <w:r w:rsidR="001C4D91" w:rsidRPr="00661A68">
        <w:rPr>
          <w:sz w:val="16"/>
        </w:rPr>
        <w:t xml:space="preserve"> </w:t>
      </w:r>
      <w:r w:rsidRPr="00661A68">
        <w:rPr>
          <w:sz w:val="16"/>
        </w:rPr>
        <w:t>undermining our communities and national well-being, all without significant increases to public safety.</w:t>
      </w:r>
      <w:r w:rsidR="001C4D91" w:rsidRPr="00661A68">
        <w:rPr>
          <w:sz w:val="16"/>
        </w:rPr>
        <w:t xml:space="preserve"> </w:t>
      </w:r>
      <w:r w:rsidRPr="00661A68">
        <w:rPr>
          <w:u w:val="single"/>
        </w:rPr>
        <w:t>Solution</w:t>
      </w:r>
      <w:r w:rsidRPr="00661A68">
        <w:rPr>
          <w:sz w:val="16"/>
        </w:rPr>
        <w:t xml:space="preserve">: Te best course </w:t>
      </w:r>
      <w:r w:rsidRPr="00661A68">
        <w:rPr>
          <w:u w:val="single"/>
        </w:rPr>
        <w:t>is to repeal mandatory minimum laws so that judges can craf</w:t>
      </w:r>
      <w:r w:rsidR="006518FE" w:rsidRPr="00661A68">
        <w:rPr>
          <w:u w:val="single"/>
        </w:rPr>
        <w:t>[t</w:t>
      </w:r>
      <w:r w:rsidR="002B18F3" w:rsidRPr="00661A68">
        <w:rPr>
          <w:u w:val="single"/>
        </w:rPr>
        <w:t>]</w:t>
      </w:r>
      <w:r w:rsidRPr="00661A68">
        <w:rPr>
          <w:u w:val="single"/>
        </w:rPr>
        <w:t xml:space="preserve"> sentences to fit the unique circumstances</w:t>
      </w:r>
      <w:r w:rsidR="001C4D91" w:rsidRPr="00661A68">
        <w:rPr>
          <w:sz w:val="16"/>
        </w:rPr>
        <w:t xml:space="preserve"> </w:t>
      </w:r>
      <w:r w:rsidRPr="00661A68">
        <w:rPr>
          <w:sz w:val="16"/>
        </w:rPr>
        <w:t>of each crime and individual, but where that option is not possible — either because of political or legislative realities</w:t>
      </w:r>
      <w:r w:rsidR="001C4D91" w:rsidRPr="00661A68">
        <w:rPr>
          <w:sz w:val="16"/>
        </w:rPr>
        <w:t xml:space="preserve"> </w:t>
      </w:r>
      <w:r w:rsidRPr="00661A68">
        <w:rPr>
          <w:sz w:val="16"/>
        </w:rPr>
        <w:t>— states should adopt sentencing “safety valve” laws, which give judges the ability to deviate from the mandatory</w:t>
      </w:r>
      <w:r w:rsidR="001C4D91" w:rsidRPr="00661A68">
        <w:rPr>
          <w:sz w:val="16"/>
        </w:rPr>
        <w:t xml:space="preserve"> </w:t>
      </w:r>
      <w:r w:rsidRPr="00661A68">
        <w:rPr>
          <w:sz w:val="16"/>
        </w:rPr>
        <w:t>minimum under specified circumstances.</w:t>
      </w:r>
      <w:r w:rsidR="001C4D91" w:rsidRPr="00661A68">
        <w:rPr>
          <w:sz w:val="16"/>
        </w:rPr>
        <w:t xml:space="preserve"> </w:t>
      </w:r>
      <w:r w:rsidRPr="00661A68">
        <w:rPr>
          <w:sz w:val="16"/>
        </w:rPr>
        <w:t>More information, model bill language, and example bills:</w:t>
      </w:r>
      <w:r w:rsidR="001C4D91" w:rsidRPr="00661A68">
        <w:rPr>
          <w:sz w:val="16"/>
        </w:rPr>
        <w:t xml:space="preserve"> </w:t>
      </w:r>
      <w:r w:rsidRPr="00661A68">
        <w:rPr>
          <w:sz w:val="16"/>
        </w:rPr>
        <w:t>Families Against Mandatory Minimums (FAMM): Turning Off the Spigot: How Sentencing Safety Valves Can Help</w:t>
      </w:r>
      <w:r w:rsidR="001C4D91" w:rsidRPr="00661A68">
        <w:rPr>
          <w:sz w:val="16"/>
        </w:rPr>
        <w:t xml:space="preserve"> </w:t>
      </w:r>
      <w:r w:rsidRPr="00661A68">
        <w:rPr>
          <w:sz w:val="16"/>
        </w:rPr>
        <w:t>States Protect Public Safety and Save Money https://famm.org/wp-content/uploads/State-Safety-Valve-ReportTurning-Off-the-Spigot.pdf and American Legislative Exchange Council (ALEC): Justice Safety Valve Act https://</w:t>
      </w:r>
      <w:r w:rsidR="001C4D91" w:rsidRPr="00661A68">
        <w:rPr>
          <w:sz w:val="16"/>
        </w:rPr>
        <w:t xml:space="preserve"> </w:t>
      </w:r>
      <w:r w:rsidRPr="00661A68">
        <w:rPr>
          <w:sz w:val="16"/>
        </w:rPr>
        <w:t>www.alec.org/model-policy/justice-safety-valve-act/</w:t>
      </w:r>
      <w:r w:rsidR="001C4D91" w:rsidRPr="00661A68">
        <w:rPr>
          <w:sz w:val="16"/>
        </w:rPr>
        <w:t xml:space="preserve"> </w:t>
      </w:r>
      <w:r w:rsidRPr="00661A68">
        <w:rPr>
          <w:u w:val="single"/>
        </w:rPr>
        <w:t>Requiring racial impact statements for criminal justice bills</w:t>
      </w:r>
      <w:r w:rsidR="001C4D91" w:rsidRPr="00661A68">
        <w:rPr>
          <w:u w:val="single"/>
        </w:rPr>
        <w:t xml:space="preserve"> </w:t>
      </w:r>
      <w:r w:rsidRPr="00661A68">
        <w:rPr>
          <w:sz w:val="16"/>
        </w:rPr>
        <w:t xml:space="preserve">Problem: </w:t>
      </w:r>
      <w:r w:rsidRPr="00661A68">
        <w:rPr>
          <w:u w:val="single"/>
        </w:rPr>
        <w:t>Some criminal justice bills unnecessarily and unintentionally exacerbate racial and ethnic disparities in arrest,</w:t>
      </w:r>
      <w:r w:rsidR="001C4D91" w:rsidRPr="00661A68">
        <w:rPr>
          <w:u w:val="single"/>
        </w:rPr>
        <w:t xml:space="preserve"> </w:t>
      </w:r>
      <w:r w:rsidRPr="00661A68">
        <w:rPr>
          <w:u w:val="single"/>
        </w:rPr>
        <w:t>sentencing, and incarceration rates</w:t>
      </w:r>
      <w:r w:rsidRPr="00661A68">
        <w:rPr>
          <w:sz w:val="16"/>
        </w:rPr>
        <w:t>.</w:t>
      </w:r>
      <w:r w:rsidR="001C4D91" w:rsidRPr="00661A68">
        <w:rPr>
          <w:sz w:val="16"/>
        </w:rPr>
        <w:t xml:space="preserve"> </w:t>
      </w:r>
      <w:r w:rsidRPr="00661A68">
        <w:rPr>
          <w:sz w:val="16"/>
        </w:rPr>
        <w:t xml:space="preserve">Solution: </w:t>
      </w:r>
      <w:r w:rsidRPr="00661A68">
        <w:rPr>
          <w:u w:val="single"/>
        </w:rPr>
        <w:t>Connecticut, Iowa, New Jersey, and Oregon have passed legislation to provide for racial impact statements that</w:t>
      </w:r>
      <w:r w:rsidR="001C4D91" w:rsidRPr="00661A68">
        <w:rPr>
          <w:u w:val="single"/>
        </w:rPr>
        <w:t xml:space="preserve"> </w:t>
      </w:r>
      <w:r w:rsidRPr="00661A68">
        <w:rPr>
          <w:u w:val="single"/>
        </w:rPr>
        <w:t>prospectively evaluate whether or not proposed criminal justice legislation is likely to have a racially or ethnically</w:t>
      </w:r>
      <w:r w:rsidR="001C4D91" w:rsidRPr="00661A68">
        <w:rPr>
          <w:u w:val="single"/>
        </w:rPr>
        <w:t xml:space="preserve"> </w:t>
      </w:r>
      <w:r w:rsidRPr="00661A68">
        <w:rPr>
          <w:u w:val="single"/>
        </w:rPr>
        <w:t>disparate impact.</w:t>
      </w:r>
      <w:r w:rsidR="001C4D91" w:rsidRPr="00661A68">
        <w:rPr>
          <w:sz w:val="16"/>
        </w:rPr>
        <w:t xml:space="preserve"> </w:t>
      </w:r>
      <w:r w:rsidRPr="00661A68">
        <w:rPr>
          <w:sz w:val="16"/>
        </w:rPr>
        <w:t>Example bills: Iowa House File 2393 (2008), Connecticut Public Act 08-143 (2008), Oregon Senate Bill 463 B (2013), New</w:t>
      </w:r>
      <w:r w:rsidR="001C4D91" w:rsidRPr="00661A68">
        <w:rPr>
          <w:sz w:val="16"/>
        </w:rPr>
        <w:t xml:space="preserve"> </w:t>
      </w:r>
      <w:r w:rsidRPr="00661A68">
        <w:rPr>
          <w:sz w:val="16"/>
        </w:rPr>
        <w:t>Jersey S-677/A-3677 (2018).</w:t>
      </w:r>
    </w:p>
    <w:p w14:paraId="3B9A94CA" w14:textId="6D23F2FD" w:rsidR="00CD4545" w:rsidRPr="00661A68" w:rsidRDefault="00CD4545" w:rsidP="00305A32">
      <w:pPr>
        <w:pStyle w:val="Heading3"/>
      </w:pPr>
      <w:r w:rsidRPr="00661A68">
        <w:t>2NC</w:t>
      </w:r>
      <w:r w:rsidR="00FB17B9" w:rsidRPr="00661A68">
        <w:t xml:space="preserve"> States Solve—Empirics</w:t>
      </w:r>
    </w:p>
    <w:p w14:paraId="2C5BEBC2" w14:textId="77777777" w:rsidR="00CF2716" w:rsidRPr="00661A68" w:rsidRDefault="00CF2716" w:rsidP="00CF2716">
      <w:pPr>
        <w:pStyle w:val="Heading4"/>
      </w:pPr>
      <w:r w:rsidRPr="00661A68">
        <w:t>Interstate compacts allow uniform, coordinated state action- solves the whole aff</w:t>
      </w:r>
    </w:p>
    <w:p w14:paraId="5D702C25" w14:textId="77777777" w:rsidR="00CF2716" w:rsidRPr="00661A68" w:rsidRDefault="00CF2716" w:rsidP="00CF2716">
      <w:r w:rsidRPr="00661A68">
        <w:t>***healthcare proves</w:t>
      </w:r>
    </w:p>
    <w:p w14:paraId="335A69E6" w14:textId="77777777" w:rsidR="00CF2716" w:rsidRPr="00661A68" w:rsidRDefault="00CF2716" w:rsidP="00CF2716">
      <w:r w:rsidRPr="00661A68">
        <w:rPr>
          <w:rStyle w:val="Style13ptBold"/>
        </w:rPr>
        <w:t>Jackel 17</w:t>
      </w:r>
      <w:r w:rsidRPr="00661A68">
        <w:t xml:space="preserve"> </w:t>
      </w:r>
      <w:r w:rsidRPr="00661A68">
        <w:rPr>
          <w:sz w:val="16"/>
          <w:szCs w:val="16"/>
        </w:rPr>
        <w:t>(ROBERT JACKEL is an attorney based in Philadelphia; ALEX GREEN is a research associate at Harvard Business School, How Treaties Between States Could Keep Obamacare Alive, https://www.theatlantic.com/politics/archive/2017/02/interstate-compacts-save-obamacare/515604/)</w:t>
      </w:r>
    </w:p>
    <w:p w14:paraId="0B86864A" w14:textId="4E06F6DA" w:rsidR="009B221A" w:rsidRPr="00661A68" w:rsidRDefault="00CF2716" w:rsidP="009B221A">
      <w:pPr>
        <w:rPr>
          <w:u w:val="single"/>
        </w:rPr>
      </w:pPr>
      <w:r w:rsidRPr="00661A68">
        <w:rPr>
          <w:sz w:val="16"/>
        </w:rPr>
        <w:t xml:space="preserve">Across the country, Democrats have vowed to fight efforts from congressional Republicans and the White House to repeal the Affordable Care Act—a task that grows more complicated by the day. Yet even if the law is repealed, with or without a replacement, </w:t>
      </w:r>
      <w:r w:rsidRPr="00661A68">
        <w:rPr>
          <w:rStyle w:val="StyleUnderline"/>
        </w:rPr>
        <w:t>progressives</w:t>
      </w:r>
      <w:r w:rsidRPr="00661A68">
        <w:rPr>
          <w:sz w:val="16"/>
        </w:rPr>
        <w:t xml:space="preserve"> could still </w:t>
      </w:r>
      <w:r w:rsidRPr="00661A68">
        <w:rPr>
          <w:rStyle w:val="StyleUnderline"/>
        </w:rPr>
        <w:t>have recourse at the state level</w:t>
      </w:r>
      <w:r w:rsidRPr="00661A68">
        <w:rPr>
          <w:sz w:val="16"/>
        </w:rPr>
        <w:t xml:space="preserve">. </w:t>
      </w:r>
      <w:r w:rsidRPr="00661A68">
        <w:rPr>
          <w:rStyle w:val="StyleUnderline"/>
        </w:rPr>
        <w:t xml:space="preserve">A </w:t>
      </w:r>
      <w:r w:rsidRPr="00661A68">
        <w:rPr>
          <w:rStyle w:val="Emphasis"/>
        </w:rPr>
        <w:t>widely used</w:t>
      </w:r>
      <w:r w:rsidRPr="00661A68">
        <w:rPr>
          <w:rStyle w:val="StyleUnderline"/>
        </w:rPr>
        <w:t xml:space="preserve"> form of treaty between states could allow them to bond together and set up their own multistate health-care programs to fill the </w:t>
      </w:r>
      <w:r w:rsidRPr="00661A68">
        <w:rPr>
          <w:rStyle w:val="Emphasis"/>
        </w:rPr>
        <w:t>gaps created by the federal government</w:t>
      </w:r>
      <w:r w:rsidRPr="00661A68">
        <w:rPr>
          <w:sz w:val="16"/>
        </w:rPr>
        <w:t xml:space="preserve">. In an age of retreating federal programs, </w:t>
      </w:r>
      <w:r w:rsidRPr="00661A68">
        <w:rPr>
          <w:rStyle w:val="StyleUnderline"/>
        </w:rPr>
        <w:t xml:space="preserve">interstate compacts could be a tool </w:t>
      </w:r>
      <w:r w:rsidRPr="00661A68">
        <w:rPr>
          <w:sz w:val="16"/>
        </w:rPr>
        <w:t xml:space="preserve">for progressive states </w:t>
      </w:r>
      <w:r w:rsidRPr="00661A68">
        <w:rPr>
          <w:rStyle w:val="StyleUnderline"/>
        </w:rPr>
        <w:t>to enact</w:t>
      </w:r>
      <w:r w:rsidRPr="00661A68">
        <w:rPr>
          <w:sz w:val="16"/>
        </w:rPr>
        <w:t xml:space="preserve"> a regional or even </w:t>
      </w:r>
      <w:r w:rsidRPr="00661A68">
        <w:rPr>
          <w:rStyle w:val="Emphasis"/>
        </w:rPr>
        <w:t>nationwide</w:t>
      </w:r>
      <w:r w:rsidRPr="00661A68">
        <w:rPr>
          <w:sz w:val="16"/>
        </w:rPr>
        <w:t xml:space="preserve"> </w:t>
      </w:r>
      <w:r w:rsidRPr="00661A68">
        <w:rPr>
          <w:rStyle w:val="Emphasis"/>
        </w:rPr>
        <w:t>agenda</w:t>
      </w:r>
      <w:r w:rsidRPr="00661A68">
        <w:rPr>
          <w:sz w:val="16"/>
        </w:rPr>
        <w:t xml:space="preserve">. Large states would have little trouble replacing the ACA, often called Obamacare, with a state-run program on their own. </w:t>
      </w:r>
      <w:r w:rsidRPr="00661A68">
        <w:rPr>
          <w:rStyle w:val="StyleUnderline"/>
        </w:rPr>
        <w:t>California has the resources and population to run its</w:t>
      </w:r>
      <w:r w:rsidRPr="00661A68">
        <w:rPr>
          <w:sz w:val="16"/>
        </w:rPr>
        <w:t xml:space="preserve"> state health-care </w:t>
      </w:r>
      <w:r w:rsidRPr="00661A68">
        <w:rPr>
          <w:rStyle w:val="StyleUnderline"/>
        </w:rPr>
        <w:t>exchange</w:t>
      </w:r>
      <w:r w:rsidRPr="00661A68">
        <w:rPr>
          <w:sz w:val="16"/>
        </w:rPr>
        <w:t xml:space="preserve">, Covered California, from Sacramento, </w:t>
      </w:r>
      <w:r w:rsidRPr="00661A68">
        <w:rPr>
          <w:rStyle w:val="StyleUnderline"/>
        </w:rPr>
        <w:t>and could even fund</w:t>
      </w:r>
      <w:r w:rsidRPr="00661A68">
        <w:rPr>
          <w:sz w:val="16"/>
        </w:rPr>
        <w:t xml:space="preserve"> the </w:t>
      </w:r>
      <w:r w:rsidRPr="00661A68">
        <w:rPr>
          <w:rStyle w:val="StyleUnderline"/>
        </w:rPr>
        <w:t>Medicaid</w:t>
      </w:r>
      <w:r w:rsidRPr="00661A68">
        <w:rPr>
          <w:sz w:val="16"/>
        </w:rPr>
        <w:t xml:space="preserve"> </w:t>
      </w:r>
      <w:r w:rsidRPr="00661A68">
        <w:rPr>
          <w:rStyle w:val="StyleUnderline"/>
        </w:rPr>
        <w:t>expansion</w:t>
      </w:r>
      <w:r w:rsidRPr="00661A68">
        <w:rPr>
          <w:sz w:val="16"/>
        </w:rPr>
        <w:t xml:space="preserve"> it implemented under the ACA. To the north, </w:t>
      </w:r>
      <w:r w:rsidRPr="00661A68">
        <w:rPr>
          <w:rStyle w:val="StyleUnderline"/>
        </w:rPr>
        <w:t>less populous states</w:t>
      </w:r>
      <w:r w:rsidRPr="00661A68">
        <w:rPr>
          <w:sz w:val="16"/>
        </w:rPr>
        <w:t xml:space="preserve"> like Oregon and Washington </w:t>
      </w:r>
      <w:r w:rsidRPr="00661A68">
        <w:rPr>
          <w:rStyle w:val="StyleUnderline"/>
        </w:rPr>
        <w:t>would struggle to do the same without comparably sized economies</w:t>
      </w:r>
      <w:r w:rsidRPr="00661A68">
        <w:rPr>
          <w:sz w:val="16"/>
        </w:rPr>
        <w:t xml:space="preserve">. </w:t>
      </w:r>
      <w:r w:rsidRPr="00661A68">
        <w:rPr>
          <w:rStyle w:val="Emphasis"/>
        </w:rPr>
        <w:t>But if they join together</w:t>
      </w:r>
      <w:r w:rsidRPr="00661A68">
        <w:rPr>
          <w:sz w:val="16"/>
        </w:rPr>
        <w:t xml:space="preserve"> with California </w:t>
      </w:r>
      <w:r w:rsidRPr="00661A68">
        <w:rPr>
          <w:rStyle w:val="Emphasis"/>
        </w:rPr>
        <w:t>in an interstate compact</w:t>
      </w:r>
      <w:r w:rsidRPr="00661A68">
        <w:rPr>
          <w:sz w:val="16"/>
        </w:rPr>
        <w:t xml:space="preserve">, </w:t>
      </w:r>
      <w:r w:rsidRPr="00661A68">
        <w:rPr>
          <w:rStyle w:val="Emphasis"/>
        </w:rPr>
        <w:t>they could</w:t>
      </w:r>
      <w:r w:rsidRPr="00661A68">
        <w:rPr>
          <w:sz w:val="16"/>
        </w:rPr>
        <w:t xml:space="preserve"> potentially </w:t>
      </w:r>
      <w:r w:rsidRPr="00661A68">
        <w:rPr>
          <w:rStyle w:val="Emphasis"/>
        </w:rPr>
        <w:t>reap</w:t>
      </w:r>
      <w:r w:rsidRPr="00661A68">
        <w:rPr>
          <w:sz w:val="16"/>
        </w:rPr>
        <w:t xml:space="preserve"> the benefits of the </w:t>
      </w:r>
      <w:r w:rsidRPr="00661A68">
        <w:rPr>
          <w:rStyle w:val="Emphasis"/>
        </w:rPr>
        <w:t>economy of scale</w:t>
      </w:r>
      <w:r w:rsidRPr="00661A68">
        <w:rPr>
          <w:sz w:val="16"/>
        </w:rPr>
        <w:t>—</w:t>
      </w:r>
      <w:r w:rsidRPr="00661A68">
        <w:rPr>
          <w:rStyle w:val="StyleUnderline"/>
        </w:rPr>
        <w:t>saving on costs through</w:t>
      </w:r>
      <w:r w:rsidRPr="00661A68">
        <w:rPr>
          <w:sz w:val="16"/>
        </w:rPr>
        <w:t xml:space="preserve"> the sheer </w:t>
      </w:r>
      <w:r w:rsidRPr="00661A68">
        <w:rPr>
          <w:rStyle w:val="StyleUnderline"/>
        </w:rPr>
        <w:t>size of the enrollment pool and bargaining power</w:t>
      </w:r>
      <w:r w:rsidRPr="00661A68">
        <w:rPr>
          <w:sz w:val="16"/>
        </w:rPr>
        <w:t xml:space="preserve">. Interstate </w:t>
      </w:r>
      <w:r w:rsidRPr="00661A68">
        <w:rPr>
          <w:rStyle w:val="StyleUnderline"/>
        </w:rPr>
        <w:t>compacts allow</w:t>
      </w:r>
      <w:r w:rsidRPr="00661A68">
        <w:rPr>
          <w:sz w:val="16"/>
        </w:rPr>
        <w:t xml:space="preserve"> individual </w:t>
      </w:r>
      <w:r w:rsidRPr="00661A68">
        <w:rPr>
          <w:rStyle w:val="StyleUnderline"/>
        </w:rPr>
        <w:t>states to maintain consistency in their laws by coordinating on a multistate level.</w:t>
      </w:r>
      <w:r w:rsidRPr="00661A68">
        <w:rPr>
          <w:sz w:val="16"/>
        </w:rPr>
        <w:t xml:space="preserve"> </w:t>
      </w:r>
      <w:r w:rsidRPr="00661A68">
        <w:rPr>
          <w:rStyle w:val="StyleUnderline"/>
        </w:rPr>
        <w:t xml:space="preserve">While they may not rival the power of the federal government, compacts may be a next-best option for states facing </w:t>
      </w:r>
      <w:r w:rsidRPr="00661A68">
        <w:rPr>
          <w:sz w:val="16"/>
        </w:rPr>
        <w:t xml:space="preserve">sudden </w:t>
      </w:r>
      <w:r w:rsidRPr="00661A68">
        <w:rPr>
          <w:rStyle w:val="StyleUnderline"/>
        </w:rPr>
        <w:t>cutbacks</w:t>
      </w:r>
      <w:r w:rsidRPr="00661A68">
        <w:rPr>
          <w:sz w:val="16"/>
        </w:rPr>
        <w:t xml:space="preserve"> in support </w:t>
      </w:r>
      <w:r w:rsidRPr="00661A68">
        <w:rPr>
          <w:rStyle w:val="StyleUnderline"/>
        </w:rPr>
        <w:t>from</w:t>
      </w:r>
      <w:r w:rsidRPr="00661A68">
        <w:rPr>
          <w:sz w:val="16"/>
        </w:rPr>
        <w:t xml:space="preserve"> </w:t>
      </w:r>
      <w:r w:rsidRPr="00661A68">
        <w:rPr>
          <w:rStyle w:val="StyleUnderline"/>
        </w:rPr>
        <w:t>Washington</w:t>
      </w:r>
      <w:r w:rsidRPr="00661A68">
        <w:rPr>
          <w:sz w:val="16"/>
        </w:rPr>
        <w:t xml:space="preserve">, D.C. </w:t>
      </w:r>
      <w:r w:rsidRPr="00661A68">
        <w:rPr>
          <w:rStyle w:val="StyleUnderline"/>
        </w:rPr>
        <w:t>States could use them to</w:t>
      </w:r>
      <w:r w:rsidRPr="00661A68">
        <w:rPr>
          <w:sz w:val="16"/>
        </w:rPr>
        <w:t xml:space="preserve"> preserve ACA-initiated programs, or </w:t>
      </w:r>
      <w:r w:rsidRPr="00661A68">
        <w:rPr>
          <w:rStyle w:val="Emphasis"/>
        </w:rPr>
        <w:t>create new systems from scratch.</w:t>
      </w:r>
      <w:r w:rsidRPr="00661A68">
        <w:rPr>
          <w:sz w:val="16"/>
        </w:rPr>
        <w:t xml:space="preserve"> </w:t>
      </w:r>
      <w:r w:rsidRPr="00661A68">
        <w:rPr>
          <w:rStyle w:val="StyleUnderline"/>
        </w:rPr>
        <w:t xml:space="preserve">There are currently over 200 active interstate compacts, many of which are regional. </w:t>
      </w:r>
      <w:r w:rsidRPr="00661A68">
        <w:rPr>
          <w:rStyle w:val="Emphasis"/>
        </w:rPr>
        <w:t>Twenty-two</w:t>
      </w:r>
      <w:r w:rsidRPr="00661A68">
        <w:rPr>
          <w:sz w:val="16"/>
        </w:rPr>
        <w:t xml:space="preserve"> agreements </w:t>
      </w:r>
      <w:r w:rsidRPr="00661A68">
        <w:rPr>
          <w:rStyle w:val="Emphasis"/>
        </w:rPr>
        <w:t>are national</w:t>
      </w:r>
      <w:r w:rsidRPr="00661A68">
        <w:rPr>
          <w:sz w:val="16"/>
        </w:rPr>
        <w:t xml:space="preserve"> in scope, and each one addresses a different issue facing the states. The Interstate Compact for Adult Offender Supervision, for example, oversees the transfer of parole and probation between states. And the Gulf States Marine Fisheries Commission is one of roughly two dozen water-related compacts that govern everything from fish stocks to the fair use of river basins by adjoining states. </w:t>
      </w:r>
      <w:r w:rsidRPr="00661A68">
        <w:rPr>
          <w:rStyle w:val="StyleUnderline"/>
        </w:rPr>
        <w:t>Agencies</w:t>
      </w:r>
      <w:r w:rsidRPr="00661A68">
        <w:rPr>
          <w:sz w:val="16"/>
        </w:rPr>
        <w:t xml:space="preserve"> </w:t>
      </w:r>
      <w:r w:rsidRPr="00661A68">
        <w:rPr>
          <w:rStyle w:val="StyleUnderline"/>
        </w:rPr>
        <w:t xml:space="preserve">that monitor compacts have authority, delegated from the states, to </w:t>
      </w:r>
      <w:r w:rsidRPr="00661A68">
        <w:rPr>
          <w:rStyle w:val="Emphasis"/>
        </w:rPr>
        <w:t>generate revenue and engage in rule-making</w:t>
      </w:r>
      <w:r w:rsidRPr="00661A68">
        <w:rPr>
          <w:sz w:val="16"/>
        </w:rPr>
        <w:t xml:space="preserve">—that is, they can create regulations to enforce the powers granted by a given compact. The Port Authority of New York and New Jersey, the Delaware River Port Authority, and the Washington Metro Area Transit Authority are all interstate-compact agencies that run rapid-transit systems. </w:t>
      </w:r>
      <w:r w:rsidRPr="00661A68">
        <w:rPr>
          <w:rStyle w:val="StyleUnderline"/>
        </w:rPr>
        <w:t>There are constitutional limitations</w:t>
      </w:r>
      <w:r w:rsidRPr="00661A68">
        <w:rPr>
          <w:sz w:val="16"/>
        </w:rPr>
        <w:t xml:space="preserve"> on these agreements, even though some actually predate the Constitution and were used to settle land disputes between the colonies. </w:t>
      </w:r>
      <w:r w:rsidRPr="00661A68">
        <w:rPr>
          <w:rStyle w:val="StyleUnderline"/>
        </w:rPr>
        <w:t>But states can largely work around those constraints</w:t>
      </w:r>
      <w:r w:rsidRPr="00661A68">
        <w:rPr>
          <w:sz w:val="16"/>
        </w:rPr>
        <w:t xml:space="preserve">. The Compacts Clause of the Constitution—Article I, Section 10—says, “No State shall, without the Consent of Congress … enter into any Agreement or Compact with another State.” Despite that limiting language, </w:t>
      </w:r>
      <w:r w:rsidRPr="00661A68">
        <w:rPr>
          <w:rStyle w:val="StyleUnderline"/>
        </w:rPr>
        <w:t xml:space="preserve">states have </w:t>
      </w:r>
      <w:r w:rsidRPr="00661A68">
        <w:rPr>
          <w:rStyle w:val="Emphasis"/>
        </w:rPr>
        <w:t>regularly</w:t>
      </w:r>
      <w:r w:rsidRPr="00661A68">
        <w:rPr>
          <w:rStyle w:val="StyleUnderline"/>
        </w:rPr>
        <w:t xml:space="preserve"> entered into these agreements </w:t>
      </w:r>
      <w:r w:rsidRPr="00661A68">
        <w:rPr>
          <w:rStyle w:val="Emphasis"/>
        </w:rPr>
        <w:t>without</w:t>
      </w:r>
      <w:r w:rsidRPr="00661A68">
        <w:rPr>
          <w:rStyle w:val="StyleUnderline"/>
        </w:rPr>
        <w:t xml:space="preserve"> lawmakers’ </w:t>
      </w:r>
      <w:r w:rsidRPr="00661A68">
        <w:rPr>
          <w:rStyle w:val="Emphasis"/>
        </w:rPr>
        <w:t>approval</w:t>
      </w:r>
      <w:r w:rsidRPr="00661A68">
        <w:rPr>
          <w:rStyle w:val="StyleUnderline"/>
        </w:rPr>
        <w:t xml:space="preserve"> </w:t>
      </w:r>
      <w:r w:rsidRPr="00661A68">
        <w:rPr>
          <w:sz w:val="16"/>
        </w:rPr>
        <w:t xml:space="preserve">at all, and </w:t>
      </w:r>
      <w:r w:rsidRPr="00661A68">
        <w:rPr>
          <w:rStyle w:val="Emphasis"/>
        </w:rPr>
        <w:t>the Supreme Court has supported them</w:t>
      </w:r>
      <w:r w:rsidRPr="00661A68">
        <w:rPr>
          <w:sz w:val="16"/>
        </w:rPr>
        <w:t xml:space="preserve">, </w:t>
      </w:r>
      <w:r w:rsidRPr="00661A68">
        <w:rPr>
          <w:rStyle w:val="StyleUnderline"/>
        </w:rPr>
        <w:t>curbing</w:t>
      </w:r>
      <w:r w:rsidRPr="00661A68">
        <w:rPr>
          <w:sz w:val="16"/>
        </w:rPr>
        <w:t xml:space="preserve"> the scope of </w:t>
      </w:r>
      <w:r w:rsidRPr="00661A68">
        <w:rPr>
          <w:rStyle w:val="StyleUnderline"/>
        </w:rPr>
        <w:t>federal involvement</w:t>
      </w:r>
      <w:r w:rsidRPr="00661A68">
        <w:rPr>
          <w:sz w:val="16"/>
        </w:rPr>
        <w:t xml:space="preserve"> in the process. In 1893, the Supreme Court ruled that the federal government’s authority to approve such agreements was only applicable when an agreement “may encroach upon or interfere with the just supremacy of the United States.” It was not completely clear what constraints this left on the states. Nearly a century later, the Court took up the issue again, building on their earlier ruling in U.S. Steel Corporation v. Multistate Tax Commission in 1978. The Court found that the commission’s policies, which were intended to reform state taxation of multistate businesses, could have been enacted individually by each state. As a result, the Court ruled that the Multistate Tax Compact did not require the consent of Congress. To date, the test for when states need approval remains murky, but in general, </w:t>
      </w:r>
      <w:r w:rsidRPr="00661A68">
        <w:rPr>
          <w:rStyle w:val="StyleUnderline"/>
        </w:rPr>
        <w:t xml:space="preserve">when states enact programs they each could have done on their own, congressional approval is not necessary. </w:t>
      </w:r>
      <w:r w:rsidRPr="00661A68">
        <w:rPr>
          <w:sz w:val="16"/>
        </w:rPr>
        <w:t>“</w:t>
      </w:r>
      <w:r w:rsidRPr="00661A68">
        <w:rPr>
          <w:rStyle w:val="StyleUnderline"/>
        </w:rPr>
        <w:t>Congressional consent is not</w:t>
      </w:r>
      <w:r w:rsidRPr="00661A68">
        <w:rPr>
          <w:sz w:val="16"/>
        </w:rPr>
        <w:t xml:space="preserve"> necessarily </w:t>
      </w:r>
      <w:r w:rsidRPr="00661A68">
        <w:rPr>
          <w:rStyle w:val="StyleUnderline"/>
        </w:rPr>
        <w:t>a legal judgment, it’s a political one</w:t>
      </w:r>
      <w:r w:rsidRPr="00661A68">
        <w:rPr>
          <w:sz w:val="16"/>
        </w:rPr>
        <w:t xml:space="preserve">,” said Colmon Elridge, director of the National Center for Interstate Compacts, a division of the nonpartisan Council of State Governments that provides information and assistance on how to establish and run compacts. So the standard for lawmakers deliberating whether they should approve a compact is usually, as Elridge put it, “Is this in my political best interest?” Moreover, </w:t>
      </w:r>
      <w:r w:rsidRPr="00661A68">
        <w:rPr>
          <w:rStyle w:val="StyleUnderline"/>
        </w:rPr>
        <w:t>Congress rarely says no to states that want to enter into them</w:t>
      </w:r>
      <w:r w:rsidRPr="00661A68">
        <w:rPr>
          <w:sz w:val="16"/>
        </w:rPr>
        <w:t xml:space="preserve">. “When it gets to that level,” he said, referring to agreements that are ready for congressional review, “especially in this climate, </w:t>
      </w:r>
      <w:r w:rsidRPr="00661A68">
        <w:rPr>
          <w:rStyle w:val="Emphasis"/>
        </w:rPr>
        <w:t>it’s</w:t>
      </w:r>
      <w:r w:rsidRPr="00661A68">
        <w:rPr>
          <w:sz w:val="16"/>
        </w:rPr>
        <w:t xml:space="preserve"> more </w:t>
      </w:r>
      <w:r w:rsidRPr="00661A68">
        <w:rPr>
          <w:rStyle w:val="Emphasis"/>
        </w:rPr>
        <w:t>dangerous politically to not respect the will of the states</w:t>
      </w:r>
      <w:r w:rsidRPr="00661A68">
        <w:rPr>
          <w:sz w:val="16"/>
        </w:rPr>
        <w:t xml:space="preserve">.” Congressional approval can confer advantages, too, even if it’s not necessarily required for compacts to take effect. </w:t>
      </w:r>
      <w:r w:rsidRPr="00661A68">
        <w:rPr>
          <w:rStyle w:val="StyleUnderline"/>
        </w:rPr>
        <w:t xml:space="preserve">Agreements that are backed by Congress carry the force of federal law, and once granted, Congress cannot take back its consent. </w:t>
      </w:r>
      <w:r w:rsidRPr="00661A68">
        <w:rPr>
          <w:sz w:val="16"/>
        </w:rPr>
        <w:t xml:space="preserve">But there can be drawbacks for states that decide to enter into compacts without congressional approval. </w:t>
      </w:r>
      <w:r w:rsidRPr="00661A68">
        <w:rPr>
          <w:rStyle w:val="StyleUnderline"/>
        </w:rPr>
        <w:t>The Regional Greenhouse Gas Initiative</w:t>
      </w:r>
      <w:r w:rsidRPr="00661A68">
        <w:rPr>
          <w:sz w:val="16"/>
        </w:rPr>
        <w:t xml:space="preserve">, the Northeast’s auction-based cap-and-trade program for reducing greenhouse-gas emissions, </w:t>
      </w:r>
      <w:r w:rsidRPr="00661A68">
        <w:rPr>
          <w:rStyle w:val="StyleUnderline"/>
        </w:rPr>
        <w:t>has been operating for years without congressional approval</w:t>
      </w:r>
      <w:r w:rsidRPr="00661A68">
        <w:rPr>
          <w:sz w:val="16"/>
        </w:rPr>
        <w:t xml:space="preserve">. Nine states are currently members of the compact: Connecticut, Delaware, Maine, Maryland, Massachusetts, New Hampshire, New York, Rhode Island, and Vermont. As a mandatory program, the RGGI has claimed reductions in lifetime energy bills of $4.67 billion for 4.6 million residences. However, because it lacks congressional consent, the compact does not have the force of law that prevents state governments from interfering from term to term. The program relies instead on individual states for regulation, and their general willingness to continue to participate. Any dispute between states in a congressionally approved compact is brought directly to the Supreme Court of the United States, as part of the Court’s original jurisdiction. But compacts that have not sought congressional approval have no easy mechanism to resolve disagreements. This has exposed the RGGI to the whims of changing state governments. In 2011, for example, a dissatisfied New Jersey Governor Chris Christie withdrew from the compact, claiming that “it doesn’t make any sense environmentally or economically.” Even though the state legislature voted to bring New Jersey back into the program, Christie then vetoed the bills to rejoin the agreement. The states considering compacts in recent years have been red states looking to dodge Obamacare—not blue states. While at this point only New Jersey has left—and will likely return after Christie leaves office—the ability of states to leave congressionally unapproved compacts creates vulnerabilities and makes long-term planning harder. As other states, including California, continue to build regional, and even international, climate initiatives without congressional support, New Jersey’s example casts a shadow over their efforts. Given the ACA’s origins as a state-level initiative in Massachusetts, </w:t>
      </w:r>
      <w:r w:rsidRPr="00661A68">
        <w:rPr>
          <w:rStyle w:val="StyleUnderline"/>
        </w:rPr>
        <w:t>interstate health-care exchanges could be operable without lawmakers’ consent under the Supreme Court’s holding in U.S. Steel</w:t>
      </w:r>
      <w:r w:rsidRPr="00661A68">
        <w:rPr>
          <w:sz w:val="16"/>
        </w:rPr>
        <w:t xml:space="preserve"> Corporation v. Multistate Tax Commission, though they would be exposed to the same vulnerabilities as the RGGI. But given Republican support for states’ rights, </w:t>
      </w:r>
      <w:r w:rsidRPr="00661A68">
        <w:rPr>
          <w:rStyle w:val="Emphasis"/>
        </w:rPr>
        <w:t>they might even get congressional approval</w:t>
      </w:r>
      <w:r w:rsidRPr="00661A68">
        <w:rPr>
          <w:sz w:val="16"/>
        </w:rPr>
        <w:t xml:space="preserve">. A recent Republican plan to replace Obamacare would permit states to “keep the Affordable Care Act if it is working for their residents,” as Senator Susan Collins described. While its future is unclear, the plan is a sign that </w:t>
      </w:r>
      <w:r w:rsidRPr="00661A68">
        <w:rPr>
          <w:rStyle w:val="StyleUnderline"/>
        </w:rPr>
        <w:t xml:space="preserve">there’s appetite for honoring states’ health-care decisions, which could include interstate agreements. </w:t>
      </w:r>
      <w:r w:rsidRPr="00661A68">
        <w:rPr>
          <w:sz w:val="16"/>
        </w:rPr>
        <w:t xml:space="preserve">Elridge is not even certain that multistate exchanges would be seen as controversial as interstate compacts go, despite the charged political climate. “If Kentucky and Tennessee, North Carolina, South Carolina, and West Virginia said, ‘We understand the health challenges in these states, we’re going to develop some kind of interstate compact that works in terms of expanding access to care, making it quality, and making it affordable,’ they can absolutely do that,’” he said. Phil Scott, the new Republican </w:t>
      </w:r>
      <w:r w:rsidRPr="00661A68">
        <w:rPr>
          <w:rStyle w:val="StyleUnderline"/>
        </w:rPr>
        <w:t>governor of Vermont</w:t>
      </w:r>
      <w:r w:rsidRPr="00661A68">
        <w:rPr>
          <w:sz w:val="16"/>
        </w:rPr>
        <w:t xml:space="preserve">, has already suggested as much. Scott </w:t>
      </w:r>
      <w:r w:rsidRPr="00661A68">
        <w:rPr>
          <w:rStyle w:val="StyleUnderline"/>
        </w:rPr>
        <w:t>ran on a platform promising to merge Vermont’s exchange with that of another state</w:t>
      </w:r>
      <w:r w:rsidRPr="00661A68">
        <w:rPr>
          <w:sz w:val="16"/>
        </w:rPr>
        <w:t xml:space="preserve">, possibly New Hampshire, to save money on maintenance and operating costs. This could be the first step toward creating regional health-care exchanges that build on the ACA. Even with congressional approval, there could still be some limitations on multistate exchanges. The Constitution puts limits on the ability of individual states to hamper interstate commerce or discriminate against out-of-state economic interests. For instance, a climate compact that bans the importation of electricity from a state outside the compact could violate the Constitution. State legislatures may also be wary of approving expenditures that are tied to the actions of other states, even if they isolate their own revenue, as is done with RGGI. Administrative agencies that oversee enforcement of the compacts may also fall prey to political meddling and corruption, because appointees who run them are often friends of elected officials and there can be lax oversight of their activities. Governor Christie’s own woes involving the New York-New Jersey Port Authority’s links to the Bridgegate scandal point to such a reality. Like all legislation, compacts appear likely to succeed where participants are eager to join. On health care, the first states to consider them in recent years have been red states looking to dodge Obamacare—not blue states. In 2014, </w:t>
      </w:r>
      <w:r w:rsidRPr="00661A68">
        <w:rPr>
          <w:rStyle w:val="StyleUnderline"/>
        </w:rPr>
        <w:t>nine</w:t>
      </w:r>
      <w:r w:rsidRPr="00661A68">
        <w:rPr>
          <w:sz w:val="16"/>
        </w:rPr>
        <w:t xml:space="preserve"> largely conservative </w:t>
      </w:r>
      <w:r w:rsidRPr="00661A68">
        <w:rPr>
          <w:rStyle w:val="StyleUnderline"/>
        </w:rPr>
        <w:t>states put forward their own Health Care Compact to get around</w:t>
      </w:r>
      <w:r w:rsidRPr="00661A68">
        <w:rPr>
          <w:sz w:val="16"/>
        </w:rPr>
        <w:t xml:space="preserve"> the </w:t>
      </w:r>
      <w:r w:rsidRPr="00661A68">
        <w:rPr>
          <w:rStyle w:val="StyleUnderline"/>
        </w:rPr>
        <w:t>health-care law. The proposal promised to let the participating states use federal funds to run health-care programs, while allowing each member state to define priorities and administer programs at the state level</w:t>
      </w:r>
      <w:r w:rsidRPr="00661A68">
        <w:rPr>
          <w:sz w:val="16"/>
        </w:rPr>
        <w:t xml:space="preserve">. It stalled because of the unclear language of the legislation and the wariness of governors to give up states’ rights. Elridge sees new state leaders taking up health-care compacts again, but not before they know more about what a Trump administration plans to do. For now, he said, they seem to be “taking a wait-and-see approach.” </w:t>
      </w:r>
      <w:r w:rsidRPr="00661A68">
        <w:rPr>
          <w:rStyle w:val="StyleUnderline"/>
        </w:rPr>
        <w:t xml:space="preserve">When they choose to act, they may see fit to take matters into their own hands, but </w:t>
      </w:r>
      <w:r w:rsidRPr="00661A68">
        <w:rPr>
          <w:rStyle w:val="Emphasis"/>
        </w:rPr>
        <w:t>do so together</w:t>
      </w:r>
      <w:r w:rsidRPr="00661A68">
        <w:rPr>
          <w:rStyle w:val="StyleUnderline"/>
        </w:rPr>
        <w:t>.</w:t>
      </w:r>
    </w:p>
    <w:p w14:paraId="2C303198" w14:textId="4ED873D0" w:rsidR="00F33F21" w:rsidRPr="00661A68" w:rsidRDefault="00F33F21" w:rsidP="00305A32">
      <w:pPr>
        <w:pStyle w:val="Heading3"/>
      </w:pPr>
      <w:r w:rsidRPr="00661A68">
        <w:t>2NC—Marijuana</w:t>
      </w:r>
      <w:r w:rsidR="00EB0B99" w:rsidRPr="00661A68">
        <w:t>—Popularity</w:t>
      </w:r>
    </w:p>
    <w:p w14:paraId="617B70AA" w14:textId="4398ACC7" w:rsidR="00EB0B99" w:rsidRPr="00661A68" w:rsidRDefault="00EB0B99" w:rsidP="00EB0B99">
      <w:pPr>
        <w:pStyle w:val="Heading4"/>
      </w:pPr>
      <w:r w:rsidRPr="00661A68">
        <w:t xml:space="preserve">The majority of Americans </w:t>
      </w:r>
      <w:r w:rsidRPr="00661A68">
        <w:rPr>
          <w:u w:val="single"/>
        </w:rPr>
        <w:t>prefer</w:t>
      </w:r>
      <w:r w:rsidRPr="00661A68">
        <w:t xml:space="preserve"> the states to the feds</w:t>
      </w:r>
      <w:r w:rsidR="009D467C" w:rsidRPr="00661A68">
        <w:t xml:space="preserve"> </w:t>
      </w:r>
      <w:r w:rsidR="009D467C" w:rsidRPr="00661A68">
        <w:rPr>
          <w:u w:val="single"/>
        </w:rPr>
        <w:t>and</w:t>
      </w:r>
      <w:r w:rsidR="009D467C" w:rsidRPr="00661A68">
        <w:t xml:space="preserve"> state regulations are inevitable</w:t>
      </w:r>
    </w:p>
    <w:p w14:paraId="33B96772" w14:textId="1EE6EC0D" w:rsidR="009D467C" w:rsidRPr="00661A68" w:rsidRDefault="009D467C" w:rsidP="009D467C">
      <w:r w:rsidRPr="00661A68">
        <w:t>Piacenza</w:t>
      </w:r>
      <w:r w:rsidR="003A0548" w:rsidRPr="00661A68">
        <w:t xml:space="preserve"> 18 [Joanna, senior editor at Morning Consult, leading coverage of brands, entertainment and sports, “</w:t>
      </w:r>
      <w:r w:rsidRPr="00661A68">
        <w:t>Who Should Regulate Marijuana? Most Say States Over the Federal Government</w:t>
      </w:r>
      <w:r w:rsidR="003A0548" w:rsidRPr="00661A68">
        <w:t xml:space="preserve">”; published 7/20/18, accessed 6/2/20; </w:t>
      </w:r>
      <w:r w:rsidR="00842BC5" w:rsidRPr="00661A68">
        <w:t>https://morningconsult.com/2018/07/20/who-should-regulate-marijuana-most-say-states-over-federal-government/]</w:t>
      </w:r>
    </w:p>
    <w:p w14:paraId="3986A9E5" w14:textId="77777777" w:rsidR="009D467C" w:rsidRPr="00661A68" w:rsidRDefault="009D467C" w:rsidP="009D467C">
      <w:r w:rsidRPr="00661A68">
        <w:t>Experts say every state will have legal or recreational marijuana rules on the books in next five years</w:t>
      </w:r>
    </w:p>
    <w:p w14:paraId="26746734" w14:textId="77777777" w:rsidR="009D467C" w:rsidRPr="00661A68" w:rsidRDefault="009D467C" w:rsidP="009D467C"/>
    <w:p w14:paraId="1700CBE1" w14:textId="77777777" w:rsidR="009D467C" w:rsidRPr="00661A68" w:rsidRDefault="009D467C" w:rsidP="009D467C">
      <w:r w:rsidRPr="00661A68">
        <w:t>A marijuana user wears a marijuana themed outfit during a 420 Day celebration on 'Hippie Hill' in Golden Gate Park on April 20, 2018, in San Francisco, California. (Photo by Justin Sullivan/Getty Images)</w:t>
      </w:r>
    </w:p>
    <w:p w14:paraId="79581164" w14:textId="77777777" w:rsidR="009D467C" w:rsidRPr="00661A68" w:rsidRDefault="009D467C" w:rsidP="009D467C">
      <w:r w:rsidRPr="00661A68">
        <w:t>Share on LinkedIn</w:t>
      </w:r>
    </w:p>
    <w:p w14:paraId="1418A728" w14:textId="77777777" w:rsidR="009D467C" w:rsidRPr="00661A68" w:rsidRDefault="009D467C" w:rsidP="009D467C">
      <w:r w:rsidRPr="00661A68">
        <w:t>Share on Facebook</w:t>
      </w:r>
    </w:p>
    <w:p w14:paraId="4E8A5DA0" w14:textId="77777777" w:rsidR="009D467C" w:rsidRPr="00661A68" w:rsidRDefault="009D467C" w:rsidP="009D467C">
      <w:r w:rsidRPr="00661A68">
        <w:t>Share on Twitter</w:t>
      </w:r>
    </w:p>
    <w:p w14:paraId="24DCCE22" w14:textId="77777777" w:rsidR="009D467C" w:rsidRPr="00661A68" w:rsidRDefault="009D467C" w:rsidP="009D467C">
      <w:r w:rsidRPr="00661A68">
        <w:t>E-mail to a friend</w:t>
      </w:r>
    </w:p>
    <w:p w14:paraId="41DEF2A3" w14:textId="77777777" w:rsidR="009D467C" w:rsidRPr="00661A68" w:rsidRDefault="009D467C" w:rsidP="009D467C">
      <w:r w:rsidRPr="00661A68">
        <w:t>BY JOANNA PIACENZA</w:t>
      </w:r>
    </w:p>
    <w:p w14:paraId="5E979ABB" w14:textId="77777777" w:rsidR="009D467C" w:rsidRPr="00661A68" w:rsidRDefault="009D467C" w:rsidP="009D467C">
      <w:r w:rsidRPr="00661A68">
        <w:t>July 20, 2018 at 11:32 am ET</w:t>
      </w:r>
    </w:p>
    <w:p w14:paraId="1AC4A3B8" w14:textId="77777777" w:rsidR="009D467C" w:rsidRPr="00661A68" w:rsidRDefault="009D467C" w:rsidP="009D467C">
      <w:r w:rsidRPr="00661A68">
        <w:t>56% of U.S. adults say states should be in charge of regulating marijuana, while 26% say the federal government should be responsible.</w:t>
      </w:r>
    </w:p>
    <w:p w14:paraId="41D958F3" w14:textId="77777777" w:rsidR="009D467C" w:rsidRPr="00661A68" w:rsidRDefault="009D467C" w:rsidP="009D467C"/>
    <w:p w14:paraId="2022A040" w14:textId="77777777" w:rsidR="009D467C" w:rsidRPr="00661A68" w:rsidRDefault="009D467C" w:rsidP="009D467C">
      <w:r w:rsidRPr="00661A68">
        <w:t>67% now support decriminalizing marijuana, up from 59% in 2016.</w:t>
      </w:r>
    </w:p>
    <w:p w14:paraId="6F367497" w14:textId="77777777" w:rsidR="009D467C" w:rsidRPr="00661A68" w:rsidRDefault="009D467C" w:rsidP="009D467C"/>
    <w:p w14:paraId="5896F2C3" w14:textId="77777777" w:rsidR="009D467C" w:rsidRPr="00661A68" w:rsidRDefault="009D467C" w:rsidP="009D467C">
      <w:r w:rsidRPr="00661A68">
        <w:t>More of the public is getting behind the idea of decriminalizing marijuana, according to new polling. Yet the legalization of cannabis is a patchwork quilt of local legislation that greenlights the drug for medical use in some states and provides full legal protection for recreational use in others.</w:t>
      </w:r>
    </w:p>
    <w:p w14:paraId="46B3A096" w14:textId="77777777" w:rsidR="009D467C" w:rsidRPr="00661A68" w:rsidRDefault="009D467C" w:rsidP="009D467C"/>
    <w:p w14:paraId="54919B65" w14:textId="77777777" w:rsidR="009D467C" w:rsidRPr="00661A68" w:rsidRDefault="009D467C" w:rsidP="009D467C">
      <w:r w:rsidRPr="00661A68">
        <w:t>A new national survey shows a majority believe individual states, as opposed to the federal government, should be regulating marijuana.</w:t>
      </w:r>
    </w:p>
    <w:p w14:paraId="28557C7C" w14:textId="77777777" w:rsidR="009D467C" w:rsidRPr="00661A68" w:rsidRDefault="009D467C" w:rsidP="009D467C"/>
    <w:p w14:paraId="662326FD" w14:textId="77777777" w:rsidR="009D467C" w:rsidRPr="00661A68" w:rsidRDefault="009D467C" w:rsidP="009D467C"/>
    <w:p w14:paraId="515619D7" w14:textId="77777777" w:rsidR="009D467C" w:rsidRPr="00661A68" w:rsidRDefault="009D467C" w:rsidP="009D467C">
      <w:r w:rsidRPr="00661A68">
        <w:t>Fifty-six percent of adults say states should be the ones overseeing marijuana within their borders, while 26 percent say the responsibility of regulation should go to the federal government, according to the poll of 2,200 Americans conducted July 13-14.</w:t>
      </w:r>
    </w:p>
    <w:p w14:paraId="3F5B8121" w14:textId="77777777" w:rsidR="009D467C" w:rsidRPr="00661A68" w:rsidRDefault="009D467C" w:rsidP="009D467C"/>
    <w:p w14:paraId="208FE20D" w14:textId="77777777" w:rsidR="009D467C" w:rsidRPr="00661A68" w:rsidRDefault="009D467C" w:rsidP="009D467C">
      <w:r w:rsidRPr="00661A68">
        <w:t>Experts say states will continue to take up regulation on their own, in an accelerated fashion.</w:t>
      </w:r>
    </w:p>
    <w:p w14:paraId="095B0279" w14:textId="77777777" w:rsidR="009D467C" w:rsidRPr="00661A68" w:rsidRDefault="009D467C" w:rsidP="009D467C"/>
    <w:p w14:paraId="3518E2CC" w14:textId="77777777" w:rsidR="009D467C" w:rsidRPr="00661A68" w:rsidRDefault="009D467C" w:rsidP="009D467C">
      <w:r w:rsidRPr="00661A68">
        <w:t>“By 2022, we expect every state to be medical-only or fully legal” via this approach, said Matthew Karnes, founder of the financial research and analysis group GreenWave Advisors LLC, which specializes in the cannabis industry. Other experts also echoed Karnes’ assessment of the legalization timespan.</w:t>
      </w:r>
    </w:p>
    <w:p w14:paraId="1798DFD5" w14:textId="77777777" w:rsidR="009D467C" w:rsidRPr="00661A68" w:rsidRDefault="009D467C" w:rsidP="009D467C"/>
    <w:p w14:paraId="495C9B36" w14:textId="77777777" w:rsidR="009D467C" w:rsidRPr="00661A68" w:rsidRDefault="009D467C" w:rsidP="009D467C">
      <w:r w:rsidRPr="00661A68">
        <w:t>Nine states and the District of Columbia allow the recreational use of marijuana, while 21 additional states permit its medicinal use, according to the National Conference of State Legislatures. The New York Department of Health this month released a report saying it supports legalizing marijuana for recreational use in the state.</w:t>
      </w:r>
    </w:p>
    <w:p w14:paraId="2AF7F66D" w14:textId="77777777" w:rsidR="009D467C" w:rsidRPr="00661A68" w:rsidRDefault="009D467C" w:rsidP="009D467C"/>
    <w:p w14:paraId="1334A312" w14:textId="77777777" w:rsidR="009D467C" w:rsidRPr="00661A68" w:rsidRDefault="009D467C" w:rsidP="009D467C">
      <w:r w:rsidRPr="00661A68">
        <w:t>“By the time federal legalization happens, most states will have it anyway,” Karnes said in an interview this week, though experts are largely unsure of when that federal legalization will happen.</w:t>
      </w:r>
    </w:p>
    <w:p w14:paraId="46E03F46" w14:textId="77777777" w:rsidR="009D467C" w:rsidRPr="00661A68" w:rsidRDefault="009D467C" w:rsidP="009D467C"/>
    <w:p w14:paraId="21B3BC59" w14:textId="77777777" w:rsidR="009D467C" w:rsidRPr="00661A68" w:rsidRDefault="009D467C" w:rsidP="009D467C">
      <w:r w:rsidRPr="00661A68">
        <w:t>Political leaders have submitted bills that attempt to hash out the issue from both a state and federal level.</w:t>
      </w:r>
    </w:p>
    <w:p w14:paraId="4128E699" w14:textId="77777777" w:rsidR="009D467C" w:rsidRPr="00661A68" w:rsidRDefault="009D467C" w:rsidP="009D467C"/>
    <w:p w14:paraId="3BE9FDE6" w14:textId="77777777" w:rsidR="009D467C" w:rsidRPr="00661A68" w:rsidRDefault="009D467C" w:rsidP="009D467C">
      <w:r w:rsidRPr="00661A68">
        <w:t>MC/BRANDS: SUBSCRIBE</w:t>
      </w:r>
    </w:p>
    <w:p w14:paraId="6E85944E" w14:textId="77777777" w:rsidR="009D467C" w:rsidRPr="00661A68" w:rsidRDefault="009D467C" w:rsidP="009D467C">
      <w:r w:rsidRPr="00661A68">
        <w:t>Get the latest global brand, media and marketing news and analysis delivered to your inbox every morning.</w:t>
      </w:r>
    </w:p>
    <w:p w14:paraId="6E4D64A7" w14:textId="77777777" w:rsidR="009D467C" w:rsidRPr="00661A68" w:rsidRDefault="009D467C" w:rsidP="009D467C"/>
    <w:p w14:paraId="7568DAF7" w14:textId="77777777" w:rsidR="009D467C" w:rsidRPr="00661A68" w:rsidRDefault="009D467C" w:rsidP="009D467C">
      <w:r w:rsidRPr="00661A68">
        <w:t>SIGN UP</w:t>
      </w:r>
    </w:p>
    <w:p w14:paraId="3FEF0B72" w14:textId="77777777" w:rsidR="009D467C" w:rsidRPr="00661A68" w:rsidRDefault="009D467C" w:rsidP="009D467C">
      <w:r w:rsidRPr="00661A68">
        <w:t>Sen. Elizabeth Warren (D-Mass.) introduced a bipartisan bill (S. 3032) in June that would give states the right to determine how to handle marijuana within state lines. President Donald Trump told reporters at the White House last month that he would “probably” support the legislation, according to pool reports.</w:t>
      </w:r>
    </w:p>
    <w:p w14:paraId="461469C1" w14:textId="77777777" w:rsidR="009D467C" w:rsidRPr="00661A68" w:rsidRDefault="009D467C" w:rsidP="009D467C"/>
    <w:p w14:paraId="1CC551B1" w14:textId="77777777" w:rsidR="009D467C" w:rsidRPr="00661A68" w:rsidRDefault="009D467C" w:rsidP="009D467C">
      <w:r w:rsidRPr="00661A68">
        <w:t>Later that month, Senate Minority Leader Chuck Schumer (D-N.Y.) introduced another bill (S. 3174) that would decriminalize marijuana on the federal level.</w:t>
      </w:r>
    </w:p>
    <w:p w14:paraId="00968F91" w14:textId="77777777" w:rsidR="009D467C" w:rsidRPr="00661A68" w:rsidRDefault="009D467C" w:rsidP="009D467C"/>
    <w:p w14:paraId="53415BD1" w14:textId="77777777" w:rsidR="009D467C" w:rsidRPr="00661A68" w:rsidRDefault="009D467C" w:rsidP="009D467C">
      <w:r w:rsidRPr="00661A68">
        <w:t>There are dozens of other marijuana-themed bills in Congress, but most of them likely won’t see any movement.</w:t>
      </w:r>
    </w:p>
    <w:p w14:paraId="0CF498EC" w14:textId="77777777" w:rsidR="009D467C" w:rsidRPr="00661A68" w:rsidRDefault="009D467C" w:rsidP="009D467C"/>
    <w:p w14:paraId="3A35EC20" w14:textId="77777777" w:rsidR="009D467C" w:rsidRPr="00661A68" w:rsidRDefault="009D467C" w:rsidP="009D467C">
      <w:r w:rsidRPr="00661A68">
        <w:t>“They have zero traction and almost no chance of passing,” said Emily Burns, founder of Legally Burns LLC, which provides legal services and consulting for the marijuana industry.</w:t>
      </w:r>
    </w:p>
    <w:p w14:paraId="2835D148" w14:textId="77777777" w:rsidR="009D467C" w:rsidRPr="00661A68" w:rsidRDefault="009D467C" w:rsidP="009D467C"/>
    <w:p w14:paraId="0563E6FD" w14:textId="77777777" w:rsidR="009D467C" w:rsidRPr="00661A68" w:rsidRDefault="009D467C" w:rsidP="009D467C">
      <w:r w:rsidRPr="00661A68">
        <w:t>This will be the case as long as Republicans have control of the committees that decide whether these bills get any floor time or hearings, Burns said in an interview this week, but things will likely shift if Democrats take control of Congress this fall or in 2020.</w:t>
      </w:r>
    </w:p>
    <w:p w14:paraId="17BC531C" w14:textId="77777777" w:rsidR="009D467C" w:rsidRPr="00661A68" w:rsidRDefault="009D467C" w:rsidP="009D467C"/>
    <w:p w14:paraId="6F1C983D" w14:textId="77777777" w:rsidR="009D467C" w:rsidRPr="00661A68" w:rsidRDefault="009D467C" w:rsidP="009D467C">
      <w:r w:rsidRPr="00661A68">
        <w:t>Despite Trump’s comments, Attorney General Jeff Sessions signaled in January that the federal government is likely to more forcefully prosecute federal anti-marijuana laws, when he ordered the annulment of Obama-era policies that largely protected the substance from federal prosecution.</w:t>
      </w:r>
    </w:p>
    <w:p w14:paraId="7A7D0C4F" w14:textId="77777777" w:rsidR="009D467C" w:rsidRPr="00661A68" w:rsidRDefault="009D467C" w:rsidP="009D467C"/>
    <w:p w14:paraId="137F8B0D" w14:textId="77777777" w:rsidR="009D467C" w:rsidRPr="00661A68" w:rsidRDefault="009D467C" w:rsidP="009D467C">
      <w:r w:rsidRPr="00661A68">
        <w:t>RELATED: Is Vaping Reducing Smoking? It’s Hazy.</w:t>
      </w:r>
    </w:p>
    <w:p w14:paraId="4C9F66BD" w14:textId="77777777" w:rsidR="009D467C" w:rsidRPr="00661A68" w:rsidRDefault="009D467C" w:rsidP="009D467C">
      <w:r w:rsidRPr="00661A68">
        <w:t>Senate Majority Leader Mitch McConnell (R-Ky.) also said in May that he has no plans to support marijuana’s legalization.</w:t>
      </w:r>
    </w:p>
    <w:p w14:paraId="0737707F" w14:textId="77777777" w:rsidR="009D467C" w:rsidRPr="00661A68" w:rsidRDefault="009D467C" w:rsidP="009D467C"/>
    <w:p w14:paraId="567D8112" w14:textId="77777777" w:rsidR="009D467C" w:rsidRPr="00661A68" w:rsidRDefault="009D467C" w:rsidP="009D467C">
      <w:r w:rsidRPr="00661A68">
        <w:t>The nation will likely see a piecemeal, state-by-state approach to the legalization of marijuana moving forward, Burns and others said.</w:t>
      </w:r>
    </w:p>
    <w:p w14:paraId="0D61EAA6" w14:textId="77777777" w:rsidR="009D467C" w:rsidRPr="00661A68" w:rsidRDefault="009D467C" w:rsidP="009D467C"/>
    <w:p w14:paraId="12E78A44" w14:textId="77777777" w:rsidR="009D467C" w:rsidRPr="00661A68" w:rsidRDefault="009D467C" w:rsidP="009D467C">
      <w:r w:rsidRPr="00661A68">
        <w:t>Tom Angell, publisher of the cannabis outlet Marijuana Moment, praised the approach of different states trying different models to regulate the marijuana industry.</w:t>
      </w:r>
    </w:p>
    <w:p w14:paraId="19E681FC" w14:textId="77777777" w:rsidR="009D467C" w:rsidRPr="00661A68" w:rsidRDefault="009D467C" w:rsidP="009D467C"/>
    <w:p w14:paraId="3EA6A06F" w14:textId="77777777" w:rsidR="009D467C" w:rsidRPr="00661A68" w:rsidRDefault="009D467C" w:rsidP="009D467C">
      <w:r w:rsidRPr="00661A68">
        <w:t>“So it gives everyone an opportunity to see what works best and what should be adopted in other places,” he said.</w:t>
      </w:r>
    </w:p>
    <w:p w14:paraId="6B60FAB4" w14:textId="77777777" w:rsidR="009D467C" w:rsidRPr="00661A68" w:rsidRDefault="009D467C" w:rsidP="009D467C"/>
    <w:p w14:paraId="217D1D74" w14:textId="77777777" w:rsidR="009D467C" w:rsidRPr="00661A68" w:rsidRDefault="009D467C" w:rsidP="009D467C">
      <w:r w:rsidRPr="00661A68">
        <w:t>Majorities of nearly every subgroup polled favored state control except for African-Americans, although they were more likely to support local control (45 percent) over federal control (29 percent).</w:t>
      </w:r>
    </w:p>
    <w:p w14:paraId="391CC1D6" w14:textId="77777777" w:rsidR="009D467C" w:rsidRPr="00661A68" w:rsidRDefault="009D467C" w:rsidP="009D467C"/>
    <w:p w14:paraId="382499C2" w14:textId="77777777" w:rsidR="009D467C" w:rsidRPr="00661A68" w:rsidRDefault="009D467C" w:rsidP="009D467C">
      <w:r w:rsidRPr="00661A68">
        <w:t>People might prefer state oversight because it might make them feel as though they will have more control over local enforcement, Angell said.</w:t>
      </w:r>
    </w:p>
    <w:p w14:paraId="6F3E5DF0" w14:textId="77777777" w:rsidR="009D467C" w:rsidRPr="00661A68" w:rsidRDefault="009D467C" w:rsidP="009D467C"/>
    <w:p w14:paraId="02C5B565" w14:textId="77777777" w:rsidR="009D467C" w:rsidRPr="00661A68" w:rsidRDefault="009D467C" w:rsidP="009D467C"/>
    <w:p w14:paraId="28AC435F" w14:textId="77777777" w:rsidR="009D467C" w:rsidRPr="00661A68" w:rsidRDefault="009D467C" w:rsidP="009D467C">
      <w:r w:rsidRPr="00661A68">
        <w:t>Experts say U.S. political leaders may also take their cue from their northern neighbor, after Prime Minister Justin Trudeau announced in June that marijuana will be legal come October.</w:t>
      </w:r>
    </w:p>
    <w:p w14:paraId="10942266" w14:textId="77777777" w:rsidR="009D467C" w:rsidRPr="00661A68" w:rsidRDefault="009D467C" w:rsidP="009D467C"/>
    <w:p w14:paraId="475460F2" w14:textId="77777777" w:rsidR="009D467C" w:rsidRPr="00661A68" w:rsidRDefault="009D467C" w:rsidP="009D467C">
      <w:r w:rsidRPr="00661A68">
        <w:t>That’s something Americans would like to see happen, according to additional new polling.</w:t>
      </w:r>
    </w:p>
    <w:p w14:paraId="31E1CD20" w14:textId="77777777" w:rsidR="009D467C" w:rsidRPr="00661A68" w:rsidRDefault="009D467C" w:rsidP="009D467C"/>
    <w:p w14:paraId="41D9E72F" w14:textId="77777777" w:rsidR="009D467C" w:rsidRPr="00661A68" w:rsidRDefault="009D467C" w:rsidP="009D467C">
      <w:r w:rsidRPr="00661A68">
        <w:t>More than two-thirds (67 percent) of registered voters and majorities of every subgroup support decriminalizing marijuana, or eliminating the arrest, prison time and criminal record for the first-time possession of pot for personal use, according to the June 28-July 3 survey.</w:t>
      </w:r>
    </w:p>
    <w:p w14:paraId="51A3D886" w14:textId="77777777" w:rsidR="009D467C" w:rsidRPr="00661A68" w:rsidRDefault="009D467C" w:rsidP="009D467C"/>
    <w:p w14:paraId="2B78B09F" w14:textId="77777777" w:rsidR="009D467C" w:rsidRPr="00661A68" w:rsidRDefault="009D467C" w:rsidP="009D467C">
      <w:r w:rsidRPr="00661A68">
        <w:t>That’s up from 59 percent in 2016. During the intervening two years, 14 states have legalized the medical use of marijuana (Arkansas, Florida, North Dakota, Ohio, Oklahoma, Pennsylvania and West Virginia), decriminalized it (Illinois and New Hampshire) or legalized it for recreational use (California, Maine, Massachusetts, Nevada and Vermont).</w:t>
      </w:r>
    </w:p>
    <w:p w14:paraId="71B4F2B2" w14:textId="77777777" w:rsidR="009D467C" w:rsidRPr="00661A68" w:rsidRDefault="009D467C" w:rsidP="009D467C"/>
    <w:p w14:paraId="4214F737" w14:textId="77777777" w:rsidR="009D467C" w:rsidRPr="00661A68" w:rsidRDefault="009D467C" w:rsidP="009D467C">
      <w:r w:rsidRPr="00661A68">
        <w:t>Support for legalizing marijuana, a polling question with slightly different wording and connotation, has roughly doubled in the past 15 years, according to Gallup data.</w:t>
      </w:r>
    </w:p>
    <w:p w14:paraId="3AA8C199" w14:textId="77777777" w:rsidR="009D467C" w:rsidRPr="00661A68" w:rsidRDefault="009D467C" w:rsidP="009D467C"/>
    <w:p w14:paraId="691BE67E" w14:textId="77777777" w:rsidR="009D467C" w:rsidRPr="00661A68" w:rsidRDefault="009D467C" w:rsidP="009D467C">
      <w:r w:rsidRPr="00661A68">
        <w:t>“This issue is now at the forefront of mainstream American politics,” Angell said.</w:t>
      </w:r>
    </w:p>
    <w:p w14:paraId="7317AB71" w14:textId="0B706072" w:rsidR="00DD4BE0" w:rsidRPr="00661A68" w:rsidRDefault="00DD4BE0" w:rsidP="00305A32">
      <w:pPr>
        <w:pStyle w:val="Heading3"/>
      </w:pPr>
      <w:r w:rsidRPr="00661A68">
        <w:t xml:space="preserve">2NC—Marijuana—Solves </w:t>
      </w:r>
      <w:r w:rsidR="00AC1709" w:rsidRPr="00661A68">
        <w:t>Econ</w:t>
      </w:r>
    </w:p>
    <w:p w14:paraId="739AFB30" w14:textId="77777777" w:rsidR="00AC1709" w:rsidRPr="00661A68" w:rsidRDefault="00AC1709" w:rsidP="00AC1709">
      <w:pPr>
        <w:pStyle w:val="Heading4"/>
      </w:pPr>
      <w:r w:rsidRPr="00661A68">
        <w:t xml:space="preserve">Gets </w:t>
      </w:r>
      <w:r w:rsidRPr="00661A68">
        <w:rPr>
          <w:u w:val="single"/>
        </w:rPr>
        <w:t>billions</w:t>
      </w:r>
      <w:r w:rsidRPr="00661A68">
        <w:t xml:space="preserve">. </w:t>
      </w:r>
    </w:p>
    <w:p w14:paraId="1BA3442B" w14:textId="77777777" w:rsidR="00AC1709" w:rsidRPr="00661A68" w:rsidRDefault="00AC1709" w:rsidP="00AC1709">
      <w:r w:rsidRPr="00661A68">
        <w:rPr>
          <w:rStyle w:val="Style13ptBold"/>
        </w:rPr>
        <w:t>Ekins and Henchman 16</w:t>
      </w:r>
      <w:r w:rsidRPr="00661A68">
        <w:t xml:space="preserve"> (W. Gavin Ekins is a research economist at the Tax Foundation. He holds a Ph.D. in economics from George Mason University, Joe Henchman is Executive Vice President at the Tax Foundation, where he analyzes state tax trends, constitutional issues, and tax law developments, “Marijuana Legalization and Taxes: Federal Revenue Impact,” Tax Foundation, May 12, 2016, </w:t>
      </w:r>
      <w:hyperlink r:id="rId22" w:history="1">
        <w:r w:rsidRPr="00661A68">
          <w:rPr>
            <w:rStyle w:val="Hyperlink"/>
          </w:rPr>
          <w:t>https://taxfoundation.org/marijuana-tax-legalization-federal-revenue/</w:t>
        </w:r>
      </w:hyperlink>
      <w:r w:rsidRPr="00661A68">
        <w:t xml:space="preserve">, Accessed 9/5/2017, Kent Denver-jKIM) </w:t>
      </w:r>
    </w:p>
    <w:p w14:paraId="2EF9C83C" w14:textId="7B2593AB" w:rsidR="00AC1709" w:rsidRPr="00661A68" w:rsidRDefault="00AC1709" w:rsidP="00AC1709">
      <w:pPr>
        <w:rPr>
          <w:rStyle w:val="StyleUnderline"/>
        </w:rPr>
      </w:pPr>
      <w:r w:rsidRPr="00661A68">
        <w:rPr>
          <w:sz w:val="16"/>
        </w:rPr>
        <w:t xml:space="preserve">Revenue Impact of State Legal Marijuana Enactments to Date </w:t>
      </w:r>
      <w:r w:rsidRPr="00661A68">
        <w:rPr>
          <w:rStyle w:val="StyleUnderline"/>
        </w:rPr>
        <w:t>Four states and the District of Columbia have legalized the sale of retail marijuana by popular vote</w:t>
      </w:r>
      <w:r w:rsidRPr="00661A68">
        <w:rPr>
          <w:sz w:val="16"/>
        </w:rPr>
        <w:t xml:space="preserve">, with an additional 25 states permitting medical marijuana or decriminalizing marijuana possession. [1] </w:t>
      </w:r>
      <w:r w:rsidRPr="00661A68">
        <w:rPr>
          <w:rStyle w:val="StyleUnderline"/>
        </w:rPr>
        <w:t>Beginning in 2011, polls consistently show</w:t>
      </w:r>
      <w:r w:rsidRPr="00661A68">
        <w:rPr>
          <w:sz w:val="16"/>
        </w:rPr>
        <w:t xml:space="preserve"> a majority of Americans supportive of legalizing marijuana, [2] and </w:t>
      </w:r>
      <w:r w:rsidRPr="00661A68">
        <w:rPr>
          <w:rStyle w:val="StyleUnderline"/>
        </w:rPr>
        <w:t xml:space="preserve">a number of states are likely to consider legalization ballot initiatives or legislative measures in the next few years. In those states that have fully legalized marijuana, revenue collections have </w:t>
      </w:r>
      <w:r w:rsidRPr="00661A68">
        <w:rPr>
          <w:rStyle w:val="Emphasis"/>
        </w:rPr>
        <w:t>exceeded initial estimates</w:t>
      </w:r>
      <w:r w:rsidRPr="00661A68">
        <w:rPr>
          <w:rStyle w:val="StyleUnderline"/>
        </w:rPr>
        <w:t>.</w:t>
      </w:r>
      <w:r w:rsidRPr="00661A68">
        <w:rPr>
          <w:sz w:val="16"/>
        </w:rPr>
        <w:t xml:space="preserve"> </w:t>
      </w:r>
      <w:r w:rsidRPr="00661A68">
        <w:rPr>
          <w:rStyle w:val="StyleUnderline"/>
        </w:rPr>
        <w:t>Colorado anticipated $70 million in marijuana tax collections per year</w:t>
      </w:r>
      <w:r w:rsidRPr="00661A68">
        <w:rPr>
          <w:sz w:val="16"/>
        </w:rPr>
        <w:t xml:space="preserve">, </w:t>
      </w:r>
      <w:r w:rsidRPr="00661A68">
        <w:rPr>
          <w:rStyle w:val="StyleUnderline"/>
        </w:rPr>
        <w:t>and</w:t>
      </w:r>
      <w:r w:rsidRPr="00661A68">
        <w:rPr>
          <w:sz w:val="16"/>
        </w:rPr>
        <w:t xml:space="preserve"> after a slow initial start, </w:t>
      </w:r>
      <w:r w:rsidRPr="00661A68">
        <w:rPr>
          <w:rStyle w:val="StyleUnderline"/>
        </w:rPr>
        <w:t xml:space="preserve">state collections will likely </w:t>
      </w:r>
      <w:r w:rsidRPr="00661A68">
        <w:rPr>
          <w:rStyle w:val="Emphasis"/>
        </w:rPr>
        <w:t>exceed $140 million</w:t>
      </w:r>
      <w:r w:rsidRPr="00661A68">
        <w:rPr>
          <w:rStyle w:val="StyleUnderline"/>
        </w:rPr>
        <w:t xml:space="preserve"> in calendar year 2016.</w:t>
      </w:r>
      <w:r w:rsidRPr="00661A68">
        <w:rPr>
          <w:sz w:val="16"/>
        </w:rPr>
        <w:t xml:space="preserve"> [3] </w:t>
      </w:r>
      <w:r w:rsidRPr="00661A68">
        <w:rPr>
          <w:rStyle w:val="StyleUnderline"/>
        </w:rPr>
        <w:t>In Washington</w:t>
      </w:r>
      <w:r w:rsidRPr="00661A68">
        <w:rPr>
          <w:sz w:val="16"/>
        </w:rPr>
        <w:t xml:space="preserve">, after a slow start to bring the licensing system online, </w:t>
      </w:r>
      <w:r w:rsidRPr="00661A68">
        <w:rPr>
          <w:rStyle w:val="StyleUnderline"/>
        </w:rPr>
        <w:t xml:space="preserve">sales are now averaging over $2 million a day with revenue possibly reaching </w:t>
      </w:r>
      <w:r w:rsidRPr="00661A68">
        <w:rPr>
          <w:rStyle w:val="Emphasis"/>
        </w:rPr>
        <w:t>$270 million per year</w:t>
      </w:r>
      <w:r w:rsidRPr="00661A68">
        <w:rPr>
          <w:rStyle w:val="StyleUnderline"/>
        </w:rPr>
        <w:t>.</w:t>
      </w:r>
      <w:r w:rsidRPr="00661A68">
        <w:rPr>
          <w:sz w:val="16"/>
        </w:rPr>
        <w:t xml:space="preserve"> [4] </w:t>
      </w:r>
      <w:r w:rsidRPr="00661A68">
        <w:rPr>
          <w:rStyle w:val="StyleUnderline"/>
        </w:rPr>
        <w:t>If all states legalized and taxed marijuana, states could collectively expect to raise</w:t>
      </w:r>
      <w:r w:rsidRPr="00661A68">
        <w:rPr>
          <w:sz w:val="16"/>
        </w:rPr>
        <w:t xml:space="preserve"> between $5 billion and </w:t>
      </w:r>
      <w:r w:rsidRPr="00661A68">
        <w:rPr>
          <w:rStyle w:val="Emphasis"/>
        </w:rPr>
        <w:t>$18 billion per year</w:t>
      </w:r>
      <w:r w:rsidRPr="00661A68">
        <w:rPr>
          <w:rStyle w:val="StyleUnderline"/>
        </w:rPr>
        <w:t xml:space="preserve">. </w:t>
      </w:r>
      <w:r w:rsidRPr="00661A68">
        <w:rPr>
          <w:sz w:val="16"/>
        </w:rPr>
        <w:t xml:space="preserve">While these amounts are not stratospheric, they are considerable and exceed additional enforcement and regulatory costs incurred by the states. Estimated Revenue Impact of Legal Marijuana </w:t>
      </w:r>
      <w:r w:rsidRPr="00661A68">
        <w:rPr>
          <w:rStyle w:val="StyleUnderline"/>
        </w:rPr>
        <w:t xml:space="preserve">It is estimated that the current size of the marijuana market nationally is </w:t>
      </w:r>
      <w:r w:rsidRPr="00661A68">
        <w:rPr>
          <w:rStyle w:val="Emphasis"/>
        </w:rPr>
        <w:t>$45 billion per year</w:t>
      </w:r>
      <w:r w:rsidRPr="00661A68">
        <w:rPr>
          <w:sz w:val="16"/>
        </w:rPr>
        <w:t xml:space="preserve">, approximately 0.28 percent of gross domestic product and comprising some 26 million pounds of marijuana consumed per year. [5] Federal and state governments have several options for taxes on a legal marijuana industry. A federal excise tax on marijuana similar to that of cigarettes, approximately $23 per pound of product, would raise approximately $500 million in additional revenue. A 10 percent sales surtax, similar in nature to those adopted recently by Colorado and other states and proposed in recent legislation by Rep. Earl Blumenauer, would raise approximately $5.3 billion in additional revenue; higher excise tax rates would raise proportionately more. </w:t>
      </w:r>
      <w:r w:rsidRPr="00661A68">
        <w:rPr>
          <w:rStyle w:val="StyleUnderline"/>
        </w:rPr>
        <w:t>Business income from marijuana production would initially raise</w:t>
      </w:r>
      <w:r w:rsidRPr="00661A68">
        <w:rPr>
          <w:sz w:val="16"/>
        </w:rPr>
        <w:t xml:space="preserve"> almost $5.5 billion in federal revenues and an additional </w:t>
      </w:r>
      <w:r w:rsidRPr="00661A68">
        <w:rPr>
          <w:rStyle w:val="StyleUnderline"/>
        </w:rPr>
        <w:t>$1.5 billion in state and local revenues.</w:t>
      </w:r>
      <w:r w:rsidRPr="00661A68">
        <w:rPr>
          <w:sz w:val="16"/>
        </w:rPr>
        <w:t xml:space="preserve"> These revenues are expected to fall as more businesses enter into the market and drive down profit margins. </w:t>
      </w:r>
      <w:r w:rsidRPr="00661A68">
        <w:rPr>
          <w:rStyle w:val="StyleUnderline"/>
        </w:rPr>
        <w:t>Individual income tax and payroll taxes from labor in the marijuana industry</w:t>
      </w:r>
      <w:r w:rsidRPr="00661A68">
        <w:rPr>
          <w:sz w:val="16"/>
        </w:rPr>
        <w:t xml:space="preserve">, which would be reported after legalization, </w:t>
      </w:r>
      <w:r w:rsidRPr="00661A68">
        <w:rPr>
          <w:rStyle w:val="StyleUnderline"/>
        </w:rPr>
        <w:t>contributes</w:t>
      </w:r>
      <w:r w:rsidRPr="00661A68">
        <w:rPr>
          <w:sz w:val="16"/>
        </w:rPr>
        <w:t xml:space="preserve"> $1.5 billion in federal revenue and </w:t>
      </w:r>
      <w:r w:rsidRPr="00661A68">
        <w:rPr>
          <w:rStyle w:val="StyleUnderline"/>
        </w:rPr>
        <w:t xml:space="preserve">an additional </w:t>
      </w:r>
      <w:r w:rsidRPr="00661A68">
        <w:rPr>
          <w:rStyle w:val="Emphasis"/>
        </w:rPr>
        <w:t>$1 billion in state and local revenues</w:t>
      </w:r>
      <w:r w:rsidRPr="00661A68">
        <w:rPr>
          <w:rStyle w:val="StyleUnderline"/>
        </w:rPr>
        <w:t>.</w:t>
      </w:r>
      <w:r w:rsidRPr="00661A68">
        <w:rPr>
          <w:sz w:val="16"/>
        </w:rPr>
        <w:t xml:space="preserve"> </w:t>
      </w:r>
      <w:r w:rsidRPr="00661A68">
        <w:rPr>
          <w:rStyle w:val="StyleUnderline"/>
        </w:rPr>
        <w:t xml:space="preserve">These revenues are expected to </w:t>
      </w:r>
      <w:r w:rsidRPr="00661A68">
        <w:rPr>
          <w:rStyle w:val="Emphasis"/>
        </w:rPr>
        <w:t>increase as production expands</w:t>
      </w:r>
      <w:r w:rsidRPr="00661A68">
        <w:rPr>
          <w:rStyle w:val="StyleUnderline"/>
        </w:rPr>
        <w:t>.</w:t>
      </w:r>
    </w:p>
    <w:p w14:paraId="7130AE48" w14:textId="77777777" w:rsidR="00AC1709" w:rsidRPr="00661A68" w:rsidRDefault="00AC1709" w:rsidP="00AC1709"/>
    <w:p w14:paraId="66A094C6" w14:textId="44E3D2B8" w:rsidR="00E2045D" w:rsidRPr="00661A68" w:rsidRDefault="00E2045D" w:rsidP="00305A32">
      <w:pPr>
        <w:pStyle w:val="Heading3"/>
      </w:pPr>
      <w:r w:rsidRPr="00661A68">
        <w:t xml:space="preserve">2NC—Marijuana—AT </w:t>
      </w:r>
      <w:r w:rsidR="007C0DA4" w:rsidRPr="00661A68">
        <w:t>Preemption</w:t>
      </w:r>
    </w:p>
    <w:p w14:paraId="54DF7D91" w14:textId="227E0710" w:rsidR="007C0DA4" w:rsidRPr="00661A68" w:rsidRDefault="007C0DA4" w:rsidP="007C0DA4">
      <w:pPr>
        <w:pStyle w:val="Heading4"/>
      </w:pPr>
      <w:r w:rsidRPr="00661A68">
        <w:t>State laws aren’t preempted by the feds</w:t>
      </w:r>
      <w:r w:rsidR="00E63756" w:rsidRPr="00661A68">
        <w:t>—BUT non-enforcement by the DOJ leaves room for federal follow-on</w:t>
      </w:r>
    </w:p>
    <w:p w14:paraId="29ED2D85" w14:textId="5159A02C" w:rsidR="007C0DA4" w:rsidRPr="00661A68" w:rsidRDefault="00D2422E" w:rsidP="007C0DA4">
      <w:r w:rsidRPr="00661A68">
        <w:rPr>
          <w:rStyle w:val="Style13ptBold"/>
        </w:rPr>
        <w:t>MPP ND</w:t>
      </w:r>
      <w:r w:rsidRPr="00661A68">
        <w:t xml:space="preserve"> [Marijuana Policy Project, referencing</w:t>
      </w:r>
      <w:r w:rsidR="000B48B7" w:rsidRPr="00661A68">
        <w:t xml:space="preserve"> “</w:t>
      </w:r>
      <w:r w:rsidR="002E7606" w:rsidRPr="00661A68">
        <w:t>Interplay Between State and Federal Laws Adult Use”,</w:t>
      </w:r>
      <w:r w:rsidRPr="00661A68">
        <w:t xml:space="preserve"> </w:t>
      </w:r>
      <w:r w:rsidR="000125B7" w:rsidRPr="00661A68">
        <w:t>“State Marijuana Regulation Laws Are Not Preempted By Federal Law”</w:t>
      </w:r>
      <w:r w:rsidR="002E7606" w:rsidRPr="00661A68">
        <w:t xml:space="preserve">; no publish date, accessed 6/2/20; </w:t>
      </w:r>
      <w:r w:rsidR="006B26AE" w:rsidRPr="00661A68">
        <w:t>https://www.mpp.org/issues/legalization/state-marijuana-regulation-laws-are-not-preempted-by-federal-law/]</w:t>
      </w:r>
    </w:p>
    <w:p w14:paraId="11658DC2" w14:textId="77777777" w:rsidR="007C0DA4" w:rsidRPr="00661A68" w:rsidRDefault="007C0DA4" w:rsidP="007C0DA4">
      <w:pPr>
        <w:rPr>
          <w:u w:val="single"/>
        </w:rPr>
      </w:pPr>
      <w:r w:rsidRPr="00661A68">
        <w:rPr>
          <w:u w:val="single"/>
        </w:rPr>
        <w:t xml:space="preserve">While marijuana possession and distribution is a federal crime under the Controlled Substances Act (CSA) and the Supremacy </w:t>
      </w:r>
      <w:r w:rsidRPr="00661A68">
        <w:t>Clause of the United States Constitution</w:t>
      </w:r>
      <w:r w:rsidRPr="00661A68">
        <w:rPr>
          <w:u w:val="single"/>
        </w:rPr>
        <w:t xml:space="preserve"> provides that federal law is </w:t>
      </w:r>
      <w:r w:rsidRPr="00661A68">
        <w:t>the</w:t>
      </w:r>
      <w:r w:rsidRPr="00661A68">
        <w:rPr>
          <w:u w:val="single"/>
        </w:rPr>
        <w:t xml:space="preserve"> “supreme </w:t>
      </w:r>
      <w:r w:rsidRPr="00661A68">
        <w:t>Law of the Land,”</w:t>
      </w:r>
      <w:r w:rsidRPr="00661A68">
        <w:rPr>
          <w:u w:val="single"/>
        </w:rPr>
        <w:t xml:space="preserve"> [1] </w:t>
      </w:r>
      <w:r w:rsidRPr="00661A68">
        <w:t>that is not the entire story</w:t>
      </w:r>
      <w:r w:rsidRPr="00661A68">
        <w:rPr>
          <w:u w:val="single"/>
        </w:rPr>
        <w:t xml:space="preserve">: The U.S. system of government is </w:t>
      </w:r>
      <w:r w:rsidRPr="00661A68">
        <w:t>one of</w:t>
      </w:r>
      <w:r w:rsidRPr="00661A68">
        <w:rPr>
          <w:u w:val="single"/>
        </w:rPr>
        <w:t xml:space="preserve"> dual </w:t>
      </w:r>
      <w:r w:rsidRPr="00661A68">
        <w:t>sovereignty</w:t>
      </w:r>
      <w:r w:rsidRPr="00661A68">
        <w:rPr>
          <w:u w:val="single"/>
        </w:rPr>
        <w:t xml:space="preserve"> where the states can and do serve as “laboratories of democracy.”</w:t>
      </w:r>
    </w:p>
    <w:p w14:paraId="02341F86" w14:textId="77777777" w:rsidR="007C0DA4" w:rsidRPr="00661A68" w:rsidRDefault="007C0DA4" w:rsidP="007C0DA4"/>
    <w:p w14:paraId="6BEF0B3C" w14:textId="77777777" w:rsidR="007C0DA4" w:rsidRPr="00661A68" w:rsidRDefault="007C0DA4" w:rsidP="007C0DA4">
      <w:r w:rsidRPr="00661A68">
        <w:rPr>
          <w:u w:val="single"/>
        </w:rPr>
        <w:t>The question of federal preemption is a question of Congressional intent</w:t>
      </w:r>
      <w:r w:rsidRPr="00661A68">
        <w:t>. The CSA makes it clear it only preempts state laws under very limited circumstances. 21 U.S.C. 903 says it is not intended to preempt the field of drug laws if “there is a positive conflict” between state and federal law “so that the two cannot consistently stand together.” Courts have generally held that a state law is only preempted by the CSA if it is “physically impossible” to comply with both state and federal law or if the state law stands as an obstacle to the CSA. Neither is the case with carefully crafted state medical marijuana programs.</w:t>
      </w:r>
    </w:p>
    <w:p w14:paraId="20C40668" w14:textId="77777777" w:rsidR="007C0DA4" w:rsidRPr="00661A68" w:rsidRDefault="007C0DA4" w:rsidP="007C0DA4"/>
    <w:p w14:paraId="742BC945" w14:textId="77777777" w:rsidR="007C0DA4" w:rsidRPr="00661A68" w:rsidRDefault="007C0DA4" w:rsidP="007C0DA4">
      <w:r w:rsidRPr="00661A68">
        <w:rPr>
          <w:u w:val="single"/>
        </w:rPr>
        <w:t>A state law — or a portion of it — would be preempted under impossibility preemption if it required someone to violate federal law. For this reason, effective medical marijuana laws do not require state workers to grow or dispense marijuana in violation of federal law; they just regulate private individuals who choose to do so</w:t>
      </w:r>
      <w:r w:rsidRPr="00661A68">
        <w:t>. Requiring someone to break federal law is quite different from allowing and regulating conduct under state law.</w:t>
      </w:r>
    </w:p>
    <w:p w14:paraId="6844CBC7" w14:textId="77777777" w:rsidR="007C0DA4" w:rsidRPr="00661A68" w:rsidRDefault="007C0DA4" w:rsidP="007C0DA4"/>
    <w:p w14:paraId="69281E1F" w14:textId="77777777" w:rsidR="007C0DA4" w:rsidRPr="00661A68" w:rsidRDefault="007C0DA4" w:rsidP="007C0DA4">
      <w:r w:rsidRPr="00661A68">
        <w:t xml:space="preserve">When discussing preemption, it’s important not to forget about the Tenth Amendment. </w:t>
      </w:r>
      <w:r w:rsidRPr="00661A68">
        <w:rPr>
          <w:u w:val="single"/>
        </w:rPr>
        <w:t>The federal government is free to enforce its own marijuana laws, but requiring state agents to enforce federal laws would be unconstitutional commandeering of a state’s resources</w:t>
      </w:r>
      <w:r w:rsidRPr="00661A68">
        <w:t>.[2] As one court noted:</w:t>
      </w:r>
    </w:p>
    <w:p w14:paraId="1CEDC576" w14:textId="77777777" w:rsidR="007C0DA4" w:rsidRPr="00661A68" w:rsidRDefault="007C0DA4" w:rsidP="007C0DA4"/>
    <w:p w14:paraId="01EAB101" w14:textId="77777777" w:rsidR="007C0DA4" w:rsidRPr="00661A68" w:rsidRDefault="007C0DA4" w:rsidP="007C0DA4">
      <w:r w:rsidRPr="00661A68">
        <w:t>It is of considerable consequence that it is Arizona's attempt at partial decriminalization with strict regulation that makes the AMMA vulnerable ... This view, if successful, highjacks Arizona drug laws and obligates Arizonans to enforce federal prescriptions that categorically prohibit the use of all marijuana. The Tenth Amendment's “anti-commandeering rule” prohibits Congress from charting that course.[3]</w:t>
      </w:r>
    </w:p>
    <w:p w14:paraId="2D8C85EF" w14:textId="77777777" w:rsidR="007C0DA4" w:rsidRPr="00661A68" w:rsidRDefault="007C0DA4" w:rsidP="007C0DA4"/>
    <w:p w14:paraId="6F3E9A94" w14:textId="77777777" w:rsidR="007C0DA4" w:rsidRPr="00661A68" w:rsidRDefault="007C0DA4" w:rsidP="007C0DA4">
      <w:r w:rsidRPr="00661A68">
        <w:rPr>
          <w:u w:val="single"/>
        </w:rPr>
        <w:t>The federal government has never alleged in court that federal laws preempt state medical marijuana or legalization and regulation laws</w:t>
      </w:r>
      <w:r w:rsidRPr="00661A68">
        <w:t>. In fact, the Department of Justice (DOJ) argued in favor of dismissing a lawsuit claiming Arizona’s medical marijuana law was preempted. That suit was dismissed.[4]</w:t>
      </w:r>
    </w:p>
    <w:p w14:paraId="262CB715" w14:textId="77777777" w:rsidR="007C0DA4" w:rsidRPr="00661A68" w:rsidRDefault="007C0DA4" w:rsidP="007C0DA4"/>
    <w:p w14:paraId="5369D180" w14:textId="77777777" w:rsidR="007C0DA4" w:rsidRPr="00661A68" w:rsidRDefault="007C0DA4" w:rsidP="007C0DA4"/>
    <w:p w14:paraId="4415335B" w14:textId="77777777" w:rsidR="007C0DA4" w:rsidRPr="00661A68" w:rsidRDefault="007C0DA4" w:rsidP="007C0DA4">
      <w:r w:rsidRPr="00661A68">
        <w:t>Federal Policy Should Not Deter States From Reforming Their Own Laws</w:t>
      </w:r>
    </w:p>
    <w:p w14:paraId="1BF8E24B" w14:textId="77777777" w:rsidR="007C0DA4" w:rsidRPr="00661A68" w:rsidRDefault="007C0DA4" w:rsidP="007C0DA4">
      <w:r w:rsidRPr="00661A68">
        <w:t>Since late 2014, Congress has approved a rider to the annual Justice Department appropriations bill that provides that the funds may not be used to interfere with the implementation of state medical marijuana laws.[5] On June 21, 2019, the House of Representatives approved a similar amendment that would also prevent interference with state-legal adult-use marijuana businesses, in a 267-165 vote. It is not yet known if the broader amendment will be included in the final version of the Justice Department appropriations. Legislation was also put forth to make state-legal marijuana activities legal under federal law.</w:t>
      </w:r>
    </w:p>
    <w:p w14:paraId="54E91F6E" w14:textId="77777777" w:rsidR="007C0DA4" w:rsidRPr="00661A68" w:rsidRDefault="007C0DA4" w:rsidP="007C0DA4"/>
    <w:p w14:paraId="1A446596" w14:textId="77777777" w:rsidR="007C0DA4" w:rsidRPr="00661A68" w:rsidRDefault="007C0DA4" w:rsidP="007C0DA4">
      <w:r w:rsidRPr="00661A68">
        <w:t xml:space="preserve">Meanwhile, to the best of MPP’s knowledge, </w:t>
      </w:r>
      <w:r w:rsidRPr="00661A68">
        <w:rPr>
          <w:u w:val="single"/>
        </w:rPr>
        <w:t>the Department of Justice has not been targeting state-legal marijuana providers since 2013 or earlier</w:t>
      </w:r>
      <w:r w:rsidRPr="00661A68">
        <w:t xml:space="preserve">. </w:t>
      </w:r>
      <w:r w:rsidRPr="00661A68">
        <w:rPr>
          <w:u w:val="single"/>
        </w:rPr>
        <w:t>This policy of non-interference — unless a specific federal interest was implicated — was formalized in the 2013 Cole Memo</w:t>
      </w:r>
      <w:r w:rsidRPr="00661A68">
        <w:t>[6]. On January 4, 2018, then-U.S. Attorney General Jeff Sessions rescinded the 2013 Cole Memo [7], leaving the decisions to individual U.S. attorneys (federal prosecutors). Sessions spurred significant bipartisan criticism.[8] Polls show more than 70 percent of Americans believe the federal government should not use its limited resources to interference with state-legal marijuana businesses.[9] In April 2018, Pres. Donald Trump told U.S. Senator Cory Gardner (R-CO) that he would support a federalism-based legislative solution, and that the marijuana industry in Gardner’s home state would not be targeted. Sessions is no longer attorney general, and current Attorney General William Barr has said he would respect the Cole Memo.[10]</w:t>
      </w:r>
    </w:p>
    <w:p w14:paraId="2C557A74" w14:textId="77777777" w:rsidR="007C0DA4" w:rsidRPr="00661A68" w:rsidRDefault="007C0DA4" w:rsidP="007C0DA4"/>
    <w:p w14:paraId="590787A1" w14:textId="7B08DF57" w:rsidR="007C0DA4" w:rsidRPr="00661A68" w:rsidRDefault="007C0DA4" w:rsidP="007C0DA4">
      <w:r w:rsidRPr="00661A68">
        <w:t xml:space="preserve">It is up to individuals to decide whether they want to take the risk of breaking federal law, and many individuals and businesses are already doing so. </w:t>
      </w:r>
      <w:r w:rsidRPr="00661A68">
        <w:rPr>
          <w:u w:val="single"/>
        </w:rPr>
        <w:t>What state lawmakers can and should do is remove the barriers to relief that their state law poses to humane, sensible marijuana policies. The vast majority of states have opted to chart a different course than the federal government and they will continue to do so. With growing state pressure, federal policy will likely change soon</w:t>
      </w:r>
      <w:r w:rsidRPr="00661A68">
        <w:t>.</w:t>
      </w:r>
    </w:p>
    <w:p w14:paraId="47DD9A92" w14:textId="2E1470FA" w:rsidR="00126756" w:rsidRPr="00661A68" w:rsidRDefault="00126756" w:rsidP="00305A32">
      <w:pPr>
        <w:pStyle w:val="Heading3"/>
      </w:pPr>
      <w:r w:rsidRPr="00661A68">
        <w:t>2NC—Courts—AT SCOTUS Key</w:t>
      </w:r>
    </w:p>
    <w:p w14:paraId="4811F030" w14:textId="77777777" w:rsidR="00126756" w:rsidRPr="00661A68" w:rsidRDefault="00126756" w:rsidP="00126756">
      <w:pPr>
        <w:pStyle w:val="Heading4"/>
        <w:spacing w:line="240" w:lineRule="auto"/>
        <w:rPr>
          <w:rFonts w:eastAsia="Times New Roman"/>
        </w:rPr>
      </w:pPr>
      <w:r w:rsidRPr="00661A68">
        <w:rPr>
          <w:rFonts w:eastAsia="Times New Roman"/>
          <w:u w:val="single"/>
        </w:rPr>
        <w:t>Counterplan builds public support</w:t>
      </w:r>
      <w:r w:rsidRPr="00661A68">
        <w:rPr>
          <w:rFonts w:eastAsia="Times New Roman"/>
        </w:rPr>
        <w:t xml:space="preserve"> that encourages federal restraint, </w:t>
      </w:r>
      <w:r w:rsidRPr="00661A68">
        <w:rPr>
          <w:rFonts w:eastAsia="Times New Roman"/>
          <w:u w:val="single"/>
        </w:rPr>
        <w:t>influences SCOUTS to back down</w:t>
      </w:r>
      <w:r w:rsidRPr="00661A68">
        <w:rPr>
          <w:rFonts w:eastAsia="Times New Roman"/>
        </w:rPr>
        <w:t xml:space="preserve"> by building </w:t>
      </w:r>
      <w:r w:rsidRPr="00661A68">
        <w:rPr>
          <w:rFonts w:eastAsia="Times New Roman"/>
          <w:u w:val="single"/>
        </w:rPr>
        <w:t>legal norms</w:t>
      </w:r>
      <w:r w:rsidRPr="00661A68">
        <w:rPr>
          <w:rFonts w:eastAsia="Times New Roman"/>
        </w:rPr>
        <w:t xml:space="preserve">, and causes </w:t>
      </w:r>
      <w:r w:rsidRPr="00661A68">
        <w:rPr>
          <w:rFonts w:eastAsia="Times New Roman"/>
          <w:u w:val="single"/>
        </w:rPr>
        <w:t>local defiance</w:t>
      </w:r>
      <w:r w:rsidRPr="00661A68">
        <w:rPr>
          <w:rFonts w:eastAsia="Times New Roman"/>
        </w:rPr>
        <w:t xml:space="preserve"> that prevents federal roll-back</w:t>
      </w:r>
    </w:p>
    <w:p w14:paraId="733843F7" w14:textId="77777777" w:rsidR="00126756" w:rsidRPr="00661A68" w:rsidRDefault="00126756" w:rsidP="00126756">
      <w:r w:rsidRPr="00661A68">
        <w:rPr>
          <w:rStyle w:val="Style13ptBold"/>
        </w:rPr>
        <w:t>Gardner 3</w:t>
      </w:r>
      <w:r w:rsidRPr="00661A68">
        <w:t xml:space="preserve"> (James, Professor of Law, State University of New York, University at Buffalo Law School, "State Constitutional Rights as Resistance to National Power: Toward a Functional Theory of State Constitutions" Georgetown Law Journal, Lexis)</w:t>
      </w:r>
    </w:p>
    <w:p w14:paraId="50945576" w14:textId="77777777" w:rsidR="00126756" w:rsidRPr="00661A68" w:rsidRDefault="00126756" w:rsidP="00126756">
      <w:pPr>
        <w:rPr>
          <w:sz w:val="16"/>
        </w:rPr>
      </w:pPr>
      <w:r w:rsidRPr="00661A68">
        <w:rPr>
          <w:sz w:val="16"/>
        </w:rPr>
        <w:t xml:space="preserve">I argued in Part I.B.2 that state power can be deployed to protect liberty in three ways: by the use of affirmative powers to pursue the good; by deployment against itself in the form of self-restraint; and by protecting liberty from invasions at the hands of the national government. Within this framework, it might seem that a state constitutional provision protecting individual liberty ought to be understood solely as a straightforward example of state self-restraint. An individual right protected by a state constitution is enforceable only against the state. It ought to follow, then, that state constitutional liberties are to be classified, along with any separation of powers or judicial review established by the state constitution, simply as another method by which the state's people protect themselves from their own state government by restraining the scope of its powers. Unquestionably, state constitutional liberties serve exactly this purpose. Yet this view of state constitutional protection of liberty is incomplete. </w:t>
      </w:r>
      <w:r w:rsidRPr="00661A68">
        <w:rPr>
          <w:rStyle w:val="StyleUnderline"/>
        </w:rPr>
        <w:t xml:space="preserve">Heightened state constitutional protection of individual liberty does more than merely restrain state governments from invading the liberties of their citizens. It is also a potentially significant method by which state power can be deployed to check and counteract abuses of power on the national level--particularly abuses by the U.S. Supreme Court of national judicial power. </w:t>
      </w:r>
      <w:r w:rsidRPr="00661A68">
        <w:rPr>
          <w:sz w:val="16"/>
        </w:rPr>
        <w:t xml:space="preserve">When we think about tyranny perpetrated by the national government, we tend to think about rights-invasive congressional measures, such as the Alien and Sedition Acts of 1798, n143 or presidential high-handedness, such as the military internment of Japanese-Americans during World War II n144--abuses, that is to say, by the legislative and executive branches. But </w:t>
      </w:r>
      <w:r w:rsidRPr="00661A68">
        <w:rPr>
          <w:rStyle w:val="StyleUnderline"/>
        </w:rPr>
        <w:t xml:space="preserve">liberty can </w:t>
      </w:r>
      <w:r w:rsidRPr="00661A68">
        <w:rPr>
          <w:sz w:val="16"/>
        </w:rPr>
        <w:t xml:space="preserve">also be </w:t>
      </w:r>
      <w:r w:rsidRPr="00661A68">
        <w:rPr>
          <w:rStyle w:val="StyleUnderline"/>
        </w:rPr>
        <w:t>abused by the judicial branch, most notably when federal courts refuse to acknowledge and protect individual rights.</w:t>
      </w:r>
      <w:r w:rsidRPr="00661A68">
        <w:rPr>
          <w:sz w:val="16"/>
        </w:rPr>
        <w:t xml:space="preserve"> Abusively </w:t>
      </w:r>
      <w:r w:rsidRPr="00661A68">
        <w:rPr>
          <w:rStyle w:val="StyleUnderline"/>
        </w:rPr>
        <w:t xml:space="preserve">stingy readings of the U.S. Constitution not only may deny litigants their rights in individual cases, but generally also authorize other organs of government to invade liberties that they should be required to respect. </w:t>
      </w:r>
      <w:r w:rsidRPr="00661A68">
        <w:rPr>
          <w:sz w:val="16"/>
        </w:rPr>
        <w:t>While a state might combat this brand of judicial tyranny by invoking any of the forms of resistance mentioned earlier</w:t>
      </w:r>
      <w:r w:rsidRPr="00661A68">
        <w:rPr>
          <w:rStyle w:val="StyleUnderline"/>
        </w:rPr>
        <w:t xml:space="preserve">, state courts are especially well-suited to play a role in resisting abuse of national judicial power, and to do so through entirely peaceful and fully legal means. A powerful weapon state courts may wield in such a struggle is their authority to interpret state constitutions to provide more generous protection for individual rights than the U.S. Supreme Court has chosen to provide under the national Constitution. </w:t>
      </w:r>
      <w:r w:rsidRPr="00661A68">
        <w:rPr>
          <w:sz w:val="16"/>
        </w:rPr>
        <w:t xml:space="preserve">[*1033] </w:t>
      </w:r>
      <w:r w:rsidRPr="00661A68">
        <w:rPr>
          <w:rStyle w:val="StyleUnderline"/>
        </w:rPr>
        <w:t xml:space="preserve">State judicial rejection of excessively narrow Supreme Court precedents concerning </w:t>
      </w:r>
      <w:r w:rsidRPr="00661A68">
        <w:rPr>
          <w:sz w:val="16"/>
        </w:rPr>
        <w:t xml:space="preserve">the scope of </w:t>
      </w:r>
      <w:r w:rsidRPr="00661A68">
        <w:rPr>
          <w:rStyle w:val="StyleUnderline"/>
        </w:rPr>
        <w:t xml:space="preserve">individual rights helps check national power in at least four ways. First, whenever a state court dissents from the reasoning of a U.S. Supreme Court decision, it offers a </w:t>
      </w:r>
      <w:r w:rsidRPr="00661A68">
        <w:rPr>
          <w:rStyle w:val="Emphasis"/>
        </w:rPr>
        <w:t>forceful and very public critique of the national ruling</w:t>
      </w:r>
      <w:r w:rsidRPr="00661A68">
        <w:rPr>
          <w:rStyle w:val="StyleUnderline"/>
        </w:rPr>
        <w:t xml:space="preserve">, which can in the long run </w:t>
      </w:r>
      <w:r w:rsidRPr="00661A68">
        <w:rPr>
          <w:rStyle w:val="Emphasis"/>
        </w:rPr>
        <w:t>influence</w:t>
      </w:r>
      <w:r w:rsidRPr="00661A68">
        <w:rPr>
          <w:rStyle w:val="StyleUnderline"/>
        </w:rPr>
        <w:t xml:space="preserve"> the formation of </w:t>
      </w:r>
      <w:r w:rsidRPr="00661A68">
        <w:rPr>
          <w:rStyle w:val="Emphasis"/>
        </w:rPr>
        <w:t>public and, eventually, official opinion</w:t>
      </w:r>
      <w:r w:rsidRPr="00661A68">
        <w:rPr>
          <w:rStyle w:val="StyleUnderline"/>
        </w:rPr>
        <w:t xml:space="preserve"> </w:t>
      </w:r>
      <w:r w:rsidRPr="00661A68">
        <w:rPr>
          <w:sz w:val="16"/>
        </w:rPr>
        <w:t xml:space="preserve">on the propriety of the federal ruling. </w:t>
      </w:r>
      <w:r w:rsidRPr="00661A68">
        <w:rPr>
          <w:rStyle w:val="StyleUnderline"/>
        </w:rPr>
        <w:t xml:space="preserve">Second, state rulings that depart from or criticize U.S. Supreme Court precedents can contribute to the </w:t>
      </w:r>
      <w:r w:rsidRPr="00661A68">
        <w:rPr>
          <w:rStyle w:val="Emphasis"/>
        </w:rPr>
        <w:t>establishment of a nationwide legal consensus</w:t>
      </w:r>
      <w:r w:rsidRPr="00661A68">
        <w:rPr>
          <w:rStyle w:val="StyleUnderline"/>
        </w:rPr>
        <w:t xml:space="preserve"> at the state level, a factor which the </w:t>
      </w:r>
      <w:r w:rsidRPr="00661A68">
        <w:rPr>
          <w:rStyle w:val="Emphasis"/>
        </w:rPr>
        <w:t>Supreme Court sometimes considers in the course of constitutional decision making</w:t>
      </w:r>
      <w:r w:rsidRPr="00661A68">
        <w:rPr>
          <w:rStyle w:val="StyleUnderline"/>
        </w:rPr>
        <w:t xml:space="preserve">. </w:t>
      </w:r>
      <w:r w:rsidRPr="00661A68">
        <w:rPr>
          <w:sz w:val="16"/>
        </w:rPr>
        <w:t>Third, generous state interpretations of individual rights can more directly check national power by prohibiting state and local governments from exercising authority permitted them under the U.S. Constitution to suppress certain kinds of private behavior. In so doing, state courts create spaces in which otherwise prohibitable behavior may flourish. Finally, rights-protective rulings by state courts can help ameliorate the harm to liberty caused by narrow national rulings by providing protection for second-best alternatives</w:t>
      </w:r>
      <w:r w:rsidRPr="00661A68">
        <w:rPr>
          <w:rStyle w:val="StyleUnderline"/>
        </w:rPr>
        <w:t xml:space="preserve"> </w:t>
      </w:r>
      <w:r w:rsidRPr="00661A68">
        <w:rPr>
          <w:sz w:val="16"/>
        </w:rPr>
        <w:t>to the types of behavior that such national rulings permit governments to suppress.</w:t>
      </w:r>
    </w:p>
    <w:p w14:paraId="613EFA37" w14:textId="77777777" w:rsidR="00126756" w:rsidRPr="00661A68" w:rsidRDefault="00126756" w:rsidP="00126756"/>
    <w:p w14:paraId="6380B53D" w14:textId="0BA158F0" w:rsidR="00602782" w:rsidRPr="00661A68" w:rsidRDefault="00602782" w:rsidP="00305A32">
      <w:pPr>
        <w:pStyle w:val="Heading3"/>
      </w:pPr>
      <w:r w:rsidRPr="00661A68">
        <w:t>2NC Avoids Elections</w:t>
      </w:r>
    </w:p>
    <w:p w14:paraId="0787EA3A" w14:textId="77777777" w:rsidR="00602782" w:rsidRPr="00661A68" w:rsidRDefault="00602782" w:rsidP="00602782">
      <w:pPr>
        <w:pStyle w:val="Heading4"/>
      </w:pPr>
      <w:r w:rsidRPr="00661A68">
        <w:t xml:space="preserve">Trump won’t get credit for policy </w:t>
      </w:r>
      <w:r w:rsidRPr="00661A68">
        <w:rPr>
          <w:u w:val="single"/>
        </w:rPr>
        <w:t>originating</w:t>
      </w:r>
      <w:r w:rsidRPr="00661A68">
        <w:t xml:space="preserve"> from the states, but the </w:t>
      </w:r>
      <w:r w:rsidRPr="00661A68">
        <w:rPr>
          <w:u w:val="single"/>
        </w:rPr>
        <w:t>perm doesn’t shield</w:t>
      </w:r>
      <w:r w:rsidRPr="00661A68">
        <w:t xml:space="preserve"> because state action must be </w:t>
      </w:r>
      <w:r w:rsidRPr="00661A68">
        <w:rPr>
          <w:u w:val="single"/>
        </w:rPr>
        <w:t>independent</w:t>
      </w:r>
      <w:r w:rsidRPr="00661A68">
        <w:t xml:space="preserve"> and </w:t>
      </w:r>
      <w:r w:rsidRPr="00661A68">
        <w:rPr>
          <w:u w:val="single"/>
        </w:rPr>
        <w:t>prior</w:t>
      </w:r>
    </w:p>
    <w:p w14:paraId="0431765C" w14:textId="77777777" w:rsidR="00602782" w:rsidRPr="00661A68" w:rsidRDefault="00602782" w:rsidP="00602782">
      <w:r w:rsidRPr="00661A68">
        <w:rPr>
          <w:rStyle w:val="Style13ptBold"/>
        </w:rPr>
        <w:t>Ferraiolo 8 –</w:t>
      </w:r>
      <w:r w:rsidRPr="00661A68">
        <w:t xml:space="preserve"> Dr. Kathleen Ferraiolo, Professor of Political Science at James Madison University, “State Policy Innovation and the Federalism Implications of Direct Democracy”, Publius: The Journal of Federalism, Volume 38, Number 3, January, p. 496-498</w:t>
      </w:r>
    </w:p>
    <w:p w14:paraId="78965F3E" w14:textId="77777777" w:rsidR="00602782" w:rsidRPr="00661A68" w:rsidRDefault="00602782" w:rsidP="00602782">
      <w:pPr>
        <w:rPr>
          <w:rStyle w:val="StyleUnderline"/>
        </w:rPr>
      </w:pPr>
      <w:r w:rsidRPr="00661A68">
        <w:rPr>
          <w:rStyle w:val="StyleUnderline"/>
        </w:rPr>
        <w:t xml:space="preserve">Ballot Initiatives that Respond to </w:t>
      </w:r>
      <w:r w:rsidRPr="00661A68">
        <w:rPr>
          <w:rStyle w:val="Emphasis"/>
        </w:rPr>
        <w:t>Federal Inaction</w:t>
      </w:r>
    </w:p>
    <w:p w14:paraId="3BD0B3BA" w14:textId="77777777" w:rsidR="00602782" w:rsidRPr="00661A68" w:rsidRDefault="00602782" w:rsidP="00602782">
      <w:pPr>
        <w:rPr>
          <w:sz w:val="10"/>
        </w:rPr>
      </w:pPr>
      <w:r w:rsidRPr="00661A68">
        <w:rPr>
          <w:sz w:val="10"/>
        </w:rPr>
        <w:t>There were a number of policy issues that appeared on multiple state ballots during the past several election cycles. Voters have cast their ballots on topics ranging from same-sex marriage and gambling to education, energy, election reform, and taxes. Eminent domain, the minimum wage, abortion, government finances, and animal rights were other subjects that occupied voters’ attention. This study focuses on four issue areas, most of which were considered in multiple states and targeted federal policy either by responding to perceived inaction or by challenging federal law.</w:t>
      </w:r>
    </w:p>
    <w:p w14:paraId="508BB71E" w14:textId="77777777" w:rsidR="00602782" w:rsidRPr="00661A68" w:rsidRDefault="00602782" w:rsidP="00602782">
      <w:pPr>
        <w:rPr>
          <w:sz w:val="10"/>
        </w:rPr>
      </w:pPr>
      <w:r w:rsidRPr="00661A68">
        <w:rPr>
          <w:sz w:val="10"/>
        </w:rPr>
        <w:t>The Minimum Wage</w:t>
      </w:r>
    </w:p>
    <w:p w14:paraId="1AFCDDDB" w14:textId="77777777" w:rsidR="00602782" w:rsidRPr="00661A68" w:rsidRDefault="00602782" w:rsidP="00602782">
      <w:pPr>
        <w:rPr>
          <w:sz w:val="10"/>
        </w:rPr>
      </w:pPr>
      <w:r w:rsidRPr="00661A68">
        <w:rPr>
          <w:sz w:val="10"/>
        </w:rPr>
        <w:t>Until the newly elected Democratic Congress tackled the issue in early 2007, the federal government had not enacted a minimum wage increase since 1997, when it was raised to five dollars and fifteen cents an hour. Not content to wait for the federal government to act on what they perceived to be an important issue, in 2006 voters in six states (Nevada, Arizona, Ohio, Colorado, Missouri, and Montana) ratified initiatives to increase the minimum wage and index it to inflation, in some cases overwhelmingly. Eleven state legislatures approved raises in 2006 as well. The average ‘‘yes’’ vote for the 2006 ballot measures was 66 percent, and the average margin of victory was thirty-one points. In 2004, voters in Florida and Nevada overwhelmingly supported minimum wage ballot measures. In total, the National Conference of State Legislatures (2007b) reports that thirty states and the District of Columbia have adopted state minimum wages that are higher than the federal minimum wage. Clearly, despite inaction at the federal level there is much support for raising the minimum wage among both state voters and elected officials, including Democratic and some Republican governors and legislators.</w:t>
      </w:r>
    </w:p>
    <w:p w14:paraId="71D7D9DF" w14:textId="77777777" w:rsidR="00602782" w:rsidRPr="00661A68" w:rsidRDefault="00602782" w:rsidP="00602782">
      <w:pPr>
        <w:rPr>
          <w:sz w:val="10"/>
        </w:rPr>
      </w:pPr>
      <w:r w:rsidRPr="00661A68">
        <w:rPr>
          <w:sz w:val="10"/>
        </w:rPr>
        <w:t>The ballot presence of hot-button issues such as same-sex marriage and the minimum wage has led scholars to investigate the mobilizing effects of these issues (Abramowitz 2004; Smith 2006; Nicholson 2005) and to uncover evidence of initiatives’ educative and electoral spillover effects. Smith and Tolbert, among the first to study the educative effects of direct democracy, found that initiative use is associated with increases in voter turnout, civic engagement, political interest, and political knowledge (Tolbert and Smith 2006; Smith and Tolbert 2004). Smith and Tolbert (2001), Kousser and McCubbins (2005), and others document the spillover effects of ballot initiatives on broader electoral and political processes such as citizens’ voting behavior in candidate elections and political party and interest group strategies. Smith (2006) notes that political officials (such as Arnold Schwarzenegger) and party operatives have skillfully used the initiative process to advance their policy agendas, threaten the legislature into action, and frame candidate elections. Smith, DeSantis, and Kassel (2006) find a positive correlation between support for anti-same-sex marriage measures and the vote for George W. Bush in Ohio and Michigan in 2004. Kousser and McCubbins (2005) describe how Democratic party activists in Colorado helped sponsor a successful 2004 initiative to increase mass transit funding that contributed to high voter turnout and Democratic victories in an election when Republican candidates dominated in many other states. In a wide-ranging study, Nicholson (2005) finds that ballot measures have agenda-setting, priming, and electoral spillover effects, altering the weight voters assign to various issues, the standards by which they evaluate candidates for congressional and gubernatorial offices, and the strategies of political candidates and parties.</w:t>
      </w:r>
    </w:p>
    <w:p w14:paraId="00CE2C83" w14:textId="77777777" w:rsidR="00602782" w:rsidRPr="00661A68" w:rsidRDefault="00602782" w:rsidP="00602782">
      <w:pPr>
        <w:rPr>
          <w:sz w:val="10"/>
        </w:rPr>
      </w:pPr>
      <w:r w:rsidRPr="00661A68">
        <w:rPr>
          <w:sz w:val="10"/>
        </w:rPr>
        <w:t>No longer the exclusive domain of citizens or interest groups, political party organizations, candidates, and elected officials now use initiative elections for many purposes: To increase voter registration and turnout, advance their political agendas and ideologies, circumvent contribution and expenditure limits in candidate races, selectively mobilize support for their own candidates, prime vote choice for issues on which they believe they have an advantage, or drive a wedge in opponent coalitions (Smith 2005, 2006; Kousser and McCubbins 2005; Smith and Tolbert 2001). As candidates and parties seek initiative success for policy or ideological reasons, they also force their opponents to drain their resources in attempting to defeat initiatives that run counter to their own policy and political goals.</w:t>
      </w:r>
    </w:p>
    <w:p w14:paraId="008E51AB" w14:textId="77777777" w:rsidR="00602782" w:rsidRPr="00661A68" w:rsidRDefault="00602782" w:rsidP="00602782">
      <w:pPr>
        <w:rPr>
          <w:sz w:val="10"/>
        </w:rPr>
      </w:pPr>
      <w:r w:rsidRPr="00661A68">
        <w:rPr>
          <w:sz w:val="10"/>
        </w:rPr>
        <w:t>The minimum wage ballot measures that experienced overwhelming success in 2004 and 2006 were part of a concerted effort by progressive activists to mobilize sympathetic voters and sway candidate elections. Support for Florida’s 2004 minimum wage initiative by the Association of Community Organization for Reform Now (ACORN) led to the adoption of the measure as well as a successful voter registration drive. The group appeared to achieve its goals of ‘‘‘driving heightened Democratic turnout, passing the initiative, and building permanent political capacity for future gains’’’ (quoted in Kousser and McCubbins 2005, 973). In 2004 progressive activists in Nevada and Florida, with the approval of the Democratic National Committee, used focus groups and pre-election surveys to pretest the language of a variety of minimum wage proposals. They selected those they believed would mobilize low-income voters who would also support Democratic candidates, including presidential nominee John Kerry (Smith 2006). In 2006, the belief that minimum wage ballot initiatives could mobilize Democratic-leaning voters was an attractive possibility for labor unions (particularly the AFL-CIO, which launched its ‘‘America Needs a Raise’’ campaign that year) and other progressive groups such as ACORN interested in unseating the Republican congressional leadership (Broder 2006; Andrews 2006). The objectives of minimum wage sponsors, then, were manifold, including bringing about both state and federal policy change, boosting voter registration and turnout, and influencing candidate elections.</w:t>
      </w:r>
    </w:p>
    <w:p w14:paraId="6EDFC9D0" w14:textId="77777777" w:rsidR="00602782" w:rsidRPr="00661A68" w:rsidRDefault="00602782" w:rsidP="00602782">
      <w:pPr>
        <w:rPr>
          <w:sz w:val="10"/>
        </w:rPr>
      </w:pPr>
      <w:r w:rsidRPr="00661A68">
        <w:rPr>
          <w:sz w:val="10"/>
        </w:rPr>
        <w:t xml:space="preserve">Even before they appeared on state ballots and in Congress, </w:t>
      </w:r>
      <w:r w:rsidRPr="00661A68">
        <w:rPr>
          <w:rStyle w:val="StyleUnderline"/>
        </w:rPr>
        <w:t>proposals to increase the minimum wage received high levels of support in public opinion polls</w:t>
      </w:r>
      <w:r w:rsidRPr="00661A68">
        <w:rPr>
          <w:sz w:val="10"/>
        </w:rPr>
        <w:t xml:space="preserve"> (Roper Center 2007, 55). Democrats in Congress are certainly more sympathetic to a minimum wage increase than are most Republicans, and it is not surprising that they would choose to address the issue as one of their signature initiatives in the 110th Congress in early 2007. Still, the evidence presented here suggests that supporters of raising the minimum wage were able to simultaneously achieve three objectives: </w:t>
      </w:r>
      <w:r w:rsidRPr="00661A68">
        <w:rPr>
          <w:rStyle w:val="StyleUnderline"/>
        </w:rPr>
        <w:t xml:space="preserve">Advocates took </w:t>
      </w:r>
      <w:r w:rsidRPr="00661A68">
        <w:rPr>
          <w:rStyle w:val="Emphasis"/>
        </w:rPr>
        <w:t>independent state-level action</w:t>
      </w:r>
      <w:r w:rsidRPr="00661A68">
        <w:rPr>
          <w:rStyle w:val="StyleUnderline"/>
        </w:rPr>
        <w:t xml:space="preserve"> to address a policy issue of public concern</w:t>
      </w:r>
      <w:r w:rsidRPr="00661A68">
        <w:rPr>
          <w:sz w:val="10"/>
        </w:rPr>
        <w:t>; they had a hand in helping to bring about an electoral majority in Congress more favorable to increasing the minimum wage; and their efforts led to increased turnout (if not Democratic victories) in at least some of the states where the measures appeared.</w:t>
      </w:r>
    </w:p>
    <w:p w14:paraId="1A4E1AD9" w14:textId="77777777" w:rsidR="00602782" w:rsidRPr="00661A68" w:rsidRDefault="00602782" w:rsidP="00602782">
      <w:pPr>
        <w:rPr>
          <w:sz w:val="10"/>
        </w:rPr>
      </w:pPr>
      <w:r w:rsidRPr="00661A68">
        <w:rPr>
          <w:rStyle w:val="StyleUnderline"/>
        </w:rPr>
        <w:t>As predicted, the success of minimum wage initiatives in multiple states</w:t>
      </w:r>
      <w:r w:rsidRPr="00661A68">
        <w:rPr>
          <w:sz w:val="10"/>
        </w:rPr>
        <w:t xml:space="preserve"> during the 2004–2006 election cycle </w:t>
      </w:r>
      <w:r w:rsidRPr="00661A68">
        <w:rPr>
          <w:rStyle w:val="StyleUnderline"/>
        </w:rPr>
        <w:t>ultimately resulted in intergovernmental policy consensus. Impatient with the pace of federal efforts</w:t>
      </w:r>
      <w:r w:rsidRPr="00661A68">
        <w:rPr>
          <w:sz w:val="10"/>
        </w:rPr>
        <w:t xml:space="preserve"> to raise the minimum wage, </w:t>
      </w:r>
      <w:r w:rsidRPr="00661A68">
        <w:rPr>
          <w:rStyle w:val="StyleUnderline"/>
        </w:rPr>
        <w:t>state lawmakers</w:t>
      </w:r>
      <w:r w:rsidRPr="00661A68">
        <w:rPr>
          <w:sz w:val="10"/>
        </w:rPr>
        <w:t xml:space="preserve"> and voters </w:t>
      </w:r>
      <w:r w:rsidRPr="00661A68">
        <w:rPr>
          <w:rStyle w:val="StyleUnderline"/>
        </w:rPr>
        <w:t>used the legislative process</w:t>
      </w:r>
      <w:r w:rsidRPr="00661A68">
        <w:rPr>
          <w:sz w:val="10"/>
        </w:rPr>
        <w:t xml:space="preserve"> and direct democracy institutions </w:t>
      </w:r>
      <w:r w:rsidRPr="00661A68">
        <w:rPr>
          <w:rStyle w:val="StyleUnderline"/>
        </w:rPr>
        <w:t>to address the issue, ultimately producing a divergence in policy</w:t>
      </w:r>
      <w:r w:rsidRPr="00661A68">
        <w:rPr>
          <w:sz w:val="10"/>
        </w:rPr>
        <w:t xml:space="preserve"> not only </w:t>
      </w:r>
      <w:r w:rsidRPr="00661A68">
        <w:rPr>
          <w:rStyle w:val="StyleUnderline"/>
        </w:rPr>
        <w:t>between states and the federal government</w:t>
      </w:r>
      <w:r w:rsidRPr="00661A68">
        <w:rPr>
          <w:sz w:val="10"/>
        </w:rPr>
        <w:t xml:space="preserve"> but across states as well. </w:t>
      </w:r>
      <w:r w:rsidRPr="00661A68">
        <w:rPr>
          <w:rStyle w:val="StyleUnderline"/>
        </w:rPr>
        <w:t>The</w:t>
      </w:r>
      <w:r w:rsidRPr="00661A68">
        <w:rPr>
          <w:sz w:val="10"/>
        </w:rPr>
        <w:t xml:space="preserve"> newly elected </w:t>
      </w:r>
      <w:r w:rsidRPr="00661A68">
        <w:rPr>
          <w:rStyle w:val="StyleUnderline"/>
        </w:rPr>
        <w:t>Democratic Congress resolved this federal–state policy diversity</w:t>
      </w:r>
      <w:r w:rsidRPr="00661A68">
        <w:rPr>
          <w:sz w:val="10"/>
        </w:rPr>
        <w:t xml:space="preserve"> (if not state-to-state diversity; many states set their minimum wage rates higher than the federal level) </w:t>
      </w:r>
      <w:r w:rsidRPr="00661A68">
        <w:rPr>
          <w:rStyle w:val="StyleUnderline"/>
        </w:rPr>
        <w:t xml:space="preserve">by acting to raise the minimum wage for the first time in ten years. However, some evidence suggests that </w:t>
      </w:r>
      <w:r w:rsidRPr="00661A68">
        <w:rPr>
          <w:rStyle w:val="Emphasis"/>
          <w:sz w:val="24"/>
        </w:rPr>
        <w:t>state voters and policymakers, and not federal lawmakers, receive most of the credit</w:t>
      </w:r>
      <w:r w:rsidRPr="00661A68">
        <w:rPr>
          <w:rStyle w:val="StyleUnderline"/>
          <w:sz w:val="24"/>
        </w:rPr>
        <w:t xml:space="preserve"> </w:t>
      </w:r>
      <w:r w:rsidRPr="00661A68">
        <w:rPr>
          <w:rStyle w:val="StyleUnderline"/>
        </w:rPr>
        <w:t xml:space="preserve">for policy innovations that </w:t>
      </w:r>
      <w:r w:rsidRPr="00661A68">
        <w:rPr>
          <w:rStyle w:val="Emphasis"/>
          <w:sz w:val="24"/>
        </w:rPr>
        <w:t>originate at the state level</w:t>
      </w:r>
      <w:r w:rsidRPr="00661A68">
        <w:rPr>
          <w:rStyle w:val="StyleUnderline"/>
        </w:rPr>
        <w:t>. The House of Representatives passed a bill to raise the minimum wage</w:t>
      </w:r>
      <w:r w:rsidRPr="00661A68">
        <w:rPr>
          <w:sz w:val="10"/>
        </w:rPr>
        <w:t xml:space="preserve"> during the second week of the congressional session, </w:t>
      </w:r>
      <w:r w:rsidRPr="00661A68">
        <w:rPr>
          <w:rStyle w:val="StyleUnderline"/>
        </w:rPr>
        <w:t>but in a</w:t>
      </w:r>
      <w:r w:rsidRPr="00661A68">
        <w:rPr>
          <w:sz w:val="10"/>
        </w:rPr>
        <w:t xml:space="preserve">n early February 2007 </w:t>
      </w:r>
      <w:r w:rsidRPr="00661A68">
        <w:rPr>
          <w:rStyle w:val="StyleUnderline"/>
        </w:rPr>
        <w:t>poll fewer than one in five respondents gave the House credit for this accomplishment</w:t>
      </w:r>
      <w:r w:rsidRPr="00661A68">
        <w:rPr>
          <w:sz w:val="10"/>
        </w:rPr>
        <w:t xml:space="preserve"> (Roper Center 2007, 131); 84 percent of survey respondents favored a minimum wage increase in 2006, but in March 2007 a mere 2 percent of respondents cited the issue when asked what was the most important thing Congress had done in its first few months (Roper Center 2007, 090). While </w:t>
      </w:r>
      <w:r w:rsidRPr="00661A68">
        <w:rPr>
          <w:rStyle w:val="StyleUnderline"/>
        </w:rPr>
        <w:t xml:space="preserve">Congress received </w:t>
      </w:r>
      <w:r w:rsidRPr="00661A68">
        <w:rPr>
          <w:rStyle w:val="Emphasis"/>
        </w:rPr>
        <w:t>little credit</w:t>
      </w:r>
      <w:r w:rsidRPr="00661A68">
        <w:rPr>
          <w:rStyle w:val="StyleUnderline"/>
        </w:rPr>
        <w:t xml:space="preserve"> for its support</w:t>
      </w:r>
      <w:r w:rsidRPr="00661A68">
        <w:rPr>
          <w:sz w:val="10"/>
        </w:rPr>
        <w:t xml:space="preserve"> for a minimum wage increase, the initiatives’ overwhelming success and the Democratic takeover of Congress in 2007 brought state and federal policy more in line with public opinion, enhancing the opinion-policy connection particularly at the state level and fostering vertical policy consensus and diffusion.</w:t>
      </w:r>
    </w:p>
    <w:p w14:paraId="4168BFBD" w14:textId="77777777" w:rsidR="00602782" w:rsidRPr="00661A68" w:rsidRDefault="00602782" w:rsidP="00602782">
      <w:pPr>
        <w:pStyle w:val="Heading4"/>
      </w:pPr>
      <w:r w:rsidRPr="00661A68">
        <w:t>More ev---Voters distinguish between giving credit to the feds and states</w:t>
      </w:r>
    </w:p>
    <w:p w14:paraId="6A908562" w14:textId="77777777" w:rsidR="00602782" w:rsidRPr="00661A68" w:rsidRDefault="00602782" w:rsidP="00602782">
      <w:r w:rsidRPr="00661A68">
        <w:rPr>
          <w:rStyle w:val="Style13ptBold"/>
        </w:rPr>
        <w:t>Arceneaux 6</w:t>
      </w:r>
      <w:r w:rsidRPr="00661A68">
        <w:t xml:space="preserve"> </w:t>
      </w:r>
      <w:r w:rsidRPr="00661A68">
        <w:rPr>
          <w:sz w:val="16"/>
          <w:szCs w:val="16"/>
        </w:rPr>
        <w:t>(Kevin, Professor of Political Science at Temple University, The Federal Face of Voting: Are Elected Officials Held Accountable for the Functions Relevant to Their Office?,  Political Psychology, Vol. 27, No. 5 (Oct., 2006), pp. 731-754,  http://www.jstor.org/stable/3792536)</w:t>
      </w:r>
    </w:p>
    <w:p w14:paraId="4559E4A1" w14:textId="77777777" w:rsidR="00602782" w:rsidRPr="00661A68" w:rsidRDefault="00602782" w:rsidP="00602782">
      <w:pPr>
        <w:rPr>
          <w:sz w:val="16"/>
        </w:rPr>
      </w:pPr>
      <w:r w:rsidRPr="00661A68">
        <w:rPr>
          <w:sz w:val="16"/>
        </w:rPr>
        <w:t xml:space="preserve"> </w:t>
      </w:r>
      <w:r w:rsidRPr="00661A68">
        <w:rPr>
          <w:rStyle w:val="StyleUnderline"/>
        </w:rPr>
        <w:t>An inspection of Table 4 shows modest support for the federalist voting hypothesis. Respondents with accessible attitudes on unemployment are more likely to link vote for</w:t>
      </w:r>
      <w:r w:rsidRPr="00661A68">
        <w:rPr>
          <w:sz w:val="16"/>
        </w:rPr>
        <w:t xml:space="preserve"> </w:t>
      </w:r>
      <w:r w:rsidRPr="00661A68">
        <w:rPr>
          <w:rStyle w:val="StyleUnderline"/>
        </w:rPr>
        <w:t xml:space="preserve">(against) their incumbent senator when they </w:t>
      </w:r>
      <w:r w:rsidRPr="00661A68">
        <w:rPr>
          <w:rStyle w:val="Emphasis"/>
        </w:rPr>
        <w:t>attribute</w:t>
      </w:r>
      <w:r w:rsidRPr="00661A68">
        <w:rPr>
          <w:rStyle w:val="StyleUnderline"/>
        </w:rPr>
        <w:t xml:space="preserve"> func- tional </w:t>
      </w:r>
      <w:r w:rsidRPr="00661A68">
        <w:rPr>
          <w:rStyle w:val="Emphasis"/>
        </w:rPr>
        <w:t>responsibility to the national government</w:t>
      </w:r>
      <w:r w:rsidRPr="00661A68">
        <w:rPr>
          <w:rStyle w:val="StyleUnderline"/>
        </w:rPr>
        <w:t xml:space="preserve"> and credit</w:t>
      </w:r>
      <w:r w:rsidRPr="00661A68">
        <w:rPr>
          <w:sz w:val="16"/>
        </w:rPr>
        <w:t xml:space="preserve"> (blame) </w:t>
      </w:r>
      <w:r w:rsidRPr="00661A68">
        <w:rPr>
          <w:rStyle w:val="StyleUnderline"/>
        </w:rPr>
        <w:t>government for policy outcomes in connection with this issue.</w:t>
      </w:r>
      <w:r w:rsidRPr="00661A68">
        <w:rPr>
          <w:sz w:val="16"/>
        </w:rPr>
        <w:t xml:space="preserve"> </w:t>
      </w:r>
      <w:r w:rsidRPr="00661A68">
        <w:rPr>
          <w:rStyle w:val="StyleUnderline"/>
        </w:rPr>
        <w:t xml:space="preserve">Respondents with accessible attitudes on unemployment but who attributed functional </w:t>
      </w:r>
      <w:r w:rsidRPr="00661A68">
        <w:rPr>
          <w:rStyle w:val="Emphasis"/>
        </w:rPr>
        <w:t>responsibility to the state government showed</w:t>
      </w:r>
      <w:r w:rsidRPr="00661A68">
        <w:rPr>
          <w:rStyle w:val="StyleUnderline"/>
        </w:rPr>
        <w:t xml:space="preserve"> a </w:t>
      </w:r>
      <w:r w:rsidRPr="00661A68">
        <w:rPr>
          <w:rStyle w:val="Emphasis"/>
        </w:rPr>
        <w:t>similar significant and positive relationship between</w:t>
      </w:r>
      <w:r w:rsidRPr="00661A68">
        <w:rPr>
          <w:rStyle w:val="StyleUnderline"/>
        </w:rPr>
        <w:t xml:space="preserve"> causal </w:t>
      </w:r>
      <w:r w:rsidRPr="00661A68">
        <w:rPr>
          <w:rStyle w:val="Emphasis"/>
        </w:rPr>
        <w:t>responsibility attribution for</w:t>
      </w:r>
      <w:r w:rsidRPr="00661A68">
        <w:rPr>
          <w:rStyle w:val="StyleUnderline"/>
        </w:rPr>
        <w:t xml:space="preserve"> unemployment and </w:t>
      </w:r>
      <w:r w:rsidRPr="00661A68">
        <w:rPr>
          <w:rStyle w:val="Emphasis"/>
        </w:rPr>
        <w:t>their vote choice</w:t>
      </w:r>
      <w:r w:rsidRPr="00661A68">
        <w:rPr>
          <w:rStyle w:val="StyleUnderline"/>
        </w:rPr>
        <w:t xml:space="preserve"> for governor</w:t>
      </w:r>
      <w:r w:rsidRPr="00661A68">
        <w:rPr>
          <w:sz w:val="16"/>
        </w:rPr>
        <w:t xml:space="preserve">. This pattern did not extend to mayoral voting behavior. Accessible causal responsibility attributions regarding education and traffic congestion linked to mayoral vote choice when functional responsibility for these issues coincided with the city. In contrast, accessible causal responsibility attribu- tions for these issues did not affect senate or gubernatorial vote choice when functional responsibility matched those levels of government. Moreover, if acces- sibility for these attitudes is lowered, at a certain point all of these coefficients shrink and become statistically insignificant. To illustrate, Figure 1 displays the combined effect coefficients for unemployment (and their 95% confidence inter- vals) calculated at different levels of attitude accessibility in the gubernatorial vote choice model. Note that as causal responsibility attributions regarding unemploy- ment become less accessible (i.e., the latency score increases), the combined effect shrinks and the confidence interval crosses zero. Consequently, the federalist voting hypothesis may only apply, if at all, to a subset of voters for whom a particular issue is salient and readily accessible. The pattern of statistical significance for the coefficients in Table 4 is also intriguing. Unemployment only has an effect on national and state-level voting behavior, while education and traffic congestion only have an effect on city-level voting behavior (as long as functional responsibility is also attributed to those levels). In some sense, this pattern matches the actual assignment of functional responsibility for these issues. The national government has more to do with developing policies that affect unemployment, while local governments are more involved with setting education policy and handling traffic congestion. While only suggestive, these data lead to a hypothesis worthy of further study: </w:t>
      </w:r>
      <w:r w:rsidRPr="00661A68">
        <w:rPr>
          <w:rStyle w:val="StyleUnderline"/>
        </w:rPr>
        <w:t xml:space="preserve">Perceived functional responsibility attributions affect voting behavior to the extent they match the </w:t>
      </w:r>
      <w:r w:rsidRPr="00661A68">
        <w:rPr>
          <w:rStyle w:val="Emphasis"/>
        </w:rPr>
        <w:t>actual assignment of functional responsibilities</w:t>
      </w:r>
      <w:r w:rsidRPr="00661A68">
        <w:rPr>
          <w:rStyle w:val="StyleUnderline"/>
        </w:rPr>
        <w:t xml:space="preserve">. </w:t>
      </w:r>
      <w:r w:rsidRPr="00661A68">
        <w:rPr>
          <w:sz w:val="16"/>
        </w:rPr>
        <w:t xml:space="preserve">The cause of this match between perceived and actual functional responsi- bilities is far from clear. It may reflect knowledge on the part of the respondent. After all, these results only work for respondents with highly accessible attitudes on the subject. Perhaps these individuals care a great deal about these issues and are motivated to pin credit or blame on the appropriate office. On the other hand, it may reflect the set of issues discussed in the campaign. There are at least two reasons why campaigns may be the main culprit for explaining this pattern. First, campaigns at different levels of government tend to emphasize the issues over which officials are functionally responsible (Atkeson &amp; Partin, 2001; Tidmarch, Hyman, &amp; Sorkin, 1984). Second, when campaigns focus on an issue, consider- ations about that issue, such as causal responsibility attributions, are more likely to be accessible (Zaller, 1992). The findings with regard to unemployment may provide some evidence for the campaign-effects claim. In 2002, unemployment was an issue in both senatorial and gubernatorial campaigns. The relationship at the state level is likely further enhanced by the fact that all three of the incumbent governors in the state analyzed here were Republican, the same party as the sitting president. President Bush and his policies became an issue in each of these gubernatorial campaigns, which may be responsible for some degree of spillover from the national to the state level. Conclusion </w:t>
      </w:r>
      <w:r w:rsidRPr="00661A68">
        <w:rPr>
          <w:rStyle w:val="StyleUnderline"/>
        </w:rPr>
        <w:t>Citizens</w:t>
      </w:r>
      <w:r w:rsidRPr="00661A68">
        <w:rPr>
          <w:sz w:val="16"/>
        </w:rPr>
        <w:t xml:space="preserve"> do </w:t>
      </w:r>
      <w:r w:rsidRPr="00661A68">
        <w:rPr>
          <w:rStyle w:val="StyleUnderline"/>
        </w:rPr>
        <w:t xml:space="preserve">appear </w:t>
      </w:r>
      <w:r w:rsidRPr="00661A68">
        <w:rPr>
          <w:rStyle w:val="Emphasis"/>
        </w:rPr>
        <w:t>capable of making distinctions in terms of what different levels of government do</w:t>
      </w:r>
      <w:r w:rsidRPr="00661A68">
        <w:rPr>
          <w:sz w:val="16"/>
        </w:rPr>
        <w:t xml:space="preserve">, and </w:t>
      </w:r>
      <w:r w:rsidRPr="00661A68">
        <w:rPr>
          <w:rStyle w:val="Emphasis"/>
        </w:rPr>
        <w:t xml:space="preserve">these distinctions structure where they attribute credit </w:t>
      </w:r>
      <w:r w:rsidRPr="00661A68">
        <w:rPr>
          <w:sz w:val="16"/>
        </w:rPr>
        <w:t xml:space="preserve">or blame </w:t>
      </w:r>
      <w:r w:rsidRPr="00661A68">
        <w:rPr>
          <w:rStyle w:val="StyleUnderline"/>
        </w:rPr>
        <w:t>for policy outcomes</w:t>
      </w:r>
      <w:r w:rsidRPr="00661A68">
        <w:rPr>
          <w:sz w:val="16"/>
        </w:rPr>
        <w:t xml:space="preserve">. However, these distinctions only affect voting behavior at different levels within the federal system under specific conditions. The data analyzed here suggest that </w:t>
      </w:r>
      <w:r w:rsidRPr="00661A68">
        <w:rPr>
          <w:rStyle w:val="StyleUnderline"/>
        </w:rPr>
        <w:t>the issue upon which voters are attributing responsibility must be highly accessible and the level of government perceived to be functionally responsible for that issue should coincide with the level of gov- ernment that is actually responsible</w:t>
      </w:r>
      <w:r w:rsidRPr="00661A68">
        <w:rPr>
          <w:sz w:val="16"/>
        </w:rPr>
        <w:t>. As already discussed, future study should hone in on the explanation for this nuanced finding. Does it reflect campaign- specific cues, knowledge on the part of the voter, or both?</w:t>
      </w:r>
    </w:p>
    <w:p w14:paraId="2F7A7283" w14:textId="77777777" w:rsidR="00602782" w:rsidRPr="00661A68" w:rsidRDefault="00602782" w:rsidP="00602782"/>
    <w:p w14:paraId="408A3F93" w14:textId="149F8BA1" w:rsidR="00305A32" w:rsidRPr="00661A68" w:rsidRDefault="00305A32" w:rsidP="00305A32">
      <w:pPr>
        <w:pStyle w:val="Heading3"/>
      </w:pPr>
      <w:r w:rsidRPr="00661A68">
        <w:t>2NC Avoids Politic</w:t>
      </w:r>
      <w:r w:rsidR="00602782" w:rsidRPr="00661A68">
        <w:t>al Fights</w:t>
      </w:r>
    </w:p>
    <w:p w14:paraId="12B5C0CC" w14:textId="77777777" w:rsidR="00305A32" w:rsidRPr="00661A68" w:rsidRDefault="00305A32" w:rsidP="00305A32"/>
    <w:p w14:paraId="61B21624" w14:textId="77777777" w:rsidR="00305A32" w:rsidRPr="00661A68" w:rsidRDefault="00305A32" w:rsidP="00305A32">
      <w:pPr>
        <w:keepNext/>
        <w:keepLines/>
        <w:spacing w:before="200"/>
        <w:outlineLvl w:val="3"/>
        <w:rPr>
          <w:rFonts w:eastAsiaTheme="majorEastAsia" w:cstheme="majorBidi"/>
          <w:b/>
          <w:bCs/>
          <w:iCs/>
          <w:sz w:val="26"/>
        </w:rPr>
      </w:pPr>
      <w:r w:rsidRPr="00661A68">
        <w:rPr>
          <w:rFonts w:eastAsiaTheme="majorEastAsia" w:cstheme="majorBidi"/>
          <w:b/>
          <w:bCs/>
          <w:iCs/>
          <w:sz w:val="26"/>
        </w:rPr>
        <w:t>CP avoids political fights</w:t>
      </w:r>
    </w:p>
    <w:p w14:paraId="08086096" w14:textId="77777777" w:rsidR="00305A32" w:rsidRPr="00661A68" w:rsidRDefault="00305A32" w:rsidP="00305A32">
      <w:pPr>
        <w:rPr>
          <w:b/>
          <w:bCs/>
          <w:sz w:val="26"/>
        </w:rPr>
      </w:pPr>
      <w:r w:rsidRPr="00661A68">
        <w:rPr>
          <w:b/>
          <w:bCs/>
          <w:sz w:val="26"/>
        </w:rPr>
        <w:t>Harpring, 91</w:t>
      </w:r>
    </w:p>
    <w:p w14:paraId="446E177C" w14:textId="77777777" w:rsidR="00305A32" w:rsidRPr="00661A68" w:rsidRDefault="00305A32" w:rsidP="00305A32">
      <w:r w:rsidRPr="00661A68">
        <w:t>(Michael R., Catholic University Law Review, SUMMER, 1991, 40 Cath. U.L. Rev. 851)</w:t>
      </w:r>
    </w:p>
    <w:p w14:paraId="4E87C457" w14:textId="77777777" w:rsidR="00305A32" w:rsidRPr="00661A68" w:rsidRDefault="00305A32" w:rsidP="00305A32">
      <w:pPr>
        <w:rPr>
          <w:sz w:val="16"/>
        </w:rPr>
      </w:pPr>
      <w:r w:rsidRPr="00661A68">
        <w:rPr>
          <w:b/>
          <w:bCs/>
          <w:u w:val="single"/>
        </w:rPr>
        <w:t>Interstate compacts are the most effective device available</w:t>
      </w:r>
      <w:r w:rsidRPr="00661A68">
        <w:rPr>
          <w:sz w:val="16"/>
        </w:rPr>
        <w:t xml:space="preserve"> to states seeking to bring uniformity to a region.   n249 </w:t>
      </w:r>
      <w:r w:rsidRPr="00661A68">
        <w:rPr>
          <w:b/>
          <w:bCs/>
          <w:u w:val="single"/>
        </w:rPr>
        <w:t>They create common procedures and</w:t>
      </w:r>
      <w:r w:rsidRPr="00661A68">
        <w:rPr>
          <w:sz w:val="16"/>
        </w:rPr>
        <w:t xml:space="preserve">  [*889]  </w:t>
      </w:r>
      <w:r w:rsidRPr="00661A68">
        <w:rPr>
          <w:b/>
          <w:bCs/>
          <w:u w:val="single"/>
        </w:rPr>
        <w:t>standards</w:t>
      </w:r>
      <w:r w:rsidRPr="00661A68">
        <w:rPr>
          <w:sz w:val="16"/>
        </w:rPr>
        <w:t xml:space="preserve"> as well as common interpretation of the rules they establish.   n250 </w:t>
      </w:r>
      <w:r w:rsidRPr="00661A68">
        <w:rPr>
          <w:rStyle w:val="StyleUnderline"/>
        </w:rPr>
        <w:t xml:space="preserve">Interstate compacts can be </w:t>
      </w:r>
      <w:r w:rsidRPr="00661A68">
        <w:rPr>
          <w:rStyle w:val="Emphasis"/>
        </w:rPr>
        <w:t>especially useful</w:t>
      </w:r>
      <w:r w:rsidRPr="00661A68">
        <w:rPr>
          <w:rStyle w:val="StyleUnderline"/>
        </w:rPr>
        <w:t xml:space="preserve"> when </w:t>
      </w:r>
      <w:r w:rsidRPr="00661A68">
        <w:rPr>
          <w:rStyle w:val="Emphasis"/>
        </w:rPr>
        <w:t>addressing politically controversial issues</w:t>
      </w:r>
      <w:r w:rsidRPr="00661A68">
        <w:rPr>
          <w:sz w:val="16"/>
        </w:rPr>
        <w:t>.   n251 While the procedure for creating a compact varies, states typically form a "joint compact commission" to negotiate and draft the terms of an agreement.   n252 The enactment of a compact by one state functions as an offer that other member states may accept by enacting identical statutes.   n253 Once ratified, the compact may not be modified without the signatory states' unanimous consent.   n254</w:t>
      </w:r>
    </w:p>
    <w:p w14:paraId="498424B5" w14:textId="77777777" w:rsidR="00305A32" w:rsidRPr="00661A68" w:rsidRDefault="00305A32" w:rsidP="00305A32"/>
    <w:p w14:paraId="6D810B31" w14:textId="77777777" w:rsidR="00305A32" w:rsidRPr="00661A68" w:rsidRDefault="00305A32" w:rsidP="00305A32">
      <w:pPr>
        <w:pStyle w:val="Heading4"/>
      </w:pPr>
      <w:r w:rsidRPr="00661A68">
        <w:t>Avoids Congressional action</w:t>
      </w:r>
    </w:p>
    <w:p w14:paraId="0A975608" w14:textId="77777777" w:rsidR="00305A32" w:rsidRPr="00661A68" w:rsidRDefault="00305A32" w:rsidP="00305A32">
      <w:pPr>
        <w:rPr>
          <w:rStyle w:val="Style13ptBold"/>
        </w:rPr>
      </w:pPr>
      <w:r w:rsidRPr="00661A68">
        <w:rPr>
          <w:rStyle w:val="Style13ptBold"/>
        </w:rPr>
        <w:t>Carothers, 06</w:t>
      </w:r>
    </w:p>
    <w:p w14:paraId="6ACC34DD" w14:textId="77777777" w:rsidR="00305A32" w:rsidRPr="00661A68" w:rsidRDefault="00305A32" w:rsidP="00305A32">
      <w:r w:rsidRPr="00661A68">
        <w:t>(Claire, JD Georgia Law School, Assistant professor of Law at Wayne State University, “NOTE: UNITED WE STAND: THE INTERSTATE COMPACT AS A TOOL FOR EFFECTING CLIMATE CHANGE”, Georgia Law Review</w:t>
      </w:r>
      <w:r w:rsidRPr="00661A68">
        <w:rPr>
          <w:sz w:val="12"/>
        </w:rPr>
        <w:t xml:space="preserve">¶ </w:t>
      </w:r>
      <w:r w:rsidRPr="00661A68">
        <w:t>Fall, 2006</w:t>
      </w:r>
      <w:r w:rsidRPr="00661A68">
        <w:rPr>
          <w:sz w:val="12"/>
        </w:rPr>
        <w:t xml:space="preserve">¶ </w:t>
      </w:r>
      <w:r w:rsidRPr="00661A68">
        <w:t>41 Ga. L. Rev. 229</w:t>
      </w:r>
      <w:r w:rsidRPr="00661A68">
        <w:rPr>
          <w:sz w:val="12"/>
        </w:rPr>
        <w:t xml:space="preserve">¶ </w:t>
      </w:r>
      <w:r w:rsidRPr="00661A68">
        <w:t>Lexis NL)</w:t>
      </w:r>
    </w:p>
    <w:p w14:paraId="3714F8D3" w14:textId="77777777" w:rsidR="00305A32" w:rsidRPr="00661A68" w:rsidRDefault="00305A32" w:rsidP="00305A32">
      <w:pPr>
        <w:rPr>
          <w:rStyle w:val="Hyperlink"/>
          <w:sz w:val="16"/>
        </w:rPr>
      </w:pPr>
      <w:r w:rsidRPr="00661A68">
        <w:rPr>
          <w:sz w:val="16"/>
        </w:rPr>
        <w:t xml:space="preserve">Before 1921, the thirty-six compacts enacted with the consent of Congress dealt mainly with the establishment of boundaries between adjacent states. </w:t>
      </w:r>
      <w:hyperlink r:id="rId23" w:anchor="n92" w:history="1">
        <w:r w:rsidRPr="00661A68">
          <w:rPr>
            <w:rStyle w:val="Hyperlink"/>
            <w:sz w:val="16"/>
          </w:rPr>
          <w:t>n92</w:t>
        </w:r>
      </w:hyperlink>
      <w:r w:rsidRPr="00661A68">
        <w:rPr>
          <w:sz w:val="16"/>
        </w:rPr>
        <w:t xml:space="preserve"> States continue to use boundary compacts to avoid litigation. </w:t>
      </w:r>
      <w:hyperlink r:id="rId24" w:anchor="n93" w:history="1">
        <w:r w:rsidRPr="00661A68">
          <w:rPr>
            <w:rStyle w:val="Hyperlink"/>
            <w:sz w:val="16"/>
          </w:rPr>
          <w:t>n93</w:t>
        </w:r>
      </w:hyperlink>
      <w:r w:rsidRPr="00661A68">
        <w:rPr>
          <w:sz w:val="16"/>
        </w:rPr>
        <w:t xml:space="preserve"> However, </w:t>
      </w:r>
      <w:r w:rsidRPr="00661A68">
        <w:rPr>
          <w:rStyle w:val="StyleUnderline"/>
        </w:rPr>
        <w:t xml:space="preserve">since the New Deal era, modern scholars and judges have adopted a more </w:t>
      </w:r>
      <w:r w:rsidRPr="00661A68">
        <w:rPr>
          <w:rStyle w:val="Emphasis"/>
        </w:rPr>
        <w:t>expansive</w:t>
      </w:r>
      <w:r w:rsidRPr="00661A68">
        <w:rPr>
          <w:rStyle w:val="StyleUnderline"/>
        </w:rPr>
        <w:t xml:space="preserve"> view of interstate compacts as </w:t>
      </w:r>
      <w:r w:rsidRPr="00661A68">
        <w:rPr>
          <w:rStyle w:val="Emphasis"/>
        </w:rPr>
        <w:t>effective</w:t>
      </w:r>
      <w:r w:rsidRPr="00661A68">
        <w:rPr>
          <w:rStyle w:val="StyleUnderline"/>
        </w:rPr>
        <w:t xml:space="preserve"> and </w:t>
      </w:r>
      <w:r w:rsidRPr="00661A68">
        <w:rPr>
          <w:rStyle w:val="Emphasis"/>
        </w:rPr>
        <w:t>underused</w:t>
      </w:r>
      <w:r w:rsidRPr="00661A68">
        <w:rPr>
          <w:rStyle w:val="StyleUnderline"/>
        </w:rPr>
        <w:t xml:space="preserve"> mechanisms to solve regional and national problems </w:t>
      </w:r>
      <w:r w:rsidRPr="00661A68">
        <w:rPr>
          <w:rStyle w:val="Emphasis"/>
        </w:rPr>
        <w:t>without direct congressional action</w:t>
      </w:r>
      <w:r w:rsidRPr="00661A68">
        <w:rPr>
          <w:sz w:val="16"/>
        </w:rPr>
        <w:t xml:space="preserve">. </w:t>
      </w:r>
      <w:hyperlink r:id="rId25" w:anchor="n94" w:history="1">
        <w:r w:rsidRPr="00661A68">
          <w:rPr>
            <w:rStyle w:val="Hyperlink"/>
            <w:sz w:val="16"/>
          </w:rPr>
          <w:t>n94</w:t>
        </w:r>
      </w:hyperlink>
      <w:r w:rsidRPr="00661A68">
        <w:rPr>
          <w:sz w:val="16"/>
        </w:rPr>
        <w:t xml:space="preserve"> While the exact number of compacts is hard to calculate, one survey estimates over 140 agreements enacted after 1920. </w:t>
      </w:r>
      <w:hyperlink r:id="rId26" w:anchor="n95" w:history="1">
        <w:r w:rsidRPr="00661A68">
          <w:rPr>
            <w:rStyle w:val="Hyperlink"/>
            <w:sz w:val="16"/>
          </w:rPr>
          <w:t>n95</w:t>
        </w:r>
      </w:hyperlink>
      <w:r w:rsidRPr="00661A68">
        <w:rPr>
          <w:sz w:val="16"/>
        </w:rPr>
        <w:t xml:space="preserve"> An increasing percentage of these have established administrative agencies with jurisdiction over important regional issues. </w:t>
      </w:r>
      <w:hyperlink r:id="rId27" w:anchor="n96" w:history="1">
        <w:r w:rsidRPr="00661A68">
          <w:rPr>
            <w:rStyle w:val="Hyperlink"/>
            <w:sz w:val="16"/>
          </w:rPr>
          <w:t>n96</w:t>
        </w:r>
      </w:hyperlink>
      <w:r w:rsidRPr="00661A68">
        <w:rPr>
          <w:sz w:val="16"/>
        </w:rPr>
        <w:t xml:space="preserve"> </w:t>
      </w:r>
      <w:r w:rsidRPr="00661A68">
        <w:rPr>
          <w:rStyle w:val="StyleUnderline"/>
        </w:rPr>
        <w:t xml:space="preserve">In identifying and classifying new compacts enacted since the 1970s, Patricia S. Florestano reported a decrease in the number of border and boundary compacts, an increase in regional compacts, and a </w:t>
      </w:r>
      <w:r w:rsidRPr="00661A68">
        <w:rPr>
          <w:rStyle w:val="Emphasis"/>
        </w:rPr>
        <w:t>sharp increase</w:t>
      </w:r>
      <w:r w:rsidRPr="00661A68">
        <w:rPr>
          <w:rStyle w:val="StyleUnderline"/>
        </w:rPr>
        <w:t xml:space="preserve"> in environmental and </w:t>
      </w:r>
      <w:r w:rsidRPr="00661A68">
        <w:rPr>
          <w:rStyle w:val="Emphasis"/>
        </w:rPr>
        <w:t>transportation compacts</w:t>
      </w:r>
      <w:r w:rsidRPr="00661A68">
        <w:rPr>
          <w:sz w:val="16"/>
        </w:rPr>
        <w:t xml:space="preserve">. </w:t>
      </w:r>
      <w:hyperlink r:id="rId28" w:anchor="n97" w:history="1">
        <w:r w:rsidRPr="00661A68">
          <w:rPr>
            <w:rStyle w:val="Hyperlink"/>
            <w:sz w:val="16"/>
          </w:rPr>
          <w:t>n97</w:t>
        </w:r>
      </w:hyperlink>
    </w:p>
    <w:p w14:paraId="1B43B5E2" w14:textId="2EB8AD53" w:rsidR="00602782" w:rsidRPr="00661A68" w:rsidRDefault="00602782" w:rsidP="00305A32">
      <w:pPr>
        <w:pStyle w:val="Heading3"/>
      </w:pPr>
      <w:r w:rsidRPr="00661A68">
        <w:t>2NC Avoids Agenda PTX</w:t>
      </w:r>
    </w:p>
    <w:p w14:paraId="40B042CC" w14:textId="77777777" w:rsidR="00602782" w:rsidRPr="00661A68" w:rsidRDefault="00602782" w:rsidP="00602782">
      <w:pPr>
        <w:pStyle w:val="Heading4"/>
      </w:pPr>
      <w:r w:rsidRPr="00661A68">
        <w:t>States don’t link- Congress doesn’t have to pass anything, and even if feds get involved it’s not hostile</w:t>
      </w:r>
    </w:p>
    <w:p w14:paraId="44FF75AF" w14:textId="77777777" w:rsidR="00602782" w:rsidRPr="00661A68" w:rsidRDefault="00602782" w:rsidP="00602782">
      <w:r w:rsidRPr="00661A68">
        <w:rPr>
          <w:rStyle w:val="Style13ptBold"/>
        </w:rPr>
        <w:t>Bulman-Pozen 16</w:t>
      </w:r>
      <w:r w:rsidRPr="00661A68">
        <w:t xml:space="preserve"> </w:t>
      </w:r>
      <w:r w:rsidRPr="00661A68">
        <w:rPr>
          <w:sz w:val="16"/>
          <w:szCs w:val="16"/>
        </w:rPr>
        <w:t>(Jessica, Associate Professor, Columbia Law School, EXECUTIVE FEDERALISM COMES TO AMERICA, 102 Va. L. Rev. 953, June, lexis)</w:t>
      </w:r>
    </w:p>
    <w:p w14:paraId="175291CB" w14:textId="77777777" w:rsidR="00602782" w:rsidRPr="00661A68" w:rsidRDefault="00602782" w:rsidP="00602782">
      <w:pPr>
        <w:rPr>
          <w:sz w:val="16"/>
        </w:rPr>
      </w:pPr>
      <w:r w:rsidRPr="00661A68">
        <w:rPr>
          <w:rStyle w:val="Emphasis"/>
        </w:rPr>
        <w:t>Compared to legislative processes</w:t>
      </w:r>
      <w:r w:rsidRPr="00661A68">
        <w:rPr>
          <w:sz w:val="16"/>
        </w:rPr>
        <w:t xml:space="preserve">, executive </w:t>
      </w:r>
      <w:r w:rsidRPr="00661A68">
        <w:rPr>
          <w:rStyle w:val="StyleUnderline"/>
        </w:rPr>
        <w:t>federalism has several advantages in fostering negotiation across the political spectrum</w:t>
      </w:r>
      <w:r w:rsidRPr="00661A68">
        <w:rPr>
          <w:sz w:val="16"/>
        </w:rPr>
        <w:t xml:space="preserve">. First, as differentiated integration underscores, negotiations may be bilateral or partially multilateral. </w:t>
      </w:r>
      <w:r w:rsidRPr="00661A68">
        <w:rPr>
          <w:rStyle w:val="StyleUnderline"/>
        </w:rPr>
        <w:t xml:space="preserve">Instead of a need for a </w:t>
      </w:r>
      <w:r w:rsidRPr="00661A68">
        <w:rPr>
          <w:rStyle w:val="Emphasis"/>
        </w:rPr>
        <w:t>grand compromise that satisfies an aggregate national body</w:t>
      </w:r>
      <w:r w:rsidRPr="00661A68">
        <w:rPr>
          <w:sz w:val="16"/>
        </w:rPr>
        <w:t xml:space="preserve">, </w:t>
      </w:r>
      <w:r w:rsidRPr="00661A68">
        <w:rPr>
          <w:rStyle w:val="StyleUnderline"/>
        </w:rPr>
        <w:t xml:space="preserve">executive federalism may unfold through </w:t>
      </w:r>
      <w:r w:rsidRPr="00661A68">
        <w:rPr>
          <w:rStyle w:val="Emphasis"/>
        </w:rPr>
        <w:t>many smaller compromises</w:t>
      </w:r>
      <w:r w:rsidRPr="00661A68">
        <w:rPr>
          <w:rStyle w:val="StyleUnderline"/>
        </w:rPr>
        <w:t xml:space="preserve"> that satisfy disaggregated political actors</w:t>
      </w:r>
      <w:r w:rsidRPr="00661A68">
        <w:rPr>
          <w:sz w:val="16"/>
        </w:rPr>
        <w:t xml:space="preserve">. n209 </w:t>
      </w:r>
      <w:r w:rsidRPr="00661A68">
        <w:rPr>
          <w:rStyle w:val="StyleUnderline"/>
        </w:rPr>
        <w:t>The sum total of these negotiations shapes national policy, but no one negotiation does.</w:t>
      </w:r>
      <w:r w:rsidRPr="00661A68">
        <w:rPr>
          <w:sz w:val="16"/>
        </w:rPr>
        <w:t xml:space="preserve"> </w:t>
      </w:r>
      <w:r w:rsidRPr="00661A68">
        <w:rPr>
          <w:rStyle w:val="StyleUnderline"/>
        </w:rPr>
        <w:t xml:space="preserve">This disaggregated quality can </w:t>
      </w:r>
      <w:r w:rsidRPr="00661A68">
        <w:rPr>
          <w:rStyle w:val="Emphasis"/>
        </w:rPr>
        <w:t>reduce the partisan temperature</w:t>
      </w:r>
      <w:r w:rsidRPr="00661A68">
        <w:rPr>
          <w:rStyle w:val="StyleUnderline"/>
        </w:rPr>
        <w:t xml:space="preserve"> </w:t>
      </w:r>
      <w:r w:rsidRPr="00661A68">
        <w:rPr>
          <w:sz w:val="16"/>
        </w:rPr>
        <w:t xml:space="preserve">and bring intraparty difference to the fore. Second, because it tends to arise in the process of implementing national policy over a period of time, </w:t>
      </w:r>
      <w:r w:rsidRPr="00661A68">
        <w:rPr>
          <w:rStyle w:val="StyleUnderline"/>
        </w:rPr>
        <w:t>state-federal bargaining involves iterated interactions over both bigger-picture issues and smaller details</w:t>
      </w:r>
      <w:r w:rsidRPr="00661A68">
        <w:rPr>
          <w:sz w:val="16"/>
        </w:rPr>
        <w:t xml:space="preserve">. Such implementation is policymaking, not mere transmission of preexisting instructions, but it is more concrete than lawmaking, and </w:t>
      </w:r>
      <w:r w:rsidRPr="00661A68">
        <w:rPr>
          <w:rStyle w:val="StyleUnderline"/>
        </w:rPr>
        <w:t>partisan dogmas may be unsettled</w:t>
      </w:r>
      <w:r w:rsidRPr="00661A68">
        <w:rPr>
          <w:sz w:val="16"/>
        </w:rPr>
        <w:t xml:space="preserve"> as new issues arise in the implementation process. Third, federal and state executives tend to be differently situated with respect to particular programs: The states may rely on the federal executive for funding as the federal executive relies on the states to achieve its policy goals; or the states may rely on federal cooperation to achieve their policy goals as the federal government relies on the states for political capital. [*1003] Such </w:t>
      </w:r>
      <w:r w:rsidRPr="00661A68">
        <w:rPr>
          <w:rStyle w:val="StyleUnderline"/>
        </w:rPr>
        <w:t>mutual reliance</w:t>
      </w:r>
      <w:r w:rsidRPr="00661A68">
        <w:rPr>
          <w:sz w:val="16"/>
        </w:rPr>
        <w:t xml:space="preserve">, but </w:t>
      </w:r>
      <w:r w:rsidRPr="00661A68">
        <w:rPr>
          <w:rStyle w:val="StyleUnderline"/>
        </w:rPr>
        <w:t>varied responsibilities and interests, may create more paths to, and incentives for, compromise</w:t>
      </w:r>
      <w:r w:rsidRPr="00661A68">
        <w:rPr>
          <w:sz w:val="16"/>
        </w:rPr>
        <w:t xml:space="preserve">. Finally, executive </w:t>
      </w:r>
      <w:r w:rsidRPr="00661A68">
        <w:rPr>
          <w:rStyle w:val="StyleUnderline"/>
        </w:rPr>
        <w:t>negotiations may transpire in greater secrecy than legislative deliberations that occur in the sunshine. Consider</w:t>
      </w:r>
      <w:r w:rsidRPr="00661A68">
        <w:rPr>
          <w:sz w:val="16"/>
        </w:rPr>
        <w:t xml:space="preserve">, for instance, </w:t>
      </w:r>
      <w:r w:rsidRPr="00661A68">
        <w:rPr>
          <w:rStyle w:val="StyleUnderline"/>
        </w:rPr>
        <w:t>how executive federalism has been remaking national healthcare law</w:t>
      </w:r>
      <w:r w:rsidRPr="00661A68">
        <w:rPr>
          <w:sz w:val="16"/>
        </w:rPr>
        <w:t xml:space="preserve">, </w:t>
      </w:r>
      <w:r w:rsidRPr="00661A68">
        <w:rPr>
          <w:rStyle w:val="StyleUnderline"/>
        </w:rPr>
        <w:t>with state-federal negotiations about insurance exchanges and the Medicaid expansion opening new routes to bipartisan compromise</w:t>
      </w:r>
      <w:r w:rsidRPr="00661A68">
        <w:rPr>
          <w:sz w:val="16"/>
        </w:rPr>
        <w:t xml:space="preserve">. n210 </w:t>
      </w:r>
      <w:r w:rsidRPr="00661A68">
        <w:rPr>
          <w:rStyle w:val="StyleUnderline"/>
        </w:rPr>
        <w:t>Such compromises are mostly arising from discrete interactions among particular state and federal executives, and they seize on finer-grained questions to begin to find common ground, or at least mutual acquiescence, amid sharp polarization</w:t>
      </w:r>
      <w:r w:rsidRPr="00661A68">
        <w:rPr>
          <w:sz w:val="16"/>
        </w:rPr>
        <w:t>. For instance, in negotiations around the creation of insurance exchanges, HHS repeatedly extended filing deadlines partly in response to requests from Republican governors; it allowed Utah to operate a separate small business exchange that the state cast as more "market-based" than HHS's understanding of the Act, which required "a more government-centric" approach resulting in "less choice and more reliance on public programs"; and it developed alternative forms of partnership exchanges that created ongoing working relationships between federal officials and Republican state officials. n211 Today, Arkansas, Kansas, Nebraska, Ohio, and South Dakota, among other red states, have agreed to coordinate with the federal executive. n212 Although HHS has decisive legal authority with respect to such exchanges, it also has a strong practical and political need for state assistance. Negotiations over the concrete particulars of exchange design have allowed Republican state officials to achieve significant concessions, as Democratic federal officials get more buy-in for the program.</w:t>
      </w:r>
    </w:p>
    <w:p w14:paraId="2913B0AA" w14:textId="77777777" w:rsidR="00602782" w:rsidRPr="00661A68" w:rsidRDefault="00602782" w:rsidP="00602782"/>
    <w:p w14:paraId="3A9A77EA" w14:textId="346B8114" w:rsidR="00305A32" w:rsidRPr="00661A68" w:rsidRDefault="00305A32" w:rsidP="00305A32">
      <w:pPr>
        <w:pStyle w:val="Heading3"/>
      </w:pPr>
      <w:r w:rsidRPr="00661A68">
        <w:t>2NC Avoids Federalism</w:t>
      </w:r>
    </w:p>
    <w:p w14:paraId="52F72DDD" w14:textId="77777777" w:rsidR="00305A32" w:rsidRPr="00661A68" w:rsidRDefault="00305A32" w:rsidP="00305A32"/>
    <w:p w14:paraId="6FA759AA" w14:textId="77777777" w:rsidR="00305A32" w:rsidRPr="00661A68" w:rsidRDefault="00305A32" w:rsidP="00305A32">
      <w:pPr>
        <w:pStyle w:val="Heading4"/>
      </w:pPr>
      <w:r w:rsidRPr="00661A68">
        <w:t>CP avoids federalism—the perm destroys it</w:t>
      </w:r>
    </w:p>
    <w:p w14:paraId="0227BB8F" w14:textId="77777777" w:rsidR="00305A32" w:rsidRPr="00661A68" w:rsidRDefault="00305A32" w:rsidP="00305A32">
      <w:pPr>
        <w:rPr>
          <w:rStyle w:val="Style13ptBold"/>
        </w:rPr>
      </w:pPr>
      <w:r w:rsidRPr="00661A68">
        <w:rPr>
          <w:rStyle w:val="Style13ptBold"/>
        </w:rPr>
        <w:t>Gausman, 97</w:t>
      </w:r>
    </w:p>
    <w:p w14:paraId="49530689" w14:textId="77777777" w:rsidR="00305A32" w:rsidRPr="00661A68" w:rsidRDefault="00305A32" w:rsidP="00305A32">
      <w:pPr>
        <w:rPr>
          <w:sz w:val="12"/>
        </w:rPr>
      </w:pPr>
      <w:r w:rsidRPr="00661A68">
        <w:t>(Carlton James, Kansas Law Review, May, 1997, 45 Kan. L. Rev. 897)</w:t>
      </w:r>
      <w:r w:rsidRPr="00661A68">
        <w:rPr>
          <w:sz w:val="12"/>
        </w:rPr>
        <w:t>¶</w:t>
      </w:r>
    </w:p>
    <w:p w14:paraId="112E8859" w14:textId="2137C9D1" w:rsidR="00305A32" w:rsidRPr="00661A68" w:rsidRDefault="00305A32" w:rsidP="00305A32">
      <w:pPr>
        <w:rPr>
          <w:sz w:val="14"/>
        </w:rPr>
      </w:pPr>
      <w:r w:rsidRPr="00661A68">
        <w:rPr>
          <w:rStyle w:val="StyleUnderline"/>
        </w:rPr>
        <w:t xml:space="preserve">Interstate Compacts </w:t>
      </w:r>
      <w:r w:rsidRPr="00661A68">
        <w:rPr>
          <w:rStyle w:val="Emphasis"/>
        </w:rPr>
        <w:t>as a Means of Maintaining Federalism</w:t>
      </w:r>
      <w:r w:rsidRPr="00661A68">
        <w:rPr>
          <w:sz w:val="14"/>
        </w:rPr>
        <w:t xml:space="preserve">. </w:t>
      </w:r>
      <w:r w:rsidRPr="00661A68">
        <w:rPr>
          <w:rStyle w:val="StyleUnderline"/>
        </w:rPr>
        <w:t xml:space="preserve">The interstate compact </w:t>
      </w:r>
      <w:r w:rsidRPr="00661A68">
        <w:rPr>
          <w:rStyle w:val="Emphasis"/>
        </w:rPr>
        <w:t>maintains</w:t>
      </w:r>
      <w:r w:rsidRPr="00661A68">
        <w:rPr>
          <w:rStyle w:val="StyleUnderline"/>
        </w:rPr>
        <w:t xml:space="preserve"> the </w:t>
      </w:r>
      <w:r w:rsidRPr="00661A68">
        <w:rPr>
          <w:rStyle w:val="Emphasis"/>
        </w:rPr>
        <w:t xml:space="preserve">balance of power </w:t>
      </w:r>
      <w:r w:rsidRPr="00661A68">
        <w:rPr>
          <w:rStyle w:val="StyleUnderline"/>
        </w:rPr>
        <w:t xml:space="preserve">among </w:t>
      </w:r>
      <w:r w:rsidRPr="00661A68">
        <w:rPr>
          <w:rStyle w:val="Emphasis"/>
        </w:rPr>
        <w:t>federal</w:t>
      </w:r>
      <w:r w:rsidRPr="00661A68">
        <w:rPr>
          <w:rStyle w:val="StyleUnderline"/>
        </w:rPr>
        <w:t xml:space="preserve">, </w:t>
      </w:r>
      <w:r w:rsidRPr="00661A68">
        <w:rPr>
          <w:rStyle w:val="Emphasis"/>
        </w:rPr>
        <w:t>state</w:t>
      </w:r>
      <w:r w:rsidRPr="00661A68">
        <w:rPr>
          <w:rStyle w:val="StyleUnderline"/>
        </w:rPr>
        <w:t xml:space="preserve">, and </w:t>
      </w:r>
      <w:r w:rsidRPr="00661A68">
        <w:rPr>
          <w:rStyle w:val="Emphasis"/>
        </w:rPr>
        <w:t>local</w:t>
      </w:r>
      <w:r w:rsidRPr="00661A68">
        <w:rPr>
          <w:rStyle w:val="StyleUnderline"/>
        </w:rPr>
        <w:t xml:space="preserve"> governments.</w:t>
      </w:r>
      <w:r w:rsidRPr="00661A68">
        <w:rPr>
          <w:sz w:val="14"/>
        </w:rPr>
        <w:t xml:space="preserve"> n72 </w:t>
      </w:r>
      <w:r w:rsidRPr="00661A68">
        <w:rPr>
          <w:rStyle w:val="StyleUnderline"/>
        </w:rPr>
        <w:t xml:space="preserve">Interstate compacts create a "mechanism for legal control over affairs </w:t>
      </w:r>
      <w:r w:rsidRPr="00661A68">
        <w:rPr>
          <w:rStyle w:val="Emphasis"/>
        </w:rPr>
        <w:t>that project beyond state lines</w:t>
      </w:r>
      <w:r w:rsidRPr="00661A68">
        <w:rPr>
          <w:rStyle w:val="StyleUnderline"/>
        </w:rPr>
        <w:t>," but do so in a way that "</w:t>
      </w:r>
      <w:r w:rsidRPr="00661A68">
        <w:rPr>
          <w:rStyle w:val="Emphasis"/>
        </w:rPr>
        <w:t>safeguards the national interest</w:t>
      </w:r>
      <w:r w:rsidRPr="00661A68">
        <w:rPr>
          <w:rStyle w:val="StyleUnderline"/>
        </w:rPr>
        <w:t>.</w:t>
      </w:r>
      <w:r w:rsidRPr="00661A68">
        <w:rPr>
          <w:sz w:val="14"/>
        </w:rPr>
        <w:t xml:space="preserve">" n73 States can use interstate compacts to "address the interstate problems of particular metropolitan areas without invoking burdensome state administrative mechanisms." n74 Interstate compacts also can be used to "effect agreements between political subdivisions of different states." n75 </w:t>
      </w:r>
      <w:r w:rsidRPr="00661A68">
        <w:rPr>
          <w:rStyle w:val="StyleUnderline"/>
        </w:rPr>
        <w:t xml:space="preserve">The importance of the balance of governmental powers that interstate compacts allow and maintain is </w:t>
      </w:r>
      <w:r w:rsidRPr="00661A68">
        <w:rPr>
          <w:rStyle w:val="Emphasis"/>
        </w:rPr>
        <w:t>great</w:t>
      </w:r>
      <w:r w:rsidRPr="00661A68">
        <w:rPr>
          <w:sz w:val="14"/>
        </w:rPr>
        <w:t>.</w:t>
      </w:r>
    </w:p>
    <w:p w14:paraId="03AE14F0" w14:textId="5E88E913" w:rsidR="00602782" w:rsidRPr="00661A68" w:rsidRDefault="00602782" w:rsidP="00602782">
      <w:pPr>
        <w:pStyle w:val="Heading3"/>
      </w:pPr>
      <w:r w:rsidRPr="00661A68">
        <w:t>2NC Avoids Federalism—DD</w:t>
      </w:r>
    </w:p>
    <w:p w14:paraId="3FCD2EC9" w14:textId="56CCA3A0" w:rsidR="00602782" w:rsidRPr="00661A68" w:rsidRDefault="00602782" w:rsidP="00602782">
      <w:pPr>
        <w:pStyle w:val="Heading4"/>
      </w:pPr>
      <w:r w:rsidRPr="00661A68">
        <w:rPr>
          <w:rFonts w:asciiTheme="majorHAnsi" w:hAnsiTheme="majorHAnsi"/>
        </w:rPr>
        <w:t xml:space="preserve">Turn--disciplined devolution key to federal power — fed leverage over the states </w:t>
      </w:r>
    </w:p>
    <w:p w14:paraId="3D88B3A8" w14:textId="77777777" w:rsidR="00602782" w:rsidRPr="00661A68" w:rsidRDefault="00602782" w:rsidP="00602782">
      <w:pPr>
        <w:rPr>
          <w:rFonts w:asciiTheme="majorHAnsi" w:eastAsia="Times New Roman" w:hAnsiTheme="majorHAnsi" w:cs="Times New Roman"/>
        </w:rPr>
      </w:pPr>
      <w:r w:rsidRPr="00661A68">
        <w:rPr>
          <w:rStyle w:val="Style13ptBold"/>
          <w:rFonts w:asciiTheme="majorHAnsi" w:hAnsiTheme="majorHAnsi"/>
        </w:rPr>
        <w:t>Kurzweil '15</w:t>
      </w:r>
      <w:r w:rsidRPr="00661A68">
        <w:rPr>
          <w:rFonts w:asciiTheme="majorHAnsi" w:hAnsiTheme="majorHAnsi"/>
        </w:rPr>
        <w:t xml:space="preserve"> [Martin A., Disciplined Devolution and the New Education Federalism, 103 Cal. L. Rev. 565 (2015) </w:t>
      </w:r>
      <w:r w:rsidRPr="00661A68">
        <w:rPr>
          <w:rFonts w:asciiTheme="majorHAnsi" w:eastAsia="Times New Roman" w:hAnsiTheme="majorHAnsi" w:cs="Times New Roman"/>
        </w:rPr>
        <w:t xml:space="preserve">http://scholarship.law.berkeley.edu/californialawreview/vol103/iss3/3 </w:t>
      </w:r>
      <w:r w:rsidRPr="00661A68">
        <w:rPr>
          <w:rFonts w:asciiTheme="majorHAnsi" w:hAnsiTheme="majorHAnsi"/>
        </w:rPr>
        <w:t>accessed 1-16-17]//SC</w:t>
      </w:r>
    </w:p>
    <w:p w14:paraId="4060F751" w14:textId="77777777" w:rsidR="00602782" w:rsidRPr="00661A68" w:rsidRDefault="00602782" w:rsidP="00602782">
      <w:pPr>
        <w:rPr>
          <w:rFonts w:asciiTheme="majorHAnsi" w:hAnsiTheme="majorHAnsi"/>
          <w:u w:val="single"/>
        </w:rPr>
      </w:pPr>
      <w:r w:rsidRPr="00661A68">
        <w:rPr>
          <w:rFonts w:asciiTheme="majorHAnsi" w:hAnsiTheme="majorHAnsi"/>
          <w:sz w:val="16"/>
          <w:szCs w:val="16"/>
        </w:rPr>
        <w:t>Importantly,</w:t>
      </w:r>
      <w:r w:rsidRPr="00661A68">
        <w:rPr>
          <w:rFonts w:asciiTheme="majorHAnsi" w:hAnsiTheme="majorHAnsi"/>
        </w:rPr>
        <w:t xml:space="preserve"> </w:t>
      </w:r>
      <w:r w:rsidRPr="00661A68">
        <w:rPr>
          <w:rFonts w:asciiTheme="majorHAnsi" w:hAnsiTheme="majorHAnsi"/>
          <w:u w:val="single"/>
        </w:rPr>
        <w:t>in contrast to multilevel experimentalist programs that do not operate against a default legislative scheme, the waiver component of disciplined devolution may make it easier for the federal agency itself to set those initial goals and policy constraints</w:t>
      </w:r>
      <w:r w:rsidRPr="00661A68">
        <w:rPr>
          <w:rFonts w:asciiTheme="majorHAnsi" w:hAnsiTheme="majorHAnsi"/>
          <w:sz w:val="16"/>
          <w:szCs w:val="16"/>
        </w:rPr>
        <w:t>. The agency’s goals will be tied to explicit or implicit goals in the statute. The statute may limit the scope, duration, or purpose of waiver.127 And at the very least, the statutory scheme will set the baseline against which any state plan will be compared.128 Second,</w:t>
      </w:r>
      <w:r w:rsidRPr="00661A68">
        <w:rPr>
          <w:rFonts w:asciiTheme="majorHAnsi" w:hAnsiTheme="majorHAnsi"/>
        </w:rPr>
        <w:t xml:space="preserve"> </w:t>
      </w:r>
      <w:r w:rsidRPr="00661A68">
        <w:rPr>
          <w:rFonts w:asciiTheme="majorHAnsi" w:hAnsiTheme="majorHAnsi"/>
          <w:u w:val="single"/>
        </w:rPr>
        <w:t>disciplined devolution motivates state and local actors to maintain the effort of the experimentalist process with the possibility of reversion to the default regime</w:t>
      </w:r>
      <w:r w:rsidRPr="00661A68">
        <w:rPr>
          <w:rFonts w:asciiTheme="majorHAnsi" w:hAnsiTheme="majorHAnsi"/>
        </w:rPr>
        <w:t xml:space="preserve">. </w:t>
      </w:r>
      <w:r w:rsidRPr="00661A68">
        <w:rPr>
          <w:rFonts w:asciiTheme="majorHAnsi" w:hAnsiTheme="majorHAnsi"/>
          <w:sz w:val="16"/>
          <w:szCs w:val="16"/>
        </w:rPr>
        <w:t>The possibility of reversion is likely to be a more credible motivator than the risk of losing or the promise of gaining federal funding, which is the usual incentive for states to participate in cooperative federal programs. Nondiscretionary spending and regular appropriations develop constituencies that make it politically difficult to cut off funding. Temporary grants lose their power to motivate as the funding runs out. In both cases, inertia goes against the incentive for state and local participation—doing nothing means that the incentive (more temporary funding or cutting off appropriations) disappears. But</w:t>
      </w:r>
      <w:r w:rsidRPr="00661A68">
        <w:rPr>
          <w:rFonts w:asciiTheme="majorHAnsi" w:hAnsiTheme="majorHAnsi"/>
        </w:rPr>
        <w:t xml:space="preserve"> </w:t>
      </w:r>
      <w:r w:rsidRPr="00661A68">
        <w:rPr>
          <w:rFonts w:asciiTheme="majorHAnsi" w:hAnsiTheme="majorHAnsi"/>
          <w:u w:val="single"/>
        </w:rPr>
        <w:t>in disciplined devolution, reversion to the default regime is the automatic result when a waiver expires. Doing nothing means that the motivating threat is carried out. This arrangement gives the federal agency in a disciplined devolution regime significant leverage vis-à-vis the states, as well as natural points at which to exercise its power as it reviews waiver applications, milestones, and possible renewal.129</w:t>
      </w:r>
    </w:p>
    <w:p w14:paraId="710579E1" w14:textId="77777777" w:rsidR="00F72F5E" w:rsidRPr="00661A68" w:rsidRDefault="00F72F5E" w:rsidP="00F72F5E"/>
    <w:p w14:paraId="68D0C9E3" w14:textId="77777777" w:rsidR="00D8070D" w:rsidRPr="00661A68" w:rsidRDefault="00D8070D" w:rsidP="00D8070D">
      <w:pPr>
        <w:pStyle w:val="Heading3"/>
      </w:pPr>
      <w:r w:rsidRPr="00661A68">
        <w:t>2NC International Signal</w:t>
      </w:r>
    </w:p>
    <w:p w14:paraId="2CDDEA80" w14:textId="77777777" w:rsidR="00D8070D" w:rsidRPr="00661A68" w:rsidRDefault="00D8070D" w:rsidP="00D8070D">
      <w:pPr>
        <w:pStyle w:val="Heading4"/>
        <w:rPr>
          <w:lang w:eastAsia="zh-CN"/>
        </w:rPr>
      </w:pPr>
      <w:r w:rsidRPr="00661A68">
        <w:rPr>
          <w:lang w:eastAsia="zh-CN"/>
        </w:rPr>
        <w:t xml:space="preserve">Only states can send an </w:t>
      </w:r>
      <w:r w:rsidRPr="00661A68">
        <w:rPr>
          <w:u w:val="single"/>
          <w:lang w:eastAsia="zh-CN"/>
        </w:rPr>
        <w:t>international</w:t>
      </w:r>
      <w:r w:rsidRPr="00661A68">
        <w:rPr>
          <w:lang w:eastAsia="zh-CN"/>
        </w:rPr>
        <w:t xml:space="preserve"> signal</w:t>
      </w:r>
    </w:p>
    <w:p w14:paraId="5879EC97" w14:textId="77777777" w:rsidR="00D8070D" w:rsidRPr="00661A68" w:rsidRDefault="00D8070D" w:rsidP="00D8070D">
      <w:pPr>
        <w:rPr>
          <w:lang w:eastAsia="zh-CN"/>
        </w:rPr>
      </w:pPr>
      <w:r w:rsidRPr="00661A68">
        <w:rPr>
          <w:lang w:eastAsia="zh-CN"/>
        </w:rPr>
        <w:t xml:space="preserve">Noah </w:t>
      </w:r>
      <w:r w:rsidRPr="00661A68">
        <w:rPr>
          <w:rStyle w:val="Style13ptBold"/>
        </w:rPr>
        <w:t>Feldman</w:t>
      </w:r>
      <w:r w:rsidRPr="00661A68">
        <w:rPr>
          <w:lang w:eastAsia="zh-CN"/>
        </w:rPr>
        <w:t>, 10-10-20</w:t>
      </w:r>
      <w:r w:rsidRPr="00661A68">
        <w:rPr>
          <w:rStyle w:val="Style13ptBold"/>
          <w:lang w:eastAsia="zh-CN"/>
        </w:rPr>
        <w:t>08</w:t>
      </w:r>
      <w:r w:rsidRPr="00661A68">
        <w:rPr>
          <w:lang w:eastAsia="zh-CN"/>
        </w:rPr>
        <w:t>,</w:t>
      </w:r>
      <w:r w:rsidRPr="00661A68">
        <w:t xml:space="preserve"> (</w:t>
      </w:r>
      <w:r w:rsidRPr="00661A68">
        <w:rPr>
          <w:lang w:eastAsia="zh-CN"/>
        </w:rPr>
        <w:t xml:space="preserve">Professor of law at Harvard University "The Supreme Court’s Mixed Signals on International Law," Council on Foreign Relations, </w:t>
      </w:r>
      <w:hyperlink r:id="rId29" w:history="1">
        <w:r w:rsidRPr="00661A68">
          <w:rPr>
            <w:rStyle w:val="Hyperlink"/>
            <w:lang w:eastAsia="zh-CN"/>
          </w:rPr>
          <w:t>https://www.cfr.org/interview/supreme-courts-mixed-signals-international-law</w:t>
        </w:r>
      </w:hyperlink>
      <w:r w:rsidRPr="00661A68">
        <w:rPr>
          <w:rStyle w:val="Hyperlink"/>
          <w:lang w:eastAsia="zh-CN"/>
        </w:rPr>
        <w:t>)</w:t>
      </w:r>
      <w:r w:rsidRPr="00661A68">
        <w:rPr>
          <w:lang w:eastAsia="zh-CN"/>
        </w:rPr>
        <w:t xml:space="preserve"> CAA</w:t>
      </w:r>
      <w:r w:rsidRPr="00661A68">
        <w:rPr>
          <w:lang w:eastAsia="zh-CN"/>
        </w:rPr>
        <w:br/>
        <w:t>*edited for ableist rhetoric*</w:t>
      </w:r>
    </w:p>
    <w:p w14:paraId="5876509E" w14:textId="77777777" w:rsidR="00D8070D" w:rsidRPr="00661A68" w:rsidRDefault="00D8070D" w:rsidP="00D8070D">
      <w:pPr>
        <w:rPr>
          <w:sz w:val="14"/>
          <w:lang w:eastAsia="zh-CN"/>
        </w:rPr>
      </w:pPr>
      <w:r w:rsidRPr="00661A68">
        <w:rPr>
          <w:sz w:val="14"/>
          <w:lang w:eastAsia="zh-CN"/>
        </w:rPr>
        <w:t>. To the extent that countries are looking to see us comply with various international obligations, we’re saying that we’re less inclined to comply under various circumstances. That makes it more costly to enter into deals because the other side will want more assurance that we’re likely to comply. And it has reputational costs as well. But, you know, there are corresponding benefits, too. One has to make a judgment about whether it’s worth it or not. In my view, this is not the right cost-benefit analysis in this case, but there’s a reasonable view that it is worth the cost-benefit balance because an international tribunal can bind the United States in a way that is not responsive to democratic institutions within the United States. There’s something like fifty more of these international death-row cases, so are we seeing now states maybe stepping to the fore in the absence of Congressional action on this particular issue? What’s happening in this situation is that it’s the states that sentence these individuals to death and it’s the</w:t>
      </w:r>
      <w:r w:rsidRPr="00661A68">
        <w:rPr>
          <w:rStyle w:val="Emphasis"/>
        </w:rPr>
        <w:t xml:space="preserve"> states that have the primary obligation to follow the international treaty,</w:t>
      </w:r>
      <w:r w:rsidRPr="00661A68">
        <w:rPr>
          <w:sz w:val="14"/>
          <w:lang w:eastAsia="zh-CN"/>
        </w:rPr>
        <w:t xml:space="preserve"> the Vienna Convention on Consular Relations [VCCR]. The states violated the VCCR and yet, it’s the United States as a country that’s been held to be in violation of the treaty, because it’s the country that’s the signatory to the treaty, not the individual states. So what you’re seeing here is what you might call one of the very great complexities associated with being a federal country ourselves.</w:t>
      </w:r>
      <w:r w:rsidRPr="00661A68">
        <w:rPr>
          <w:rStyle w:val="StyleUnderline"/>
        </w:rPr>
        <w:t xml:space="preserve"> Our federal government through the president, according to our Supreme Court, now lacks the power to compel states to comply with our international treaty obligations.</w:t>
      </w:r>
      <w:r w:rsidRPr="00661A68">
        <w:rPr>
          <w:sz w:val="14"/>
          <w:lang w:eastAsia="zh-CN"/>
        </w:rPr>
        <w:t xml:space="preserve"> And that’s an anomalous situation vis-à-vis most other countries in the world because it’s the federal government that’s committed us to this treaty. Now, the majority would respond to that by saying, "Well, if Congress wants to, Congress can pass a law compelling states to comply with the treaty." And it’s a little unclear what the Supreme Court would say even if Congress did do that, but at least in theory that’s the next step. If Congress doesn’t want the states to be violating these international treaties and refusing to take into account what the international tribunals are saying, Congress should do something about it. Meanwhile, on the Guantanamo Bay-related ruling, what is the next step for the United States? I think symbolically what’s needed is a relatively rapid dispossession of the cases that [involve] people in Guantanamo. The Supreme Court has said they now have constitutional rights, so those constitutional rights need to be exercised. U.S. federal courts need to get involved in the job, as they are already beginning to do, of reviewing the legitimacy of these detentions, which has lasted in some cases for years. That’s where we’ll find out, when Guantanamo gradually is either emptied and closed, or alternatively, anyone who is detained there is being detained pursuant to evidence that the world can understand justifies their detention as prisoners of war or criminals or as whatever the charge may happen to be. The great difficulty with Guantanamo is it was perceived correctly as being a place where people were not being detained subject to rules. I don’t think the world thinks that you can’t detain suspected terrorists-the world thinks you can do that, but you have to do it pursuant to rules and to clear charges. The court’s ruling in June gave detainees the right to have federal judges review the reasons for their detention and also gave federal judges the power to release them. Now we have the first major follow-up to that with a federal judge this week ordering (PDF) the release of seventeen ethnic Uighur detainees [who are Chinese citizens], probably into the care of supporters in the United States. Is it correct for a federal judge to override the executive branch’s warnings that these men still pose a danger? Does this veer into violation of immigration laws? The government concedes that the seventeen Uighurs would not pose a danger to any other country. They’ve been in detention for seven years, despite the fact that there was not sufficient evidence to show they were enemy combatants. At some point, then, they need to be released from detention, and since nowhere else will take them, supervised release into the United States seems like the price we have to pay for having a constitution and the rule of law. As Judge [Ricardo M.] Urbina put it, the principle of the rule of law trumps the separation of powers. In fact, you have two presidential candidates who don’t want to see Guantanamo open much longer, but there’s this conundrum of where do you put the people, or where do you send the people who are there? Exactly, nobody wants Guantanamo to remain open. It’s a terrible symbol and at this point there is no constitutional advantage to it being in Guantanamo as opposed to in the United States. So, at a minimum you could bring everyone into the United States and close the Guantanamo facility, but then you still have to deal with the question of what do you do with people. Some of the people there may well in fact be people who were engaged one way or another in terrorist activity, or were aware of terrorist activity, and you’re going to have to do something about detaining them. You know, letting terrorists go, if they’re actually terrorists, is obviously not in anybody’s interest. Have these rulings complicated efforts by the first post-Bush administration to strike up a new international relationship and burnish the country’s image? Guantanamo helps because it means that the next administration won’t have to say that they’re shutting it down in rejection of Bush strategy; they can just say they’re following the Supreme Court’s ruling in some way. But, Medellin is difficult</w:t>
      </w:r>
      <w:r w:rsidRPr="00661A68">
        <w:rPr>
          <w:rStyle w:val="StyleUnderline"/>
        </w:rPr>
        <w:t>. It definitely makes it harder for the next president to demonstrate a kind of international compliance, because after all, in the Medellin case, President Bush actually ordered the states to comply with the judgment of the International Court of Justice, and the Supreme Court held that he lacked the authority to do that on his own</w:t>
      </w:r>
      <w:r w:rsidRPr="00661A68">
        <w:rPr>
          <w:sz w:val="14"/>
          <w:lang w:eastAsia="zh-CN"/>
        </w:rPr>
        <w:t>. So, it makes it harder for the president.</w:t>
      </w:r>
    </w:p>
    <w:p w14:paraId="4DFFAF97" w14:textId="77777777" w:rsidR="00D8070D" w:rsidRPr="00661A68" w:rsidRDefault="00D8070D" w:rsidP="00D8070D"/>
    <w:p w14:paraId="413168E4" w14:textId="527E2FEF" w:rsidR="00305A32" w:rsidRPr="00661A68" w:rsidRDefault="00305A32" w:rsidP="00305A32">
      <w:pPr>
        <w:keepNext/>
        <w:keepLines/>
        <w:pageBreakBefore/>
        <w:spacing w:before="200"/>
        <w:jc w:val="center"/>
        <w:outlineLvl w:val="2"/>
        <w:rPr>
          <w:rFonts w:eastAsiaTheme="majorEastAsia" w:cstheme="majorBidi"/>
          <w:b/>
          <w:bCs/>
          <w:sz w:val="32"/>
          <w:u w:val="single"/>
        </w:rPr>
      </w:pPr>
      <w:r w:rsidRPr="00661A68">
        <w:rPr>
          <w:rFonts w:eastAsiaTheme="majorEastAsia" w:cstheme="majorBidi"/>
          <w:b/>
          <w:bCs/>
          <w:sz w:val="32"/>
          <w:u w:val="single"/>
        </w:rPr>
        <w:t>2NC AT Perm Solves Federalism</w:t>
      </w:r>
    </w:p>
    <w:p w14:paraId="1F91D343" w14:textId="77777777" w:rsidR="00305A32" w:rsidRPr="00661A68" w:rsidRDefault="00305A32" w:rsidP="00305A32"/>
    <w:p w14:paraId="3862826A" w14:textId="77777777" w:rsidR="00305A32" w:rsidRPr="00661A68" w:rsidRDefault="00305A32" w:rsidP="00305A32">
      <w:pPr>
        <w:keepNext/>
        <w:keepLines/>
        <w:spacing w:before="200"/>
        <w:outlineLvl w:val="3"/>
        <w:rPr>
          <w:rFonts w:eastAsiaTheme="majorEastAsia" w:cstheme="majorBidi"/>
          <w:b/>
          <w:bCs/>
          <w:iCs/>
          <w:sz w:val="26"/>
        </w:rPr>
      </w:pPr>
      <w:r w:rsidRPr="00661A68">
        <w:rPr>
          <w:rFonts w:eastAsiaTheme="majorEastAsia" w:cstheme="majorBidi"/>
          <w:b/>
          <w:bCs/>
          <w:iCs/>
          <w:sz w:val="26"/>
        </w:rPr>
        <w:t>Perm crowds out states—decimates federalism</w:t>
      </w:r>
    </w:p>
    <w:p w14:paraId="3631E484" w14:textId="77777777" w:rsidR="00305A32" w:rsidRPr="00661A68" w:rsidRDefault="00305A32" w:rsidP="00305A32">
      <w:pPr>
        <w:rPr>
          <w:b/>
          <w:bCs/>
          <w:sz w:val="26"/>
        </w:rPr>
      </w:pPr>
      <w:r w:rsidRPr="00661A68">
        <w:rPr>
          <w:b/>
          <w:bCs/>
          <w:sz w:val="26"/>
        </w:rPr>
        <w:t>Greenblatt, 10</w:t>
      </w:r>
    </w:p>
    <w:p w14:paraId="331864C9" w14:textId="77777777" w:rsidR="00305A32" w:rsidRPr="00661A68" w:rsidRDefault="00305A32" w:rsidP="00305A32">
      <w:r w:rsidRPr="00661A68">
        <w:t>(Alan Greenblatt, a news writer for npr.org and a former staff writer for Governing magazine, July/August 2010, “Is the president exploiting the states’ fiscal woes to push his policies?” http://www.ncsl.org/magazine/federalism-in-the-age-of-obama.aspx)</w:t>
      </w:r>
    </w:p>
    <w:p w14:paraId="49DF3BC6" w14:textId="77777777" w:rsidR="00305A32" w:rsidRPr="00661A68" w:rsidRDefault="00305A32" w:rsidP="00305A32">
      <w:pPr>
        <w:rPr>
          <w:sz w:val="16"/>
        </w:rPr>
      </w:pPr>
      <w:r w:rsidRPr="00661A68">
        <w:rPr>
          <w:sz w:val="16"/>
        </w:rPr>
        <w:t>Obama understands that he has states over a barrel financially. He has shown a great deal of interest in collaborating with states when he can, and he certainly is willing to federalize ideas that bubble up from them. But he also understands that their budget situations have diminished the ability of states to set their own courses.</w:t>
      </w:r>
      <w:r w:rsidRPr="00661A68">
        <w:rPr>
          <w:sz w:val="12"/>
        </w:rPr>
        <w:t>¶</w:t>
      </w:r>
      <w:r w:rsidRPr="00661A68">
        <w:rPr>
          <w:sz w:val="16"/>
        </w:rPr>
        <w:t xml:space="preserve"> The federal spigot may be about to shut off, as this spring’s struggles to find extra money for Medicaid and teachers demonstrated. And the White House and a Congress riven by partisanship may leave plenty for states to do on their own. Still, </w:t>
      </w:r>
      <w:r w:rsidRPr="00661A68">
        <w:rPr>
          <w:b/>
          <w:bCs/>
          <w:u w:val="single"/>
        </w:rPr>
        <w:t xml:space="preserve">this is </w:t>
      </w:r>
      <w:r w:rsidRPr="00661A68">
        <w:rPr>
          <w:rStyle w:val="Emphasis"/>
        </w:rPr>
        <w:t>not an administration</w:t>
      </w:r>
      <w:r w:rsidRPr="00661A68">
        <w:rPr>
          <w:b/>
          <w:bCs/>
          <w:u w:val="single"/>
        </w:rPr>
        <w:t xml:space="preserve"> that will </w:t>
      </w:r>
      <w:r w:rsidRPr="00661A68">
        <w:rPr>
          <w:rStyle w:val="Emphasis"/>
        </w:rPr>
        <w:t>support</w:t>
      </w:r>
      <w:r w:rsidRPr="00661A68">
        <w:rPr>
          <w:b/>
          <w:bCs/>
          <w:u w:val="single"/>
        </w:rPr>
        <w:t xml:space="preserve"> </w:t>
      </w:r>
      <w:r w:rsidRPr="00661A68">
        <w:rPr>
          <w:sz w:val="16"/>
        </w:rPr>
        <w:t>a</w:t>
      </w:r>
      <w:r w:rsidRPr="00661A68">
        <w:rPr>
          <w:b/>
          <w:bCs/>
          <w:u w:val="single"/>
        </w:rPr>
        <w:t xml:space="preserve"> </w:t>
      </w:r>
      <w:r w:rsidRPr="00661A68">
        <w:rPr>
          <w:rStyle w:val="Emphasis"/>
        </w:rPr>
        <w:t>federalism</w:t>
      </w:r>
      <w:r w:rsidRPr="00661A68">
        <w:rPr>
          <w:b/>
          <w:bCs/>
          <w:u w:val="single"/>
        </w:rPr>
        <w:t xml:space="preserve"> </w:t>
      </w:r>
      <w:r w:rsidRPr="00661A68">
        <w:rPr>
          <w:sz w:val="16"/>
        </w:rPr>
        <w:t>that provides more money to states to focus on their own plans and initiatives.</w:t>
      </w:r>
      <w:r w:rsidRPr="00661A68">
        <w:rPr>
          <w:sz w:val="12"/>
        </w:rPr>
        <w:t>¶</w:t>
      </w:r>
      <w:r w:rsidRPr="00661A68">
        <w:rPr>
          <w:sz w:val="16"/>
        </w:rPr>
        <w:t xml:space="preserve"> “</w:t>
      </w:r>
      <w:r w:rsidRPr="00661A68">
        <w:rPr>
          <w:b/>
          <w:bCs/>
          <w:u w:val="single"/>
        </w:rPr>
        <w:t xml:space="preserve">This is an administration that </w:t>
      </w:r>
      <w:r w:rsidRPr="00661A68">
        <w:rPr>
          <w:rStyle w:val="Emphasis"/>
        </w:rPr>
        <w:t xml:space="preserve">doesn’t take </w:t>
      </w:r>
      <w:r w:rsidRPr="00661A68">
        <w:rPr>
          <w:rStyle w:val="StyleUnderline"/>
        </w:rPr>
        <w:t>the</w:t>
      </w:r>
      <w:r w:rsidRPr="00661A68">
        <w:rPr>
          <w:rStyle w:val="Emphasis"/>
        </w:rPr>
        <w:t xml:space="preserve"> states</w:t>
      </w:r>
      <w:r w:rsidRPr="00661A68">
        <w:rPr>
          <w:b/>
          <w:bCs/>
          <w:u w:val="single"/>
        </w:rPr>
        <w:t xml:space="preserve"> </w:t>
      </w:r>
      <w:r w:rsidRPr="00661A68">
        <w:rPr>
          <w:sz w:val="16"/>
        </w:rPr>
        <w:t>and locals</w:t>
      </w:r>
      <w:r w:rsidRPr="00661A68">
        <w:rPr>
          <w:b/>
          <w:bCs/>
          <w:u w:val="single"/>
        </w:rPr>
        <w:t xml:space="preserve"> </w:t>
      </w:r>
      <w:r w:rsidRPr="00661A68">
        <w:rPr>
          <w:rStyle w:val="Emphasis"/>
        </w:rPr>
        <w:t>as it finds them</w:t>
      </w:r>
      <w:r w:rsidRPr="00661A68">
        <w:rPr>
          <w:b/>
          <w:bCs/>
          <w:u w:val="single"/>
        </w:rPr>
        <w:t>. It has an agenda</w:t>
      </w:r>
      <w:r w:rsidRPr="00661A68">
        <w:rPr>
          <w:sz w:val="16"/>
        </w:rPr>
        <w:t>,” says Paul Posner, a federalism expert at George Mason University in Virginia. “</w:t>
      </w:r>
      <w:r w:rsidRPr="00661A68">
        <w:rPr>
          <w:b/>
          <w:bCs/>
          <w:u w:val="single"/>
        </w:rPr>
        <w:t xml:space="preserve">The focus </w:t>
      </w:r>
      <w:r w:rsidRPr="00661A68">
        <w:rPr>
          <w:rStyle w:val="Emphasis"/>
        </w:rPr>
        <w:t>will be on national goals</w:t>
      </w:r>
      <w:r w:rsidRPr="00661A68">
        <w:rPr>
          <w:sz w:val="16"/>
        </w:rPr>
        <w:t>. I can see this administration pursuing additional ways to put money down in the state and local sectors but tying it to strong national goals. It’s going to have to be a twofer.”</w:t>
      </w:r>
      <w:r w:rsidRPr="00661A68">
        <w:rPr>
          <w:sz w:val="12"/>
        </w:rPr>
        <w:t>¶</w:t>
      </w:r>
      <w:r w:rsidRPr="00661A68">
        <w:rPr>
          <w:sz w:val="16"/>
        </w:rPr>
        <w:t xml:space="preserve"> The result might be a kind of symbiotic federalism. Washington needs states to carry out its grand visions on the ground, but </w:t>
      </w:r>
      <w:r w:rsidRPr="00661A68">
        <w:rPr>
          <w:b/>
          <w:bCs/>
          <w:u w:val="single"/>
        </w:rPr>
        <w:t>the administration</w:t>
      </w:r>
      <w:r w:rsidRPr="00661A68">
        <w:rPr>
          <w:sz w:val="16"/>
        </w:rPr>
        <w:t xml:space="preserve"> also fully </w:t>
      </w:r>
      <w:r w:rsidRPr="00661A68">
        <w:rPr>
          <w:b/>
          <w:bCs/>
          <w:u w:val="single"/>
        </w:rPr>
        <w:t>intends to give them</w:t>
      </w:r>
      <w:r w:rsidRPr="00661A68">
        <w:rPr>
          <w:sz w:val="16"/>
        </w:rPr>
        <w:t xml:space="preserve"> numerous </w:t>
      </w:r>
      <w:r w:rsidRPr="00661A68">
        <w:rPr>
          <w:b/>
          <w:bCs/>
          <w:u w:val="single"/>
        </w:rPr>
        <w:t>pushes in its preferred direction</w:t>
      </w:r>
      <w:r w:rsidRPr="00661A68">
        <w:rPr>
          <w:sz w:val="16"/>
        </w:rPr>
        <w:t>.</w:t>
      </w:r>
      <w:r w:rsidRPr="00661A68">
        <w:rPr>
          <w:sz w:val="12"/>
        </w:rPr>
        <w:t>¶</w:t>
      </w:r>
      <w:r w:rsidRPr="00661A68">
        <w:rPr>
          <w:sz w:val="16"/>
        </w:rPr>
        <w:t xml:space="preserve"> Most federal money goes out to states through set formulas. But the Obama administration is clearly interested in pursuing variations on its Race to the Top model, using competitive grants to get states to dance to its tune.</w:t>
      </w:r>
      <w:r w:rsidRPr="00661A68">
        <w:rPr>
          <w:sz w:val="12"/>
        </w:rPr>
        <w:t>¶</w:t>
      </w:r>
      <w:r w:rsidRPr="00661A68">
        <w:rPr>
          <w:sz w:val="16"/>
        </w:rPr>
        <w:t xml:space="preserve"> If the effort at the federal level is successful, it will put a new twist on the old observation from Supreme Court Justice Louis D. Brandeis that states are the laboratories of democracy. </w:t>
      </w:r>
      <w:r w:rsidRPr="00661A68">
        <w:rPr>
          <w:sz w:val="12"/>
        </w:rPr>
        <w:t>¶</w:t>
      </w:r>
      <w:r w:rsidRPr="00661A68">
        <w:rPr>
          <w:sz w:val="16"/>
        </w:rPr>
        <w:t xml:space="preserve"> “</w:t>
      </w:r>
      <w:r w:rsidRPr="00661A68">
        <w:rPr>
          <w:b/>
          <w:bCs/>
          <w:u w:val="single"/>
        </w:rPr>
        <w:t>Rather than states being the laboratories of democracy</w:t>
      </w:r>
      <w:r w:rsidRPr="00661A68">
        <w:rPr>
          <w:sz w:val="16"/>
        </w:rPr>
        <w:t xml:space="preserve"> in and of themselves,” says Howard, of Federal Funds Information for States, “</w:t>
      </w:r>
      <w:r w:rsidRPr="00661A68">
        <w:rPr>
          <w:b/>
          <w:bCs/>
          <w:u w:val="single"/>
        </w:rPr>
        <w:t xml:space="preserve">some of them will become </w:t>
      </w:r>
      <w:r w:rsidRPr="00661A68">
        <w:rPr>
          <w:rStyle w:val="Emphasis"/>
        </w:rPr>
        <w:t>the federal government’s</w:t>
      </w:r>
      <w:r w:rsidRPr="00661A68">
        <w:rPr>
          <w:b/>
          <w:bCs/>
          <w:u w:val="single"/>
        </w:rPr>
        <w:t xml:space="preserve"> laboratories of democracy.</w:t>
      </w:r>
      <w:r w:rsidRPr="00661A68">
        <w:rPr>
          <w:sz w:val="16"/>
        </w:rPr>
        <w:t>”</w:t>
      </w:r>
    </w:p>
    <w:p w14:paraId="14050315" w14:textId="77777777" w:rsidR="00305A32" w:rsidRPr="00661A68" w:rsidRDefault="00305A32" w:rsidP="00305A32">
      <w:pPr>
        <w:keepNext/>
        <w:keepLines/>
        <w:spacing w:before="200"/>
        <w:outlineLvl w:val="3"/>
        <w:rPr>
          <w:rFonts w:eastAsiaTheme="majorEastAsia" w:cstheme="majorBidi"/>
          <w:b/>
          <w:bCs/>
          <w:iCs/>
          <w:sz w:val="26"/>
        </w:rPr>
      </w:pPr>
      <w:r w:rsidRPr="00661A68">
        <w:rPr>
          <w:rFonts w:eastAsiaTheme="majorEastAsia" w:cstheme="majorBidi"/>
          <w:b/>
          <w:bCs/>
          <w:iCs/>
          <w:sz w:val="26"/>
        </w:rPr>
        <w:t>Cooperative federalism is a joke</w:t>
      </w:r>
    </w:p>
    <w:p w14:paraId="1F54028A" w14:textId="77777777" w:rsidR="00305A32" w:rsidRPr="00661A68" w:rsidRDefault="00305A32" w:rsidP="00305A32">
      <w:pPr>
        <w:rPr>
          <w:rFonts w:eastAsia="Calibri"/>
          <w:b/>
          <w:bCs/>
          <w:sz w:val="26"/>
        </w:rPr>
      </w:pPr>
      <w:r w:rsidRPr="00661A68">
        <w:rPr>
          <w:b/>
          <w:bCs/>
          <w:sz w:val="26"/>
        </w:rPr>
        <w:t>Ressetar, 03</w:t>
      </w:r>
    </w:p>
    <w:p w14:paraId="74F22DAA" w14:textId="77777777" w:rsidR="00305A32" w:rsidRPr="00661A68" w:rsidRDefault="00305A32" w:rsidP="00305A32">
      <w:pPr>
        <w:rPr>
          <w:rFonts w:eastAsia="Calibri"/>
        </w:rPr>
      </w:pPr>
      <w:r w:rsidRPr="00661A68">
        <w:rPr>
          <w:rFonts w:eastAsia="Calibri"/>
        </w:rPr>
        <w:t>(Robert, Ressetar, Senior Staff member of APA, 2003</w:t>
      </w:r>
      <w:r w:rsidRPr="00661A68">
        <w:t>,</w:t>
      </w:r>
      <w:r w:rsidRPr="00661A68">
        <w:rPr>
          <w:rFonts w:eastAsia="Calibri"/>
        </w:rPr>
        <w:t xml:space="preserve"> “The Yucca Mountain Nuclear Waste Repository from a Federalism Perspective,” Journal of Land, Resources, &amp; Environmental Law, 23 J. Land Reso</w:t>
      </w:r>
      <w:r w:rsidRPr="00661A68">
        <w:t>urces &amp; Envtl. L. 219, Lexis</w:t>
      </w:r>
      <w:r w:rsidRPr="00661A68">
        <w:rPr>
          <w:rFonts w:eastAsia="Calibri"/>
        </w:rPr>
        <w:t>)</w:t>
      </w:r>
    </w:p>
    <w:p w14:paraId="09CEC22E" w14:textId="77777777" w:rsidR="00305A32" w:rsidRPr="00661A68" w:rsidRDefault="00305A32" w:rsidP="00305A32">
      <w:pPr>
        <w:rPr>
          <w:rFonts w:eastAsia="Calibri"/>
          <w:sz w:val="12"/>
        </w:rPr>
      </w:pPr>
      <w:r w:rsidRPr="00661A68">
        <w:rPr>
          <w:rFonts w:eastAsia="Calibri"/>
          <w:sz w:val="12"/>
        </w:rPr>
        <w:t>To enforce the national environmental standards, most federal legislation employs what has been referred to as "</w:t>
      </w:r>
      <w:r w:rsidRPr="00661A68">
        <w:rPr>
          <w:rFonts w:eastAsia="Calibri"/>
          <w:b/>
          <w:bCs/>
          <w:u w:val="single"/>
        </w:rPr>
        <w:t>cooperative federalism</w:t>
      </w:r>
      <w:r w:rsidRPr="00661A68">
        <w:rPr>
          <w:rFonts w:eastAsia="Calibri"/>
          <w:sz w:val="12"/>
        </w:rPr>
        <w:t xml:space="preserve">," in which the federal and state governments share regulatory responsibility.n21 Cooperative federalism works through a combination of financial and regulatory incentives by which the federal government encourages the states to assume regulatory responsibility for federal standards, thereby allowing a degree of local control and consideration of local situations, made more palatable to the states by means of cash subsidies. An additional incentive for state participation is the threat that the federal government will assume regulatory and enforcement authority if the state fails to fulfill its regulatory burdens. However, this </w:t>
      </w:r>
      <w:r w:rsidRPr="00661A68">
        <w:rPr>
          <w:rFonts w:eastAsia="Calibri"/>
          <w:b/>
          <w:bCs/>
          <w:u w:val="single"/>
        </w:rPr>
        <w:t xml:space="preserve">implies that the states have the option of </w:t>
      </w:r>
      <w:r w:rsidRPr="00661A68">
        <w:rPr>
          <w:rStyle w:val="Emphasis"/>
        </w:rPr>
        <w:t xml:space="preserve">withdrawing </w:t>
      </w:r>
      <w:r w:rsidRPr="00661A68">
        <w:rPr>
          <w:rStyle w:val="StyleUnderline"/>
        </w:rPr>
        <w:t>their</w:t>
      </w:r>
      <w:r w:rsidRPr="00661A68">
        <w:rPr>
          <w:rStyle w:val="Emphasis"/>
        </w:rPr>
        <w:t xml:space="preserve"> participation</w:t>
      </w:r>
      <w:r w:rsidRPr="00661A68">
        <w:rPr>
          <w:rFonts w:eastAsia="Calibri"/>
          <w:b/>
          <w:bCs/>
          <w:u w:val="single"/>
        </w:rPr>
        <w:t xml:space="preserve"> and abandoning the field</w:t>
      </w:r>
      <w:r w:rsidRPr="00661A68">
        <w:rPr>
          <w:rFonts w:eastAsia="Calibri"/>
          <w:sz w:val="12"/>
        </w:rPr>
        <w:t xml:space="preserve"> to the federal government. n22  Critics claim that "</w:t>
      </w:r>
      <w:r w:rsidRPr="00661A68">
        <w:rPr>
          <w:rFonts w:eastAsia="Calibri"/>
          <w:b/>
          <w:bCs/>
          <w:u w:val="single"/>
        </w:rPr>
        <w:t xml:space="preserve">cooperative federalism has proved </w:t>
      </w:r>
      <w:r w:rsidRPr="00661A68">
        <w:rPr>
          <w:rStyle w:val="Emphasis"/>
        </w:rPr>
        <w:t>better in theory than in practice</w:t>
      </w:r>
      <w:r w:rsidRPr="00661A68">
        <w:rPr>
          <w:rFonts w:eastAsia="Calibri"/>
          <w:sz w:val="12"/>
        </w:rPr>
        <w:t xml:space="preserve">" as either the regulated or benefited parties gain control of the federal program, </w:t>
      </w:r>
      <w:r w:rsidRPr="00661A68">
        <w:rPr>
          <w:rStyle w:val="Emphasis"/>
        </w:rPr>
        <w:t>or</w:t>
      </w:r>
      <w:r w:rsidRPr="00661A68">
        <w:rPr>
          <w:rFonts w:eastAsia="Calibri"/>
          <w:sz w:val="12"/>
        </w:rPr>
        <w:t xml:space="preserve">, in attempting to avoid capture, </w:t>
      </w:r>
      <w:r w:rsidRPr="00661A68">
        <w:rPr>
          <w:rFonts w:eastAsia="Calibri"/>
          <w:b/>
          <w:bCs/>
          <w:u w:val="single"/>
        </w:rPr>
        <w:t xml:space="preserve">the </w:t>
      </w:r>
      <w:r w:rsidRPr="00661A68">
        <w:rPr>
          <w:rStyle w:val="Emphasis"/>
        </w:rPr>
        <w:t xml:space="preserve">programs become </w:t>
      </w:r>
      <w:r w:rsidRPr="00661A68">
        <w:rPr>
          <w:rStyle w:val="StyleUnderline"/>
        </w:rPr>
        <w:t>unduly</w:t>
      </w:r>
      <w:r w:rsidRPr="00661A68">
        <w:rPr>
          <w:rStyle w:val="Emphasis"/>
        </w:rPr>
        <w:t xml:space="preserve"> expensive</w:t>
      </w:r>
      <w:r w:rsidRPr="00661A68">
        <w:rPr>
          <w:rFonts w:eastAsia="Calibri"/>
          <w:sz w:val="12"/>
        </w:rPr>
        <w:t>.n23 However, the federal government has an alternative to cooperative federalism in establishing national environmental standards. Although rarely used in the environmental arena, the federal government may use its  [*222]  preemptive powers under the Commerce Clause to directly regulate the use of environmentally sensitive articles of interstate commerce,n24 as it has done in the Toxic Substances Control Act. n25 Preemption as a means of environmental protection has generally been restricted to regulation of products that are nationally distributed, and the courts have preferred not to infer preemption in cases on federal pollution control laws absent a clear congressional intent to preempt. n26</w:t>
      </w:r>
    </w:p>
    <w:p w14:paraId="5BFC1615" w14:textId="77777777" w:rsidR="00305A32" w:rsidRPr="00661A68" w:rsidRDefault="00305A32" w:rsidP="00305A32">
      <w:pPr>
        <w:rPr>
          <w:rFonts w:eastAsia="Calibri"/>
          <w:sz w:val="12"/>
        </w:rPr>
      </w:pPr>
    </w:p>
    <w:p w14:paraId="70E80662" w14:textId="77777777" w:rsidR="00305A32" w:rsidRPr="00661A68" w:rsidRDefault="00305A32" w:rsidP="00305A32"/>
    <w:p w14:paraId="16329E33" w14:textId="77777777" w:rsidR="00602782" w:rsidRPr="00661A68" w:rsidRDefault="00602782" w:rsidP="00602782">
      <w:pPr>
        <w:pStyle w:val="Heading3"/>
      </w:pPr>
      <w:r w:rsidRPr="00661A68">
        <w:t>2NC AT Links to Politics</w:t>
      </w:r>
    </w:p>
    <w:p w14:paraId="2EEBC6D9" w14:textId="77777777" w:rsidR="00602782" w:rsidRPr="00661A68" w:rsidRDefault="00602782" w:rsidP="00602782">
      <w:pPr>
        <w:pStyle w:val="Heading4"/>
      </w:pPr>
      <w:r w:rsidRPr="00661A68">
        <w:t>States don’t link- Congress doesn’t have to pass anything, and even if feds get involved it’s not hostile</w:t>
      </w:r>
    </w:p>
    <w:p w14:paraId="26382EC7" w14:textId="77777777" w:rsidR="00602782" w:rsidRPr="00661A68" w:rsidRDefault="00602782" w:rsidP="00602782">
      <w:r w:rsidRPr="00661A68">
        <w:rPr>
          <w:rStyle w:val="Style13ptBold"/>
        </w:rPr>
        <w:t>Bulman-Pozen 16</w:t>
      </w:r>
      <w:r w:rsidRPr="00661A68">
        <w:t xml:space="preserve"> </w:t>
      </w:r>
      <w:r w:rsidRPr="00661A68">
        <w:rPr>
          <w:sz w:val="16"/>
          <w:szCs w:val="16"/>
        </w:rPr>
        <w:t>(Jessica, Associate Professor, Columbia Law School, EXECUTIVE FEDERALISM COMES TO AMERICA, 102 Va. L. Rev. 953, June, lexis)</w:t>
      </w:r>
    </w:p>
    <w:p w14:paraId="546747C2" w14:textId="77777777" w:rsidR="00602782" w:rsidRPr="00661A68" w:rsidRDefault="00602782" w:rsidP="00602782">
      <w:pPr>
        <w:rPr>
          <w:sz w:val="16"/>
        </w:rPr>
      </w:pPr>
      <w:r w:rsidRPr="00661A68">
        <w:rPr>
          <w:rStyle w:val="Emphasis"/>
        </w:rPr>
        <w:t>Compared to legislative processes</w:t>
      </w:r>
      <w:r w:rsidRPr="00661A68">
        <w:rPr>
          <w:sz w:val="16"/>
        </w:rPr>
        <w:t xml:space="preserve">, executive </w:t>
      </w:r>
      <w:r w:rsidRPr="00661A68">
        <w:rPr>
          <w:rStyle w:val="StyleUnderline"/>
        </w:rPr>
        <w:t>federalism has several advantages in fostering negotiation across the political spectrum</w:t>
      </w:r>
      <w:r w:rsidRPr="00661A68">
        <w:rPr>
          <w:sz w:val="16"/>
        </w:rPr>
        <w:t xml:space="preserve">. First, as differentiated integration underscores, negotiations may be bilateral or partially multilateral. </w:t>
      </w:r>
      <w:r w:rsidRPr="00661A68">
        <w:rPr>
          <w:rStyle w:val="StyleUnderline"/>
        </w:rPr>
        <w:t xml:space="preserve">Instead of a need for a </w:t>
      </w:r>
      <w:r w:rsidRPr="00661A68">
        <w:rPr>
          <w:rStyle w:val="Emphasis"/>
        </w:rPr>
        <w:t>grand compromise that satisfies an aggregate national body</w:t>
      </w:r>
      <w:r w:rsidRPr="00661A68">
        <w:rPr>
          <w:sz w:val="16"/>
        </w:rPr>
        <w:t xml:space="preserve">, </w:t>
      </w:r>
      <w:r w:rsidRPr="00661A68">
        <w:rPr>
          <w:rStyle w:val="StyleUnderline"/>
        </w:rPr>
        <w:t xml:space="preserve">executive federalism may unfold through </w:t>
      </w:r>
      <w:r w:rsidRPr="00661A68">
        <w:rPr>
          <w:rStyle w:val="Emphasis"/>
        </w:rPr>
        <w:t>many smaller compromises</w:t>
      </w:r>
      <w:r w:rsidRPr="00661A68">
        <w:rPr>
          <w:rStyle w:val="StyleUnderline"/>
        </w:rPr>
        <w:t xml:space="preserve"> that satisfy disaggregated political actors</w:t>
      </w:r>
      <w:r w:rsidRPr="00661A68">
        <w:rPr>
          <w:sz w:val="16"/>
        </w:rPr>
        <w:t xml:space="preserve">. n209 </w:t>
      </w:r>
      <w:r w:rsidRPr="00661A68">
        <w:rPr>
          <w:rStyle w:val="StyleUnderline"/>
        </w:rPr>
        <w:t>The sum total of these negotiations shapes national policy, but no one negotiation does.</w:t>
      </w:r>
      <w:r w:rsidRPr="00661A68">
        <w:rPr>
          <w:sz w:val="16"/>
        </w:rPr>
        <w:t xml:space="preserve"> </w:t>
      </w:r>
      <w:r w:rsidRPr="00661A68">
        <w:rPr>
          <w:rStyle w:val="StyleUnderline"/>
        </w:rPr>
        <w:t xml:space="preserve">This disaggregated quality can </w:t>
      </w:r>
      <w:r w:rsidRPr="00661A68">
        <w:rPr>
          <w:rStyle w:val="Emphasis"/>
        </w:rPr>
        <w:t>reduce the partisan temperature</w:t>
      </w:r>
      <w:r w:rsidRPr="00661A68">
        <w:rPr>
          <w:rStyle w:val="StyleUnderline"/>
        </w:rPr>
        <w:t xml:space="preserve"> </w:t>
      </w:r>
      <w:r w:rsidRPr="00661A68">
        <w:rPr>
          <w:sz w:val="16"/>
        </w:rPr>
        <w:t xml:space="preserve">and bring intraparty difference to the fore. Second, because it tends to arise in the process of implementing national policy over a period of time, </w:t>
      </w:r>
      <w:r w:rsidRPr="00661A68">
        <w:rPr>
          <w:rStyle w:val="StyleUnderline"/>
        </w:rPr>
        <w:t>state-federal bargaining involves iterated interactions over both bigger-picture issues and smaller details</w:t>
      </w:r>
      <w:r w:rsidRPr="00661A68">
        <w:rPr>
          <w:sz w:val="16"/>
        </w:rPr>
        <w:t xml:space="preserve">. Such implementation is policymaking, not mere transmission of preexisting instructions, but it is more concrete than lawmaking, and </w:t>
      </w:r>
      <w:r w:rsidRPr="00661A68">
        <w:rPr>
          <w:rStyle w:val="StyleUnderline"/>
        </w:rPr>
        <w:t>partisan dogmas may be unsettled</w:t>
      </w:r>
      <w:r w:rsidRPr="00661A68">
        <w:rPr>
          <w:sz w:val="16"/>
        </w:rPr>
        <w:t xml:space="preserve"> as new issues arise in the implementation process. Third, federal and state executives tend to be differently situated with respect to particular programs: The states may rely on the federal executive for funding as the federal executive relies on the states to achieve its policy goals; or the states may rely on federal cooperation to achieve their policy goals as the federal government relies on the states for political capital. [*1003] Such </w:t>
      </w:r>
      <w:r w:rsidRPr="00661A68">
        <w:rPr>
          <w:rStyle w:val="StyleUnderline"/>
        </w:rPr>
        <w:t>mutual reliance</w:t>
      </w:r>
      <w:r w:rsidRPr="00661A68">
        <w:rPr>
          <w:sz w:val="16"/>
        </w:rPr>
        <w:t xml:space="preserve">, but </w:t>
      </w:r>
      <w:r w:rsidRPr="00661A68">
        <w:rPr>
          <w:rStyle w:val="StyleUnderline"/>
        </w:rPr>
        <w:t>varied responsibilities and interests, may create more paths to, and incentives for, compromise</w:t>
      </w:r>
      <w:r w:rsidRPr="00661A68">
        <w:rPr>
          <w:sz w:val="16"/>
        </w:rPr>
        <w:t xml:space="preserve">. Finally, executive </w:t>
      </w:r>
      <w:r w:rsidRPr="00661A68">
        <w:rPr>
          <w:rStyle w:val="StyleUnderline"/>
        </w:rPr>
        <w:t>negotiations may transpire in greater secrecy than legislative deliberations that occur in the sunshine. Consider</w:t>
      </w:r>
      <w:r w:rsidRPr="00661A68">
        <w:rPr>
          <w:sz w:val="16"/>
        </w:rPr>
        <w:t xml:space="preserve">, for instance, </w:t>
      </w:r>
      <w:r w:rsidRPr="00661A68">
        <w:rPr>
          <w:rStyle w:val="StyleUnderline"/>
        </w:rPr>
        <w:t>how executive federalism has been remaking national healthcare law</w:t>
      </w:r>
      <w:r w:rsidRPr="00661A68">
        <w:rPr>
          <w:sz w:val="16"/>
        </w:rPr>
        <w:t xml:space="preserve">, </w:t>
      </w:r>
      <w:r w:rsidRPr="00661A68">
        <w:rPr>
          <w:rStyle w:val="StyleUnderline"/>
        </w:rPr>
        <w:t>with state-federal negotiations about insurance exchanges and the Medicaid expansion opening new routes to bipartisan compromise</w:t>
      </w:r>
      <w:r w:rsidRPr="00661A68">
        <w:rPr>
          <w:sz w:val="16"/>
        </w:rPr>
        <w:t xml:space="preserve">. n210 </w:t>
      </w:r>
      <w:r w:rsidRPr="00661A68">
        <w:rPr>
          <w:rStyle w:val="StyleUnderline"/>
        </w:rPr>
        <w:t>Such compromises are mostly arising from discrete interactions among particular state and federal executives, and they seize on finer-grained questions to begin to find common ground, or at least mutual acquiescence, amid sharp polarization</w:t>
      </w:r>
      <w:r w:rsidRPr="00661A68">
        <w:rPr>
          <w:sz w:val="16"/>
        </w:rPr>
        <w:t>. For instance, in negotiations around the creation of insurance exchanges, HHS repeatedly extended filing deadlines partly in response to requests from Republican governors; it allowed Utah to operate a separate small business exchange that the state cast as more "market-based" than HHS's understanding of the Act, which required "a more government-centric" approach resulting in "less choice and more reliance on public programs"; and it developed alternative forms of partnership exchanges that created ongoing working relationships between federal officials and Republican state officials. n211 Today, Arkansas, Kansas, Nebraska, Ohio, and South Dakota, among other red states, have agreed to coordinate with the federal executive. n212 Although HHS has decisive legal authority with respect to such exchanges, it also has a strong practical and political need for state assistance. Negotiations over the concrete particulars of exchange design have allowed Republican state officials to achieve significant concessions, as Democratic federal officials get more buy-in for the program.</w:t>
      </w:r>
    </w:p>
    <w:p w14:paraId="1938B18C" w14:textId="77777777" w:rsidR="00602782" w:rsidRPr="00661A68" w:rsidRDefault="00602782" w:rsidP="00602782">
      <w:pPr>
        <w:pStyle w:val="Heading4"/>
      </w:pPr>
      <w:r w:rsidRPr="00661A68">
        <w:t>Any fights would happen in secret</w:t>
      </w:r>
    </w:p>
    <w:p w14:paraId="2F001A0F" w14:textId="77777777" w:rsidR="00602782" w:rsidRPr="00661A68" w:rsidRDefault="00602782" w:rsidP="00602782">
      <w:r w:rsidRPr="00661A68">
        <w:rPr>
          <w:rStyle w:val="Style13ptBold"/>
        </w:rPr>
        <w:t>Bulman-Pozen 16</w:t>
      </w:r>
      <w:r w:rsidRPr="00661A68">
        <w:t xml:space="preserve"> </w:t>
      </w:r>
      <w:r w:rsidRPr="00661A68">
        <w:rPr>
          <w:sz w:val="16"/>
          <w:szCs w:val="16"/>
        </w:rPr>
        <w:t>(Jessica, Associate Professor, Columbia Law School, EXECUTIVE FEDERALISM COMES TO AMERICA, 102 Va. L. Rev. 953, June, lexis)</w:t>
      </w:r>
    </w:p>
    <w:p w14:paraId="31F46EE4" w14:textId="77777777" w:rsidR="00602782" w:rsidRPr="00661A68" w:rsidRDefault="00602782" w:rsidP="00602782">
      <w:pPr>
        <w:rPr>
          <w:sz w:val="16"/>
        </w:rPr>
      </w:pPr>
      <w:r w:rsidRPr="00661A68">
        <w:rPr>
          <w:sz w:val="16"/>
        </w:rPr>
        <w:t xml:space="preserve">Most </w:t>
      </w:r>
      <w:r w:rsidRPr="00661A68">
        <w:rPr>
          <w:rStyle w:val="StyleUnderline"/>
        </w:rPr>
        <w:t>executive federalism negotiations unfold in greater privacy</w:t>
      </w:r>
      <w:r w:rsidRPr="00661A68">
        <w:rPr>
          <w:sz w:val="16"/>
        </w:rPr>
        <w:t xml:space="preserve">. As an initial matter, </w:t>
      </w:r>
      <w:r w:rsidRPr="00661A68">
        <w:rPr>
          <w:rStyle w:val="StyleUnderline"/>
        </w:rPr>
        <w:t xml:space="preserve">state-federal consultations are exempt from </w:t>
      </w:r>
      <w:r w:rsidRPr="00661A68">
        <w:rPr>
          <w:sz w:val="16"/>
        </w:rPr>
        <w:t xml:space="preserve">the requirements of </w:t>
      </w:r>
      <w:r w:rsidRPr="00661A68">
        <w:rPr>
          <w:rStyle w:val="StyleUnderline"/>
        </w:rPr>
        <w:t>transparency laws</w:t>
      </w:r>
      <w:r w:rsidRPr="00661A68">
        <w:rPr>
          <w:sz w:val="16"/>
        </w:rPr>
        <w:t xml:space="preserve"> like FACA, so </w:t>
      </w:r>
      <w:r w:rsidRPr="00661A68">
        <w:rPr>
          <w:rStyle w:val="StyleUnderline"/>
        </w:rPr>
        <w:t xml:space="preserve">state and federal officials are not under a legal obligation to treat their conversations as meetings of public interest </w:t>
      </w:r>
      <w:r w:rsidRPr="00661A68">
        <w:rPr>
          <w:sz w:val="16"/>
        </w:rPr>
        <w:t xml:space="preserve">and to allow public attendance or disclose meeting minutes. n232 More generally, </w:t>
      </w:r>
      <w:r w:rsidRPr="00661A68">
        <w:rPr>
          <w:rStyle w:val="StyleUnderline"/>
        </w:rPr>
        <w:t xml:space="preserve">executive federalism tends to occur through </w:t>
      </w:r>
      <w:r w:rsidRPr="00661A68">
        <w:rPr>
          <w:sz w:val="16"/>
        </w:rPr>
        <w:t xml:space="preserve">a series of </w:t>
      </w:r>
      <w:r w:rsidRPr="00661A68">
        <w:rPr>
          <w:rStyle w:val="StyleUnderline"/>
        </w:rPr>
        <w:t xml:space="preserve">conversations between </w:t>
      </w:r>
      <w:r w:rsidRPr="00661A68">
        <w:rPr>
          <w:sz w:val="16"/>
        </w:rPr>
        <w:t xml:space="preserve">particular </w:t>
      </w:r>
      <w:r w:rsidRPr="00661A68">
        <w:rPr>
          <w:rStyle w:val="StyleUnderline"/>
        </w:rPr>
        <w:t>state and federal executives</w:t>
      </w:r>
      <w:r w:rsidRPr="00661A68">
        <w:rPr>
          <w:sz w:val="16"/>
        </w:rPr>
        <w:t xml:space="preserve">. Such conversations are usually punctuated with publicity by one side or the other - whether missives intending to apply political pressure, such as the Utah Governor's letter to the President about the state's small business exchange, n233 or publications seeking to inform the public of a tentative decision, such as the DOJ's series of letters about the enforcement of federal marijuana offenses. n234 As a simple matter of politics, we might expect state and federal officials to trumpet their policy achievements. And the results of these negotiations inevitably become public as  [*1008]  policy is reshaped. But </w:t>
      </w:r>
      <w:r w:rsidRPr="00661A68">
        <w:rPr>
          <w:rStyle w:val="StyleUnderline"/>
        </w:rPr>
        <w:t xml:space="preserve">critical back-and-forths, offers and counteroffers, </w:t>
      </w:r>
      <w:r w:rsidRPr="00661A68">
        <w:rPr>
          <w:rStyle w:val="Emphasis"/>
        </w:rPr>
        <w:t>happen out of the public eye</w:t>
      </w:r>
      <w:r w:rsidRPr="00661A68">
        <w:rPr>
          <w:sz w:val="16"/>
        </w:rPr>
        <w:t>.</w:t>
      </w:r>
    </w:p>
    <w:p w14:paraId="1049C6E1" w14:textId="7071ABFE" w:rsidR="00305A32" w:rsidRPr="00661A68" w:rsidRDefault="00305A32" w:rsidP="00305A32">
      <w:pPr>
        <w:pStyle w:val="Heading3"/>
      </w:pPr>
      <w:r w:rsidRPr="00661A68">
        <w:t>2NC AT Congressional Consent</w:t>
      </w:r>
    </w:p>
    <w:p w14:paraId="795F6127" w14:textId="77777777" w:rsidR="00305A32" w:rsidRPr="00661A68" w:rsidRDefault="00305A32" w:rsidP="00305A32"/>
    <w:p w14:paraId="5B1F16F1" w14:textId="77777777" w:rsidR="00305A32" w:rsidRPr="00661A68" w:rsidRDefault="00305A32" w:rsidP="00305A32">
      <w:pPr>
        <w:pStyle w:val="Heading4"/>
      </w:pPr>
      <w:r w:rsidRPr="00661A68">
        <w:t>Doesn’t need Congressional consent</w:t>
      </w:r>
    </w:p>
    <w:p w14:paraId="52C00C78" w14:textId="77777777" w:rsidR="00305A32" w:rsidRPr="00661A68" w:rsidRDefault="00305A32" w:rsidP="00305A32">
      <w:pPr>
        <w:rPr>
          <w:rStyle w:val="Style13ptBold"/>
        </w:rPr>
      </w:pPr>
      <w:r w:rsidRPr="00661A68">
        <w:rPr>
          <w:rStyle w:val="Style13ptBold"/>
        </w:rPr>
        <w:t>Pincus, 09</w:t>
      </w:r>
    </w:p>
    <w:p w14:paraId="2CAB272B" w14:textId="77777777" w:rsidR="00305A32" w:rsidRPr="00661A68" w:rsidRDefault="00305A32" w:rsidP="00305A32">
      <w:r w:rsidRPr="00661A68">
        <w:t xml:space="preserve">(Matthew, Articles Editor, COLUM. J.L. &amp; SOC. PROBS., 2008-2009, Columbia Journal of Law and Social Problems, Summer, 42 Colum. J.L. &amp; </w:t>
      </w:r>
    </w:p>
    <w:p w14:paraId="3D0A72B7" w14:textId="77777777" w:rsidR="00305A32" w:rsidRPr="00661A68" w:rsidRDefault="00305A32" w:rsidP="00305A32">
      <w:r w:rsidRPr="00661A68">
        <w:t>Soc. Probs. 511, Article: When Should Interstate Compacts Require Congressional Consent?)MKD</w:t>
      </w:r>
    </w:p>
    <w:p w14:paraId="54DFA501" w14:textId="77777777" w:rsidR="00305A32" w:rsidRPr="00661A68" w:rsidRDefault="00305A32" w:rsidP="00305A32">
      <w:pPr>
        <w:rPr>
          <w:rStyle w:val="StyleUnderline"/>
        </w:rPr>
      </w:pPr>
      <w:r w:rsidRPr="00661A68">
        <w:rPr>
          <w:sz w:val="14"/>
        </w:rPr>
        <w:t xml:space="preserve">Any replacement for the U.S. Steel test must recognize that </w:t>
      </w:r>
      <w:r w:rsidRPr="00661A68">
        <w:rPr>
          <w:rStyle w:val="StyleUnderline"/>
        </w:rPr>
        <w:t xml:space="preserve">interstate compacts </w:t>
      </w:r>
      <w:r w:rsidRPr="00661A68">
        <w:rPr>
          <w:rStyle w:val="Emphasis"/>
        </w:rPr>
        <w:t>can lead to desirable outcomes</w:t>
      </w:r>
      <w:r w:rsidRPr="00661A68">
        <w:rPr>
          <w:rStyle w:val="StyleUnderline"/>
        </w:rPr>
        <w:t xml:space="preserve"> and that there are valid reasons for states to agree to act collectively to address various problems</w:t>
      </w:r>
      <w:r w:rsidRPr="00661A68">
        <w:rPr>
          <w:sz w:val="14"/>
        </w:rPr>
        <w:t xml:space="preserve">. n130 An optimal replacement for the U.S. Steel test </w:t>
      </w:r>
      <w:r w:rsidRPr="00661A68">
        <w:rPr>
          <w:rStyle w:val="StyleUnderline"/>
        </w:rPr>
        <w:t xml:space="preserve">should allow states to form compacts in some areas </w:t>
      </w:r>
      <w:r w:rsidRPr="00661A68">
        <w:rPr>
          <w:rStyle w:val="Emphasis"/>
        </w:rPr>
        <w:t xml:space="preserve">without </w:t>
      </w:r>
      <w:r w:rsidRPr="00661A68">
        <w:rPr>
          <w:rStyle w:val="StyleUnderline"/>
        </w:rPr>
        <w:t>the requirement of</w:t>
      </w:r>
      <w:r w:rsidRPr="00661A68">
        <w:rPr>
          <w:rStyle w:val="Emphasis"/>
        </w:rPr>
        <w:t xml:space="preserve"> congressional consent</w:t>
      </w:r>
      <w:r w:rsidRPr="00661A68">
        <w:rPr>
          <w:rStyle w:val="StyleUnderline"/>
        </w:rPr>
        <w:t>.</w:t>
      </w:r>
      <w:r w:rsidRPr="00661A68">
        <w:rPr>
          <w:sz w:val="14"/>
        </w:rPr>
        <w:t xml:space="preserve"> As Part IV.A outlined, however, compacts such as the NPV that attempt to take action on quintessentially national issues run a very real risk of upsetting the balance of power between the states and the federal government. Likewise, the practice of seeking congressional approval for a compact, and then, if such approval is not obtained, enacting the compact and challenging Congress to override it-as was done with both the MTC and the MSA compacts- represents an aggrandizement of state power at the expense of the federal government. This argues against the status quo, under which virtually </w:t>
      </w:r>
      <w:r w:rsidRPr="00661A68">
        <w:rPr>
          <w:rStyle w:val="Emphasis"/>
        </w:rPr>
        <w:t>no</w:t>
      </w:r>
      <w:r w:rsidRPr="00661A68">
        <w:rPr>
          <w:rStyle w:val="StyleUnderline"/>
        </w:rPr>
        <w:t xml:space="preserve"> unapproved interstate </w:t>
      </w:r>
      <w:r w:rsidRPr="00661A68">
        <w:rPr>
          <w:rStyle w:val="Emphasis"/>
        </w:rPr>
        <w:t>compacts</w:t>
      </w:r>
      <w:r w:rsidRPr="00661A68">
        <w:rPr>
          <w:rStyle w:val="StyleUnderline"/>
        </w:rPr>
        <w:t xml:space="preserve"> are found to violate the Compact Clause.</w:t>
      </w:r>
    </w:p>
    <w:p w14:paraId="22C9FEFE" w14:textId="77777777" w:rsidR="00305A32" w:rsidRPr="00661A68" w:rsidRDefault="00305A32" w:rsidP="00305A32"/>
    <w:p w14:paraId="3A4811C4" w14:textId="77777777" w:rsidR="00305A32" w:rsidRPr="00661A68" w:rsidRDefault="00305A32" w:rsidP="00305A32">
      <w:pPr>
        <w:pStyle w:val="Heading4"/>
      </w:pPr>
      <w:r w:rsidRPr="00661A68">
        <w:t>Previous committees prove—CP doesn’t require consent</w:t>
      </w:r>
    </w:p>
    <w:p w14:paraId="79DE6E95" w14:textId="77777777" w:rsidR="00305A32" w:rsidRPr="00661A68" w:rsidRDefault="00305A32" w:rsidP="00305A32">
      <w:pPr>
        <w:rPr>
          <w:rStyle w:val="Style13ptBold"/>
        </w:rPr>
      </w:pPr>
      <w:r w:rsidRPr="00661A68">
        <w:rPr>
          <w:rStyle w:val="Style13ptBold"/>
        </w:rPr>
        <w:t>Carothers, 06</w:t>
      </w:r>
    </w:p>
    <w:p w14:paraId="654536EC" w14:textId="77777777" w:rsidR="00305A32" w:rsidRPr="00661A68" w:rsidRDefault="00305A32" w:rsidP="00305A32">
      <w:r w:rsidRPr="00661A68">
        <w:t>(Claire, JD Georgia Law School, Assistant professor of Law at Wayne State University, “NOTE: UNITED WE STAND: THE INTERSTATE COMPACT AS A TOOL FOR EFFECTING CLIMATE CHANGE”, Georgia Law Review</w:t>
      </w:r>
      <w:r w:rsidRPr="00661A68">
        <w:rPr>
          <w:sz w:val="12"/>
        </w:rPr>
        <w:t xml:space="preserve">¶ </w:t>
      </w:r>
      <w:r w:rsidRPr="00661A68">
        <w:t>Fall, 2006</w:t>
      </w:r>
      <w:r w:rsidRPr="00661A68">
        <w:rPr>
          <w:sz w:val="12"/>
        </w:rPr>
        <w:t xml:space="preserve">¶ </w:t>
      </w:r>
      <w:r w:rsidRPr="00661A68">
        <w:t>41 Ga. L. Rev. 229</w:t>
      </w:r>
      <w:r w:rsidRPr="00661A68">
        <w:rPr>
          <w:sz w:val="12"/>
        </w:rPr>
        <w:t xml:space="preserve">¶ </w:t>
      </w:r>
      <w:r w:rsidRPr="00661A68">
        <w:t>Lexis NL)</w:t>
      </w:r>
    </w:p>
    <w:p w14:paraId="2B58F20C" w14:textId="77777777" w:rsidR="00305A32" w:rsidRPr="00661A68" w:rsidRDefault="00305A32" w:rsidP="00305A32">
      <w:pPr>
        <w:rPr>
          <w:sz w:val="12"/>
        </w:rPr>
      </w:pPr>
      <w:r w:rsidRPr="00661A68">
        <w:rPr>
          <w:rStyle w:val="StyleUnderline"/>
        </w:rPr>
        <w:t xml:space="preserve">Seeking </w:t>
      </w:r>
      <w:r w:rsidRPr="00661A68">
        <w:rPr>
          <w:rStyle w:val="Emphasis"/>
        </w:rPr>
        <w:t>simplification</w:t>
      </w:r>
      <w:r w:rsidRPr="00661A68">
        <w:rPr>
          <w:rStyle w:val="StyleUnderline"/>
        </w:rPr>
        <w:t xml:space="preserve"> and acceleration of congressional consent, the Committee on </w:t>
      </w:r>
      <w:bookmarkStart w:id="0" w:name="ORIGHIT_21"/>
      <w:bookmarkStart w:id="1" w:name="HIT_21"/>
      <w:bookmarkEnd w:id="0"/>
      <w:bookmarkEnd w:id="1"/>
      <w:r w:rsidRPr="00661A68">
        <w:rPr>
          <w:rStyle w:val="StyleUnderline"/>
        </w:rPr>
        <w:t xml:space="preserve">Interstate Compacts of the National Association of Attorneys General recommended that </w:t>
      </w:r>
      <w:r w:rsidRPr="00661A68">
        <w:rPr>
          <w:rStyle w:val="Emphasis"/>
        </w:rPr>
        <w:t xml:space="preserve">states should not request consent </w:t>
      </w:r>
      <w:r w:rsidRPr="00661A68">
        <w:rPr>
          <w:rStyle w:val="StyleUnderline"/>
        </w:rPr>
        <w:t>unless so required</w:t>
      </w:r>
      <w:r w:rsidRPr="00661A68">
        <w:rPr>
          <w:sz w:val="12"/>
        </w:rPr>
        <w:t xml:space="preserve">. </w:t>
      </w:r>
      <w:bookmarkStart w:id="2" w:name="r105"/>
      <w:r w:rsidRPr="00661A68">
        <w:rPr>
          <w:sz w:val="12"/>
        </w:rPr>
        <w:fldChar w:fldCharType="begin"/>
      </w:r>
      <w:r w:rsidRPr="00661A68">
        <w:rPr>
          <w:sz w:val="12"/>
        </w:rPr>
        <w:instrText xml:space="preserve"> HYPERLINK "http://www.lexisnexis.com/lnacui2api/frame.do?tokenKey=rsh-20.648041.9686028087&amp;target=results_DocumentContent&amp;returnToKey=20_T24385901680&amp;parent=docview&amp;rand=1468857018909&amp;reloadEntirePage=true" \l "n105" </w:instrText>
      </w:r>
      <w:r w:rsidRPr="00661A68">
        <w:rPr>
          <w:sz w:val="12"/>
        </w:rPr>
        <w:fldChar w:fldCharType="separate"/>
      </w:r>
      <w:r w:rsidRPr="00661A68">
        <w:rPr>
          <w:rStyle w:val="Hyperlink"/>
          <w:sz w:val="12"/>
        </w:rPr>
        <w:t>n105</w:t>
      </w:r>
      <w:r w:rsidRPr="00661A68">
        <w:rPr>
          <w:sz w:val="12"/>
        </w:rPr>
        <w:fldChar w:fldCharType="end"/>
      </w:r>
      <w:bookmarkEnd w:id="2"/>
      <w:r w:rsidRPr="00661A68">
        <w:rPr>
          <w:sz w:val="12"/>
        </w:rPr>
        <w:t xml:space="preserve"> Though scholars suggest that compacts regarding boundary settlements, jurisdiction over boundary waters, and those possibly having a negative effect on nonparty states most clearly disrupt the balance of federal power, </w:t>
      </w:r>
      <w:r w:rsidRPr="00661A68">
        <w:rPr>
          <w:rStyle w:val="Emphasis"/>
        </w:rPr>
        <w:t>no established guide</w:t>
      </w:r>
      <w:r w:rsidRPr="00661A68">
        <w:rPr>
          <w:rStyle w:val="StyleUnderline"/>
        </w:rPr>
        <w:t xml:space="preserve"> for consent requirements </w:t>
      </w:r>
      <w:r w:rsidRPr="00661A68">
        <w:rPr>
          <w:rStyle w:val="Emphasis"/>
        </w:rPr>
        <w:t>exists</w:t>
      </w:r>
      <w:r w:rsidRPr="00661A68">
        <w:rPr>
          <w:rStyle w:val="StyleUnderline"/>
        </w:rPr>
        <w:t>.</w:t>
      </w:r>
      <w:r w:rsidRPr="00661A68">
        <w:rPr>
          <w:sz w:val="12"/>
        </w:rPr>
        <w:t xml:space="preserve"> </w:t>
      </w:r>
      <w:bookmarkStart w:id="3" w:name="r106"/>
      <w:r w:rsidRPr="00661A68">
        <w:rPr>
          <w:sz w:val="12"/>
        </w:rPr>
        <w:fldChar w:fldCharType="begin"/>
      </w:r>
      <w:r w:rsidRPr="00661A68">
        <w:rPr>
          <w:sz w:val="12"/>
        </w:rPr>
        <w:instrText xml:space="preserve"> HYPERLINK "http://www.lexisnexis.com/lnacui2api/frame.do?tokenKey=rsh-20.648041.9686028087&amp;target=results_DocumentContent&amp;returnToKey=20_T24385901680&amp;parent=docview&amp;rand=1468857018909&amp;reloadEntirePage=true" \l "n106" </w:instrText>
      </w:r>
      <w:r w:rsidRPr="00661A68">
        <w:rPr>
          <w:sz w:val="12"/>
        </w:rPr>
        <w:fldChar w:fldCharType="separate"/>
      </w:r>
      <w:r w:rsidRPr="00661A68">
        <w:rPr>
          <w:rStyle w:val="Hyperlink"/>
          <w:sz w:val="12"/>
        </w:rPr>
        <w:t>n106</w:t>
      </w:r>
      <w:r w:rsidRPr="00661A68">
        <w:rPr>
          <w:sz w:val="12"/>
        </w:rPr>
        <w:fldChar w:fldCharType="end"/>
      </w:r>
      <w:bookmarkEnd w:id="3"/>
      <w:r w:rsidRPr="00661A68">
        <w:rPr>
          <w:sz w:val="12"/>
        </w:rPr>
        <w:t xml:space="preserve"> More recently, Congress has mandated consent when two or more states compact to address a matter which is within the national government's typical jurisdiction, but which has not yet been addressed. </w:t>
      </w:r>
      <w:bookmarkStart w:id="4" w:name="r107"/>
      <w:r w:rsidRPr="00661A68">
        <w:rPr>
          <w:sz w:val="12"/>
        </w:rPr>
        <w:fldChar w:fldCharType="begin"/>
      </w:r>
      <w:r w:rsidRPr="00661A68">
        <w:rPr>
          <w:sz w:val="12"/>
        </w:rPr>
        <w:instrText xml:space="preserve"> HYPERLINK "http://www.lexisnexis.com/lnacui2api/frame.do?tokenKey=rsh-20.648041.9686028087&amp;target=results_DocumentContent&amp;returnToKey=20_T24385901680&amp;parent=docview&amp;rand=1468857018909&amp;reloadEntirePage=true" \l "n107" </w:instrText>
      </w:r>
      <w:r w:rsidRPr="00661A68">
        <w:rPr>
          <w:sz w:val="12"/>
        </w:rPr>
        <w:fldChar w:fldCharType="separate"/>
      </w:r>
      <w:r w:rsidRPr="00661A68">
        <w:rPr>
          <w:rStyle w:val="Hyperlink"/>
          <w:sz w:val="12"/>
        </w:rPr>
        <w:t>n107</w:t>
      </w:r>
      <w:r w:rsidRPr="00661A68">
        <w:rPr>
          <w:sz w:val="12"/>
        </w:rPr>
        <w:fldChar w:fldCharType="end"/>
      </w:r>
      <w:bookmarkEnd w:id="4"/>
      <w:r w:rsidRPr="00661A68">
        <w:rPr>
          <w:sz w:val="12"/>
        </w:rPr>
        <w:t xml:space="preserve"> Contrary to historical precedent, boundary compacts between two or three states are far more likely to be recognized without consent or with implied approval than regulatory actions on a larger scale. </w:t>
      </w:r>
      <w:bookmarkStart w:id="5" w:name="r108"/>
      <w:r w:rsidRPr="00661A68">
        <w:rPr>
          <w:sz w:val="12"/>
        </w:rPr>
        <w:fldChar w:fldCharType="begin"/>
      </w:r>
      <w:r w:rsidRPr="00661A68">
        <w:rPr>
          <w:sz w:val="12"/>
        </w:rPr>
        <w:instrText xml:space="preserve"> HYPERLINK "http://www.lexisnexis.com/lnacui2api/frame.do?tokenKey=rsh-20.648041.9686028087&amp;target=results_DocumentContent&amp;returnToKey=20_T24385901680&amp;parent=docview&amp;rand=1468857018909&amp;reloadEntirePage=true" \l "n108" </w:instrText>
      </w:r>
      <w:r w:rsidRPr="00661A68">
        <w:rPr>
          <w:sz w:val="12"/>
        </w:rPr>
        <w:fldChar w:fldCharType="separate"/>
      </w:r>
      <w:r w:rsidRPr="00661A68">
        <w:rPr>
          <w:rStyle w:val="Hyperlink"/>
          <w:sz w:val="12"/>
        </w:rPr>
        <w:t>n108</w:t>
      </w:r>
      <w:r w:rsidRPr="00661A68">
        <w:rPr>
          <w:sz w:val="12"/>
        </w:rPr>
        <w:fldChar w:fldCharType="end"/>
      </w:r>
      <w:bookmarkEnd w:id="5"/>
    </w:p>
    <w:p w14:paraId="0E4A88EF" w14:textId="77777777" w:rsidR="00305A32" w:rsidRPr="00661A68" w:rsidRDefault="00305A32" w:rsidP="00305A32">
      <w:pPr>
        <w:rPr>
          <w:sz w:val="12"/>
        </w:rPr>
      </w:pPr>
    </w:p>
    <w:p w14:paraId="5C73F2BE" w14:textId="77777777" w:rsidR="00305A32" w:rsidRPr="00661A68" w:rsidRDefault="00305A32" w:rsidP="00305A32">
      <w:pPr>
        <w:rPr>
          <w:sz w:val="12"/>
        </w:rPr>
      </w:pPr>
    </w:p>
    <w:p w14:paraId="67344C85" w14:textId="77777777" w:rsidR="00305A32" w:rsidRPr="00661A68" w:rsidRDefault="00305A32" w:rsidP="00305A32">
      <w:pPr>
        <w:pStyle w:val="Heading4"/>
      </w:pPr>
      <w:r w:rsidRPr="00661A68">
        <w:t>Precedent for getting consent doesn’t mean it’s required</w:t>
      </w:r>
    </w:p>
    <w:p w14:paraId="5C6880ED" w14:textId="77777777" w:rsidR="00305A32" w:rsidRPr="00661A68" w:rsidRDefault="00305A32" w:rsidP="00305A32">
      <w:pPr>
        <w:rPr>
          <w:rStyle w:val="Style13ptBold"/>
        </w:rPr>
      </w:pPr>
      <w:r w:rsidRPr="00661A68">
        <w:rPr>
          <w:rStyle w:val="Style13ptBold"/>
        </w:rPr>
        <w:t>Carothers, 06</w:t>
      </w:r>
    </w:p>
    <w:p w14:paraId="3026F28B" w14:textId="77777777" w:rsidR="00305A32" w:rsidRPr="00661A68" w:rsidRDefault="00305A32" w:rsidP="00305A32">
      <w:r w:rsidRPr="00661A68">
        <w:t>(Claire, JD Georgia Law School, Assistant professor of Law at Wayne State University, “NOTE: UNITED WE STAND: THE INTERSTATE COMPACT AS A TOOL FOR EFFECTING CLIMATE CHANGE”, Georgia Law Review</w:t>
      </w:r>
      <w:r w:rsidRPr="00661A68">
        <w:rPr>
          <w:sz w:val="12"/>
        </w:rPr>
        <w:t xml:space="preserve">¶ </w:t>
      </w:r>
      <w:r w:rsidRPr="00661A68">
        <w:t>Fall, 2006</w:t>
      </w:r>
      <w:r w:rsidRPr="00661A68">
        <w:rPr>
          <w:sz w:val="12"/>
        </w:rPr>
        <w:t xml:space="preserve">¶ </w:t>
      </w:r>
      <w:r w:rsidRPr="00661A68">
        <w:t>41 Ga. L. Rev. 229</w:t>
      </w:r>
      <w:r w:rsidRPr="00661A68">
        <w:rPr>
          <w:sz w:val="12"/>
        </w:rPr>
        <w:t xml:space="preserve">¶ </w:t>
      </w:r>
      <w:r w:rsidRPr="00661A68">
        <w:t>Lexis NL)</w:t>
      </w:r>
    </w:p>
    <w:p w14:paraId="61338E4B" w14:textId="77777777" w:rsidR="00305A32" w:rsidRPr="00661A68" w:rsidRDefault="00305A32" w:rsidP="00305A32">
      <w:pPr>
        <w:rPr>
          <w:sz w:val="10"/>
        </w:rPr>
      </w:pPr>
      <w:r w:rsidRPr="00661A68">
        <w:rPr>
          <w:rStyle w:val="StyleUnderline"/>
        </w:rPr>
        <w:t xml:space="preserve">Despite the increased federal control over </w:t>
      </w:r>
      <w:bookmarkStart w:id="6" w:name="ORIGHIT_26"/>
      <w:bookmarkStart w:id="7" w:name="HIT_26"/>
      <w:bookmarkEnd w:id="6"/>
      <w:bookmarkEnd w:id="7"/>
      <w:r w:rsidRPr="00661A68">
        <w:rPr>
          <w:rStyle w:val="StyleUnderline"/>
        </w:rPr>
        <w:t xml:space="preserve">interstate compacts, some </w:t>
      </w:r>
      <w:r w:rsidRPr="00661A68">
        <w:rPr>
          <w:rStyle w:val="Emphasis"/>
        </w:rPr>
        <w:t>agreements</w:t>
      </w:r>
      <w:r w:rsidRPr="00661A68">
        <w:rPr>
          <w:rStyle w:val="StyleUnderline"/>
        </w:rPr>
        <w:t xml:space="preserve">, such as the Southern Regional Education Compact, </w:t>
      </w:r>
      <w:bookmarkStart w:id="8" w:name="r124"/>
      <w:r w:rsidRPr="00661A68">
        <w:rPr>
          <w:rStyle w:val="StyleUnderline"/>
        </w:rPr>
        <w:fldChar w:fldCharType="begin"/>
      </w:r>
      <w:r w:rsidRPr="00661A68">
        <w:rPr>
          <w:rStyle w:val="StyleUnderline"/>
        </w:rPr>
        <w:instrText xml:space="preserve"> HYPERLINK "http://www.lexisnexis.com/lnacui2api/frame.do?tokenKey=rsh-20.648041.9686028087&amp;target=results_DocumentContent&amp;returnToKey=20_T24385901680&amp;parent=docview&amp;rand=1468857018909&amp;reloadEntirePage=true" \l "n124" </w:instrText>
      </w:r>
      <w:r w:rsidRPr="00661A68">
        <w:rPr>
          <w:rStyle w:val="StyleUnderline"/>
        </w:rPr>
        <w:fldChar w:fldCharType="separate"/>
      </w:r>
      <w:r w:rsidRPr="00661A68">
        <w:rPr>
          <w:rStyle w:val="StyleUnderline"/>
        </w:rPr>
        <w:t>n124</w:t>
      </w:r>
      <w:r w:rsidRPr="00661A68">
        <w:rPr>
          <w:rStyle w:val="StyleUnderline"/>
        </w:rPr>
        <w:fldChar w:fldCharType="end"/>
      </w:r>
      <w:bookmarkEnd w:id="8"/>
      <w:r w:rsidRPr="00661A68">
        <w:rPr>
          <w:rStyle w:val="StyleUnderline"/>
        </w:rPr>
        <w:t xml:space="preserve"> </w:t>
      </w:r>
      <w:r w:rsidRPr="00661A68">
        <w:rPr>
          <w:rStyle w:val="Emphasis"/>
        </w:rPr>
        <w:t>have been executed absent this approval</w:t>
      </w:r>
      <w:r w:rsidRPr="00661A68">
        <w:rPr>
          <w:rStyle w:val="StyleUnderline"/>
        </w:rPr>
        <w:t>.</w:t>
      </w:r>
      <w:r w:rsidRPr="00661A68">
        <w:rPr>
          <w:sz w:val="10"/>
        </w:rPr>
        <w:t xml:space="preserve"> </w:t>
      </w:r>
      <w:bookmarkStart w:id="9" w:name="r125"/>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"n125" </w:instrText>
      </w:r>
      <w:r w:rsidRPr="00661A68">
        <w:rPr>
          <w:sz w:val="10"/>
        </w:rPr>
        <w:fldChar w:fldCharType="separate"/>
      </w:r>
      <w:r w:rsidRPr="00661A68">
        <w:rPr>
          <w:rStyle w:val="Hyperlink"/>
          <w:sz w:val="10"/>
        </w:rPr>
        <w:t>n125</w:t>
      </w:r>
      <w:r w:rsidRPr="00661A68">
        <w:rPr>
          <w:sz w:val="10"/>
        </w:rPr>
        <w:fldChar w:fldCharType="end"/>
      </w:r>
      <w:bookmarkEnd w:id="9"/>
      <w:r w:rsidRPr="00661A68">
        <w:rPr>
          <w:sz w:val="10"/>
        </w:rPr>
        <w:t xml:space="preserve"> </w:t>
      </w:r>
      <w:r w:rsidRPr="00661A68">
        <w:rPr>
          <w:rStyle w:val="StyleUnderline"/>
        </w:rPr>
        <w:t xml:space="preserve">Compacts establishing joint institutions </w:t>
      </w:r>
      <w:r w:rsidRPr="00661A68">
        <w:rPr>
          <w:rStyle w:val="Emphasis"/>
        </w:rPr>
        <w:t>for</w:t>
      </w:r>
      <w:r w:rsidRPr="00661A68">
        <w:rPr>
          <w:rStyle w:val="StyleUnderline"/>
        </w:rPr>
        <w:t xml:space="preserve"> health, correctional, or other </w:t>
      </w:r>
      <w:r w:rsidRPr="00661A68">
        <w:rPr>
          <w:rStyle w:val="Emphasis"/>
        </w:rPr>
        <w:t>state purposes</w:t>
      </w:r>
      <w:r w:rsidRPr="00661A68">
        <w:rPr>
          <w:rStyle w:val="StyleUnderline"/>
        </w:rPr>
        <w:t xml:space="preserve"> </w:t>
      </w:r>
      <w:r w:rsidRPr="00661A68">
        <w:rPr>
          <w:rStyle w:val="Emphasis"/>
        </w:rPr>
        <w:t>do not require consent</w:t>
      </w:r>
      <w:r w:rsidRPr="00661A68">
        <w:rPr>
          <w:sz w:val="10"/>
        </w:rPr>
        <w:t xml:space="preserve">, nor do administrative compacts [*246] seeking clarification of legislation or interstate equities. </w:t>
      </w:r>
      <w:bookmarkStart w:id="10" w:name="r126"/>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"n126" </w:instrText>
      </w:r>
      <w:r w:rsidRPr="00661A68">
        <w:rPr>
          <w:sz w:val="10"/>
        </w:rPr>
        <w:fldChar w:fldCharType="separate"/>
      </w:r>
      <w:r w:rsidRPr="00661A68">
        <w:rPr>
          <w:rStyle w:val="Hyperlink"/>
          <w:sz w:val="10"/>
        </w:rPr>
        <w:t>n126</w:t>
      </w:r>
      <w:r w:rsidRPr="00661A68">
        <w:rPr>
          <w:sz w:val="10"/>
        </w:rPr>
        <w:fldChar w:fldCharType="end"/>
      </w:r>
      <w:bookmarkEnd w:id="10"/>
      <w:r w:rsidRPr="00661A68">
        <w:rPr>
          <w:sz w:val="10"/>
        </w:rPr>
        <w:t xml:space="preserve"> In 1978, the Supreme Court upheld the constitutionality of the MTC against allegations that the conflict required congressional approval. </w:t>
      </w:r>
      <w:bookmarkStart w:id="11" w:name="r127"/>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"n127" </w:instrText>
      </w:r>
      <w:r w:rsidRPr="00661A68">
        <w:rPr>
          <w:sz w:val="10"/>
        </w:rPr>
        <w:fldChar w:fldCharType="separate"/>
      </w:r>
      <w:r w:rsidRPr="00661A68">
        <w:rPr>
          <w:rStyle w:val="Hyperlink"/>
          <w:sz w:val="10"/>
        </w:rPr>
        <w:t>n127</w:t>
      </w:r>
      <w:r w:rsidRPr="00661A68">
        <w:rPr>
          <w:sz w:val="10"/>
        </w:rPr>
        <w:fldChar w:fldCharType="end"/>
      </w:r>
      <w:bookmarkEnd w:id="11"/>
      <w:r w:rsidRPr="00661A68">
        <w:rPr>
          <w:sz w:val="10"/>
        </w:rPr>
        <w:t xml:space="preserve"> The MTC established a commission of tax administrators for all participating states in an effort to determine, streamline, and standardize state and local tax obligations throughout the nation. </w:t>
      </w:r>
      <w:bookmarkStart w:id="12" w:name="r128"/>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"n128" </w:instrText>
      </w:r>
      <w:r w:rsidRPr="00661A68">
        <w:rPr>
          <w:sz w:val="10"/>
        </w:rPr>
        <w:fldChar w:fldCharType="separate"/>
      </w:r>
      <w:r w:rsidRPr="00661A68">
        <w:rPr>
          <w:rStyle w:val="Hyperlink"/>
          <w:sz w:val="10"/>
        </w:rPr>
        <w:t>n128</w:t>
      </w:r>
      <w:r w:rsidRPr="00661A68">
        <w:rPr>
          <w:sz w:val="10"/>
        </w:rPr>
        <w:fldChar w:fldCharType="end"/>
      </w:r>
      <w:bookmarkEnd w:id="12"/>
      <w:r w:rsidRPr="00661A68">
        <w:rPr>
          <w:sz w:val="10"/>
        </w:rPr>
        <w:t xml:space="preserve"> Despite the compact's advisory nature, the United States Steel Corporation challenged the constitutionality of the MTC by arguing that it lacked congressional consent. </w:t>
      </w:r>
      <w:bookmarkStart w:id="13" w:name="r129"/>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"n129" </w:instrText>
      </w:r>
      <w:r w:rsidRPr="00661A68">
        <w:rPr>
          <w:sz w:val="10"/>
        </w:rPr>
        <w:fldChar w:fldCharType="separate"/>
      </w:r>
      <w:r w:rsidRPr="00661A68">
        <w:rPr>
          <w:rStyle w:val="Hyperlink"/>
          <w:sz w:val="10"/>
        </w:rPr>
        <w:t>n129</w:t>
      </w:r>
      <w:r w:rsidRPr="00661A68">
        <w:rPr>
          <w:sz w:val="10"/>
        </w:rPr>
        <w:fldChar w:fldCharType="end"/>
      </w:r>
      <w:bookmarkEnd w:id="13"/>
      <w:r w:rsidRPr="00661A68">
        <w:rPr>
          <w:sz w:val="12"/>
        </w:rPr>
        <w:t>¶</w:t>
      </w:r>
      <w:r w:rsidRPr="00661A68">
        <w:rPr>
          <w:sz w:val="10"/>
        </w:rPr>
        <w:t xml:space="preserve"> 1. The Multistate Tax Compact. The MTC became effective on August 4th, 1964 when adopted by seven states. </w:t>
      </w:r>
      <w:bookmarkStart w:id="14" w:name="r130"/>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"n130" </w:instrText>
      </w:r>
      <w:r w:rsidRPr="00661A68">
        <w:rPr>
          <w:sz w:val="10"/>
        </w:rPr>
        <w:fldChar w:fldCharType="separate"/>
      </w:r>
      <w:r w:rsidRPr="00661A68">
        <w:rPr>
          <w:rStyle w:val="Hyperlink"/>
          <w:sz w:val="10"/>
        </w:rPr>
        <w:t>n130</w:t>
      </w:r>
      <w:r w:rsidRPr="00661A68">
        <w:rPr>
          <w:sz w:val="10"/>
        </w:rPr>
        <w:fldChar w:fldCharType="end"/>
      </w:r>
      <w:bookmarkEnd w:id="14"/>
      <w:r w:rsidRPr="00661A68">
        <w:rPr>
          <w:sz w:val="10"/>
        </w:rPr>
        <w:t xml:space="preserve"> The drafters created it as a model law seeking to "[f]acilitate proper determination of [s]tate and local tax liability of multistate taxpayers," "[p]romote uniformity . . . of tax systems," "[f]acilitate taxpayer convenience and compliance," and "[a]void duplicative taxation." </w:t>
      </w:r>
      <w:bookmarkStart w:id="15" w:name="r131"/>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"n131" </w:instrText>
      </w:r>
      <w:r w:rsidRPr="00661A68">
        <w:rPr>
          <w:sz w:val="10"/>
        </w:rPr>
        <w:fldChar w:fldCharType="separate"/>
      </w:r>
      <w:r w:rsidRPr="00661A68">
        <w:rPr>
          <w:rStyle w:val="Hyperlink"/>
          <w:sz w:val="10"/>
        </w:rPr>
        <w:t>n131</w:t>
      </w:r>
      <w:r w:rsidRPr="00661A68">
        <w:rPr>
          <w:sz w:val="10"/>
        </w:rPr>
        <w:fldChar w:fldCharType="end"/>
      </w:r>
      <w:bookmarkEnd w:id="15"/>
      <w:r w:rsidRPr="00661A68">
        <w:rPr>
          <w:sz w:val="10"/>
        </w:rPr>
        <w:t xml:space="preserve"> The MTC operates under the guidance of the Multistate Tax Commission, a group composed of one member from each participating state who serves as the head of the applicable state tax agency charged with administration of the taxes affected by the compact. </w:t>
      </w:r>
      <w:bookmarkStart w:id="16" w:name="r132"/>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"n132" </w:instrText>
      </w:r>
      <w:r w:rsidRPr="00661A68">
        <w:rPr>
          <w:sz w:val="10"/>
        </w:rPr>
        <w:fldChar w:fldCharType="separate"/>
      </w:r>
      <w:r w:rsidRPr="00661A68">
        <w:rPr>
          <w:rStyle w:val="Hyperlink"/>
          <w:sz w:val="10"/>
        </w:rPr>
        <w:t>n132</w:t>
      </w:r>
      <w:r w:rsidRPr="00661A68">
        <w:rPr>
          <w:sz w:val="10"/>
        </w:rPr>
        <w:fldChar w:fldCharType="end"/>
      </w:r>
      <w:bookmarkEnd w:id="16"/>
      <w:r w:rsidRPr="00661A68">
        <w:rPr>
          <w:sz w:val="10"/>
        </w:rPr>
        <w:t xml:space="preserve"> The text of the compact limits the Commission's powers to studying state and local tax systems, drafting and recommending proposals intended to increase the uniformity and workability of state and local tax law and administration, compiling and publishing information to aid states in the implementation of the compact, and effecting the general administration of the compact. </w:t>
      </w:r>
      <w:bookmarkStart w:id="17" w:name="r133"/>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"n133" </w:instrText>
      </w:r>
      <w:r w:rsidRPr="00661A68">
        <w:rPr>
          <w:sz w:val="10"/>
        </w:rPr>
        <w:fldChar w:fldCharType="separate"/>
      </w:r>
      <w:r w:rsidRPr="00661A68">
        <w:rPr>
          <w:rStyle w:val="Hyperlink"/>
          <w:sz w:val="10"/>
        </w:rPr>
        <w:t>n133</w:t>
      </w:r>
      <w:r w:rsidRPr="00661A68">
        <w:rPr>
          <w:sz w:val="10"/>
        </w:rPr>
        <w:fldChar w:fldCharType="end"/>
      </w:r>
      <w:bookmarkEnd w:id="17"/>
      <w:r w:rsidRPr="00661A68">
        <w:rPr>
          <w:sz w:val="10"/>
        </w:rPr>
        <w:t xml:space="preserve"> Despite being called a compact, the MTC has only a consultative effect on its member states rather than forcing surrender of any individual state rights or establishing binding penalties for noncompliance. </w:t>
      </w:r>
      <w:bookmarkStart w:id="18" w:name="r134"/>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"n134" </w:instrText>
      </w:r>
      <w:r w:rsidRPr="00661A68">
        <w:rPr>
          <w:sz w:val="10"/>
        </w:rPr>
        <w:fldChar w:fldCharType="separate"/>
      </w:r>
      <w:r w:rsidRPr="00661A68">
        <w:rPr>
          <w:rStyle w:val="Hyperlink"/>
          <w:sz w:val="10"/>
        </w:rPr>
        <w:t>n134</w:t>
      </w:r>
      <w:r w:rsidRPr="00661A68">
        <w:rPr>
          <w:sz w:val="10"/>
        </w:rPr>
        <w:fldChar w:fldCharType="end"/>
      </w:r>
      <w:bookmarkEnd w:id="18"/>
      <w:r w:rsidRPr="00661A68">
        <w:rPr>
          <w:sz w:val="10"/>
        </w:rPr>
        <w:t xml:space="preserve"> States enter and withdraw freely [*247] from the compact upon enactment or repeal of the model compact legislation. </w:t>
      </w:r>
      <w:bookmarkStart w:id="19" w:name="r135"/>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"n135" </w:instrText>
      </w:r>
      <w:r w:rsidRPr="00661A68">
        <w:rPr>
          <w:sz w:val="10"/>
        </w:rPr>
        <w:fldChar w:fldCharType="separate"/>
      </w:r>
      <w:r w:rsidRPr="00661A68">
        <w:rPr>
          <w:rStyle w:val="Hyperlink"/>
          <w:sz w:val="10"/>
        </w:rPr>
        <w:t>n135</w:t>
      </w:r>
      <w:r w:rsidRPr="00661A68">
        <w:rPr>
          <w:sz w:val="10"/>
        </w:rPr>
        <w:fldChar w:fldCharType="end"/>
      </w:r>
      <w:bookmarkEnd w:id="19"/>
      <w:r w:rsidRPr="00661A68">
        <w:rPr>
          <w:sz w:val="12"/>
        </w:rPr>
        <w:t>¶</w:t>
      </w:r>
      <w:r w:rsidRPr="00661A68">
        <w:rPr>
          <w:sz w:val="10"/>
        </w:rPr>
        <w:t xml:space="preserve"> Several multistate corporate taxpayers brought legal action against the MTC seeking a declaration of its invalidity and a permanent injunction. </w:t>
      </w:r>
      <w:bookmarkStart w:id="20" w:name="r136"/>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"n136" </w:instrText>
      </w:r>
      <w:r w:rsidRPr="00661A68">
        <w:rPr>
          <w:sz w:val="10"/>
        </w:rPr>
        <w:fldChar w:fldCharType="separate"/>
      </w:r>
      <w:r w:rsidRPr="00661A68">
        <w:rPr>
          <w:rStyle w:val="Hyperlink"/>
          <w:sz w:val="10"/>
        </w:rPr>
        <w:t>n136</w:t>
      </w:r>
      <w:r w:rsidRPr="00661A68">
        <w:rPr>
          <w:sz w:val="10"/>
        </w:rPr>
        <w:fldChar w:fldCharType="end"/>
      </w:r>
      <w:bookmarkEnd w:id="20"/>
      <w:r w:rsidRPr="00661A68">
        <w:rPr>
          <w:sz w:val="10"/>
        </w:rPr>
        <w:t xml:space="preserve"> The appellant corporations argued that the Court should abandon its interpretation of the Compact Clause found in Virginia v. Tennessee and New Hampshire v. Maine in favor of a literal approach. </w:t>
      </w:r>
      <w:bookmarkStart w:id="21" w:name="r137"/>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"n137" </w:instrText>
      </w:r>
      <w:r w:rsidRPr="00661A68">
        <w:rPr>
          <w:sz w:val="10"/>
        </w:rPr>
        <w:fldChar w:fldCharType="separate"/>
      </w:r>
      <w:r w:rsidRPr="00661A68">
        <w:rPr>
          <w:rStyle w:val="Hyperlink"/>
          <w:sz w:val="10"/>
        </w:rPr>
        <w:t>n137</w:t>
      </w:r>
      <w:r w:rsidRPr="00661A68">
        <w:rPr>
          <w:sz w:val="10"/>
        </w:rPr>
        <w:fldChar w:fldCharType="end"/>
      </w:r>
      <w:bookmarkEnd w:id="21"/>
      <w:r w:rsidRPr="00661A68">
        <w:rPr>
          <w:sz w:val="10"/>
        </w:rPr>
        <w:t xml:space="preserve"> Extensively reviewing the history of the Compact Clause, the Court emphasized its use of the Virginia v. Tennessee test upholding a variety of interstate agreements established through reciprocal legislation. </w:t>
      </w:r>
      <w:bookmarkStart w:id="22" w:name="r138"/>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"n138" </w:instrText>
      </w:r>
      <w:r w:rsidRPr="00661A68">
        <w:rPr>
          <w:sz w:val="10"/>
        </w:rPr>
        <w:fldChar w:fldCharType="separate"/>
      </w:r>
      <w:r w:rsidRPr="00661A68">
        <w:rPr>
          <w:rStyle w:val="Hyperlink"/>
          <w:sz w:val="10"/>
        </w:rPr>
        <w:t>n138</w:t>
      </w:r>
      <w:r w:rsidRPr="00661A68">
        <w:rPr>
          <w:sz w:val="10"/>
        </w:rPr>
        <w:fldChar w:fldCharType="end"/>
      </w:r>
      <w:bookmarkEnd w:id="22"/>
      <w:r w:rsidRPr="00661A68">
        <w:rPr>
          <w:sz w:val="10"/>
        </w:rPr>
        <w:t xml:space="preserve"> The Court's emphasis on the substance of an agreement over its form is especially important in the context of the still-developing RGGI. As the Court noted, "the mere form of the interstate agreement cannot be dispositive . . . . [These agreements] may present opportunities for enhancement of state power at the expense of the federal supremacy similar to the threats inherent in a more formalized 'compact.' " </w:t>
      </w:r>
      <w:bookmarkStart w:id="23" w:name="r139"/>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"n139" </w:instrText>
      </w:r>
      <w:r w:rsidRPr="00661A68">
        <w:rPr>
          <w:sz w:val="10"/>
        </w:rPr>
        <w:fldChar w:fldCharType="separate"/>
      </w:r>
      <w:r w:rsidRPr="00661A68">
        <w:rPr>
          <w:rStyle w:val="Hyperlink"/>
          <w:sz w:val="10"/>
        </w:rPr>
        <w:t>n139</w:t>
      </w:r>
      <w:r w:rsidRPr="00661A68">
        <w:rPr>
          <w:sz w:val="10"/>
        </w:rPr>
        <w:fldChar w:fldCharType="end"/>
      </w:r>
      <w:bookmarkEnd w:id="23"/>
      <w:r w:rsidRPr="00661A68">
        <w:rPr>
          <w:sz w:val="10"/>
        </w:rPr>
        <w:t xml:space="preserve"> The reach of the Compact Clause extends beyond explicitly declared compacts and affects informal agreements. </w:t>
      </w:r>
      <w:bookmarkStart w:id="24" w:name="r140"/>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"n140" </w:instrText>
      </w:r>
      <w:r w:rsidRPr="00661A68">
        <w:rPr>
          <w:sz w:val="10"/>
        </w:rPr>
        <w:fldChar w:fldCharType="separate"/>
      </w:r>
      <w:r w:rsidRPr="00661A68">
        <w:rPr>
          <w:rStyle w:val="Hyperlink"/>
          <w:sz w:val="10"/>
        </w:rPr>
        <w:t>n140</w:t>
      </w:r>
      <w:r w:rsidRPr="00661A68">
        <w:rPr>
          <w:sz w:val="10"/>
        </w:rPr>
        <w:fldChar w:fldCharType="end"/>
      </w:r>
      <w:bookmarkEnd w:id="24"/>
      <w:r w:rsidRPr="00661A68">
        <w:rPr>
          <w:sz w:val="10"/>
        </w:rPr>
        <w:t xml:space="preserve"> The Court further rejected appellants' argument seeking a limitation of the Virginia v. Tennessee rule to agreements between two states that establish no independent administrative body, because the presence of a commission does not necessarily encroach upon federal power. </w:t>
      </w:r>
      <w:bookmarkStart w:id="25" w:name="r141"/>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"n141" </w:instrText>
      </w:r>
      <w:r w:rsidRPr="00661A68">
        <w:rPr>
          <w:sz w:val="10"/>
        </w:rPr>
        <w:fldChar w:fldCharType="separate"/>
      </w:r>
      <w:r w:rsidRPr="00661A68">
        <w:rPr>
          <w:rStyle w:val="Hyperlink"/>
          <w:sz w:val="10"/>
        </w:rPr>
        <w:t>n141</w:t>
      </w:r>
      <w:r w:rsidRPr="00661A68">
        <w:rPr>
          <w:sz w:val="10"/>
        </w:rPr>
        <w:fldChar w:fldCharType="end"/>
      </w:r>
      <w:bookmarkEnd w:id="25"/>
      <w:r w:rsidRPr="00661A68">
        <w:rPr>
          <w:sz w:val="10"/>
        </w:rPr>
        <w:t xml:space="preserve"> </w:t>
      </w:r>
      <w:r w:rsidRPr="00661A68">
        <w:rPr>
          <w:rStyle w:val="StyleUnderline"/>
        </w:rPr>
        <w:t xml:space="preserve">The historic tendency to submit multilateral compacts for congressional approval </w:t>
      </w:r>
      <w:r w:rsidRPr="00661A68">
        <w:rPr>
          <w:rStyle w:val="Emphasis"/>
        </w:rPr>
        <w:t>does not mandate such action for every agreement</w:t>
      </w:r>
      <w:r w:rsidRPr="00661A68">
        <w:rPr>
          <w:sz w:val="10"/>
        </w:rPr>
        <w:t xml:space="preserve">. </w:t>
      </w:r>
      <w:bookmarkStart w:id="26" w:name="r142"/>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"n142" </w:instrText>
      </w:r>
      <w:r w:rsidRPr="00661A68">
        <w:rPr>
          <w:sz w:val="10"/>
        </w:rPr>
        <w:fldChar w:fldCharType="separate"/>
      </w:r>
      <w:r w:rsidRPr="00661A68">
        <w:rPr>
          <w:rStyle w:val="Hyperlink"/>
          <w:sz w:val="10"/>
        </w:rPr>
        <w:t>n142</w:t>
      </w:r>
      <w:r w:rsidRPr="00661A68">
        <w:rPr>
          <w:sz w:val="10"/>
        </w:rPr>
        <w:fldChar w:fldCharType="end"/>
      </w:r>
      <w:bookmarkEnd w:id="26"/>
      <w:r w:rsidRPr="00661A68">
        <w:rPr>
          <w:sz w:val="10"/>
        </w:rPr>
        <w:t xml:space="preserve"> </w:t>
      </w:r>
      <w:r w:rsidRPr="00661A68">
        <w:rPr>
          <w:rStyle w:val="StyleUnderline"/>
        </w:rPr>
        <w:t xml:space="preserve">Further, the number of parties participating in an agreement </w:t>
      </w:r>
      <w:r w:rsidRPr="00661A68">
        <w:rPr>
          <w:rStyle w:val="Emphasis"/>
        </w:rPr>
        <w:t>does not necessarily increase state power.</w:t>
      </w:r>
      <w:r w:rsidRPr="00661A68">
        <w:rPr>
          <w:sz w:val="10"/>
        </w:rPr>
        <w:t xml:space="preserve"> </w:t>
      </w:r>
      <w:bookmarkStart w:id="27" w:name="r143"/>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"n143" </w:instrText>
      </w:r>
      <w:r w:rsidRPr="00661A68">
        <w:rPr>
          <w:sz w:val="10"/>
        </w:rPr>
        <w:fldChar w:fldCharType="separate"/>
      </w:r>
      <w:r w:rsidRPr="00661A68">
        <w:rPr>
          <w:rStyle w:val="Hyperlink"/>
          <w:sz w:val="10"/>
        </w:rPr>
        <w:t>n143</w:t>
      </w:r>
      <w:r w:rsidRPr="00661A68">
        <w:rPr>
          <w:sz w:val="10"/>
        </w:rPr>
        <w:fldChar w:fldCharType="end"/>
      </w:r>
      <w:bookmarkEnd w:id="27"/>
      <w:r w:rsidRPr="00661A68">
        <w:rPr>
          <w:sz w:val="10"/>
        </w:rPr>
        <w:t xml:space="preserve"> Following an inquiry of potential, rather than actual, effects on [*248] federal supremacy, the Court reviewed both the structure of the compact and the delegated authority of the administrative body for possible encroachment upon federal jurisdiction. </w:t>
      </w:r>
      <w:bookmarkStart w:id="28" w:name="r144"/>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"n144" </w:instrText>
      </w:r>
      <w:r w:rsidRPr="00661A68">
        <w:rPr>
          <w:sz w:val="10"/>
        </w:rPr>
        <w:fldChar w:fldCharType="separate"/>
      </w:r>
      <w:r w:rsidRPr="00661A68">
        <w:rPr>
          <w:rStyle w:val="Hyperlink"/>
          <w:sz w:val="10"/>
        </w:rPr>
        <w:t>n144</w:t>
      </w:r>
      <w:r w:rsidRPr="00661A68">
        <w:rPr>
          <w:sz w:val="10"/>
        </w:rPr>
        <w:fldChar w:fldCharType="end"/>
      </w:r>
      <w:bookmarkEnd w:id="28"/>
      <w:r w:rsidRPr="00661A68">
        <w:rPr>
          <w:sz w:val="12"/>
        </w:rPr>
        <w:t>¶</w:t>
      </w:r>
      <w:r w:rsidRPr="00661A68">
        <w:rPr>
          <w:sz w:val="10"/>
        </w:rPr>
        <w:t xml:space="preserve"> Facially, the provisions of the MTC did not enlarge state power, nor did the pact actually "purport to authorize the member States to exercise any powers they could not exercise in its absence." </w:t>
      </w:r>
      <w:bookmarkStart w:id="29" w:name="r145"/>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"n145" </w:instrText>
      </w:r>
      <w:r w:rsidRPr="00661A68">
        <w:rPr>
          <w:sz w:val="10"/>
        </w:rPr>
        <w:fldChar w:fldCharType="separate"/>
      </w:r>
      <w:r w:rsidRPr="00661A68">
        <w:rPr>
          <w:rStyle w:val="Hyperlink"/>
          <w:sz w:val="10"/>
        </w:rPr>
        <w:t>n145</w:t>
      </w:r>
      <w:r w:rsidRPr="00661A68">
        <w:rPr>
          <w:sz w:val="10"/>
        </w:rPr>
        <w:fldChar w:fldCharType="end"/>
      </w:r>
      <w:bookmarkEnd w:id="29"/>
      <w:r w:rsidRPr="00661A68">
        <w:rPr>
          <w:sz w:val="10"/>
        </w:rPr>
        <w:t xml:space="preserve"> The compact also did not imbue the overarching administrative body with prohibited sovereignty over the participating states. </w:t>
      </w:r>
      <w:bookmarkStart w:id="30" w:name="r146"/>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"n146" </w:instrText>
      </w:r>
      <w:r w:rsidRPr="00661A68">
        <w:rPr>
          <w:sz w:val="10"/>
        </w:rPr>
        <w:fldChar w:fldCharType="separate"/>
      </w:r>
      <w:r w:rsidRPr="00661A68">
        <w:rPr>
          <w:rStyle w:val="Hyperlink"/>
          <w:sz w:val="10"/>
        </w:rPr>
        <w:t>n146</w:t>
      </w:r>
      <w:r w:rsidRPr="00661A68">
        <w:rPr>
          <w:sz w:val="10"/>
        </w:rPr>
        <w:fldChar w:fldCharType="end"/>
      </w:r>
      <w:bookmarkEnd w:id="30"/>
      <w:r w:rsidRPr="00661A68">
        <w:rPr>
          <w:sz w:val="10"/>
        </w:rPr>
        <w:t xml:space="preserve"> In analyzing the substantive text of the compact, the Court found that "[e]ach member State has the power to reject, disregard, amend, or modify any rules or regulations promulgated by the Commission" and may withdraw at any time. </w:t>
      </w:r>
      <w:bookmarkStart w:id="31" w:name="r147"/>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"n147" </w:instrText>
      </w:r>
      <w:r w:rsidRPr="00661A68">
        <w:rPr>
          <w:sz w:val="10"/>
        </w:rPr>
        <w:fldChar w:fldCharType="separate"/>
      </w:r>
      <w:r w:rsidRPr="00661A68">
        <w:rPr>
          <w:rStyle w:val="Hyperlink"/>
          <w:sz w:val="10"/>
        </w:rPr>
        <w:t>n147</w:t>
      </w:r>
      <w:r w:rsidRPr="00661A68">
        <w:rPr>
          <w:sz w:val="10"/>
        </w:rPr>
        <w:fldChar w:fldCharType="end"/>
      </w:r>
      <w:bookmarkEnd w:id="31"/>
      <w:r w:rsidRPr="00661A68">
        <w:rPr>
          <w:sz w:val="10"/>
        </w:rPr>
        <w:t xml:space="preserve"> Because the compact did not encroach upon the federal government by interfering with interstate commerce, by transacting with foreign nations, or by impairing the rights of nonparticipating states, the Court sustained the constitutionality of the </w:t>
      </w:r>
      <w:bookmarkStart w:id="32" w:name="ORIGHIT_27"/>
      <w:bookmarkStart w:id="33" w:name="HIT_27"/>
      <w:bookmarkEnd w:id="32"/>
      <w:bookmarkEnd w:id="33"/>
      <w:r w:rsidRPr="00661A68">
        <w:rPr>
          <w:sz w:val="10"/>
        </w:rPr>
        <w:t xml:space="preserve">interstate compact absent federal consent. </w:t>
      </w:r>
      <w:bookmarkStart w:id="34" w:name="r148"/>
      <w:r w:rsidRPr="00661A68">
        <w:rPr>
          <w:sz w:val="10"/>
        </w:rPr>
        <w:fldChar w:fldCharType="begin"/>
      </w:r>
      <w:r w:rsidRPr="00661A68">
        <w:rPr>
          <w:sz w:val="10"/>
        </w:rPr>
        <w:instrText xml:space="preserve"> HYPERLINK "http://www.lexisnexis.com/lnacui2api/frame.do?tokenKey=rsh-20.648041.9686028087&amp;target=results_DocumentContent&amp;returnToKey=20_T24385901680&amp;parent=docview&amp;rand=1468857018909&amp;reloadEntirePage=true" \l "n148" </w:instrText>
      </w:r>
      <w:r w:rsidRPr="00661A68">
        <w:rPr>
          <w:sz w:val="10"/>
        </w:rPr>
        <w:fldChar w:fldCharType="separate"/>
      </w:r>
      <w:r w:rsidRPr="00661A68">
        <w:rPr>
          <w:rStyle w:val="Hyperlink"/>
          <w:sz w:val="10"/>
        </w:rPr>
        <w:t>n148</w:t>
      </w:r>
      <w:r w:rsidRPr="00661A68">
        <w:rPr>
          <w:sz w:val="10"/>
        </w:rPr>
        <w:fldChar w:fldCharType="end"/>
      </w:r>
      <w:bookmarkEnd w:id="34"/>
    </w:p>
    <w:p w14:paraId="11E6BE3F" w14:textId="77777777" w:rsidR="00305A32" w:rsidRPr="00661A68" w:rsidRDefault="00305A32" w:rsidP="00305A32">
      <w:pPr>
        <w:rPr>
          <w:sz w:val="12"/>
        </w:rPr>
      </w:pPr>
    </w:p>
    <w:p w14:paraId="5C1D390C" w14:textId="6DD2C75C" w:rsidR="00305A32" w:rsidRPr="00661A68" w:rsidRDefault="00305A32" w:rsidP="00305A32">
      <w:pPr>
        <w:pStyle w:val="Heading3"/>
      </w:pPr>
      <w:r w:rsidRPr="00661A68">
        <w:t>2NC AT Federal Rollback</w:t>
      </w:r>
    </w:p>
    <w:p w14:paraId="4A370710" w14:textId="5D193042" w:rsidR="00A96672" w:rsidRPr="00661A68" w:rsidRDefault="009563FC" w:rsidP="00A96672">
      <w:pPr>
        <w:pStyle w:val="Heading4"/>
      </w:pPr>
      <w:r w:rsidRPr="00661A68">
        <w:t xml:space="preserve">Anti-commandeering </w:t>
      </w:r>
      <w:r w:rsidR="000E30FB" w:rsidRPr="00661A68">
        <w:t>laws prevent rollback</w:t>
      </w:r>
    </w:p>
    <w:p w14:paraId="04A9A6CF" w14:textId="0DFBB19F" w:rsidR="00331E2F" w:rsidRPr="00661A68" w:rsidRDefault="00331E2F" w:rsidP="00331E2F">
      <w:r w:rsidRPr="00661A68">
        <w:t xml:space="preserve">Justia ND [Justia </w:t>
      </w:r>
      <w:r w:rsidR="00335D42" w:rsidRPr="00661A68">
        <w:t>US Law encyclopedia, “</w:t>
      </w:r>
      <w:r w:rsidR="00B816DB" w:rsidRPr="00661A68">
        <w:t xml:space="preserve">Supremacy Clause Versus the Tenth Amendment”; uploaded on an undisclosed date, accessed 6/3/20; </w:t>
      </w:r>
      <w:r w:rsidR="00C95755" w:rsidRPr="00661A68">
        <w:t>https://law.justia.com/constitution/us/article-6/06-supremacy-clause-versus-tenth-amendment.html]</w:t>
      </w:r>
      <w:r w:rsidR="00335D42" w:rsidRPr="00661A68">
        <w:t xml:space="preserve"> </w:t>
      </w:r>
    </w:p>
    <w:p w14:paraId="545CEAEC" w14:textId="7FA28503" w:rsidR="00A96672" w:rsidRPr="00661A68" w:rsidRDefault="00A96672" w:rsidP="00A96672">
      <w:pPr>
        <w:rPr>
          <w:sz w:val="16"/>
        </w:rPr>
      </w:pPr>
      <w:r w:rsidRPr="00661A68">
        <w:rPr>
          <w:sz w:val="16"/>
        </w:rPr>
        <w:t>Federal laws of general applicability, therefore, are surely subject to examination under the New York test rather than under the Garcia structural standard.</w:t>
      </w:r>
      <w:r w:rsidR="009563FC" w:rsidRPr="00661A68">
        <w:rPr>
          <w:sz w:val="16"/>
        </w:rPr>
        <w:t xml:space="preserve"> </w:t>
      </w:r>
      <w:r w:rsidRPr="00661A68">
        <w:rPr>
          <w:u w:val="single"/>
        </w:rPr>
        <w:t>Expanding upon its anti-commandeering rule, the Court in Printz v. United States</w:t>
      </w:r>
      <w:r w:rsidRPr="00661A68">
        <w:rPr>
          <w:sz w:val="16"/>
        </w:rPr>
        <w:t xml:space="preserve">84 </w:t>
      </w:r>
      <w:r w:rsidRPr="00661A68">
        <w:rPr>
          <w:u w:val="single"/>
        </w:rPr>
        <w:t>established “categorically” the rule that “[t]he Federal Government may not compel the States to enact or administer a federal regulatory program.</w:t>
      </w:r>
      <w:r w:rsidRPr="00661A68">
        <w:rPr>
          <w:sz w:val="16"/>
        </w:rPr>
        <w:t xml:space="preserve">”85 At issue in Printz was a provision of the Brady Handgun Violence Prevention Act that required, pending the development by the Attorney General of a national system by which criminal background checks on prospective firearms purchasers could be conducted, the chief law enforcement officers of state and local governments to conduct background checks to ascertain whether applicants were ineligible to purchase handguns. </w:t>
      </w:r>
      <w:r w:rsidRPr="00661A68">
        <w:rPr>
          <w:u w:val="single"/>
        </w:rPr>
        <w:t>Confronting the absence of any textual basis for a “categorical” rule, the Court looked to history, which in its view demonstrated a paucity of congressional efforts to impose affirmative duties upon the states.</w:t>
      </w:r>
      <w:r w:rsidRPr="00661A68">
        <w:rPr>
          <w:sz w:val="16"/>
        </w:rPr>
        <w:t xml:space="preserve">86 More important, </w:t>
      </w:r>
      <w:r w:rsidRPr="00661A68">
        <w:rPr>
          <w:u w:val="single"/>
        </w:rPr>
        <w:t>the Court relied on the “structural Constitution” to demonstrate that the Constitution of 1787 had not taken from the states “a residuary and inviolable sovereignty,”</w:t>
      </w:r>
      <w:r w:rsidRPr="00661A68">
        <w:rPr>
          <w:sz w:val="16"/>
        </w:rPr>
        <w:t xml:space="preserve">87 </w:t>
      </w:r>
      <w:r w:rsidRPr="00661A68">
        <w:rPr>
          <w:u w:val="single"/>
        </w:rPr>
        <w:t>that it had, in fact and theory, retained a system of “dual sovereignty</w:t>
      </w:r>
      <w:r w:rsidRPr="00661A68">
        <w:rPr>
          <w:sz w:val="16"/>
        </w:rPr>
        <w:t xml:space="preserve">”88 reﬂected in many things but most notably </w:t>
      </w:r>
      <w:r w:rsidRPr="00661A68">
        <w:rPr>
          <w:u w:val="single"/>
        </w:rPr>
        <w:t>in the constitutional conferral “upon Congress</w:t>
      </w:r>
      <w:r w:rsidRPr="00661A68">
        <w:rPr>
          <w:sz w:val="16"/>
        </w:rPr>
        <w:t xml:space="preserve"> of not all governmental powers, but only discrete, enumerated ones,” which was </w:t>
      </w:r>
      <w:r w:rsidRPr="00661A68">
        <w:rPr>
          <w:u w:val="single"/>
        </w:rPr>
        <w:t>expressed in the Tenth Amendment</w:t>
      </w:r>
      <w:r w:rsidRPr="00661A68">
        <w:rPr>
          <w:sz w:val="16"/>
        </w:rPr>
        <w:t xml:space="preserve">. Thus, although it had earlier rejected the commandeering of legislative assistance, </w:t>
      </w:r>
      <w:r w:rsidRPr="00661A68">
        <w:rPr>
          <w:u w:val="single"/>
        </w:rPr>
        <w:t>the Court now made clear that administrative officers and resources were also fenced off from federal power</w:t>
      </w:r>
      <w:r w:rsidRPr="00661A68">
        <w:rPr>
          <w:sz w:val="16"/>
        </w:rPr>
        <w:t>.</w:t>
      </w:r>
      <w:r w:rsidR="009563FC" w:rsidRPr="00661A68">
        <w:rPr>
          <w:sz w:val="16"/>
        </w:rPr>
        <w:t xml:space="preserve"> </w:t>
      </w:r>
      <w:r w:rsidRPr="00661A68">
        <w:rPr>
          <w:sz w:val="16"/>
        </w:rPr>
        <w:t>The scope of the rule thus expounded was unclear. Particularly, Justice O’Connor in concurrence observed that Congress retained the power to enlist the states through contractual arrangements and on a voluntary basis. More pointedly, she stated that “the Court appropriately refrains from deciding whether other purely ministerial reporting requirements imposed by Congress on state and local authorities pursuant to its Commerce Clause powers are similarly invalid.”89</w:t>
      </w:r>
    </w:p>
    <w:p w14:paraId="1C95D14A" w14:textId="77777777" w:rsidR="00305A32" w:rsidRPr="00661A68" w:rsidRDefault="00305A32" w:rsidP="00305A32">
      <w:pPr>
        <w:pStyle w:val="Heading4"/>
      </w:pPr>
      <w:r w:rsidRPr="00661A68">
        <w:t>No rollback</w:t>
      </w:r>
    </w:p>
    <w:p w14:paraId="3A8AC958" w14:textId="77777777" w:rsidR="00305A32" w:rsidRPr="00661A68" w:rsidRDefault="00305A32" w:rsidP="00305A32">
      <w:pPr>
        <w:autoSpaceDE w:val="0"/>
        <w:autoSpaceDN w:val="0"/>
        <w:adjustRightInd w:val="0"/>
        <w:contextualSpacing/>
        <w:rPr>
          <w:rFonts w:asciiTheme="minorHAnsi" w:hAnsiTheme="minorHAnsi"/>
          <w:b/>
          <w:bCs/>
          <w:sz w:val="26"/>
        </w:rPr>
      </w:pPr>
      <w:r w:rsidRPr="00661A68">
        <w:rPr>
          <w:rFonts w:asciiTheme="minorHAnsi" w:hAnsiTheme="minorHAnsi"/>
          <w:b/>
          <w:bCs/>
          <w:sz w:val="26"/>
        </w:rPr>
        <w:t>Hurlbut, 10</w:t>
      </w:r>
    </w:p>
    <w:p w14:paraId="795AF70D" w14:textId="77777777" w:rsidR="00305A32" w:rsidRPr="00661A68" w:rsidRDefault="00305A32" w:rsidP="00305A32">
      <w:pPr>
        <w:rPr>
          <w:rFonts w:asciiTheme="minorHAnsi" w:hAnsiTheme="minorHAnsi"/>
        </w:rPr>
      </w:pPr>
      <w:r w:rsidRPr="00661A68">
        <w:rPr>
          <w:rFonts w:asciiTheme="minorHAnsi" w:hAnsiTheme="minorHAnsi"/>
        </w:rPr>
        <w:t>(David J., senior analyst with the National Renewable Energy Laboratory in Golden, Colorado. Prior to joining NREL, he was a senior economist at the Public Utility Commission of Texas, University of Colorado Law Review, Summer, 2010, 81 U. Colo. L. Rev. 677)MKD</w:t>
      </w:r>
    </w:p>
    <w:p w14:paraId="31C4B5DE" w14:textId="77777777" w:rsidR="00305A32" w:rsidRPr="00661A68" w:rsidRDefault="00305A32" w:rsidP="00305A32">
      <w:pPr>
        <w:rPr>
          <w:rFonts w:asciiTheme="minorHAnsi" w:hAnsiTheme="minorHAnsi"/>
          <w:sz w:val="14"/>
        </w:rPr>
      </w:pPr>
      <w:r w:rsidRPr="00661A68">
        <w:rPr>
          <w:rFonts w:asciiTheme="minorHAnsi" w:hAnsiTheme="minorHAnsi"/>
          <w:sz w:val="14"/>
        </w:rPr>
        <w:t xml:space="preserve">Economic protectionism is usually the driving concern when courts rule against states over matters pertaining to interstate commerce. The author points out, however, that </w:t>
      </w:r>
      <w:r w:rsidRPr="00661A68">
        <w:rPr>
          <w:rFonts w:asciiTheme="minorHAnsi" w:hAnsiTheme="minorHAnsi"/>
          <w:b/>
          <w:bCs/>
          <w:u w:val="single"/>
        </w:rPr>
        <w:t xml:space="preserve">courts have been </w:t>
      </w:r>
      <w:r w:rsidRPr="00661A68">
        <w:rPr>
          <w:rStyle w:val="Emphasis"/>
        </w:rPr>
        <w:t>more amenable</w:t>
      </w:r>
      <w:r w:rsidRPr="00661A68">
        <w:rPr>
          <w:rFonts w:asciiTheme="minorHAnsi" w:hAnsiTheme="minorHAnsi"/>
          <w:b/>
          <w:bCs/>
          <w:u w:val="single"/>
        </w:rPr>
        <w:t xml:space="preserve"> to a state regulation if it affects interstate commerce </w:t>
      </w:r>
      <w:r w:rsidRPr="00661A68">
        <w:rPr>
          <w:rFonts w:asciiTheme="minorHAnsi" w:hAnsiTheme="minorHAnsi"/>
          <w:sz w:val="14"/>
        </w:rPr>
        <w:t>but does not constitute economic protectionism. The Supreme Court has, in fact, upheld state regulations intended to manage common-pool resources more effectively. What remains untested is whether several states can jointly adopt common regulations to manage common resources, even if the common regulations do not constitute economic protectionism.</w:t>
      </w:r>
      <w:r w:rsidRPr="00661A68">
        <w:rPr>
          <w:rFonts w:asciiTheme="minorHAnsi" w:hAnsiTheme="minorHAnsi"/>
          <w:sz w:val="12"/>
        </w:rPr>
        <w:t>¶</w:t>
      </w:r>
      <w:r w:rsidRPr="00661A68">
        <w:rPr>
          <w:rFonts w:asciiTheme="minorHAnsi" w:hAnsiTheme="minorHAnsi"/>
          <w:sz w:val="14"/>
        </w:rPr>
        <w:t xml:space="preserve"> The author concludes that a group of neighboring states may not be able to avoid the application of the Interstate Compact Clause. The good news, however, is that </w:t>
      </w:r>
      <w:r w:rsidRPr="00661A68">
        <w:rPr>
          <w:rStyle w:val="StyleUnderline"/>
        </w:rPr>
        <w:t xml:space="preserve">if a compact were in place, the states could more </w:t>
      </w:r>
      <w:r w:rsidRPr="00661A68">
        <w:rPr>
          <w:rStyle w:val="Emphasis"/>
        </w:rPr>
        <w:t>easily</w:t>
      </w:r>
      <w:r w:rsidRPr="00661A68">
        <w:rPr>
          <w:rStyle w:val="StyleUnderline"/>
        </w:rPr>
        <w:t xml:space="preserve"> avoid other constitutional issues and </w:t>
      </w:r>
      <w:r w:rsidRPr="00661A68">
        <w:rPr>
          <w:rStyle w:val="Emphasis"/>
        </w:rPr>
        <w:t>minimize</w:t>
      </w:r>
      <w:r w:rsidRPr="00661A68">
        <w:rPr>
          <w:rStyle w:val="StyleUnderline"/>
        </w:rPr>
        <w:t xml:space="preserve"> the degree of </w:t>
      </w:r>
      <w:r w:rsidRPr="00661A68">
        <w:rPr>
          <w:rStyle w:val="Emphasis"/>
        </w:rPr>
        <w:t>federal preemption</w:t>
      </w:r>
      <w:r w:rsidRPr="00661A68">
        <w:rPr>
          <w:rFonts w:asciiTheme="minorHAnsi" w:hAnsiTheme="minorHAnsi"/>
          <w:sz w:val="14"/>
        </w:rPr>
        <w:t>. The production, transmission, and sale of renewable energy across state lines are in large part beyond the authority of states. The remaining question is whether oversight should be in the hands of the federal government or of a compact created by the affected states.</w:t>
      </w:r>
    </w:p>
    <w:p w14:paraId="6281E122" w14:textId="77777777" w:rsidR="00305A32" w:rsidRPr="00661A68" w:rsidRDefault="00305A32" w:rsidP="00305A32">
      <w:pPr>
        <w:pStyle w:val="Heading4"/>
      </w:pPr>
      <w:r w:rsidRPr="00661A68">
        <w:t>CP has the same effect as federal law—means no rollback</w:t>
      </w:r>
    </w:p>
    <w:p w14:paraId="2BA6CD3D" w14:textId="77777777" w:rsidR="00305A32" w:rsidRPr="00661A68" w:rsidRDefault="00305A32" w:rsidP="00305A32">
      <w:pPr>
        <w:rPr>
          <w:rStyle w:val="Style13ptBold"/>
        </w:rPr>
      </w:pPr>
      <w:r w:rsidRPr="00661A68">
        <w:rPr>
          <w:rStyle w:val="Style13ptBold"/>
        </w:rPr>
        <w:t>Davis, 98</w:t>
      </w:r>
    </w:p>
    <w:p w14:paraId="391C689D" w14:textId="77777777" w:rsidR="00305A32" w:rsidRPr="00661A68" w:rsidRDefault="00305A32" w:rsidP="00305A32">
      <w:r w:rsidRPr="00661A68">
        <w:t>(Christi Davis * and Douglas M. Branson **, J.D., University of Pittsburgh, 1998 and W. Edward Sell Professor of Law, University of Pittsburgh, Vermont Law Review, Fall, 23 Vt. L. Rev. 133, ARTICLE: INTERSTATE COMPACTS IN COMMERCE AND INDUSTRY: A PROPOSAL FOR "COMMON MARKETS AMONG STATES")MKD</w:t>
      </w:r>
    </w:p>
    <w:p w14:paraId="11E62581" w14:textId="77777777" w:rsidR="00305A32" w:rsidRPr="00661A68" w:rsidRDefault="00305A32" w:rsidP="00305A32">
      <w:pPr>
        <w:rPr>
          <w:sz w:val="10"/>
        </w:rPr>
      </w:pPr>
      <w:r w:rsidRPr="00661A68">
        <w:rPr>
          <w:sz w:val="10"/>
        </w:rPr>
        <w:t xml:space="preserve">n42 See id. at 766. </w:t>
      </w:r>
      <w:r w:rsidRPr="00661A68">
        <w:rPr>
          <w:rStyle w:val="StyleUnderline"/>
        </w:rPr>
        <w:t xml:space="preserve">While states have never explicitly used the interstate compact to circumvent existing federal regulation, there </w:t>
      </w:r>
      <w:r w:rsidRPr="00661A68">
        <w:rPr>
          <w:rStyle w:val="Emphasis"/>
        </w:rPr>
        <w:t>does not appear to be any obstacle to doing so</w:t>
      </w:r>
      <w:r w:rsidRPr="00661A68">
        <w:rPr>
          <w:sz w:val="10"/>
        </w:rPr>
        <w:t xml:space="preserve">. Dissatisfied with an existing law, states could negotiate a compact and obtain congressional approval. </w:t>
      </w:r>
      <w:r w:rsidRPr="00661A68">
        <w:rPr>
          <w:rStyle w:val="StyleUnderline"/>
        </w:rPr>
        <w:t xml:space="preserve">Since the compact then </w:t>
      </w:r>
      <w:r w:rsidRPr="00661A68">
        <w:rPr>
          <w:rStyle w:val="Emphasis"/>
        </w:rPr>
        <w:t>has the effect of federal law</w:t>
      </w:r>
      <w:r w:rsidRPr="00661A68">
        <w:rPr>
          <w:rStyle w:val="StyleUnderline"/>
        </w:rPr>
        <w:t xml:space="preserve">, the compact </w:t>
      </w:r>
      <w:r w:rsidRPr="00661A68">
        <w:rPr>
          <w:rStyle w:val="Emphasis"/>
        </w:rPr>
        <w:t>supersedes the earlier federal enactment</w:t>
      </w:r>
      <w:r w:rsidRPr="00661A68">
        <w:rPr>
          <w:rStyle w:val="StyleUnderline"/>
        </w:rPr>
        <w:t xml:space="preserve"> "</w:t>
      </w:r>
      <w:r w:rsidRPr="00661A68">
        <w:rPr>
          <w:rStyle w:val="Emphasis"/>
        </w:rPr>
        <w:t xml:space="preserve">just as any other new federal law </w:t>
      </w:r>
      <w:r w:rsidRPr="00661A68">
        <w:rPr>
          <w:rStyle w:val="StyleUnderline"/>
        </w:rPr>
        <w:t>would."</w:t>
      </w:r>
      <w:r w:rsidRPr="00661A68">
        <w:rPr>
          <w:sz w:val="10"/>
        </w:rPr>
        <w:t xml:space="preserve"> Id. Commentators have raised this possibility. See also Rebecca Tsosie, Negotiating Economic Survival: The Consent Principle and Tribal-State Compacts Under the Indian Gaming Regulatory Act, 29 Ariz. St. L.J. 25, at 58 (1997). Although upon congressional consent the compact supersedes prior federal law, the compact then becomes subject to subsequent federal legislation which could "trump" the compact. See id. Attempting to circumvent preexisting federal regulation does not appear to be a worthwhile object of the interstate compact, as states themselves have apparently concluded.</w:t>
      </w:r>
    </w:p>
    <w:p w14:paraId="453990DE" w14:textId="77777777" w:rsidR="00305A32" w:rsidRPr="00661A68" w:rsidRDefault="00305A32" w:rsidP="00305A32"/>
    <w:p w14:paraId="4C7767AB" w14:textId="77777777" w:rsidR="00305A32" w:rsidRPr="00661A68" w:rsidRDefault="00305A32" w:rsidP="00305A32">
      <w:pPr>
        <w:pStyle w:val="Heading4"/>
      </w:pPr>
      <w:r w:rsidRPr="00661A68">
        <w:t>Federal inertia prevents rollback</w:t>
      </w:r>
    </w:p>
    <w:p w14:paraId="1BD0EEDA" w14:textId="77777777" w:rsidR="00305A32" w:rsidRPr="00661A68" w:rsidRDefault="00305A32" w:rsidP="00305A32">
      <w:pPr>
        <w:rPr>
          <w:rStyle w:val="Style13ptBold"/>
        </w:rPr>
      </w:pPr>
      <w:r w:rsidRPr="00661A68">
        <w:rPr>
          <w:rStyle w:val="Style13ptBold"/>
        </w:rPr>
        <w:t>Pincus, 09</w:t>
      </w:r>
    </w:p>
    <w:p w14:paraId="3967F1F8" w14:textId="77777777" w:rsidR="00305A32" w:rsidRPr="00661A68" w:rsidRDefault="00305A32" w:rsidP="00305A32">
      <w:r w:rsidRPr="00661A68">
        <w:t xml:space="preserve">(Matthew, Articles Editor, COLUM. J.L. &amp; SOC. PROBS., 2008-2009, Columbia Journal of Law and Social Problems, Summer, 42 Colum. J.L. &amp; </w:t>
      </w:r>
    </w:p>
    <w:p w14:paraId="63BA8997" w14:textId="77777777" w:rsidR="00305A32" w:rsidRPr="00661A68" w:rsidRDefault="00305A32" w:rsidP="00305A32">
      <w:r w:rsidRPr="00661A68">
        <w:t>Soc. Probs. 511, Article: When Should Interstate Compacts Require Congressional Consent?)MKD</w:t>
      </w:r>
    </w:p>
    <w:p w14:paraId="063D3F2D" w14:textId="77777777" w:rsidR="00305A32" w:rsidRPr="00661A68" w:rsidRDefault="00305A32" w:rsidP="00305A32">
      <w:pPr>
        <w:rPr>
          <w:sz w:val="12"/>
        </w:rPr>
      </w:pPr>
      <w:r w:rsidRPr="00661A68">
        <w:rPr>
          <w:sz w:val="12"/>
        </w:rPr>
        <w:t xml:space="preserve">Thus, the institutional bias against taking action is a deliberate and important facet of the federal constitutional structure. </w:t>
      </w:r>
      <w:r w:rsidRPr="00661A68">
        <w:rPr>
          <w:rStyle w:val="StyleUnderline"/>
        </w:rPr>
        <w:t xml:space="preserve">When interstate compacts </w:t>
      </w:r>
      <w:r w:rsidRPr="00661A68">
        <w:rPr>
          <w:rStyle w:val="Emphasis"/>
        </w:rPr>
        <w:t>of wide impact</w:t>
      </w:r>
      <w:r w:rsidRPr="00661A68">
        <w:rPr>
          <w:rStyle w:val="StyleUnderline"/>
        </w:rPr>
        <w:t xml:space="preserve"> are allowed to come into force, this "legislative inertia" </w:t>
      </w:r>
      <w:r w:rsidRPr="00661A68">
        <w:rPr>
          <w:rStyle w:val="Emphasis"/>
        </w:rPr>
        <w:t>has an unintended effect</w:t>
      </w:r>
      <w:r w:rsidRPr="00661A68">
        <w:rPr>
          <w:rStyle w:val="StyleUnderline"/>
        </w:rPr>
        <w:t xml:space="preserve">: </w:t>
      </w:r>
      <w:r w:rsidRPr="00661A68">
        <w:rPr>
          <w:rStyle w:val="Emphasis"/>
        </w:rPr>
        <w:t>the same forces</w:t>
      </w:r>
      <w:r w:rsidRPr="00661A68">
        <w:rPr>
          <w:rStyle w:val="StyleUnderline"/>
        </w:rPr>
        <w:t xml:space="preserve"> that typically prevent congressional action </w:t>
      </w:r>
      <w:r w:rsidRPr="00661A68">
        <w:rPr>
          <w:rStyle w:val="Emphasis"/>
        </w:rPr>
        <w:t xml:space="preserve">exert pressure </w:t>
      </w:r>
      <w:r w:rsidRPr="00661A68">
        <w:rPr>
          <w:rStyle w:val="StyleUnderline"/>
        </w:rPr>
        <w:t>to let the compact</w:t>
      </w:r>
      <w:r w:rsidRPr="00661A68">
        <w:rPr>
          <w:rStyle w:val="Emphasis"/>
        </w:rPr>
        <w:t xml:space="preserve"> remain in place</w:t>
      </w:r>
      <w:r w:rsidRPr="00661A68">
        <w:rPr>
          <w:sz w:val="12"/>
        </w:rPr>
        <w:t xml:space="preserve">. It is true that, because interstate compacts inevitably involve interstate concerns, Congress is almost always able to override any compact it wishes, either explicitly (through legislation) or by preempting the field in which the compact operates. n121 </w:t>
      </w:r>
      <w:r w:rsidRPr="00661A68">
        <w:rPr>
          <w:rStyle w:val="StyleUnderline"/>
        </w:rPr>
        <w:t xml:space="preserve">Any such legislation, however, must pass through both houses and survive any possible veto by the president. Thus, legislative inertia makes it more </w:t>
      </w:r>
      <w:r w:rsidRPr="00661A68">
        <w:rPr>
          <w:rStyle w:val="Emphasis"/>
        </w:rPr>
        <w:t>difficult</w:t>
      </w:r>
      <w:r w:rsidRPr="00661A68">
        <w:rPr>
          <w:rStyle w:val="StyleUnderline"/>
        </w:rPr>
        <w:t xml:space="preserve"> for Congress to pass a law voiding a</w:t>
      </w:r>
      <w:r w:rsidRPr="00661A68">
        <w:rPr>
          <w:sz w:val="12"/>
        </w:rPr>
        <w:t>n</w:t>
      </w:r>
      <w:r w:rsidRPr="00661A68">
        <w:rPr>
          <w:rStyle w:val="StyleUnderline"/>
        </w:rPr>
        <w:t xml:space="preserve"> interstate compact than to refuse to approve one</w:t>
      </w:r>
      <w:r w:rsidRPr="00661A68">
        <w:rPr>
          <w:sz w:val="12"/>
        </w:rPr>
        <w:t>. As a result, passing an interstate compact effectively enhances the power of the enacting states, while diminishing that of Congress. n122 Although the same could be said for the enactment of any state law in an area where Congress and the states share authority, what makes interstate compacts different is that they inherently involve relations between the states and coordinated action among them. Interstate compacts have the potential - as demonstrated by the NPV - to have much broader impact on the country as a whole than uncoordinated actions by individual states.</w:t>
      </w:r>
    </w:p>
    <w:p w14:paraId="76AD423D" w14:textId="77777777" w:rsidR="00305A32" w:rsidRPr="00661A68" w:rsidRDefault="00305A32" w:rsidP="00305A32">
      <w:pPr>
        <w:pStyle w:val="Heading4"/>
      </w:pPr>
      <w:r w:rsidRPr="00661A68">
        <w:t>That means there’s no solvency deficit</w:t>
      </w:r>
    </w:p>
    <w:p w14:paraId="6FD31465" w14:textId="77777777" w:rsidR="00305A32" w:rsidRPr="00661A68" w:rsidRDefault="00305A32" w:rsidP="00305A32">
      <w:pPr>
        <w:autoSpaceDE w:val="0"/>
        <w:autoSpaceDN w:val="0"/>
        <w:adjustRightInd w:val="0"/>
        <w:contextualSpacing/>
        <w:rPr>
          <w:rFonts w:asciiTheme="minorHAnsi" w:hAnsiTheme="minorHAnsi"/>
          <w:b/>
          <w:bCs/>
          <w:sz w:val="26"/>
        </w:rPr>
      </w:pPr>
      <w:r w:rsidRPr="00661A68">
        <w:rPr>
          <w:rFonts w:asciiTheme="minorHAnsi" w:hAnsiTheme="minorHAnsi"/>
          <w:b/>
          <w:bCs/>
          <w:sz w:val="26"/>
        </w:rPr>
        <w:t>Pincus, 09</w:t>
      </w:r>
    </w:p>
    <w:p w14:paraId="0FC258CF" w14:textId="77777777" w:rsidR="00305A32" w:rsidRPr="00661A68" w:rsidRDefault="00305A32" w:rsidP="00305A32">
      <w:pPr>
        <w:rPr>
          <w:rFonts w:asciiTheme="minorHAnsi" w:hAnsiTheme="minorHAnsi"/>
        </w:rPr>
      </w:pPr>
      <w:r w:rsidRPr="00661A68">
        <w:rPr>
          <w:rFonts w:asciiTheme="minorHAnsi" w:hAnsiTheme="minorHAnsi"/>
        </w:rPr>
        <w:t xml:space="preserve">(Matthew, Articles Editor, COLUM. J.L. &amp; SOC. PROBS., 2008-2009, Columbia Journal of Law and Social Problems, Summer, 42 Colum. J.L. &amp; </w:t>
      </w:r>
    </w:p>
    <w:p w14:paraId="2DD5C941" w14:textId="77777777" w:rsidR="00305A32" w:rsidRPr="00661A68" w:rsidRDefault="00305A32" w:rsidP="00305A32">
      <w:pPr>
        <w:rPr>
          <w:rFonts w:asciiTheme="minorHAnsi" w:hAnsiTheme="minorHAnsi"/>
        </w:rPr>
      </w:pPr>
      <w:r w:rsidRPr="00661A68">
        <w:rPr>
          <w:rFonts w:asciiTheme="minorHAnsi" w:hAnsiTheme="minorHAnsi"/>
        </w:rPr>
        <w:t>Soc. Probs. 511, Article: When Should Interstate Compacts Require Congressional Consent?)MKD</w:t>
      </w:r>
    </w:p>
    <w:p w14:paraId="7D968419" w14:textId="77777777" w:rsidR="00305A32" w:rsidRPr="00661A68" w:rsidRDefault="00305A32" w:rsidP="00305A32">
      <w:pPr>
        <w:rPr>
          <w:sz w:val="12"/>
        </w:rPr>
      </w:pPr>
      <w:r w:rsidRPr="00661A68">
        <w:rPr>
          <w:sz w:val="16"/>
        </w:rPr>
        <w:t xml:space="preserve">While the way in which externalities created by interstate compacts can harm non-participating states has been noted widely, a different problem with the U.S. Steel test is not easily understood in terms of horizontal federalism: interstate compacts can upend the normal workings of legislative inertia on the federal level. </w:t>
      </w:r>
      <w:r w:rsidRPr="00661A68">
        <w:rPr>
          <w:rStyle w:val="StyleUnderline"/>
        </w:rPr>
        <w:t xml:space="preserve">Allowing compacts to go into effect </w:t>
      </w:r>
      <w:r w:rsidRPr="00661A68">
        <w:rPr>
          <w:rStyle w:val="Emphasis"/>
        </w:rPr>
        <w:t>without congressional approval</w:t>
      </w:r>
      <w:r w:rsidRPr="00661A68">
        <w:rPr>
          <w:rStyle w:val="StyleUnderline"/>
        </w:rPr>
        <w:t xml:space="preserve"> can enable the enactment of legislation having national impact through an alternative mechanism</w:t>
      </w:r>
      <w:r w:rsidRPr="00661A68">
        <w:rPr>
          <w:sz w:val="16"/>
        </w:rPr>
        <w:t xml:space="preserve">. </w:t>
      </w:r>
      <w:r w:rsidRPr="00661A68">
        <w:rPr>
          <w:rStyle w:val="StyleUnderline"/>
        </w:rPr>
        <w:t xml:space="preserve">This alternative mechanism, however, </w:t>
      </w:r>
      <w:r w:rsidRPr="00661A68">
        <w:rPr>
          <w:rStyle w:val="Emphasis"/>
        </w:rPr>
        <w:t>reverses</w:t>
      </w:r>
      <w:r w:rsidRPr="00661A68">
        <w:rPr>
          <w:rStyle w:val="StyleUnderline"/>
        </w:rPr>
        <w:t xml:space="preserve"> the usual workings of what has been called "</w:t>
      </w:r>
      <w:r w:rsidRPr="00661A68">
        <w:rPr>
          <w:rStyle w:val="Emphasis"/>
        </w:rPr>
        <w:t>legislative inertia</w:t>
      </w:r>
      <w:r w:rsidRPr="00661A68">
        <w:rPr>
          <w:rStyle w:val="StyleUnderline"/>
        </w:rPr>
        <w:t>."</w:t>
      </w:r>
      <w:r w:rsidRPr="00661A68">
        <w:rPr>
          <w:sz w:val="16"/>
        </w:rPr>
        <w:t xml:space="preserve"> n111</w:t>
      </w:r>
      <w:r w:rsidRPr="00661A68">
        <w:rPr>
          <w:sz w:val="12"/>
        </w:rPr>
        <w:t xml:space="preserve">¶ </w:t>
      </w:r>
      <w:r w:rsidRPr="00661A68">
        <w:rPr>
          <w:rStyle w:val="StyleUnderline"/>
        </w:rPr>
        <w:t xml:space="preserve">The </w:t>
      </w:r>
      <w:r w:rsidRPr="00661A68">
        <w:rPr>
          <w:rStyle w:val="Emphasis"/>
        </w:rPr>
        <w:t>constitutional structure</w:t>
      </w:r>
      <w:r w:rsidRPr="00661A68">
        <w:rPr>
          <w:rStyle w:val="StyleUnderline"/>
        </w:rPr>
        <w:t xml:space="preserve"> of the federal government includes </w:t>
      </w:r>
      <w:r w:rsidRPr="00661A68">
        <w:rPr>
          <w:rStyle w:val="Emphasis"/>
        </w:rPr>
        <w:t>a large number</w:t>
      </w:r>
      <w:r w:rsidRPr="00661A68">
        <w:rPr>
          <w:rStyle w:val="StyleUnderline"/>
        </w:rPr>
        <w:t xml:space="preserve"> of institutional </w:t>
      </w:r>
      <w:r w:rsidRPr="00661A68">
        <w:rPr>
          <w:rStyle w:val="Emphasis"/>
        </w:rPr>
        <w:t>checks</w:t>
      </w:r>
      <w:r w:rsidRPr="00661A68">
        <w:rPr>
          <w:rStyle w:val="StyleUnderline"/>
        </w:rPr>
        <w:t xml:space="preserve"> designed to make it </w:t>
      </w:r>
      <w:r w:rsidRPr="00661A68">
        <w:rPr>
          <w:rStyle w:val="Emphasis"/>
        </w:rPr>
        <w:t>difficult to take action</w:t>
      </w:r>
      <w:r w:rsidRPr="00661A68">
        <w:rPr>
          <w:sz w:val="12"/>
        </w:rPr>
        <w:t xml:space="preserve">. n112 Legislation, for example, must be approved not by a single congress, but by two separate houses. n113 The fact that the members of each of these houses are on different election schedules and reflect different constituencies complicates the political calculus of law-making, and makes it more difficult for any individual initiative to receive approval. n114 As the Federalist Papers make clear, this bicameral structure was designed to impede the aggrandizement of the lawmaking power by making it more difficult for it to reach agreement. n115  </w:t>
      </w:r>
    </w:p>
    <w:p w14:paraId="5811D9ED" w14:textId="2C757D73" w:rsidR="00862A83" w:rsidRPr="00661A68" w:rsidRDefault="00862A83" w:rsidP="00305A32">
      <w:pPr>
        <w:pStyle w:val="Heading3"/>
      </w:pPr>
      <w:r w:rsidRPr="00661A68">
        <w:t>2NC AT Rollback—Courts</w:t>
      </w:r>
    </w:p>
    <w:p w14:paraId="325A7088" w14:textId="77777777" w:rsidR="00862A83" w:rsidRPr="00661A68" w:rsidRDefault="00862A83" w:rsidP="00862A83">
      <w:pPr>
        <w:pStyle w:val="Heading4"/>
      </w:pPr>
      <w:r w:rsidRPr="00661A68">
        <w:t xml:space="preserve">State action empirically flies </w:t>
      </w:r>
      <w:r w:rsidRPr="00661A68">
        <w:rPr>
          <w:u w:val="single"/>
        </w:rPr>
        <w:t>under the radar</w:t>
      </w:r>
    </w:p>
    <w:p w14:paraId="529BDD62" w14:textId="77777777" w:rsidR="00862A83" w:rsidRPr="00661A68" w:rsidRDefault="00862A83" w:rsidP="00862A83">
      <w:r w:rsidRPr="00661A68">
        <w:rPr>
          <w:rStyle w:val="Style13ptBold"/>
        </w:rPr>
        <w:t>Cavanagh</w:t>
      </w:r>
      <w:r w:rsidRPr="00661A68">
        <w:t xml:space="preserve">, associate editor for Education Week, </w:t>
      </w:r>
      <w:r w:rsidRPr="00661A68">
        <w:rPr>
          <w:rStyle w:val="Style13ptBold"/>
        </w:rPr>
        <w:t>11</w:t>
      </w:r>
    </w:p>
    <w:p w14:paraId="4088D97C" w14:textId="77777777" w:rsidR="00862A83" w:rsidRPr="00661A68" w:rsidRDefault="00862A83" w:rsidP="00862A83">
      <w:r w:rsidRPr="00661A68">
        <w:t>(Seth, “Race to the Top, Under the Radar”, http://blogs.edweek.org/edweek/state_edwatch/2011/04/race_to_the_top_under_the_radar.html)</w:t>
      </w:r>
    </w:p>
    <w:p w14:paraId="5D0C3E91" w14:textId="77777777" w:rsidR="00862A83" w:rsidRPr="00661A68" w:rsidRDefault="00862A83" w:rsidP="00862A83">
      <w:pPr>
        <w:rPr>
          <w:sz w:val="10"/>
        </w:rPr>
      </w:pPr>
      <w:r w:rsidRPr="00661A68">
        <w:rPr>
          <w:rStyle w:val="Emphasis"/>
        </w:rPr>
        <w:t>Florida</w:t>
      </w:r>
      <w:r w:rsidRPr="00661A68">
        <w:rPr>
          <w:rStyle w:val="StyleUnderline"/>
        </w:rPr>
        <w:t xml:space="preserve"> is promoting Japanese</w:t>
      </w:r>
      <w:r w:rsidRPr="00661A68">
        <w:rPr>
          <w:sz w:val="10"/>
        </w:rPr>
        <w:t xml:space="preserve"> "</w:t>
      </w:r>
      <w:r w:rsidRPr="00661A68">
        <w:rPr>
          <w:rStyle w:val="Emphasis"/>
        </w:rPr>
        <w:t>lesson study</w:t>
      </w:r>
      <w:r w:rsidRPr="00661A68">
        <w:rPr>
          <w:sz w:val="10"/>
        </w:rPr>
        <w:t xml:space="preserve">" </w:t>
      </w:r>
      <w:r w:rsidRPr="00661A68">
        <w:rPr>
          <w:rStyle w:val="StyleUnderline"/>
        </w:rPr>
        <w:t>teacher collaboration</w:t>
      </w:r>
      <w:r w:rsidRPr="00661A68">
        <w:rPr>
          <w:sz w:val="10"/>
        </w:rPr>
        <w:t xml:space="preserve">. </w:t>
      </w:r>
      <w:r w:rsidRPr="00661A68">
        <w:rPr>
          <w:rStyle w:val="Emphasis"/>
        </w:rPr>
        <w:t>Georgia</w:t>
      </w:r>
      <w:r w:rsidRPr="00661A68">
        <w:rPr>
          <w:sz w:val="10"/>
        </w:rPr>
        <w:t xml:space="preserve"> </w:t>
      </w:r>
      <w:r w:rsidRPr="00661A68">
        <w:rPr>
          <w:rStyle w:val="StyleUnderline"/>
        </w:rPr>
        <w:t>is replicating one school district's promising method</w:t>
      </w:r>
      <w:r w:rsidRPr="00661A68">
        <w:rPr>
          <w:sz w:val="10"/>
        </w:rPr>
        <w:t xml:space="preserve"> </w:t>
      </w:r>
      <w:r w:rsidRPr="00661A68">
        <w:rPr>
          <w:rStyle w:val="StyleUnderline"/>
        </w:rPr>
        <w:t>for</w:t>
      </w:r>
      <w:r w:rsidRPr="00661A68">
        <w:rPr>
          <w:sz w:val="10"/>
        </w:rPr>
        <w:t xml:space="preserve"> </w:t>
      </w:r>
      <w:r w:rsidRPr="00661A68">
        <w:rPr>
          <w:rStyle w:val="StyleUnderline"/>
        </w:rPr>
        <w:t>training</w:t>
      </w:r>
      <w:r w:rsidRPr="00661A68">
        <w:rPr>
          <w:sz w:val="10"/>
        </w:rPr>
        <w:t xml:space="preserve"> assistant </w:t>
      </w:r>
      <w:r w:rsidRPr="00661A68">
        <w:rPr>
          <w:rStyle w:val="StyleUnderline"/>
        </w:rPr>
        <w:t>principals</w:t>
      </w:r>
      <w:r w:rsidRPr="00661A68">
        <w:rPr>
          <w:sz w:val="10"/>
        </w:rPr>
        <w:t xml:space="preserve"> and principals. </w:t>
      </w:r>
      <w:r w:rsidRPr="00661A68">
        <w:rPr>
          <w:rStyle w:val="StyleUnderline"/>
        </w:rPr>
        <w:t>And</w:t>
      </w:r>
      <w:r w:rsidRPr="00661A68">
        <w:rPr>
          <w:sz w:val="10"/>
        </w:rPr>
        <w:t xml:space="preserve"> </w:t>
      </w:r>
      <w:r w:rsidRPr="00661A68">
        <w:rPr>
          <w:rStyle w:val="Emphasis"/>
        </w:rPr>
        <w:t>Maryland</w:t>
      </w:r>
      <w:r w:rsidRPr="00661A68">
        <w:rPr>
          <w:sz w:val="10"/>
        </w:rPr>
        <w:t xml:space="preserve"> </w:t>
      </w:r>
      <w:r w:rsidRPr="00661A68">
        <w:rPr>
          <w:rStyle w:val="StyleUnderline"/>
        </w:rPr>
        <w:t>wants to create a separate certification for teachers in science</w:t>
      </w:r>
      <w:r w:rsidRPr="00661A68">
        <w:rPr>
          <w:sz w:val="10"/>
        </w:rPr>
        <w:t xml:space="preserve">- and math-related subjects in its elementary schools—where educators typically work as generalists, covering all subjects. </w:t>
      </w:r>
      <w:r w:rsidRPr="00661A68">
        <w:rPr>
          <w:rStyle w:val="StyleUnderline"/>
        </w:rPr>
        <w:t>Those are just a few of the</w:t>
      </w:r>
      <w:r w:rsidRPr="00661A68">
        <w:rPr>
          <w:sz w:val="10"/>
        </w:rPr>
        <w:t xml:space="preserve"> </w:t>
      </w:r>
      <w:r w:rsidRPr="00661A68">
        <w:rPr>
          <w:rStyle w:val="Emphasis"/>
        </w:rPr>
        <w:t>less-publicized projects</w:t>
      </w:r>
      <w:r w:rsidRPr="00661A68">
        <w:rPr>
          <w:sz w:val="10"/>
        </w:rPr>
        <w:t xml:space="preserve"> </w:t>
      </w:r>
      <w:r w:rsidRPr="00661A68">
        <w:rPr>
          <w:rStyle w:val="StyleUnderline"/>
        </w:rPr>
        <w:t>included in</w:t>
      </w:r>
      <w:r w:rsidRPr="00661A68">
        <w:rPr>
          <w:sz w:val="10"/>
        </w:rPr>
        <w:t xml:space="preserve"> winning </w:t>
      </w:r>
      <w:r w:rsidRPr="00661A68">
        <w:rPr>
          <w:rStyle w:val="StyleUnderline"/>
        </w:rPr>
        <w:t>states'</w:t>
      </w:r>
      <w:r w:rsidRPr="00661A68">
        <w:rPr>
          <w:sz w:val="10"/>
        </w:rPr>
        <w:t xml:space="preserve"> Race to the Top </w:t>
      </w:r>
      <w:r w:rsidRPr="00661A68">
        <w:rPr>
          <w:rStyle w:val="StyleUnderline"/>
        </w:rPr>
        <w:t>plans</w:t>
      </w:r>
      <w:r w:rsidRPr="00661A68">
        <w:rPr>
          <w:sz w:val="10"/>
        </w:rPr>
        <w:t>, which I looked at in a </w:t>
      </w:r>
      <w:hyperlink r:id="rId30" w:history="1">
        <w:r w:rsidRPr="00661A68">
          <w:rPr>
            <w:rStyle w:val="Hyperlink"/>
            <w:sz w:val="10"/>
          </w:rPr>
          <w:t>story this week</w:t>
        </w:r>
      </w:hyperlink>
      <w:r w:rsidRPr="00661A68">
        <w:rPr>
          <w:sz w:val="10"/>
        </w:rPr>
        <w:t xml:space="preserve">. </w:t>
      </w:r>
      <w:r w:rsidRPr="00661A68">
        <w:rPr>
          <w:rStyle w:val="StyleUnderline"/>
        </w:rPr>
        <w:t>While most of the attention paid to the</w:t>
      </w:r>
      <w:r w:rsidRPr="00661A68">
        <w:rPr>
          <w:sz w:val="10"/>
        </w:rPr>
        <w:t xml:space="preserve"> $4 billion </w:t>
      </w:r>
      <w:r w:rsidRPr="00661A68">
        <w:rPr>
          <w:rStyle w:val="StyleUnderline"/>
        </w:rPr>
        <w:t>competition</w:t>
      </w:r>
      <w:r w:rsidRPr="00661A68">
        <w:rPr>
          <w:sz w:val="10"/>
        </w:rPr>
        <w:t xml:space="preserve"> </w:t>
      </w:r>
      <w:r w:rsidRPr="00661A68">
        <w:rPr>
          <w:rStyle w:val="StyleUnderline"/>
        </w:rPr>
        <w:t xml:space="preserve">centers on </w:t>
      </w:r>
      <w:r w:rsidRPr="00661A68">
        <w:rPr>
          <w:rStyle w:val="Emphasis"/>
          <w:szCs w:val="24"/>
        </w:rPr>
        <w:t>big-ticket efforts</w:t>
      </w:r>
      <w:r w:rsidRPr="00661A68">
        <w:rPr>
          <w:sz w:val="10"/>
        </w:rPr>
        <w:t xml:space="preserve"> in areas such as teacher pay and evaluation, charter schools, and standards, </w:t>
      </w:r>
      <w:r w:rsidRPr="00661A68">
        <w:rPr>
          <w:rStyle w:val="StyleUnderline"/>
        </w:rPr>
        <w:t>states are also</w:t>
      </w:r>
      <w:r w:rsidRPr="00661A68">
        <w:rPr>
          <w:sz w:val="10"/>
        </w:rPr>
        <w:t> </w:t>
      </w:r>
      <w:hyperlink r:id="rId31" w:history="1">
        <w:r w:rsidRPr="00661A68">
          <w:rPr>
            <w:rStyle w:val="StyleUnderline"/>
          </w:rPr>
          <w:t>using</w:t>
        </w:r>
        <w:r w:rsidRPr="00661A68">
          <w:rPr>
            <w:rStyle w:val="Hyperlink"/>
            <w:sz w:val="10"/>
          </w:rPr>
          <w:t xml:space="preserve"> their </w:t>
        </w:r>
        <w:r w:rsidRPr="00661A68">
          <w:rPr>
            <w:rStyle w:val="StyleUnderline"/>
          </w:rPr>
          <w:t>awards</w:t>
        </w:r>
      </w:hyperlink>
      <w:r w:rsidRPr="00661A68">
        <w:rPr>
          <w:sz w:val="10"/>
        </w:rPr>
        <w:t xml:space="preserve"> (worth anywhere between $75 million and $700 milllion) </w:t>
      </w:r>
      <w:r w:rsidRPr="00661A68">
        <w:rPr>
          <w:rStyle w:val="StyleUnderline"/>
        </w:rPr>
        <w:t>to</w:t>
      </w:r>
      <w:r w:rsidRPr="00661A68">
        <w:rPr>
          <w:sz w:val="10"/>
        </w:rPr>
        <w:t xml:space="preserve"> </w:t>
      </w:r>
      <w:r w:rsidRPr="00661A68">
        <w:rPr>
          <w:rStyle w:val="Emphasis"/>
        </w:rPr>
        <w:t>experiment</w:t>
      </w:r>
      <w:r w:rsidRPr="00661A68">
        <w:rPr>
          <w:sz w:val="10"/>
        </w:rPr>
        <w:t xml:space="preserve"> in other ways.</w:t>
      </w:r>
    </w:p>
    <w:p w14:paraId="5EF1FD3D" w14:textId="77777777" w:rsidR="00862A83" w:rsidRPr="00661A68" w:rsidRDefault="00862A83" w:rsidP="00862A83"/>
    <w:p w14:paraId="1256A9D9" w14:textId="2CD3E556" w:rsidR="00305A32" w:rsidRPr="00661A68" w:rsidRDefault="00305A32" w:rsidP="00305A32">
      <w:pPr>
        <w:pStyle w:val="Heading3"/>
      </w:pPr>
      <w:r w:rsidRPr="00661A68">
        <w:t>2NC AT Legality</w:t>
      </w:r>
    </w:p>
    <w:p w14:paraId="21BE9990" w14:textId="77777777" w:rsidR="00305A32" w:rsidRPr="00661A68" w:rsidRDefault="00305A32" w:rsidP="00305A32">
      <w:pPr>
        <w:pStyle w:val="Heading4"/>
      </w:pPr>
      <w:r w:rsidRPr="00661A68">
        <w:t>Yes the CP is legal</w:t>
      </w:r>
    </w:p>
    <w:p w14:paraId="2815F7D7" w14:textId="77777777" w:rsidR="00305A32" w:rsidRPr="00661A68" w:rsidRDefault="00305A32" w:rsidP="00305A32">
      <w:pPr>
        <w:pStyle w:val="Heading4"/>
      </w:pPr>
      <w:r w:rsidRPr="00661A68">
        <w:t>Constitution says it has the same effect as federal law</w:t>
      </w:r>
    </w:p>
    <w:p w14:paraId="6DD1B45E" w14:textId="77777777" w:rsidR="00305A32" w:rsidRPr="00661A68" w:rsidRDefault="00305A32" w:rsidP="00305A32">
      <w:pPr>
        <w:pStyle w:val="Heading4"/>
      </w:pPr>
      <w:r w:rsidRPr="00661A68">
        <w:t>We overrule current state laws—that solves</w:t>
      </w:r>
    </w:p>
    <w:p w14:paraId="21015C02" w14:textId="77777777" w:rsidR="00305A32" w:rsidRPr="00661A68" w:rsidRDefault="00305A32" w:rsidP="00305A32">
      <w:pPr>
        <w:rPr>
          <w:rStyle w:val="Style13ptBold"/>
        </w:rPr>
      </w:pPr>
      <w:r w:rsidRPr="00661A68">
        <w:rPr>
          <w:rStyle w:val="Style13ptBold"/>
        </w:rPr>
        <w:t>Carothers, 06</w:t>
      </w:r>
    </w:p>
    <w:p w14:paraId="4C3374E5" w14:textId="77777777" w:rsidR="00305A32" w:rsidRPr="00661A68" w:rsidRDefault="00305A32" w:rsidP="00305A32">
      <w:r w:rsidRPr="00661A68">
        <w:t>(Claire, JD Georgia Law School, Assistant professor of Law at Wayne State University, “NOTE: UNITED WE STAND: THE INTERSTATE COMPACT AS A TOOL FOR EFFECTING CLIMATE CHANGE”, Georgia Law Review</w:t>
      </w:r>
      <w:r w:rsidRPr="00661A68">
        <w:rPr>
          <w:sz w:val="12"/>
        </w:rPr>
        <w:t xml:space="preserve">¶ </w:t>
      </w:r>
      <w:r w:rsidRPr="00661A68">
        <w:t>Fall, 2006</w:t>
      </w:r>
      <w:r w:rsidRPr="00661A68">
        <w:rPr>
          <w:sz w:val="12"/>
        </w:rPr>
        <w:t xml:space="preserve">¶ </w:t>
      </w:r>
      <w:r w:rsidRPr="00661A68">
        <w:t>41 Ga. L. Rev. 229</w:t>
      </w:r>
      <w:r w:rsidRPr="00661A68">
        <w:rPr>
          <w:sz w:val="12"/>
        </w:rPr>
        <w:t xml:space="preserve">¶ </w:t>
      </w:r>
      <w:r w:rsidRPr="00661A68">
        <w:t>Lexis NL)</w:t>
      </w:r>
    </w:p>
    <w:p w14:paraId="6D18498F" w14:textId="77777777" w:rsidR="00305A32" w:rsidRPr="00661A68" w:rsidRDefault="00305A32" w:rsidP="00305A32">
      <w:pPr>
        <w:rPr>
          <w:sz w:val="14"/>
        </w:rPr>
      </w:pPr>
      <w:r w:rsidRPr="00661A68">
        <w:rPr>
          <w:sz w:val="14"/>
        </w:rPr>
        <w:t xml:space="preserve">Despite the difficulties the RGGI will likely encounter in achieving consent, the interstate compact should not be considered defunct as a method by which states may enact cooperative regional legislation. </w:t>
      </w:r>
      <w:r w:rsidRPr="00661A68">
        <w:rPr>
          <w:rStyle w:val="StyleUnderline"/>
        </w:rPr>
        <w:t xml:space="preserve">Interstate compacts establish a more formal, </w:t>
      </w:r>
      <w:r w:rsidRPr="00661A68">
        <w:rPr>
          <w:rStyle w:val="Emphasis"/>
        </w:rPr>
        <w:t>binding arrangement</w:t>
      </w:r>
      <w:r w:rsidRPr="00661A68">
        <w:rPr>
          <w:rStyle w:val="StyleUnderline"/>
        </w:rPr>
        <w:t xml:space="preserve"> </w:t>
      </w:r>
      <w:r w:rsidRPr="00661A68">
        <w:rPr>
          <w:rStyle w:val="Emphasis"/>
        </w:rPr>
        <w:t>than administrative agreements</w:t>
      </w:r>
      <w:r w:rsidRPr="00661A68">
        <w:rPr>
          <w:rStyle w:val="StyleUnderline"/>
        </w:rPr>
        <w:t xml:space="preserve"> while still allowing creative adjustment and flexibility amongst the participating states</w:t>
      </w:r>
      <w:r w:rsidRPr="00661A68">
        <w:rPr>
          <w:sz w:val="14"/>
        </w:rPr>
        <w:t xml:space="preserve">. </w:t>
      </w:r>
      <w:hyperlink r:id="rId32" w:anchor="n218" w:history="1">
        <w:r w:rsidRPr="00661A68">
          <w:rPr>
            <w:rStyle w:val="Hyperlink"/>
            <w:sz w:val="14"/>
          </w:rPr>
          <w:t>n218</w:t>
        </w:r>
      </w:hyperlink>
      <w:r w:rsidRPr="00661A68">
        <w:rPr>
          <w:sz w:val="14"/>
        </w:rPr>
        <w:t xml:space="preserve"> While states are understandably hesitant to formally bind themselves to interstate compacts, the field of environmental law, especially legislation addressing problems affecting a varied geographic landscape, requires a level of stability and supervision which mere agreements might not afford. </w:t>
      </w:r>
      <w:hyperlink r:id="rId33" w:anchor="n219" w:history="1">
        <w:r w:rsidRPr="00661A68">
          <w:rPr>
            <w:rStyle w:val="Hyperlink"/>
            <w:sz w:val="14"/>
          </w:rPr>
          <w:t>n219</w:t>
        </w:r>
      </w:hyperlink>
      <w:r w:rsidRPr="00661A68">
        <w:rPr>
          <w:sz w:val="14"/>
        </w:rPr>
        <w:t xml:space="preserve"> </w:t>
      </w:r>
      <w:r w:rsidRPr="00661A68">
        <w:rPr>
          <w:rStyle w:val="StyleUnderline"/>
        </w:rPr>
        <w:t xml:space="preserve">A compact allows for lasting commitment, provides for enforceability through the Supreme Court, </w:t>
      </w:r>
      <w:r w:rsidRPr="00661A68">
        <w:rPr>
          <w:rStyle w:val="Emphasis"/>
        </w:rPr>
        <w:t>and overrules conflicting state laws.</w:t>
      </w:r>
      <w:r w:rsidRPr="00661A68">
        <w:rPr>
          <w:sz w:val="14"/>
        </w:rPr>
        <w:t xml:space="preserve"> </w:t>
      </w:r>
      <w:hyperlink r:id="rId34" w:anchor="n220" w:history="1">
        <w:r w:rsidRPr="00661A68">
          <w:rPr>
            <w:rStyle w:val="Hyperlink"/>
            <w:sz w:val="14"/>
          </w:rPr>
          <w:t>n220</w:t>
        </w:r>
      </w:hyperlink>
    </w:p>
    <w:p w14:paraId="57CAE105" w14:textId="77777777" w:rsidR="00305A32" w:rsidRPr="00661A68" w:rsidRDefault="00305A32" w:rsidP="00305A32">
      <w:pPr>
        <w:pStyle w:val="Heading4"/>
      </w:pPr>
      <w:r w:rsidRPr="00661A68">
        <w:t>CP is legal—recent Supreme Court ruling proves</w:t>
      </w:r>
    </w:p>
    <w:p w14:paraId="1D275037" w14:textId="77777777" w:rsidR="00305A32" w:rsidRPr="00661A68" w:rsidRDefault="00305A32" w:rsidP="00305A32">
      <w:pPr>
        <w:rPr>
          <w:rStyle w:val="Style13ptBold"/>
        </w:rPr>
      </w:pPr>
      <w:r w:rsidRPr="00661A68">
        <w:rPr>
          <w:rStyle w:val="Style13ptBold"/>
        </w:rPr>
        <w:t xml:space="preserve">Baron, 15 </w:t>
      </w:r>
    </w:p>
    <w:p w14:paraId="083D07D4" w14:textId="77777777" w:rsidR="00305A32" w:rsidRPr="00661A68" w:rsidRDefault="00305A32" w:rsidP="00305A32">
      <w:r w:rsidRPr="00661A68">
        <w:t>(Lauren Baron, Pace University School of Law J.D. &amp; Environmental Law Certificate Candidate, 2015; B.A., Cum Laude, Ecosystem Science and Policy with departmental honors in Sociology from the University of Miami (FL), 2012, "How to Avoid Constitutional Challenges to State Based Climate Change Initiatives: A Case Study of Rocky Mountain Farmers Union v. Corey and New York State Programs", Pace Environmental LR, Spring, lexis)</w:t>
      </w:r>
    </w:p>
    <w:p w14:paraId="28620C2F" w14:textId="77777777" w:rsidR="00305A32" w:rsidRPr="00661A68" w:rsidRDefault="00305A32" w:rsidP="00305A32">
      <w:pPr>
        <w:rPr>
          <w:sz w:val="14"/>
        </w:rPr>
      </w:pPr>
      <w:r w:rsidRPr="00661A68">
        <w:rPr>
          <w:rStyle w:val="StyleUnderline"/>
        </w:rPr>
        <w:t xml:space="preserve">In the absence of coordinated national efforts, States have taken it upon themselves to </w:t>
      </w:r>
      <w:r w:rsidRPr="00661A68">
        <w:rPr>
          <w:rStyle w:val="Emphasis"/>
        </w:rPr>
        <w:t>reduce</w:t>
      </w:r>
      <w:r w:rsidRPr="00661A68">
        <w:rPr>
          <w:rStyle w:val="StyleUnderline"/>
        </w:rPr>
        <w:t xml:space="preserve"> harmful </w:t>
      </w:r>
      <w:r w:rsidRPr="00661A68">
        <w:rPr>
          <w:rStyle w:val="Emphasis"/>
        </w:rPr>
        <w:t>carbon emissions</w:t>
      </w:r>
      <w:r w:rsidRPr="00661A68">
        <w:rPr>
          <w:rStyle w:val="StyleUnderline"/>
        </w:rPr>
        <w:t xml:space="preserve"> and combat climate change using various programs and methods</w:t>
      </w:r>
      <w:r w:rsidRPr="00661A68">
        <w:rPr>
          <w:sz w:val="14"/>
        </w:rPr>
        <w:t xml:space="preserve">.1 The President has made recommendations regarding national action to reduce emissions, however, there has been no legislative or all-encompassing national standards set. Through the President’s Climate Action Plan (hereinafter “President’s Plan”), the President requires the Environmental Protection Agency (EPA) to create rules pertaining to carbon emissions under the Clean Air Act (CAA) § 111(d), which the agency has recently proposed.2 </w:t>
      </w:r>
      <w:r w:rsidRPr="00661A68">
        <w:rPr>
          <w:rStyle w:val="StyleUnderline"/>
        </w:rPr>
        <w:t>As states continue to take individual action, concerns have arisen regarding the possibility of constitutional violations</w:t>
      </w:r>
      <w:r w:rsidRPr="00661A68">
        <w:rPr>
          <w:sz w:val="14"/>
        </w:rPr>
        <w:t xml:space="preserve">.3 In 2006, due to a lack of national action on climate change, </w:t>
      </w:r>
      <w:r w:rsidRPr="00661A68">
        <w:rPr>
          <w:rStyle w:val="StyleUnderline"/>
        </w:rPr>
        <w:t>California became a first mover by enacting the Low Carbon Fuel Standard (LCFS) in order to reduce emissions from the transportation sector and limit California’s exposure to the negative effects of climate change</w:t>
      </w:r>
      <w:r w:rsidRPr="00661A68">
        <w:rPr>
          <w:sz w:val="14"/>
        </w:rPr>
        <w:t xml:space="preserve">.4 </w:t>
      </w:r>
      <w:r w:rsidRPr="00661A68">
        <w:rPr>
          <w:rStyle w:val="StyleUnderline"/>
        </w:rPr>
        <w:t xml:space="preserve">It quickly became the target of legal challenges </w:t>
      </w:r>
      <w:r w:rsidRPr="00661A68">
        <w:rPr>
          <w:rStyle w:val="Emphasis"/>
        </w:rPr>
        <w:t>under the Commerce Clause</w:t>
      </w:r>
      <w:r w:rsidRPr="00661A68">
        <w:rPr>
          <w:rStyle w:val="StyleUnderline"/>
        </w:rPr>
        <w:t xml:space="preserve">. </w:t>
      </w:r>
      <w:r w:rsidRPr="00661A68">
        <w:rPr>
          <w:sz w:val="14"/>
        </w:rPr>
        <w:t xml:space="preserve">Rocky Mountain Farmers Union, representatives of the instate and out-of-state corn ethanol industry, and American Fuels, representatives of petrochemical refineries and manufacturers, brought constitutional challenges against the California Air Resources Board for enacting the LCFS.5 </w:t>
      </w:r>
      <w:r w:rsidRPr="00661A68">
        <w:rPr>
          <w:rStyle w:val="StyleUnderline"/>
        </w:rPr>
        <w:t xml:space="preserve">The parties alleged the LCFS </w:t>
      </w:r>
      <w:r w:rsidRPr="00661A68">
        <w:rPr>
          <w:rStyle w:val="Emphasis"/>
        </w:rPr>
        <w:t>violates the</w:t>
      </w:r>
      <w:r w:rsidRPr="00661A68">
        <w:rPr>
          <w:rStyle w:val="StyleUnderline"/>
        </w:rPr>
        <w:t xml:space="preserve"> dormant </w:t>
      </w:r>
      <w:r w:rsidRPr="00661A68">
        <w:rPr>
          <w:rStyle w:val="Emphasis"/>
        </w:rPr>
        <w:t>Commerce Clause</w:t>
      </w:r>
      <w:r w:rsidRPr="00661A68">
        <w:rPr>
          <w:rStyle w:val="StyleUnderline"/>
        </w:rPr>
        <w:t xml:space="preserve"> and Supremacy Clause of the Constitution and is preempted by section 211(o) of the CAA</w:t>
      </w:r>
      <w:r w:rsidRPr="00661A68">
        <w:rPr>
          <w:sz w:val="14"/>
        </w:rPr>
        <w:t xml:space="preserve">, which is part of the Renewable Fuel Standard (“RFS”), as well as the Energy Independence and Securities Act.6 Rocky Mountain Farmers Union v. Corey (hereinafter “Rocky Mtn. v. Corey”) reached the Ninth Circuit Court of Appeals in 2013, and </w:t>
      </w:r>
      <w:r w:rsidRPr="00661A68">
        <w:rPr>
          <w:rStyle w:val="StyleUnderline"/>
        </w:rPr>
        <w:t xml:space="preserve">the Supreme Court </w:t>
      </w:r>
      <w:r w:rsidRPr="00661A68">
        <w:rPr>
          <w:rStyle w:val="Emphasis"/>
        </w:rPr>
        <w:t>denied a petition for certiorari</w:t>
      </w:r>
      <w:r w:rsidRPr="00661A68">
        <w:rPr>
          <w:rStyle w:val="StyleUnderline"/>
        </w:rPr>
        <w:t xml:space="preserve"> in July 2014</w:t>
      </w:r>
      <w:r w:rsidRPr="00661A68">
        <w:rPr>
          <w:sz w:val="14"/>
        </w:rPr>
        <w:t xml:space="preserve">.7 Although certiorari was denied, </w:t>
      </w:r>
      <w:r w:rsidRPr="00661A68">
        <w:rPr>
          <w:rStyle w:val="StyleUnderline"/>
        </w:rPr>
        <w:t xml:space="preserve">the outcome of the case has had </w:t>
      </w:r>
      <w:r w:rsidRPr="00661A68">
        <w:rPr>
          <w:rStyle w:val="Emphasis"/>
        </w:rPr>
        <w:t>a major impact</w:t>
      </w:r>
      <w:r w:rsidRPr="00661A68">
        <w:rPr>
          <w:rStyle w:val="StyleUnderline"/>
        </w:rPr>
        <w:t xml:space="preserve"> on how other states can argue the constitutional validity of state enacted emissions reduction</w:t>
      </w:r>
      <w:r w:rsidRPr="00661A68">
        <w:rPr>
          <w:sz w:val="14"/>
        </w:rPr>
        <w:t xml:space="preserve"> </w:t>
      </w:r>
      <w:r w:rsidRPr="00661A68">
        <w:rPr>
          <w:rStyle w:val="StyleUnderline"/>
        </w:rPr>
        <w:t>programs</w:t>
      </w:r>
      <w:r w:rsidRPr="00661A68">
        <w:rPr>
          <w:sz w:val="14"/>
        </w:rPr>
        <w:t xml:space="preserve">, and is already being referred to in cases outside the Ninth Circuit.8 After remand, it is possible the case could come back up through the Ninth Circuit and appear before the Supreme Court. Considering the decision in Rocky Mtn. v. Corey and the EPA’s actions in accordance with the President’s Plan, this comment will outline best practices states can use in creating climate initiatives based on the challenges California faced in Rocky Mtn. v. Corey. Part II of this comment will analyze the reasoning in Rocky Mtn. v. Corey. Although certiorari was denied in the case, Part II will analyze recent Supreme Court dormant Commerce Clause jurisprudence to determine which cases are relevant to consider when analyzing a dormant Commerce Clause challenge to state based climate initiatives. Part III will discuss the current Federal Climate Action Plan and relevant provisions of the CAA, focusing on 111(d), and what states should consider when implementing climate initiatives to avoid constitutional challenges. Part IV will highlight New York State based climate initiatives as a case study. Like California’s LCFS, the Regional Greenhouse Gas Initiative (“RGGI”) and New York’s Renewable Portfolio Standard (hereinafter “NYS RPS”) faced scrutiny as to whether the regulations violate the dormant Commerce Clause.9 Part IV will also discuss how RGGI and the NYS </w:t>
      </w:r>
      <w:r w:rsidRPr="00661A68">
        <w:rPr>
          <w:rStyle w:val="StyleUnderline"/>
        </w:rPr>
        <w:t xml:space="preserve">RPS demonstrate how States can </w:t>
      </w:r>
      <w:r w:rsidRPr="00661A68">
        <w:rPr>
          <w:rStyle w:val="Emphasis"/>
        </w:rPr>
        <w:t>act locally</w:t>
      </w:r>
      <w:r w:rsidRPr="00661A68">
        <w:rPr>
          <w:rStyle w:val="StyleUnderline"/>
        </w:rPr>
        <w:t xml:space="preserve"> and </w:t>
      </w:r>
      <w:r w:rsidRPr="00661A68">
        <w:rPr>
          <w:rStyle w:val="Emphasis"/>
        </w:rPr>
        <w:t>regionally</w:t>
      </w:r>
      <w:r w:rsidRPr="00661A68">
        <w:rPr>
          <w:rStyle w:val="StyleUnderline"/>
        </w:rPr>
        <w:t xml:space="preserve"> applying </w:t>
      </w:r>
      <w:r w:rsidRPr="00661A68">
        <w:rPr>
          <w:rStyle w:val="Emphasis"/>
        </w:rPr>
        <w:t>best practices</w:t>
      </w:r>
      <w:r w:rsidRPr="00661A68">
        <w:rPr>
          <w:rStyle w:val="StyleUnderline"/>
        </w:rPr>
        <w:t xml:space="preserve"> to create </w:t>
      </w:r>
      <w:r w:rsidRPr="00661A68">
        <w:rPr>
          <w:rStyle w:val="Emphasis"/>
        </w:rPr>
        <w:t>legally defensible climate initiatives</w:t>
      </w:r>
      <w:r w:rsidRPr="00661A68">
        <w:rPr>
          <w:sz w:val="14"/>
        </w:rPr>
        <w:t>.10</w:t>
      </w:r>
    </w:p>
    <w:p w14:paraId="6E7ACE55" w14:textId="77777777" w:rsidR="00305A32" w:rsidRPr="00661A68" w:rsidRDefault="00305A32" w:rsidP="00305A32"/>
    <w:p w14:paraId="784A970D" w14:textId="77777777" w:rsidR="00305A32" w:rsidRPr="00661A68" w:rsidRDefault="00305A32" w:rsidP="00305A32"/>
    <w:p w14:paraId="06CF77F1" w14:textId="2AA33BD9" w:rsidR="00305A32" w:rsidRPr="00661A68" w:rsidRDefault="009A3057" w:rsidP="00F43AC8">
      <w:pPr>
        <w:pStyle w:val="Heading2"/>
      </w:pPr>
      <w:r w:rsidRPr="00661A68">
        <w:t>***AFF Blocks***</w:t>
      </w:r>
    </w:p>
    <w:p w14:paraId="48641553" w14:textId="302B4632" w:rsidR="00234BF9" w:rsidRPr="00661A68" w:rsidRDefault="00234BF9" w:rsidP="00CB65BF">
      <w:pPr>
        <w:pStyle w:val="Heading3"/>
      </w:pPr>
      <w:r w:rsidRPr="00661A68">
        <w:t>2AC Fed Key—</w:t>
      </w:r>
      <w:r w:rsidR="00625886" w:rsidRPr="00661A68">
        <w:t>General</w:t>
      </w:r>
    </w:p>
    <w:p w14:paraId="3682643F" w14:textId="433BE9B1" w:rsidR="00F2517E" w:rsidRPr="00661A68" w:rsidRDefault="00234BF9" w:rsidP="00396AAA">
      <w:pPr>
        <w:pStyle w:val="Heading4"/>
        <w:rPr>
          <w:b w:val="0"/>
          <w:bCs/>
        </w:rPr>
      </w:pPr>
      <w:r w:rsidRPr="00661A68">
        <w:t xml:space="preserve">Federal </w:t>
      </w:r>
      <w:r w:rsidR="00AA4BE8" w:rsidRPr="00661A68">
        <w:t>l</w:t>
      </w:r>
      <w:r w:rsidR="00625886" w:rsidRPr="00661A68">
        <w:t xml:space="preserve">aw </w:t>
      </w:r>
      <w:r w:rsidR="00625886" w:rsidRPr="00661A68">
        <w:rPr>
          <w:u w:val="single"/>
        </w:rPr>
        <w:t>has to come before state changes</w:t>
      </w:r>
      <w:r w:rsidR="00625886" w:rsidRPr="00661A68">
        <w:t xml:space="preserve"> </w:t>
      </w:r>
      <w:r w:rsidR="00E04F13" w:rsidRPr="00661A68">
        <w:t>–</w:t>
      </w:r>
      <w:r w:rsidR="00625886" w:rsidRPr="00661A68">
        <w:t xml:space="preserve"> </w:t>
      </w:r>
      <w:r w:rsidR="00E04F13" w:rsidRPr="00661A68">
        <w:t>key to signaling</w:t>
      </w:r>
      <w:r w:rsidR="006828A7" w:rsidRPr="00661A68">
        <w:t xml:space="preserve"> – </w:t>
      </w:r>
      <w:r w:rsidR="006828A7" w:rsidRPr="00661A68">
        <w:rPr>
          <w:b w:val="0"/>
          <w:bCs/>
        </w:rPr>
        <w:t>Germany and the Netherlands prove</w:t>
      </w:r>
    </w:p>
    <w:p w14:paraId="6C810729" w14:textId="164A34A4" w:rsidR="006828A7" w:rsidRPr="00661A68" w:rsidRDefault="00715677" w:rsidP="006828A7">
      <w:r w:rsidRPr="00661A68">
        <w:rPr>
          <w:rStyle w:val="Style13ptBold"/>
        </w:rPr>
        <w:t xml:space="preserve">Wasif </w:t>
      </w:r>
      <w:r w:rsidR="005F2AA3" w:rsidRPr="00661A68">
        <w:rPr>
          <w:rStyle w:val="Style13ptBold"/>
        </w:rPr>
        <w:t>19</w:t>
      </w:r>
      <w:r w:rsidR="005F2AA3" w:rsidRPr="00661A68">
        <w:t xml:space="preserve"> [Rachel, “</w:t>
      </w:r>
      <w:r w:rsidRPr="00661A68">
        <w:t>Reforming Expansive Crime Control &amp; Sentencing Legislation in an Era of Mass</w:t>
      </w:r>
      <w:r w:rsidR="005F2AA3" w:rsidRPr="00661A68">
        <w:t xml:space="preserve"> </w:t>
      </w:r>
      <w:r w:rsidRPr="00661A68">
        <w:t>Incarceration: a National and Cross-national Study</w:t>
      </w:r>
      <w:r w:rsidR="005F2AA3" w:rsidRPr="00661A68">
        <w:t>”</w:t>
      </w:r>
      <w:r w:rsidRPr="00661A68">
        <w:t>, 27 U. Miami Int’l &amp; Comp. L. Rev. 174 (2020)</w:t>
      </w:r>
      <w:r w:rsidR="005F2AA3" w:rsidRPr="00661A68">
        <w:t xml:space="preserve"> </w:t>
      </w:r>
      <w:r w:rsidRPr="00661A68">
        <w:t xml:space="preserve">Available at: </w:t>
      </w:r>
      <w:hyperlink r:id="rId35" w:history="1">
        <w:r w:rsidR="005F2AA3" w:rsidRPr="00661A68">
          <w:rPr>
            <w:rStyle w:val="Hyperlink"/>
          </w:rPr>
          <w:t>https://repository.law.miami.edu/umiclr/vol27/iss1/7</w:t>
        </w:r>
      </w:hyperlink>
      <w:r w:rsidR="005F2AA3" w:rsidRPr="00661A68">
        <w:t xml:space="preserve">; </w:t>
      </w:r>
      <w:r w:rsidR="00390661" w:rsidRPr="00661A68">
        <w:t>published fall 2019, accessed 6/10/20]</w:t>
      </w:r>
    </w:p>
    <w:p w14:paraId="5656DEC6" w14:textId="44BF5687" w:rsidR="00E04F13" w:rsidRPr="00661A68" w:rsidRDefault="00E04F13" w:rsidP="00E04F13">
      <w:r w:rsidRPr="00661A68">
        <w:t xml:space="preserve">The </w:t>
      </w:r>
      <w:r w:rsidRPr="00661A68">
        <w:rPr>
          <w:u w:val="single"/>
        </w:rPr>
        <w:t>jail-alternative sanctions</w:t>
      </w:r>
      <w:r w:rsidRPr="00661A68">
        <w:t xml:space="preserve"> which are widely used in Germany and the Netherlands </w:t>
      </w:r>
      <w:r w:rsidRPr="00661A68">
        <w:rPr>
          <w:u w:val="single"/>
        </w:rPr>
        <w:t>may achieve the reduction in mass incarceration that the United States desperately needs</w:t>
      </w:r>
      <w:r w:rsidRPr="00661A68">
        <w:t xml:space="preserve"> to see. Although it may be impossible to predict how reducing the use of jails and prisons as a first response to criminal convictions will affect the rate of crime in the United States, </w:t>
      </w:r>
      <w:r w:rsidRPr="00661A68">
        <w:rPr>
          <w:u w:val="single"/>
        </w:rPr>
        <w:t>we know the current system is not working and that other nations have utilized distinct models, under which they have not become more exposed to violent criminals and ballooning prison populations</w:t>
      </w:r>
      <w:r w:rsidRPr="00661A68">
        <w:t xml:space="preserve">. If the United States has a legitimate goal of rehabilitation for offenders, then </w:t>
      </w:r>
      <w:r w:rsidRPr="00661A68">
        <w:rPr>
          <w:u w:val="single"/>
        </w:rPr>
        <w:t>the incentive to hasten and lengthen the incarceration of a criminal defendant would not exist. Meaningful criminal justice reform necessarily involves substituting alternative sanctions for incarceration as a first-response to criminal convictions, eliminating mandatory minimums, reducing coercive plea bargaining, and transferring the power of discretion back to judges who can administer sentences, whether they include jail time or jail time alternatives, on an individualized basis with the goal of rehabilitating and reintroducing criminal defendants into society</w:t>
      </w:r>
      <w:r w:rsidRPr="00661A68">
        <w:t xml:space="preserve">. But without a shift in underlying philosophy of American criminal sanctions, simply reforming the sentencing laws to reduce incarceration rates is unlikely to go far in terms of achieving the goals of criminal law—maintaining public safety and stability of the community. The passage of First Step Act indicates that </w:t>
      </w:r>
      <w:r w:rsidRPr="00661A68">
        <w:rPr>
          <w:u w:val="single"/>
        </w:rPr>
        <w:t>there is strong support of reforming the American criminal justice system and reducing the use of prisons. The second step must therefore be an overhaul</w:t>
      </w:r>
      <w:r w:rsidRPr="00661A68">
        <w:t xml:space="preserve"> of ineffective philosophies behind our penal system </w:t>
      </w:r>
      <w:r w:rsidRPr="00661A68">
        <w:rPr>
          <w:u w:val="single"/>
        </w:rPr>
        <w:t>and the implementation of alternative sanctions</w:t>
      </w:r>
      <w:r w:rsidRPr="00661A68">
        <w:t xml:space="preserve"> which have proven </w:t>
      </w:r>
      <w:r w:rsidR="009E72B5" w:rsidRPr="00661A68">
        <w:t xml:space="preserve">effective at deterring crime and rehabilitating offenders in other industrialized nations. </w:t>
      </w:r>
    </w:p>
    <w:p w14:paraId="6ECCEB10" w14:textId="0D2099E0" w:rsidR="00EB6B33" w:rsidRPr="00661A68" w:rsidRDefault="00EB6B33" w:rsidP="00CB65BF">
      <w:pPr>
        <w:pStyle w:val="Heading3"/>
      </w:pPr>
      <w:r w:rsidRPr="00661A68">
        <w:t>2AC</w:t>
      </w:r>
      <w:r w:rsidR="00354DA4" w:rsidRPr="00661A68">
        <w:t xml:space="preserve"> Fed Key—Funding</w:t>
      </w:r>
    </w:p>
    <w:p w14:paraId="6AC4132A" w14:textId="2155EB18" w:rsidR="00354DA4" w:rsidRPr="00661A68" w:rsidRDefault="00354DA4" w:rsidP="00354DA4">
      <w:pPr>
        <w:pStyle w:val="Heading4"/>
      </w:pPr>
      <w:r w:rsidRPr="00661A68">
        <w:rPr>
          <w:u w:val="single"/>
        </w:rPr>
        <w:t>Federal grants</w:t>
      </w:r>
      <w:r w:rsidRPr="00661A68">
        <w:t xml:space="preserve"> signal </w:t>
      </w:r>
      <w:r w:rsidRPr="00661A68">
        <w:rPr>
          <w:u w:val="single"/>
        </w:rPr>
        <w:t>state usage</w:t>
      </w:r>
      <w:r w:rsidRPr="00661A68">
        <w:t xml:space="preserve"> – only the feds have the funds to</w:t>
      </w:r>
      <w:r w:rsidR="00E51DA8" w:rsidRPr="00661A68">
        <w:t xml:space="preserve"> ensure state compliance</w:t>
      </w:r>
    </w:p>
    <w:p w14:paraId="7603A3D8" w14:textId="3B2858A6" w:rsidR="005D675A" w:rsidRPr="00661A68" w:rsidRDefault="0073598A" w:rsidP="00E51DA8">
      <w:r w:rsidRPr="00661A68">
        <w:rPr>
          <w:rStyle w:val="Style13ptBold"/>
        </w:rPr>
        <w:t>Fortier and Chettiar 14</w:t>
      </w:r>
      <w:r w:rsidRPr="00661A68">
        <w:t xml:space="preserve"> [</w:t>
      </w:r>
      <w:r w:rsidR="00E0111B" w:rsidRPr="00661A68">
        <w:rPr>
          <w:sz w:val="16"/>
          <w:szCs w:val="16"/>
        </w:rPr>
        <w:t xml:space="preserve">Nicole, </w:t>
      </w:r>
      <w:r w:rsidR="00535020" w:rsidRPr="00661A68">
        <w:rPr>
          <w:sz w:val="16"/>
          <w:szCs w:val="16"/>
        </w:rPr>
        <w:t>counsel in the Justice Program at the Brennan Center for Justice. Previously, she was a legal intern and researcher for the Justice Program. Ms. Fortier holds a B.A from the University of Massachusetts Amherst and a J.D. from Fordham University School of Law, where she received the Archibald R. Murray Award for devotion to public service and represented criminal defendants at Lincoln Square Legal Services</w:t>
      </w:r>
      <w:r w:rsidR="005D675A" w:rsidRPr="00661A68">
        <w:rPr>
          <w:sz w:val="16"/>
          <w:szCs w:val="16"/>
        </w:rPr>
        <w:t xml:space="preserve">; </w:t>
      </w:r>
      <w:r w:rsidR="00535020" w:rsidRPr="00661A68">
        <w:rPr>
          <w:sz w:val="16"/>
          <w:szCs w:val="16"/>
        </w:rPr>
        <w:t>Inimai Chettiar is director of the Justice Program at the Brennan Center for Justice. She has expertise in and has published extensively on implementing legal reforms grounded in economics principles to reform the justice system</w:t>
      </w:r>
      <w:r w:rsidR="005D675A" w:rsidRPr="00661A68">
        <w:rPr>
          <w:sz w:val="16"/>
          <w:szCs w:val="16"/>
        </w:rPr>
        <w:t>; “SUCCESS-ORIENTED FUNDING: Reforming Federal Criminal Justice Grants”</w:t>
      </w:r>
      <w:r w:rsidR="00AE6708" w:rsidRPr="00661A68">
        <w:rPr>
          <w:sz w:val="16"/>
          <w:szCs w:val="16"/>
        </w:rPr>
        <w:t>; published 2014 for the Brennan</w:t>
      </w:r>
      <w:r w:rsidR="00025A62" w:rsidRPr="00661A68">
        <w:rPr>
          <w:sz w:val="16"/>
          <w:szCs w:val="16"/>
        </w:rPr>
        <w:t xml:space="preserve"> Justice Center</w:t>
      </w:r>
      <w:r w:rsidR="00AE6708" w:rsidRPr="00661A68">
        <w:rPr>
          <w:sz w:val="16"/>
          <w:szCs w:val="16"/>
        </w:rPr>
        <w:t>, accessed</w:t>
      </w:r>
      <w:r w:rsidR="00025A62" w:rsidRPr="00661A68">
        <w:rPr>
          <w:sz w:val="16"/>
          <w:szCs w:val="16"/>
        </w:rPr>
        <w:t xml:space="preserve"> 6/10/20; https://www.brennancenter.org/sites/default/files/2019-08/Report_SuccessOrientedFunding_ReformingFederalCriminalJusticeGrants.pdf</w:t>
      </w:r>
      <w:r w:rsidR="00025A62" w:rsidRPr="00661A68">
        <w:t>]</w:t>
      </w:r>
    </w:p>
    <w:p w14:paraId="72C9219C" w14:textId="4D8667EE" w:rsidR="00E51DA8" w:rsidRPr="00661A68" w:rsidRDefault="00E51DA8" w:rsidP="00E51DA8">
      <w:pPr>
        <w:rPr>
          <w:sz w:val="16"/>
        </w:rPr>
      </w:pPr>
      <w:r w:rsidRPr="00661A68">
        <w:rPr>
          <w:sz w:val="16"/>
        </w:rPr>
        <w:t xml:space="preserve">Today, </w:t>
      </w:r>
      <w:r w:rsidRPr="00661A68">
        <w:rPr>
          <w:u w:val="single"/>
        </w:rPr>
        <w:t>a complex web of federal crime-fighting grants funnels billions of dollars across the country each year. Many of these programs were created during the height of the War on Drugs. Their initial aim: to encourage states to increase arrests, prosecutions, and incarceration, all in the belief that harsher punishment would better control crime. In recent years, the War on Terror prompted augmenting these existing grants and creating new ones to enlist and equip local police.</w:t>
      </w:r>
      <w:r w:rsidR="00642397" w:rsidRPr="00661A68">
        <w:rPr>
          <w:sz w:val="16"/>
        </w:rPr>
        <w:t xml:space="preserve"> </w:t>
      </w:r>
      <w:r w:rsidRPr="00661A68">
        <w:rPr>
          <w:sz w:val="16"/>
        </w:rPr>
        <w:t>The Pentagon-to-police equipment transfer program was created in the early 1990s to help police fight drug gangs. The Homeland Security Grant Program gives over $1 billion to local police to purchase military equipment. All states receive a minimum amount regardless of how they spend the money.</w:t>
      </w:r>
      <w:r w:rsidR="00642397" w:rsidRPr="00661A68">
        <w:rPr>
          <w:sz w:val="16"/>
        </w:rPr>
        <w:t xml:space="preserve"> </w:t>
      </w:r>
      <w:r w:rsidRPr="00661A68">
        <w:rPr>
          <w:u w:val="single"/>
        </w:rPr>
        <w:t>Similarly the Byrne JAG program</w:t>
      </w:r>
      <w:r w:rsidRPr="00661A68">
        <w:rPr>
          <w:sz w:val="16"/>
        </w:rPr>
        <w:t xml:space="preserve">, widely expanded during the War on Drugs, </w:t>
      </w:r>
      <w:r w:rsidRPr="00661A68">
        <w:rPr>
          <w:u w:val="single"/>
        </w:rPr>
        <w:t>largely subsidizes equipment for local police</w:t>
      </w:r>
      <w:r w:rsidRPr="00661A68">
        <w:rPr>
          <w:sz w:val="16"/>
        </w:rPr>
        <w:t xml:space="preserve">. As the Brennan Center has documented in previous reports, </w:t>
      </w:r>
      <w:r w:rsidRPr="00661A68">
        <w:rPr>
          <w:u w:val="single"/>
        </w:rPr>
        <w:t>the program inadvertently creates incentives to increase arrests, prosecutions, and incarceration. For example, it evaluates recipients on the number of criminal cases opened, but not whether crime dropped</w:t>
      </w:r>
      <w:r w:rsidRPr="00661A68">
        <w:rPr>
          <w:sz w:val="16"/>
        </w:rPr>
        <w:t>. It asks them how many kilos of cocaine were seized, but not how many people were sent to drug treatment. It asks how many cases were prosecuted, but not how many petty offenders were diverted from prison.</w:t>
      </w:r>
      <w:r w:rsidR="00642397" w:rsidRPr="00661A68">
        <w:rPr>
          <w:sz w:val="16"/>
        </w:rPr>
        <w:t xml:space="preserve"> </w:t>
      </w:r>
      <w:r w:rsidRPr="00661A68">
        <w:rPr>
          <w:sz w:val="16"/>
        </w:rPr>
        <w:t xml:space="preserve">Strikingly, </w:t>
      </w:r>
      <w:r w:rsidRPr="00661A68">
        <w:rPr>
          <w:u w:val="single"/>
        </w:rPr>
        <w:t>these examples are just a few among many such initiatives</w:t>
      </w:r>
      <w:r w:rsidRPr="00661A68">
        <w:rPr>
          <w:sz w:val="16"/>
        </w:rPr>
        <w:t xml:space="preserve">. In 2013, the Department of Justice administered more than 150 of these programs. Hundreds of other federal programs administered by different agencies provide additional dollars while slipping the leash of accountability and clear direction. </w:t>
      </w:r>
      <w:r w:rsidRPr="00661A68">
        <w:rPr>
          <w:u w:val="single"/>
        </w:rPr>
        <w:t>Research by the Brennan Center indicates the federal government sends at least $3.8 billion in federal criminal justice grants across the country for crime fighting and other criminal justice purposes, not including the billions sent through national security programs run by the Departments of Defense and Homeland Security.</w:t>
      </w:r>
      <w:r w:rsidR="00642397" w:rsidRPr="00661A68">
        <w:rPr>
          <w:sz w:val="16"/>
        </w:rPr>
        <w:t xml:space="preserve"> </w:t>
      </w:r>
      <w:r w:rsidRPr="00661A68">
        <w:rPr>
          <w:u w:val="single"/>
        </w:rPr>
        <w:t>These dollars often flow on autopilot. Too frequently, they incentivize antiquated practices that we now know have little public safety value and massive human consequences. They have contributed to an explosion in arrests and imprisonments,</w:t>
      </w:r>
      <w:r w:rsidRPr="00661A68">
        <w:rPr>
          <w:sz w:val="16"/>
        </w:rPr>
        <w:t xml:space="preserve"> often without accompanying public safety benefits. The United States is now the largest incarcerator in the world. One in three Americans has a criminal record. And one in three black men can expect to spend time behind bars.</w:t>
      </w:r>
      <w:r w:rsidR="00642397" w:rsidRPr="00661A68">
        <w:rPr>
          <w:sz w:val="16"/>
        </w:rPr>
        <w:t xml:space="preserve"> </w:t>
      </w:r>
      <w:r w:rsidRPr="00661A68">
        <w:rPr>
          <w:u w:val="single"/>
        </w:rPr>
        <w:t>Fortunately, the process of reform in the Justice Department has begun. Over the past several years, DOJ has begun to recalibrate its grants, including revising evaluation measures for JAG and in 2014, removing a question on number of arrests.</w:t>
      </w:r>
      <w:r w:rsidRPr="00661A68">
        <w:rPr>
          <w:sz w:val="16"/>
        </w:rPr>
        <w:t xml:space="preserve"> Attorney General Eric Holder’s cutting-edge “Smart on Crime” Initiative has spurred other vital changes to federal criminal justice policies. The Department is well positioned to continue this momentum with deeper reform, casting a wider net. The Administration can also take action to reform all federal criminal justice grants spread across federal agencies.</w:t>
      </w:r>
      <w:r w:rsidR="00642397" w:rsidRPr="00661A68">
        <w:rPr>
          <w:sz w:val="16"/>
        </w:rPr>
        <w:t xml:space="preserve"> </w:t>
      </w:r>
      <w:r w:rsidRPr="00661A68">
        <w:rPr>
          <w:sz w:val="16"/>
        </w:rPr>
        <w:t xml:space="preserve">This is a moment for strong executive </w:t>
      </w:r>
      <w:r w:rsidRPr="00661A68">
        <w:rPr>
          <w:u w:val="single"/>
        </w:rPr>
        <w:t>leadership to reverse our outdated crime-control policies</w:t>
      </w:r>
      <w:r w:rsidRPr="00661A68">
        <w:rPr>
          <w:sz w:val="16"/>
        </w:rPr>
        <w:t xml:space="preserve">. The President should issue an executive order directing federal agencies to review all federal criminal justice grants under their purview. Where these grants encourage harmful practices or have unclear goals, the President </w:t>
      </w:r>
      <w:r w:rsidRPr="00661A68">
        <w:rPr>
          <w:u w:val="single"/>
        </w:rPr>
        <w:t>should direct federal agencies to recast them in a model called “Success-Oriented Funding.”</w:t>
      </w:r>
      <w:r w:rsidR="00642397" w:rsidRPr="00661A68">
        <w:rPr>
          <w:sz w:val="16"/>
        </w:rPr>
        <w:t xml:space="preserve"> </w:t>
      </w:r>
      <w:r w:rsidRPr="00661A68">
        <w:rPr>
          <w:sz w:val="16"/>
        </w:rPr>
        <w:t>Grounded in basic principles of economics and management, Success-Oriented Funding ties government dollars as closely as possible to clear outcomes and provides incentives to ensure those outcomes are achieved. Law enforcement grants, for example, should be tied to specific goals that reduce violence, ensure fair and appropriate justice, and keep communities safe – without encouraging unnecessary arrests or force. The question should be asked: When money is spent purchasing more bullets or more guns, is it going to further these goals? Or, is it missing the point?</w:t>
      </w:r>
      <w:r w:rsidR="00642397" w:rsidRPr="00661A68">
        <w:rPr>
          <w:sz w:val="16"/>
        </w:rPr>
        <w:t xml:space="preserve"> </w:t>
      </w:r>
      <w:r w:rsidRPr="00661A68">
        <w:rPr>
          <w:sz w:val="16"/>
        </w:rPr>
        <w:t xml:space="preserve">An act of Congress – which may never come – is not needed. The President has clear authority to reform these grants. </w:t>
      </w:r>
      <w:r w:rsidRPr="00661A68">
        <w:rPr>
          <w:u w:val="single"/>
        </w:rPr>
        <w:t>Federal agencies have discretion to implement this model into the grants they administer</w:t>
      </w:r>
      <w:r w:rsidRPr="00661A68">
        <w:rPr>
          <w:sz w:val="16"/>
        </w:rPr>
        <w:t xml:space="preserve">. In some cases, </w:t>
      </w:r>
      <w:r w:rsidRPr="00661A68">
        <w:rPr>
          <w:u w:val="single"/>
        </w:rPr>
        <w:t>they may not be able to outright condition funding on meeting specific targets, but they can “nudge” recipients by sending clear signals on how administering agencies want recipients to use the money</w:t>
      </w:r>
      <w:r w:rsidRPr="00661A68">
        <w:rPr>
          <w:sz w:val="16"/>
        </w:rPr>
        <w:t>.</w:t>
      </w:r>
    </w:p>
    <w:p w14:paraId="745A2549" w14:textId="477BADF2" w:rsidR="006559EE" w:rsidRPr="00661A68" w:rsidRDefault="006559EE" w:rsidP="00CB65BF">
      <w:pPr>
        <w:pStyle w:val="Heading3"/>
      </w:pPr>
      <w:r w:rsidRPr="00661A68">
        <w:t>2AC Fed Key</w:t>
      </w:r>
      <w:r w:rsidR="00ED248A" w:rsidRPr="00661A68">
        <w:t>—AT Localized government</w:t>
      </w:r>
    </w:p>
    <w:p w14:paraId="0145E4DB" w14:textId="50587FE7" w:rsidR="006559EE" w:rsidRPr="00661A68" w:rsidRDefault="00DA5CD2" w:rsidP="006559EE">
      <w:pPr>
        <w:keepNext/>
        <w:keepLines/>
        <w:spacing w:before="40" w:after="0"/>
        <w:outlineLvl w:val="3"/>
        <w:rPr>
          <w:rFonts w:eastAsia="SimSun" w:cs="Times New Roman"/>
          <w:b/>
          <w:iCs/>
          <w:sz w:val="26"/>
        </w:rPr>
      </w:pPr>
      <w:r w:rsidRPr="00661A68">
        <w:rPr>
          <w:rFonts w:eastAsia="SimSun" w:cs="Times New Roman"/>
          <w:b/>
          <w:iCs/>
          <w:sz w:val="26"/>
        </w:rPr>
        <w:t xml:space="preserve">Localized governments need </w:t>
      </w:r>
      <w:r w:rsidRPr="00661A68">
        <w:rPr>
          <w:rFonts w:eastAsia="SimSun" w:cs="Times New Roman"/>
          <w:b/>
          <w:iCs/>
          <w:sz w:val="26"/>
          <w:u w:val="single"/>
        </w:rPr>
        <w:t>consistent guidelines</w:t>
      </w:r>
      <w:r w:rsidRPr="00661A68">
        <w:rPr>
          <w:rFonts w:eastAsia="SimSun" w:cs="Times New Roman"/>
          <w:b/>
          <w:iCs/>
          <w:sz w:val="26"/>
        </w:rPr>
        <w:t xml:space="preserve"> to meet federal law </w:t>
      </w:r>
      <w:r w:rsidR="00AF24F3" w:rsidRPr="00661A68">
        <w:rPr>
          <w:rFonts w:eastAsia="SimSun" w:cs="Times New Roman"/>
          <w:b/>
          <w:iCs/>
          <w:sz w:val="26"/>
        </w:rPr>
        <w:t>–</w:t>
      </w:r>
      <w:r w:rsidRPr="00661A68">
        <w:rPr>
          <w:rFonts w:eastAsia="SimSun" w:cs="Times New Roman"/>
          <w:b/>
          <w:iCs/>
          <w:sz w:val="26"/>
        </w:rPr>
        <w:t xml:space="preserve"> </w:t>
      </w:r>
      <w:r w:rsidR="00AF24F3" w:rsidRPr="00661A68">
        <w:rPr>
          <w:rFonts w:eastAsia="SimSun" w:cs="Times New Roman"/>
          <w:b/>
          <w:iCs/>
          <w:sz w:val="26"/>
        </w:rPr>
        <w:t>housing and spatial control prove</w:t>
      </w:r>
    </w:p>
    <w:p w14:paraId="716948FF" w14:textId="77777777" w:rsidR="006559EE" w:rsidRPr="00661A68" w:rsidRDefault="006559EE" w:rsidP="006559EE">
      <w:pPr>
        <w:rPr>
          <w:rFonts w:eastAsia="Times New Roman" w:cs="Times New Roman"/>
          <w:sz w:val="16"/>
          <w:lang w:eastAsia="zh-CN"/>
        </w:rPr>
      </w:pPr>
      <w:r w:rsidRPr="00661A68">
        <w:rPr>
          <w:rFonts w:eastAsia="Calibri" w:cs="Times New Roman"/>
          <w:b/>
          <w:bCs/>
          <w:sz w:val="26"/>
        </w:rPr>
        <w:t xml:space="preserve">Boyack 17 (AJ, Prof. of law at Washburn University, Masters in law from Tufts, May 25 2017, “Limiting the Collective Right to Exclude,” </w:t>
      </w:r>
      <w:hyperlink r:id="rId36" w:history="1">
        <w:r w:rsidRPr="00661A68">
          <w:rPr>
            <w:rStyle w:val="Hyperlink"/>
            <w:rFonts w:eastAsia="Calibri" w:cs="Times New Roman"/>
            <w:sz w:val="26"/>
          </w:rPr>
          <w:t>https://papers.ssrn.com/sol3/papers.cfm?abstract_id=2973417)</w:t>
        </w:r>
      </w:hyperlink>
      <w:r w:rsidRPr="00661A68">
        <w:rPr>
          <w:rFonts w:eastAsia="Calibri" w:cs="Times New Roman"/>
          <w:b/>
          <w:bCs/>
          <w:sz w:val="26"/>
        </w:rPr>
        <w:t xml:space="preserve"> AL </w:t>
      </w:r>
      <w:r w:rsidRPr="00661A68">
        <w:rPr>
          <w:rFonts w:eastAsia="Calibri" w:cs="Times New Roman"/>
          <w:sz w:val="16"/>
        </w:rPr>
        <w:br/>
        <w:t>The federal government passed the Fair Housing Act in 1968, pursuant to which all Housing and Urban Development ("HUD") aid recipients were affirmatively required to "further fair housing."</w:t>
      </w:r>
      <w:r w:rsidRPr="00661A68">
        <w:rPr>
          <w:rFonts w:eastAsia="Times New Roman" w:cs="Times New Roman"/>
          <w:sz w:val="16"/>
          <w:lang w:eastAsia="zh-CN"/>
        </w:rPr>
        <w:t xml:space="preserve">15 1 The precise scope of this requirement has varied during the past fifty years, as has HUD's ability and inclination to take decisive strides toward improving housing equity. In 2015, the Supreme Court upheld the concept of disparate impact as a basis for a Fair Housing Act violation, and in the aftermath of this decision, 152 HUD finalized its current "Affirmatively Furthering Fair Housing" ("AFFH") Rule. The current AFFH Rule requires states and localities to specifically test the impact of housing decisions on housing integration aspirations. 153 In 2016, Congress showed an increased willingness to address affordable housing issues, and unanimously passed the Housing Opportunities Through Modernization Act ("HOTMA"), which was signed into law by President Obama in July 2016.154 Based on these developments, as of 2015 and 2016, the fair housing pendulum appeared to be swinging toward more active federal involvement, but current uncertainties about HUD's fair housing policies in the Trump administration have tempered the hopes that the Fair Housing Act would finally "get its groove back." </w:t>
      </w:r>
      <w:r w:rsidRPr="00661A68">
        <w:rPr>
          <w:rFonts w:eastAsia="Calibri" w:cs="Times New Roman"/>
          <w:u w:val="single"/>
        </w:rPr>
        <w:t>The federal government plays a key role in promoting housing affordability as well</w:t>
      </w:r>
      <w:r w:rsidRPr="00661A68">
        <w:rPr>
          <w:rFonts w:eastAsia="Calibri" w:cs="Times New Roman"/>
          <w:u w:val="single"/>
          <w:lang w:eastAsia="zh-CN"/>
        </w:rPr>
        <w:t>.</w:t>
      </w:r>
      <w:r w:rsidRPr="00661A68">
        <w:rPr>
          <w:rFonts w:eastAsia="Times New Roman" w:cs="Times New Roman"/>
          <w:sz w:val="16"/>
          <w:lang w:eastAsia="zh-CN"/>
        </w:rPr>
        <w:t xml:space="preserve"> HUD provides rental assistance in the form of vouchers, payable to landlords or to tenants, that attempt to bridge the gap between what lower-income renters can pay and what landlords legitimately expect to receive in rent.156 Other federal affordable housing programs, such as the low-income housing tax credit ("LIHTC") and various development grants, attempt to grow the supply of affordable housing.157 One problem with federal affordable housing efforts is that they historically have been concerned with quantity of housing rather than the location of affordable units. 158 Because housing funds have historically been allocated without affirmatively considering the optimum location for affordable housing, and because of the effectiveness of community exclusions described above, most affordable housing is located in highpoverty neighborhoods. 15 9 Another problem with federal affordable housing funding is that the aid provided is hugely insufficient to meet needs.160 Insufficient funding means that housing assistance ends up being allocated based either on political judgments regarding merit or even on sheer luck. 161 </w:t>
      </w:r>
      <w:r w:rsidRPr="00661A68">
        <w:rPr>
          <w:rFonts w:eastAsia="Calibri" w:cs="Times New Roman"/>
          <w:u w:val="single"/>
          <w:lang w:eastAsia="zh-CN"/>
        </w:rPr>
        <w:t>Even though the federal government sets the tone for policy and</w:t>
      </w:r>
      <w:r w:rsidRPr="00661A68">
        <w:rPr>
          <w:rFonts w:eastAsia="Calibri" w:cs="Times New Roman"/>
          <w:u w:val="single"/>
        </w:rPr>
        <w:t xml:space="preserve"> </w:t>
      </w:r>
      <w:r w:rsidRPr="00661A68">
        <w:rPr>
          <w:rFonts w:eastAsia="Calibri" w:cs="Times New Roman"/>
          <w:u w:val="single"/>
          <w:lang w:eastAsia="zh-CN"/>
        </w:rPr>
        <w:t xml:space="preserve">provides </w:t>
      </w:r>
      <w:r w:rsidRPr="00661A68">
        <w:rPr>
          <w:rFonts w:eastAsia="Times New Roman" w:cs="Times New Roman"/>
          <w:sz w:val="16"/>
          <w:lang w:eastAsia="zh-CN"/>
        </w:rPr>
        <w:t xml:space="preserve">much of the </w:t>
      </w:r>
      <w:r w:rsidRPr="00661A68">
        <w:rPr>
          <w:rFonts w:eastAsia="Calibri" w:cs="Times New Roman"/>
          <w:u w:val="single"/>
          <w:lang w:eastAsia="zh-CN"/>
        </w:rPr>
        <w:t>funding for fair and affordable housing efforts, local</w:t>
      </w:r>
      <w:r w:rsidRPr="00661A68">
        <w:rPr>
          <w:rFonts w:eastAsia="Calibri" w:cs="Times New Roman"/>
          <w:u w:val="single"/>
        </w:rPr>
        <w:t xml:space="preserve"> </w:t>
      </w:r>
      <w:r w:rsidRPr="00661A68">
        <w:rPr>
          <w:rFonts w:eastAsia="Calibri" w:cs="Times New Roman"/>
          <w:u w:val="single"/>
          <w:lang w:eastAsia="zh-CN"/>
        </w:rPr>
        <w:t>governments continue to control almost all of the nation's land-use</w:t>
      </w:r>
      <w:r w:rsidRPr="00661A68">
        <w:rPr>
          <w:rFonts w:eastAsia="Calibri" w:cs="Times New Roman"/>
          <w:u w:val="single"/>
        </w:rPr>
        <w:t xml:space="preserve"> </w:t>
      </w:r>
      <w:r w:rsidRPr="00661A68">
        <w:rPr>
          <w:rFonts w:eastAsia="Calibri" w:cs="Times New Roman"/>
          <w:u w:val="single"/>
          <w:lang w:eastAsia="zh-CN"/>
        </w:rPr>
        <w:t>decisions.</w:t>
      </w:r>
      <w:r w:rsidRPr="00661A68">
        <w:rPr>
          <w:rFonts w:eastAsia="Times New Roman" w:cs="Times New Roman"/>
          <w:sz w:val="16"/>
          <w:lang w:eastAsia="zh-CN"/>
        </w:rPr>
        <w:t xml:space="preserve"> In this role, </w:t>
      </w:r>
      <w:r w:rsidRPr="00661A68">
        <w:rPr>
          <w:rFonts w:eastAsia="Calibri" w:cs="Times New Roman"/>
          <w:u w:val="single"/>
          <w:lang w:eastAsia="zh-CN"/>
        </w:rPr>
        <w:t>local governments regulate the placement,</w:t>
      </w:r>
      <w:r w:rsidRPr="00661A68">
        <w:rPr>
          <w:rFonts w:eastAsia="Calibri" w:cs="Times New Roman"/>
          <w:u w:val="single"/>
        </w:rPr>
        <w:t xml:space="preserve"> </w:t>
      </w:r>
      <w:r w:rsidRPr="00661A68">
        <w:rPr>
          <w:rFonts w:eastAsia="Calibri" w:cs="Times New Roman"/>
          <w:u w:val="single"/>
          <w:lang w:eastAsia="zh-CN"/>
        </w:rPr>
        <w:t>allocation, and approach to housing production and neighborhood</w:t>
      </w:r>
      <w:r w:rsidRPr="00661A68">
        <w:rPr>
          <w:rFonts w:eastAsia="Calibri" w:cs="Times New Roman"/>
          <w:u w:val="single"/>
        </w:rPr>
        <w:t xml:space="preserve"> </w:t>
      </w:r>
      <w:r w:rsidRPr="00661A68">
        <w:rPr>
          <w:rFonts w:eastAsia="Calibri" w:cs="Times New Roman"/>
          <w:u w:val="single"/>
          <w:lang w:eastAsia="zh-CN"/>
        </w:rPr>
        <w:t>design</w:t>
      </w:r>
      <w:r w:rsidRPr="00661A68">
        <w:rPr>
          <w:rFonts w:eastAsia="Times New Roman" w:cs="Times New Roman"/>
          <w:sz w:val="16"/>
          <w:lang w:eastAsia="zh-CN"/>
        </w:rPr>
        <w:t xml:space="preserve">. 162 Although local governments purport to promote affordable housing production and housing integration, almost </w:t>
      </w:r>
      <w:r w:rsidRPr="00661A68">
        <w:rPr>
          <w:rFonts w:eastAsia="Calibri" w:cs="Times New Roman"/>
          <w:u w:val="single"/>
          <w:lang w:eastAsia="zh-CN"/>
        </w:rPr>
        <w:t>fifty years of local</w:t>
      </w:r>
      <w:r w:rsidRPr="00661A68">
        <w:rPr>
          <w:rFonts w:eastAsia="Calibri" w:cs="Times New Roman"/>
          <w:u w:val="single"/>
        </w:rPr>
        <w:t xml:space="preserve"> </w:t>
      </w:r>
      <w:r w:rsidRPr="00661A68">
        <w:rPr>
          <w:rFonts w:eastAsia="Calibri" w:cs="Times New Roman"/>
          <w:u w:val="single"/>
          <w:lang w:eastAsia="zh-CN"/>
        </w:rPr>
        <w:t>government action under the Fair Housing Act has failed to alleviate</w:t>
      </w:r>
      <w:r w:rsidRPr="00661A68">
        <w:rPr>
          <w:rFonts w:eastAsia="Calibri" w:cs="Times New Roman"/>
          <w:u w:val="single"/>
        </w:rPr>
        <w:t xml:space="preserve"> </w:t>
      </w:r>
      <w:r w:rsidRPr="00661A68">
        <w:rPr>
          <w:rFonts w:eastAsia="Calibri" w:cs="Times New Roman"/>
          <w:u w:val="single"/>
          <w:lang w:eastAsia="zh-CN"/>
        </w:rPr>
        <w:t>housing inequities and unaffordability</w:t>
      </w:r>
      <w:r w:rsidRPr="00661A68">
        <w:rPr>
          <w:rFonts w:eastAsia="Times New Roman" w:cs="Times New Roman"/>
          <w:sz w:val="16"/>
          <w:lang w:eastAsia="zh-CN"/>
        </w:rPr>
        <w:t xml:space="preserve">. 163 It seems as though </w:t>
      </w:r>
      <w:r w:rsidRPr="00661A68">
        <w:rPr>
          <w:rFonts w:eastAsia="Calibri" w:cs="Times New Roman"/>
          <w:b/>
          <w:iCs/>
          <w:u w:val="single"/>
          <w:lang w:eastAsia="zh-CN"/>
        </w:rPr>
        <w:t>unconstrained</w:t>
      </w:r>
      <w:r w:rsidRPr="00661A68">
        <w:rPr>
          <w:rFonts w:eastAsia="Calibri" w:cs="Times New Roman"/>
          <w:b/>
          <w:iCs/>
          <w:u w:val="single"/>
        </w:rPr>
        <w:t xml:space="preserve"> </w:t>
      </w:r>
      <w:r w:rsidRPr="00661A68">
        <w:rPr>
          <w:rFonts w:eastAsia="Calibri" w:cs="Times New Roman"/>
          <w:b/>
          <w:iCs/>
          <w:u w:val="single"/>
          <w:lang w:eastAsia="zh-CN"/>
        </w:rPr>
        <w:t>majority-rule local government control of land use in our pluralistic society</w:t>
      </w:r>
      <w:r w:rsidRPr="00661A68">
        <w:rPr>
          <w:rFonts w:eastAsia="Calibri" w:cs="Times New Roman"/>
          <w:b/>
          <w:iCs/>
          <w:u w:val="single"/>
        </w:rPr>
        <w:t xml:space="preserve"> </w:t>
      </w:r>
      <w:r w:rsidRPr="00661A68">
        <w:rPr>
          <w:rFonts w:eastAsia="Calibri" w:cs="Times New Roman"/>
          <w:b/>
          <w:iCs/>
          <w:u w:val="single"/>
          <w:lang w:eastAsia="zh-CN"/>
        </w:rPr>
        <w:t>inhibits a sustainable housing system from developing naturally</w:t>
      </w:r>
      <w:r w:rsidRPr="00661A68">
        <w:rPr>
          <w:rFonts w:eastAsia="Times New Roman" w:cs="Times New Roman"/>
          <w:sz w:val="16"/>
          <w:lang w:eastAsia="zh-CN"/>
        </w:rPr>
        <w:t xml:space="preserve"> (legislatively). </w:t>
      </w:r>
      <w:r w:rsidRPr="00661A68">
        <w:rPr>
          <w:rFonts w:eastAsia="Calibri" w:cs="Times New Roman"/>
          <w:u w:val="single"/>
          <w:lang w:eastAsia="zh-CN"/>
        </w:rPr>
        <w:t>Even if local governments accurately do express the desires</w:t>
      </w:r>
      <w:r w:rsidRPr="00661A68">
        <w:rPr>
          <w:rFonts w:eastAsia="Calibri" w:cs="Times New Roman"/>
          <w:u w:val="single"/>
        </w:rPr>
        <w:t xml:space="preserve"> </w:t>
      </w:r>
      <w:r w:rsidRPr="00661A68">
        <w:rPr>
          <w:rFonts w:eastAsia="Calibri" w:cs="Times New Roman"/>
          <w:u w:val="single"/>
          <w:lang w:eastAsia="zh-CN"/>
        </w:rPr>
        <w:t>of their constituents, homeowners typically vote their pocketbook over</w:t>
      </w:r>
      <w:r w:rsidRPr="00661A68">
        <w:rPr>
          <w:rFonts w:eastAsia="Calibri" w:cs="Times New Roman"/>
          <w:u w:val="single"/>
        </w:rPr>
        <w:t xml:space="preserve"> </w:t>
      </w:r>
      <w:r w:rsidRPr="00661A68">
        <w:rPr>
          <w:rFonts w:eastAsia="Calibri" w:cs="Times New Roman"/>
          <w:u w:val="single"/>
          <w:lang w:eastAsia="zh-CN"/>
        </w:rPr>
        <w:t>what may be in society's best interests for the production and placement of</w:t>
      </w:r>
      <w:r w:rsidRPr="00661A68">
        <w:rPr>
          <w:rFonts w:eastAsia="Calibri" w:cs="Times New Roman"/>
          <w:u w:val="single"/>
        </w:rPr>
        <w:t xml:space="preserve"> </w:t>
      </w:r>
      <w:r w:rsidRPr="00661A68">
        <w:rPr>
          <w:rFonts w:eastAsia="Calibri" w:cs="Times New Roman"/>
          <w:u w:val="single"/>
          <w:lang w:eastAsia="zh-CN"/>
        </w:rPr>
        <w:t>affordable housing</w:t>
      </w:r>
      <w:r w:rsidRPr="00661A68">
        <w:rPr>
          <w:rFonts w:eastAsia="Times New Roman" w:cs="Times New Roman"/>
          <w:sz w:val="16"/>
          <w:lang w:eastAsia="zh-CN"/>
        </w:rPr>
        <w:t xml:space="preserve">. A collective right to exclude through zoning and restrictive covenants essentially creates a legally enforced monopoly on housing affordability. Homeowners can avoid the collective action problem that would undermine un-coordinated efforts to fix the prices of housing by limiting supply and excluding certain types of residences and residents because they can act as collectively. 164 </w:t>
      </w:r>
      <w:r w:rsidRPr="00661A68">
        <w:rPr>
          <w:rFonts w:eastAsia="Calibri" w:cs="Times New Roman"/>
          <w:u w:val="single"/>
          <w:lang w:eastAsia="zh-CN"/>
        </w:rPr>
        <w:t>Our land use decisions are</w:t>
      </w:r>
      <w:r w:rsidRPr="00661A68">
        <w:rPr>
          <w:rFonts w:eastAsia="Calibri" w:cs="Times New Roman"/>
          <w:u w:val="single"/>
        </w:rPr>
        <w:t xml:space="preserve"> </w:t>
      </w:r>
      <w:r w:rsidRPr="00661A68">
        <w:rPr>
          <w:rFonts w:eastAsia="Calibri" w:cs="Times New Roman"/>
          <w:u w:val="single"/>
          <w:lang w:eastAsia="zh-CN"/>
        </w:rPr>
        <w:t>made by community groups who collectivel</w:t>
      </w:r>
      <w:r w:rsidRPr="00661A68">
        <w:rPr>
          <w:rFonts w:eastAsia="Calibri" w:cs="Times New Roman"/>
          <w:u w:val="single"/>
        </w:rPr>
        <w:t>y prioritize their insular self i</w:t>
      </w:r>
      <w:r w:rsidRPr="00661A68">
        <w:rPr>
          <w:rFonts w:eastAsia="Calibri" w:cs="Times New Roman"/>
          <w:u w:val="single"/>
          <w:lang w:eastAsia="zh-CN"/>
        </w:rPr>
        <w:t>nterest</w:t>
      </w:r>
      <w:r w:rsidRPr="00661A68">
        <w:rPr>
          <w:rFonts w:eastAsia="Calibri" w:cs="Times New Roman"/>
          <w:u w:val="single"/>
        </w:rPr>
        <w:t xml:space="preserve"> </w:t>
      </w:r>
      <w:r w:rsidRPr="00661A68">
        <w:rPr>
          <w:rFonts w:eastAsia="Calibri" w:cs="Times New Roman"/>
          <w:u w:val="single"/>
          <w:lang w:eastAsia="zh-CN"/>
        </w:rPr>
        <w:t>over broader state or national concerns</w:t>
      </w:r>
      <w:r w:rsidRPr="00661A68">
        <w:rPr>
          <w:rFonts w:eastAsia="Times New Roman" w:cs="Times New Roman"/>
          <w:sz w:val="16"/>
          <w:lang w:eastAsia="zh-CN"/>
        </w:rPr>
        <w:t xml:space="preserve">. 165 For decades, scholars have recognized that a political solution to housing integration and affordability is unlikely. In the 1990s, Professor Frug postulated that </w:t>
      </w:r>
      <w:r w:rsidRPr="00661A68">
        <w:rPr>
          <w:rFonts w:eastAsia="Calibri" w:cs="Times New Roman"/>
          <w:u w:val="single"/>
          <w:lang w:eastAsia="zh-CN"/>
        </w:rPr>
        <w:t>"[o]nly a central government seems capable of bringing</w:t>
      </w:r>
      <w:r w:rsidRPr="00661A68">
        <w:rPr>
          <w:rFonts w:eastAsia="Calibri" w:cs="Times New Roman"/>
          <w:u w:val="single"/>
        </w:rPr>
        <w:t xml:space="preserve"> </w:t>
      </w:r>
      <w:r w:rsidRPr="00661A68">
        <w:rPr>
          <w:rFonts w:eastAsia="Calibri" w:cs="Times New Roman"/>
          <w:u w:val="single"/>
          <w:lang w:eastAsia="zh-CN"/>
        </w:rPr>
        <w:t>together the disparate groups that have grown so remote from each</w:t>
      </w:r>
      <w:r w:rsidRPr="00661A68">
        <w:rPr>
          <w:rFonts w:eastAsia="Calibri" w:cs="Times New Roman"/>
          <w:u w:val="single"/>
        </w:rPr>
        <w:t xml:space="preserve"> </w:t>
      </w:r>
      <w:r w:rsidRPr="00661A68">
        <w:rPr>
          <w:rFonts w:eastAsia="Calibri" w:cs="Times New Roman"/>
          <w:u w:val="single"/>
          <w:lang w:eastAsia="zh-CN"/>
        </w:rPr>
        <w:t>other.</w:t>
      </w:r>
      <w:r w:rsidRPr="00661A68">
        <w:rPr>
          <w:rFonts w:eastAsia="Times New Roman" w:cs="Times New Roman"/>
          <w:sz w:val="16"/>
          <w:lang w:eastAsia="zh-CN"/>
        </w:rPr>
        <w:t>" 16 6 In his current article on the intractability of affordable housing, Professor Eagle agrees that</w:t>
      </w:r>
      <w:r w:rsidRPr="00661A68">
        <w:rPr>
          <w:rFonts w:eastAsia="Calibri" w:cs="Times New Roman"/>
          <w:b/>
          <w:iCs/>
          <w:u w:val="single"/>
          <w:lang w:eastAsia="zh-CN"/>
        </w:rPr>
        <w:t xml:space="preserve"> local governmental solutions are unrealistic</w:t>
      </w:r>
      <w:r w:rsidRPr="00661A68">
        <w:rPr>
          <w:rFonts w:eastAsia="Times New Roman" w:cs="Times New Roman"/>
          <w:sz w:val="16"/>
          <w:lang w:eastAsia="zh-CN"/>
        </w:rPr>
        <w:t>. 167 Both Frug and Eagle admit, however, that a federal solution to local</w:t>
      </w:r>
      <w:r w:rsidRPr="00661A68">
        <w:rPr>
          <w:rFonts w:eastAsia="Calibri" w:cs="Times New Roman"/>
          <w:sz w:val="16"/>
        </w:rPr>
        <w:t xml:space="preserve"> </w:t>
      </w:r>
      <w:r w:rsidRPr="00661A68">
        <w:rPr>
          <w:rFonts w:eastAsia="Times New Roman" w:cs="Times New Roman"/>
          <w:sz w:val="16"/>
          <w:lang w:eastAsia="zh-CN"/>
        </w:rPr>
        <w:t>exclusionary policies is likewise improbable. 168 Congress has shown no desire to rein in state or municipal zoning powers, nor has it indicated any discomfort with the broad exclusionary authority exercised by common interest community governments. To date, courts have typically deferred to public and private local group decisions with respect to land use.</w:t>
      </w:r>
    </w:p>
    <w:p w14:paraId="4953BE1F" w14:textId="77777777" w:rsidR="006559EE" w:rsidRPr="00661A68" w:rsidRDefault="006559EE" w:rsidP="006559EE"/>
    <w:p w14:paraId="0EF93615" w14:textId="56D63FCB" w:rsidR="00B22545" w:rsidRPr="00661A68" w:rsidRDefault="00DF544F" w:rsidP="00CB65BF">
      <w:pPr>
        <w:pStyle w:val="Heading3"/>
      </w:pPr>
      <w:r w:rsidRPr="00661A68">
        <w:t>Doesn’t solve—AT</w:t>
      </w:r>
      <w:r w:rsidR="001272B1" w:rsidRPr="00661A68">
        <w:t xml:space="preserve">: </w:t>
      </w:r>
      <w:r w:rsidRPr="00661A68">
        <w:t>California</w:t>
      </w:r>
      <w:r w:rsidR="001272B1" w:rsidRPr="00661A68">
        <w:t>/Empirical example of circumvention</w:t>
      </w:r>
    </w:p>
    <w:p w14:paraId="6D672E8F" w14:textId="3180CB3E" w:rsidR="00DF544F" w:rsidRPr="00661A68" w:rsidRDefault="00DF544F" w:rsidP="00DF544F">
      <w:pPr>
        <w:pStyle w:val="Heading4"/>
        <w:rPr>
          <w:u w:val="single"/>
        </w:rPr>
      </w:pPr>
      <w:r w:rsidRPr="00661A68">
        <w:t xml:space="preserve">California’s reforms are </w:t>
      </w:r>
      <w:r w:rsidR="008D5B34" w:rsidRPr="00661A68">
        <w:rPr>
          <w:u w:val="single"/>
        </w:rPr>
        <w:t xml:space="preserve">largely useless </w:t>
      </w:r>
      <w:r w:rsidR="008D5B34" w:rsidRPr="00661A68">
        <w:t xml:space="preserve">and </w:t>
      </w:r>
      <w:r w:rsidR="008D5B34" w:rsidRPr="00661A68">
        <w:rPr>
          <w:u w:val="single"/>
        </w:rPr>
        <w:t>ultimately harmful</w:t>
      </w:r>
    </w:p>
    <w:p w14:paraId="783FBCEE" w14:textId="13D1909B" w:rsidR="001446A6" w:rsidRPr="00661A68" w:rsidRDefault="002521F6" w:rsidP="001446A6">
      <w:pPr>
        <w:rPr>
          <w:b/>
          <w:bCs/>
        </w:rPr>
      </w:pPr>
      <w:r w:rsidRPr="00661A68">
        <w:rPr>
          <w:rStyle w:val="Style13ptBold"/>
        </w:rPr>
        <w:t xml:space="preserve">Pohl and </w:t>
      </w:r>
      <w:r w:rsidR="00A15982" w:rsidRPr="00661A68">
        <w:rPr>
          <w:rStyle w:val="Style13ptBold"/>
        </w:rPr>
        <w:t>Gabrielson</w:t>
      </w:r>
      <w:r w:rsidR="00DF544F" w:rsidRPr="00661A68">
        <w:rPr>
          <w:rStyle w:val="Style13ptBold"/>
        </w:rPr>
        <w:t xml:space="preserve"> 19</w:t>
      </w:r>
      <w:r w:rsidR="00DF544F" w:rsidRPr="00661A68">
        <w:t xml:space="preserve"> [</w:t>
      </w:r>
      <w:r w:rsidR="00A15982" w:rsidRPr="00661A68">
        <w:t>Jason, reporting for the Sacramento Bee, and Ryan, ProPublica journalist (Propublica</w:t>
      </w:r>
      <w:r w:rsidR="008D5B34" w:rsidRPr="00661A68">
        <w:t xml:space="preserve"> is a Pulitzer Prize-winning investigative newsroom</w:t>
      </w:r>
      <w:r w:rsidR="006B2192" w:rsidRPr="00661A68">
        <w:t xml:space="preserve">), posted on TruthDig, </w:t>
      </w:r>
      <w:r w:rsidR="001446A6" w:rsidRPr="00661A68">
        <w:t xml:space="preserve">“California's Failed Prison Reform Is Killing Inmates”; published 4/29/19, accessed </w:t>
      </w:r>
      <w:r w:rsidR="00F04DCE" w:rsidRPr="00661A68">
        <w:t xml:space="preserve">6/1/20; </w:t>
      </w:r>
      <w:hyperlink r:id="rId37" w:history="1">
        <w:r w:rsidR="00271CDB" w:rsidRPr="00661A68">
          <w:rPr>
            <w:rStyle w:val="Hyperlink"/>
          </w:rPr>
          <w:t>https://www.truthdig.com/articles/californias-failed-prison-reform-is-killing-inmates/</w:t>
        </w:r>
      </w:hyperlink>
      <w:r w:rsidR="00F04DCE" w:rsidRPr="00661A68">
        <w:t>]</w:t>
      </w:r>
      <w:r w:rsidR="00271CDB" w:rsidRPr="00661A68">
        <w:t xml:space="preserve"> **</w:t>
      </w:r>
      <w:r w:rsidR="00271CDB" w:rsidRPr="00661A68">
        <w:rPr>
          <w:b/>
          <w:bCs/>
        </w:rPr>
        <w:t>TW: accounts of personal and interpersonal violence in prison</w:t>
      </w:r>
    </w:p>
    <w:p w14:paraId="69A55037" w14:textId="36EDA064" w:rsidR="00DA0395" w:rsidRPr="00661A68" w:rsidRDefault="00DA0395" w:rsidP="001446A6">
      <w:r w:rsidRPr="00661A68">
        <w:t>-</w:t>
      </w:r>
      <w:r w:rsidR="008A7628" w:rsidRPr="00661A68">
        <w:t>unaligned goals between the county and states</w:t>
      </w:r>
    </w:p>
    <w:p w14:paraId="25DE8380" w14:textId="4B1AAF30" w:rsidR="00DA0395" w:rsidRPr="00661A68" w:rsidRDefault="00DA0395" w:rsidP="001446A6">
      <w:r w:rsidRPr="00661A68">
        <w:t>-</w:t>
      </w:r>
      <w:r w:rsidR="008A7628" w:rsidRPr="00661A68">
        <w:t>lack of mental health, substance abuse, and trauma therapy</w:t>
      </w:r>
    </w:p>
    <w:p w14:paraId="59BF9030" w14:textId="7E6A5F10" w:rsidR="001272B1" w:rsidRPr="00661A68" w:rsidRDefault="001272B1" w:rsidP="001446A6">
      <w:r w:rsidRPr="00661A68">
        <w:t>-the state CIRCUMVENTED A SUPREME COURT RULING</w:t>
      </w:r>
    </w:p>
    <w:p w14:paraId="5160D60A" w14:textId="5EAC1D00" w:rsidR="00DF544F" w:rsidRPr="00661A68" w:rsidRDefault="00DF544F" w:rsidP="00DF544F">
      <w:pPr>
        <w:rPr>
          <w:sz w:val="16"/>
        </w:rPr>
      </w:pPr>
      <w:r w:rsidRPr="00661A68">
        <w:rPr>
          <w:sz w:val="16"/>
        </w:rPr>
        <w:t>FRESNO, Calif. — On the night of Jan. 17, 2018, Lorenzo Herrera walked into the Fresno County Jail booking area and sat down for an interview. Yes, he had a gang history, an officer wrote on his intake form. But Herrera, 19, said he did not expect problems with others inside the gang pod he’d soon call home.</w:t>
      </w:r>
      <w:r w:rsidR="00B01EBB" w:rsidRPr="00661A68">
        <w:rPr>
          <w:sz w:val="16"/>
        </w:rPr>
        <w:t xml:space="preserve"> </w:t>
      </w:r>
      <w:r w:rsidRPr="00661A68">
        <w:rPr>
          <w:sz w:val="16"/>
        </w:rPr>
        <w:t>His parents had encouraged him to barter for books and newspapers — anything he could to preoccupy himself until his trial on burglary and assault charges. His father, Carlos Herrera, offered advice: “Just be careful, and only trust yourself.”</w:t>
      </w:r>
      <w:r w:rsidR="00B01EBB" w:rsidRPr="00661A68">
        <w:rPr>
          <w:sz w:val="16"/>
        </w:rPr>
        <w:t xml:space="preserve"> </w:t>
      </w:r>
      <w:r w:rsidRPr="00661A68">
        <w:rPr>
          <w:sz w:val="16"/>
        </w:rPr>
        <w:t>Herrera survived the violent chaos of the Fresno County Jail for 66 days, including living through a brawl that left another inmate unconscious. Then, on an afternoon in March, jail officers found him strangled.</w:t>
      </w:r>
      <w:r w:rsidR="00B01EBB" w:rsidRPr="00661A68">
        <w:rPr>
          <w:sz w:val="16"/>
        </w:rPr>
        <w:t xml:space="preserve"> </w:t>
      </w:r>
      <w:r w:rsidRPr="00661A68">
        <w:rPr>
          <w:sz w:val="16"/>
        </w:rPr>
        <w:t>Herrera didn’t get a trial or a plea deal. He got a death sentence, his parents say. And even now, no one at the jail seems to know what happened.</w:t>
      </w:r>
      <w:r w:rsidR="00B01EBB" w:rsidRPr="00661A68">
        <w:rPr>
          <w:sz w:val="16"/>
        </w:rPr>
        <w:t xml:space="preserve"> </w:t>
      </w:r>
      <w:r w:rsidRPr="00661A68">
        <w:rPr>
          <w:sz w:val="16"/>
        </w:rPr>
        <w:t>The evening before Herrera entered the jail, Ernest Brock, 20, was also arrested and booked pending trial. Officers put him in a cell with a psychotic inmate accused of rape who had refused to take medication and was beating his head against the walls. Brock made it three days inside before the cellmate choked him into a coma.</w:t>
      </w:r>
      <w:r w:rsidR="00B01EBB" w:rsidRPr="00661A68">
        <w:rPr>
          <w:sz w:val="16"/>
        </w:rPr>
        <w:t xml:space="preserve"> </w:t>
      </w:r>
      <w:r w:rsidRPr="00661A68">
        <w:rPr>
          <w:sz w:val="16"/>
        </w:rPr>
        <w:t>Yet a third inmate arrived soon after Brock, booked for a five-year-old probation violation. Andre Erkins, 30, writhed in pain for hours before dying of previously undetected cardiac disease. The jail staff failed to notice his worsening health until it was too late.</w:t>
      </w:r>
      <w:r w:rsidR="00B01EBB" w:rsidRPr="00661A68">
        <w:rPr>
          <w:sz w:val="16"/>
        </w:rPr>
        <w:t xml:space="preserve"> </w:t>
      </w:r>
      <w:r w:rsidRPr="00661A68">
        <w:rPr>
          <w:u w:val="single"/>
        </w:rPr>
        <w:t>Three bookings within 48 hours. Three young men jailed for different reasons. Three people who walked into the overcrowded Fresno County Jail and left on gurneys, dead or barely alive</w:t>
      </w:r>
      <w:r w:rsidRPr="00661A68">
        <w:rPr>
          <w:sz w:val="16"/>
        </w:rPr>
        <w:t>.</w:t>
      </w:r>
      <w:r w:rsidR="00B01EBB" w:rsidRPr="00661A68">
        <w:rPr>
          <w:sz w:val="16"/>
        </w:rPr>
        <w:t xml:space="preserve"> </w:t>
      </w:r>
      <w:r w:rsidRPr="00661A68">
        <w:rPr>
          <w:u w:val="single"/>
        </w:rPr>
        <w:t>The fates of Herrera, Brock and Erkins set the stage for the deadliest year in at least two decades at the jail, a sprawling complex of jam-packed cells, filled with inmates working their way through a clogged criminal justice system</w:t>
      </w:r>
      <w:r w:rsidRPr="00661A68">
        <w:rPr>
          <w:sz w:val="16"/>
        </w:rPr>
        <w:t>.</w:t>
      </w:r>
      <w:r w:rsidR="00B01EBB" w:rsidRPr="00661A68">
        <w:rPr>
          <w:sz w:val="16"/>
        </w:rPr>
        <w:t xml:space="preserve"> </w:t>
      </w:r>
      <w:r w:rsidRPr="00661A68">
        <w:rPr>
          <w:sz w:val="16"/>
        </w:rPr>
        <w:t>Eleven inmates died last year from drug and alcohol withdrawal, suicide, medical complications and murder. Thirteen other people were beaten and hospitalized for multiple days.</w:t>
      </w:r>
      <w:r w:rsidR="00B01EBB" w:rsidRPr="00661A68">
        <w:rPr>
          <w:sz w:val="16"/>
        </w:rPr>
        <w:t xml:space="preserve"> </w:t>
      </w:r>
      <w:r w:rsidRPr="00661A68">
        <w:rPr>
          <w:sz w:val="16"/>
        </w:rPr>
        <w:t xml:space="preserve">The </w:t>
      </w:r>
      <w:r w:rsidRPr="00661A68">
        <w:rPr>
          <w:u w:val="single"/>
        </w:rPr>
        <w:t>increase in violence and death in Fresno started soon after the state was ordered in 2011 by the U.S. Supreme Court to reduce its prison population. That’s when California officials approved sweeping reforms called “realignment,” shifting responsibility for thousands of offenders from state prisons to county jails</w:t>
      </w:r>
      <w:r w:rsidRPr="00661A68">
        <w:rPr>
          <w:sz w:val="16"/>
        </w:rPr>
        <w:t>.</w:t>
      </w:r>
      <w:r w:rsidR="00B01EBB" w:rsidRPr="00661A68">
        <w:rPr>
          <w:sz w:val="16"/>
        </w:rPr>
        <w:t xml:space="preserve"> </w:t>
      </w:r>
      <w:r w:rsidRPr="00661A68">
        <w:rPr>
          <w:u w:val="single"/>
        </w:rPr>
        <w:t>While decreasing the overload in state prisons, the results</w:t>
      </w:r>
      <w:r w:rsidRPr="00661A68">
        <w:rPr>
          <w:sz w:val="16"/>
        </w:rPr>
        <w:t xml:space="preserve"> in many county jails </w:t>
      </w:r>
      <w:r w:rsidRPr="00661A68">
        <w:rPr>
          <w:u w:val="single"/>
        </w:rPr>
        <w:t>have been deadly</w:t>
      </w:r>
      <w:r w:rsidRPr="00661A68">
        <w:rPr>
          <w:sz w:val="16"/>
        </w:rPr>
        <w:t>. An investigation by McClatchy and ProPublica has found that many county jails have struggled to handle the influx of violent and mentally ill inmates incarcerated for longer sentences than ever before. As a result, inmates are dying in markedly higher numbers.</w:t>
      </w:r>
      <w:r w:rsidR="00B01EBB" w:rsidRPr="00661A68">
        <w:rPr>
          <w:sz w:val="16"/>
        </w:rPr>
        <w:t xml:space="preserve"> </w:t>
      </w:r>
      <w:r w:rsidRPr="00661A68">
        <w:rPr>
          <w:sz w:val="16"/>
        </w:rPr>
        <w:t>No other jail in California has seen a sharper increase in inmate deaths than the Fresno County Jail, whose three buildings house more than 3,000 inmates, mostly in the concrete cube known as the Main Jail in downtown Fresno. In the seven years before the 2011 realignment, 23 inmates died in jail custody, data from the California Department of Justice shows. That figure more than doubled to 47 deaths during the seven years after the state shifted more responsibility to the county jails.</w:t>
      </w:r>
      <w:r w:rsidR="00B01EBB" w:rsidRPr="00661A68">
        <w:rPr>
          <w:sz w:val="16"/>
        </w:rPr>
        <w:t xml:space="preserve"> </w:t>
      </w:r>
      <w:r w:rsidRPr="00661A68">
        <w:rPr>
          <w:sz w:val="16"/>
        </w:rPr>
        <w:t>Only one Fresno County inmate killed another in the seven years before realignment. Since then, four have died at the hands of other inmates.</w:t>
      </w:r>
      <w:r w:rsidR="00B01EBB" w:rsidRPr="00661A68">
        <w:rPr>
          <w:sz w:val="16"/>
        </w:rPr>
        <w:t xml:space="preserve"> </w:t>
      </w:r>
      <w:r w:rsidRPr="00661A68">
        <w:rPr>
          <w:u w:val="single"/>
        </w:rPr>
        <w:t>The problem is particularly acute in places like Fresno, Kern and Merced counties, inland stretches of California, where deaths have surged disproportionately</w:t>
      </w:r>
      <w:r w:rsidRPr="00661A68">
        <w:rPr>
          <w:sz w:val="16"/>
        </w:rPr>
        <w:t xml:space="preserve">, a data analysis by McClatchy and ProPublica found. </w:t>
      </w:r>
      <w:r w:rsidRPr="00661A68">
        <w:rPr>
          <w:u w:val="single"/>
        </w:rPr>
        <w:t>These less affluent counties in California’s Central Valley watched inmate homicides triple</w:t>
      </w:r>
      <w:r w:rsidRPr="00661A68">
        <w:rPr>
          <w:sz w:val="16"/>
        </w:rPr>
        <w:t>.</w:t>
      </w:r>
      <w:r w:rsidR="00B01EBB" w:rsidRPr="00661A68">
        <w:rPr>
          <w:sz w:val="16"/>
        </w:rPr>
        <w:t xml:space="preserve"> </w:t>
      </w:r>
      <w:r w:rsidRPr="00661A68">
        <w:rPr>
          <w:sz w:val="16"/>
        </w:rPr>
        <w:t xml:space="preserve">In the past seven years, </w:t>
      </w:r>
      <w:r w:rsidRPr="00661A68">
        <w:rPr>
          <w:u w:val="single"/>
        </w:rPr>
        <w:t>some counties took advantage of the billions of dollars attached to California’s realignment efforts to address overcrowding. Others, the investigation shows, have viewed the changes as a burden</w:t>
      </w:r>
      <w:r w:rsidRPr="00661A68">
        <w:rPr>
          <w:sz w:val="16"/>
        </w:rPr>
        <w:t>.</w:t>
      </w:r>
      <w:r w:rsidR="00B01EBB" w:rsidRPr="00661A68">
        <w:rPr>
          <w:sz w:val="16"/>
        </w:rPr>
        <w:t xml:space="preserve"> </w:t>
      </w:r>
      <w:r w:rsidRPr="00661A68">
        <w:rPr>
          <w:sz w:val="16"/>
        </w:rPr>
        <w:t xml:space="preserve">The Fresno County Jail death toll illustrates how some </w:t>
      </w:r>
      <w:r w:rsidRPr="00661A68">
        <w:rPr>
          <w:u w:val="single"/>
        </w:rPr>
        <w:t>counties have failed to institute reforms, keep up with federal court orders to improve conditions, and prioritize inmate well-being</w:t>
      </w:r>
      <w:r w:rsidRPr="00661A68">
        <w:rPr>
          <w:sz w:val="16"/>
        </w:rPr>
        <w:t>. As has long been the case, two-thirds of the people kept in jails are accused but not convicted.</w:t>
      </w:r>
      <w:r w:rsidR="00B01EBB" w:rsidRPr="00661A68">
        <w:rPr>
          <w:sz w:val="16"/>
        </w:rPr>
        <w:t xml:space="preserve"> </w:t>
      </w:r>
      <w:r w:rsidRPr="00661A68">
        <w:rPr>
          <w:sz w:val="16"/>
        </w:rPr>
        <w:t xml:space="preserve">Fresno County Sheriff Margaret Mims said that the </w:t>
      </w:r>
      <w:r w:rsidRPr="00661A68">
        <w:rPr>
          <w:u w:val="single"/>
        </w:rPr>
        <w:t>county jails hold</w:t>
      </w:r>
      <w:r w:rsidRPr="00661A68">
        <w:rPr>
          <w:sz w:val="16"/>
        </w:rPr>
        <w:t xml:space="preserve"> many dangerous people, and </w:t>
      </w:r>
      <w:r w:rsidRPr="00661A68">
        <w:rPr>
          <w:u w:val="single"/>
        </w:rPr>
        <w:t>that awful events,</w:t>
      </w:r>
      <w:r w:rsidRPr="00661A68">
        <w:rPr>
          <w:sz w:val="16"/>
        </w:rPr>
        <w:t xml:space="preserve"> including deaths, </w:t>
      </w:r>
      <w:r w:rsidRPr="00661A68">
        <w:rPr>
          <w:u w:val="single"/>
        </w:rPr>
        <w:t>are almost inevitable</w:t>
      </w:r>
      <w:r w:rsidRPr="00661A68">
        <w:rPr>
          <w:sz w:val="16"/>
        </w:rPr>
        <w:t>. A few years ago, Mims said, an inmate hid a razor blade in his nasal cavity and cut his co-defendant in court.</w:t>
      </w:r>
      <w:r w:rsidR="00B01EBB" w:rsidRPr="00661A68">
        <w:rPr>
          <w:sz w:val="16"/>
        </w:rPr>
        <w:t xml:space="preserve"> </w:t>
      </w:r>
      <w:r w:rsidRPr="00661A68">
        <w:rPr>
          <w:sz w:val="16"/>
        </w:rPr>
        <w:t>“How long does it take to inhale a razor blade?” she said. “If you wanted absolutely no assaults on inmates, no assaults on staff, no murders, no suicides you would almost have to have a [guard] assigned to every single inmate or continually have eyes on those inmates.”</w:t>
      </w:r>
      <w:r w:rsidR="00B01EBB" w:rsidRPr="00661A68">
        <w:rPr>
          <w:sz w:val="16"/>
        </w:rPr>
        <w:t xml:space="preserve"> </w:t>
      </w:r>
      <w:r w:rsidRPr="00661A68">
        <w:rPr>
          <w:sz w:val="16"/>
        </w:rPr>
        <w:t>However, the state data shows Fresno County recorded far more inmate deaths, and particularly violent deaths, than some larger California jails. For example, Orange County’s jail on average holds twice as many people as Fresno County’s, but it had just one inmate-on-inmate homicide the past seven years. Fresno County had four.</w:t>
      </w:r>
      <w:r w:rsidR="00B01EBB" w:rsidRPr="00661A68">
        <w:rPr>
          <w:sz w:val="16"/>
        </w:rPr>
        <w:t xml:space="preserve"> </w:t>
      </w:r>
      <w:r w:rsidRPr="00661A68">
        <w:rPr>
          <w:u w:val="single"/>
        </w:rPr>
        <w:t>Don Specter, director of the Berkeley, California-based nonprofit Prison Law Office, whose litigation against the state’s prisons spurred the realignment effort, called conditions in most county jails “a mess.”</w:t>
      </w:r>
      <w:r w:rsidR="00B01EBB" w:rsidRPr="00661A68">
        <w:rPr>
          <w:u w:val="single"/>
        </w:rPr>
        <w:t xml:space="preserve"> </w:t>
      </w:r>
      <w:r w:rsidRPr="00661A68">
        <w:rPr>
          <w:sz w:val="16"/>
        </w:rPr>
        <w:t xml:space="preserve">The problems are compounded because </w:t>
      </w:r>
      <w:r w:rsidRPr="00661A68">
        <w:rPr>
          <w:u w:val="single"/>
        </w:rPr>
        <w:t>county jails were never meant to accommodate these different inmates with yearslong sentences. County jails also lack effective oversight, especially in monitoring the handling of difficult inmates. And many sheriffs spend minimal amounts on jail health care and safety</w:t>
      </w:r>
      <w:r w:rsidRPr="00661A68">
        <w:rPr>
          <w:sz w:val="16"/>
        </w:rPr>
        <w:t>.</w:t>
      </w:r>
      <w:r w:rsidR="00B01EBB" w:rsidRPr="00661A68">
        <w:rPr>
          <w:sz w:val="16"/>
        </w:rPr>
        <w:t xml:space="preserve"> </w:t>
      </w:r>
      <w:r w:rsidRPr="00661A68">
        <w:rPr>
          <w:sz w:val="16"/>
        </w:rPr>
        <w:t>The Fresno County Sheriff’s Office does not segregate people awaiting trial from convicted inmates serving a jail sentence. When more dangerous or mentally ill inmates strain the short-handed staff, every part of the jail deals with the consequences. As the Herrera, Brock and Erkins cases illustrate, this can have a ripple effect throughout the jail. Officers are sometimes slower to conduct rounds, to notice inmates who are gravely sick, to watch fights develop in a gang pod or to isolate psychotic inmates.</w:t>
      </w:r>
      <w:r w:rsidR="00B01EBB" w:rsidRPr="00661A68">
        <w:rPr>
          <w:sz w:val="16"/>
        </w:rPr>
        <w:t xml:space="preserve"> </w:t>
      </w:r>
      <w:r w:rsidRPr="00661A68">
        <w:rPr>
          <w:sz w:val="16"/>
        </w:rPr>
        <w:t xml:space="preserve">Experts say </w:t>
      </w:r>
      <w:r w:rsidRPr="00661A68">
        <w:rPr>
          <w:u w:val="single"/>
        </w:rPr>
        <w:t>apathy among officials in many of California’s 56 counties with jails has fostered a crisis</w:t>
      </w:r>
      <w:r w:rsidRPr="00661A68">
        <w:rPr>
          <w:sz w:val="16"/>
        </w:rPr>
        <w:t>.</w:t>
      </w:r>
      <w:r w:rsidR="00B01EBB" w:rsidRPr="00661A68">
        <w:rPr>
          <w:sz w:val="16"/>
        </w:rPr>
        <w:t xml:space="preserve"> </w:t>
      </w:r>
      <w:r w:rsidRPr="00661A68">
        <w:rPr>
          <w:sz w:val="16"/>
        </w:rPr>
        <w:t>“The sheriffs have been very indifferent to jail conditions,” Specter said. “There’s been a complete lack of action.”</w:t>
      </w:r>
      <w:r w:rsidR="00B01EBB" w:rsidRPr="00661A68">
        <w:rPr>
          <w:sz w:val="16"/>
        </w:rPr>
        <w:t xml:space="preserve"> </w:t>
      </w:r>
      <w:r w:rsidRPr="00661A68">
        <w:rPr>
          <w:sz w:val="16"/>
        </w:rPr>
        <w:t>Mims said 2018’s record number of fatalities inside her jail was predictable. In more than two hours of interviews, she repeatedly characterized such deaths as an unfortunate consequence of jail life after realignment and expressed no remorse over her office’s failure to prevent them. At one point she asked reporters for basic details about the fatalities in her own jail.</w:t>
      </w:r>
      <w:r w:rsidR="00B01EBB" w:rsidRPr="00661A68">
        <w:rPr>
          <w:sz w:val="16"/>
        </w:rPr>
        <w:t xml:space="preserve"> </w:t>
      </w:r>
      <w:r w:rsidRPr="00661A68">
        <w:rPr>
          <w:sz w:val="16"/>
        </w:rPr>
        <w:t>She also said one of the most “painful” moments of her time in office was releasing inmates during the economic downturn. “Being a peace officer,” Mims said, “you know, you want to keep people locked up.”</w:t>
      </w:r>
      <w:r w:rsidR="00B01EBB" w:rsidRPr="00661A68">
        <w:rPr>
          <w:sz w:val="16"/>
        </w:rPr>
        <w:t xml:space="preserve"> </w:t>
      </w:r>
      <w:r w:rsidRPr="00661A68">
        <w:rPr>
          <w:sz w:val="16"/>
        </w:rPr>
        <w:t>Though running a jail is complicated work, inmate deaths should not be dismissed as inevitable, said Marin County Sheriff Robert Doyle, speaking on behalf of the California State Sheriffs’ Association.</w:t>
      </w:r>
      <w:r w:rsidR="00B01EBB" w:rsidRPr="00661A68">
        <w:rPr>
          <w:sz w:val="16"/>
        </w:rPr>
        <w:t xml:space="preserve"> </w:t>
      </w:r>
      <w:r w:rsidRPr="00661A68">
        <w:rPr>
          <w:sz w:val="16"/>
        </w:rPr>
        <w:t>“As soon as someone walks in, they’re our responsibility,” he said. Asked if it’s the sheriff’s job to prevent inmate deaths and jail violence, Doyle responded, “Of course.”</w:t>
      </w:r>
      <w:r w:rsidR="00B01EBB" w:rsidRPr="00661A68">
        <w:rPr>
          <w:sz w:val="16"/>
        </w:rPr>
        <w:t xml:space="preserve"> </w:t>
      </w:r>
      <w:r w:rsidRPr="00661A68">
        <w:rPr>
          <w:u w:val="single"/>
        </w:rPr>
        <w:t>The Prison-to-Jail Churn</w:t>
      </w:r>
      <w:r w:rsidR="00B01EBB" w:rsidRPr="00661A68">
        <w:rPr>
          <w:u w:val="single"/>
        </w:rPr>
        <w:t xml:space="preserve"> </w:t>
      </w:r>
      <w:r w:rsidRPr="00661A68">
        <w:rPr>
          <w:sz w:val="16"/>
        </w:rPr>
        <w:t>Fresno County’s jail system has been teeming with prisoners for decades. In 1993, county officials packed 20 people into a cell intended for 12, with inmates sprawled on mattresses between and beneath bunk beds. In one incident, an inmate clogged his toilet with a sheet, causing other cells to overflow with waste when someone flushed.</w:t>
      </w:r>
      <w:r w:rsidR="00B01EBB" w:rsidRPr="00661A68">
        <w:rPr>
          <w:sz w:val="16"/>
        </w:rPr>
        <w:t xml:space="preserve"> </w:t>
      </w:r>
      <w:r w:rsidRPr="00661A68">
        <w:rPr>
          <w:sz w:val="16"/>
        </w:rPr>
        <w:t>“By the time we had breakfast, seventy-five people were eating with two inches of human waste on the floor,” one inmate said in a sworn affidavit.</w:t>
      </w:r>
      <w:r w:rsidR="00B01EBB" w:rsidRPr="00661A68">
        <w:rPr>
          <w:sz w:val="16"/>
        </w:rPr>
        <w:t xml:space="preserve"> </w:t>
      </w:r>
      <w:r w:rsidRPr="00661A68">
        <w:rPr>
          <w:sz w:val="16"/>
        </w:rPr>
        <w:t>Months before the toilets backed up, a convicted murderer raped and killed a man booked on drug charges. Then-Sheriff Steve Magarian told The Fresno Bee, “The jail is full of dangerous inmates who kill with no notice.”</w:t>
      </w:r>
      <w:r w:rsidR="00B01EBB" w:rsidRPr="00661A68">
        <w:rPr>
          <w:sz w:val="16"/>
        </w:rPr>
        <w:t xml:space="preserve"> </w:t>
      </w:r>
      <w:r w:rsidRPr="00661A68">
        <w:rPr>
          <w:sz w:val="16"/>
        </w:rPr>
        <w:t>Lawyers representing Fresno County inmates sued the sheriff’s office in February 1993, alleging cruel and unusual jail conditions that violated the U.S. Constitution’s Eighth Amendment. By November, the county settled with inmates and agreed in a consent decree to cap the jail population. When any part of the jail reaches full capacity, the sheriff’s office must release inmates and limit new arrivals. The sheriff is prohibited from having people sleep on the floor.</w:t>
      </w:r>
      <w:r w:rsidR="00B01EBB" w:rsidRPr="00661A68">
        <w:rPr>
          <w:sz w:val="16"/>
        </w:rPr>
        <w:t xml:space="preserve"> </w:t>
      </w:r>
      <w:r w:rsidRPr="00661A68">
        <w:rPr>
          <w:sz w:val="16"/>
        </w:rPr>
        <w:t>Though unpopular at first, “the reality is it put some kind of sensibility of operation into the jail,” said Assistant Sheriff Tom Gattie, who oversees Fresno’s jail.</w:t>
      </w:r>
      <w:r w:rsidR="00B01EBB" w:rsidRPr="00661A68">
        <w:rPr>
          <w:sz w:val="16"/>
        </w:rPr>
        <w:t xml:space="preserve"> </w:t>
      </w:r>
      <w:r w:rsidRPr="00661A68">
        <w:rPr>
          <w:u w:val="single"/>
        </w:rPr>
        <w:t>In negotiations</w:t>
      </w:r>
      <w:r w:rsidRPr="00661A68">
        <w:rPr>
          <w:sz w:val="16"/>
        </w:rPr>
        <w:t xml:space="preserve">, the inmates’ lawyers agreed the sheriff’s office can house three people in a space designed for two. </w:t>
      </w:r>
      <w:r w:rsidRPr="00661A68">
        <w:rPr>
          <w:u w:val="single"/>
        </w:rPr>
        <w:t>The sheriff is legally allowed to overcrowd the jail,</w:t>
      </w:r>
      <w:r w:rsidRPr="00661A68">
        <w:rPr>
          <w:sz w:val="16"/>
        </w:rPr>
        <w:t xml:space="preserve"> but only to a point.</w:t>
      </w:r>
      <w:r w:rsidR="00B01EBB" w:rsidRPr="00661A68">
        <w:rPr>
          <w:sz w:val="16"/>
        </w:rPr>
        <w:t xml:space="preserve"> </w:t>
      </w:r>
      <w:r w:rsidRPr="00661A68">
        <w:rPr>
          <w:sz w:val="16"/>
        </w:rPr>
        <w:t>Then came back-to-back blows for Fresno County. The real estate market crash and recession dried up jail funding as tax revenues shriveled.</w:t>
      </w:r>
      <w:r w:rsidR="00B01EBB" w:rsidRPr="00661A68">
        <w:rPr>
          <w:sz w:val="16"/>
        </w:rPr>
        <w:t xml:space="preserve"> </w:t>
      </w:r>
      <w:r w:rsidRPr="00661A68">
        <w:rPr>
          <w:sz w:val="16"/>
        </w:rPr>
        <w:t>Mims was running for a second term as Fresno County sheriff in 2010. She won the top job four years earlier, advocating tough-on-crime policies and denouncing early inmate releases. But facing severe budget shortfalls, Mims laid off several dozen correctional officers. She closed several floors of the jail because she didn’t have enough officers to watch inmates. And the consent decree required Mims to set some of them free.</w:t>
      </w:r>
      <w:r w:rsidR="00B01EBB" w:rsidRPr="00661A68">
        <w:rPr>
          <w:sz w:val="16"/>
        </w:rPr>
        <w:t xml:space="preserve"> </w:t>
      </w:r>
      <w:r w:rsidRPr="00661A68">
        <w:rPr>
          <w:sz w:val="16"/>
        </w:rPr>
        <w:t>The inmate population dropped from 2,100 to 1,400 in the first six months of 2010, according to the sheriff’s office jail census data. The sheriff’s office primarily released people charged with misdemeanors or serving sentences for low-level crimes.</w:t>
      </w:r>
      <w:r w:rsidR="00B01EBB" w:rsidRPr="00661A68">
        <w:rPr>
          <w:sz w:val="16"/>
        </w:rPr>
        <w:t xml:space="preserve"> </w:t>
      </w:r>
      <w:r w:rsidRPr="00661A68">
        <w:rPr>
          <w:u w:val="single"/>
        </w:rPr>
        <w:t>While Fresno County struggled with jail crowding and staffing, the state faced increasing pressure on its three dozen prisons</w:t>
      </w:r>
      <w:r w:rsidRPr="00661A68">
        <w:rPr>
          <w:sz w:val="16"/>
        </w:rPr>
        <w:t xml:space="preserve">. In May 2011, </w:t>
      </w:r>
      <w:r w:rsidRPr="00661A68">
        <w:rPr>
          <w:u w:val="single"/>
        </w:rPr>
        <w:t>California lost its decades-long legal fight on prison overcrowding</w:t>
      </w:r>
      <w:r w:rsidRPr="00661A68">
        <w:rPr>
          <w:sz w:val="16"/>
        </w:rPr>
        <w:t xml:space="preserve">. In a 5-4 decision, </w:t>
      </w:r>
      <w:r w:rsidRPr="00661A68">
        <w:rPr>
          <w:b/>
          <w:bCs/>
          <w:u w:val="single"/>
        </w:rPr>
        <w:t>the U.S. Supreme Court required the state to reduce its prisoner population by 46,000 inmates</w:t>
      </w:r>
      <w:r w:rsidRPr="00661A68">
        <w:rPr>
          <w:sz w:val="16"/>
        </w:rPr>
        <w:t>. Without that dramatic change, there was “a certain and unacceptable risk of continuing violations of the rights of sick and mentally ill prisoners, with the result that many more will die or needlessly suffer,” Justice Anthony Kennedy wrote in the majority opinion. “The Constitution does not permit this wrong.”</w:t>
      </w:r>
      <w:r w:rsidR="00B01EBB" w:rsidRPr="00661A68">
        <w:rPr>
          <w:sz w:val="16"/>
        </w:rPr>
        <w:t xml:space="preserve"> </w:t>
      </w:r>
      <w:r w:rsidRPr="00661A68">
        <w:rPr>
          <w:b/>
          <w:bCs/>
          <w:u w:val="single"/>
        </w:rPr>
        <w:t>Instead of releasing prisoners early, the state stopped thousands of new arrivals from going to prison at all</w:t>
      </w:r>
      <w:r w:rsidRPr="00661A68">
        <w:rPr>
          <w:b/>
          <w:bCs/>
          <w:sz w:val="16"/>
        </w:rPr>
        <w:t>.</w:t>
      </w:r>
      <w:r w:rsidR="00B01EBB" w:rsidRPr="00661A68">
        <w:rPr>
          <w:b/>
          <w:bCs/>
          <w:sz w:val="16"/>
        </w:rPr>
        <w:t xml:space="preserve"> </w:t>
      </w:r>
      <w:r w:rsidRPr="00661A68">
        <w:rPr>
          <w:sz w:val="16"/>
        </w:rPr>
        <w:t>Democratic Gov. Jerry Brown and state lawmakers reduced the number of convicts sent to the prisons. They bundled the first reforms in 2011 into Assembly Bill 109, referred to as realignment. The legislation rerouted people convicted of nonviolent, nonsexual and nonserious crimes to serve sentences in county jails.</w:t>
      </w:r>
      <w:r w:rsidR="00B01EBB" w:rsidRPr="00661A68">
        <w:rPr>
          <w:sz w:val="16"/>
        </w:rPr>
        <w:t xml:space="preserve"> </w:t>
      </w:r>
      <w:r w:rsidRPr="00661A68">
        <w:rPr>
          <w:u w:val="single"/>
        </w:rPr>
        <w:t>Realignment and subsequent sentencing reforms brought relief to state prisons and new burdens for many local governments</w:t>
      </w:r>
      <w:r w:rsidRPr="00661A68">
        <w:rPr>
          <w:sz w:val="16"/>
        </w:rPr>
        <w:t>. To ease the load, counties received billions of state taxpayer dollars to pay for new jail facilities, treatment programs and staff.</w:t>
      </w:r>
      <w:r w:rsidR="00B01EBB" w:rsidRPr="00661A68">
        <w:rPr>
          <w:sz w:val="16"/>
        </w:rPr>
        <w:t xml:space="preserve"> </w:t>
      </w:r>
      <w:r w:rsidRPr="00661A68">
        <w:rPr>
          <w:sz w:val="16"/>
        </w:rPr>
        <w:t>Previously, judges could not sentence people to more than a year in county jails. In the reform era, jail sentences extended for years, meaning that sheriffs must provide long-term care for county jail inmates who previously would have gone to prisons.</w:t>
      </w:r>
      <w:r w:rsidR="00B01EBB" w:rsidRPr="00661A68">
        <w:rPr>
          <w:sz w:val="16"/>
        </w:rPr>
        <w:t xml:space="preserve"> </w:t>
      </w:r>
      <w:r w:rsidRPr="00661A68">
        <w:rPr>
          <w:sz w:val="16"/>
        </w:rPr>
        <w:t>County jails are not equipped for such strains, said Matt Cate, the former state corrections secretary who helped oversee realignment. In retrospect, Cate said he believes convicts sentenced to five years or more of incarceration should serve that time in prison, not the local jails.</w:t>
      </w:r>
      <w:r w:rsidR="00B01EBB" w:rsidRPr="00661A68">
        <w:rPr>
          <w:sz w:val="16"/>
        </w:rPr>
        <w:t xml:space="preserve"> </w:t>
      </w:r>
      <w:r w:rsidRPr="00661A68">
        <w:rPr>
          <w:sz w:val="16"/>
        </w:rPr>
        <w:t>“In some places, the sheriff had no chance,” Cate said. “The place was already crowded, and the place was already old, and the mission was already complex, and the budget was already not very good.”</w:t>
      </w:r>
      <w:r w:rsidR="00B01EBB" w:rsidRPr="00661A68">
        <w:rPr>
          <w:sz w:val="16"/>
        </w:rPr>
        <w:t xml:space="preserve"> </w:t>
      </w:r>
      <w:r w:rsidRPr="00661A68">
        <w:rPr>
          <w:u w:val="single"/>
        </w:rPr>
        <w:t>As some state prisoners’ sentences ended in 2012, and realignment blocked new intakes, the prison population dropped by 20,000 within months.</w:t>
      </w:r>
      <w:r w:rsidR="00B01EBB" w:rsidRPr="00661A68">
        <w:rPr>
          <w:u w:val="single"/>
        </w:rPr>
        <w:t xml:space="preserve"> </w:t>
      </w:r>
      <w:r w:rsidRPr="00661A68">
        <w:rPr>
          <w:u w:val="single"/>
        </w:rPr>
        <w:t>The opposite occurred in county jails. The number of inmates increased by almost 10,000, to about 82,000</w:t>
      </w:r>
      <w:r w:rsidRPr="00661A68">
        <w:rPr>
          <w:sz w:val="16"/>
        </w:rPr>
        <w:t>.</w:t>
      </w:r>
      <w:r w:rsidR="00B01EBB" w:rsidRPr="00661A68">
        <w:rPr>
          <w:sz w:val="16"/>
        </w:rPr>
        <w:t xml:space="preserve"> </w:t>
      </w:r>
      <w:r w:rsidRPr="00661A68">
        <w:rPr>
          <w:sz w:val="16"/>
        </w:rPr>
        <w:t>The release of prisoners has stabilized, but violence has increased. Mims said this has been an unavoidable result of the reforms that now involve longer stays for challenging inmates. “Realignment changed the whole game,” the sheriff said.</w:t>
      </w:r>
      <w:r w:rsidR="00B01EBB" w:rsidRPr="00661A68">
        <w:rPr>
          <w:sz w:val="16"/>
        </w:rPr>
        <w:t xml:space="preserve"> </w:t>
      </w:r>
      <w:r w:rsidRPr="00661A68">
        <w:rPr>
          <w:sz w:val="16"/>
        </w:rPr>
        <w:t>Arguably, conditions inside the Fresno County jail should be improving. In 2015, the sheriff’s office agreed to a second consent decree in another class-action lawsuit over jail conditions. The agreement requires the sheriff to hire 127 additional correctional officers to protect and provide services to inmates.</w:t>
      </w:r>
      <w:r w:rsidR="00B01EBB" w:rsidRPr="00661A68">
        <w:rPr>
          <w:sz w:val="16"/>
        </w:rPr>
        <w:t xml:space="preserve"> </w:t>
      </w:r>
      <w:r w:rsidRPr="00661A68">
        <w:rPr>
          <w:sz w:val="16"/>
        </w:rPr>
        <w:t>Mims has expanded the jail’s force by roughly 100 officers, court records show, but adding staff has not gone smoothly. Throughout 2017, the sheriff’s office hired 40 new officers but lost 39. Many departures were retirements, replacing experienced officers with rookies.</w:t>
      </w:r>
      <w:r w:rsidR="00B01EBB" w:rsidRPr="00661A68">
        <w:rPr>
          <w:sz w:val="16"/>
        </w:rPr>
        <w:t xml:space="preserve"> </w:t>
      </w:r>
      <w:r w:rsidRPr="00661A68">
        <w:rPr>
          <w:sz w:val="16"/>
        </w:rPr>
        <w:t>The churn continued into January 2018.</w:t>
      </w:r>
      <w:r w:rsidR="00B01EBB" w:rsidRPr="00661A68">
        <w:rPr>
          <w:sz w:val="16"/>
        </w:rPr>
        <w:t xml:space="preserve"> </w:t>
      </w:r>
      <w:r w:rsidRPr="00661A68">
        <w:rPr>
          <w:sz w:val="16"/>
        </w:rPr>
        <w:t>When Brock, Herrera and Erkins entered the jail, the sheriff’s office was hemorrhaging correctional officers. In March 2018, 13% of the jail positions were vacant.</w:t>
      </w:r>
      <w:r w:rsidR="00B01EBB" w:rsidRPr="00661A68">
        <w:rPr>
          <w:sz w:val="16"/>
        </w:rPr>
        <w:t xml:space="preserve"> </w:t>
      </w:r>
      <w:r w:rsidRPr="00661A68">
        <w:rPr>
          <w:sz w:val="16"/>
        </w:rPr>
        <w:t>The deadline for hiring new officers is October, but Mims doubts the office will make the deadline.</w:t>
      </w:r>
      <w:r w:rsidR="00B01EBB" w:rsidRPr="00661A68">
        <w:rPr>
          <w:sz w:val="16"/>
        </w:rPr>
        <w:t xml:space="preserve"> </w:t>
      </w:r>
      <w:r w:rsidRPr="00661A68">
        <w:rPr>
          <w:sz w:val="16"/>
        </w:rPr>
        <w:t>“We’re never going to be always 100% compliant,” she said.</w:t>
      </w:r>
      <w:r w:rsidR="00B01EBB" w:rsidRPr="00661A68">
        <w:rPr>
          <w:sz w:val="16"/>
        </w:rPr>
        <w:t xml:space="preserve"> </w:t>
      </w:r>
      <w:r w:rsidRPr="00661A68">
        <w:rPr>
          <w:sz w:val="16"/>
        </w:rPr>
        <w:t>And the jail’s issues continue to fester. It had an average daily population of 3,136 inmates in February, 11% higher than the previous February. The number of people incarcerated has exceeded 3,000 for six of the past seven months, within a court-ordered population cap but more than any recent time. About 25% of the current inmates would have previously gone to state prisons, jail records show.</w:t>
      </w:r>
      <w:r w:rsidR="00B01EBB" w:rsidRPr="00661A68">
        <w:rPr>
          <w:sz w:val="16"/>
        </w:rPr>
        <w:t xml:space="preserve"> </w:t>
      </w:r>
      <w:r w:rsidRPr="00661A68">
        <w:rPr>
          <w:sz w:val="16"/>
        </w:rPr>
        <w:t>Jail staffers feel overwhelmed at times, said Lt. Russell Duran, a jail officer for 17 years. Staff members talk about the demands of guarding such large populations. The gang members expand their influence in the jail while serving longer sentences, the maximum-security inmates pose a greater threat, those with serious mental illness and those with chronic medical conditions suffer in a place built to temporarily seal them away.</w:t>
      </w:r>
      <w:r w:rsidR="00B01EBB" w:rsidRPr="00661A68">
        <w:rPr>
          <w:sz w:val="16"/>
        </w:rPr>
        <w:t xml:space="preserve"> </w:t>
      </w:r>
      <w:r w:rsidRPr="00661A68">
        <w:rPr>
          <w:sz w:val="16"/>
        </w:rPr>
        <w:t>“I’m not gonna lie,” Duran said, “it’s hard to manage.”</w:t>
      </w:r>
      <w:r w:rsidR="00B01EBB" w:rsidRPr="00661A68">
        <w:rPr>
          <w:sz w:val="16"/>
        </w:rPr>
        <w:t xml:space="preserve"> </w:t>
      </w:r>
      <w:r w:rsidRPr="00661A68">
        <w:rPr>
          <w:sz w:val="16"/>
        </w:rPr>
        <w:t>The Fresno County Jail is also holding all inmates for much longer periods of time than before realignment. The average length of stay in 2011 was 16 days. That extended to 21 days the following year as prison reform began. It has grown nearly every year since, according to data from the California Board of State and Community Corrections. Inmates stayed in Fresno County 35 days, on average, in 2018.</w:t>
      </w:r>
      <w:r w:rsidR="00B01EBB" w:rsidRPr="00661A68">
        <w:rPr>
          <w:sz w:val="16"/>
        </w:rPr>
        <w:t xml:space="preserve"> </w:t>
      </w:r>
      <w:r w:rsidRPr="00661A68">
        <w:rPr>
          <w:sz w:val="16"/>
        </w:rPr>
        <w:t>Even people awaiting trial have idled in jail far longer, with the average pretrial stay doubling from 12 days in 2011 to about 24 days last year.</w:t>
      </w:r>
      <w:r w:rsidR="00B01EBB" w:rsidRPr="00661A68">
        <w:rPr>
          <w:sz w:val="16"/>
        </w:rPr>
        <w:t xml:space="preserve"> </w:t>
      </w:r>
      <w:r w:rsidRPr="00661A68">
        <w:rPr>
          <w:sz w:val="16"/>
        </w:rPr>
        <w:t>Jail conditions rarely came up as Mims successfully campaigned for her fourth term last year. She hasn’t faced an opponent since her first race in 2006.</w:t>
      </w:r>
      <w:r w:rsidR="00B01EBB" w:rsidRPr="00661A68">
        <w:rPr>
          <w:sz w:val="16"/>
        </w:rPr>
        <w:t xml:space="preserve"> </w:t>
      </w:r>
      <w:r w:rsidRPr="00661A68">
        <w:rPr>
          <w:sz w:val="16"/>
        </w:rPr>
        <w:t xml:space="preserve">Among the memorabilia adorning Mims’ office is the hard hat she wore Jan. 25, 2018, at a ceremonial groundbreaking for the department’s new $110 million jail. The facility will replace a dilapidated 1947 jail annex, where female inmates are housed, that is dangerous and in disrepair. It will hold 200 fewer people, reflecting </w:t>
      </w:r>
      <w:r w:rsidRPr="00661A68">
        <w:rPr>
          <w:u w:val="single"/>
        </w:rPr>
        <w:t>realignment’s goal of reform and downsizing</w:t>
      </w:r>
      <w:r w:rsidRPr="00661A68">
        <w:rPr>
          <w:sz w:val="16"/>
        </w:rPr>
        <w:t>.</w:t>
      </w:r>
      <w:r w:rsidR="00B01EBB" w:rsidRPr="00661A68">
        <w:rPr>
          <w:sz w:val="16"/>
        </w:rPr>
        <w:t xml:space="preserve"> </w:t>
      </w:r>
      <w:r w:rsidRPr="00661A68">
        <w:rPr>
          <w:sz w:val="16"/>
        </w:rPr>
        <w:t xml:space="preserve">But it </w:t>
      </w:r>
      <w:r w:rsidRPr="00661A68">
        <w:rPr>
          <w:u w:val="single"/>
        </w:rPr>
        <w:t>is a temporary fix.</w:t>
      </w:r>
      <w:r w:rsidR="00B01EBB" w:rsidRPr="00661A68">
        <w:rPr>
          <w:sz w:val="16"/>
        </w:rPr>
        <w:t xml:space="preserve"> </w:t>
      </w:r>
      <w:r w:rsidRPr="00661A68">
        <w:rPr>
          <w:sz w:val="16"/>
        </w:rPr>
        <w:t>“We’re building it,” Mims said, “with expansion in mind.”</w:t>
      </w:r>
    </w:p>
    <w:p w14:paraId="1C289BCF" w14:textId="1D3DFC51" w:rsidR="005E079B" w:rsidRPr="00661A68" w:rsidRDefault="005E079B" w:rsidP="00CB65BF">
      <w:pPr>
        <w:pStyle w:val="Heading3"/>
      </w:pPr>
      <w:r w:rsidRPr="00661A68">
        <w:t>Doesn’t solve—AT: Mississippi/Empirics prove</w:t>
      </w:r>
    </w:p>
    <w:p w14:paraId="6E057375" w14:textId="74A42371" w:rsidR="005E079B" w:rsidRPr="00661A68" w:rsidRDefault="005E079B" w:rsidP="005E079B">
      <w:pPr>
        <w:pStyle w:val="Heading4"/>
      </w:pPr>
      <w:r w:rsidRPr="00661A68">
        <w:t xml:space="preserve">Mississippi lacked </w:t>
      </w:r>
      <w:r w:rsidRPr="00661A68">
        <w:rPr>
          <w:u w:val="single"/>
        </w:rPr>
        <w:t xml:space="preserve">funding, </w:t>
      </w:r>
      <w:r w:rsidR="00FD57F5" w:rsidRPr="00661A68">
        <w:rPr>
          <w:u w:val="single"/>
        </w:rPr>
        <w:t>personnel, and space</w:t>
      </w:r>
      <w:r w:rsidR="00FD57F5" w:rsidRPr="00661A68">
        <w:t xml:space="preserve"> for adequate reform</w:t>
      </w:r>
    </w:p>
    <w:p w14:paraId="41283FAC" w14:textId="2055436C" w:rsidR="00FD57F5" w:rsidRPr="00661A68" w:rsidRDefault="00FD57F5" w:rsidP="00FD57F5">
      <w:r w:rsidRPr="00661A68">
        <w:rPr>
          <w:rStyle w:val="Style13ptBold"/>
        </w:rPr>
        <w:t>Mitchell 19</w:t>
      </w:r>
      <w:r w:rsidRPr="00661A68">
        <w:t xml:space="preserve"> [Jerry, </w:t>
      </w:r>
      <w:r w:rsidR="005624DC" w:rsidRPr="00661A68">
        <w:t>investigative reporter for the Mississippi Center for Investigative Reporting, a not-for-profit news organization that seeks to hold public officials accountable and empower citizens in their communities; ProPublica research reporter Claire Perlman contributed to this report, “</w:t>
      </w:r>
      <w:r w:rsidRPr="00661A68">
        <w:t>Broken promises and lost funding: how Mississippi prison reform failed</w:t>
      </w:r>
      <w:r w:rsidR="005624DC" w:rsidRPr="00661A68">
        <w:t xml:space="preserve">”; published 5/9/19, accessed 6/1/20; </w:t>
      </w:r>
      <w:r w:rsidR="00F267B8" w:rsidRPr="00661A68">
        <w:t>https://www.theguardian.com/us-news/2019/may/09/mississippi-prison-reform-failed-first-step-act]</w:t>
      </w:r>
    </w:p>
    <w:p w14:paraId="3B0C1427" w14:textId="524293BD" w:rsidR="00FD57F5" w:rsidRPr="00661A68" w:rsidRDefault="00FD57F5" w:rsidP="00FD57F5">
      <w:pPr>
        <w:rPr>
          <w:sz w:val="16"/>
        </w:rPr>
      </w:pPr>
      <w:r w:rsidRPr="00661A68">
        <w:rPr>
          <w:u w:val="single"/>
        </w:rPr>
        <w:t>It was a model on which the Trump administration based its criminal justice reform efforts. But it isn’t working</w:t>
      </w:r>
      <w:r w:rsidR="0091150F" w:rsidRPr="00661A68">
        <w:rPr>
          <w:sz w:val="16"/>
        </w:rPr>
        <w:t xml:space="preserve"> </w:t>
      </w:r>
      <w:r w:rsidRPr="00661A68">
        <w:rPr>
          <w:sz w:val="16"/>
        </w:rPr>
        <w:t>Last November, as he rallied support for federal prison reform, Donald Trump visited Gulfport, Mississippi, touting the legislation and what Mississippi had accomplished.</w:t>
      </w:r>
      <w:r w:rsidR="0091150F" w:rsidRPr="00661A68">
        <w:rPr>
          <w:sz w:val="16"/>
        </w:rPr>
        <w:t xml:space="preserve"> </w:t>
      </w:r>
      <w:r w:rsidRPr="00661A68">
        <w:rPr>
          <w:sz w:val="16"/>
        </w:rPr>
        <w:t>Trump talked about the “fantastic job” that the Mississippi corrections commissioner, Pelicia Hall, was doing of turning the state’s prisons into places that train inmates for jobs.</w:t>
      </w:r>
      <w:r w:rsidR="0091150F" w:rsidRPr="00661A68">
        <w:rPr>
          <w:sz w:val="16"/>
        </w:rPr>
        <w:t xml:space="preserve"> </w:t>
      </w:r>
      <w:r w:rsidRPr="00661A68">
        <w:rPr>
          <w:sz w:val="16"/>
        </w:rPr>
        <w:t xml:space="preserve">The following month, </w:t>
      </w:r>
      <w:r w:rsidRPr="00661A68">
        <w:rPr>
          <w:u w:val="single"/>
        </w:rPr>
        <w:t>Trump signed the First Step Act, which aims to reduce the federal prison population and better prepare offenders for life outside bars</w:t>
      </w:r>
      <w:r w:rsidRPr="00661A68">
        <w:rPr>
          <w:sz w:val="16"/>
        </w:rPr>
        <w:t>.</w:t>
      </w:r>
      <w:r w:rsidR="0091150F" w:rsidRPr="00661A68">
        <w:rPr>
          <w:sz w:val="16"/>
        </w:rPr>
        <w:t xml:space="preserve"> </w:t>
      </w:r>
      <w:r w:rsidRPr="00661A68">
        <w:rPr>
          <w:u w:val="single"/>
        </w:rPr>
        <w:t>Yet the implementation of Mississippi’s reforms has been marked by broken promises and a lack of funding, according to interviews, data and documents reviewed by the Mississippi Center for Investigative Reporting and ProPublica</w:t>
      </w:r>
      <w:r w:rsidRPr="00661A68">
        <w:rPr>
          <w:sz w:val="16"/>
        </w:rPr>
        <w:t>.</w:t>
      </w:r>
      <w:r w:rsidR="0091150F" w:rsidRPr="00661A68">
        <w:rPr>
          <w:sz w:val="16"/>
        </w:rPr>
        <w:t xml:space="preserve"> </w:t>
      </w:r>
      <w:r w:rsidRPr="00661A68">
        <w:rPr>
          <w:sz w:val="16"/>
        </w:rPr>
        <w:t xml:space="preserve">The </w:t>
      </w:r>
      <w:r w:rsidRPr="00661A68">
        <w:rPr>
          <w:u w:val="single"/>
        </w:rPr>
        <w:t>Mississippi</w:t>
      </w:r>
      <w:r w:rsidRPr="00661A68">
        <w:rPr>
          <w:sz w:val="16"/>
        </w:rPr>
        <w:t xml:space="preserve"> law </w:t>
      </w:r>
      <w:r w:rsidRPr="00661A68">
        <w:rPr>
          <w:u w:val="single"/>
        </w:rPr>
        <w:t>promised to send offenders to drug courts for treatment rather than to prison; provide ID cards to all offenders leaving prison to help them secure housing and jobs; offer training for offenders eligible for parole; and keep offenders guilty of technical probation violations from returning to prison.</w:t>
      </w:r>
      <w:r w:rsidR="0091150F" w:rsidRPr="00661A68">
        <w:rPr>
          <w:u w:val="single"/>
        </w:rPr>
        <w:t xml:space="preserve"> </w:t>
      </w:r>
      <w:r w:rsidRPr="00661A68">
        <w:rPr>
          <w:u w:val="single"/>
        </w:rPr>
        <w:t>But in each case, those efforts have faltered.</w:t>
      </w:r>
      <w:r w:rsidR="0091150F" w:rsidRPr="00661A68">
        <w:rPr>
          <w:u w:val="single"/>
        </w:rPr>
        <w:t xml:space="preserve"> </w:t>
      </w:r>
      <w:r w:rsidRPr="00661A68">
        <w:rPr>
          <w:sz w:val="16"/>
        </w:rPr>
        <w:t xml:space="preserve">When </w:t>
      </w:r>
      <w:r w:rsidRPr="00661A68">
        <w:rPr>
          <w:u w:val="single"/>
        </w:rPr>
        <w:t>the state governor, Phil Bryant, a Republican, signed house bill 585 into law in 2014</w:t>
      </w:r>
      <w:r w:rsidRPr="00661A68">
        <w:rPr>
          <w:sz w:val="16"/>
        </w:rPr>
        <w:t>, the measure drew widespread praise from conservatives and liberals alike because it promised to reduce the prison population, save millions and reinvest some of the money into programs for offenders.</w:t>
      </w:r>
      <w:r w:rsidR="0091150F" w:rsidRPr="00661A68">
        <w:rPr>
          <w:sz w:val="16"/>
        </w:rPr>
        <w:t xml:space="preserve"> </w:t>
      </w:r>
      <w:r w:rsidRPr="00661A68">
        <w:rPr>
          <w:sz w:val="16"/>
        </w:rPr>
        <w:t xml:space="preserve">Instead, </w:t>
      </w:r>
      <w:r w:rsidRPr="00661A68">
        <w:rPr>
          <w:u w:val="single"/>
        </w:rPr>
        <w:t>all of those savings have gone back into the state’s coffers, helping to pay for huge corporate tax cuts</w:t>
      </w:r>
      <w:r w:rsidRPr="00661A68">
        <w:rPr>
          <w:sz w:val="16"/>
        </w:rPr>
        <w:t xml:space="preserve"> at a time the state was struggling to meet revenue estimates.</w:t>
      </w:r>
      <w:r w:rsidR="0091150F" w:rsidRPr="00661A68">
        <w:rPr>
          <w:sz w:val="16"/>
        </w:rPr>
        <w:t xml:space="preserve"> </w:t>
      </w:r>
      <w:r w:rsidRPr="00661A68">
        <w:rPr>
          <w:sz w:val="16"/>
        </w:rPr>
        <w:t>Over five years, the Mississippi Department of Corrections spent $185m less in total than it would have had its budget remained at the level it was in 2014. The department’s $347m budget for the coming fiscal year is $30m less than it was in 2014.</w:t>
      </w:r>
      <w:r w:rsidR="0091150F" w:rsidRPr="00661A68">
        <w:rPr>
          <w:sz w:val="16"/>
        </w:rPr>
        <w:t xml:space="preserve"> </w:t>
      </w:r>
      <w:r w:rsidRPr="00661A68">
        <w:rPr>
          <w:sz w:val="16"/>
        </w:rPr>
        <w:t xml:space="preserve">Meanwhile, </w:t>
      </w:r>
      <w:r w:rsidRPr="00661A68">
        <w:rPr>
          <w:u w:val="single"/>
        </w:rPr>
        <w:t>the number of prisoners is creeping back up, and the lack of funding and staff is contributing to worsening conditions</w:t>
      </w:r>
      <w:r w:rsidRPr="00661A68">
        <w:rPr>
          <w:sz w:val="16"/>
        </w:rPr>
        <w:t>. Over the rest of this year, the Mississippi Center for Investigative Reporting and ProPublica will explore those conditions.</w:t>
      </w:r>
      <w:r w:rsidR="0091150F" w:rsidRPr="00661A68">
        <w:rPr>
          <w:sz w:val="16"/>
        </w:rPr>
        <w:t xml:space="preserve"> </w:t>
      </w:r>
      <w:r w:rsidRPr="00661A68">
        <w:rPr>
          <w:sz w:val="16"/>
        </w:rPr>
        <w:t>In an interview, the senior US district Judge Keith Starrett, of Hattiesburg, called house bill 585 “a good law, but up until now, it’s never been fully implemented. Had it been fully implemented, it would have reduced recidivism. How much, we’ll unfortunately never know.”</w:t>
      </w:r>
      <w:r w:rsidR="0091150F" w:rsidRPr="00661A68">
        <w:rPr>
          <w:sz w:val="16"/>
        </w:rPr>
        <w:t xml:space="preserve"> </w:t>
      </w:r>
      <w:r w:rsidRPr="00661A68">
        <w:rPr>
          <w:sz w:val="16"/>
        </w:rPr>
        <w:t xml:space="preserve">Before the Mississippi legislature met in 2019, Hall told lawmakers that the </w:t>
      </w:r>
      <w:r w:rsidRPr="00661A68">
        <w:rPr>
          <w:u w:val="single"/>
        </w:rPr>
        <w:t>reforms</w:t>
      </w:r>
      <w:r w:rsidRPr="00661A68">
        <w:rPr>
          <w:sz w:val="16"/>
        </w:rPr>
        <w:t xml:space="preserve"> of house bill 585 </w:t>
      </w:r>
      <w:r w:rsidRPr="00661A68">
        <w:rPr>
          <w:u w:val="single"/>
        </w:rPr>
        <w:t>were “for naught if we don’t reinvest the savings”.</w:t>
      </w:r>
      <w:r w:rsidR="0091150F" w:rsidRPr="00661A68">
        <w:rPr>
          <w:sz w:val="16"/>
        </w:rPr>
        <w:t xml:space="preserve"> </w:t>
      </w:r>
      <w:r w:rsidRPr="00661A68">
        <w:rPr>
          <w:sz w:val="16"/>
        </w:rPr>
        <w:t>Experts say Mississippi provides a cautionary tale for the nation as it implements the First Step Act.</w:t>
      </w:r>
      <w:r w:rsidR="0091150F" w:rsidRPr="00661A68">
        <w:rPr>
          <w:sz w:val="16"/>
        </w:rPr>
        <w:t xml:space="preserve"> </w:t>
      </w:r>
      <w:r w:rsidRPr="00661A68">
        <w:rPr>
          <w:u w:val="single"/>
        </w:rPr>
        <w:t>Emptying prisons of offenders “without treating their addiction, without mental health treatment and without job training is really irresponsible”</w:t>
      </w:r>
      <w:r w:rsidRPr="00661A68">
        <w:rPr>
          <w:sz w:val="16"/>
        </w:rPr>
        <w:t>, said Pat Nolan, the director of the American Conservative Union Foundation’s Center for Criminal Justice Reform, which campaigned for passage of the state and federal legislation.</w:t>
      </w:r>
      <w:r w:rsidR="0091150F" w:rsidRPr="00661A68">
        <w:rPr>
          <w:sz w:val="16"/>
        </w:rPr>
        <w:t xml:space="preserve"> </w:t>
      </w:r>
      <w:r w:rsidRPr="00661A68">
        <w:rPr>
          <w:sz w:val="16"/>
        </w:rPr>
        <w:t>“It’s unconscionable.”</w:t>
      </w:r>
      <w:r w:rsidR="0091150F" w:rsidRPr="00661A68">
        <w:rPr>
          <w:sz w:val="16"/>
        </w:rPr>
        <w:t xml:space="preserve"> </w:t>
      </w:r>
      <w:r w:rsidRPr="00661A68">
        <w:rPr>
          <w:sz w:val="16"/>
        </w:rPr>
        <w:t>Between 1993 and 2013, Mississippi’s prison population more than quadrupled, thanks largely to mandatory minimum sentences, with the population peaking in the past decade at more than 23,000. The state had a higher per capita rate of incarceration than countries such as China or Russia.</w:t>
      </w:r>
      <w:r w:rsidR="0091150F" w:rsidRPr="00661A68">
        <w:rPr>
          <w:sz w:val="16"/>
        </w:rPr>
        <w:t xml:space="preserve"> </w:t>
      </w:r>
      <w:r w:rsidRPr="00661A68">
        <w:rPr>
          <w:sz w:val="16"/>
        </w:rPr>
        <w:t>By the time the bill became law in July 2014, the Mississippi Parole Board was paroling more offenders and had already reduced the prison population by about 2,000 inmates. Within six months, it fell even more, to below 19,000.</w:t>
      </w:r>
      <w:r w:rsidR="0091150F" w:rsidRPr="00661A68">
        <w:rPr>
          <w:sz w:val="16"/>
        </w:rPr>
        <w:t xml:space="preserve"> </w:t>
      </w:r>
      <w:r w:rsidRPr="00661A68">
        <w:rPr>
          <w:sz w:val="16"/>
        </w:rPr>
        <w:t>The Pew Charitable Trusts, which provided assistance to officials on the reform, predicted that by 2024 Mississippi would save $266m by reducing its prison population.</w:t>
      </w:r>
      <w:r w:rsidR="0091150F" w:rsidRPr="00661A68">
        <w:rPr>
          <w:sz w:val="16"/>
        </w:rPr>
        <w:t xml:space="preserve"> </w:t>
      </w:r>
      <w:r w:rsidRPr="00661A68">
        <w:rPr>
          <w:sz w:val="16"/>
        </w:rPr>
        <w:t>Supporters of the First Step Act point to such numbers as evidence of the federal law’s potential. “We’ve based it on a lot of what’s been done in a lot of the states like Mississippi,” said the White House adviser Jared Kushner, who is Trump’s son-in-law, at the Gulfport event.</w:t>
      </w:r>
      <w:r w:rsidR="0091150F" w:rsidRPr="00661A68">
        <w:rPr>
          <w:sz w:val="16"/>
        </w:rPr>
        <w:t xml:space="preserve"> </w:t>
      </w:r>
      <w:r w:rsidRPr="00661A68">
        <w:rPr>
          <w:sz w:val="16"/>
        </w:rPr>
        <w:t>Other numbers, however, tell a different story.</w:t>
      </w:r>
      <w:r w:rsidR="0091150F" w:rsidRPr="00661A68">
        <w:rPr>
          <w:sz w:val="16"/>
        </w:rPr>
        <w:t xml:space="preserve"> </w:t>
      </w:r>
      <w:r w:rsidRPr="00661A68">
        <w:rPr>
          <w:sz w:val="16"/>
        </w:rPr>
        <w:t>The prison population has begun to tick back up, from 18,964 in January 2018 to 19,697 last week, largely due to probation and parole revocations putting offenders back behind bars. If current trends continue, Mississippi will have more inmates in 2020 than it did before the reform became law.</w:t>
      </w:r>
      <w:r w:rsidR="0091150F" w:rsidRPr="00661A68">
        <w:rPr>
          <w:sz w:val="16"/>
        </w:rPr>
        <w:t xml:space="preserve"> </w:t>
      </w:r>
      <w:r w:rsidRPr="00661A68">
        <w:rPr>
          <w:sz w:val="16"/>
        </w:rPr>
        <w:t>“The good news is it’s not as high as it was in 2014,” the parole board chairman Steve Pickett said. “But to quote President Reagan, ‘</w:t>
      </w:r>
      <w:r w:rsidRPr="00661A68">
        <w:rPr>
          <w:u w:val="single"/>
        </w:rPr>
        <w:t>Are we better off than we were four years ago?’ Do we have more parole and probation officers? Do we have more prison guards?”</w:t>
      </w:r>
      <w:r w:rsidR="0091150F" w:rsidRPr="00661A68">
        <w:rPr>
          <w:u w:val="single"/>
        </w:rPr>
        <w:t xml:space="preserve"> </w:t>
      </w:r>
      <w:r w:rsidRPr="00661A68">
        <w:rPr>
          <w:u w:val="single"/>
        </w:rPr>
        <w:t>The answer, data shows, is no.</w:t>
      </w:r>
      <w:r w:rsidR="0091150F" w:rsidRPr="00661A68">
        <w:rPr>
          <w:u w:val="single"/>
        </w:rPr>
        <w:t xml:space="preserve"> </w:t>
      </w:r>
      <w:r w:rsidRPr="00661A68">
        <w:rPr>
          <w:sz w:val="16"/>
        </w:rPr>
        <w:t xml:space="preserve">In 2014, the corrections department had 1,591 </w:t>
      </w:r>
      <w:r w:rsidRPr="00661A68">
        <w:rPr>
          <w:u w:val="single"/>
        </w:rPr>
        <w:t>correctional officers,</w:t>
      </w:r>
      <w:r w:rsidRPr="00661A68">
        <w:rPr>
          <w:sz w:val="16"/>
        </w:rPr>
        <w:t xml:space="preserve"> according to the state personnel board. Now there are </w:t>
      </w:r>
      <w:r w:rsidRPr="00661A68">
        <w:rPr>
          <w:u w:val="single"/>
        </w:rPr>
        <w:t>772</w:t>
      </w:r>
      <w:r w:rsidRPr="00661A68">
        <w:rPr>
          <w:sz w:val="16"/>
        </w:rPr>
        <w:t>, fewer than half as many.</w:t>
      </w:r>
      <w:r w:rsidR="0091150F" w:rsidRPr="00661A68">
        <w:rPr>
          <w:sz w:val="16"/>
        </w:rPr>
        <w:t xml:space="preserve"> </w:t>
      </w:r>
      <w:r w:rsidRPr="00661A68">
        <w:rPr>
          <w:sz w:val="16"/>
        </w:rPr>
        <w:t xml:space="preserve">In 2014, the department had 23 </w:t>
      </w:r>
      <w:r w:rsidRPr="00661A68">
        <w:rPr>
          <w:u w:val="single"/>
        </w:rPr>
        <w:t>vocational education instructors</w:t>
      </w:r>
      <w:r w:rsidRPr="00661A68">
        <w:rPr>
          <w:sz w:val="16"/>
        </w:rPr>
        <w:t xml:space="preserve">. Now there are </w:t>
      </w:r>
      <w:r w:rsidRPr="00661A68">
        <w:rPr>
          <w:u w:val="single"/>
        </w:rPr>
        <w:t>15</w:t>
      </w:r>
      <w:r w:rsidRPr="00661A68">
        <w:rPr>
          <w:sz w:val="16"/>
        </w:rPr>
        <w:t>.</w:t>
      </w:r>
      <w:r w:rsidR="0091150F" w:rsidRPr="00661A68">
        <w:rPr>
          <w:sz w:val="16"/>
        </w:rPr>
        <w:t xml:space="preserve"> </w:t>
      </w:r>
      <w:r w:rsidRPr="00661A68">
        <w:rPr>
          <w:sz w:val="16"/>
        </w:rPr>
        <w:t xml:space="preserve">In 2014, there were three </w:t>
      </w:r>
      <w:r w:rsidRPr="00661A68">
        <w:rPr>
          <w:u w:val="single"/>
        </w:rPr>
        <w:t>vocational counselors</w:t>
      </w:r>
      <w:r w:rsidRPr="00661A68">
        <w:rPr>
          <w:sz w:val="16"/>
        </w:rPr>
        <w:t xml:space="preserve">. Now there are </w:t>
      </w:r>
      <w:r w:rsidRPr="00661A68">
        <w:rPr>
          <w:u w:val="single"/>
        </w:rPr>
        <w:t>two</w:t>
      </w:r>
      <w:r w:rsidRPr="00661A68">
        <w:rPr>
          <w:sz w:val="16"/>
        </w:rPr>
        <w:t>.</w:t>
      </w:r>
      <w:r w:rsidR="0091150F" w:rsidRPr="00661A68">
        <w:rPr>
          <w:sz w:val="16"/>
        </w:rPr>
        <w:t xml:space="preserve"> </w:t>
      </w:r>
      <w:r w:rsidRPr="00661A68">
        <w:rPr>
          <w:sz w:val="16"/>
        </w:rPr>
        <w:t xml:space="preserve">In 2014, there were 319 </w:t>
      </w:r>
      <w:r w:rsidRPr="00661A68">
        <w:rPr>
          <w:u w:val="single"/>
        </w:rPr>
        <w:t>probation officers</w:t>
      </w:r>
      <w:r w:rsidRPr="00661A68">
        <w:rPr>
          <w:sz w:val="16"/>
        </w:rPr>
        <w:t xml:space="preserve">, according to the state personnel board. Now there are </w:t>
      </w:r>
      <w:r w:rsidRPr="00661A68">
        <w:rPr>
          <w:u w:val="single"/>
        </w:rPr>
        <w:t>257</w:t>
      </w:r>
      <w:r w:rsidRPr="00661A68">
        <w:rPr>
          <w:sz w:val="16"/>
        </w:rPr>
        <w:t>.</w:t>
      </w:r>
      <w:r w:rsidR="0091150F" w:rsidRPr="00661A68">
        <w:rPr>
          <w:sz w:val="16"/>
        </w:rPr>
        <w:t xml:space="preserve"> </w:t>
      </w:r>
      <w:r w:rsidRPr="00661A68">
        <w:rPr>
          <w:sz w:val="16"/>
        </w:rPr>
        <w:t xml:space="preserve">Moreover, the </w:t>
      </w:r>
      <w:r w:rsidRPr="00661A68">
        <w:rPr>
          <w:u w:val="single"/>
        </w:rPr>
        <w:t>investments in prisoner rehabilitation and training haven’t happened either</w:t>
      </w:r>
      <w:r w:rsidRPr="00661A68">
        <w:rPr>
          <w:sz w:val="16"/>
        </w:rPr>
        <w:t>.</w:t>
      </w:r>
      <w:r w:rsidR="0091150F" w:rsidRPr="00661A68">
        <w:rPr>
          <w:sz w:val="16"/>
        </w:rPr>
        <w:t xml:space="preserve"> </w:t>
      </w:r>
      <w:r w:rsidRPr="00661A68">
        <w:rPr>
          <w:sz w:val="16"/>
        </w:rPr>
        <w:t>Hal Kittrell, of Columbia, the task force chairman and a past president of the Mississippi Prosecutors Association, said house bill 585 “was designed to have a savings in cost, but it also anticipated reinvestment back into the program”.</w:t>
      </w:r>
      <w:r w:rsidR="0091150F" w:rsidRPr="00661A68">
        <w:rPr>
          <w:sz w:val="16"/>
        </w:rPr>
        <w:t xml:space="preserve"> </w:t>
      </w:r>
      <w:r w:rsidRPr="00661A68">
        <w:rPr>
          <w:sz w:val="16"/>
        </w:rPr>
        <w:t>Texas saw $443m in savings from prison reform between 2008 and 2009 and reinvested more than half of that into expanding drug treatment and similar programs for offenders, according to the Council of State Governments.</w:t>
      </w:r>
      <w:r w:rsidR="0091150F" w:rsidRPr="00661A68">
        <w:rPr>
          <w:sz w:val="16"/>
        </w:rPr>
        <w:t xml:space="preserve"> </w:t>
      </w:r>
      <w:r w:rsidRPr="00661A68">
        <w:rPr>
          <w:u w:val="single"/>
        </w:rPr>
        <w:t>The house corrections committee chairman, Bill Kinkade, said Mississippi’s economy is now growing, and that should enable lawmakers to spend more on reentry programs.</w:t>
      </w:r>
      <w:r w:rsidR="0091150F" w:rsidRPr="00661A68">
        <w:rPr>
          <w:u w:val="single"/>
        </w:rPr>
        <w:t xml:space="preserve"> </w:t>
      </w:r>
      <w:r w:rsidRPr="00661A68">
        <w:rPr>
          <w:u w:val="single"/>
        </w:rPr>
        <w:t>But the state has favored other priorities in recent years</w:t>
      </w:r>
      <w:r w:rsidRPr="00661A68">
        <w:rPr>
          <w:sz w:val="16"/>
        </w:rPr>
        <w:t>.</w:t>
      </w:r>
      <w:r w:rsidR="0091150F" w:rsidRPr="00661A68">
        <w:rPr>
          <w:sz w:val="16"/>
        </w:rPr>
        <w:t xml:space="preserve"> </w:t>
      </w:r>
      <w:r w:rsidRPr="00661A68">
        <w:rPr>
          <w:sz w:val="16"/>
        </w:rPr>
        <w:t>In 2015, lawmakers approved spending $9m on vouchers for special education students to attend private schools. A year later, the legislature began phasing out the corporate franchise tax, which was bringing in $260m a year. At the same time, it cut $145m in income taxes.</w:t>
      </w:r>
      <w:r w:rsidR="0091150F" w:rsidRPr="00661A68">
        <w:rPr>
          <w:sz w:val="16"/>
        </w:rPr>
        <w:t xml:space="preserve"> </w:t>
      </w:r>
      <w:r w:rsidRPr="00661A68">
        <w:rPr>
          <w:sz w:val="16"/>
        </w:rPr>
        <w:t>Hall, the corrections commissioner, called the decrease in personnel “alarming”, especially for correctional officers, saying they “can’t afford to live” on the entry-level salary of $24,900.</w:t>
      </w:r>
      <w:r w:rsidR="0091150F" w:rsidRPr="00661A68">
        <w:rPr>
          <w:sz w:val="16"/>
        </w:rPr>
        <w:t xml:space="preserve"> </w:t>
      </w:r>
      <w:r w:rsidRPr="00661A68">
        <w:rPr>
          <w:sz w:val="16"/>
        </w:rPr>
        <w:t>Neighboring states are offering much more, she said. Alabama, which already pays thousands more than Mississippi, is considering raising its starting pay even more.</w:t>
      </w:r>
      <w:r w:rsidR="0091150F" w:rsidRPr="00661A68">
        <w:rPr>
          <w:sz w:val="16"/>
        </w:rPr>
        <w:t xml:space="preserve"> </w:t>
      </w:r>
      <w:r w:rsidRPr="00661A68">
        <w:rPr>
          <w:sz w:val="16"/>
        </w:rPr>
        <w:t>One bright spot, Pickett said, is the corrections department has increased funding for transitional beds, akin to halfway houses. The number of beds had remained mostly unchanged until this past year when they went from 120 to 314.</w:t>
      </w:r>
      <w:r w:rsidR="0091150F" w:rsidRPr="00661A68">
        <w:rPr>
          <w:sz w:val="16"/>
        </w:rPr>
        <w:t xml:space="preserve"> </w:t>
      </w:r>
      <w:r w:rsidRPr="00661A68">
        <w:rPr>
          <w:sz w:val="16"/>
        </w:rPr>
        <w:t>“Am I satisfied with the progress?” Kinkade asked. “No, but we’re making strides and progress.”</w:t>
      </w:r>
      <w:r w:rsidR="0091150F" w:rsidRPr="00661A68">
        <w:rPr>
          <w:sz w:val="16"/>
        </w:rPr>
        <w:t xml:space="preserve"> </w:t>
      </w:r>
      <w:r w:rsidRPr="00661A68">
        <w:rPr>
          <w:sz w:val="16"/>
        </w:rPr>
        <w:t>Among its primary aims, house bill 585 promised to redirect more offenders whose behavior was driven by drug and alcohol dependence away from prison and to drug courts, which connect them with job and life-skills training as well as drug, alcohol and mental health treatment.</w:t>
      </w:r>
      <w:r w:rsidR="0091150F" w:rsidRPr="00661A68">
        <w:rPr>
          <w:sz w:val="16"/>
        </w:rPr>
        <w:t xml:space="preserve"> </w:t>
      </w:r>
      <w:r w:rsidRPr="00661A68">
        <w:rPr>
          <w:u w:val="single"/>
        </w:rPr>
        <w:t>A memo</w:t>
      </w:r>
      <w:r w:rsidRPr="00661A68">
        <w:rPr>
          <w:sz w:val="16"/>
        </w:rPr>
        <w:t xml:space="preserve"> written by the not-for-profit Pew </w:t>
      </w:r>
      <w:r w:rsidRPr="00661A68">
        <w:rPr>
          <w:u w:val="single"/>
        </w:rPr>
        <w:t>talked of a reinvestment of nearly $11m in savings into drug courts.</w:t>
      </w:r>
      <w:r w:rsidR="0091150F" w:rsidRPr="00661A68">
        <w:rPr>
          <w:u w:val="single"/>
        </w:rPr>
        <w:t xml:space="preserve"> </w:t>
      </w:r>
      <w:r w:rsidRPr="00661A68">
        <w:rPr>
          <w:u w:val="single"/>
        </w:rPr>
        <w:t>Instead, Mississippi lawmakers cut the annual budget for drug courts</w:t>
      </w:r>
      <w:r w:rsidRPr="00661A68">
        <w:rPr>
          <w:sz w:val="16"/>
        </w:rPr>
        <w:t xml:space="preserve"> </w:t>
      </w:r>
      <w:r w:rsidRPr="00661A68">
        <w:rPr>
          <w:u w:val="single"/>
        </w:rPr>
        <w:t>in half</w:t>
      </w:r>
      <w:r w:rsidRPr="00661A68">
        <w:rPr>
          <w:sz w:val="16"/>
        </w:rPr>
        <w:t xml:space="preserve"> from nearly $8m in 2013. It has since inched up somewhat, to $6.5m this year.</w:t>
      </w:r>
      <w:r w:rsidR="0091150F" w:rsidRPr="00661A68">
        <w:rPr>
          <w:sz w:val="16"/>
        </w:rPr>
        <w:t xml:space="preserve"> </w:t>
      </w:r>
      <w:r w:rsidRPr="00661A68">
        <w:rPr>
          <w:sz w:val="16"/>
        </w:rPr>
        <w:t>Inside Mississippi’s prisons, three-fourths of the more than 19,000 inmates suffer from alcohol or drug woes.</w:t>
      </w:r>
      <w:r w:rsidR="0091150F" w:rsidRPr="00661A68">
        <w:rPr>
          <w:sz w:val="16"/>
        </w:rPr>
        <w:t xml:space="preserve"> </w:t>
      </w:r>
      <w:r w:rsidRPr="00661A68">
        <w:rPr>
          <w:sz w:val="16"/>
        </w:rPr>
        <w:t>Despite that, the corrections department has only 20 drug and alcohol counselors and one licensed psychologist, according to the state personnel board. Arkansas, which has a similar prison population, has eight psychologists and 33 administrators of its substance abuse programs.</w:t>
      </w:r>
      <w:r w:rsidR="0091150F" w:rsidRPr="00661A68">
        <w:rPr>
          <w:sz w:val="16"/>
        </w:rPr>
        <w:t xml:space="preserve"> </w:t>
      </w:r>
      <w:r w:rsidRPr="00661A68">
        <w:rPr>
          <w:sz w:val="16"/>
        </w:rPr>
        <w:t>Steps so far to provide community mental health have been small. Over the past three years, the corrections department has received $1.4m in federal grants for drug treatment and mental health treatment of offenders who returned to seven counties.</w:t>
      </w:r>
      <w:r w:rsidR="0091150F" w:rsidRPr="00661A68">
        <w:rPr>
          <w:sz w:val="16"/>
        </w:rPr>
        <w:t xml:space="preserve"> </w:t>
      </w:r>
      <w:r w:rsidRPr="00661A68">
        <w:rPr>
          <w:sz w:val="16"/>
        </w:rPr>
        <w:t>Good news came this spring when lawmakers passed, and the governor signed into law, a bill transforming the drug courts into intervention courts, which can also tackle mental health matters and issues affecting military veterans.</w:t>
      </w:r>
      <w:r w:rsidR="0091150F" w:rsidRPr="00661A68">
        <w:rPr>
          <w:sz w:val="16"/>
        </w:rPr>
        <w:t xml:space="preserve"> </w:t>
      </w:r>
      <w:r w:rsidRPr="00661A68">
        <w:rPr>
          <w:sz w:val="16"/>
        </w:rPr>
        <w:t>The state public defender, André de Gruy, said evidence shows drug courts can reduce recidivism if operated properly. Because Mississippi is one of the worst states in the nation in providing help for addiction and mental health issues, he said, “a real ‘reinvestment’ would be more money to pay for treatment through community mental health programs”.</w:t>
      </w:r>
      <w:r w:rsidR="0091150F" w:rsidRPr="00661A68">
        <w:rPr>
          <w:sz w:val="16"/>
        </w:rPr>
        <w:t xml:space="preserve"> </w:t>
      </w:r>
      <w:r w:rsidRPr="00661A68">
        <w:rPr>
          <w:u w:val="single"/>
        </w:rPr>
        <w:t>Mississippi also lacks programs to help offenders transition from prison to their communities</w:t>
      </w:r>
      <w:r w:rsidRPr="00661A68">
        <w:rPr>
          <w:sz w:val="16"/>
        </w:rPr>
        <w:t>, according to the task force that spearheaded the legislation.</w:t>
      </w:r>
      <w:r w:rsidR="0091150F" w:rsidRPr="00661A68">
        <w:rPr>
          <w:sz w:val="16"/>
        </w:rPr>
        <w:t xml:space="preserve"> </w:t>
      </w:r>
      <w:r w:rsidRPr="00661A68">
        <w:rPr>
          <w:sz w:val="16"/>
        </w:rPr>
        <w:t>Offenders entering Louisiana prisons are interviewed and given tests to assess their needs. Corrections officials then create plans to reduce the offenders’ risk of returning to prison and enter them in programs, including job training and money management.</w:t>
      </w:r>
      <w:r w:rsidR="0091150F" w:rsidRPr="00661A68">
        <w:rPr>
          <w:sz w:val="16"/>
        </w:rPr>
        <w:t xml:space="preserve"> </w:t>
      </w:r>
      <w:r w:rsidRPr="00661A68">
        <w:rPr>
          <w:sz w:val="16"/>
        </w:rPr>
        <w:t>By contrast, in Mississippi, nearly every inmate “comes home at some point, unsupervised and unmanaged”, said Kinkade, the house corrections committee chairman.</w:t>
      </w:r>
      <w:r w:rsidR="0091150F" w:rsidRPr="00661A68">
        <w:rPr>
          <w:sz w:val="16"/>
        </w:rPr>
        <w:t xml:space="preserve"> </w:t>
      </w:r>
      <w:r w:rsidRPr="00661A68">
        <w:rPr>
          <w:sz w:val="16"/>
        </w:rPr>
        <w:t>Mississippi’s corrections department had a risk-assessment test, but it lacked proof that it worked, Hall said.</w:t>
      </w:r>
      <w:r w:rsidR="0091150F" w:rsidRPr="00661A68">
        <w:rPr>
          <w:sz w:val="16"/>
        </w:rPr>
        <w:t xml:space="preserve"> </w:t>
      </w:r>
      <w:r w:rsidRPr="00661A68">
        <w:rPr>
          <w:sz w:val="16"/>
        </w:rPr>
        <w:t>A new tool is being used on every offender who enters prison, she said.</w:t>
      </w:r>
      <w:r w:rsidR="0091150F" w:rsidRPr="00661A68">
        <w:rPr>
          <w:sz w:val="16"/>
        </w:rPr>
        <w:t xml:space="preserve"> </w:t>
      </w:r>
      <w:r w:rsidRPr="00661A68">
        <w:rPr>
          <w:sz w:val="16"/>
        </w:rPr>
        <w:t>It will be used again as they leave, she said.</w:t>
      </w:r>
      <w:r w:rsidR="0091150F" w:rsidRPr="00661A68">
        <w:rPr>
          <w:sz w:val="16"/>
        </w:rPr>
        <w:t xml:space="preserve"> </w:t>
      </w:r>
      <w:r w:rsidRPr="00661A68">
        <w:rPr>
          <w:sz w:val="16"/>
        </w:rPr>
        <w:t>House bill 585 requires Mississippi’s corrections department to ensure each of the more than 8,000 offenders leaving prison annually has a driver’s license or state ID card, but lawmakers provided no extra funding for these cards. Fewer than 100 offenders are receiving them a month, according to the department.</w:t>
      </w:r>
      <w:r w:rsidR="0091150F" w:rsidRPr="00661A68">
        <w:rPr>
          <w:sz w:val="16"/>
        </w:rPr>
        <w:t xml:space="preserve"> </w:t>
      </w:r>
      <w:r w:rsidRPr="00661A68">
        <w:rPr>
          <w:sz w:val="16"/>
        </w:rPr>
        <w:t>“</w:t>
      </w:r>
      <w:r w:rsidRPr="00661A68">
        <w:rPr>
          <w:u w:val="single"/>
        </w:rPr>
        <w:t>You can’t get a job without an ID</w:t>
      </w:r>
      <w:r w:rsidRPr="00661A68">
        <w:rPr>
          <w:sz w:val="16"/>
        </w:rPr>
        <w:t xml:space="preserve">,” Starrett said. “If you somehow get a job, </w:t>
      </w:r>
      <w:r w:rsidRPr="00661A68">
        <w:rPr>
          <w:u w:val="single"/>
        </w:rPr>
        <w:t>you can’t cash a check without an ID.</w:t>
      </w:r>
      <w:r w:rsidRPr="00661A68">
        <w:rPr>
          <w:sz w:val="16"/>
        </w:rPr>
        <w:t xml:space="preserve"> You can’t even get some prescriptions from the drugstore without an ID.”</w:t>
      </w:r>
      <w:r w:rsidR="0091150F" w:rsidRPr="00661A68">
        <w:rPr>
          <w:sz w:val="16"/>
        </w:rPr>
        <w:t xml:space="preserve"> </w:t>
      </w:r>
      <w:r w:rsidRPr="00661A68">
        <w:rPr>
          <w:u w:val="single"/>
        </w:rPr>
        <w:t>The problem is many offenders lack birth certificates or Social Security cards, and the Department of Public Safety requires both for an ID card</w:t>
      </w:r>
      <w:r w:rsidRPr="00661A68">
        <w:rPr>
          <w:sz w:val="16"/>
        </w:rPr>
        <w:t>, she said. It can take months or even longer for replacements to arrive, she said.</w:t>
      </w:r>
      <w:r w:rsidR="0091150F" w:rsidRPr="00661A68">
        <w:rPr>
          <w:sz w:val="16"/>
        </w:rPr>
        <w:t xml:space="preserve"> </w:t>
      </w:r>
      <w:r w:rsidRPr="00661A68">
        <w:rPr>
          <w:sz w:val="16"/>
        </w:rPr>
        <w:t>Louisiana corrections officials try to get at least two forms of identification for offenders, as well as replacement birth certificates and Social Security cards if needed.</w:t>
      </w:r>
      <w:r w:rsidR="0091150F" w:rsidRPr="00661A68">
        <w:rPr>
          <w:sz w:val="16"/>
        </w:rPr>
        <w:t xml:space="preserve"> </w:t>
      </w:r>
      <w:r w:rsidRPr="00661A68">
        <w:rPr>
          <w:sz w:val="16"/>
        </w:rPr>
        <w:t>Since taking over the corrections department in 2017, Hall said she has made providing IDs a priority. The Mississippi Department of Public Safety now comes to the prisons as often as once a week, she said.</w:t>
      </w:r>
      <w:r w:rsidR="0091150F" w:rsidRPr="00661A68">
        <w:rPr>
          <w:sz w:val="16"/>
        </w:rPr>
        <w:t xml:space="preserve"> </w:t>
      </w:r>
      <w:r w:rsidRPr="00661A68">
        <w:rPr>
          <w:sz w:val="16"/>
        </w:rPr>
        <w:t>Louisiana also enables judges to preside over a reentry program, where nonviolent offenders who face up to 10 years in prison may qualify to join a job-training program that can cut their time behind bars down to two years.</w:t>
      </w:r>
      <w:r w:rsidR="0091150F" w:rsidRPr="00661A68">
        <w:rPr>
          <w:sz w:val="16"/>
        </w:rPr>
        <w:t xml:space="preserve"> </w:t>
      </w:r>
      <w:r w:rsidRPr="00661A68">
        <w:rPr>
          <w:u w:val="single"/>
        </w:rPr>
        <w:t>We are releasing them into the same neighborhood, with no skill sets, and expecting a different outcome. That’s the definition of insanity</w:t>
      </w:r>
      <w:r w:rsidRPr="00661A68">
        <w:rPr>
          <w:sz w:val="16"/>
        </w:rPr>
        <w:t>.</w:t>
      </w:r>
      <w:r w:rsidR="0091150F" w:rsidRPr="00661A68">
        <w:rPr>
          <w:sz w:val="16"/>
        </w:rPr>
        <w:t xml:space="preserve"> </w:t>
      </w:r>
      <w:r w:rsidRPr="00661A68">
        <w:rPr>
          <w:sz w:val="16"/>
        </w:rPr>
        <w:t>Hal Kittrell</w:t>
      </w:r>
      <w:r w:rsidR="0091150F" w:rsidRPr="00661A68">
        <w:rPr>
          <w:sz w:val="16"/>
        </w:rPr>
        <w:t xml:space="preserve"> </w:t>
      </w:r>
      <w:r w:rsidRPr="00661A68">
        <w:rPr>
          <w:sz w:val="16"/>
        </w:rPr>
        <w:t>Advertisement</w:t>
      </w:r>
      <w:r w:rsidR="0091150F" w:rsidRPr="00661A68">
        <w:rPr>
          <w:sz w:val="16"/>
        </w:rPr>
        <w:t xml:space="preserve"> </w:t>
      </w:r>
      <w:r w:rsidRPr="00661A68">
        <w:rPr>
          <w:sz w:val="16"/>
        </w:rPr>
        <w:t>Those who finish the program have a recidivism rate of 9.4%, compared to more than 30% for the average inmate in Louisiana.</w:t>
      </w:r>
      <w:r w:rsidR="0091150F" w:rsidRPr="00661A68">
        <w:rPr>
          <w:sz w:val="16"/>
        </w:rPr>
        <w:t xml:space="preserve"> </w:t>
      </w:r>
      <w:r w:rsidRPr="00661A68">
        <w:rPr>
          <w:sz w:val="16"/>
        </w:rPr>
        <w:t>Mississippi offers fewer educational or vocational programs, but offenders taking part in them have a lower recidivism rate than the state as a whole, 16% to 19% compared with 33%, Hall said.</w:t>
      </w:r>
      <w:r w:rsidR="0091150F" w:rsidRPr="00661A68">
        <w:rPr>
          <w:sz w:val="16"/>
        </w:rPr>
        <w:t xml:space="preserve"> </w:t>
      </w:r>
      <w:r w:rsidRPr="00661A68">
        <w:rPr>
          <w:sz w:val="16"/>
        </w:rPr>
        <w:t xml:space="preserve">Outside prison, </w:t>
      </w:r>
      <w:r w:rsidRPr="00661A68">
        <w:rPr>
          <w:u w:val="single"/>
        </w:rPr>
        <w:t>Mississippi operates no halfway houses</w:t>
      </w:r>
      <w:r w:rsidRPr="00661A68">
        <w:rPr>
          <w:sz w:val="16"/>
        </w:rPr>
        <w:t>, and probation officers say they are overwhelmed.</w:t>
      </w:r>
      <w:r w:rsidR="0091150F" w:rsidRPr="00661A68">
        <w:rPr>
          <w:sz w:val="16"/>
        </w:rPr>
        <w:t xml:space="preserve"> </w:t>
      </w:r>
      <w:r w:rsidRPr="00661A68">
        <w:rPr>
          <w:sz w:val="16"/>
        </w:rPr>
        <w:t>One former Mississippi probation officer said her caseload earlier this year included as many as 340 offenders. She assisted many in getting into rehab, some into jobs and some in getting their driver’s licenses back.</w:t>
      </w:r>
      <w:r w:rsidR="0091150F" w:rsidRPr="00661A68">
        <w:rPr>
          <w:sz w:val="16"/>
        </w:rPr>
        <w:t xml:space="preserve"> </w:t>
      </w:r>
      <w:r w:rsidRPr="00661A68">
        <w:rPr>
          <w:sz w:val="16"/>
        </w:rPr>
        <w:t>“We were desperately understaffed,” said the officer, who asked not to be named for fear it could hurt her new job in another state. “It was very stressful.”</w:t>
      </w:r>
      <w:r w:rsidR="0091150F" w:rsidRPr="00661A68">
        <w:rPr>
          <w:sz w:val="16"/>
        </w:rPr>
        <w:t xml:space="preserve"> </w:t>
      </w:r>
      <w:r w:rsidRPr="00661A68">
        <w:rPr>
          <w:sz w:val="16"/>
        </w:rPr>
        <w:t>Hall acknowledges a lack of staffing. To handle such woes, probation officers now focus on high-risk offenders. But with caseloads of 200 to 300 people, the task is difficult, if not impossible, she said.</w:t>
      </w:r>
      <w:r w:rsidR="0091150F" w:rsidRPr="00661A68">
        <w:rPr>
          <w:sz w:val="16"/>
        </w:rPr>
        <w:t xml:space="preserve"> </w:t>
      </w:r>
      <w:r w:rsidRPr="00661A68">
        <w:rPr>
          <w:sz w:val="16"/>
        </w:rPr>
        <w:t>Kittrell, a district attorney for five counties in south central Mississippi, said said unless the state starts investing in reentry programs, offenders are destined to return to prison.</w:t>
      </w:r>
      <w:r w:rsidR="0091150F" w:rsidRPr="00661A68">
        <w:rPr>
          <w:sz w:val="16"/>
        </w:rPr>
        <w:t xml:space="preserve"> </w:t>
      </w:r>
      <w:r w:rsidRPr="00661A68">
        <w:rPr>
          <w:sz w:val="16"/>
        </w:rPr>
        <w:t>“Here we are, releasing them into the same neighborhood, with no skill sets at all, and expecting a different outcome,” he said. “That’s the definition of insanity.”</w:t>
      </w:r>
      <w:r w:rsidR="0091150F" w:rsidRPr="00661A68">
        <w:rPr>
          <w:sz w:val="16"/>
        </w:rPr>
        <w:t xml:space="preserve"> </w:t>
      </w:r>
      <w:r w:rsidRPr="00661A68">
        <w:rPr>
          <w:sz w:val="16"/>
        </w:rPr>
        <w:t>Another priority of the law was to reduce recidivism.</w:t>
      </w:r>
      <w:r w:rsidR="0091150F" w:rsidRPr="00661A68">
        <w:rPr>
          <w:sz w:val="16"/>
        </w:rPr>
        <w:t xml:space="preserve"> </w:t>
      </w:r>
      <w:r w:rsidRPr="00661A68">
        <w:rPr>
          <w:u w:val="single"/>
        </w:rPr>
        <w:t>Hoping to reduce probation revocations, house bill 585 requires judges to send offenders guilty of two or fewer technical violations to a technical violations center.</w:t>
      </w:r>
      <w:r w:rsidR="0091150F" w:rsidRPr="00661A68">
        <w:rPr>
          <w:u w:val="single"/>
        </w:rPr>
        <w:t xml:space="preserve"> </w:t>
      </w:r>
      <w:r w:rsidRPr="00661A68">
        <w:rPr>
          <w:u w:val="single"/>
        </w:rPr>
        <w:t>Many judges balked.</w:t>
      </w:r>
      <w:r w:rsidR="0091150F" w:rsidRPr="00661A68">
        <w:rPr>
          <w:u w:val="single"/>
        </w:rPr>
        <w:t xml:space="preserve"> </w:t>
      </w:r>
      <w:r w:rsidRPr="00661A68">
        <w:rPr>
          <w:sz w:val="16"/>
        </w:rPr>
        <w:t>“</w:t>
      </w:r>
      <w:r w:rsidRPr="00661A68">
        <w:rPr>
          <w:u w:val="single"/>
        </w:rPr>
        <w:t>They feel like some discretion has been taken away from them</w:t>
      </w:r>
      <w:r w:rsidRPr="00661A68">
        <w:rPr>
          <w:sz w:val="16"/>
        </w:rPr>
        <w:t>,” the circuit Judge Prentiss Harrell, of Hattiesburg, said.</w:t>
      </w:r>
      <w:r w:rsidR="0091150F" w:rsidRPr="00661A68">
        <w:rPr>
          <w:sz w:val="16"/>
        </w:rPr>
        <w:t xml:space="preserve"> </w:t>
      </w:r>
      <w:r w:rsidRPr="00661A68">
        <w:rPr>
          <w:sz w:val="16"/>
        </w:rPr>
        <w:t>Another judge ruled house bill 585 unconstitutional, saying it violated the separation of powers, a decision the Mississippi supreme court later overturned.</w:t>
      </w:r>
      <w:r w:rsidR="0091150F" w:rsidRPr="00661A68">
        <w:rPr>
          <w:sz w:val="16"/>
        </w:rPr>
        <w:t xml:space="preserve"> </w:t>
      </w:r>
      <w:r w:rsidRPr="00661A68">
        <w:rPr>
          <w:sz w:val="16"/>
        </w:rPr>
        <w:t>Despite its flaws, house bill 585 has meant a new beginning for some.</w:t>
      </w:r>
      <w:r w:rsidR="0091150F" w:rsidRPr="00661A68">
        <w:rPr>
          <w:sz w:val="16"/>
        </w:rPr>
        <w:t xml:space="preserve"> </w:t>
      </w:r>
      <w:r w:rsidRPr="00661A68">
        <w:rPr>
          <w:sz w:val="16"/>
        </w:rPr>
        <w:t>Jody Owens II, the Southern Poverty Law Center’s managing attorney for Mississippi, said the law has paved the way for trial judges to help give new lives to nonviolent offenders. The parole board is releasing about two offenders a month under this provision, the board says.</w:t>
      </w:r>
      <w:r w:rsidR="0091150F" w:rsidRPr="00661A68">
        <w:rPr>
          <w:sz w:val="16"/>
        </w:rPr>
        <w:t xml:space="preserve"> </w:t>
      </w:r>
      <w:r w:rsidRPr="00661A68">
        <w:rPr>
          <w:sz w:val="16"/>
        </w:rPr>
        <w:t>Inmate Jerry Johnson hopes to join them. In 1993, he received 60 years without parole in Coahoma county circuit court for making two $20 crack cocaine sales under Mississippi’s “three strikes” rule. In March, a judge there authorized Johnson’s eligibility for parole.</w:t>
      </w:r>
      <w:r w:rsidR="0091150F" w:rsidRPr="00661A68">
        <w:rPr>
          <w:sz w:val="16"/>
        </w:rPr>
        <w:t xml:space="preserve"> </w:t>
      </w:r>
      <w:r w:rsidRPr="00661A68">
        <w:rPr>
          <w:sz w:val="16"/>
        </w:rPr>
        <w:t>If the parole board agrees, Johnson, 60, would walk free after 26 years in prison. Owens said Johnson wants to help his ill sister and assist youth in the community.</w:t>
      </w:r>
      <w:r w:rsidR="0091150F" w:rsidRPr="00661A68">
        <w:rPr>
          <w:sz w:val="16"/>
        </w:rPr>
        <w:t xml:space="preserve"> </w:t>
      </w:r>
      <w:r w:rsidRPr="00661A68">
        <w:rPr>
          <w:sz w:val="16"/>
        </w:rPr>
        <w:t>This would “save Mississippi approximately $620,000”, the expected cost of imprisoning him for the rest of his term, Owens said. “This is so significant. It is giving people freedom.”</w:t>
      </w:r>
    </w:p>
    <w:p w14:paraId="67CED291" w14:textId="77777777" w:rsidR="00FD57F5" w:rsidRPr="00661A68" w:rsidRDefault="00FD57F5" w:rsidP="00FD57F5"/>
    <w:p w14:paraId="19BB5C13" w14:textId="5CFA9BAF" w:rsidR="00BF363A" w:rsidRPr="00661A68" w:rsidRDefault="001D396E" w:rsidP="00CB65BF">
      <w:pPr>
        <w:pStyle w:val="Heading3"/>
      </w:pPr>
      <w:r w:rsidRPr="00661A68">
        <w:t>2AC No Follow-On--Courts</w:t>
      </w:r>
    </w:p>
    <w:p w14:paraId="5005E505" w14:textId="686E7F48" w:rsidR="001D396E" w:rsidRPr="00661A68" w:rsidRDefault="001D396E" w:rsidP="001D396E">
      <w:pPr>
        <w:pStyle w:val="Heading4"/>
      </w:pPr>
      <w:r w:rsidRPr="00661A68">
        <w:t xml:space="preserve">States follow the feds, not the other way around—the counterplan would be ruled </w:t>
      </w:r>
      <w:r w:rsidRPr="00661A68">
        <w:rPr>
          <w:u w:val="single"/>
        </w:rPr>
        <w:t>illegal</w:t>
      </w:r>
      <w:r w:rsidRPr="00661A68">
        <w:t xml:space="preserve"> under the Supremacy Clause</w:t>
      </w:r>
    </w:p>
    <w:p w14:paraId="7215E796" w14:textId="20D91E14" w:rsidR="001D396E" w:rsidRPr="00661A68" w:rsidRDefault="00ED0020" w:rsidP="001D396E">
      <w:r w:rsidRPr="00661A68">
        <w:rPr>
          <w:rStyle w:val="Style13ptBold"/>
        </w:rPr>
        <w:t>LII ND</w:t>
      </w:r>
      <w:r w:rsidRPr="00661A68">
        <w:t xml:space="preserve"> [Legal Information Institute, </w:t>
      </w:r>
      <w:r w:rsidR="009016D6" w:rsidRPr="00661A68">
        <w:t>A Cornell Law</w:t>
      </w:r>
      <w:r w:rsidR="00C271B2" w:rsidRPr="00661A68">
        <w:t xml:space="preserve"> School</w:t>
      </w:r>
      <w:r w:rsidR="009016D6" w:rsidRPr="00661A68">
        <w:t xml:space="preserve"> program providing free legal information online, “Use of State Courts in Enforcement of Federal Law”; </w:t>
      </w:r>
      <w:r w:rsidR="007C026B" w:rsidRPr="00661A68">
        <w:t xml:space="preserve">published to the web at an undisclosed date, accessed 6/3/20; </w:t>
      </w:r>
      <w:r w:rsidR="00C271B2" w:rsidRPr="00661A68">
        <w:t>https://www.law.cornell.edu/constitution-conan/article-3/section-2/clause-2/use-of-state-courts-in-enforcement-of-federal-law</w:t>
      </w:r>
      <w:r w:rsidR="007748FC" w:rsidRPr="00661A68">
        <w:t>]</w:t>
      </w:r>
    </w:p>
    <w:p w14:paraId="0D64D823" w14:textId="7CD62912" w:rsidR="001D396E" w:rsidRPr="00661A68" w:rsidRDefault="001D396E" w:rsidP="001D396E">
      <w:pPr>
        <w:rPr>
          <w:sz w:val="16"/>
        </w:rPr>
      </w:pPr>
      <w:r w:rsidRPr="00661A68">
        <w:rPr>
          <w:sz w:val="16"/>
        </w:rPr>
        <w:t>Use of State Courts in Enforcement of Federal Law.</w:t>
      </w:r>
      <w:r w:rsidR="001D7793" w:rsidRPr="00661A68">
        <w:rPr>
          <w:sz w:val="16"/>
        </w:rPr>
        <w:t xml:space="preserve"> </w:t>
      </w:r>
      <w:r w:rsidRPr="00661A68">
        <w:rPr>
          <w:u w:val="single"/>
        </w:rPr>
        <w:t>Although the states’ rights proponents in the Convention and in the First Congress wished to leave to the state courts the enforcement of federal law and rights rather than to create inferior federal courts</w:t>
      </w:r>
      <w:r w:rsidRPr="00661A68">
        <w:rPr>
          <w:sz w:val="16"/>
        </w:rPr>
        <w:t>,</w:t>
      </w:r>
      <w:r w:rsidRPr="00661A68">
        <w:rPr>
          <w:u w:val="single"/>
        </w:rPr>
        <w:t>1310 it was not long before they or their successors began to argue that state courts could not be required to adjudicate cases based on federal law.</w:t>
      </w:r>
      <w:r w:rsidRPr="00661A68">
        <w:rPr>
          <w:sz w:val="16"/>
        </w:rPr>
        <w:t xml:space="preserve"> The practice in the early years was to make the jurisdiction of federal courts generally concurrent with that of state courts,1311 and early Congresses imposed positive duties on state courts to enforce federal laws.1312 Reaction set in out of hostility to the Embargo Acts, the Fugitive Slave Law, and other measures,1313 and, in Prigg v. Pennsylvania,1314 involving the Fugitive Slave Law, the Court indicated that the states could not be compelled to enforce federal law. After a long period, however, Congress resumed its former practice,1315 which the Court sustained,1316 and it went even further in the Federal Employers’ Liability Act by not only giving state courts concurrent jurisdiction but also by prohibiting the removal of cases begun in state courts to the federal courts.1317</w:t>
      </w:r>
      <w:r w:rsidR="001D7793" w:rsidRPr="00661A68">
        <w:rPr>
          <w:sz w:val="16"/>
        </w:rPr>
        <w:t xml:space="preserve"> </w:t>
      </w:r>
      <w:r w:rsidRPr="00661A68">
        <w:rPr>
          <w:u w:val="single"/>
        </w:rPr>
        <w:t>When Connecticut courts refused to enforce an FELA claim on the ground that to do so was contrary to the public policy of the state, the Court held on the basis of the Supremacy Clause that, when Congress enacts a law and declares a national policy, that policy is as much Connecticut’s and every other state’s as it is of the collective United States</w:t>
      </w:r>
      <w:r w:rsidRPr="00661A68">
        <w:rPr>
          <w:sz w:val="16"/>
        </w:rPr>
        <w:t xml:space="preserve">.1318 The Court’s suggestion that the act could be enforced “as of right, in the courts of the States when their jurisdiction, as prescribed by local laws, is adequate to the occasion,”1319 leaving the impression that </w:t>
      </w:r>
      <w:r w:rsidRPr="00661A68">
        <w:rPr>
          <w:u w:val="single"/>
        </w:rPr>
        <w:t>state practice might in some instances preclude enforcement in state courts</w:t>
      </w:r>
      <w:r w:rsidRPr="00661A68">
        <w:rPr>
          <w:sz w:val="16"/>
        </w:rPr>
        <w:t xml:space="preserve">, was given body when the Court upheld New York’s refusal to adjudicate an FELA claim that fell in a class of cases in which claims under state law would not be entertained.1320 “[T]here is nothing in the Act of Congress that purports to force a duty upon such Courts as against an otherwise valid excuse.”1321 However, “[a]n excuse that is inconsistent with or violates federal law is not a valid excuse: </w:t>
      </w:r>
      <w:r w:rsidRPr="00661A68">
        <w:rPr>
          <w:u w:val="single"/>
        </w:rPr>
        <w:t>The Supremacy Clause forbids state courts to dissociate themselves from federal law because of disagreement with its content or a refusal to recognize the superior authority of its source</w:t>
      </w:r>
      <w:r w:rsidRPr="00661A68">
        <w:rPr>
          <w:sz w:val="16"/>
        </w:rPr>
        <w:t>.”1322</w:t>
      </w:r>
      <w:r w:rsidR="001D7793" w:rsidRPr="00661A68">
        <w:rPr>
          <w:sz w:val="16"/>
        </w:rPr>
        <w:t xml:space="preserve"> </w:t>
      </w:r>
      <w:r w:rsidRPr="00661A68">
        <w:rPr>
          <w:sz w:val="16"/>
        </w:rPr>
        <w:t xml:space="preserve">The fact that a </w:t>
      </w:r>
      <w:r w:rsidRPr="00661A68">
        <w:rPr>
          <w:u w:val="single"/>
        </w:rPr>
        <w:t>state statute divests its courts of jurisdiction not only over a disfavored federal claim, but also over an identical state claim, does not ensure that the “state law will be deemed a neutral rule of judicial administration and therefore a valid excuse for refusing to entertain a federal cause of action.”</w:t>
      </w:r>
      <w:r w:rsidRPr="00661A68">
        <w:rPr>
          <w:sz w:val="16"/>
        </w:rPr>
        <w:t>1323 “Although the absence of discrimination [in its treatment of federal and state law] is necessary to our finding a state law neutral, it is not sufficient. A jurisdictional rule cannot be used as a device to undermine federal law, no matter how evenhanded it may appear.”1324</w:t>
      </w:r>
      <w:r w:rsidR="001D7793" w:rsidRPr="00661A68">
        <w:rPr>
          <w:sz w:val="16"/>
        </w:rPr>
        <w:t xml:space="preserve"> </w:t>
      </w:r>
      <w:r w:rsidRPr="00661A68">
        <w:rPr>
          <w:sz w:val="16"/>
        </w:rPr>
        <w:t xml:space="preserve">In Testa v. Katt,1325 the Court unanimously held that </w:t>
      </w:r>
      <w:r w:rsidRPr="00661A68">
        <w:rPr>
          <w:u w:val="single"/>
        </w:rPr>
        <w:t>state courts</w:t>
      </w:r>
      <w:r w:rsidRPr="00661A68">
        <w:rPr>
          <w:sz w:val="16"/>
        </w:rPr>
        <w:t xml:space="preserve">, at least with regard to claims and cases analogous to claims and cases enforceable in those courts under state law, </w:t>
      </w:r>
      <w:r w:rsidRPr="00661A68">
        <w:rPr>
          <w:u w:val="single"/>
        </w:rPr>
        <w:t>are required to enforce “penal” laws of the United States</w:t>
      </w:r>
      <w:r w:rsidRPr="00661A68">
        <w:rPr>
          <w:sz w:val="16"/>
        </w:rPr>
        <w:t>; the statute at issue in the case provided “that a buyer of goods at above the prescribed ceiling price may sue the seller ‘in any court of competent jurisdiction.’ ”1326 Respecting Rhode Island’s claim that one sovereign cannot enforce the penal laws of another, Justice Black observed that the assumption underlying this claim flew “in the face of the fact that the States of the Union constitute a nation” and the fact of the existence of the Supremacy Clause.1327</w:t>
      </w:r>
    </w:p>
    <w:p w14:paraId="4B947D3A" w14:textId="7423BA9F" w:rsidR="00CB65BF" w:rsidRPr="00661A68" w:rsidRDefault="00CB65BF" w:rsidP="00CB65BF">
      <w:pPr>
        <w:pStyle w:val="Heading3"/>
      </w:pPr>
      <w:r w:rsidRPr="00661A68">
        <w:t>Trump Sucks</w:t>
      </w:r>
    </w:p>
    <w:p w14:paraId="1A94E573" w14:textId="2908E528" w:rsidR="00CB65BF" w:rsidRPr="00661A68" w:rsidRDefault="00CB65BF" w:rsidP="00CB65BF">
      <w:pPr>
        <w:pStyle w:val="Heading4"/>
      </w:pPr>
      <w:r w:rsidRPr="00661A68">
        <w:t>Trump undercuts reform</w:t>
      </w:r>
      <w:r w:rsidR="001F0F38" w:rsidRPr="00661A68">
        <w:t>s</w:t>
      </w:r>
    </w:p>
    <w:p w14:paraId="4B7070FE" w14:textId="77777777" w:rsidR="00AB1B01" w:rsidRPr="00661A68" w:rsidRDefault="001F0F38" w:rsidP="001F0F38">
      <w:r w:rsidRPr="00661A68">
        <w:t>---DOJ foot dragging</w:t>
      </w:r>
    </w:p>
    <w:p w14:paraId="5824A923" w14:textId="77777777" w:rsidR="00AB1B01" w:rsidRPr="00661A68" w:rsidRDefault="00AB1B01" w:rsidP="001F0F38">
      <w:r w:rsidRPr="00661A68">
        <w:t xml:space="preserve"> ---red tape </w:t>
      </w:r>
    </w:p>
    <w:p w14:paraId="010591E5" w14:textId="77777777" w:rsidR="00AB1B01" w:rsidRPr="00661A68" w:rsidRDefault="001F0F38" w:rsidP="001F0F38">
      <w:r w:rsidRPr="00661A68">
        <w:t>---no follow-on</w:t>
      </w:r>
      <w:r w:rsidR="00AB1B01" w:rsidRPr="00661A68">
        <w:t xml:space="preserve"> </w:t>
      </w:r>
    </w:p>
    <w:p w14:paraId="3F251DD5" w14:textId="11799995" w:rsidR="001F0F38" w:rsidRPr="00661A68" w:rsidRDefault="001F0F38" w:rsidP="001F0F38">
      <w:r w:rsidRPr="00661A68">
        <w:t xml:space="preserve">---Supremacy Clause isn’t explicitly invoked but is </w:t>
      </w:r>
      <w:r w:rsidR="00CB529C" w:rsidRPr="00661A68">
        <w:t>implemented in effect</w:t>
      </w:r>
    </w:p>
    <w:p w14:paraId="5D333C46" w14:textId="77777777" w:rsidR="00CB65BF" w:rsidRPr="00661A68" w:rsidRDefault="00CB65BF" w:rsidP="00CB65BF">
      <w:r w:rsidRPr="00661A68">
        <w:rPr>
          <w:rStyle w:val="Style13ptBold"/>
        </w:rPr>
        <w:t>Davidson</w:t>
      </w:r>
      <w:r w:rsidRPr="00661A68">
        <w:t xml:space="preserve"> 1/9/</w:t>
      </w:r>
      <w:r w:rsidRPr="00661A68">
        <w:rPr>
          <w:rStyle w:val="Style13ptBold"/>
        </w:rPr>
        <w:t>20</w:t>
      </w:r>
      <w:r w:rsidRPr="00661A68">
        <w:t xml:space="preserve"> [Joe, writing for the Washington Post, “Federal prison reform has bipartisan support. But it’s moving slowly.”; published 1/9/20, accessed 6/1/20; https://www.washingtonpost.com/politics/federal-prison-reform-has-bipartisan-support-but-its-moving-slowly/2020/01/08/81edfbd6-3268-11ea-898f-eb846b7e9feb_story.html]</w:t>
      </w:r>
    </w:p>
    <w:p w14:paraId="3E41B1C9" w14:textId="4B34E2F8" w:rsidR="00CB65BF" w:rsidRPr="00661A68" w:rsidRDefault="00CB65BF" w:rsidP="00CB65BF">
      <w:pPr>
        <w:rPr>
          <w:sz w:val="16"/>
        </w:rPr>
      </w:pPr>
      <w:r w:rsidRPr="00661A68">
        <w:rPr>
          <w:sz w:val="16"/>
        </w:rPr>
        <w:t>Like any 1-year-old</w:t>
      </w:r>
      <w:r w:rsidRPr="00661A68">
        <w:rPr>
          <w:u w:val="single"/>
        </w:rPr>
        <w:t>, the First Step Act’s first steps to reform the criminal justice system have been significant, if not always sure and steady.</w:t>
      </w:r>
      <w:r w:rsidR="00AB1B01" w:rsidRPr="00661A68">
        <w:rPr>
          <w:sz w:val="16"/>
        </w:rPr>
        <w:t xml:space="preserve"> </w:t>
      </w:r>
      <w:r w:rsidRPr="00661A68">
        <w:rPr>
          <w:sz w:val="16"/>
        </w:rPr>
        <w:t xml:space="preserve">The law’s first anniversary fell just before Christmas. By </w:t>
      </w:r>
      <w:r w:rsidRPr="00661A68">
        <w:rPr>
          <w:u w:val="single"/>
        </w:rPr>
        <w:t>limiting mandatory minimum sentences, retroactively reducing sentences and expanding rehabilitation programs for federal inmates</w:t>
      </w:r>
      <w:r w:rsidRPr="00661A68">
        <w:rPr>
          <w:sz w:val="16"/>
        </w:rPr>
        <w:t xml:space="preserve">, the bipartisan achievement </w:t>
      </w:r>
      <w:r w:rsidRPr="00661A68">
        <w:rPr>
          <w:u w:val="single"/>
        </w:rPr>
        <w:t>marked a major diversion from the mass incarceration mania that dominated American law enforcement for decades</w:t>
      </w:r>
      <w:r w:rsidRPr="00661A68">
        <w:rPr>
          <w:sz w:val="16"/>
        </w:rPr>
        <w:t>.</w:t>
      </w:r>
      <w:r w:rsidR="00AB1B01" w:rsidRPr="00661A68">
        <w:rPr>
          <w:sz w:val="16"/>
        </w:rPr>
        <w:t xml:space="preserve"> </w:t>
      </w:r>
      <w:r w:rsidRPr="00661A68">
        <w:rPr>
          <w:u w:val="single"/>
        </w:rPr>
        <w:t>But moving from the intent of the law — trumpeted by President Trump, Democrats and Republicans, liberals and conservatives — to the reality of implementation is akin to a baby learning to walk. Celebrated progress is mixed with inevitable stumbles</w:t>
      </w:r>
      <w:r w:rsidRPr="00661A68">
        <w:rPr>
          <w:sz w:val="16"/>
        </w:rPr>
        <w:t>.</w:t>
      </w:r>
      <w:r w:rsidR="00AB1B01" w:rsidRPr="00661A68">
        <w:rPr>
          <w:sz w:val="16"/>
        </w:rPr>
        <w:t xml:space="preserve"> </w:t>
      </w:r>
      <w:r w:rsidRPr="00661A68">
        <w:rPr>
          <w:sz w:val="16"/>
        </w:rPr>
        <w:t xml:space="preserve">At the center of the change is </w:t>
      </w:r>
      <w:r w:rsidRPr="00661A68">
        <w:rPr>
          <w:u w:val="single"/>
        </w:rPr>
        <w:t>the U.S. Bureau of Prisons</w:t>
      </w:r>
      <w:r w:rsidRPr="00661A68">
        <w:rPr>
          <w:sz w:val="16"/>
        </w:rPr>
        <w:t xml:space="preserve">, which currently incarcerates about 175,250 inmates. Although the law applies only to the federal government, Uncle Sam’s policies </w:t>
      </w:r>
      <w:r w:rsidRPr="00661A68">
        <w:rPr>
          <w:rStyle w:val="Emphasis"/>
        </w:rPr>
        <w:t>often influence what happens in the states</w:t>
      </w:r>
      <w:r w:rsidRPr="00661A68">
        <w:rPr>
          <w:u w:val="single"/>
        </w:rPr>
        <w:t>, where the bulk of the nation’s 2 million prisoners are held</w:t>
      </w:r>
      <w:r w:rsidRPr="00661A68">
        <w:rPr>
          <w:sz w:val="16"/>
        </w:rPr>
        <w:t>.</w:t>
      </w:r>
      <w:r w:rsidR="00AB1B01" w:rsidRPr="00661A68">
        <w:rPr>
          <w:sz w:val="16"/>
        </w:rPr>
        <w:t xml:space="preserve"> </w:t>
      </w:r>
      <w:r w:rsidRPr="00661A68">
        <w:rPr>
          <w:sz w:val="16"/>
        </w:rPr>
        <w:t>AD</w:t>
      </w:r>
      <w:r w:rsidR="00AB1B01" w:rsidRPr="00661A68">
        <w:rPr>
          <w:sz w:val="16"/>
        </w:rPr>
        <w:t xml:space="preserve"> </w:t>
      </w:r>
      <w:r w:rsidRPr="00661A68">
        <w:rPr>
          <w:sz w:val="16"/>
        </w:rPr>
        <w:t>“</w:t>
      </w:r>
      <w:r w:rsidRPr="00661A68">
        <w:rPr>
          <w:u w:val="single"/>
        </w:rPr>
        <w:t>While sentence reductions have been approved by judges, the Department of Justice (DOJ) has attempted to block hundreds of eligible beneficiaries</w:t>
      </w:r>
      <w:r w:rsidRPr="00661A68">
        <w:rPr>
          <w:sz w:val="16"/>
        </w:rPr>
        <w:t>,” according to a report by the Sentencing Project, an interest group that has long pushed criminal justice reform. “</w:t>
      </w:r>
      <w:r w:rsidRPr="00661A68">
        <w:rPr>
          <w:u w:val="single"/>
        </w:rPr>
        <w:t>There has also been a problematic rollout of the risk and needs assessment tool to determine earned-time credit eligibility and limited programming for rehabilitation</w:t>
      </w:r>
      <w:r w:rsidRPr="00661A68">
        <w:rPr>
          <w:sz w:val="16"/>
        </w:rPr>
        <w:t>.”</w:t>
      </w:r>
      <w:r w:rsidR="00AB1B01" w:rsidRPr="00661A68">
        <w:rPr>
          <w:sz w:val="16"/>
        </w:rPr>
        <w:t xml:space="preserve"> </w:t>
      </w:r>
      <w:r w:rsidRPr="00661A68">
        <w:rPr>
          <w:sz w:val="16"/>
        </w:rPr>
        <w:t>That appraisal contrasts with self-praise from bureau Director Kathleen Hawk Sawyer. She didn’t agree to an interview, but in a statement, she said her agency “has made great progress in implementing” the law.</w:t>
      </w:r>
      <w:r w:rsidR="00AB1B01" w:rsidRPr="00661A68">
        <w:rPr>
          <w:sz w:val="16"/>
        </w:rPr>
        <w:t xml:space="preserve"> </w:t>
      </w:r>
      <w:r w:rsidRPr="00661A68">
        <w:rPr>
          <w:sz w:val="16"/>
        </w:rPr>
        <w:t>It led to sentence reductions for more than 1,500 inmates as of October, she told the House Judiciary Committee in the fall. Nearly 100 prisoners, generally old or ill, received compassionate release, with 328 approved for an elderly offender pilot program that placed 242 offenders in home confinement. Within seven months of the law’s implementation, she said, the agency released more than 3,000 inmates because of changes to good-conduct time calculations.</w:t>
      </w:r>
      <w:r w:rsidR="00AB1B01" w:rsidRPr="00661A68">
        <w:rPr>
          <w:sz w:val="16"/>
        </w:rPr>
        <w:t xml:space="preserve"> </w:t>
      </w:r>
      <w:r w:rsidRPr="00661A68">
        <w:rPr>
          <w:sz w:val="16"/>
        </w:rPr>
        <w:t>AD</w:t>
      </w:r>
      <w:r w:rsidR="00AB1B01" w:rsidRPr="00661A68">
        <w:rPr>
          <w:sz w:val="16"/>
        </w:rPr>
        <w:t xml:space="preserve"> </w:t>
      </w:r>
      <w:r w:rsidRPr="00661A68">
        <w:rPr>
          <w:sz w:val="16"/>
        </w:rPr>
        <w:t>Although Hawk Sawyer said prisons officials have long believed that inmate “release preparation begins on the first day of incarceration,” prisoner advocates see a different side of the agency.</w:t>
      </w:r>
      <w:r w:rsidR="00AB1B01" w:rsidRPr="00661A68">
        <w:rPr>
          <w:sz w:val="16"/>
        </w:rPr>
        <w:t xml:space="preserve"> </w:t>
      </w:r>
      <w:r w:rsidRPr="00661A68">
        <w:rPr>
          <w:sz w:val="16"/>
        </w:rPr>
        <w:t>“</w:t>
      </w:r>
      <w:r w:rsidRPr="00661A68">
        <w:rPr>
          <w:u w:val="single"/>
        </w:rPr>
        <w:t>The BOP has a long history of acting in ways that result in lengthier and less productive terms of incarceration despite the obvious will of Congress</w:t>
      </w:r>
      <w:r w:rsidRPr="00661A68">
        <w:rPr>
          <w:sz w:val="16"/>
        </w:rPr>
        <w:t>,” David E. Patton, executive director of the nonprofit Federal Defenders of New York, said in a statement.</w:t>
      </w:r>
      <w:r w:rsidR="00AB1B01" w:rsidRPr="00661A68">
        <w:rPr>
          <w:sz w:val="16"/>
        </w:rPr>
        <w:t xml:space="preserve"> </w:t>
      </w:r>
      <w:r w:rsidRPr="00661A68">
        <w:rPr>
          <w:sz w:val="16"/>
        </w:rPr>
        <w:t xml:space="preserve">“For decades </w:t>
      </w:r>
      <w:r w:rsidRPr="00661A68">
        <w:rPr>
          <w:u w:val="single"/>
        </w:rPr>
        <w:t>the BOP took an unreasonably restrictive view of good time</w:t>
      </w:r>
      <w:r w:rsidRPr="00661A68">
        <w:rPr>
          <w:sz w:val="16"/>
        </w:rPr>
        <w:t xml:space="preserve">, resulting in thousands of years of additional overall prison time,” he said. “For </w:t>
      </w:r>
      <w:r w:rsidRPr="00661A68">
        <w:rPr>
          <w:u w:val="single"/>
        </w:rPr>
        <w:t>decades it refused to exercise the authority given to it by Congress to release incarcerated people who were terminally ill, infirm, or otherwise suffered from extraordinary circumstances</w:t>
      </w:r>
      <w:r w:rsidRPr="00661A68">
        <w:rPr>
          <w:sz w:val="16"/>
        </w:rPr>
        <w:t xml:space="preserve"> . . . and for decades it has not provided enough vocational, educational, mental health, and substance abuse programming despite abundant need and lengthy waitlists.”</w:t>
      </w:r>
      <w:r w:rsidR="00AB1B01" w:rsidRPr="00661A68">
        <w:rPr>
          <w:sz w:val="16"/>
        </w:rPr>
        <w:t xml:space="preserve"> </w:t>
      </w:r>
      <w:r w:rsidRPr="00661A68">
        <w:rPr>
          <w:sz w:val="16"/>
        </w:rPr>
        <w:t>AD</w:t>
      </w:r>
      <w:r w:rsidR="00AB1B01" w:rsidRPr="00661A68">
        <w:rPr>
          <w:sz w:val="16"/>
        </w:rPr>
        <w:t xml:space="preserve"> </w:t>
      </w:r>
      <w:r w:rsidRPr="00661A68">
        <w:rPr>
          <w:sz w:val="16"/>
        </w:rPr>
        <w:t>Participation in those programs can help inmates secure early release from incarceration, but only if slots are available</w:t>
      </w:r>
      <w:r w:rsidR="00AB1B01" w:rsidRPr="00661A68">
        <w:rPr>
          <w:sz w:val="16"/>
        </w:rPr>
        <w:t xml:space="preserve"> </w:t>
      </w:r>
      <w:r w:rsidRPr="00661A68">
        <w:rPr>
          <w:sz w:val="16"/>
        </w:rPr>
        <w:t xml:space="preserve">Pointing to Justice Department data, Patton said </w:t>
      </w:r>
      <w:r w:rsidRPr="00661A68">
        <w:rPr>
          <w:u w:val="single"/>
        </w:rPr>
        <w:t>waitlists include 25,000 prisoners for prison work assignments, 15,000 for vocational and educational training and 5,000 for drug treatment.</w:t>
      </w:r>
      <w:r w:rsidR="00AB1B01" w:rsidRPr="00661A68">
        <w:rPr>
          <w:sz w:val="16"/>
        </w:rPr>
        <w:t xml:space="preserve"> </w:t>
      </w:r>
      <w:r w:rsidRPr="00661A68">
        <w:rPr>
          <w:sz w:val="16"/>
        </w:rPr>
        <w:t>Almost half the bureau’s prisoners complete no programs, more than half don’t get needed drug treatment, over 80 percent haven’t taken technical or vocational courses, and over 90 percent have no prison industry employment, according to the data.</w:t>
      </w:r>
      <w:r w:rsidR="00AB1B01" w:rsidRPr="00661A68">
        <w:rPr>
          <w:sz w:val="16"/>
        </w:rPr>
        <w:t xml:space="preserve"> </w:t>
      </w:r>
      <w:r w:rsidRPr="00661A68">
        <w:rPr>
          <w:sz w:val="16"/>
        </w:rPr>
        <w:t>Program participation is an element in an assessment system that classifies inmates’ risk of recidivism. That assessment affects their chances of early release.</w:t>
      </w:r>
      <w:r w:rsidR="00AB1B01" w:rsidRPr="00661A68">
        <w:rPr>
          <w:sz w:val="16"/>
        </w:rPr>
        <w:t xml:space="preserve"> </w:t>
      </w:r>
      <w:r w:rsidRPr="00661A68">
        <w:rPr>
          <w:sz w:val="16"/>
        </w:rPr>
        <w:t>One controversial element of the Trump administration’s implementation of the law is the Justice Department’s selection of the conservative Hudson Institute to select members of an Independent Review Committee, which advises on the assessment system.</w:t>
      </w:r>
      <w:r w:rsidR="00AB1B01" w:rsidRPr="00661A68">
        <w:rPr>
          <w:sz w:val="16"/>
        </w:rPr>
        <w:t xml:space="preserve"> </w:t>
      </w:r>
      <w:r w:rsidRPr="00661A68">
        <w:rPr>
          <w:sz w:val="16"/>
        </w:rPr>
        <w:t>While the Hudson Institute took no institutional position on the First Step Act, the organization did publish a 2016 article on “Why Trump Should Oppose ‘Criminal-Justice Reform.’ ”</w:t>
      </w:r>
      <w:r w:rsidR="00AB1B01" w:rsidRPr="00661A68">
        <w:rPr>
          <w:sz w:val="16"/>
        </w:rPr>
        <w:t xml:space="preserve"> </w:t>
      </w:r>
      <w:r w:rsidRPr="00661A68">
        <w:rPr>
          <w:sz w:val="16"/>
        </w:rPr>
        <w:t>Andrea James, formerly a criminal defense attorney and federal inmate, called on the Justice Department to “create a community oversight board that truly represents the political spectrum and makes a place for formerly incarcerated people to join the conversation.” Prisoners and formerly incarcerated people, James — executive director of the National Council for Incarcerated and Formerly Incarcerated Women and Girls — told Congress, “must have significant input in designing the recidivism assessment instrument.”</w:t>
      </w:r>
      <w:r w:rsidR="00AB1B01" w:rsidRPr="00661A68">
        <w:rPr>
          <w:sz w:val="16"/>
        </w:rPr>
        <w:t xml:space="preserve"> </w:t>
      </w:r>
      <w:r w:rsidRPr="00661A68">
        <w:rPr>
          <w:sz w:val="16"/>
        </w:rPr>
        <w:t>Hawk Sawyer acknowledged her agency’s “less than stellar performance” in some high-profile instances and promised to address the problems. Among them is understaffing.</w:t>
      </w:r>
      <w:r w:rsidR="00AB1B01" w:rsidRPr="00661A68">
        <w:rPr>
          <w:sz w:val="16"/>
        </w:rPr>
        <w:t xml:space="preserve"> </w:t>
      </w:r>
      <w:r w:rsidRPr="00661A68">
        <w:rPr>
          <w:sz w:val="16"/>
        </w:rPr>
        <w:t>AD</w:t>
      </w:r>
      <w:r w:rsidR="00AB1B01" w:rsidRPr="00661A68">
        <w:rPr>
          <w:sz w:val="16"/>
        </w:rPr>
        <w:t xml:space="preserve"> </w:t>
      </w:r>
      <w:r w:rsidRPr="00661A68">
        <w:rPr>
          <w:sz w:val="16"/>
        </w:rPr>
        <w:t>“</w:t>
      </w:r>
      <w:r w:rsidRPr="00661A68">
        <w:rPr>
          <w:u w:val="single"/>
        </w:rPr>
        <w:t>The BOP is struggling to fulfill the requirements of the Act as the Bureau is still more than 4,000 positions short</w:t>
      </w:r>
      <w:r w:rsidRPr="00661A68">
        <w:rPr>
          <w:sz w:val="16"/>
        </w:rPr>
        <w:t>,” Shane Fausey, president of the American Federation of Government Employees Council of Prison Locals, said by email. He complained of “abusive overtime and mandatory double shifts,” adding that requirements of the First Step Act have worsened the crisis.</w:t>
      </w:r>
      <w:r w:rsidR="00AB1B01" w:rsidRPr="00661A68">
        <w:rPr>
          <w:sz w:val="16"/>
        </w:rPr>
        <w:t xml:space="preserve"> </w:t>
      </w:r>
      <w:r w:rsidRPr="00661A68">
        <w:rPr>
          <w:sz w:val="16"/>
        </w:rPr>
        <w:t>Hawk Sawyer put the understaffing at over 3,700 vacancies and said resolving that “is among my highest priorities . . . but doing so will take time.”</w:t>
      </w:r>
      <w:r w:rsidR="00AB1B01" w:rsidRPr="00661A68">
        <w:rPr>
          <w:sz w:val="16"/>
        </w:rPr>
        <w:t xml:space="preserve"> </w:t>
      </w:r>
      <w:r w:rsidRPr="00661A68">
        <w:rPr>
          <w:sz w:val="16"/>
        </w:rPr>
        <w:t>Correctional officers aren’t the only people in prison with overtime problems. Inmates doing less time is a key point of the First Step Act.</w:t>
      </w:r>
    </w:p>
    <w:p w14:paraId="36684703" w14:textId="0C0D742F" w:rsidR="009A3057" w:rsidRPr="00661A68" w:rsidRDefault="009A3057" w:rsidP="009A3057">
      <w:pPr>
        <w:pStyle w:val="Heading3"/>
      </w:pPr>
      <w:r w:rsidRPr="00661A68">
        <w:t>States Link to Politics</w:t>
      </w:r>
    </w:p>
    <w:p w14:paraId="59791D66" w14:textId="77777777" w:rsidR="009A3057" w:rsidRPr="00661A68" w:rsidRDefault="009A3057" w:rsidP="009A3057">
      <w:pPr>
        <w:pStyle w:val="Heading4"/>
      </w:pPr>
      <w:r w:rsidRPr="00661A68">
        <w:t>States link to politics more than the aff- drags in more actors and ensures partisan resistance</w:t>
      </w:r>
    </w:p>
    <w:p w14:paraId="1669ADB2" w14:textId="77777777" w:rsidR="009A3057" w:rsidRPr="00661A68" w:rsidRDefault="009A3057" w:rsidP="009A3057">
      <w:r w:rsidRPr="00661A68">
        <w:rPr>
          <w:rStyle w:val="Style13ptBold"/>
        </w:rPr>
        <w:t>Bulman-Pozen 16</w:t>
      </w:r>
      <w:r w:rsidRPr="00661A68">
        <w:t xml:space="preserve"> </w:t>
      </w:r>
      <w:r w:rsidRPr="00661A68">
        <w:rPr>
          <w:sz w:val="16"/>
          <w:szCs w:val="16"/>
        </w:rPr>
        <w:t>(Jessica, Associate Professor, Columbia Law School, EXECUTIVE FEDERALISM COMES TO AMERICA, 102 Va. L. Rev. 953, June, lexis)</w:t>
      </w:r>
    </w:p>
    <w:p w14:paraId="6F393EC2" w14:textId="77777777" w:rsidR="009A3057" w:rsidRPr="00661A68" w:rsidRDefault="009A3057" w:rsidP="009A3057">
      <w:pPr>
        <w:rPr>
          <w:sz w:val="16"/>
        </w:rPr>
      </w:pPr>
      <w:r w:rsidRPr="00661A68">
        <w:rPr>
          <w:sz w:val="16"/>
        </w:rPr>
        <w:t xml:space="preserve">As I have suggested, </w:t>
      </w:r>
      <w:r w:rsidRPr="00661A68">
        <w:rPr>
          <w:rStyle w:val="StyleUnderline"/>
        </w:rPr>
        <w:t xml:space="preserve">executive federalism grows out of </w:t>
      </w:r>
      <w:r w:rsidRPr="00661A68">
        <w:rPr>
          <w:sz w:val="16"/>
        </w:rPr>
        <w:t xml:space="preserve">the </w:t>
      </w:r>
      <w:r w:rsidRPr="00661A68">
        <w:rPr>
          <w:rStyle w:val="StyleUnderline"/>
        </w:rPr>
        <w:t>political polarization</w:t>
      </w:r>
      <w:r w:rsidRPr="00661A68">
        <w:rPr>
          <w:sz w:val="16"/>
        </w:rPr>
        <w:t xml:space="preserve"> of our times. </w:t>
      </w:r>
      <w:r w:rsidRPr="00661A68">
        <w:rPr>
          <w:rStyle w:val="StyleUnderline"/>
        </w:rPr>
        <w:t>Hyperpolarized parties</w:t>
      </w:r>
      <w:r w:rsidRPr="00661A68">
        <w:rPr>
          <w:sz w:val="16"/>
        </w:rPr>
        <w:t xml:space="preserve"> gridlock Congress and further empower the executive branch, but they also </w:t>
      </w:r>
      <w:r w:rsidRPr="00661A68">
        <w:rPr>
          <w:rStyle w:val="StyleUnderline"/>
        </w:rPr>
        <w:t>create</w:t>
      </w:r>
      <w:r w:rsidRPr="00661A68">
        <w:rPr>
          <w:sz w:val="16"/>
        </w:rPr>
        <w:t xml:space="preserve"> </w:t>
      </w:r>
      <w:r w:rsidRPr="00661A68">
        <w:rPr>
          <w:rStyle w:val="Emphasis"/>
        </w:rPr>
        <w:t>strong links across the state-federal divide</w:t>
      </w:r>
      <w:r w:rsidRPr="00661A68">
        <w:rPr>
          <w:sz w:val="16"/>
        </w:rPr>
        <w:t xml:space="preserve">. n172 </w:t>
      </w:r>
      <w:r w:rsidRPr="00661A68">
        <w:rPr>
          <w:rStyle w:val="StyleUnderline"/>
        </w:rPr>
        <w:t>These</w:t>
      </w:r>
      <w:r w:rsidRPr="00661A68">
        <w:rPr>
          <w:sz w:val="16"/>
        </w:rPr>
        <w:t xml:space="preserve"> links may </w:t>
      </w:r>
      <w:r w:rsidRPr="00661A68">
        <w:rPr>
          <w:rStyle w:val="StyleUnderline"/>
        </w:rPr>
        <w:t>enable</w:t>
      </w:r>
      <w:r w:rsidRPr="00661A68">
        <w:rPr>
          <w:sz w:val="16"/>
        </w:rPr>
        <w:t xml:space="preserve"> something like party government through state-federal </w:t>
      </w:r>
      <w:r w:rsidRPr="00661A68">
        <w:rPr>
          <w:rStyle w:val="StyleUnderline"/>
        </w:rPr>
        <w:t>cooperation among co-partisans</w:t>
      </w:r>
      <w:r w:rsidRPr="00661A68">
        <w:rPr>
          <w:sz w:val="16"/>
        </w:rPr>
        <w:t xml:space="preserve">, enhancing the ability of the federal executive and certain states to act. At the same time, the </w:t>
      </w:r>
      <w:r w:rsidRPr="00661A68">
        <w:rPr>
          <w:rStyle w:val="StyleUnderline"/>
        </w:rPr>
        <w:t xml:space="preserve">state-federal connection </w:t>
      </w:r>
      <w:r w:rsidRPr="00661A68">
        <w:rPr>
          <w:rStyle w:val="Emphasis"/>
        </w:rPr>
        <w:t>amplifies opportunities for partisan resistance and contestation</w:t>
      </w:r>
      <w:r w:rsidRPr="00661A68">
        <w:rPr>
          <w:sz w:val="16"/>
        </w:rPr>
        <w:t>. If state and federal executives seek each other out because of partisan affinity, their collaborations tend also to bring in other state actors with opposing positions.</w:t>
      </w:r>
    </w:p>
    <w:p w14:paraId="0229820E" w14:textId="77777777" w:rsidR="009A3057" w:rsidRPr="00661A68" w:rsidRDefault="009A3057" w:rsidP="009A3057">
      <w:pPr>
        <w:pStyle w:val="Heading4"/>
      </w:pPr>
      <w:r w:rsidRPr="00661A68">
        <w:t>State action still links- national party integration ensures feds get drawn in</w:t>
      </w:r>
    </w:p>
    <w:p w14:paraId="0D6F0404" w14:textId="77777777" w:rsidR="009A3057" w:rsidRPr="00661A68" w:rsidRDefault="009A3057" w:rsidP="009A3057">
      <w:r w:rsidRPr="00661A68">
        <w:rPr>
          <w:rStyle w:val="Style13ptBold"/>
        </w:rPr>
        <w:t>Bulman-Pozen 16</w:t>
      </w:r>
      <w:r w:rsidRPr="00661A68">
        <w:t xml:space="preserve"> </w:t>
      </w:r>
      <w:r w:rsidRPr="00661A68">
        <w:rPr>
          <w:sz w:val="16"/>
          <w:szCs w:val="16"/>
        </w:rPr>
        <w:t>(Jessica, Associate Professor, Columbia Law School, EXECUTIVE FEDERALISM COMES TO AMERICA, 102 Va. L. Rev. 953, June, lexis)</w:t>
      </w:r>
    </w:p>
    <w:p w14:paraId="76F9D861" w14:textId="69308649" w:rsidR="009A3057" w:rsidRPr="00661A68" w:rsidRDefault="009A3057" w:rsidP="009A3057">
      <w:pPr>
        <w:rPr>
          <w:sz w:val="16"/>
        </w:rPr>
      </w:pPr>
      <w:r w:rsidRPr="00661A68">
        <w:rPr>
          <w:sz w:val="16"/>
        </w:rPr>
        <w:t xml:space="preserve">In the United States today, </w:t>
      </w:r>
      <w:r w:rsidRPr="00661A68">
        <w:rPr>
          <w:rStyle w:val="StyleUnderline"/>
        </w:rPr>
        <w:t>national partisan conflict</w:t>
      </w:r>
      <w:r w:rsidRPr="00661A68">
        <w:rPr>
          <w:sz w:val="16"/>
        </w:rPr>
        <w:t xml:space="preserve"> and cooperation </w:t>
      </w:r>
      <w:r w:rsidRPr="00661A68">
        <w:rPr>
          <w:rStyle w:val="StyleUnderline"/>
        </w:rPr>
        <w:t>occur</w:t>
      </w:r>
      <w:r w:rsidRPr="00661A68">
        <w:rPr>
          <w:sz w:val="16"/>
        </w:rPr>
        <w:t xml:space="preserve"> </w:t>
      </w:r>
      <w:r w:rsidRPr="00661A68">
        <w:rPr>
          <w:rStyle w:val="StyleUnderline"/>
        </w:rPr>
        <w:t>in an integrated way across the states and the federal government</w:t>
      </w:r>
      <w:r w:rsidRPr="00661A68">
        <w:rPr>
          <w:sz w:val="16"/>
        </w:rPr>
        <w:t xml:space="preserve">. In previous work, I have focused on the contestatory aspects of this "partisan federalism" - the ways in which political actors use both the state and federal governments to stage partisan competition. n51 In one recent display of how partisan alliances trump institutional affiliations and national conflict gets played out in state as well as federal sites, Senate Majority Leader Mitch McConnell sent a letter urging governors to resist the Clean Power Plan promulgated by President Obama's Environmental Protection Agency ("EPA"). n52 The most powerful member of Congress thus tried to enlist the states to fight another part of the federal government on partisan grounds. And he addressed his argument to governors in particular, recognizing that the key players in shaping national policy and the state-federal relationship had become the executives at both levels of government. Importantly, however, </w:t>
      </w:r>
      <w:r w:rsidRPr="00661A68">
        <w:rPr>
          <w:rStyle w:val="StyleUnderline"/>
        </w:rPr>
        <w:t>partisan federalism creates alliances as well as opposition</w:t>
      </w:r>
      <w:r w:rsidRPr="00661A68">
        <w:rPr>
          <w:sz w:val="16"/>
        </w:rPr>
        <w:t xml:space="preserve">. The same Clean Power Plan that Senator McConnell opposes also offers an example of state-federal cooperation fueled by shared ideological commitments. n53 The decline of dual federalism underlies this dynamic - the fact that the state and federal governments regulate in the same areas facilitates state-federal cooperation. Indeed, the significance of such partisan connections may be most apparent in traditional cooperative federalism schemes, when states and the federal government are jointly administering a federal program. But these connections also matter in the absence of such programs because </w:t>
      </w:r>
      <w:r w:rsidRPr="00661A68">
        <w:rPr>
          <w:rStyle w:val="StyleUnderline"/>
        </w:rPr>
        <w:t>state legislation or regulation may be a means of furthering a national agenda frustrated in Washington</w:t>
      </w:r>
      <w:r w:rsidRPr="00661A68">
        <w:rPr>
          <w:sz w:val="16"/>
        </w:rPr>
        <w:t xml:space="preserve">. </w:t>
      </w:r>
      <w:r w:rsidRPr="00661A68">
        <w:rPr>
          <w:rStyle w:val="StyleUnderline"/>
        </w:rPr>
        <w:t>Unable to get a minimum wage increase</w:t>
      </w:r>
      <w:r w:rsidRPr="00661A68">
        <w:rPr>
          <w:sz w:val="16"/>
        </w:rPr>
        <w:t xml:space="preserve"> through Congress, for example, President </w:t>
      </w:r>
      <w:r w:rsidRPr="00661A68">
        <w:rPr>
          <w:rStyle w:val="StyleUnderline"/>
        </w:rPr>
        <w:t>Obama seized on already-underway state efforts and argued to the National Governors Association, among others, that states</w:t>
      </w:r>
      <w:r w:rsidRPr="00661A68">
        <w:rPr>
          <w:sz w:val="16"/>
        </w:rPr>
        <w:t xml:space="preserve"> [*967] </w:t>
      </w:r>
      <w:r w:rsidRPr="00661A68">
        <w:rPr>
          <w:rStyle w:val="StyleUnderline"/>
        </w:rPr>
        <w:t>could be critical fora for national governance</w:t>
      </w:r>
      <w:r w:rsidRPr="00661A68">
        <w:rPr>
          <w:sz w:val="16"/>
        </w:rPr>
        <w:t xml:space="preserve">. n54 In 2014 and 2015, several blue states increased the minimum wage, advancing within particular jurisdictions a goal broadly shared among Democratic officials. n55 As the Clean Power Plan and minimum wage examples suggest, national, polarized parties do not generate only federal-state conflict or cooperation. They generate both at the same time. </w:t>
      </w:r>
      <w:r w:rsidRPr="00661A68">
        <w:rPr>
          <w:rStyle w:val="StyleUnderline"/>
        </w:rPr>
        <w:t>Party identification leads different groups of state and federal actors to ally with each other and against opposing groups of state and federal actors</w:t>
      </w:r>
      <w:r w:rsidRPr="00661A68">
        <w:rPr>
          <w:sz w:val="16"/>
        </w:rPr>
        <w:t xml:space="preserve">. Even this statement is much too simple. As Parts III and IV of this Article argue, partisan positions become more complicated as </w:t>
      </w:r>
      <w:r w:rsidRPr="00661A68">
        <w:rPr>
          <w:rStyle w:val="StyleUnderline"/>
        </w:rPr>
        <w:t>state and federal actors interact in a variety of ways</w:t>
      </w:r>
      <w:r w:rsidRPr="00661A68">
        <w:rPr>
          <w:sz w:val="16"/>
        </w:rPr>
        <w:t xml:space="preserve">. While the most basic and readily apparent dynamic of partisan federalism is that </w:t>
      </w:r>
      <w:r w:rsidRPr="00661A68">
        <w:rPr>
          <w:rStyle w:val="StyleUnderline"/>
        </w:rPr>
        <w:t>Democrats and Republicans recognize members of their own party as allies - and members of the other party as opponents - across the state-federal divide</w:t>
      </w:r>
      <w:r w:rsidRPr="00661A68">
        <w:rPr>
          <w:sz w:val="16"/>
        </w:rPr>
        <w:t>, diversity exists among officials of the same party, especially when they are able to negotiate on their own instead of aggregating their interests. National parties help to fuel deep federal-state integration, even as a variety of different and shifting relationships emerge from such integration.</w:t>
      </w:r>
    </w:p>
    <w:p w14:paraId="0CDE234C" w14:textId="1FD3A642" w:rsidR="00DB1D40" w:rsidRPr="00661A68" w:rsidRDefault="001109FA" w:rsidP="00DB1D40">
      <w:pPr>
        <w:pStyle w:val="Heading3"/>
      </w:pPr>
      <w:bookmarkStart w:id="35" w:name="_Hlk491002008"/>
      <w:r w:rsidRPr="00661A68">
        <w:t>2AC AT: 50 State Compacts</w:t>
      </w:r>
    </w:p>
    <w:p w14:paraId="602F42AB" w14:textId="4CCA6DAB" w:rsidR="00DB1D40" w:rsidRPr="00661A68" w:rsidRDefault="00DB1D40" w:rsidP="00DB1D40">
      <w:pPr>
        <w:pStyle w:val="Heading4"/>
      </w:pPr>
      <w:r w:rsidRPr="00661A68">
        <w:t>State compacts won’t be approved by congress – links to the DA</w:t>
      </w:r>
    </w:p>
    <w:p w14:paraId="101D813A" w14:textId="77777777" w:rsidR="00DB1D40" w:rsidRPr="00661A68" w:rsidRDefault="00DB1D40" w:rsidP="00DB1D40">
      <w:pPr>
        <w:rPr>
          <w:rFonts w:asciiTheme="minorHAnsi" w:hAnsiTheme="minorHAnsi" w:cstheme="minorHAnsi"/>
        </w:rPr>
      </w:pPr>
      <w:r w:rsidRPr="00661A68">
        <w:rPr>
          <w:rStyle w:val="Style13ptBold"/>
        </w:rPr>
        <w:t>Leonard 12</w:t>
      </w:r>
      <w:r w:rsidRPr="00661A68">
        <w:rPr>
          <w:rFonts w:asciiTheme="minorHAnsi" w:hAnsiTheme="minorHAnsi" w:cstheme="minorHAnsi"/>
        </w:rPr>
        <w:t xml:space="preserve"> – Visiting Professor of Law at the University of Georgia and a Professor of Law at the University of Kansas [Elizabeth Weeks Leonard, The Rhetoric Hits the Road: State Resistance to Affordable Care Act Implementation , 46 U. Rich. L. Rev. 781 (2012)]</w:t>
      </w:r>
    </w:p>
    <w:p w14:paraId="56F33F26" w14:textId="77777777" w:rsidR="00DB1D40" w:rsidRPr="00FA74FB" w:rsidRDefault="00DB1D40" w:rsidP="00DB1D40">
      <w:pPr>
        <w:rPr>
          <w:rFonts w:asciiTheme="minorHAnsi" w:hAnsiTheme="minorHAnsi" w:cstheme="minorHAnsi"/>
          <w:sz w:val="16"/>
        </w:rPr>
      </w:pPr>
      <w:r w:rsidRPr="00661A68">
        <w:rPr>
          <w:rFonts w:asciiTheme="minorHAnsi" w:hAnsiTheme="minorHAnsi" w:cstheme="minorHAnsi"/>
          <w:sz w:val="16"/>
        </w:rPr>
        <w:t xml:space="preserve">Even more curious is </w:t>
      </w:r>
      <w:r w:rsidRPr="00661A68">
        <w:rPr>
          <w:rStyle w:val="StyleUnderline"/>
          <w:rFonts w:asciiTheme="minorHAnsi" w:hAnsiTheme="minorHAnsi" w:cstheme="minorHAnsi"/>
        </w:rPr>
        <w:t>states‘ novel strategy of enacting the ―Interstate Health Care Freedom Compact (the ―Compact</w:t>
      </w:r>
      <w:r w:rsidRPr="00661A68">
        <w:rPr>
          <w:rFonts w:asciiTheme="minorHAnsi" w:hAnsiTheme="minorHAnsi" w:cstheme="minorHAnsi"/>
          <w:sz w:val="16"/>
        </w:rPr>
        <w:t xml:space="preserve">‖).238 </w:t>
      </w:r>
      <w:r w:rsidRPr="00661A68">
        <w:rPr>
          <w:rStyle w:val="StyleUnderline"/>
          <w:rFonts w:asciiTheme="minorHAnsi" w:hAnsiTheme="minorHAnsi" w:cstheme="minorHAnsi"/>
        </w:rPr>
        <w:t>The Compact</w:t>
      </w:r>
      <w:r w:rsidRPr="00661A68">
        <w:rPr>
          <w:rFonts w:asciiTheme="minorHAnsi" w:hAnsiTheme="minorHAnsi" w:cstheme="minorHAnsi"/>
          <w:sz w:val="16"/>
        </w:rPr>
        <w:t xml:space="preserve"> includes elements of individual states‘ HCFAs but </w:t>
      </w:r>
      <w:r w:rsidRPr="00661A68">
        <w:rPr>
          <w:rStyle w:val="StyleUnderline"/>
          <w:rFonts w:asciiTheme="minorHAnsi" w:hAnsiTheme="minorHAnsi" w:cstheme="minorHAnsi"/>
        </w:rPr>
        <w:t>purports to operate as an agreement among states t</w:t>
      </w:r>
      <w:r w:rsidRPr="00661A68">
        <w:rPr>
          <w:rFonts w:asciiTheme="minorHAnsi" w:hAnsiTheme="minorHAnsi" w:cstheme="minorHAnsi"/>
          <w:sz w:val="16"/>
        </w:rPr>
        <w:t xml:space="preserve">o resist federal health reform. Three litigant states Texas,239 Oklahoma,240 and Georgia,241 and one non-litigant state, Missouri242 have enacted the Compact under state laws. The Compact legislation has also been introduced in at least fourteen other states.243 Proponents and </w:t>
      </w:r>
      <w:r w:rsidRPr="00661A68">
        <w:rPr>
          <w:rStyle w:val="StyleUnderline"/>
          <w:rFonts w:asciiTheme="minorHAnsi" w:hAnsiTheme="minorHAnsi" w:cstheme="minorHAnsi"/>
        </w:rPr>
        <w:t>sponsors describe the Compact as ―giv[ing] the health care decision making power back to the people</w:t>
      </w:r>
      <w:r w:rsidRPr="00661A68">
        <w:rPr>
          <w:rFonts w:asciiTheme="minorHAnsi" w:hAnsiTheme="minorHAnsi" w:cstheme="minorHAnsi"/>
          <w:sz w:val="16"/>
        </w:rPr>
        <w:t xml:space="preserve"> instead of the bureaucrats in Washington,‖ 244 ―</w:t>
      </w:r>
      <w:r w:rsidRPr="00661A68">
        <w:rPr>
          <w:rStyle w:val="StyleUnderline"/>
          <w:rFonts w:asciiTheme="minorHAnsi" w:hAnsiTheme="minorHAnsi" w:cstheme="minorHAnsi"/>
        </w:rPr>
        <w:t>[p]reserving [Tenth] Amendment rights so states can move forward with true health care reform,</w:t>
      </w:r>
      <w:r w:rsidRPr="00661A68">
        <w:rPr>
          <w:rFonts w:asciiTheme="minorHAnsi" w:hAnsiTheme="minorHAnsi" w:cstheme="minorHAnsi"/>
          <w:sz w:val="16"/>
        </w:rPr>
        <w:t xml:space="preserve">‖ 245 and allowing ―each state [to] decide[] which plan is best for its citizens.‖ 246 They further assert that compacts are neither ―radical‖ nor unprecedented but simply ―tools to allow states to solve problems together.‖ 247 Broadly, Compact authorizes member states to ―suspend by legislation the operation of all federal laws, rules, regulations, and orders regarding Health Care that are inconsistent with the laws and regulations adopted by the Member State pursuant to this Compact.‖ 248 Further, </w:t>
      </w:r>
      <w:r w:rsidRPr="00661A68">
        <w:rPr>
          <w:rStyle w:val="StyleUnderline"/>
          <w:rFonts w:asciiTheme="minorHAnsi" w:hAnsiTheme="minorHAnsi" w:cstheme="minorHAnsi"/>
        </w:rPr>
        <w:t>the Compact purports to entitle states to receive federal block grants and prohibits such funding from being ―conditional</w:t>
      </w:r>
      <w:r w:rsidRPr="00661A68">
        <w:rPr>
          <w:rFonts w:asciiTheme="minorHAnsi" w:hAnsiTheme="minorHAnsi" w:cstheme="minorHAnsi"/>
          <w:sz w:val="16"/>
        </w:rPr>
        <w:t xml:space="preserve"> on any action of or regulation, policy, law, or rule being adopted by the Member State.‖ 249 </w:t>
      </w:r>
      <w:r w:rsidRPr="00661A68">
        <w:rPr>
          <w:rStyle w:val="StyleUnderline"/>
          <w:rFonts w:asciiTheme="minorHAnsi" w:hAnsiTheme="minorHAnsi" w:cstheme="minorHAnsi"/>
        </w:rPr>
        <w:t>The Texas Compact legislation asserts that the interstate Compact is a way to move control from the federal government to the states but acknowledges that the Compact is subject to congressional approval before it is enforceable</w:t>
      </w:r>
      <w:r w:rsidRPr="00661A68">
        <w:rPr>
          <w:rFonts w:asciiTheme="minorHAnsi" w:hAnsiTheme="minorHAnsi" w:cstheme="minorHAnsi"/>
          <w:sz w:val="16"/>
        </w:rPr>
        <w:t xml:space="preserve">.250 The ostensible authority for interstate compacts comes from Article I of the U.S. Constitution, providing that ―[n]o State shall, without the Consent of Congress . . . enter into any Agreement or Compact with another State.‖ 251 </w:t>
      </w:r>
      <w:r w:rsidRPr="00661A68">
        <w:rPr>
          <w:rStyle w:val="StyleUnderline"/>
          <w:rFonts w:asciiTheme="minorHAnsi" w:hAnsiTheme="minorHAnsi" w:cstheme="minorHAnsi"/>
        </w:rPr>
        <w:t>The</w:t>
      </w:r>
      <w:r w:rsidRPr="00661A68">
        <w:rPr>
          <w:rFonts w:asciiTheme="minorHAnsi" w:hAnsiTheme="minorHAnsi" w:cstheme="minorHAnsi"/>
          <w:sz w:val="16"/>
        </w:rPr>
        <w:t xml:space="preserve"> converse </w:t>
      </w:r>
      <w:r w:rsidRPr="00661A68">
        <w:rPr>
          <w:rStyle w:val="StyleUnderline"/>
          <w:rFonts w:asciiTheme="minorHAnsi" w:hAnsiTheme="minorHAnsi" w:cstheme="minorHAnsi"/>
        </w:rPr>
        <w:t>suggestion is that with congressional consent, states may enter compacts with one another.</w:t>
      </w:r>
      <w:r w:rsidRPr="00661A68">
        <w:rPr>
          <w:rFonts w:asciiTheme="minorHAnsi" w:hAnsiTheme="minorHAnsi" w:cstheme="minorHAnsi"/>
          <w:sz w:val="16"/>
        </w:rPr>
        <w:t xml:space="preserve"> Health Care Freedom </w:t>
      </w:r>
      <w:r w:rsidRPr="00661A68">
        <w:rPr>
          <w:rStyle w:val="StyleUnderline"/>
          <w:rFonts w:asciiTheme="minorHAnsi" w:hAnsiTheme="minorHAnsi" w:cstheme="minorHAnsi"/>
        </w:rPr>
        <w:t>Compact sponsors interpret that constitutional provision as a stealth weapon in the fight against federal health reform.</w:t>
      </w:r>
      <w:r w:rsidRPr="00661A68">
        <w:rPr>
          <w:rFonts w:asciiTheme="minorHAnsi" w:hAnsiTheme="minorHAnsi" w:cstheme="minorHAnsi"/>
          <w:sz w:val="16"/>
        </w:rPr>
        <w:t xml:space="preserve"> Missouri State Representative Eric Burlison suggested that the ―very same article in the Constitution [that] has been used for the federal government to grow its powers for many decades‖ can be used, instead, as ―a very polite way [to] ask the federal government to give our authority back.‖ 252 </w:t>
      </w:r>
      <w:r w:rsidRPr="00661A68">
        <w:rPr>
          <w:rStyle w:val="Emphasis"/>
          <w:rFonts w:asciiTheme="minorHAnsi" w:hAnsiTheme="minorHAnsi" w:cstheme="minorHAnsi"/>
        </w:rPr>
        <w:t>The states‘ attempted reliance on the Compact Clause to band together in opposition of federal law is unprecedented and likely futile</w:t>
      </w:r>
      <w:r w:rsidRPr="00661A68">
        <w:rPr>
          <w:rStyle w:val="StyleUnderline"/>
          <w:rFonts w:asciiTheme="minorHAnsi" w:hAnsiTheme="minorHAnsi" w:cstheme="minorHAnsi"/>
        </w:rPr>
        <w:t>. While there is precedent for interstate compacts</w:t>
      </w:r>
      <w:r w:rsidRPr="00661A68">
        <w:rPr>
          <w:rFonts w:asciiTheme="minorHAnsi" w:hAnsiTheme="minorHAnsi" w:cstheme="minorHAnsi"/>
          <w:sz w:val="16"/>
        </w:rPr>
        <w:t>—over 100 have received congressional approval—</w:t>
      </w:r>
      <w:r w:rsidRPr="00661A68">
        <w:rPr>
          <w:rStyle w:val="StyleUnderline"/>
          <w:rFonts w:asciiTheme="minorHAnsi" w:hAnsiTheme="minorHAnsi" w:cstheme="minorHAnsi"/>
        </w:rPr>
        <w:t>they generally address cross-border problems</w:t>
      </w:r>
      <w:r w:rsidRPr="00661A68">
        <w:rPr>
          <w:rFonts w:asciiTheme="minorHAnsi" w:hAnsiTheme="minorHAnsi" w:cstheme="minorHAnsi"/>
          <w:sz w:val="16"/>
        </w:rPr>
        <w:t xml:space="preserve"> such as transportation, water rights, drivers‘ licenses, and runaway juveniles.253 </w:t>
      </w:r>
      <w:r w:rsidRPr="00661A68">
        <w:rPr>
          <w:rStyle w:val="StyleUnderline"/>
          <w:rFonts w:asciiTheme="minorHAnsi" w:hAnsiTheme="minorHAnsi" w:cstheme="minorHAnsi"/>
        </w:rPr>
        <w:t>In the health care context, states previously enacted interstate compacts</w:t>
      </w:r>
      <w:r w:rsidRPr="00661A68">
        <w:rPr>
          <w:rFonts w:asciiTheme="minorHAnsi" w:hAnsiTheme="minorHAnsi" w:cstheme="minorHAnsi"/>
          <w:sz w:val="16"/>
        </w:rPr>
        <w:t xml:space="preserve"> allowing the transfer of institutionalized patients to ensure appropriate follow-up care. 254 </w:t>
      </w:r>
      <w:r w:rsidRPr="00661A68">
        <w:rPr>
          <w:rStyle w:val="StyleUnderline"/>
          <w:rFonts w:asciiTheme="minorHAnsi" w:hAnsiTheme="minorHAnsi" w:cstheme="minorHAnsi"/>
        </w:rPr>
        <w:t xml:space="preserve">Without question, interstate compacts </w:t>
      </w:r>
      <w:r w:rsidRPr="00661A68">
        <w:rPr>
          <w:rStyle w:val="Emphasis"/>
          <w:rFonts w:asciiTheme="minorHAnsi" w:hAnsiTheme="minorHAnsi" w:cstheme="minorHAnsi"/>
        </w:rPr>
        <w:t>must be approved by Congress to have any legal force and effect</w:t>
      </w:r>
      <w:r w:rsidRPr="00661A68">
        <w:rPr>
          <w:rFonts w:asciiTheme="minorHAnsi" w:hAnsiTheme="minorHAnsi" w:cstheme="minorHAnsi"/>
          <w:sz w:val="16"/>
        </w:rPr>
        <w:t xml:space="preserve">.255 </w:t>
      </w:r>
      <w:r w:rsidRPr="00661A68">
        <w:rPr>
          <w:rStyle w:val="StyleUnderline"/>
          <w:rFonts w:asciiTheme="minorHAnsi" w:hAnsiTheme="minorHAnsi" w:cstheme="minorHAnsi"/>
        </w:rPr>
        <w:t>Any disputes</w:t>
      </w:r>
      <w:r w:rsidRPr="00661A68">
        <w:rPr>
          <w:rFonts w:asciiTheme="minorHAnsi" w:hAnsiTheme="minorHAnsi" w:cstheme="minorHAnsi"/>
          <w:sz w:val="16"/>
        </w:rPr>
        <w:t xml:space="preserve"> among states arising under interstate compacts </w:t>
      </w:r>
      <w:r w:rsidRPr="00661A68">
        <w:rPr>
          <w:rStyle w:val="StyleUnderline"/>
          <w:rFonts w:asciiTheme="minorHAnsi" w:hAnsiTheme="minorHAnsi" w:cstheme="minorHAnsi"/>
        </w:rPr>
        <w:t>fall within the Supreme Court‘s original jurisdiction</w:t>
      </w:r>
      <w:r w:rsidRPr="00661A68">
        <w:rPr>
          <w:rFonts w:asciiTheme="minorHAnsi" w:hAnsiTheme="minorHAnsi" w:cstheme="minorHAnsi"/>
          <w:sz w:val="16"/>
        </w:rPr>
        <w:t xml:space="preserve">.256 </w:t>
      </w:r>
      <w:r w:rsidRPr="00661A68">
        <w:rPr>
          <w:rStyle w:val="StyleUnderline"/>
          <w:rFonts w:asciiTheme="minorHAnsi" w:hAnsiTheme="minorHAnsi" w:cstheme="minorHAnsi"/>
        </w:rPr>
        <w:t xml:space="preserve">Accordingly, it is </w:t>
      </w:r>
      <w:r w:rsidRPr="00661A68">
        <w:rPr>
          <w:rStyle w:val="Emphasis"/>
          <w:rFonts w:asciiTheme="minorHAnsi" w:hAnsiTheme="minorHAnsi" w:cstheme="minorHAnsi"/>
        </w:rPr>
        <w:t>inconceivable</w:t>
      </w:r>
      <w:r w:rsidRPr="00661A68">
        <w:rPr>
          <w:rStyle w:val="StyleUnderline"/>
          <w:rFonts w:asciiTheme="minorHAnsi" w:hAnsiTheme="minorHAnsi" w:cstheme="minorHAnsi"/>
        </w:rPr>
        <w:t xml:space="preserve"> that Congress, </w:t>
      </w:r>
      <w:r w:rsidRPr="00661A68">
        <w:rPr>
          <w:rFonts w:asciiTheme="minorHAnsi" w:hAnsiTheme="minorHAnsi" w:cstheme="minorHAnsi"/>
          <w:sz w:val="16"/>
        </w:rPr>
        <w:t xml:space="preserve">having passed the ACA barely two years ago, with Supreme Court review pending, </w:t>
      </w:r>
      <w:r w:rsidRPr="00661A68">
        <w:rPr>
          <w:rStyle w:val="StyleUnderline"/>
          <w:rFonts w:asciiTheme="minorHAnsi" w:hAnsiTheme="minorHAnsi" w:cstheme="minorHAnsi"/>
        </w:rPr>
        <w:t xml:space="preserve">would approve an interstate compact among states </w:t>
      </w:r>
      <w:r w:rsidRPr="00661A68">
        <w:rPr>
          <w:rFonts w:asciiTheme="minorHAnsi" w:hAnsiTheme="minorHAnsi" w:cstheme="minorHAnsi"/>
          <w:sz w:val="16"/>
        </w:rPr>
        <w:t>excusing themselves from compliance with the ACA and granting themselves open-ended, nostrings-attached federal funding.257 The question, then, is whether the Compact sponsors fail to appreciate the futility of their actions, or whether they envision the compact as yet one more way to signal objection to the ACA.</w:t>
      </w:r>
    </w:p>
    <w:bookmarkEnd w:id="35"/>
    <w:p w14:paraId="533BC102" w14:textId="77777777" w:rsidR="009A3057" w:rsidRPr="009A3057" w:rsidRDefault="009A3057" w:rsidP="009A3057"/>
    <w:p w14:paraId="1BD95DDA" w14:textId="696A7077" w:rsidR="00B43DB5" w:rsidRDefault="00B43DB5" w:rsidP="00E37A22"/>
    <w:sectPr w:rsidR="00B43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9B654A"/>
    <w:multiLevelType w:val="hybridMultilevel"/>
    <w:tmpl w:val="449C903A"/>
    <w:lvl w:ilvl="0" w:tplc="DE2E3B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C0729"/>
    <w:multiLevelType w:val="hybridMultilevel"/>
    <w:tmpl w:val="533ECEFE"/>
    <w:lvl w:ilvl="0" w:tplc="51F8EFE2">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B02841"/>
    <w:multiLevelType w:val="hybridMultilevel"/>
    <w:tmpl w:val="72FA7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190D76"/>
    <w:multiLevelType w:val="hybridMultilevel"/>
    <w:tmpl w:val="98F0C632"/>
    <w:lvl w:ilvl="0" w:tplc="183AB9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983C6E"/>
    <w:multiLevelType w:val="multilevel"/>
    <w:tmpl w:val="F1B8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0"/>
  </w:num>
  <w:num w:numId="14">
    <w:abstractNumId w:val="1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x Reese"/>
    <w:docVar w:name="RibbonPointer" w:val="345890880"/>
    <w:docVar w:name="VerbatimVersion" w:val="5.1"/>
  </w:docVars>
  <w:rsids>
    <w:rsidRoot w:val="00305A32"/>
    <w:rsid w:val="000125B7"/>
    <w:rsid w:val="000139A3"/>
    <w:rsid w:val="0001743D"/>
    <w:rsid w:val="00025A62"/>
    <w:rsid w:val="00037BC7"/>
    <w:rsid w:val="00044BA5"/>
    <w:rsid w:val="000753D4"/>
    <w:rsid w:val="00085B4E"/>
    <w:rsid w:val="00086410"/>
    <w:rsid w:val="00090EA6"/>
    <w:rsid w:val="000B48B7"/>
    <w:rsid w:val="000E30FB"/>
    <w:rsid w:val="00100833"/>
    <w:rsid w:val="00100C8F"/>
    <w:rsid w:val="00104529"/>
    <w:rsid w:val="00105942"/>
    <w:rsid w:val="00107396"/>
    <w:rsid w:val="001109FA"/>
    <w:rsid w:val="00126756"/>
    <w:rsid w:val="001272B1"/>
    <w:rsid w:val="00131F8B"/>
    <w:rsid w:val="00144078"/>
    <w:rsid w:val="001446A6"/>
    <w:rsid w:val="00144A4C"/>
    <w:rsid w:val="00176AB0"/>
    <w:rsid w:val="00177B7D"/>
    <w:rsid w:val="0018322D"/>
    <w:rsid w:val="00186A23"/>
    <w:rsid w:val="001901FC"/>
    <w:rsid w:val="00193057"/>
    <w:rsid w:val="00196106"/>
    <w:rsid w:val="001B5776"/>
    <w:rsid w:val="001C4D91"/>
    <w:rsid w:val="001D396E"/>
    <w:rsid w:val="001D7793"/>
    <w:rsid w:val="001E527A"/>
    <w:rsid w:val="001F0F38"/>
    <w:rsid w:val="001F78CE"/>
    <w:rsid w:val="00221D10"/>
    <w:rsid w:val="00222384"/>
    <w:rsid w:val="00232D2C"/>
    <w:rsid w:val="00234BF9"/>
    <w:rsid w:val="00251FC7"/>
    <w:rsid w:val="002521F6"/>
    <w:rsid w:val="002524B4"/>
    <w:rsid w:val="00260788"/>
    <w:rsid w:val="00260BB7"/>
    <w:rsid w:val="002663D5"/>
    <w:rsid w:val="0027029D"/>
    <w:rsid w:val="00271CDB"/>
    <w:rsid w:val="002855A7"/>
    <w:rsid w:val="00290073"/>
    <w:rsid w:val="002B146A"/>
    <w:rsid w:val="002B18F3"/>
    <w:rsid w:val="002B4980"/>
    <w:rsid w:val="002B5E17"/>
    <w:rsid w:val="002C3AC2"/>
    <w:rsid w:val="002C6FE4"/>
    <w:rsid w:val="002D0455"/>
    <w:rsid w:val="002E6D23"/>
    <w:rsid w:val="002E7606"/>
    <w:rsid w:val="002E7770"/>
    <w:rsid w:val="00305A32"/>
    <w:rsid w:val="00315690"/>
    <w:rsid w:val="00316B75"/>
    <w:rsid w:val="00324C4E"/>
    <w:rsid w:val="00325646"/>
    <w:rsid w:val="00331E2F"/>
    <w:rsid w:val="003322BA"/>
    <w:rsid w:val="00335D42"/>
    <w:rsid w:val="003460F2"/>
    <w:rsid w:val="00354DA4"/>
    <w:rsid w:val="00370266"/>
    <w:rsid w:val="00376F7C"/>
    <w:rsid w:val="0038158C"/>
    <w:rsid w:val="003902BA"/>
    <w:rsid w:val="00390661"/>
    <w:rsid w:val="00396AAA"/>
    <w:rsid w:val="003A0548"/>
    <w:rsid w:val="003A09E2"/>
    <w:rsid w:val="003B3F06"/>
    <w:rsid w:val="003F7FAA"/>
    <w:rsid w:val="00407037"/>
    <w:rsid w:val="00407237"/>
    <w:rsid w:val="00411221"/>
    <w:rsid w:val="004605D6"/>
    <w:rsid w:val="00463D43"/>
    <w:rsid w:val="0046678F"/>
    <w:rsid w:val="00486D88"/>
    <w:rsid w:val="004877B1"/>
    <w:rsid w:val="004A198C"/>
    <w:rsid w:val="004C60E8"/>
    <w:rsid w:val="004D1026"/>
    <w:rsid w:val="004E3579"/>
    <w:rsid w:val="004E42A9"/>
    <w:rsid w:val="004E728B"/>
    <w:rsid w:val="004F39E0"/>
    <w:rsid w:val="005044C0"/>
    <w:rsid w:val="00513E0E"/>
    <w:rsid w:val="0051612F"/>
    <w:rsid w:val="00534D96"/>
    <w:rsid w:val="00535020"/>
    <w:rsid w:val="00536F38"/>
    <w:rsid w:val="00537BD5"/>
    <w:rsid w:val="005471D0"/>
    <w:rsid w:val="005624DC"/>
    <w:rsid w:val="00565E59"/>
    <w:rsid w:val="0057268A"/>
    <w:rsid w:val="00595823"/>
    <w:rsid w:val="005A0192"/>
    <w:rsid w:val="005C2104"/>
    <w:rsid w:val="005D2912"/>
    <w:rsid w:val="005D6148"/>
    <w:rsid w:val="005D675A"/>
    <w:rsid w:val="005E079B"/>
    <w:rsid w:val="005E2B76"/>
    <w:rsid w:val="005E4942"/>
    <w:rsid w:val="005F2AA3"/>
    <w:rsid w:val="00602782"/>
    <w:rsid w:val="006035B8"/>
    <w:rsid w:val="006065BD"/>
    <w:rsid w:val="006103F6"/>
    <w:rsid w:val="006157F9"/>
    <w:rsid w:val="00617FD6"/>
    <w:rsid w:val="00623D42"/>
    <w:rsid w:val="00625886"/>
    <w:rsid w:val="00642397"/>
    <w:rsid w:val="00645FA9"/>
    <w:rsid w:val="00647866"/>
    <w:rsid w:val="006518FE"/>
    <w:rsid w:val="006540D4"/>
    <w:rsid w:val="006559EE"/>
    <w:rsid w:val="00660D25"/>
    <w:rsid w:val="00661A68"/>
    <w:rsid w:val="00661F0C"/>
    <w:rsid w:val="00665003"/>
    <w:rsid w:val="00671BC0"/>
    <w:rsid w:val="006828A7"/>
    <w:rsid w:val="006869EC"/>
    <w:rsid w:val="006A0267"/>
    <w:rsid w:val="006A2714"/>
    <w:rsid w:val="006A2AD0"/>
    <w:rsid w:val="006B2192"/>
    <w:rsid w:val="006B26AE"/>
    <w:rsid w:val="006C2375"/>
    <w:rsid w:val="006C2590"/>
    <w:rsid w:val="006D4ECC"/>
    <w:rsid w:val="006E51DE"/>
    <w:rsid w:val="006F6E23"/>
    <w:rsid w:val="00715677"/>
    <w:rsid w:val="00722258"/>
    <w:rsid w:val="007243E5"/>
    <w:rsid w:val="0073598A"/>
    <w:rsid w:val="00740CE4"/>
    <w:rsid w:val="007439AB"/>
    <w:rsid w:val="007534BE"/>
    <w:rsid w:val="00766EA0"/>
    <w:rsid w:val="007748FC"/>
    <w:rsid w:val="007A2226"/>
    <w:rsid w:val="007B4C29"/>
    <w:rsid w:val="007C026B"/>
    <w:rsid w:val="007C0D16"/>
    <w:rsid w:val="007C0DA4"/>
    <w:rsid w:val="007D2992"/>
    <w:rsid w:val="007D4CAA"/>
    <w:rsid w:val="007F5B66"/>
    <w:rsid w:val="00806DA0"/>
    <w:rsid w:val="008131C5"/>
    <w:rsid w:val="00813F74"/>
    <w:rsid w:val="00823A1C"/>
    <w:rsid w:val="00832803"/>
    <w:rsid w:val="00842BC5"/>
    <w:rsid w:val="00842C1A"/>
    <w:rsid w:val="00843231"/>
    <w:rsid w:val="00845B9D"/>
    <w:rsid w:val="0084604C"/>
    <w:rsid w:val="00850A6E"/>
    <w:rsid w:val="00860984"/>
    <w:rsid w:val="00862A83"/>
    <w:rsid w:val="008816FE"/>
    <w:rsid w:val="008909CD"/>
    <w:rsid w:val="00891673"/>
    <w:rsid w:val="008A28C5"/>
    <w:rsid w:val="008A32CD"/>
    <w:rsid w:val="008A7628"/>
    <w:rsid w:val="008B3E19"/>
    <w:rsid w:val="008B3ECB"/>
    <w:rsid w:val="008B4E85"/>
    <w:rsid w:val="008C1B2E"/>
    <w:rsid w:val="008C5A6B"/>
    <w:rsid w:val="008D480D"/>
    <w:rsid w:val="008D5B34"/>
    <w:rsid w:val="009016D6"/>
    <w:rsid w:val="0091150F"/>
    <w:rsid w:val="0091627E"/>
    <w:rsid w:val="009239EF"/>
    <w:rsid w:val="009364E1"/>
    <w:rsid w:val="009504F0"/>
    <w:rsid w:val="0095525C"/>
    <w:rsid w:val="009563FC"/>
    <w:rsid w:val="00963DB2"/>
    <w:rsid w:val="0097032B"/>
    <w:rsid w:val="00983ED8"/>
    <w:rsid w:val="009847D4"/>
    <w:rsid w:val="009A3057"/>
    <w:rsid w:val="009B221A"/>
    <w:rsid w:val="009C74FB"/>
    <w:rsid w:val="009D2EAD"/>
    <w:rsid w:val="009D40B1"/>
    <w:rsid w:val="009D467C"/>
    <w:rsid w:val="009D4881"/>
    <w:rsid w:val="009D54B2"/>
    <w:rsid w:val="009E1922"/>
    <w:rsid w:val="009E72B5"/>
    <w:rsid w:val="009F7ED2"/>
    <w:rsid w:val="00A15982"/>
    <w:rsid w:val="00A26D7D"/>
    <w:rsid w:val="00A64D02"/>
    <w:rsid w:val="00A821EB"/>
    <w:rsid w:val="00A828A6"/>
    <w:rsid w:val="00A90B6F"/>
    <w:rsid w:val="00A93661"/>
    <w:rsid w:val="00A94976"/>
    <w:rsid w:val="00A95652"/>
    <w:rsid w:val="00A96672"/>
    <w:rsid w:val="00AA1DA8"/>
    <w:rsid w:val="00AA4BE8"/>
    <w:rsid w:val="00AB1B01"/>
    <w:rsid w:val="00AB7229"/>
    <w:rsid w:val="00AC0AB8"/>
    <w:rsid w:val="00AC1709"/>
    <w:rsid w:val="00AE6708"/>
    <w:rsid w:val="00AF24F3"/>
    <w:rsid w:val="00AF46E1"/>
    <w:rsid w:val="00B01EBB"/>
    <w:rsid w:val="00B1227A"/>
    <w:rsid w:val="00B1348A"/>
    <w:rsid w:val="00B16709"/>
    <w:rsid w:val="00B209ED"/>
    <w:rsid w:val="00B22545"/>
    <w:rsid w:val="00B33C6D"/>
    <w:rsid w:val="00B34675"/>
    <w:rsid w:val="00B43DB5"/>
    <w:rsid w:val="00B4508F"/>
    <w:rsid w:val="00B55AD5"/>
    <w:rsid w:val="00B56B1F"/>
    <w:rsid w:val="00B60F52"/>
    <w:rsid w:val="00B8057C"/>
    <w:rsid w:val="00B816DB"/>
    <w:rsid w:val="00BA5751"/>
    <w:rsid w:val="00BC14AE"/>
    <w:rsid w:val="00BD2FC0"/>
    <w:rsid w:val="00BD6238"/>
    <w:rsid w:val="00BF363A"/>
    <w:rsid w:val="00BF593B"/>
    <w:rsid w:val="00BF773A"/>
    <w:rsid w:val="00BF7E81"/>
    <w:rsid w:val="00C13773"/>
    <w:rsid w:val="00C1538C"/>
    <w:rsid w:val="00C17CC8"/>
    <w:rsid w:val="00C17F21"/>
    <w:rsid w:val="00C25E38"/>
    <w:rsid w:val="00C271B2"/>
    <w:rsid w:val="00C71A24"/>
    <w:rsid w:val="00C83417"/>
    <w:rsid w:val="00C91601"/>
    <w:rsid w:val="00C95755"/>
    <w:rsid w:val="00C9604F"/>
    <w:rsid w:val="00CA0E66"/>
    <w:rsid w:val="00CA19AA"/>
    <w:rsid w:val="00CB0F49"/>
    <w:rsid w:val="00CB51B6"/>
    <w:rsid w:val="00CB529C"/>
    <w:rsid w:val="00CB626C"/>
    <w:rsid w:val="00CB65BF"/>
    <w:rsid w:val="00CC1D9E"/>
    <w:rsid w:val="00CC5298"/>
    <w:rsid w:val="00CC7C33"/>
    <w:rsid w:val="00CD3373"/>
    <w:rsid w:val="00CD4545"/>
    <w:rsid w:val="00CD736E"/>
    <w:rsid w:val="00CD798D"/>
    <w:rsid w:val="00CE161E"/>
    <w:rsid w:val="00CE43A7"/>
    <w:rsid w:val="00CE5152"/>
    <w:rsid w:val="00CF2716"/>
    <w:rsid w:val="00CF3521"/>
    <w:rsid w:val="00CF59A8"/>
    <w:rsid w:val="00D11908"/>
    <w:rsid w:val="00D14116"/>
    <w:rsid w:val="00D17D8C"/>
    <w:rsid w:val="00D2422E"/>
    <w:rsid w:val="00D325A9"/>
    <w:rsid w:val="00D36A8A"/>
    <w:rsid w:val="00D50AE8"/>
    <w:rsid w:val="00D61409"/>
    <w:rsid w:val="00D6691E"/>
    <w:rsid w:val="00D71170"/>
    <w:rsid w:val="00D71F19"/>
    <w:rsid w:val="00D8070D"/>
    <w:rsid w:val="00D917C5"/>
    <w:rsid w:val="00DA0395"/>
    <w:rsid w:val="00DA1C92"/>
    <w:rsid w:val="00DA25D4"/>
    <w:rsid w:val="00DA5CD2"/>
    <w:rsid w:val="00DA6538"/>
    <w:rsid w:val="00DB1D40"/>
    <w:rsid w:val="00DC6B14"/>
    <w:rsid w:val="00DD1CC9"/>
    <w:rsid w:val="00DD4BE0"/>
    <w:rsid w:val="00DE56E6"/>
    <w:rsid w:val="00DF38A1"/>
    <w:rsid w:val="00DF544F"/>
    <w:rsid w:val="00E0111B"/>
    <w:rsid w:val="00E04F13"/>
    <w:rsid w:val="00E14D1F"/>
    <w:rsid w:val="00E15E75"/>
    <w:rsid w:val="00E2045D"/>
    <w:rsid w:val="00E33DDB"/>
    <w:rsid w:val="00E37A22"/>
    <w:rsid w:val="00E51DA8"/>
    <w:rsid w:val="00E5262C"/>
    <w:rsid w:val="00E63756"/>
    <w:rsid w:val="00E6442A"/>
    <w:rsid w:val="00EA1D58"/>
    <w:rsid w:val="00EA447C"/>
    <w:rsid w:val="00EB0B99"/>
    <w:rsid w:val="00EB4C84"/>
    <w:rsid w:val="00EB6B33"/>
    <w:rsid w:val="00EC7DC4"/>
    <w:rsid w:val="00ED0020"/>
    <w:rsid w:val="00ED0B0A"/>
    <w:rsid w:val="00ED248A"/>
    <w:rsid w:val="00ED2588"/>
    <w:rsid w:val="00ED30CF"/>
    <w:rsid w:val="00EF601D"/>
    <w:rsid w:val="00F0325A"/>
    <w:rsid w:val="00F04DCE"/>
    <w:rsid w:val="00F12300"/>
    <w:rsid w:val="00F176EF"/>
    <w:rsid w:val="00F2517E"/>
    <w:rsid w:val="00F267B8"/>
    <w:rsid w:val="00F278DB"/>
    <w:rsid w:val="00F33F21"/>
    <w:rsid w:val="00F43AC8"/>
    <w:rsid w:val="00F45E10"/>
    <w:rsid w:val="00F55205"/>
    <w:rsid w:val="00F6364A"/>
    <w:rsid w:val="00F72F5E"/>
    <w:rsid w:val="00F84F88"/>
    <w:rsid w:val="00F9113A"/>
    <w:rsid w:val="00F94E77"/>
    <w:rsid w:val="00F971C9"/>
    <w:rsid w:val="00FB17B9"/>
    <w:rsid w:val="00FD159D"/>
    <w:rsid w:val="00FD57F5"/>
    <w:rsid w:val="00FE2546"/>
    <w:rsid w:val="00FF16A4"/>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61883"/>
  <w15:chartTrackingRefBased/>
  <w15:docId w15:val="{31150919-6C94-4843-9037-62963E9E6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61A68"/>
    <w:rPr>
      <w:rFonts w:ascii="Arial" w:hAnsi="Arial" w:cs="Arial"/>
    </w:rPr>
  </w:style>
  <w:style w:type="paragraph" w:styleId="Heading1">
    <w:name w:val="heading 1"/>
    <w:aliases w:val="Pocket"/>
    <w:basedOn w:val="Normal"/>
    <w:next w:val="Normal"/>
    <w:link w:val="Heading1Char"/>
    <w:qFormat/>
    <w:rsid w:val="00661A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1A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Card"/>
    <w:basedOn w:val="Normal"/>
    <w:next w:val="Normal"/>
    <w:link w:val="Heading3Char"/>
    <w:uiPriority w:val="2"/>
    <w:unhideWhenUsed/>
    <w:qFormat/>
    <w:rsid w:val="00661A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ags"/>
    <w:basedOn w:val="Normal"/>
    <w:next w:val="Normal"/>
    <w:link w:val="Heading4Char"/>
    <w:uiPriority w:val="3"/>
    <w:unhideWhenUsed/>
    <w:qFormat/>
    <w:rsid w:val="00661A6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61A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1A68"/>
  </w:style>
  <w:style w:type="character" w:customStyle="1" w:styleId="Heading1Char">
    <w:name w:val="Heading 1 Char"/>
    <w:aliases w:val="Pocket Char"/>
    <w:basedOn w:val="DefaultParagraphFont"/>
    <w:link w:val="Heading1"/>
    <w:rsid w:val="00661A6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661A68"/>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1 Char,Heading 3 Char3 Char,Heading 3 Char4 Char Char Char,Heading 3 Char3 Char Char Char Char,Heading 3 Char1 Char Char Char Char Char,Card Char"/>
    <w:basedOn w:val="DefaultParagraphFont"/>
    <w:link w:val="Heading3"/>
    <w:uiPriority w:val="2"/>
    <w:rsid w:val="00661A68"/>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61A68"/>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Emphasis!!,small,Bold Underline,Qualifications,normal card text,Shrunk,qualifications in card,qualifications,bold underline,Box,Debate,s"/>
    <w:basedOn w:val="DefaultParagraphFont"/>
    <w:link w:val="Emphasis1"/>
    <w:uiPriority w:val="7"/>
    <w:qFormat/>
    <w:rsid w:val="00661A68"/>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1A68"/>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661A68"/>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661A68"/>
    <w:rPr>
      <w:color w:val="auto"/>
      <w:u w:val="none"/>
    </w:rPr>
  </w:style>
  <w:style w:type="character" w:styleId="FollowedHyperlink">
    <w:name w:val="FollowedHyperlink"/>
    <w:basedOn w:val="DefaultParagraphFont"/>
    <w:uiPriority w:val="99"/>
    <w:semiHidden/>
    <w:unhideWhenUsed/>
    <w:rsid w:val="00661A68"/>
    <w:rPr>
      <w:color w:val="auto"/>
      <w:u w:val="none"/>
    </w:rPr>
  </w:style>
  <w:style w:type="paragraph" w:customStyle="1" w:styleId="Emphasis1">
    <w:name w:val="Emphasis1"/>
    <w:basedOn w:val="Normal"/>
    <w:link w:val="Emphasis"/>
    <w:autoRedefine/>
    <w:uiPriority w:val="7"/>
    <w:qFormat/>
    <w:rsid w:val="00305A32"/>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autoRedefine/>
    <w:uiPriority w:val="7"/>
    <w:qFormat/>
    <w:rsid w:val="0027029D"/>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szCs w:val="24"/>
      <w:u w:val="single"/>
    </w:rPr>
  </w:style>
  <w:style w:type="character" w:customStyle="1" w:styleId="page-metadatatext-section">
    <w:name w:val="page-metadata__text-section"/>
    <w:basedOn w:val="DefaultParagraphFont"/>
    <w:rsid w:val="00FB17B9"/>
  </w:style>
  <w:style w:type="character" w:customStyle="1" w:styleId="page-metadatetaxonomy-wrapper">
    <w:name w:val="page-metadate__taxonomy-wrapper"/>
    <w:basedOn w:val="DefaultParagraphFont"/>
    <w:rsid w:val="00FB17B9"/>
  </w:style>
  <w:style w:type="character" w:customStyle="1" w:styleId="page-metadatataxonomy-label">
    <w:name w:val="page-metadata__taxonomy-label"/>
    <w:basedOn w:val="DefaultParagraphFont"/>
    <w:rsid w:val="00FB17B9"/>
  </w:style>
  <w:style w:type="character" w:customStyle="1" w:styleId="taxonomy-item-wrapper">
    <w:name w:val="taxonomy-item-wrapper"/>
    <w:basedOn w:val="DefaultParagraphFont"/>
    <w:rsid w:val="00FB17B9"/>
  </w:style>
  <w:style w:type="character" w:customStyle="1" w:styleId="read-time">
    <w:name w:val="read-time"/>
    <w:basedOn w:val="DefaultParagraphFont"/>
    <w:rsid w:val="00FB17B9"/>
  </w:style>
  <w:style w:type="character" w:customStyle="1" w:styleId="page-toolbarselector-title">
    <w:name w:val="page-toolbar__selector-title"/>
    <w:basedOn w:val="DefaultParagraphFont"/>
    <w:rsid w:val="00FB17B9"/>
  </w:style>
  <w:style w:type="character" w:customStyle="1" w:styleId="page-toolbarpage-title">
    <w:name w:val="page-toolbar__page-title"/>
    <w:basedOn w:val="DefaultParagraphFont"/>
    <w:rsid w:val="00FB17B9"/>
  </w:style>
  <w:style w:type="character" w:customStyle="1" w:styleId="credit">
    <w:name w:val="credit"/>
    <w:basedOn w:val="DefaultParagraphFont"/>
    <w:rsid w:val="00FB17B9"/>
  </w:style>
  <w:style w:type="paragraph" w:styleId="NormalWeb">
    <w:name w:val="Normal (Web)"/>
    <w:basedOn w:val="Normal"/>
    <w:uiPriority w:val="99"/>
    <w:semiHidden/>
    <w:unhideWhenUsed/>
    <w:rsid w:val="00FB17B9"/>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ct-aside-full">
    <w:name w:val="pct-aside-full"/>
    <w:basedOn w:val="Normal"/>
    <w:rsid w:val="00FB17B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UnresolvedMention">
    <w:name w:val="Unresolved Mention"/>
    <w:basedOn w:val="DefaultParagraphFont"/>
    <w:uiPriority w:val="99"/>
    <w:semiHidden/>
    <w:unhideWhenUsed/>
    <w:rsid w:val="00271CDB"/>
    <w:rPr>
      <w:color w:val="605E5C"/>
      <w:shd w:val="clear" w:color="auto" w:fill="E1DFDD"/>
    </w:rPr>
  </w:style>
  <w:style w:type="paragraph" w:customStyle="1" w:styleId="Nothing">
    <w:name w:val="Nothing"/>
    <w:link w:val="NothingChar"/>
    <w:rsid w:val="00E33DDB"/>
    <w:pPr>
      <w:spacing w:after="0" w:line="240" w:lineRule="auto"/>
      <w:jc w:val="both"/>
    </w:pPr>
    <w:rPr>
      <w:rFonts w:ascii="Times New Roman" w:eastAsia="Calibri" w:hAnsi="Times New Roman" w:cs="Times New Roman"/>
      <w:sz w:val="20"/>
      <w:szCs w:val="20"/>
    </w:rPr>
  </w:style>
  <w:style w:type="paragraph" w:customStyle="1" w:styleId="CardsHighlighted">
    <w:name w:val="Cards Highlighted"/>
    <w:next w:val="Nothing"/>
    <w:link w:val="CardsHighlightedChar"/>
    <w:rsid w:val="00E33DDB"/>
    <w:pPr>
      <w:shd w:val="clear" w:color="auto" w:fill="00FFFF"/>
      <w:spacing w:after="0" w:line="240" w:lineRule="auto"/>
    </w:pPr>
    <w:rPr>
      <w:rFonts w:ascii="Times New Roman" w:eastAsia="Calibri" w:hAnsi="Times New Roman" w:cs="Times New Roman"/>
      <w:sz w:val="24"/>
      <w:szCs w:val="20"/>
      <w:u w:val="single"/>
    </w:rPr>
  </w:style>
  <w:style w:type="paragraph" w:customStyle="1" w:styleId="CardsFont12pt">
    <w:name w:val="Cards + Font: 12 pt"/>
    <w:next w:val="Nothing"/>
    <w:uiPriority w:val="6"/>
    <w:rsid w:val="00E33DDB"/>
    <w:pPr>
      <w:spacing w:after="0" w:line="240" w:lineRule="auto"/>
    </w:pPr>
    <w:rPr>
      <w:rFonts w:ascii="Calibri" w:eastAsia="Calibri" w:hAnsi="Calibri" w:cs="Times New Roman"/>
      <w:szCs w:val="20"/>
      <w:u w:val="single"/>
    </w:rPr>
  </w:style>
  <w:style w:type="character" w:customStyle="1" w:styleId="CardsHighlightedChar">
    <w:name w:val="Cards Highlighted Char"/>
    <w:basedOn w:val="DefaultParagraphFont"/>
    <w:link w:val="CardsHighlighted"/>
    <w:rsid w:val="00E33DDB"/>
    <w:rPr>
      <w:rFonts w:ascii="Times New Roman" w:eastAsia="Calibri" w:hAnsi="Times New Roman" w:cs="Times New Roman"/>
      <w:sz w:val="24"/>
      <w:szCs w:val="20"/>
      <w:u w:val="single"/>
      <w:shd w:val="clear" w:color="auto" w:fill="00FFFF"/>
    </w:rPr>
  </w:style>
  <w:style w:type="character" w:customStyle="1" w:styleId="NothingChar">
    <w:name w:val="Nothing Char"/>
    <w:basedOn w:val="DefaultParagraphFont"/>
    <w:link w:val="Nothing"/>
    <w:rsid w:val="00E33DDB"/>
    <w:rPr>
      <w:rFonts w:ascii="Times New Roman" w:eastAsia="Calibri" w:hAnsi="Times New Roman" w:cs="Times New Roman"/>
      <w:sz w:val="20"/>
      <w:szCs w:val="20"/>
    </w:rPr>
  </w:style>
  <w:style w:type="paragraph" w:customStyle="1" w:styleId="Cards">
    <w:name w:val="Cards"/>
    <w:next w:val="Nothing"/>
    <w:link w:val="CardsChar"/>
    <w:rsid w:val="00100C8F"/>
    <w:pPr>
      <w:spacing w:after="0" w:line="240" w:lineRule="auto"/>
      <w:jc w:val="both"/>
    </w:pPr>
    <w:rPr>
      <w:rFonts w:ascii="Times New Roman" w:eastAsia="Calibri" w:hAnsi="Times New Roman" w:cs="Times New Roman"/>
      <w:sz w:val="16"/>
      <w:szCs w:val="20"/>
    </w:rPr>
  </w:style>
  <w:style w:type="character" w:customStyle="1" w:styleId="TagsChar">
    <w:name w:val="Tags Char"/>
    <w:basedOn w:val="DefaultParagraphFont"/>
    <w:rsid w:val="00100C8F"/>
    <w:rPr>
      <w:rFonts w:ascii="Times New Roman" w:hAnsi="Times New Roman"/>
      <w:b/>
      <w:sz w:val="24"/>
      <w:lang w:val="en-US" w:eastAsia="en-US" w:bidi="ar-SA"/>
    </w:rPr>
  </w:style>
  <w:style w:type="character" w:customStyle="1" w:styleId="CardsChar">
    <w:name w:val="Cards Char"/>
    <w:basedOn w:val="DefaultParagraphFont"/>
    <w:link w:val="Cards"/>
    <w:rsid w:val="00100C8F"/>
    <w:rPr>
      <w:rFonts w:ascii="Times New Roman" w:eastAsia="Calibri" w:hAnsi="Times New Roman" w:cs="Times New Roman"/>
      <w:sz w:val="16"/>
      <w:szCs w:val="20"/>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100C8F"/>
    <w:rPr>
      <w:u w:val="single"/>
    </w:rPr>
  </w:style>
  <w:style w:type="paragraph" w:styleId="Title">
    <w:name w:val="Title"/>
    <w:aliases w:val="Bold Underlined,UNDERLINE,Cites and Cards,title,Block Heading,Read This"/>
    <w:basedOn w:val="Normal"/>
    <w:next w:val="BodyText"/>
    <w:link w:val="TitleChar"/>
    <w:uiPriority w:val="6"/>
    <w:qFormat/>
    <w:rsid w:val="00100C8F"/>
    <w:pPr>
      <w:keepNext/>
      <w:keepLines/>
      <w:spacing w:after="240"/>
      <w:jc w:val="cente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100C8F"/>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99"/>
    <w:semiHidden/>
    <w:unhideWhenUsed/>
    <w:rsid w:val="00100C8F"/>
    <w:pPr>
      <w:spacing w:after="120"/>
    </w:pPr>
  </w:style>
  <w:style w:type="character" w:customStyle="1" w:styleId="BodyTextChar">
    <w:name w:val="Body Text Char"/>
    <w:basedOn w:val="DefaultParagraphFont"/>
    <w:link w:val="BodyText"/>
    <w:uiPriority w:val="99"/>
    <w:semiHidden/>
    <w:rsid w:val="00100C8F"/>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777985">
      <w:bodyDiv w:val="1"/>
      <w:marLeft w:val="0"/>
      <w:marRight w:val="0"/>
      <w:marTop w:val="0"/>
      <w:marBottom w:val="0"/>
      <w:divBdr>
        <w:top w:val="none" w:sz="0" w:space="0" w:color="auto"/>
        <w:left w:val="none" w:sz="0" w:space="0" w:color="auto"/>
        <w:bottom w:val="none" w:sz="0" w:space="0" w:color="auto"/>
        <w:right w:val="none" w:sz="0" w:space="0" w:color="auto"/>
      </w:divBdr>
      <w:divsChild>
        <w:div w:id="14356409">
          <w:marLeft w:val="0"/>
          <w:marRight w:val="0"/>
          <w:marTop w:val="0"/>
          <w:marBottom w:val="0"/>
          <w:divBdr>
            <w:top w:val="none" w:sz="0" w:space="0" w:color="auto"/>
            <w:left w:val="none" w:sz="0" w:space="0" w:color="auto"/>
            <w:bottom w:val="none" w:sz="0" w:space="0" w:color="auto"/>
            <w:right w:val="none" w:sz="0" w:space="0" w:color="auto"/>
          </w:divBdr>
          <w:divsChild>
            <w:div w:id="386494125">
              <w:marLeft w:val="0"/>
              <w:marRight w:val="0"/>
              <w:marTop w:val="0"/>
              <w:marBottom w:val="450"/>
              <w:divBdr>
                <w:top w:val="none" w:sz="0" w:space="0" w:color="auto"/>
                <w:left w:val="none" w:sz="0" w:space="0" w:color="auto"/>
                <w:bottom w:val="none" w:sz="0" w:space="0" w:color="auto"/>
                <w:right w:val="none" w:sz="0" w:space="0" w:color="auto"/>
              </w:divBdr>
              <w:divsChild>
                <w:div w:id="28006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45882">
          <w:marLeft w:val="0"/>
          <w:marRight w:val="0"/>
          <w:marTop w:val="0"/>
          <w:marBottom w:val="0"/>
          <w:divBdr>
            <w:top w:val="none" w:sz="0" w:space="0" w:color="auto"/>
            <w:left w:val="none" w:sz="0" w:space="0" w:color="auto"/>
            <w:bottom w:val="none" w:sz="0" w:space="0" w:color="auto"/>
            <w:right w:val="none" w:sz="0" w:space="0" w:color="auto"/>
          </w:divBdr>
          <w:divsChild>
            <w:div w:id="1389914912">
              <w:marLeft w:val="0"/>
              <w:marRight w:val="0"/>
              <w:marTop w:val="0"/>
              <w:marBottom w:val="0"/>
              <w:divBdr>
                <w:top w:val="none" w:sz="0" w:space="0" w:color="auto"/>
                <w:left w:val="none" w:sz="0" w:space="0" w:color="auto"/>
                <w:bottom w:val="none" w:sz="0" w:space="0" w:color="auto"/>
                <w:right w:val="none" w:sz="0" w:space="0" w:color="auto"/>
              </w:divBdr>
              <w:divsChild>
                <w:div w:id="265772234">
                  <w:marLeft w:val="0"/>
                  <w:marRight w:val="0"/>
                  <w:marTop w:val="0"/>
                  <w:marBottom w:val="0"/>
                  <w:divBdr>
                    <w:top w:val="none" w:sz="0" w:space="0" w:color="auto"/>
                    <w:left w:val="none" w:sz="0" w:space="0" w:color="auto"/>
                    <w:bottom w:val="none" w:sz="0" w:space="0" w:color="auto"/>
                    <w:right w:val="none" w:sz="0" w:space="0" w:color="auto"/>
                  </w:divBdr>
                  <w:divsChild>
                    <w:div w:id="1630428904">
                      <w:marLeft w:val="0"/>
                      <w:marRight w:val="0"/>
                      <w:marTop w:val="0"/>
                      <w:marBottom w:val="0"/>
                      <w:divBdr>
                        <w:top w:val="none" w:sz="0" w:space="0" w:color="auto"/>
                        <w:left w:val="none" w:sz="0" w:space="0" w:color="auto"/>
                        <w:bottom w:val="none" w:sz="0" w:space="0" w:color="auto"/>
                        <w:right w:val="none" w:sz="0" w:space="0" w:color="auto"/>
                      </w:divBdr>
                      <w:divsChild>
                        <w:div w:id="1311054015">
                          <w:marLeft w:val="0"/>
                          <w:marRight w:val="0"/>
                          <w:marTop w:val="0"/>
                          <w:marBottom w:val="0"/>
                          <w:divBdr>
                            <w:top w:val="none" w:sz="0" w:space="0" w:color="auto"/>
                            <w:left w:val="none" w:sz="0" w:space="0" w:color="auto"/>
                            <w:bottom w:val="none" w:sz="0" w:space="0" w:color="auto"/>
                            <w:right w:val="none" w:sz="0" w:space="0" w:color="auto"/>
                          </w:divBdr>
                          <w:divsChild>
                            <w:div w:id="1247109219">
                              <w:marLeft w:val="0"/>
                              <w:marRight w:val="0"/>
                              <w:marTop w:val="0"/>
                              <w:marBottom w:val="0"/>
                              <w:divBdr>
                                <w:top w:val="none" w:sz="0" w:space="0" w:color="auto"/>
                                <w:left w:val="none" w:sz="0" w:space="0" w:color="auto"/>
                                <w:bottom w:val="none" w:sz="0" w:space="0" w:color="auto"/>
                                <w:right w:val="none" w:sz="0" w:space="0" w:color="auto"/>
                              </w:divBdr>
                            </w:div>
                            <w:div w:id="180592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545939">
          <w:marLeft w:val="0"/>
          <w:marRight w:val="391"/>
          <w:marTop w:val="0"/>
          <w:marBottom w:val="600"/>
          <w:divBdr>
            <w:top w:val="none" w:sz="0" w:space="0" w:color="auto"/>
            <w:left w:val="none" w:sz="0" w:space="0" w:color="auto"/>
            <w:bottom w:val="none" w:sz="0" w:space="0" w:color="auto"/>
            <w:right w:val="none" w:sz="0" w:space="0" w:color="auto"/>
          </w:divBdr>
          <w:divsChild>
            <w:div w:id="529269326">
              <w:marLeft w:val="0"/>
              <w:marRight w:val="0"/>
              <w:marTop w:val="0"/>
              <w:marBottom w:val="0"/>
              <w:divBdr>
                <w:top w:val="none" w:sz="0" w:space="0" w:color="auto"/>
                <w:left w:val="none" w:sz="0" w:space="0" w:color="auto"/>
                <w:bottom w:val="none" w:sz="0" w:space="0" w:color="auto"/>
                <w:right w:val="none" w:sz="0" w:space="0" w:color="auto"/>
              </w:divBdr>
              <w:divsChild>
                <w:div w:id="714934878">
                  <w:marLeft w:val="0"/>
                  <w:marRight w:val="0"/>
                  <w:marTop w:val="0"/>
                  <w:marBottom w:val="0"/>
                  <w:divBdr>
                    <w:top w:val="none" w:sz="0" w:space="0" w:color="auto"/>
                    <w:left w:val="none" w:sz="0" w:space="0" w:color="auto"/>
                    <w:bottom w:val="none" w:sz="0" w:space="0" w:color="auto"/>
                    <w:right w:val="none" w:sz="0" w:space="0" w:color="auto"/>
                  </w:divBdr>
                  <w:divsChild>
                    <w:div w:id="71828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716726">
      <w:bodyDiv w:val="1"/>
      <w:marLeft w:val="0"/>
      <w:marRight w:val="0"/>
      <w:marTop w:val="0"/>
      <w:marBottom w:val="0"/>
      <w:divBdr>
        <w:top w:val="none" w:sz="0" w:space="0" w:color="auto"/>
        <w:left w:val="none" w:sz="0" w:space="0" w:color="auto"/>
        <w:bottom w:val="none" w:sz="0" w:space="0" w:color="auto"/>
        <w:right w:val="none" w:sz="0" w:space="0" w:color="auto"/>
      </w:divBdr>
    </w:div>
    <w:div w:id="497423206">
      <w:bodyDiv w:val="1"/>
      <w:marLeft w:val="0"/>
      <w:marRight w:val="0"/>
      <w:marTop w:val="0"/>
      <w:marBottom w:val="0"/>
      <w:divBdr>
        <w:top w:val="none" w:sz="0" w:space="0" w:color="auto"/>
        <w:left w:val="none" w:sz="0" w:space="0" w:color="auto"/>
        <w:bottom w:val="none" w:sz="0" w:space="0" w:color="auto"/>
        <w:right w:val="none" w:sz="0" w:space="0" w:color="auto"/>
      </w:divBdr>
    </w:div>
    <w:div w:id="720666392">
      <w:bodyDiv w:val="1"/>
      <w:marLeft w:val="0"/>
      <w:marRight w:val="0"/>
      <w:marTop w:val="0"/>
      <w:marBottom w:val="0"/>
      <w:divBdr>
        <w:top w:val="none" w:sz="0" w:space="0" w:color="auto"/>
        <w:left w:val="none" w:sz="0" w:space="0" w:color="auto"/>
        <w:bottom w:val="none" w:sz="0" w:space="0" w:color="auto"/>
        <w:right w:val="none" w:sz="0" w:space="0" w:color="auto"/>
      </w:divBdr>
      <w:divsChild>
        <w:div w:id="449125879">
          <w:marLeft w:val="0"/>
          <w:marRight w:val="0"/>
          <w:marTop w:val="0"/>
          <w:marBottom w:val="0"/>
          <w:divBdr>
            <w:top w:val="none" w:sz="0" w:space="0" w:color="auto"/>
            <w:left w:val="none" w:sz="0" w:space="0" w:color="auto"/>
            <w:bottom w:val="none" w:sz="0" w:space="0" w:color="auto"/>
            <w:right w:val="none" w:sz="0" w:space="0" w:color="auto"/>
          </w:divBdr>
          <w:divsChild>
            <w:div w:id="1948149477">
              <w:marLeft w:val="0"/>
              <w:marRight w:val="0"/>
              <w:marTop w:val="0"/>
              <w:marBottom w:val="0"/>
              <w:divBdr>
                <w:top w:val="none" w:sz="0" w:space="0" w:color="auto"/>
                <w:left w:val="none" w:sz="0" w:space="0" w:color="auto"/>
                <w:bottom w:val="none" w:sz="0" w:space="0" w:color="auto"/>
                <w:right w:val="none" w:sz="0" w:space="0" w:color="auto"/>
              </w:divBdr>
            </w:div>
            <w:div w:id="334379254">
              <w:marLeft w:val="0"/>
              <w:marRight w:val="0"/>
              <w:marTop w:val="0"/>
              <w:marBottom w:val="0"/>
              <w:divBdr>
                <w:top w:val="none" w:sz="0" w:space="0" w:color="auto"/>
                <w:left w:val="none" w:sz="0" w:space="0" w:color="auto"/>
                <w:bottom w:val="none" w:sz="0" w:space="0" w:color="auto"/>
                <w:right w:val="none" w:sz="0" w:space="0" w:color="auto"/>
              </w:divBdr>
            </w:div>
            <w:div w:id="1450514920">
              <w:marLeft w:val="0"/>
              <w:marRight w:val="0"/>
              <w:marTop w:val="0"/>
              <w:marBottom w:val="0"/>
              <w:divBdr>
                <w:top w:val="none" w:sz="0" w:space="0" w:color="auto"/>
                <w:left w:val="none" w:sz="0" w:space="0" w:color="auto"/>
                <w:bottom w:val="none" w:sz="0" w:space="0" w:color="auto"/>
                <w:right w:val="none" w:sz="0" w:space="0" w:color="auto"/>
              </w:divBdr>
            </w:div>
            <w:div w:id="1751391097">
              <w:marLeft w:val="0"/>
              <w:marRight w:val="0"/>
              <w:marTop w:val="0"/>
              <w:marBottom w:val="0"/>
              <w:divBdr>
                <w:top w:val="none" w:sz="0" w:space="0" w:color="auto"/>
                <w:left w:val="none" w:sz="0" w:space="0" w:color="auto"/>
                <w:bottom w:val="none" w:sz="0" w:space="0" w:color="auto"/>
                <w:right w:val="none" w:sz="0" w:space="0" w:color="auto"/>
              </w:divBdr>
            </w:div>
            <w:div w:id="1589924705">
              <w:marLeft w:val="0"/>
              <w:marRight w:val="0"/>
              <w:marTop w:val="0"/>
              <w:marBottom w:val="0"/>
              <w:divBdr>
                <w:top w:val="none" w:sz="0" w:space="0" w:color="auto"/>
                <w:left w:val="none" w:sz="0" w:space="0" w:color="auto"/>
                <w:bottom w:val="none" w:sz="0" w:space="0" w:color="auto"/>
                <w:right w:val="none" w:sz="0" w:space="0" w:color="auto"/>
              </w:divBdr>
            </w:div>
            <w:div w:id="1075738929">
              <w:marLeft w:val="0"/>
              <w:marRight w:val="0"/>
              <w:marTop w:val="0"/>
              <w:marBottom w:val="0"/>
              <w:divBdr>
                <w:top w:val="none" w:sz="0" w:space="0" w:color="auto"/>
                <w:left w:val="none" w:sz="0" w:space="0" w:color="auto"/>
                <w:bottom w:val="none" w:sz="0" w:space="0" w:color="auto"/>
                <w:right w:val="none" w:sz="0" w:space="0" w:color="auto"/>
              </w:divBdr>
            </w:div>
            <w:div w:id="156455910">
              <w:marLeft w:val="0"/>
              <w:marRight w:val="0"/>
              <w:marTop w:val="0"/>
              <w:marBottom w:val="0"/>
              <w:divBdr>
                <w:top w:val="none" w:sz="0" w:space="0" w:color="auto"/>
                <w:left w:val="none" w:sz="0" w:space="0" w:color="auto"/>
                <w:bottom w:val="none" w:sz="0" w:space="0" w:color="auto"/>
                <w:right w:val="none" w:sz="0" w:space="0" w:color="auto"/>
              </w:divBdr>
            </w:div>
            <w:div w:id="1299991719">
              <w:marLeft w:val="0"/>
              <w:marRight w:val="0"/>
              <w:marTop w:val="0"/>
              <w:marBottom w:val="0"/>
              <w:divBdr>
                <w:top w:val="none" w:sz="0" w:space="0" w:color="auto"/>
                <w:left w:val="none" w:sz="0" w:space="0" w:color="auto"/>
                <w:bottom w:val="none" w:sz="0" w:space="0" w:color="auto"/>
                <w:right w:val="none" w:sz="0" w:space="0" w:color="auto"/>
              </w:divBdr>
            </w:div>
            <w:div w:id="1507206429">
              <w:marLeft w:val="0"/>
              <w:marRight w:val="0"/>
              <w:marTop w:val="0"/>
              <w:marBottom w:val="0"/>
              <w:divBdr>
                <w:top w:val="none" w:sz="0" w:space="0" w:color="auto"/>
                <w:left w:val="none" w:sz="0" w:space="0" w:color="auto"/>
                <w:bottom w:val="none" w:sz="0" w:space="0" w:color="auto"/>
                <w:right w:val="none" w:sz="0" w:space="0" w:color="auto"/>
              </w:divBdr>
            </w:div>
            <w:div w:id="76160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84002">
      <w:bodyDiv w:val="1"/>
      <w:marLeft w:val="0"/>
      <w:marRight w:val="0"/>
      <w:marTop w:val="0"/>
      <w:marBottom w:val="0"/>
      <w:divBdr>
        <w:top w:val="none" w:sz="0" w:space="0" w:color="auto"/>
        <w:left w:val="none" w:sz="0" w:space="0" w:color="auto"/>
        <w:bottom w:val="none" w:sz="0" w:space="0" w:color="auto"/>
        <w:right w:val="none" w:sz="0" w:space="0" w:color="auto"/>
      </w:divBdr>
      <w:divsChild>
        <w:div w:id="270165082">
          <w:marLeft w:val="0"/>
          <w:marRight w:val="0"/>
          <w:marTop w:val="0"/>
          <w:marBottom w:val="0"/>
          <w:divBdr>
            <w:top w:val="none" w:sz="0" w:space="0" w:color="auto"/>
            <w:left w:val="none" w:sz="0" w:space="0" w:color="auto"/>
            <w:bottom w:val="none" w:sz="0" w:space="0" w:color="auto"/>
            <w:right w:val="none" w:sz="0" w:space="0" w:color="auto"/>
          </w:divBdr>
          <w:divsChild>
            <w:div w:id="12458533">
              <w:marLeft w:val="0"/>
              <w:marRight w:val="0"/>
              <w:marTop w:val="0"/>
              <w:marBottom w:val="0"/>
              <w:divBdr>
                <w:top w:val="none" w:sz="0" w:space="0" w:color="auto"/>
                <w:left w:val="none" w:sz="0" w:space="0" w:color="auto"/>
                <w:bottom w:val="none" w:sz="0" w:space="0" w:color="auto"/>
                <w:right w:val="none" w:sz="0" w:space="0" w:color="auto"/>
              </w:divBdr>
            </w:div>
            <w:div w:id="66079102">
              <w:marLeft w:val="0"/>
              <w:marRight w:val="0"/>
              <w:marTop w:val="0"/>
              <w:marBottom w:val="0"/>
              <w:divBdr>
                <w:top w:val="none" w:sz="0" w:space="0" w:color="auto"/>
                <w:left w:val="none" w:sz="0" w:space="0" w:color="auto"/>
                <w:bottom w:val="none" w:sz="0" w:space="0" w:color="auto"/>
                <w:right w:val="none" w:sz="0" w:space="0" w:color="auto"/>
              </w:divBdr>
            </w:div>
            <w:div w:id="2037415236">
              <w:marLeft w:val="0"/>
              <w:marRight w:val="0"/>
              <w:marTop w:val="0"/>
              <w:marBottom w:val="0"/>
              <w:divBdr>
                <w:top w:val="none" w:sz="0" w:space="0" w:color="auto"/>
                <w:left w:val="none" w:sz="0" w:space="0" w:color="auto"/>
                <w:bottom w:val="none" w:sz="0" w:space="0" w:color="auto"/>
                <w:right w:val="none" w:sz="0" w:space="0" w:color="auto"/>
              </w:divBdr>
              <w:divsChild>
                <w:div w:id="1490247249">
                  <w:marLeft w:val="0"/>
                  <w:marRight w:val="0"/>
                  <w:marTop w:val="0"/>
                  <w:marBottom w:val="0"/>
                  <w:divBdr>
                    <w:top w:val="none" w:sz="0" w:space="0" w:color="auto"/>
                    <w:left w:val="none" w:sz="0" w:space="0" w:color="auto"/>
                    <w:bottom w:val="none" w:sz="0" w:space="0" w:color="auto"/>
                    <w:right w:val="none" w:sz="0" w:space="0" w:color="auto"/>
                  </w:divBdr>
                  <w:divsChild>
                    <w:div w:id="364600891">
                      <w:marLeft w:val="0"/>
                      <w:marRight w:val="0"/>
                      <w:marTop w:val="0"/>
                      <w:marBottom w:val="0"/>
                      <w:divBdr>
                        <w:top w:val="none" w:sz="0" w:space="0" w:color="auto"/>
                        <w:left w:val="none" w:sz="0" w:space="0" w:color="auto"/>
                        <w:bottom w:val="none" w:sz="0" w:space="0" w:color="auto"/>
                        <w:right w:val="none" w:sz="0" w:space="0" w:color="auto"/>
                      </w:divBdr>
                    </w:div>
                    <w:div w:id="8015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732">
              <w:marLeft w:val="0"/>
              <w:marRight w:val="0"/>
              <w:marTop w:val="0"/>
              <w:marBottom w:val="0"/>
              <w:divBdr>
                <w:top w:val="none" w:sz="0" w:space="0" w:color="auto"/>
                <w:left w:val="none" w:sz="0" w:space="0" w:color="auto"/>
                <w:bottom w:val="none" w:sz="0" w:space="0" w:color="auto"/>
                <w:right w:val="none" w:sz="0" w:space="0" w:color="auto"/>
              </w:divBdr>
              <w:divsChild>
                <w:div w:id="1971478247">
                  <w:marLeft w:val="0"/>
                  <w:marRight w:val="0"/>
                  <w:marTop w:val="0"/>
                  <w:marBottom w:val="0"/>
                  <w:divBdr>
                    <w:top w:val="none" w:sz="0" w:space="0" w:color="auto"/>
                    <w:left w:val="none" w:sz="0" w:space="0" w:color="auto"/>
                    <w:bottom w:val="none" w:sz="0" w:space="0" w:color="auto"/>
                    <w:right w:val="none" w:sz="0" w:space="0" w:color="auto"/>
                  </w:divBdr>
                  <w:divsChild>
                    <w:div w:id="106433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2531">
              <w:marLeft w:val="0"/>
              <w:marRight w:val="0"/>
              <w:marTop w:val="0"/>
              <w:marBottom w:val="0"/>
              <w:divBdr>
                <w:top w:val="none" w:sz="0" w:space="0" w:color="auto"/>
                <w:left w:val="none" w:sz="0" w:space="0" w:color="auto"/>
                <w:bottom w:val="none" w:sz="0" w:space="0" w:color="auto"/>
                <w:right w:val="none" w:sz="0" w:space="0" w:color="auto"/>
              </w:divBdr>
              <w:divsChild>
                <w:div w:id="1730109749">
                  <w:marLeft w:val="0"/>
                  <w:marRight w:val="0"/>
                  <w:marTop w:val="0"/>
                  <w:marBottom w:val="0"/>
                  <w:divBdr>
                    <w:top w:val="none" w:sz="0" w:space="0" w:color="auto"/>
                    <w:left w:val="none" w:sz="0" w:space="0" w:color="auto"/>
                    <w:bottom w:val="none" w:sz="0" w:space="0" w:color="auto"/>
                    <w:right w:val="none" w:sz="0" w:space="0" w:color="auto"/>
                  </w:divBdr>
                  <w:divsChild>
                    <w:div w:id="12523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429076">
              <w:marLeft w:val="0"/>
              <w:marRight w:val="0"/>
              <w:marTop w:val="0"/>
              <w:marBottom w:val="0"/>
              <w:divBdr>
                <w:top w:val="none" w:sz="0" w:space="0" w:color="auto"/>
                <w:left w:val="none" w:sz="0" w:space="0" w:color="auto"/>
                <w:bottom w:val="none" w:sz="0" w:space="0" w:color="auto"/>
                <w:right w:val="none" w:sz="0" w:space="0" w:color="auto"/>
              </w:divBdr>
              <w:divsChild>
                <w:div w:id="1103263273">
                  <w:marLeft w:val="0"/>
                  <w:marRight w:val="0"/>
                  <w:marTop w:val="0"/>
                  <w:marBottom w:val="0"/>
                  <w:divBdr>
                    <w:top w:val="none" w:sz="0" w:space="0" w:color="auto"/>
                    <w:left w:val="none" w:sz="0" w:space="0" w:color="auto"/>
                    <w:bottom w:val="none" w:sz="0" w:space="0" w:color="auto"/>
                    <w:right w:val="none" w:sz="0" w:space="0" w:color="auto"/>
                  </w:divBdr>
                  <w:divsChild>
                    <w:div w:id="70209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59259">
              <w:marLeft w:val="0"/>
              <w:marRight w:val="0"/>
              <w:marTop w:val="0"/>
              <w:marBottom w:val="0"/>
              <w:divBdr>
                <w:top w:val="none" w:sz="0" w:space="0" w:color="auto"/>
                <w:left w:val="none" w:sz="0" w:space="0" w:color="auto"/>
                <w:bottom w:val="none" w:sz="0" w:space="0" w:color="auto"/>
                <w:right w:val="none" w:sz="0" w:space="0" w:color="auto"/>
              </w:divBdr>
              <w:divsChild>
                <w:div w:id="54741047">
                  <w:marLeft w:val="0"/>
                  <w:marRight w:val="0"/>
                  <w:marTop w:val="0"/>
                  <w:marBottom w:val="0"/>
                  <w:divBdr>
                    <w:top w:val="none" w:sz="0" w:space="0" w:color="auto"/>
                    <w:left w:val="none" w:sz="0" w:space="0" w:color="auto"/>
                    <w:bottom w:val="none" w:sz="0" w:space="0" w:color="auto"/>
                    <w:right w:val="none" w:sz="0" w:space="0" w:color="auto"/>
                  </w:divBdr>
                  <w:divsChild>
                    <w:div w:id="78219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9035">
              <w:marLeft w:val="0"/>
              <w:marRight w:val="0"/>
              <w:marTop w:val="0"/>
              <w:marBottom w:val="0"/>
              <w:divBdr>
                <w:top w:val="none" w:sz="0" w:space="0" w:color="auto"/>
                <w:left w:val="none" w:sz="0" w:space="0" w:color="auto"/>
                <w:bottom w:val="none" w:sz="0" w:space="0" w:color="auto"/>
                <w:right w:val="none" w:sz="0" w:space="0" w:color="auto"/>
              </w:divBdr>
              <w:divsChild>
                <w:div w:id="1341272208">
                  <w:marLeft w:val="0"/>
                  <w:marRight w:val="0"/>
                  <w:marTop w:val="0"/>
                  <w:marBottom w:val="0"/>
                  <w:divBdr>
                    <w:top w:val="none" w:sz="0" w:space="0" w:color="auto"/>
                    <w:left w:val="none" w:sz="0" w:space="0" w:color="auto"/>
                    <w:bottom w:val="none" w:sz="0" w:space="0" w:color="auto"/>
                    <w:right w:val="none" w:sz="0" w:space="0" w:color="auto"/>
                  </w:divBdr>
                  <w:divsChild>
                    <w:div w:id="183260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15762">
              <w:marLeft w:val="0"/>
              <w:marRight w:val="0"/>
              <w:marTop w:val="0"/>
              <w:marBottom w:val="0"/>
              <w:divBdr>
                <w:top w:val="none" w:sz="0" w:space="0" w:color="auto"/>
                <w:left w:val="none" w:sz="0" w:space="0" w:color="auto"/>
                <w:bottom w:val="none" w:sz="0" w:space="0" w:color="auto"/>
                <w:right w:val="none" w:sz="0" w:space="0" w:color="auto"/>
              </w:divBdr>
              <w:divsChild>
                <w:div w:id="787505934">
                  <w:marLeft w:val="0"/>
                  <w:marRight w:val="0"/>
                  <w:marTop w:val="0"/>
                  <w:marBottom w:val="0"/>
                  <w:divBdr>
                    <w:top w:val="none" w:sz="0" w:space="0" w:color="auto"/>
                    <w:left w:val="none" w:sz="0" w:space="0" w:color="auto"/>
                    <w:bottom w:val="none" w:sz="0" w:space="0" w:color="auto"/>
                    <w:right w:val="none" w:sz="0" w:space="0" w:color="auto"/>
                  </w:divBdr>
                  <w:divsChild>
                    <w:div w:id="11379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3365">
              <w:marLeft w:val="0"/>
              <w:marRight w:val="0"/>
              <w:marTop w:val="0"/>
              <w:marBottom w:val="0"/>
              <w:divBdr>
                <w:top w:val="none" w:sz="0" w:space="0" w:color="auto"/>
                <w:left w:val="none" w:sz="0" w:space="0" w:color="auto"/>
                <w:bottom w:val="none" w:sz="0" w:space="0" w:color="auto"/>
                <w:right w:val="none" w:sz="0" w:space="0" w:color="auto"/>
              </w:divBdr>
              <w:divsChild>
                <w:div w:id="2066759724">
                  <w:marLeft w:val="0"/>
                  <w:marRight w:val="0"/>
                  <w:marTop w:val="0"/>
                  <w:marBottom w:val="0"/>
                  <w:divBdr>
                    <w:top w:val="none" w:sz="0" w:space="0" w:color="auto"/>
                    <w:left w:val="none" w:sz="0" w:space="0" w:color="auto"/>
                    <w:bottom w:val="none" w:sz="0" w:space="0" w:color="auto"/>
                    <w:right w:val="none" w:sz="0" w:space="0" w:color="auto"/>
                  </w:divBdr>
                  <w:divsChild>
                    <w:div w:id="57863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85344">
              <w:marLeft w:val="0"/>
              <w:marRight w:val="0"/>
              <w:marTop w:val="0"/>
              <w:marBottom w:val="0"/>
              <w:divBdr>
                <w:top w:val="none" w:sz="0" w:space="0" w:color="auto"/>
                <w:left w:val="none" w:sz="0" w:space="0" w:color="auto"/>
                <w:bottom w:val="none" w:sz="0" w:space="0" w:color="auto"/>
                <w:right w:val="none" w:sz="0" w:space="0" w:color="auto"/>
              </w:divBdr>
              <w:divsChild>
                <w:div w:id="599872219">
                  <w:marLeft w:val="0"/>
                  <w:marRight w:val="0"/>
                  <w:marTop w:val="0"/>
                  <w:marBottom w:val="0"/>
                  <w:divBdr>
                    <w:top w:val="none" w:sz="0" w:space="0" w:color="auto"/>
                    <w:left w:val="none" w:sz="0" w:space="0" w:color="auto"/>
                    <w:bottom w:val="none" w:sz="0" w:space="0" w:color="auto"/>
                    <w:right w:val="none" w:sz="0" w:space="0" w:color="auto"/>
                  </w:divBdr>
                  <w:divsChild>
                    <w:div w:id="206406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44199">
              <w:marLeft w:val="0"/>
              <w:marRight w:val="0"/>
              <w:marTop w:val="0"/>
              <w:marBottom w:val="0"/>
              <w:divBdr>
                <w:top w:val="none" w:sz="0" w:space="0" w:color="auto"/>
                <w:left w:val="none" w:sz="0" w:space="0" w:color="auto"/>
                <w:bottom w:val="none" w:sz="0" w:space="0" w:color="auto"/>
                <w:right w:val="none" w:sz="0" w:space="0" w:color="auto"/>
              </w:divBdr>
              <w:divsChild>
                <w:div w:id="1817338071">
                  <w:marLeft w:val="0"/>
                  <w:marRight w:val="0"/>
                  <w:marTop w:val="0"/>
                  <w:marBottom w:val="0"/>
                  <w:divBdr>
                    <w:top w:val="none" w:sz="0" w:space="0" w:color="auto"/>
                    <w:left w:val="none" w:sz="0" w:space="0" w:color="auto"/>
                    <w:bottom w:val="none" w:sz="0" w:space="0" w:color="auto"/>
                    <w:right w:val="none" w:sz="0" w:space="0" w:color="auto"/>
                  </w:divBdr>
                  <w:divsChild>
                    <w:div w:id="140699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505928">
              <w:marLeft w:val="0"/>
              <w:marRight w:val="0"/>
              <w:marTop w:val="0"/>
              <w:marBottom w:val="0"/>
              <w:divBdr>
                <w:top w:val="none" w:sz="0" w:space="0" w:color="auto"/>
                <w:left w:val="none" w:sz="0" w:space="0" w:color="auto"/>
                <w:bottom w:val="none" w:sz="0" w:space="0" w:color="auto"/>
                <w:right w:val="none" w:sz="0" w:space="0" w:color="auto"/>
              </w:divBdr>
              <w:divsChild>
                <w:div w:id="1424188039">
                  <w:marLeft w:val="0"/>
                  <w:marRight w:val="0"/>
                  <w:marTop w:val="0"/>
                  <w:marBottom w:val="0"/>
                  <w:divBdr>
                    <w:top w:val="none" w:sz="0" w:space="0" w:color="auto"/>
                    <w:left w:val="none" w:sz="0" w:space="0" w:color="auto"/>
                    <w:bottom w:val="none" w:sz="0" w:space="0" w:color="auto"/>
                    <w:right w:val="none" w:sz="0" w:space="0" w:color="auto"/>
                  </w:divBdr>
                  <w:divsChild>
                    <w:div w:id="425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7685">
              <w:marLeft w:val="0"/>
              <w:marRight w:val="0"/>
              <w:marTop w:val="0"/>
              <w:marBottom w:val="0"/>
              <w:divBdr>
                <w:top w:val="none" w:sz="0" w:space="0" w:color="auto"/>
                <w:left w:val="none" w:sz="0" w:space="0" w:color="auto"/>
                <w:bottom w:val="none" w:sz="0" w:space="0" w:color="auto"/>
                <w:right w:val="none" w:sz="0" w:space="0" w:color="auto"/>
              </w:divBdr>
              <w:divsChild>
                <w:div w:id="468087432">
                  <w:marLeft w:val="0"/>
                  <w:marRight w:val="0"/>
                  <w:marTop w:val="0"/>
                  <w:marBottom w:val="0"/>
                  <w:divBdr>
                    <w:top w:val="none" w:sz="0" w:space="0" w:color="auto"/>
                    <w:left w:val="none" w:sz="0" w:space="0" w:color="auto"/>
                    <w:bottom w:val="none" w:sz="0" w:space="0" w:color="auto"/>
                    <w:right w:val="none" w:sz="0" w:space="0" w:color="auto"/>
                  </w:divBdr>
                  <w:divsChild>
                    <w:div w:id="198115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7017">
              <w:marLeft w:val="0"/>
              <w:marRight w:val="0"/>
              <w:marTop w:val="0"/>
              <w:marBottom w:val="0"/>
              <w:divBdr>
                <w:top w:val="none" w:sz="0" w:space="0" w:color="auto"/>
                <w:left w:val="none" w:sz="0" w:space="0" w:color="auto"/>
                <w:bottom w:val="none" w:sz="0" w:space="0" w:color="auto"/>
                <w:right w:val="none" w:sz="0" w:space="0" w:color="auto"/>
              </w:divBdr>
              <w:divsChild>
                <w:div w:id="997153154">
                  <w:marLeft w:val="0"/>
                  <w:marRight w:val="0"/>
                  <w:marTop w:val="0"/>
                  <w:marBottom w:val="0"/>
                  <w:divBdr>
                    <w:top w:val="none" w:sz="0" w:space="0" w:color="auto"/>
                    <w:left w:val="none" w:sz="0" w:space="0" w:color="auto"/>
                    <w:bottom w:val="none" w:sz="0" w:space="0" w:color="auto"/>
                    <w:right w:val="none" w:sz="0" w:space="0" w:color="auto"/>
                  </w:divBdr>
                  <w:divsChild>
                    <w:div w:id="140483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5104">
              <w:marLeft w:val="0"/>
              <w:marRight w:val="0"/>
              <w:marTop w:val="0"/>
              <w:marBottom w:val="0"/>
              <w:divBdr>
                <w:top w:val="none" w:sz="0" w:space="0" w:color="auto"/>
                <w:left w:val="none" w:sz="0" w:space="0" w:color="auto"/>
                <w:bottom w:val="none" w:sz="0" w:space="0" w:color="auto"/>
                <w:right w:val="none" w:sz="0" w:space="0" w:color="auto"/>
              </w:divBdr>
              <w:divsChild>
                <w:div w:id="1844005361">
                  <w:marLeft w:val="0"/>
                  <w:marRight w:val="0"/>
                  <w:marTop w:val="0"/>
                  <w:marBottom w:val="0"/>
                  <w:divBdr>
                    <w:top w:val="none" w:sz="0" w:space="0" w:color="auto"/>
                    <w:left w:val="none" w:sz="0" w:space="0" w:color="auto"/>
                    <w:bottom w:val="none" w:sz="0" w:space="0" w:color="auto"/>
                    <w:right w:val="none" w:sz="0" w:space="0" w:color="auto"/>
                  </w:divBdr>
                  <w:divsChild>
                    <w:div w:id="142228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48307">
              <w:marLeft w:val="0"/>
              <w:marRight w:val="0"/>
              <w:marTop w:val="0"/>
              <w:marBottom w:val="0"/>
              <w:divBdr>
                <w:top w:val="none" w:sz="0" w:space="0" w:color="auto"/>
                <w:left w:val="none" w:sz="0" w:space="0" w:color="auto"/>
                <w:bottom w:val="none" w:sz="0" w:space="0" w:color="auto"/>
                <w:right w:val="none" w:sz="0" w:space="0" w:color="auto"/>
              </w:divBdr>
              <w:divsChild>
                <w:div w:id="87581556">
                  <w:marLeft w:val="0"/>
                  <w:marRight w:val="0"/>
                  <w:marTop w:val="0"/>
                  <w:marBottom w:val="0"/>
                  <w:divBdr>
                    <w:top w:val="none" w:sz="0" w:space="0" w:color="auto"/>
                    <w:left w:val="none" w:sz="0" w:space="0" w:color="auto"/>
                    <w:bottom w:val="none" w:sz="0" w:space="0" w:color="auto"/>
                    <w:right w:val="none" w:sz="0" w:space="0" w:color="auto"/>
                  </w:divBdr>
                  <w:divsChild>
                    <w:div w:id="190290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5201">
              <w:marLeft w:val="0"/>
              <w:marRight w:val="0"/>
              <w:marTop w:val="0"/>
              <w:marBottom w:val="0"/>
              <w:divBdr>
                <w:top w:val="none" w:sz="0" w:space="0" w:color="auto"/>
                <w:left w:val="none" w:sz="0" w:space="0" w:color="auto"/>
                <w:bottom w:val="none" w:sz="0" w:space="0" w:color="auto"/>
                <w:right w:val="none" w:sz="0" w:space="0" w:color="auto"/>
              </w:divBdr>
              <w:divsChild>
                <w:div w:id="386756645">
                  <w:marLeft w:val="0"/>
                  <w:marRight w:val="0"/>
                  <w:marTop w:val="0"/>
                  <w:marBottom w:val="0"/>
                  <w:divBdr>
                    <w:top w:val="none" w:sz="0" w:space="0" w:color="auto"/>
                    <w:left w:val="none" w:sz="0" w:space="0" w:color="auto"/>
                    <w:bottom w:val="none" w:sz="0" w:space="0" w:color="auto"/>
                    <w:right w:val="none" w:sz="0" w:space="0" w:color="auto"/>
                  </w:divBdr>
                  <w:divsChild>
                    <w:div w:id="27591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565520">
              <w:marLeft w:val="0"/>
              <w:marRight w:val="0"/>
              <w:marTop w:val="0"/>
              <w:marBottom w:val="0"/>
              <w:divBdr>
                <w:top w:val="none" w:sz="0" w:space="0" w:color="auto"/>
                <w:left w:val="none" w:sz="0" w:space="0" w:color="auto"/>
                <w:bottom w:val="none" w:sz="0" w:space="0" w:color="auto"/>
                <w:right w:val="none" w:sz="0" w:space="0" w:color="auto"/>
              </w:divBdr>
              <w:divsChild>
                <w:div w:id="1736584939">
                  <w:marLeft w:val="0"/>
                  <w:marRight w:val="0"/>
                  <w:marTop w:val="0"/>
                  <w:marBottom w:val="0"/>
                  <w:divBdr>
                    <w:top w:val="none" w:sz="0" w:space="0" w:color="auto"/>
                    <w:left w:val="none" w:sz="0" w:space="0" w:color="auto"/>
                    <w:bottom w:val="none" w:sz="0" w:space="0" w:color="auto"/>
                    <w:right w:val="none" w:sz="0" w:space="0" w:color="auto"/>
                  </w:divBdr>
                  <w:divsChild>
                    <w:div w:id="15303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51844">
              <w:marLeft w:val="0"/>
              <w:marRight w:val="0"/>
              <w:marTop w:val="0"/>
              <w:marBottom w:val="0"/>
              <w:divBdr>
                <w:top w:val="none" w:sz="0" w:space="0" w:color="auto"/>
                <w:left w:val="none" w:sz="0" w:space="0" w:color="auto"/>
                <w:bottom w:val="none" w:sz="0" w:space="0" w:color="auto"/>
                <w:right w:val="none" w:sz="0" w:space="0" w:color="auto"/>
              </w:divBdr>
              <w:divsChild>
                <w:div w:id="989673481">
                  <w:marLeft w:val="0"/>
                  <w:marRight w:val="0"/>
                  <w:marTop w:val="0"/>
                  <w:marBottom w:val="0"/>
                  <w:divBdr>
                    <w:top w:val="none" w:sz="0" w:space="0" w:color="auto"/>
                    <w:left w:val="none" w:sz="0" w:space="0" w:color="auto"/>
                    <w:bottom w:val="none" w:sz="0" w:space="0" w:color="auto"/>
                    <w:right w:val="none" w:sz="0" w:space="0" w:color="auto"/>
                  </w:divBdr>
                  <w:divsChild>
                    <w:div w:id="6464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3151">
              <w:marLeft w:val="0"/>
              <w:marRight w:val="0"/>
              <w:marTop w:val="0"/>
              <w:marBottom w:val="0"/>
              <w:divBdr>
                <w:top w:val="none" w:sz="0" w:space="0" w:color="auto"/>
                <w:left w:val="none" w:sz="0" w:space="0" w:color="auto"/>
                <w:bottom w:val="none" w:sz="0" w:space="0" w:color="auto"/>
                <w:right w:val="none" w:sz="0" w:space="0" w:color="auto"/>
              </w:divBdr>
              <w:divsChild>
                <w:div w:id="1461417421">
                  <w:marLeft w:val="0"/>
                  <w:marRight w:val="0"/>
                  <w:marTop w:val="0"/>
                  <w:marBottom w:val="0"/>
                  <w:divBdr>
                    <w:top w:val="none" w:sz="0" w:space="0" w:color="auto"/>
                    <w:left w:val="none" w:sz="0" w:space="0" w:color="auto"/>
                    <w:bottom w:val="none" w:sz="0" w:space="0" w:color="auto"/>
                    <w:right w:val="none" w:sz="0" w:space="0" w:color="auto"/>
                  </w:divBdr>
                  <w:divsChild>
                    <w:div w:id="18034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601237">
              <w:marLeft w:val="0"/>
              <w:marRight w:val="0"/>
              <w:marTop w:val="0"/>
              <w:marBottom w:val="0"/>
              <w:divBdr>
                <w:top w:val="none" w:sz="0" w:space="0" w:color="auto"/>
                <w:left w:val="none" w:sz="0" w:space="0" w:color="auto"/>
                <w:bottom w:val="none" w:sz="0" w:space="0" w:color="auto"/>
                <w:right w:val="none" w:sz="0" w:space="0" w:color="auto"/>
              </w:divBdr>
              <w:divsChild>
                <w:div w:id="2108227601">
                  <w:marLeft w:val="0"/>
                  <w:marRight w:val="0"/>
                  <w:marTop w:val="0"/>
                  <w:marBottom w:val="0"/>
                  <w:divBdr>
                    <w:top w:val="none" w:sz="0" w:space="0" w:color="auto"/>
                    <w:left w:val="none" w:sz="0" w:space="0" w:color="auto"/>
                    <w:bottom w:val="none" w:sz="0" w:space="0" w:color="auto"/>
                    <w:right w:val="none" w:sz="0" w:space="0" w:color="auto"/>
                  </w:divBdr>
                  <w:divsChild>
                    <w:div w:id="20473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457038">
              <w:marLeft w:val="0"/>
              <w:marRight w:val="0"/>
              <w:marTop w:val="0"/>
              <w:marBottom w:val="0"/>
              <w:divBdr>
                <w:top w:val="none" w:sz="0" w:space="0" w:color="auto"/>
                <w:left w:val="none" w:sz="0" w:space="0" w:color="auto"/>
                <w:bottom w:val="none" w:sz="0" w:space="0" w:color="auto"/>
                <w:right w:val="none" w:sz="0" w:space="0" w:color="auto"/>
              </w:divBdr>
              <w:divsChild>
                <w:div w:id="1589147961">
                  <w:marLeft w:val="0"/>
                  <w:marRight w:val="0"/>
                  <w:marTop w:val="0"/>
                  <w:marBottom w:val="0"/>
                  <w:divBdr>
                    <w:top w:val="none" w:sz="0" w:space="0" w:color="auto"/>
                    <w:left w:val="none" w:sz="0" w:space="0" w:color="auto"/>
                    <w:bottom w:val="none" w:sz="0" w:space="0" w:color="auto"/>
                    <w:right w:val="none" w:sz="0" w:space="0" w:color="auto"/>
                  </w:divBdr>
                  <w:divsChild>
                    <w:div w:id="2533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65689">
              <w:marLeft w:val="0"/>
              <w:marRight w:val="0"/>
              <w:marTop w:val="0"/>
              <w:marBottom w:val="0"/>
              <w:divBdr>
                <w:top w:val="none" w:sz="0" w:space="0" w:color="auto"/>
                <w:left w:val="none" w:sz="0" w:space="0" w:color="auto"/>
                <w:bottom w:val="none" w:sz="0" w:space="0" w:color="auto"/>
                <w:right w:val="none" w:sz="0" w:space="0" w:color="auto"/>
              </w:divBdr>
              <w:divsChild>
                <w:div w:id="1305159865">
                  <w:marLeft w:val="0"/>
                  <w:marRight w:val="0"/>
                  <w:marTop w:val="0"/>
                  <w:marBottom w:val="0"/>
                  <w:divBdr>
                    <w:top w:val="none" w:sz="0" w:space="0" w:color="auto"/>
                    <w:left w:val="none" w:sz="0" w:space="0" w:color="auto"/>
                    <w:bottom w:val="none" w:sz="0" w:space="0" w:color="auto"/>
                    <w:right w:val="none" w:sz="0" w:space="0" w:color="auto"/>
                  </w:divBdr>
                  <w:divsChild>
                    <w:div w:id="63460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90650">
              <w:marLeft w:val="0"/>
              <w:marRight w:val="0"/>
              <w:marTop w:val="0"/>
              <w:marBottom w:val="0"/>
              <w:divBdr>
                <w:top w:val="none" w:sz="0" w:space="0" w:color="auto"/>
                <w:left w:val="none" w:sz="0" w:space="0" w:color="auto"/>
                <w:bottom w:val="none" w:sz="0" w:space="0" w:color="auto"/>
                <w:right w:val="none" w:sz="0" w:space="0" w:color="auto"/>
              </w:divBdr>
              <w:divsChild>
                <w:div w:id="1056393963">
                  <w:marLeft w:val="0"/>
                  <w:marRight w:val="0"/>
                  <w:marTop w:val="0"/>
                  <w:marBottom w:val="0"/>
                  <w:divBdr>
                    <w:top w:val="none" w:sz="0" w:space="0" w:color="auto"/>
                    <w:left w:val="none" w:sz="0" w:space="0" w:color="auto"/>
                    <w:bottom w:val="none" w:sz="0" w:space="0" w:color="auto"/>
                    <w:right w:val="none" w:sz="0" w:space="0" w:color="auto"/>
                  </w:divBdr>
                  <w:divsChild>
                    <w:div w:id="13573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65960">
              <w:marLeft w:val="0"/>
              <w:marRight w:val="0"/>
              <w:marTop w:val="0"/>
              <w:marBottom w:val="0"/>
              <w:divBdr>
                <w:top w:val="none" w:sz="0" w:space="0" w:color="auto"/>
                <w:left w:val="none" w:sz="0" w:space="0" w:color="auto"/>
                <w:bottom w:val="none" w:sz="0" w:space="0" w:color="auto"/>
                <w:right w:val="none" w:sz="0" w:space="0" w:color="auto"/>
              </w:divBdr>
              <w:divsChild>
                <w:div w:id="167602303">
                  <w:marLeft w:val="0"/>
                  <w:marRight w:val="0"/>
                  <w:marTop w:val="0"/>
                  <w:marBottom w:val="0"/>
                  <w:divBdr>
                    <w:top w:val="none" w:sz="0" w:space="0" w:color="auto"/>
                    <w:left w:val="none" w:sz="0" w:space="0" w:color="auto"/>
                    <w:bottom w:val="none" w:sz="0" w:space="0" w:color="auto"/>
                    <w:right w:val="none" w:sz="0" w:space="0" w:color="auto"/>
                  </w:divBdr>
                  <w:divsChild>
                    <w:div w:id="1714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8624">
              <w:marLeft w:val="0"/>
              <w:marRight w:val="0"/>
              <w:marTop w:val="0"/>
              <w:marBottom w:val="0"/>
              <w:divBdr>
                <w:top w:val="none" w:sz="0" w:space="0" w:color="auto"/>
                <w:left w:val="none" w:sz="0" w:space="0" w:color="auto"/>
                <w:bottom w:val="none" w:sz="0" w:space="0" w:color="auto"/>
                <w:right w:val="none" w:sz="0" w:space="0" w:color="auto"/>
              </w:divBdr>
              <w:divsChild>
                <w:div w:id="849218929">
                  <w:marLeft w:val="0"/>
                  <w:marRight w:val="0"/>
                  <w:marTop w:val="0"/>
                  <w:marBottom w:val="0"/>
                  <w:divBdr>
                    <w:top w:val="none" w:sz="0" w:space="0" w:color="auto"/>
                    <w:left w:val="none" w:sz="0" w:space="0" w:color="auto"/>
                    <w:bottom w:val="none" w:sz="0" w:space="0" w:color="auto"/>
                    <w:right w:val="none" w:sz="0" w:space="0" w:color="auto"/>
                  </w:divBdr>
                  <w:divsChild>
                    <w:div w:id="16763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213387">
              <w:marLeft w:val="0"/>
              <w:marRight w:val="0"/>
              <w:marTop w:val="0"/>
              <w:marBottom w:val="0"/>
              <w:divBdr>
                <w:top w:val="none" w:sz="0" w:space="0" w:color="auto"/>
                <w:left w:val="none" w:sz="0" w:space="0" w:color="auto"/>
                <w:bottom w:val="none" w:sz="0" w:space="0" w:color="auto"/>
                <w:right w:val="none" w:sz="0" w:space="0" w:color="auto"/>
              </w:divBdr>
              <w:divsChild>
                <w:div w:id="1681658645">
                  <w:marLeft w:val="0"/>
                  <w:marRight w:val="0"/>
                  <w:marTop w:val="0"/>
                  <w:marBottom w:val="0"/>
                  <w:divBdr>
                    <w:top w:val="none" w:sz="0" w:space="0" w:color="auto"/>
                    <w:left w:val="none" w:sz="0" w:space="0" w:color="auto"/>
                    <w:bottom w:val="none" w:sz="0" w:space="0" w:color="auto"/>
                    <w:right w:val="none" w:sz="0" w:space="0" w:color="auto"/>
                  </w:divBdr>
                  <w:divsChild>
                    <w:div w:id="12492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909882">
              <w:marLeft w:val="0"/>
              <w:marRight w:val="0"/>
              <w:marTop w:val="0"/>
              <w:marBottom w:val="0"/>
              <w:divBdr>
                <w:top w:val="none" w:sz="0" w:space="0" w:color="auto"/>
                <w:left w:val="none" w:sz="0" w:space="0" w:color="auto"/>
                <w:bottom w:val="none" w:sz="0" w:space="0" w:color="auto"/>
                <w:right w:val="none" w:sz="0" w:space="0" w:color="auto"/>
              </w:divBdr>
              <w:divsChild>
                <w:div w:id="1479876442">
                  <w:marLeft w:val="0"/>
                  <w:marRight w:val="0"/>
                  <w:marTop w:val="0"/>
                  <w:marBottom w:val="0"/>
                  <w:divBdr>
                    <w:top w:val="none" w:sz="0" w:space="0" w:color="auto"/>
                    <w:left w:val="none" w:sz="0" w:space="0" w:color="auto"/>
                    <w:bottom w:val="none" w:sz="0" w:space="0" w:color="auto"/>
                    <w:right w:val="none" w:sz="0" w:space="0" w:color="auto"/>
                  </w:divBdr>
                  <w:divsChild>
                    <w:div w:id="8546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68281">
              <w:marLeft w:val="0"/>
              <w:marRight w:val="0"/>
              <w:marTop w:val="0"/>
              <w:marBottom w:val="0"/>
              <w:divBdr>
                <w:top w:val="none" w:sz="0" w:space="0" w:color="auto"/>
                <w:left w:val="none" w:sz="0" w:space="0" w:color="auto"/>
                <w:bottom w:val="none" w:sz="0" w:space="0" w:color="auto"/>
                <w:right w:val="none" w:sz="0" w:space="0" w:color="auto"/>
              </w:divBdr>
              <w:divsChild>
                <w:div w:id="117795572">
                  <w:marLeft w:val="0"/>
                  <w:marRight w:val="0"/>
                  <w:marTop w:val="0"/>
                  <w:marBottom w:val="0"/>
                  <w:divBdr>
                    <w:top w:val="none" w:sz="0" w:space="0" w:color="auto"/>
                    <w:left w:val="none" w:sz="0" w:space="0" w:color="auto"/>
                    <w:bottom w:val="none" w:sz="0" w:space="0" w:color="auto"/>
                    <w:right w:val="none" w:sz="0" w:space="0" w:color="auto"/>
                  </w:divBdr>
                  <w:divsChild>
                    <w:div w:id="72949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4202">
              <w:marLeft w:val="0"/>
              <w:marRight w:val="0"/>
              <w:marTop w:val="0"/>
              <w:marBottom w:val="0"/>
              <w:divBdr>
                <w:top w:val="none" w:sz="0" w:space="0" w:color="auto"/>
                <w:left w:val="none" w:sz="0" w:space="0" w:color="auto"/>
                <w:bottom w:val="none" w:sz="0" w:space="0" w:color="auto"/>
                <w:right w:val="none" w:sz="0" w:space="0" w:color="auto"/>
              </w:divBdr>
              <w:divsChild>
                <w:div w:id="513687412">
                  <w:marLeft w:val="0"/>
                  <w:marRight w:val="0"/>
                  <w:marTop w:val="0"/>
                  <w:marBottom w:val="0"/>
                  <w:divBdr>
                    <w:top w:val="none" w:sz="0" w:space="0" w:color="auto"/>
                    <w:left w:val="none" w:sz="0" w:space="0" w:color="auto"/>
                    <w:bottom w:val="none" w:sz="0" w:space="0" w:color="auto"/>
                    <w:right w:val="none" w:sz="0" w:space="0" w:color="auto"/>
                  </w:divBdr>
                  <w:divsChild>
                    <w:div w:id="33738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81108">
              <w:marLeft w:val="0"/>
              <w:marRight w:val="0"/>
              <w:marTop w:val="0"/>
              <w:marBottom w:val="0"/>
              <w:divBdr>
                <w:top w:val="none" w:sz="0" w:space="0" w:color="auto"/>
                <w:left w:val="none" w:sz="0" w:space="0" w:color="auto"/>
                <w:bottom w:val="none" w:sz="0" w:space="0" w:color="auto"/>
                <w:right w:val="none" w:sz="0" w:space="0" w:color="auto"/>
              </w:divBdr>
              <w:divsChild>
                <w:div w:id="701780958">
                  <w:marLeft w:val="0"/>
                  <w:marRight w:val="0"/>
                  <w:marTop w:val="0"/>
                  <w:marBottom w:val="0"/>
                  <w:divBdr>
                    <w:top w:val="none" w:sz="0" w:space="0" w:color="auto"/>
                    <w:left w:val="none" w:sz="0" w:space="0" w:color="auto"/>
                    <w:bottom w:val="none" w:sz="0" w:space="0" w:color="auto"/>
                    <w:right w:val="none" w:sz="0" w:space="0" w:color="auto"/>
                  </w:divBdr>
                  <w:divsChild>
                    <w:div w:id="163952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13457">
              <w:marLeft w:val="0"/>
              <w:marRight w:val="0"/>
              <w:marTop w:val="0"/>
              <w:marBottom w:val="0"/>
              <w:divBdr>
                <w:top w:val="none" w:sz="0" w:space="0" w:color="auto"/>
                <w:left w:val="none" w:sz="0" w:space="0" w:color="auto"/>
                <w:bottom w:val="none" w:sz="0" w:space="0" w:color="auto"/>
                <w:right w:val="none" w:sz="0" w:space="0" w:color="auto"/>
              </w:divBdr>
              <w:divsChild>
                <w:div w:id="2089376370">
                  <w:marLeft w:val="0"/>
                  <w:marRight w:val="0"/>
                  <w:marTop w:val="0"/>
                  <w:marBottom w:val="0"/>
                  <w:divBdr>
                    <w:top w:val="none" w:sz="0" w:space="0" w:color="auto"/>
                    <w:left w:val="none" w:sz="0" w:space="0" w:color="auto"/>
                    <w:bottom w:val="none" w:sz="0" w:space="0" w:color="auto"/>
                    <w:right w:val="none" w:sz="0" w:space="0" w:color="auto"/>
                  </w:divBdr>
                  <w:divsChild>
                    <w:div w:id="13403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482466">
              <w:marLeft w:val="0"/>
              <w:marRight w:val="0"/>
              <w:marTop w:val="0"/>
              <w:marBottom w:val="0"/>
              <w:divBdr>
                <w:top w:val="none" w:sz="0" w:space="0" w:color="auto"/>
                <w:left w:val="none" w:sz="0" w:space="0" w:color="auto"/>
                <w:bottom w:val="none" w:sz="0" w:space="0" w:color="auto"/>
                <w:right w:val="none" w:sz="0" w:space="0" w:color="auto"/>
              </w:divBdr>
              <w:divsChild>
                <w:div w:id="1657491142">
                  <w:marLeft w:val="0"/>
                  <w:marRight w:val="0"/>
                  <w:marTop w:val="0"/>
                  <w:marBottom w:val="0"/>
                  <w:divBdr>
                    <w:top w:val="none" w:sz="0" w:space="0" w:color="auto"/>
                    <w:left w:val="none" w:sz="0" w:space="0" w:color="auto"/>
                    <w:bottom w:val="none" w:sz="0" w:space="0" w:color="auto"/>
                    <w:right w:val="none" w:sz="0" w:space="0" w:color="auto"/>
                  </w:divBdr>
                  <w:divsChild>
                    <w:div w:id="19007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4503">
              <w:marLeft w:val="0"/>
              <w:marRight w:val="0"/>
              <w:marTop w:val="0"/>
              <w:marBottom w:val="0"/>
              <w:divBdr>
                <w:top w:val="none" w:sz="0" w:space="0" w:color="auto"/>
                <w:left w:val="none" w:sz="0" w:space="0" w:color="auto"/>
                <w:bottom w:val="none" w:sz="0" w:space="0" w:color="auto"/>
                <w:right w:val="none" w:sz="0" w:space="0" w:color="auto"/>
              </w:divBdr>
              <w:divsChild>
                <w:div w:id="1524901155">
                  <w:marLeft w:val="0"/>
                  <w:marRight w:val="0"/>
                  <w:marTop w:val="0"/>
                  <w:marBottom w:val="0"/>
                  <w:divBdr>
                    <w:top w:val="none" w:sz="0" w:space="0" w:color="auto"/>
                    <w:left w:val="none" w:sz="0" w:space="0" w:color="auto"/>
                    <w:bottom w:val="none" w:sz="0" w:space="0" w:color="auto"/>
                    <w:right w:val="none" w:sz="0" w:space="0" w:color="auto"/>
                  </w:divBdr>
                  <w:divsChild>
                    <w:div w:id="159917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3702">
              <w:marLeft w:val="0"/>
              <w:marRight w:val="0"/>
              <w:marTop w:val="0"/>
              <w:marBottom w:val="0"/>
              <w:divBdr>
                <w:top w:val="none" w:sz="0" w:space="0" w:color="auto"/>
                <w:left w:val="none" w:sz="0" w:space="0" w:color="auto"/>
                <w:bottom w:val="none" w:sz="0" w:space="0" w:color="auto"/>
                <w:right w:val="none" w:sz="0" w:space="0" w:color="auto"/>
              </w:divBdr>
              <w:divsChild>
                <w:div w:id="260840892">
                  <w:marLeft w:val="0"/>
                  <w:marRight w:val="0"/>
                  <w:marTop w:val="0"/>
                  <w:marBottom w:val="0"/>
                  <w:divBdr>
                    <w:top w:val="none" w:sz="0" w:space="0" w:color="auto"/>
                    <w:left w:val="none" w:sz="0" w:space="0" w:color="auto"/>
                    <w:bottom w:val="none" w:sz="0" w:space="0" w:color="auto"/>
                    <w:right w:val="none" w:sz="0" w:space="0" w:color="auto"/>
                  </w:divBdr>
                  <w:divsChild>
                    <w:div w:id="828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79821">
              <w:marLeft w:val="0"/>
              <w:marRight w:val="0"/>
              <w:marTop w:val="0"/>
              <w:marBottom w:val="0"/>
              <w:divBdr>
                <w:top w:val="none" w:sz="0" w:space="0" w:color="auto"/>
                <w:left w:val="none" w:sz="0" w:space="0" w:color="auto"/>
                <w:bottom w:val="none" w:sz="0" w:space="0" w:color="auto"/>
                <w:right w:val="none" w:sz="0" w:space="0" w:color="auto"/>
              </w:divBdr>
              <w:divsChild>
                <w:div w:id="1592205305">
                  <w:marLeft w:val="0"/>
                  <w:marRight w:val="0"/>
                  <w:marTop w:val="0"/>
                  <w:marBottom w:val="0"/>
                  <w:divBdr>
                    <w:top w:val="none" w:sz="0" w:space="0" w:color="auto"/>
                    <w:left w:val="none" w:sz="0" w:space="0" w:color="auto"/>
                    <w:bottom w:val="none" w:sz="0" w:space="0" w:color="auto"/>
                    <w:right w:val="none" w:sz="0" w:space="0" w:color="auto"/>
                  </w:divBdr>
                  <w:divsChild>
                    <w:div w:id="46307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22745">
              <w:marLeft w:val="0"/>
              <w:marRight w:val="0"/>
              <w:marTop w:val="0"/>
              <w:marBottom w:val="0"/>
              <w:divBdr>
                <w:top w:val="none" w:sz="0" w:space="0" w:color="auto"/>
                <w:left w:val="none" w:sz="0" w:space="0" w:color="auto"/>
                <w:bottom w:val="none" w:sz="0" w:space="0" w:color="auto"/>
                <w:right w:val="none" w:sz="0" w:space="0" w:color="auto"/>
              </w:divBdr>
              <w:divsChild>
                <w:div w:id="384641298">
                  <w:marLeft w:val="0"/>
                  <w:marRight w:val="0"/>
                  <w:marTop w:val="0"/>
                  <w:marBottom w:val="0"/>
                  <w:divBdr>
                    <w:top w:val="none" w:sz="0" w:space="0" w:color="auto"/>
                    <w:left w:val="none" w:sz="0" w:space="0" w:color="auto"/>
                    <w:bottom w:val="none" w:sz="0" w:space="0" w:color="auto"/>
                    <w:right w:val="none" w:sz="0" w:space="0" w:color="auto"/>
                  </w:divBdr>
                  <w:divsChild>
                    <w:div w:id="110920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82018">
              <w:marLeft w:val="0"/>
              <w:marRight w:val="0"/>
              <w:marTop w:val="0"/>
              <w:marBottom w:val="0"/>
              <w:divBdr>
                <w:top w:val="none" w:sz="0" w:space="0" w:color="auto"/>
                <w:left w:val="none" w:sz="0" w:space="0" w:color="auto"/>
                <w:bottom w:val="none" w:sz="0" w:space="0" w:color="auto"/>
                <w:right w:val="none" w:sz="0" w:space="0" w:color="auto"/>
              </w:divBdr>
              <w:divsChild>
                <w:div w:id="727722513">
                  <w:marLeft w:val="0"/>
                  <w:marRight w:val="0"/>
                  <w:marTop w:val="0"/>
                  <w:marBottom w:val="0"/>
                  <w:divBdr>
                    <w:top w:val="none" w:sz="0" w:space="0" w:color="auto"/>
                    <w:left w:val="none" w:sz="0" w:space="0" w:color="auto"/>
                    <w:bottom w:val="none" w:sz="0" w:space="0" w:color="auto"/>
                    <w:right w:val="none" w:sz="0" w:space="0" w:color="auto"/>
                  </w:divBdr>
                  <w:divsChild>
                    <w:div w:id="187742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14503">
              <w:marLeft w:val="0"/>
              <w:marRight w:val="0"/>
              <w:marTop w:val="0"/>
              <w:marBottom w:val="0"/>
              <w:divBdr>
                <w:top w:val="none" w:sz="0" w:space="0" w:color="auto"/>
                <w:left w:val="none" w:sz="0" w:space="0" w:color="auto"/>
                <w:bottom w:val="none" w:sz="0" w:space="0" w:color="auto"/>
                <w:right w:val="none" w:sz="0" w:space="0" w:color="auto"/>
              </w:divBdr>
              <w:divsChild>
                <w:div w:id="1238713333">
                  <w:marLeft w:val="0"/>
                  <w:marRight w:val="0"/>
                  <w:marTop w:val="0"/>
                  <w:marBottom w:val="0"/>
                  <w:divBdr>
                    <w:top w:val="none" w:sz="0" w:space="0" w:color="auto"/>
                    <w:left w:val="none" w:sz="0" w:space="0" w:color="auto"/>
                    <w:bottom w:val="none" w:sz="0" w:space="0" w:color="auto"/>
                    <w:right w:val="none" w:sz="0" w:space="0" w:color="auto"/>
                  </w:divBdr>
                  <w:divsChild>
                    <w:div w:id="191581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173482">
              <w:marLeft w:val="0"/>
              <w:marRight w:val="0"/>
              <w:marTop w:val="0"/>
              <w:marBottom w:val="0"/>
              <w:divBdr>
                <w:top w:val="none" w:sz="0" w:space="0" w:color="auto"/>
                <w:left w:val="none" w:sz="0" w:space="0" w:color="auto"/>
                <w:bottom w:val="none" w:sz="0" w:space="0" w:color="auto"/>
                <w:right w:val="none" w:sz="0" w:space="0" w:color="auto"/>
              </w:divBdr>
              <w:divsChild>
                <w:div w:id="1035934334">
                  <w:marLeft w:val="0"/>
                  <w:marRight w:val="0"/>
                  <w:marTop w:val="0"/>
                  <w:marBottom w:val="0"/>
                  <w:divBdr>
                    <w:top w:val="none" w:sz="0" w:space="0" w:color="auto"/>
                    <w:left w:val="none" w:sz="0" w:space="0" w:color="auto"/>
                    <w:bottom w:val="none" w:sz="0" w:space="0" w:color="auto"/>
                    <w:right w:val="none" w:sz="0" w:space="0" w:color="auto"/>
                  </w:divBdr>
                  <w:divsChild>
                    <w:div w:id="19545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495">
              <w:marLeft w:val="0"/>
              <w:marRight w:val="0"/>
              <w:marTop w:val="0"/>
              <w:marBottom w:val="0"/>
              <w:divBdr>
                <w:top w:val="none" w:sz="0" w:space="0" w:color="auto"/>
                <w:left w:val="none" w:sz="0" w:space="0" w:color="auto"/>
                <w:bottom w:val="none" w:sz="0" w:space="0" w:color="auto"/>
                <w:right w:val="none" w:sz="0" w:space="0" w:color="auto"/>
              </w:divBdr>
              <w:divsChild>
                <w:div w:id="34237991">
                  <w:marLeft w:val="0"/>
                  <w:marRight w:val="0"/>
                  <w:marTop w:val="0"/>
                  <w:marBottom w:val="0"/>
                  <w:divBdr>
                    <w:top w:val="none" w:sz="0" w:space="0" w:color="auto"/>
                    <w:left w:val="none" w:sz="0" w:space="0" w:color="auto"/>
                    <w:bottom w:val="none" w:sz="0" w:space="0" w:color="auto"/>
                    <w:right w:val="none" w:sz="0" w:space="0" w:color="auto"/>
                  </w:divBdr>
                  <w:divsChild>
                    <w:div w:id="21128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92857">
              <w:marLeft w:val="0"/>
              <w:marRight w:val="0"/>
              <w:marTop w:val="0"/>
              <w:marBottom w:val="0"/>
              <w:divBdr>
                <w:top w:val="none" w:sz="0" w:space="0" w:color="auto"/>
                <w:left w:val="none" w:sz="0" w:space="0" w:color="auto"/>
                <w:bottom w:val="none" w:sz="0" w:space="0" w:color="auto"/>
                <w:right w:val="none" w:sz="0" w:space="0" w:color="auto"/>
              </w:divBdr>
              <w:divsChild>
                <w:div w:id="26107749">
                  <w:marLeft w:val="0"/>
                  <w:marRight w:val="0"/>
                  <w:marTop w:val="0"/>
                  <w:marBottom w:val="0"/>
                  <w:divBdr>
                    <w:top w:val="none" w:sz="0" w:space="0" w:color="auto"/>
                    <w:left w:val="none" w:sz="0" w:space="0" w:color="auto"/>
                    <w:bottom w:val="none" w:sz="0" w:space="0" w:color="auto"/>
                    <w:right w:val="none" w:sz="0" w:space="0" w:color="auto"/>
                  </w:divBdr>
                  <w:divsChild>
                    <w:div w:id="176561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8681">
              <w:marLeft w:val="0"/>
              <w:marRight w:val="0"/>
              <w:marTop w:val="0"/>
              <w:marBottom w:val="0"/>
              <w:divBdr>
                <w:top w:val="none" w:sz="0" w:space="0" w:color="auto"/>
                <w:left w:val="none" w:sz="0" w:space="0" w:color="auto"/>
                <w:bottom w:val="none" w:sz="0" w:space="0" w:color="auto"/>
                <w:right w:val="none" w:sz="0" w:space="0" w:color="auto"/>
              </w:divBdr>
              <w:divsChild>
                <w:div w:id="2013143000">
                  <w:marLeft w:val="0"/>
                  <w:marRight w:val="0"/>
                  <w:marTop w:val="0"/>
                  <w:marBottom w:val="0"/>
                  <w:divBdr>
                    <w:top w:val="none" w:sz="0" w:space="0" w:color="auto"/>
                    <w:left w:val="none" w:sz="0" w:space="0" w:color="auto"/>
                    <w:bottom w:val="none" w:sz="0" w:space="0" w:color="auto"/>
                    <w:right w:val="none" w:sz="0" w:space="0" w:color="auto"/>
                  </w:divBdr>
                  <w:divsChild>
                    <w:div w:id="20866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8442">
              <w:marLeft w:val="0"/>
              <w:marRight w:val="0"/>
              <w:marTop w:val="0"/>
              <w:marBottom w:val="0"/>
              <w:divBdr>
                <w:top w:val="none" w:sz="0" w:space="0" w:color="auto"/>
                <w:left w:val="none" w:sz="0" w:space="0" w:color="auto"/>
                <w:bottom w:val="none" w:sz="0" w:space="0" w:color="auto"/>
                <w:right w:val="none" w:sz="0" w:space="0" w:color="auto"/>
              </w:divBdr>
              <w:divsChild>
                <w:div w:id="885337569">
                  <w:marLeft w:val="0"/>
                  <w:marRight w:val="0"/>
                  <w:marTop w:val="0"/>
                  <w:marBottom w:val="0"/>
                  <w:divBdr>
                    <w:top w:val="none" w:sz="0" w:space="0" w:color="auto"/>
                    <w:left w:val="none" w:sz="0" w:space="0" w:color="auto"/>
                    <w:bottom w:val="none" w:sz="0" w:space="0" w:color="auto"/>
                    <w:right w:val="none" w:sz="0" w:space="0" w:color="auto"/>
                  </w:divBdr>
                  <w:divsChild>
                    <w:div w:id="19157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721">
              <w:marLeft w:val="0"/>
              <w:marRight w:val="0"/>
              <w:marTop w:val="0"/>
              <w:marBottom w:val="0"/>
              <w:divBdr>
                <w:top w:val="none" w:sz="0" w:space="0" w:color="auto"/>
                <w:left w:val="none" w:sz="0" w:space="0" w:color="auto"/>
                <w:bottom w:val="none" w:sz="0" w:space="0" w:color="auto"/>
                <w:right w:val="none" w:sz="0" w:space="0" w:color="auto"/>
              </w:divBdr>
              <w:divsChild>
                <w:div w:id="255212676">
                  <w:marLeft w:val="0"/>
                  <w:marRight w:val="0"/>
                  <w:marTop w:val="0"/>
                  <w:marBottom w:val="0"/>
                  <w:divBdr>
                    <w:top w:val="none" w:sz="0" w:space="0" w:color="auto"/>
                    <w:left w:val="none" w:sz="0" w:space="0" w:color="auto"/>
                    <w:bottom w:val="none" w:sz="0" w:space="0" w:color="auto"/>
                    <w:right w:val="none" w:sz="0" w:space="0" w:color="auto"/>
                  </w:divBdr>
                  <w:divsChild>
                    <w:div w:id="915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4371">
              <w:marLeft w:val="0"/>
              <w:marRight w:val="0"/>
              <w:marTop w:val="0"/>
              <w:marBottom w:val="0"/>
              <w:divBdr>
                <w:top w:val="none" w:sz="0" w:space="0" w:color="auto"/>
                <w:left w:val="none" w:sz="0" w:space="0" w:color="auto"/>
                <w:bottom w:val="none" w:sz="0" w:space="0" w:color="auto"/>
                <w:right w:val="none" w:sz="0" w:space="0" w:color="auto"/>
              </w:divBdr>
              <w:divsChild>
                <w:div w:id="1385134203">
                  <w:marLeft w:val="0"/>
                  <w:marRight w:val="0"/>
                  <w:marTop w:val="0"/>
                  <w:marBottom w:val="0"/>
                  <w:divBdr>
                    <w:top w:val="none" w:sz="0" w:space="0" w:color="auto"/>
                    <w:left w:val="none" w:sz="0" w:space="0" w:color="auto"/>
                    <w:bottom w:val="none" w:sz="0" w:space="0" w:color="auto"/>
                    <w:right w:val="none" w:sz="0" w:space="0" w:color="auto"/>
                  </w:divBdr>
                  <w:divsChild>
                    <w:div w:id="11521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4762">
              <w:marLeft w:val="0"/>
              <w:marRight w:val="0"/>
              <w:marTop w:val="0"/>
              <w:marBottom w:val="0"/>
              <w:divBdr>
                <w:top w:val="none" w:sz="0" w:space="0" w:color="auto"/>
                <w:left w:val="none" w:sz="0" w:space="0" w:color="auto"/>
                <w:bottom w:val="none" w:sz="0" w:space="0" w:color="auto"/>
                <w:right w:val="none" w:sz="0" w:space="0" w:color="auto"/>
              </w:divBdr>
              <w:divsChild>
                <w:div w:id="802696786">
                  <w:marLeft w:val="0"/>
                  <w:marRight w:val="0"/>
                  <w:marTop w:val="0"/>
                  <w:marBottom w:val="0"/>
                  <w:divBdr>
                    <w:top w:val="none" w:sz="0" w:space="0" w:color="auto"/>
                    <w:left w:val="none" w:sz="0" w:space="0" w:color="auto"/>
                    <w:bottom w:val="none" w:sz="0" w:space="0" w:color="auto"/>
                    <w:right w:val="none" w:sz="0" w:space="0" w:color="auto"/>
                  </w:divBdr>
                  <w:divsChild>
                    <w:div w:id="62739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582579">
          <w:marLeft w:val="240"/>
          <w:marRight w:val="0"/>
          <w:marTop w:val="0"/>
          <w:marBottom w:val="0"/>
          <w:divBdr>
            <w:top w:val="none" w:sz="0" w:space="0" w:color="auto"/>
            <w:left w:val="none" w:sz="0" w:space="0" w:color="auto"/>
            <w:bottom w:val="none" w:sz="0" w:space="0" w:color="auto"/>
            <w:right w:val="none" w:sz="0" w:space="0" w:color="auto"/>
          </w:divBdr>
          <w:divsChild>
            <w:div w:id="768160956">
              <w:marLeft w:val="120"/>
              <w:marRight w:val="240"/>
              <w:marTop w:val="0"/>
              <w:marBottom w:val="0"/>
              <w:divBdr>
                <w:top w:val="none" w:sz="0" w:space="0" w:color="auto"/>
                <w:left w:val="none" w:sz="0" w:space="0" w:color="auto"/>
                <w:bottom w:val="none" w:sz="0" w:space="0" w:color="auto"/>
                <w:right w:val="none" w:sz="0" w:space="0" w:color="auto"/>
              </w:divBdr>
              <w:divsChild>
                <w:div w:id="18571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51338">
          <w:marLeft w:val="0"/>
          <w:marRight w:val="0"/>
          <w:marTop w:val="0"/>
          <w:marBottom w:val="0"/>
          <w:divBdr>
            <w:top w:val="none" w:sz="0" w:space="0" w:color="auto"/>
            <w:left w:val="none" w:sz="0" w:space="0" w:color="auto"/>
            <w:bottom w:val="none" w:sz="0" w:space="0" w:color="auto"/>
            <w:right w:val="none" w:sz="0" w:space="0" w:color="auto"/>
          </w:divBdr>
        </w:div>
        <w:div w:id="528571863">
          <w:marLeft w:val="0"/>
          <w:marRight w:val="240"/>
          <w:marTop w:val="0"/>
          <w:marBottom w:val="0"/>
          <w:divBdr>
            <w:top w:val="none" w:sz="0" w:space="0" w:color="auto"/>
            <w:left w:val="none" w:sz="0" w:space="0" w:color="auto"/>
            <w:bottom w:val="none" w:sz="0" w:space="0" w:color="auto"/>
            <w:right w:val="none" w:sz="0" w:space="0" w:color="auto"/>
          </w:divBdr>
          <w:divsChild>
            <w:div w:id="188833283">
              <w:marLeft w:val="0"/>
              <w:marRight w:val="0"/>
              <w:marTop w:val="0"/>
              <w:marBottom w:val="0"/>
              <w:divBdr>
                <w:top w:val="none" w:sz="0" w:space="0" w:color="auto"/>
                <w:left w:val="none" w:sz="0" w:space="0" w:color="auto"/>
                <w:bottom w:val="none" w:sz="0" w:space="0" w:color="auto"/>
                <w:right w:val="none" w:sz="0" w:space="0" w:color="auto"/>
              </w:divBdr>
            </w:div>
            <w:div w:id="860050455">
              <w:marLeft w:val="120"/>
              <w:marRight w:val="0"/>
              <w:marTop w:val="0"/>
              <w:marBottom w:val="0"/>
              <w:divBdr>
                <w:top w:val="none" w:sz="0" w:space="0" w:color="auto"/>
                <w:left w:val="none" w:sz="0" w:space="0" w:color="auto"/>
                <w:bottom w:val="none" w:sz="0" w:space="0" w:color="auto"/>
                <w:right w:val="none" w:sz="0" w:space="0" w:color="auto"/>
              </w:divBdr>
            </w:div>
            <w:div w:id="1147361230">
              <w:marLeft w:val="120"/>
              <w:marRight w:val="0"/>
              <w:marTop w:val="0"/>
              <w:marBottom w:val="0"/>
              <w:divBdr>
                <w:top w:val="none" w:sz="0" w:space="0" w:color="auto"/>
                <w:left w:val="none" w:sz="0" w:space="0" w:color="auto"/>
                <w:bottom w:val="none" w:sz="0" w:space="0" w:color="auto"/>
                <w:right w:val="none" w:sz="0" w:space="0" w:color="auto"/>
              </w:divBdr>
              <w:divsChild>
                <w:div w:id="5659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90003">
          <w:marLeft w:val="0"/>
          <w:marRight w:val="0"/>
          <w:marTop w:val="0"/>
          <w:marBottom w:val="0"/>
          <w:divBdr>
            <w:top w:val="none" w:sz="0" w:space="0" w:color="auto"/>
            <w:left w:val="none" w:sz="0" w:space="0" w:color="auto"/>
            <w:bottom w:val="none" w:sz="0" w:space="0" w:color="auto"/>
            <w:right w:val="none" w:sz="0" w:space="0" w:color="auto"/>
          </w:divBdr>
          <w:divsChild>
            <w:div w:id="1582450062">
              <w:marLeft w:val="0"/>
              <w:marRight w:val="0"/>
              <w:marTop w:val="0"/>
              <w:marBottom w:val="0"/>
              <w:divBdr>
                <w:top w:val="single" w:sz="6" w:space="0" w:color="auto"/>
                <w:left w:val="none" w:sz="0" w:space="0" w:color="auto"/>
                <w:bottom w:val="none" w:sz="0" w:space="0" w:color="auto"/>
                <w:right w:val="none" w:sz="0" w:space="0" w:color="auto"/>
              </w:divBdr>
              <w:divsChild>
                <w:div w:id="424962352">
                  <w:marLeft w:val="0"/>
                  <w:marRight w:val="0"/>
                  <w:marTop w:val="0"/>
                  <w:marBottom w:val="0"/>
                  <w:divBdr>
                    <w:top w:val="none" w:sz="0" w:space="0" w:color="auto"/>
                    <w:left w:val="none" w:sz="0" w:space="0" w:color="auto"/>
                    <w:bottom w:val="single" w:sz="6" w:space="0" w:color="auto"/>
                    <w:right w:val="none" w:sz="0" w:space="0" w:color="auto"/>
                  </w:divBdr>
                </w:div>
                <w:div w:id="1856262034">
                  <w:marLeft w:val="0"/>
                  <w:marRight w:val="0"/>
                  <w:marTop w:val="0"/>
                  <w:marBottom w:val="0"/>
                  <w:divBdr>
                    <w:top w:val="none" w:sz="0" w:space="0" w:color="auto"/>
                    <w:left w:val="none" w:sz="0" w:space="0" w:color="auto"/>
                    <w:bottom w:val="single" w:sz="6" w:space="0" w:color="auto"/>
                    <w:right w:val="none" w:sz="0" w:space="0" w:color="auto"/>
                  </w:divBdr>
                </w:div>
                <w:div w:id="745953465">
                  <w:marLeft w:val="0"/>
                  <w:marRight w:val="0"/>
                  <w:marTop w:val="0"/>
                  <w:marBottom w:val="0"/>
                  <w:divBdr>
                    <w:top w:val="none" w:sz="0" w:space="0" w:color="auto"/>
                    <w:left w:val="none" w:sz="0" w:space="0" w:color="auto"/>
                    <w:bottom w:val="single" w:sz="6" w:space="0" w:color="auto"/>
                    <w:right w:val="none" w:sz="0" w:space="0" w:color="auto"/>
                  </w:divBdr>
                </w:div>
                <w:div w:id="1190337290">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 w:id="1041324347">
          <w:marLeft w:val="0"/>
          <w:marRight w:val="0"/>
          <w:marTop w:val="0"/>
          <w:marBottom w:val="0"/>
          <w:divBdr>
            <w:top w:val="none" w:sz="0" w:space="0" w:color="auto"/>
            <w:left w:val="none" w:sz="0" w:space="0" w:color="auto"/>
            <w:bottom w:val="none" w:sz="0" w:space="0" w:color="auto"/>
            <w:right w:val="none" w:sz="0" w:space="0" w:color="auto"/>
          </w:divBdr>
          <w:divsChild>
            <w:div w:id="1530683497">
              <w:marLeft w:val="0"/>
              <w:marRight w:val="0"/>
              <w:marTop w:val="480"/>
              <w:marBottom w:val="0"/>
              <w:divBdr>
                <w:top w:val="none" w:sz="0" w:space="0" w:color="auto"/>
                <w:left w:val="none" w:sz="0" w:space="0" w:color="auto"/>
                <w:bottom w:val="none" w:sz="0" w:space="0" w:color="auto"/>
                <w:right w:val="none" w:sz="0" w:space="0" w:color="auto"/>
              </w:divBdr>
              <w:divsChild>
                <w:div w:id="1985352190">
                  <w:marLeft w:val="-1200"/>
                  <w:marRight w:val="0"/>
                  <w:marTop w:val="0"/>
                  <w:marBottom w:val="0"/>
                  <w:divBdr>
                    <w:top w:val="single" w:sz="6" w:space="0" w:color="D5D5D5"/>
                    <w:left w:val="single" w:sz="6" w:space="0" w:color="D5D5D5"/>
                    <w:bottom w:val="single" w:sz="6" w:space="0" w:color="D5D5D5"/>
                    <w:right w:val="single" w:sz="6" w:space="0" w:color="D5D5D5"/>
                  </w:divBdr>
                  <w:divsChild>
                    <w:div w:id="1336299217">
                      <w:marLeft w:val="0"/>
                      <w:marRight w:val="0"/>
                      <w:marTop w:val="0"/>
                      <w:marBottom w:val="0"/>
                      <w:divBdr>
                        <w:top w:val="none" w:sz="0" w:space="0" w:color="auto"/>
                        <w:left w:val="none" w:sz="0" w:space="0" w:color="auto"/>
                        <w:bottom w:val="single" w:sz="6" w:space="0" w:color="D5D5D5"/>
                        <w:right w:val="none" w:sz="0" w:space="0" w:color="auto"/>
                      </w:divBdr>
                    </w:div>
                    <w:div w:id="1966308478">
                      <w:marLeft w:val="0"/>
                      <w:marRight w:val="0"/>
                      <w:marTop w:val="0"/>
                      <w:marBottom w:val="0"/>
                      <w:divBdr>
                        <w:top w:val="none" w:sz="0" w:space="0" w:color="auto"/>
                        <w:left w:val="none" w:sz="0" w:space="0" w:color="auto"/>
                        <w:bottom w:val="none" w:sz="0" w:space="0" w:color="auto"/>
                        <w:right w:val="none" w:sz="0" w:space="0" w:color="auto"/>
                      </w:divBdr>
                      <w:divsChild>
                        <w:div w:id="2071034698">
                          <w:marLeft w:val="0"/>
                          <w:marRight w:val="0"/>
                          <w:marTop w:val="0"/>
                          <w:marBottom w:val="0"/>
                          <w:divBdr>
                            <w:top w:val="none" w:sz="0" w:space="0" w:color="auto"/>
                            <w:left w:val="none" w:sz="0" w:space="0" w:color="auto"/>
                            <w:bottom w:val="none" w:sz="0" w:space="0" w:color="auto"/>
                            <w:right w:val="none" w:sz="0" w:space="0" w:color="auto"/>
                          </w:divBdr>
                          <w:divsChild>
                            <w:div w:id="1101148133">
                              <w:marLeft w:val="0"/>
                              <w:marRight w:val="0"/>
                              <w:marTop w:val="0"/>
                              <w:marBottom w:val="0"/>
                              <w:divBdr>
                                <w:top w:val="none" w:sz="0" w:space="0" w:color="auto"/>
                                <w:left w:val="none" w:sz="0" w:space="0" w:color="auto"/>
                                <w:bottom w:val="single" w:sz="6" w:space="0" w:color="D5D5D5"/>
                                <w:right w:val="none" w:sz="0" w:space="0" w:color="auto"/>
                              </w:divBdr>
                            </w:div>
                          </w:divsChild>
                        </w:div>
                      </w:divsChild>
                    </w:div>
                  </w:divsChild>
                </w:div>
              </w:divsChild>
            </w:div>
            <w:div w:id="1514957781">
              <w:marLeft w:val="0"/>
              <w:marRight w:val="0"/>
              <w:marTop w:val="0"/>
              <w:marBottom w:val="0"/>
              <w:divBdr>
                <w:top w:val="none" w:sz="0" w:space="0" w:color="auto"/>
                <w:left w:val="none" w:sz="0" w:space="0" w:color="auto"/>
                <w:bottom w:val="none" w:sz="0" w:space="0" w:color="auto"/>
                <w:right w:val="none" w:sz="0" w:space="0" w:color="auto"/>
              </w:divBdr>
              <w:divsChild>
                <w:div w:id="894851221">
                  <w:marLeft w:val="360"/>
                  <w:marRight w:val="0"/>
                  <w:marTop w:val="0"/>
                  <w:marBottom w:val="0"/>
                  <w:divBdr>
                    <w:top w:val="none" w:sz="0" w:space="0" w:color="auto"/>
                    <w:left w:val="none" w:sz="0" w:space="0" w:color="auto"/>
                    <w:bottom w:val="none" w:sz="0" w:space="0" w:color="auto"/>
                    <w:right w:val="none" w:sz="0" w:space="0" w:color="auto"/>
                  </w:divBdr>
                </w:div>
                <w:div w:id="2084182330">
                  <w:marLeft w:val="360"/>
                  <w:marRight w:val="0"/>
                  <w:marTop w:val="0"/>
                  <w:marBottom w:val="0"/>
                  <w:divBdr>
                    <w:top w:val="none" w:sz="0" w:space="0" w:color="auto"/>
                    <w:left w:val="none" w:sz="0" w:space="0" w:color="auto"/>
                    <w:bottom w:val="none" w:sz="0" w:space="0" w:color="auto"/>
                    <w:right w:val="none" w:sz="0" w:space="0" w:color="auto"/>
                  </w:divBdr>
                </w:div>
                <w:div w:id="1160265961">
                  <w:marLeft w:val="360"/>
                  <w:marRight w:val="0"/>
                  <w:marTop w:val="0"/>
                  <w:marBottom w:val="0"/>
                  <w:divBdr>
                    <w:top w:val="none" w:sz="0" w:space="0" w:color="auto"/>
                    <w:left w:val="none" w:sz="0" w:space="0" w:color="auto"/>
                    <w:bottom w:val="none" w:sz="0" w:space="0" w:color="auto"/>
                    <w:right w:val="none" w:sz="0" w:space="0" w:color="auto"/>
                  </w:divBdr>
                </w:div>
                <w:div w:id="1174883478">
                  <w:marLeft w:val="360"/>
                  <w:marRight w:val="0"/>
                  <w:marTop w:val="0"/>
                  <w:marBottom w:val="0"/>
                  <w:divBdr>
                    <w:top w:val="none" w:sz="0" w:space="0" w:color="auto"/>
                    <w:left w:val="none" w:sz="0" w:space="0" w:color="auto"/>
                    <w:bottom w:val="none" w:sz="0" w:space="0" w:color="auto"/>
                    <w:right w:val="none" w:sz="0" w:space="0" w:color="auto"/>
                  </w:divBdr>
                </w:div>
                <w:div w:id="946428425">
                  <w:marLeft w:val="360"/>
                  <w:marRight w:val="0"/>
                  <w:marTop w:val="0"/>
                  <w:marBottom w:val="0"/>
                  <w:divBdr>
                    <w:top w:val="none" w:sz="0" w:space="0" w:color="auto"/>
                    <w:left w:val="none" w:sz="0" w:space="0" w:color="auto"/>
                    <w:bottom w:val="none" w:sz="0" w:space="0" w:color="auto"/>
                    <w:right w:val="none" w:sz="0" w:space="0" w:color="auto"/>
                  </w:divBdr>
                </w:div>
                <w:div w:id="569314588">
                  <w:marLeft w:val="360"/>
                  <w:marRight w:val="0"/>
                  <w:marTop w:val="0"/>
                  <w:marBottom w:val="0"/>
                  <w:divBdr>
                    <w:top w:val="none" w:sz="0" w:space="0" w:color="auto"/>
                    <w:left w:val="none" w:sz="0" w:space="0" w:color="auto"/>
                    <w:bottom w:val="none" w:sz="0" w:space="0" w:color="auto"/>
                    <w:right w:val="none" w:sz="0" w:space="0" w:color="auto"/>
                  </w:divBdr>
                </w:div>
                <w:div w:id="1946451425">
                  <w:marLeft w:val="360"/>
                  <w:marRight w:val="0"/>
                  <w:marTop w:val="0"/>
                  <w:marBottom w:val="0"/>
                  <w:divBdr>
                    <w:top w:val="none" w:sz="0" w:space="0" w:color="auto"/>
                    <w:left w:val="none" w:sz="0" w:space="0" w:color="auto"/>
                    <w:bottom w:val="none" w:sz="0" w:space="0" w:color="auto"/>
                    <w:right w:val="none" w:sz="0" w:space="0" w:color="auto"/>
                  </w:divBdr>
                </w:div>
              </w:divsChild>
            </w:div>
            <w:div w:id="1279990514">
              <w:marLeft w:val="0"/>
              <w:marRight w:val="0"/>
              <w:marTop w:val="480"/>
              <w:marBottom w:val="0"/>
              <w:divBdr>
                <w:top w:val="none" w:sz="0" w:space="0" w:color="auto"/>
                <w:left w:val="none" w:sz="0" w:space="0" w:color="auto"/>
                <w:bottom w:val="none" w:sz="0" w:space="0" w:color="auto"/>
                <w:right w:val="none" w:sz="0" w:space="0" w:color="auto"/>
              </w:divBdr>
              <w:divsChild>
                <w:div w:id="61410420">
                  <w:marLeft w:val="0"/>
                  <w:marRight w:val="0"/>
                  <w:marTop w:val="0"/>
                  <w:marBottom w:val="120"/>
                  <w:divBdr>
                    <w:top w:val="none" w:sz="0" w:space="0" w:color="auto"/>
                    <w:left w:val="none" w:sz="0" w:space="0" w:color="auto"/>
                    <w:bottom w:val="none" w:sz="0" w:space="0" w:color="auto"/>
                    <w:right w:val="none" w:sz="0" w:space="0" w:color="auto"/>
                  </w:divBdr>
                  <w:divsChild>
                    <w:div w:id="1235313160">
                      <w:marLeft w:val="0"/>
                      <w:marRight w:val="0"/>
                      <w:marTop w:val="0"/>
                      <w:marBottom w:val="0"/>
                      <w:divBdr>
                        <w:top w:val="none" w:sz="0" w:space="0" w:color="auto"/>
                        <w:left w:val="none" w:sz="0" w:space="0" w:color="auto"/>
                        <w:bottom w:val="none" w:sz="0" w:space="0" w:color="auto"/>
                        <w:right w:val="none" w:sz="0" w:space="0" w:color="auto"/>
                      </w:divBdr>
                      <w:divsChild>
                        <w:div w:id="197679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91264">
              <w:marLeft w:val="0"/>
              <w:marRight w:val="0"/>
              <w:marTop w:val="0"/>
              <w:marBottom w:val="0"/>
              <w:divBdr>
                <w:top w:val="none" w:sz="0" w:space="0" w:color="auto"/>
                <w:left w:val="none" w:sz="0" w:space="0" w:color="auto"/>
                <w:bottom w:val="none" w:sz="0" w:space="0" w:color="auto"/>
                <w:right w:val="none" w:sz="0" w:space="0" w:color="auto"/>
              </w:divBdr>
            </w:div>
            <w:div w:id="1565095110">
              <w:marLeft w:val="0"/>
              <w:marRight w:val="0"/>
              <w:marTop w:val="0"/>
              <w:marBottom w:val="360"/>
              <w:divBdr>
                <w:top w:val="none" w:sz="0" w:space="0" w:color="auto"/>
                <w:left w:val="none" w:sz="0" w:space="0" w:color="auto"/>
                <w:bottom w:val="none" w:sz="0" w:space="0" w:color="auto"/>
                <w:right w:val="none" w:sz="0" w:space="0" w:color="auto"/>
              </w:divBdr>
              <w:divsChild>
                <w:div w:id="406996453">
                  <w:marLeft w:val="0"/>
                  <w:marRight w:val="240"/>
                  <w:marTop w:val="0"/>
                  <w:marBottom w:val="0"/>
                  <w:divBdr>
                    <w:top w:val="none" w:sz="0" w:space="0" w:color="auto"/>
                    <w:left w:val="none" w:sz="0" w:space="0" w:color="auto"/>
                    <w:bottom w:val="none" w:sz="0" w:space="0" w:color="auto"/>
                    <w:right w:val="none" w:sz="0" w:space="0" w:color="auto"/>
                  </w:divBdr>
                </w:div>
                <w:div w:id="1488395111">
                  <w:marLeft w:val="0"/>
                  <w:marRight w:val="0"/>
                  <w:marTop w:val="0"/>
                  <w:marBottom w:val="0"/>
                  <w:divBdr>
                    <w:top w:val="none" w:sz="0" w:space="0" w:color="auto"/>
                    <w:left w:val="none" w:sz="0" w:space="0" w:color="auto"/>
                    <w:bottom w:val="none" w:sz="0" w:space="0" w:color="auto"/>
                    <w:right w:val="none" w:sz="0" w:space="0" w:color="auto"/>
                  </w:divBdr>
                  <w:divsChild>
                    <w:div w:id="1813131052">
                      <w:marLeft w:val="0"/>
                      <w:marRight w:val="0"/>
                      <w:marTop w:val="0"/>
                      <w:marBottom w:val="0"/>
                      <w:divBdr>
                        <w:top w:val="none" w:sz="0" w:space="0" w:color="auto"/>
                        <w:left w:val="none" w:sz="0" w:space="0" w:color="auto"/>
                        <w:bottom w:val="none" w:sz="0" w:space="0" w:color="auto"/>
                        <w:right w:val="none" w:sz="0" w:space="0" w:color="auto"/>
                      </w:divBdr>
                      <w:divsChild>
                        <w:div w:id="1236357602">
                          <w:marLeft w:val="0"/>
                          <w:marRight w:val="0"/>
                          <w:marTop w:val="0"/>
                          <w:marBottom w:val="0"/>
                          <w:divBdr>
                            <w:top w:val="none" w:sz="0" w:space="0" w:color="auto"/>
                            <w:left w:val="none" w:sz="0" w:space="0" w:color="auto"/>
                            <w:bottom w:val="none" w:sz="0" w:space="0" w:color="auto"/>
                            <w:right w:val="none" w:sz="0" w:space="0" w:color="auto"/>
                          </w:divBdr>
                          <w:divsChild>
                            <w:div w:id="19421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66259">
              <w:marLeft w:val="0"/>
              <w:marRight w:val="0"/>
              <w:marTop w:val="0"/>
              <w:marBottom w:val="360"/>
              <w:divBdr>
                <w:top w:val="none" w:sz="0" w:space="0" w:color="auto"/>
                <w:left w:val="none" w:sz="0" w:space="0" w:color="auto"/>
                <w:bottom w:val="none" w:sz="0" w:space="0" w:color="auto"/>
                <w:right w:val="none" w:sz="0" w:space="0" w:color="auto"/>
              </w:divBdr>
              <w:divsChild>
                <w:div w:id="2030712330">
                  <w:marLeft w:val="0"/>
                  <w:marRight w:val="0"/>
                  <w:marTop w:val="0"/>
                  <w:marBottom w:val="0"/>
                  <w:divBdr>
                    <w:top w:val="none" w:sz="0" w:space="0" w:color="auto"/>
                    <w:left w:val="none" w:sz="0" w:space="0" w:color="auto"/>
                    <w:bottom w:val="none" w:sz="0" w:space="0" w:color="auto"/>
                    <w:right w:val="none" w:sz="0" w:space="0" w:color="auto"/>
                  </w:divBdr>
                </w:div>
              </w:divsChild>
            </w:div>
            <w:div w:id="309670783">
              <w:marLeft w:val="0"/>
              <w:marRight w:val="0"/>
              <w:marTop w:val="0"/>
              <w:marBottom w:val="0"/>
              <w:divBdr>
                <w:top w:val="none" w:sz="0" w:space="0" w:color="auto"/>
                <w:left w:val="none" w:sz="0" w:space="0" w:color="auto"/>
                <w:bottom w:val="none" w:sz="0" w:space="0" w:color="auto"/>
                <w:right w:val="none" w:sz="0" w:space="0" w:color="auto"/>
              </w:divBdr>
              <w:divsChild>
                <w:div w:id="1814253538">
                  <w:marLeft w:val="0"/>
                  <w:marRight w:val="0"/>
                  <w:marTop w:val="0"/>
                  <w:marBottom w:val="0"/>
                  <w:divBdr>
                    <w:top w:val="none" w:sz="0" w:space="0" w:color="auto"/>
                    <w:left w:val="none" w:sz="0" w:space="0" w:color="auto"/>
                    <w:bottom w:val="none" w:sz="0" w:space="0" w:color="auto"/>
                    <w:right w:val="none" w:sz="0" w:space="0" w:color="auto"/>
                  </w:divBdr>
                  <w:divsChild>
                    <w:div w:id="326788848">
                      <w:marLeft w:val="0"/>
                      <w:marRight w:val="0"/>
                      <w:marTop w:val="0"/>
                      <w:marBottom w:val="0"/>
                      <w:divBdr>
                        <w:top w:val="none" w:sz="0" w:space="0" w:color="auto"/>
                        <w:left w:val="none" w:sz="0" w:space="0" w:color="auto"/>
                        <w:bottom w:val="none" w:sz="0" w:space="0" w:color="auto"/>
                        <w:right w:val="none" w:sz="0" w:space="0" w:color="auto"/>
                      </w:divBdr>
                    </w:div>
                    <w:div w:id="949123103">
                      <w:marLeft w:val="0"/>
                      <w:marRight w:val="0"/>
                      <w:marTop w:val="0"/>
                      <w:marBottom w:val="0"/>
                      <w:divBdr>
                        <w:top w:val="none" w:sz="0" w:space="0" w:color="auto"/>
                        <w:left w:val="none" w:sz="0" w:space="0" w:color="auto"/>
                        <w:bottom w:val="none" w:sz="0" w:space="0" w:color="auto"/>
                        <w:right w:val="none" w:sz="0" w:space="0" w:color="auto"/>
                      </w:divBdr>
                    </w:div>
                  </w:divsChild>
                </w:div>
                <w:div w:id="871916058">
                  <w:marLeft w:val="0"/>
                  <w:marRight w:val="0"/>
                  <w:marTop w:val="0"/>
                  <w:marBottom w:val="0"/>
                  <w:divBdr>
                    <w:top w:val="none" w:sz="0" w:space="0" w:color="auto"/>
                    <w:left w:val="none" w:sz="0" w:space="0" w:color="auto"/>
                    <w:bottom w:val="none" w:sz="0" w:space="0" w:color="auto"/>
                    <w:right w:val="none" w:sz="0" w:space="0" w:color="auto"/>
                  </w:divBdr>
                  <w:divsChild>
                    <w:div w:id="787166152">
                      <w:marLeft w:val="0"/>
                      <w:marRight w:val="0"/>
                      <w:marTop w:val="0"/>
                      <w:marBottom w:val="0"/>
                      <w:divBdr>
                        <w:top w:val="none" w:sz="0" w:space="0" w:color="auto"/>
                        <w:left w:val="none" w:sz="0" w:space="0" w:color="auto"/>
                        <w:bottom w:val="none" w:sz="0" w:space="0" w:color="auto"/>
                        <w:right w:val="none" w:sz="0" w:space="0" w:color="auto"/>
                      </w:divBdr>
                    </w:div>
                    <w:div w:id="549345100">
                      <w:marLeft w:val="0"/>
                      <w:marRight w:val="0"/>
                      <w:marTop w:val="0"/>
                      <w:marBottom w:val="0"/>
                      <w:divBdr>
                        <w:top w:val="none" w:sz="0" w:space="0" w:color="auto"/>
                        <w:left w:val="none" w:sz="0" w:space="0" w:color="auto"/>
                        <w:bottom w:val="none" w:sz="0" w:space="0" w:color="auto"/>
                        <w:right w:val="none" w:sz="0" w:space="0" w:color="auto"/>
                      </w:divBdr>
                    </w:div>
                    <w:div w:id="1917861314">
                      <w:marLeft w:val="0"/>
                      <w:marRight w:val="0"/>
                      <w:marTop w:val="0"/>
                      <w:marBottom w:val="0"/>
                      <w:divBdr>
                        <w:top w:val="none" w:sz="0" w:space="0" w:color="auto"/>
                        <w:left w:val="none" w:sz="0" w:space="0" w:color="auto"/>
                        <w:bottom w:val="none" w:sz="0" w:space="0" w:color="auto"/>
                        <w:right w:val="none" w:sz="0" w:space="0" w:color="auto"/>
                      </w:divBdr>
                      <w:divsChild>
                        <w:div w:id="1288316587">
                          <w:marLeft w:val="0"/>
                          <w:marRight w:val="0"/>
                          <w:marTop w:val="60"/>
                          <w:marBottom w:val="480"/>
                          <w:divBdr>
                            <w:top w:val="none" w:sz="0" w:space="0" w:color="auto"/>
                            <w:left w:val="none" w:sz="0" w:space="0" w:color="auto"/>
                            <w:bottom w:val="none" w:sz="0" w:space="0" w:color="auto"/>
                            <w:right w:val="none" w:sz="0" w:space="0" w:color="auto"/>
                          </w:divBdr>
                          <w:divsChild>
                            <w:div w:id="8264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8474">
                      <w:marLeft w:val="0"/>
                      <w:marRight w:val="0"/>
                      <w:marTop w:val="0"/>
                      <w:marBottom w:val="0"/>
                      <w:divBdr>
                        <w:top w:val="none" w:sz="0" w:space="0" w:color="auto"/>
                        <w:left w:val="none" w:sz="0" w:space="0" w:color="auto"/>
                        <w:bottom w:val="none" w:sz="0" w:space="0" w:color="auto"/>
                        <w:right w:val="none" w:sz="0" w:space="0" w:color="auto"/>
                      </w:divBdr>
                    </w:div>
                    <w:div w:id="215168103">
                      <w:marLeft w:val="0"/>
                      <w:marRight w:val="0"/>
                      <w:marTop w:val="0"/>
                      <w:marBottom w:val="0"/>
                      <w:divBdr>
                        <w:top w:val="none" w:sz="0" w:space="0" w:color="auto"/>
                        <w:left w:val="none" w:sz="0" w:space="0" w:color="auto"/>
                        <w:bottom w:val="none" w:sz="0" w:space="0" w:color="auto"/>
                        <w:right w:val="none" w:sz="0" w:space="0" w:color="auto"/>
                      </w:divBdr>
                    </w:div>
                    <w:div w:id="2043631766">
                      <w:marLeft w:val="0"/>
                      <w:marRight w:val="0"/>
                      <w:marTop w:val="0"/>
                      <w:marBottom w:val="0"/>
                      <w:divBdr>
                        <w:top w:val="none" w:sz="0" w:space="0" w:color="auto"/>
                        <w:left w:val="none" w:sz="0" w:space="0" w:color="auto"/>
                        <w:bottom w:val="none" w:sz="0" w:space="0" w:color="auto"/>
                        <w:right w:val="none" w:sz="0" w:space="0" w:color="auto"/>
                      </w:divBdr>
                    </w:div>
                    <w:div w:id="1001005218">
                      <w:marLeft w:val="0"/>
                      <w:marRight w:val="0"/>
                      <w:marTop w:val="0"/>
                      <w:marBottom w:val="0"/>
                      <w:divBdr>
                        <w:top w:val="none" w:sz="0" w:space="0" w:color="auto"/>
                        <w:left w:val="none" w:sz="0" w:space="0" w:color="auto"/>
                        <w:bottom w:val="none" w:sz="0" w:space="0" w:color="auto"/>
                        <w:right w:val="none" w:sz="0" w:space="0" w:color="auto"/>
                      </w:divBdr>
                      <w:divsChild>
                        <w:div w:id="670908495">
                          <w:marLeft w:val="0"/>
                          <w:marRight w:val="0"/>
                          <w:marTop w:val="60"/>
                          <w:marBottom w:val="480"/>
                          <w:divBdr>
                            <w:top w:val="none" w:sz="0" w:space="0" w:color="auto"/>
                            <w:left w:val="none" w:sz="0" w:space="0" w:color="auto"/>
                            <w:bottom w:val="none" w:sz="0" w:space="0" w:color="auto"/>
                            <w:right w:val="none" w:sz="0" w:space="0" w:color="auto"/>
                          </w:divBdr>
                          <w:divsChild>
                            <w:div w:id="15900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83848">
                      <w:marLeft w:val="0"/>
                      <w:marRight w:val="0"/>
                      <w:marTop w:val="0"/>
                      <w:marBottom w:val="0"/>
                      <w:divBdr>
                        <w:top w:val="none" w:sz="0" w:space="0" w:color="auto"/>
                        <w:left w:val="none" w:sz="0" w:space="0" w:color="auto"/>
                        <w:bottom w:val="none" w:sz="0" w:space="0" w:color="auto"/>
                        <w:right w:val="none" w:sz="0" w:space="0" w:color="auto"/>
                      </w:divBdr>
                    </w:div>
                    <w:div w:id="1215045714">
                      <w:marLeft w:val="0"/>
                      <w:marRight w:val="0"/>
                      <w:marTop w:val="0"/>
                      <w:marBottom w:val="0"/>
                      <w:divBdr>
                        <w:top w:val="none" w:sz="0" w:space="0" w:color="auto"/>
                        <w:left w:val="none" w:sz="0" w:space="0" w:color="auto"/>
                        <w:bottom w:val="none" w:sz="0" w:space="0" w:color="auto"/>
                        <w:right w:val="none" w:sz="0" w:space="0" w:color="auto"/>
                      </w:divBdr>
                    </w:div>
                    <w:div w:id="1931621898">
                      <w:marLeft w:val="0"/>
                      <w:marRight w:val="0"/>
                      <w:marTop w:val="0"/>
                      <w:marBottom w:val="0"/>
                      <w:divBdr>
                        <w:top w:val="none" w:sz="0" w:space="0" w:color="auto"/>
                        <w:left w:val="none" w:sz="0" w:space="0" w:color="auto"/>
                        <w:bottom w:val="none" w:sz="0" w:space="0" w:color="auto"/>
                        <w:right w:val="none" w:sz="0" w:space="0" w:color="auto"/>
                      </w:divBdr>
                    </w:div>
                    <w:div w:id="1594436519">
                      <w:marLeft w:val="0"/>
                      <w:marRight w:val="0"/>
                      <w:marTop w:val="0"/>
                      <w:marBottom w:val="0"/>
                      <w:divBdr>
                        <w:top w:val="none" w:sz="0" w:space="0" w:color="auto"/>
                        <w:left w:val="none" w:sz="0" w:space="0" w:color="auto"/>
                        <w:bottom w:val="none" w:sz="0" w:space="0" w:color="auto"/>
                        <w:right w:val="none" w:sz="0" w:space="0" w:color="auto"/>
                      </w:divBdr>
                      <w:divsChild>
                        <w:div w:id="1695963071">
                          <w:marLeft w:val="0"/>
                          <w:marRight w:val="0"/>
                          <w:marTop w:val="60"/>
                          <w:marBottom w:val="480"/>
                          <w:divBdr>
                            <w:top w:val="none" w:sz="0" w:space="0" w:color="auto"/>
                            <w:left w:val="none" w:sz="0" w:space="0" w:color="auto"/>
                            <w:bottom w:val="none" w:sz="0" w:space="0" w:color="auto"/>
                            <w:right w:val="none" w:sz="0" w:space="0" w:color="auto"/>
                          </w:divBdr>
                          <w:divsChild>
                            <w:div w:id="6237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539895">
                      <w:marLeft w:val="0"/>
                      <w:marRight w:val="0"/>
                      <w:marTop w:val="0"/>
                      <w:marBottom w:val="0"/>
                      <w:divBdr>
                        <w:top w:val="none" w:sz="0" w:space="0" w:color="auto"/>
                        <w:left w:val="none" w:sz="0" w:space="0" w:color="auto"/>
                        <w:bottom w:val="none" w:sz="0" w:space="0" w:color="auto"/>
                        <w:right w:val="none" w:sz="0" w:space="0" w:color="auto"/>
                      </w:divBdr>
                    </w:div>
                    <w:div w:id="162087579">
                      <w:marLeft w:val="0"/>
                      <w:marRight w:val="0"/>
                      <w:marTop w:val="0"/>
                      <w:marBottom w:val="0"/>
                      <w:divBdr>
                        <w:top w:val="none" w:sz="0" w:space="0" w:color="auto"/>
                        <w:left w:val="none" w:sz="0" w:space="0" w:color="auto"/>
                        <w:bottom w:val="none" w:sz="0" w:space="0" w:color="auto"/>
                        <w:right w:val="none" w:sz="0" w:space="0" w:color="auto"/>
                      </w:divBdr>
                    </w:div>
                    <w:div w:id="1072310957">
                      <w:marLeft w:val="0"/>
                      <w:marRight w:val="0"/>
                      <w:marTop w:val="0"/>
                      <w:marBottom w:val="0"/>
                      <w:divBdr>
                        <w:top w:val="none" w:sz="0" w:space="0" w:color="auto"/>
                        <w:left w:val="none" w:sz="0" w:space="0" w:color="auto"/>
                        <w:bottom w:val="none" w:sz="0" w:space="0" w:color="auto"/>
                        <w:right w:val="none" w:sz="0" w:space="0" w:color="auto"/>
                      </w:divBdr>
                    </w:div>
                    <w:div w:id="970019795">
                      <w:marLeft w:val="0"/>
                      <w:marRight w:val="0"/>
                      <w:marTop w:val="0"/>
                      <w:marBottom w:val="0"/>
                      <w:divBdr>
                        <w:top w:val="none" w:sz="0" w:space="0" w:color="auto"/>
                        <w:left w:val="none" w:sz="0" w:space="0" w:color="auto"/>
                        <w:bottom w:val="none" w:sz="0" w:space="0" w:color="auto"/>
                        <w:right w:val="none" w:sz="0" w:space="0" w:color="auto"/>
                      </w:divBdr>
                    </w:div>
                    <w:div w:id="1408651199">
                      <w:marLeft w:val="0"/>
                      <w:marRight w:val="0"/>
                      <w:marTop w:val="0"/>
                      <w:marBottom w:val="0"/>
                      <w:divBdr>
                        <w:top w:val="none" w:sz="0" w:space="0" w:color="auto"/>
                        <w:left w:val="none" w:sz="0" w:space="0" w:color="auto"/>
                        <w:bottom w:val="none" w:sz="0" w:space="0" w:color="auto"/>
                        <w:right w:val="none" w:sz="0" w:space="0" w:color="auto"/>
                      </w:divBdr>
                    </w:div>
                    <w:div w:id="1098909614">
                      <w:marLeft w:val="0"/>
                      <w:marRight w:val="0"/>
                      <w:marTop w:val="0"/>
                      <w:marBottom w:val="0"/>
                      <w:divBdr>
                        <w:top w:val="none" w:sz="0" w:space="0" w:color="auto"/>
                        <w:left w:val="none" w:sz="0" w:space="0" w:color="auto"/>
                        <w:bottom w:val="none" w:sz="0" w:space="0" w:color="auto"/>
                        <w:right w:val="none" w:sz="0" w:space="0" w:color="auto"/>
                      </w:divBdr>
                      <w:divsChild>
                        <w:div w:id="755904907">
                          <w:marLeft w:val="0"/>
                          <w:marRight w:val="0"/>
                          <w:marTop w:val="60"/>
                          <w:marBottom w:val="480"/>
                          <w:divBdr>
                            <w:top w:val="none" w:sz="0" w:space="0" w:color="auto"/>
                            <w:left w:val="none" w:sz="0" w:space="0" w:color="auto"/>
                            <w:bottom w:val="none" w:sz="0" w:space="0" w:color="auto"/>
                            <w:right w:val="none" w:sz="0" w:space="0" w:color="auto"/>
                          </w:divBdr>
                          <w:divsChild>
                            <w:div w:id="168173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4625">
                      <w:marLeft w:val="0"/>
                      <w:marRight w:val="0"/>
                      <w:marTop w:val="0"/>
                      <w:marBottom w:val="0"/>
                      <w:divBdr>
                        <w:top w:val="none" w:sz="0" w:space="0" w:color="auto"/>
                        <w:left w:val="none" w:sz="0" w:space="0" w:color="auto"/>
                        <w:bottom w:val="none" w:sz="0" w:space="0" w:color="auto"/>
                        <w:right w:val="none" w:sz="0" w:space="0" w:color="auto"/>
                      </w:divBdr>
                    </w:div>
                    <w:div w:id="838159710">
                      <w:marLeft w:val="0"/>
                      <w:marRight w:val="0"/>
                      <w:marTop w:val="0"/>
                      <w:marBottom w:val="0"/>
                      <w:divBdr>
                        <w:top w:val="none" w:sz="0" w:space="0" w:color="auto"/>
                        <w:left w:val="none" w:sz="0" w:space="0" w:color="auto"/>
                        <w:bottom w:val="none" w:sz="0" w:space="0" w:color="auto"/>
                        <w:right w:val="none" w:sz="0" w:space="0" w:color="auto"/>
                      </w:divBdr>
                    </w:div>
                    <w:div w:id="904798406">
                      <w:marLeft w:val="0"/>
                      <w:marRight w:val="0"/>
                      <w:marTop w:val="0"/>
                      <w:marBottom w:val="0"/>
                      <w:divBdr>
                        <w:top w:val="none" w:sz="0" w:space="0" w:color="auto"/>
                        <w:left w:val="none" w:sz="0" w:space="0" w:color="auto"/>
                        <w:bottom w:val="none" w:sz="0" w:space="0" w:color="auto"/>
                        <w:right w:val="none" w:sz="0" w:space="0" w:color="auto"/>
                      </w:divBdr>
                    </w:div>
                    <w:div w:id="1707290311">
                      <w:marLeft w:val="0"/>
                      <w:marRight w:val="0"/>
                      <w:marTop w:val="0"/>
                      <w:marBottom w:val="0"/>
                      <w:divBdr>
                        <w:top w:val="none" w:sz="0" w:space="0" w:color="auto"/>
                        <w:left w:val="none" w:sz="0" w:space="0" w:color="auto"/>
                        <w:bottom w:val="none" w:sz="0" w:space="0" w:color="auto"/>
                        <w:right w:val="none" w:sz="0" w:space="0" w:color="auto"/>
                      </w:divBdr>
                      <w:divsChild>
                        <w:div w:id="811947744">
                          <w:marLeft w:val="0"/>
                          <w:marRight w:val="0"/>
                          <w:marTop w:val="60"/>
                          <w:marBottom w:val="480"/>
                          <w:divBdr>
                            <w:top w:val="none" w:sz="0" w:space="0" w:color="auto"/>
                            <w:left w:val="none" w:sz="0" w:space="0" w:color="auto"/>
                            <w:bottom w:val="none" w:sz="0" w:space="0" w:color="auto"/>
                            <w:right w:val="none" w:sz="0" w:space="0" w:color="auto"/>
                          </w:divBdr>
                          <w:divsChild>
                            <w:div w:id="16584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22597">
                      <w:marLeft w:val="0"/>
                      <w:marRight w:val="0"/>
                      <w:marTop w:val="0"/>
                      <w:marBottom w:val="0"/>
                      <w:divBdr>
                        <w:top w:val="none" w:sz="0" w:space="0" w:color="auto"/>
                        <w:left w:val="none" w:sz="0" w:space="0" w:color="auto"/>
                        <w:bottom w:val="none" w:sz="0" w:space="0" w:color="auto"/>
                        <w:right w:val="none" w:sz="0" w:space="0" w:color="auto"/>
                      </w:divBdr>
                    </w:div>
                    <w:div w:id="317880809">
                      <w:marLeft w:val="0"/>
                      <w:marRight w:val="0"/>
                      <w:marTop w:val="0"/>
                      <w:marBottom w:val="0"/>
                      <w:divBdr>
                        <w:top w:val="none" w:sz="0" w:space="0" w:color="auto"/>
                        <w:left w:val="none" w:sz="0" w:space="0" w:color="auto"/>
                        <w:bottom w:val="none" w:sz="0" w:space="0" w:color="auto"/>
                        <w:right w:val="none" w:sz="0" w:space="0" w:color="auto"/>
                      </w:divBdr>
                    </w:div>
                    <w:div w:id="285547186">
                      <w:marLeft w:val="0"/>
                      <w:marRight w:val="0"/>
                      <w:marTop w:val="0"/>
                      <w:marBottom w:val="0"/>
                      <w:divBdr>
                        <w:top w:val="none" w:sz="0" w:space="0" w:color="auto"/>
                        <w:left w:val="none" w:sz="0" w:space="0" w:color="auto"/>
                        <w:bottom w:val="none" w:sz="0" w:space="0" w:color="auto"/>
                        <w:right w:val="none" w:sz="0" w:space="0" w:color="auto"/>
                      </w:divBdr>
                    </w:div>
                    <w:div w:id="696394585">
                      <w:marLeft w:val="0"/>
                      <w:marRight w:val="0"/>
                      <w:marTop w:val="0"/>
                      <w:marBottom w:val="0"/>
                      <w:divBdr>
                        <w:top w:val="none" w:sz="0" w:space="0" w:color="auto"/>
                        <w:left w:val="none" w:sz="0" w:space="0" w:color="auto"/>
                        <w:bottom w:val="none" w:sz="0" w:space="0" w:color="auto"/>
                        <w:right w:val="none" w:sz="0" w:space="0" w:color="auto"/>
                      </w:divBdr>
                    </w:div>
                    <w:div w:id="413402559">
                      <w:marLeft w:val="0"/>
                      <w:marRight w:val="0"/>
                      <w:marTop w:val="0"/>
                      <w:marBottom w:val="0"/>
                      <w:divBdr>
                        <w:top w:val="none" w:sz="0" w:space="0" w:color="auto"/>
                        <w:left w:val="none" w:sz="0" w:space="0" w:color="auto"/>
                        <w:bottom w:val="none" w:sz="0" w:space="0" w:color="auto"/>
                        <w:right w:val="none" w:sz="0" w:space="0" w:color="auto"/>
                      </w:divBdr>
                    </w:div>
                    <w:div w:id="1920433924">
                      <w:marLeft w:val="0"/>
                      <w:marRight w:val="0"/>
                      <w:marTop w:val="0"/>
                      <w:marBottom w:val="0"/>
                      <w:divBdr>
                        <w:top w:val="none" w:sz="0" w:space="0" w:color="auto"/>
                        <w:left w:val="none" w:sz="0" w:space="0" w:color="auto"/>
                        <w:bottom w:val="none" w:sz="0" w:space="0" w:color="auto"/>
                        <w:right w:val="none" w:sz="0" w:space="0" w:color="auto"/>
                      </w:divBdr>
                    </w:div>
                    <w:div w:id="17082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872243">
              <w:marLeft w:val="0"/>
              <w:marRight w:val="0"/>
              <w:marTop w:val="0"/>
              <w:marBottom w:val="600"/>
              <w:divBdr>
                <w:top w:val="none" w:sz="0" w:space="0" w:color="auto"/>
                <w:left w:val="none" w:sz="0" w:space="0" w:color="auto"/>
                <w:bottom w:val="none" w:sz="0" w:space="0" w:color="auto"/>
                <w:right w:val="none" w:sz="0" w:space="0" w:color="auto"/>
              </w:divBdr>
              <w:divsChild>
                <w:div w:id="752091808">
                  <w:marLeft w:val="0"/>
                  <w:marRight w:val="0"/>
                  <w:marTop w:val="0"/>
                  <w:marBottom w:val="0"/>
                  <w:divBdr>
                    <w:top w:val="single" w:sz="6" w:space="8" w:color="D5D5D5"/>
                    <w:left w:val="single" w:sz="6" w:space="13" w:color="D5D5D5"/>
                    <w:bottom w:val="single" w:sz="6" w:space="8" w:color="D5D5D5"/>
                    <w:right w:val="single" w:sz="6" w:space="13" w:color="D5D5D5"/>
                  </w:divBdr>
                </w:div>
              </w:divsChild>
            </w:div>
            <w:div w:id="1130243639">
              <w:marLeft w:val="0"/>
              <w:marRight w:val="0"/>
              <w:marTop w:val="0"/>
              <w:marBottom w:val="600"/>
              <w:divBdr>
                <w:top w:val="single" w:sz="6" w:space="0" w:color="D5D5D5"/>
                <w:left w:val="none" w:sz="0" w:space="0" w:color="auto"/>
                <w:bottom w:val="single" w:sz="6" w:space="0" w:color="D5D5D5"/>
                <w:right w:val="none" w:sz="0" w:space="0" w:color="auto"/>
              </w:divBdr>
              <w:divsChild>
                <w:div w:id="610206495">
                  <w:marLeft w:val="0"/>
                  <w:marRight w:val="0"/>
                  <w:marTop w:val="0"/>
                  <w:marBottom w:val="0"/>
                  <w:divBdr>
                    <w:top w:val="none" w:sz="0" w:space="0" w:color="auto"/>
                    <w:left w:val="none" w:sz="0" w:space="0" w:color="auto"/>
                    <w:bottom w:val="none" w:sz="0" w:space="0" w:color="auto"/>
                    <w:right w:val="none" w:sz="0" w:space="0" w:color="auto"/>
                  </w:divBdr>
                  <w:divsChild>
                    <w:div w:id="153573355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83443081">
              <w:marLeft w:val="0"/>
              <w:marRight w:val="0"/>
              <w:marTop w:val="0"/>
              <w:marBottom w:val="600"/>
              <w:divBdr>
                <w:top w:val="none" w:sz="0" w:space="0" w:color="auto"/>
                <w:left w:val="none" w:sz="0" w:space="0" w:color="auto"/>
                <w:bottom w:val="single" w:sz="6" w:space="0" w:color="D5D5D5"/>
                <w:right w:val="none" w:sz="0" w:space="0" w:color="auto"/>
              </w:divBdr>
              <w:divsChild>
                <w:div w:id="1477257392">
                  <w:marLeft w:val="0"/>
                  <w:marRight w:val="0"/>
                  <w:marTop w:val="0"/>
                  <w:marBottom w:val="0"/>
                  <w:divBdr>
                    <w:top w:val="none" w:sz="0" w:space="0" w:color="auto"/>
                    <w:left w:val="none" w:sz="0" w:space="0" w:color="auto"/>
                    <w:bottom w:val="none" w:sz="0" w:space="0" w:color="auto"/>
                    <w:right w:val="none" w:sz="0" w:space="0" w:color="auto"/>
                  </w:divBdr>
                  <w:divsChild>
                    <w:div w:id="37782083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40542752">
              <w:marLeft w:val="0"/>
              <w:marRight w:val="0"/>
              <w:marTop w:val="0"/>
              <w:marBottom w:val="0"/>
              <w:divBdr>
                <w:top w:val="none" w:sz="0" w:space="0" w:color="auto"/>
                <w:left w:val="none" w:sz="0" w:space="0" w:color="auto"/>
                <w:bottom w:val="none" w:sz="0" w:space="0" w:color="auto"/>
                <w:right w:val="none" w:sz="0" w:space="0" w:color="auto"/>
              </w:divBdr>
              <w:divsChild>
                <w:div w:id="1423649550">
                  <w:marLeft w:val="0"/>
                  <w:marRight w:val="0"/>
                  <w:marTop w:val="0"/>
                  <w:marBottom w:val="0"/>
                  <w:divBdr>
                    <w:top w:val="none" w:sz="0" w:space="0" w:color="auto"/>
                    <w:left w:val="none" w:sz="0" w:space="0" w:color="auto"/>
                    <w:bottom w:val="none" w:sz="0" w:space="0" w:color="auto"/>
                    <w:right w:val="none" w:sz="0" w:space="0" w:color="auto"/>
                  </w:divBdr>
                  <w:divsChild>
                    <w:div w:id="1604604496">
                      <w:marLeft w:val="0"/>
                      <w:marRight w:val="0"/>
                      <w:marTop w:val="0"/>
                      <w:marBottom w:val="0"/>
                      <w:divBdr>
                        <w:top w:val="none" w:sz="0" w:space="0" w:color="auto"/>
                        <w:left w:val="none" w:sz="0" w:space="0" w:color="auto"/>
                        <w:bottom w:val="none" w:sz="0" w:space="0" w:color="auto"/>
                        <w:right w:val="none" w:sz="0" w:space="0" w:color="auto"/>
                      </w:divBdr>
                      <w:divsChild>
                        <w:div w:id="1934313720">
                          <w:marLeft w:val="0"/>
                          <w:marRight w:val="0"/>
                          <w:marTop w:val="360"/>
                          <w:marBottom w:val="0"/>
                          <w:divBdr>
                            <w:top w:val="none" w:sz="0" w:space="0" w:color="auto"/>
                            <w:left w:val="none" w:sz="0" w:space="0" w:color="auto"/>
                            <w:bottom w:val="none" w:sz="0" w:space="0" w:color="auto"/>
                            <w:right w:val="none" w:sz="0" w:space="0" w:color="auto"/>
                          </w:divBdr>
                        </w:div>
                      </w:divsChild>
                    </w:div>
                    <w:div w:id="859204292">
                      <w:marLeft w:val="0"/>
                      <w:marRight w:val="0"/>
                      <w:marTop w:val="0"/>
                      <w:marBottom w:val="0"/>
                      <w:divBdr>
                        <w:top w:val="none" w:sz="0" w:space="0" w:color="auto"/>
                        <w:left w:val="none" w:sz="0" w:space="0" w:color="auto"/>
                        <w:bottom w:val="none" w:sz="0" w:space="0" w:color="auto"/>
                        <w:right w:val="none" w:sz="0" w:space="0" w:color="auto"/>
                      </w:divBdr>
                      <w:divsChild>
                        <w:div w:id="1939630826">
                          <w:marLeft w:val="0"/>
                          <w:marRight w:val="0"/>
                          <w:marTop w:val="360"/>
                          <w:marBottom w:val="0"/>
                          <w:divBdr>
                            <w:top w:val="none" w:sz="0" w:space="0" w:color="auto"/>
                            <w:left w:val="none" w:sz="0" w:space="0" w:color="auto"/>
                            <w:bottom w:val="none" w:sz="0" w:space="0" w:color="auto"/>
                            <w:right w:val="none" w:sz="0" w:space="0" w:color="auto"/>
                          </w:divBdr>
                        </w:div>
                      </w:divsChild>
                    </w:div>
                    <w:div w:id="851644580">
                      <w:marLeft w:val="0"/>
                      <w:marRight w:val="0"/>
                      <w:marTop w:val="0"/>
                      <w:marBottom w:val="0"/>
                      <w:divBdr>
                        <w:top w:val="none" w:sz="0" w:space="0" w:color="auto"/>
                        <w:left w:val="none" w:sz="0" w:space="0" w:color="auto"/>
                        <w:bottom w:val="none" w:sz="0" w:space="0" w:color="auto"/>
                        <w:right w:val="none" w:sz="0" w:space="0" w:color="auto"/>
                      </w:divBdr>
                      <w:divsChild>
                        <w:div w:id="143010790">
                          <w:marLeft w:val="0"/>
                          <w:marRight w:val="0"/>
                          <w:marTop w:val="360"/>
                          <w:marBottom w:val="0"/>
                          <w:divBdr>
                            <w:top w:val="none" w:sz="0" w:space="0" w:color="auto"/>
                            <w:left w:val="none" w:sz="0" w:space="0" w:color="auto"/>
                            <w:bottom w:val="none" w:sz="0" w:space="0" w:color="auto"/>
                            <w:right w:val="none" w:sz="0" w:space="0" w:color="auto"/>
                          </w:divBdr>
                        </w:div>
                      </w:divsChild>
                    </w:div>
                    <w:div w:id="901214942">
                      <w:marLeft w:val="0"/>
                      <w:marRight w:val="0"/>
                      <w:marTop w:val="0"/>
                      <w:marBottom w:val="0"/>
                      <w:divBdr>
                        <w:top w:val="none" w:sz="0" w:space="0" w:color="auto"/>
                        <w:left w:val="none" w:sz="0" w:space="0" w:color="auto"/>
                        <w:bottom w:val="none" w:sz="0" w:space="0" w:color="auto"/>
                        <w:right w:val="none" w:sz="0" w:space="0" w:color="auto"/>
                      </w:divBdr>
                      <w:divsChild>
                        <w:div w:id="1870100658">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14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www.lexisnexis.com/lnacui2api/frame.do?tokenKey=rsh-20.961154.6608849876&amp;target=results_DocumentContent&amp;returnToKey=20_T24410095911&amp;parent=docview&amp;rand=1469203444497&amp;reloadEntirePage=true" TargetMode="External"/><Relationship Id="rId39" Type="http://schemas.openxmlformats.org/officeDocument/2006/relationships/theme" Target="theme/theme1.xml"/><Relationship Id="rId21" Type="http://schemas.openxmlformats.org/officeDocument/2006/relationships/hyperlink" Target="https://www.brennancenter.org/our-work/research-reports/criminal-justice-reform-state-level" TargetMode="External"/><Relationship Id="rId34" Type="http://schemas.openxmlformats.org/officeDocument/2006/relationships/hyperlink" Target="http://www.lexisnexis.com/lnacui2api/frame.do?tokenKey=rsh-20.648041.9686028087&amp;target=results_DocumentContent&amp;returnToKey=20_T24385901680&amp;parent=docview&amp;rand=1468857018909&amp;reloadEntirePage=true" TargetMode="External"/><Relationship Id="rId7" Type="http://schemas.openxmlformats.org/officeDocument/2006/relationships/hyperlink" Target="https://www.pewtrusts.org/en/research-and-analysis/reports/2009/03/02/one-in-31-the-long-reach-of-american-corrections" TargetMode="External"/><Relationship Id="rId12" Type="http://schemas.openxmlformats.org/officeDocument/2006/relationships/hyperlink" Target="https://www.pewtrusts.org/en/research-and-analysis/reports/2011/04/12/state-of-recidivism-the-revolving-door-of-americas-prisons" TargetMode="External"/><Relationship Id="rId17" Type="http://schemas.openxmlformats.org/officeDocument/2006/relationships/hyperlink" Target="https://www.pewtrusts.org/en/research-and-analysis/fact-sheets/2016/12/national-imprisonment-and-crime-rates-continue-to-fall" TargetMode="External"/><Relationship Id="rId25" Type="http://schemas.openxmlformats.org/officeDocument/2006/relationships/hyperlink" Target="http://www.lexisnexis.com/lnacui2api/frame.do?tokenKey=rsh-20.961154.6608849876&amp;target=results_DocumentContent&amp;returnToKey=20_T24410095911&amp;parent=docview&amp;rand=1469203444497&amp;reloadEntirePage=true" TargetMode="External"/><Relationship Id="rId33" Type="http://schemas.openxmlformats.org/officeDocument/2006/relationships/hyperlink" Target="http://www.lexisnexis.com/lnacui2api/frame.do?tokenKey=rsh-20.648041.9686028087&amp;target=results_DocumentContent&amp;returnToKey=20_T24385901680&amp;parent=docview&amp;rand=1468857018909&amp;reloadEntirePage=true"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cato.org/publications/commentary/marijuana-policy-best-left-states" TargetMode="External"/><Relationship Id="rId29" Type="http://schemas.openxmlformats.org/officeDocument/2006/relationships/hyperlink" Target="https://www.cfr.org/interview/supreme-courts-mixed-signals-international-law" TargetMode="External"/><Relationship Id="rId1" Type="http://schemas.openxmlformats.org/officeDocument/2006/relationships/customXml" Target="../customXml/item1.xml"/><Relationship Id="rId6" Type="http://schemas.openxmlformats.org/officeDocument/2006/relationships/hyperlink" Target="https://www.pewtrusts.org/en/research-and-analysis/reports/2008/02/28/one-in-100-behind-bars-in-america-2008" TargetMode="External"/><Relationship Id="rId11" Type="http://schemas.openxmlformats.org/officeDocument/2006/relationships/image" Target="media/image3.png"/><Relationship Id="rId24" Type="http://schemas.openxmlformats.org/officeDocument/2006/relationships/hyperlink" Target="http://www.lexisnexis.com/lnacui2api/frame.do?tokenKey=rsh-20.961154.6608849876&amp;target=results_DocumentContent&amp;returnToKey=20_T24410095911&amp;parent=docview&amp;rand=1469203444497&amp;reloadEntirePage=true" TargetMode="External"/><Relationship Id="rId32" Type="http://schemas.openxmlformats.org/officeDocument/2006/relationships/hyperlink" Target="http://www.lexisnexis.com/lnacui2api/frame.do?tokenKey=rsh-20.648041.9686028087&amp;target=results_DocumentContent&amp;returnToKey=20_T24385901680&amp;parent=docview&amp;rand=1468857018909&amp;reloadEntirePage=true" TargetMode="External"/><Relationship Id="rId37" Type="http://schemas.openxmlformats.org/officeDocument/2006/relationships/hyperlink" Target="https://www.truthdig.com/articles/californias-failed-prison-reform-is-killing-inmates/" TargetMode="External"/><Relationship Id="rId5" Type="http://schemas.openxmlformats.org/officeDocument/2006/relationships/webSettings" Target="webSettings.xml"/><Relationship Id="rId15" Type="http://schemas.openxmlformats.org/officeDocument/2006/relationships/hyperlink" Target="https://www.pewtrusts.org/en/research-and-analysis/reports/2010/07/06/south-carolinas-public-safety-reform" TargetMode="External"/><Relationship Id="rId23" Type="http://schemas.openxmlformats.org/officeDocument/2006/relationships/hyperlink" Target="http://www.lexisnexis.com/lnacui2api/frame.do?tokenKey=rsh-20.961154.6608849876&amp;target=results_DocumentContent&amp;returnToKey=20_T24410095911&amp;parent=docview&amp;rand=1469203444497&amp;reloadEntirePage=true" TargetMode="External"/><Relationship Id="rId28" Type="http://schemas.openxmlformats.org/officeDocument/2006/relationships/hyperlink" Target="http://www.lexisnexis.com/lnacui2api/frame.do?tokenKey=rsh-20.961154.6608849876&amp;target=results_DocumentContent&amp;returnToKey=20_T24410095911&amp;parent=docview&amp;rand=1469203444497&amp;reloadEntirePage=true" TargetMode="External"/><Relationship Id="rId36" Type="http://schemas.openxmlformats.org/officeDocument/2006/relationships/hyperlink" Target="https://papers.ssrn.com/sol3/papers.cfm?abstract_id=2973417)"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hyperlink" Target="http://www.ed.gov/news/press-releases/nine-states-and-district-columbia-win-second-round-race-top-grant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taxfoundation.org/marijuana-tax-legalization-federal-revenue/" TargetMode="External"/><Relationship Id="rId27" Type="http://schemas.openxmlformats.org/officeDocument/2006/relationships/hyperlink" Target="http://www.lexisnexis.com/lnacui2api/frame.do?tokenKey=rsh-20.961154.6608849876&amp;target=results_DocumentContent&amp;returnToKey=20_T24410095911&amp;parent=docview&amp;rand=1469203444497&amp;reloadEntirePage=true" TargetMode="External"/><Relationship Id="rId30" Type="http://schemas.openxmlformats.org/officeDocument/2006/relationships/hyperlink" Target="http://www.edweek.org/ew/articles/2011/04/20/28rtt_ep.h30.html?tkn=ZLTFOVE2Y0HL9tclmX3Z9eiEo6LunsooaEn5&amp;cmp=clp-edweek" TargetMode="External"/><Relationship Id="rId35" Type="http://schemas.openxmlformats.org/officeDocument/2006/relationships/hyperlink" Target="https://repository.law.miami.edu/umiclr/vol27/iss1/7" TargetMode="External"/><Relationship Id="rId8" Type="http://schemas.openxmlformats.org/officeDocument/2006/relationships/hyperlink" Target="https://www.pewtrusts.org/en/research-and-analysis/articles/2016/01/25/share-of-us-adults-under-correctional-control-down-13-percent-since-2007"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156495-A46B-45FA-BBEF-FC46F5355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33868</Words>
  <Characters>193049</Characters>
  <Application>Microsoft Office Word</Application>
  <DocSecurity>0</DocSecurity>
  <Lines>1608</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Reese</dc:creator>
  <cp:keywords>5.1.1</cp:keywords>
  <dc:description/>
  <cp:lastModifiedBy>Nate</cp:lastModifiedBy>
  <cp:revision>3</cp:revision>
  <dcterms:created xsi:type="dcterms:W3CDTF">2020-06-14T18:04:00Z</dcterms:created>
  <dcterms:modified xsi:type="dcterms:W3CDTF">2020-06-15T02:24:00Z</dcterms:modified>
</cp:coreProperties>
</file>