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08887D" w14:textId="15CECEF2" w:rsidR="0057686C" w:rsidRDefault="0057686C" w:rsidP="00170B17">
      <w:pPr>
        <w:pStyle w:val="Heading3"/>
      </w:pPr>
      <w:r>
        <w:t>1nc – no decrim/legalization</w:t>
      </w:r>
    </w:p>
    <w:p w14:paraId="2F68F7DB" w14:textId="77777777" w:rsidR="0057686C" w:rsidRDefault="0057686C" w:rsidP="0057686C">
      <w:pPr>
        <w:pStyle w:val="Heading4"/>
        <w:rPr>
          <w:u w:val="single"/>
        </w:rPr>
      </w:pPr>
      <w:r>
        <w:t xml:space="preserve">Criminal justice refers to police, courts, and correctional institutions – it’s distinct from criminal </w:t>
      </w:r>
      <w:r>
        <w:rPr>
          <w:u w:val="single"/>
        </w:rPr>
        <w:t>law</w:t>
      </w:r>
    </w:p>
    <w:p w14:paraId="68F95B3B" w14:textId="22454299" w:rsidR="0057686C" w:rsidRPr="00B954A1" w:rsidRDefault="0057686C" w:rsidP="0057686C">
      <w:pPr>
        <w:rPr>
          <w:b/>
          <w:bCs/>
        </w:rPr>
      </w:pPr>
      <w:r w:rsidRPr="00B954A1">
        <w:t xml:space="preserve">Thomas J. </w:t>
      </w:r>
      <w:r w:rsidRPr="00B954A1">
        <w:rPr>
          <w:rStyle w:val="Style13ptBold"/>
        </w:rPr>
        <w:t>Bernard, 8</w:t>
      </w:r>
      <w:r w:rsidRPr="00B954A1">
        <w:t xml:space="preserve"> - Professor, Criminal Justice and Sociology, Pennsylvania State University (Encyclopedia Britannica, “Criminal justice” date according to Carbon Dating the Web, </w:t>
      </w:r>
      <w:hyperlink r:id="rId6" w:history="1">
        <w:r w:rsidRPr="00B954A1">
          <w:rPr>
            <w:rStyle w:val="Hyperlink"/>
          </w:rPr>
          <w:t>https://www.britannica.com/topic/criminal-justice</w:t>
        </w:r>
      </w:hyperlink>
      <w:r w:rsidRPr="00B954A1">
        <w:t xml:space="preserve"> //DH</w:t>
      </w:r>
      <w:r>
        <w:t xml:space="preserve">  </w:t>
      </w:r>
      <w:r w:rsidR="00E6728E" w:rsidRPr="00E6728E">
        <w:rPr>
          <w:b/>
          <w:bCs/>
        </w:rPr>
        <w:t xml:space="preserve">the </w:t>
      </w:r>
      <w:r>
        <w:rPr>
          <w:b/>
          <w:bCs/>
        </w:rPr>
        <w:t xml:space="preserve">bold ‘criminal justice’ </w:t>
      </w:r>
      <w:r w:rsidR="00170B17">
        <w:rPr>
          <w:b/>
          <w:bCs/>
        </w:rPr>
        <w:t xml:space="preserve">is </w:t>
      </w:r>
      <w:r>
        <w:rPr>
          <w:b/>
          <w:bCs/>
        </w:rPr>
        <w:t>in the original to denote a definition</w:t>
      </w:r>
    </w:p>
    <w:p w14:paraId="412DDBFF" w14:textId="77777777" w:rsidR="0057686C" w:rsidRDefault="0057686C" w:rsidP="0057686C">
      <w:pPr>
        <w:rPr>
          <w:b/>
          <w:bCs/>
        </w:rPr>
      </w:pPr>
    </w:p>
    <w:p w14:paraId="175D9F41" w14:textId="77777777" w:rsidR="0057686C" w:rsidRDefault="0057686C" w:rsidP="0057686C">
      <w:r w:rsidRPr="00B954A1">
        <w:rPr>
          <w:b/>
          <w:bCs/>
          <w:u w:val="single"/>
        </w:rPr>
        <w:t>Criminal justice</w:t>
      </w:r>
      <w:r>
        <w:t xml:space="preserve">, interdisciplinary academic </w:t>
      </w:r>
      <w:r w:rsidRPr="00B954A1">
        <w:rPr>
          <w:rStyle w:val="StyleUnderline"/>
        </w:rPr>
        <w:t>study of the police, criminal courts, correctional institutions</w:t>
      </w:r>
      <w:r>
        <w:t xml:space="preserve"> (e.g., prisons), and juvenile justice agencies, as well as of the agents who operate within these institutions. </w:t>
      </w:r>
      <w:r w:rsidRPr="00B954A1">
        <w:rPr>
          <w:rStyle w:val="StyleUnderline"/>
        </w:rPr>
        <w:t>Criminal justice is distinct from criminal law</w:t>
      </w:r>
      <w:r>
        <w:t xml:space="preserve">, </w:t>
      </w:r>
      <w:r w:rsidRPr="00B954A1">
        <w:rPr>
          <w:rStyle w:val="StyleUnderline"/>
        </w:rPr>
        <w:t>which defines the specific behaviours that are prohibited by and punishable under law</w:t>
      </w:r>
      <w:r>
        <w:t>, and from criminology, which is the scientific study of the nonlegal aspects of crime and delinquency, including their causes, correction, and prevention.</w:t>
      </w:r>
    </w:p>
    <w:p w14:paraId="7DB33D60" w14:textId="61C538B4" w:rsidR="0057686C" w:rsidRPr="00474DF6" w:rsidRDefault="0057686C" w:rsidP="0057686C">
      <w:pPr>
        <w:pStyle w:val="Heading4"/>
      </w:pPr>
      <w:r>
        <w:t>Policing reform is changing the practices and policies of police – topical affs must target police organizations directly</w:t>
      </w:r>
    </w:p>
    <w:p w14:paraId="604697FD" w14:textId="77777777" w:rsidR="0057686C" w:rsidRDefault="0057686C" w:rsidP="0057686C">
      <w:r w:rsidRPr="00C14547">
        <w:rPr>
          <w:rStyle w:val="Style13ptBold"/>
        </w:rPr>
        <w:t>NAACP, 20</w:t>
      </w:r>
      <w:r>
        <w:t xml:space="preserve"> – NAACP Legal Defense and Education Fund and the Thurgood Marshall Institute (National Police Funding Database, “What is Policing Reform”, 1/4, date according to Carbon Dating the Web, </w:t>
      </w:r>
      <w:hyperlink r:id="rId7" w:anchor="aboutPolicingReform" w:history="1">
        <w:r w:rsidRPr="004D357E">
          <w:rPr>
            <w:rStyle w:val="Hyperlink"/>
          </w:rPr>
          <w:t>https://policefundingdatabase.tminstituteldf.org/policingreform#aboutPolicingReform</w:t>
        </w:r>
      </w:hyperlink>
      <w:r>
        <w:t xml:space="preserve"> //DH</w:t>
      </w:r>
    </w:p>
    <w:p w14:paraId="0F41B887" w14:textId="77777777" w:rsidR="0057686C" w:rsidRDefault="0057686C" w:rsidP="0057686C"/>
    <w:p w14:paraId="6750D0EF" w14:textId="77777777" w:rsidR="0057686C" w:rsidRDefault="0057686C" w:rsidP="0057686C">
      <w:r w:rsidRPr="00C14547">
        <w:rPr>
          <w:rStyle w:val="StyleUnderline"/>
        </w:rPr>
        <w:t xml:space="preserve">Policing reform involves changing </w:t>
      </w:r>
      <w:r w:rsidRPr="00C14547">
        <w:t xml:space="preserve">how police </w:t>
      </w:r>
      <w:r>
        <w:t xml:space="preserve">departments operate, especially how they provide public safety services to communities. From a civil rights perspective, the goals of policing reform are to change </w:t>
      </w:r>
      <w:r w:rsidRPr="00C14547">
        <w:rPr>
          <w:rStyle w:val="Emphasis"/>
        </w:rPr>
        <w:t>policing policies and practices</w:t>
      </w:r>
      <w:r>
        <w:t xml:space="preserve"> to ensure that individuals are treated fairly and without regard to race, national origin, religion, age, gender, sexual orientation, disability, or other characteristics protected by the U.S. Constitution or civil rights laws.</w:t>
      </w:r>
    </w:p>
    <w:p w14:paraId="226C3C04" w14:textId="77777777" w:rsidR="0057686C" w:rsidRDefault="0057686C" w:rsidP="0057686C">
      <w:r>
        <w:t xml:space="preserve">Policing reform can focus on a variety of police policies and practices, </w:t>
      </w:r>
      <w:r w:rsidRPr="00C14547">
        <w:rPr>
          <w:rStyle w:val="StyleUnderline"/>
        </w:rPr>
        <w:t>including use of force; stop, search, and arrest</w:t>
      </w:r>
      <w:r>
        <w:t xml:space="preserve"> practices; </w:t>
      </w:r>
      <w:r w:rsidRPr="00C14547">
        <w:rPr>
          <w:rStyle w:val="StyleUnderline"/>
        </w:rPr>
        <w:t>and</w:t>
      </w:r>
      <w:r>
        <w:t xml:space="preserve"> internal and external </w:t>
      </w:r>
      <w:r w:rsidRPr="00C14547">
        <w:rPr>
          <w:rStyle w:val="StyleUnderline"/>
        </w:rPr>
        <w:t>systems</w:t>
      </w:r>
      <w:r>
        <w:t xml:space="preserve"> designed </w:t>
      </w:r>
      <w:r w:rsidRPr="00C14547">
        <w:rPr>
          <w:rStyle w:val="StyleUnderline"/>
        </w:rPr>
        <w:t>to hold police</w:t>
      </w:r>
      <w:r>
        <w:t xml:space="preserve"> departments and individual officers </w:t>
      </w:r>
      <w:r w:rsidRPr="00C14547">
        <w:rPr>
          <w:rStyle w:val="StyleUnderline"/>
        </w:rPr>
        <w:t>accountable</w:t>
      </w:r>
      <w:r>
        <w:t>.</w:t>
      </w:r>
    </w:p>
    <w:p w14:paraId="2D471B1A" w14:textId="77777777" w:rsidR="0057686C" w:rsidRDefault="0057686C" w:rsidP="0057686C">
      <w:r>
        <w:t xml:space="preserve">Launched in 2015, the Thurgood Marshall Institute at LDF developed a </w:t>
      </w:r>
      <w:r w:rsidRPr="001C2CB5">
        <w:rPr>
          <w:rStyle w:val="StyleUnderline"/>
        </w:rPr>
        <w:t>Policing Reform</w:t>
      </w:r>
      <w:r>
        <w:t xml:space="preserve"> Campaign to </w:t>
      </w:r>
      <w:r w:rsidRPr="001C2CB5">
        <w:rPr>
          <w:rStyle w:val="StyleUnderline"/>
        </w:rPr>
        <w:t xml:space="preserve">promote </w:t>
      </w:r>
      <w:r>
        <w:t>unbiased and accountable policing at the national, state, and local levels. We utilize research, public education, policy advocacy, litigation, community organizing, and communications strategies to realize the following goals:</w:t>
      </w:r>
    </w:p>
    <w:p w14:paraId="1BE79063" w14:textId="77777777" w:rsidR="0057686C" w:rsidRDefault="0057686C" w:rsidP="0057686C">
      <w:r>
        <w:t xml:space="preserve">1. </w:t>
      </w:r>
      <w:r w:rsidRPr="001C2CB5">
        <w:rPr>
          <w:rStyle w:val="StyleUnderline"/>
        </w:rPr>
        <w:t>Elimination of racially biased policing</w:t>
      </w:r>
      <w:r>
        <w:t>—</w:t>
      </w:r>
      <w:r w:rsidRPr="001C2CB5">
        <w:rPr>
          <w:rStyle w:val="StyleUnderline"/>
        </w:rPr>
        <w:t>such as stop, question, and frisk practices; excessive use of force; and zero tolerance</w:t>
      </w:r>
      <w:r>
        <w:t xml:space="preserve"> policies—</w:t>
      </w:r>
      <w:r w:rsidRPr="001C2CB5">
        <w:rPr>
          <w:rStyle w:val="StyleUnderline"/>
        </w:rPr>
        <w:t>through litigation and monitoring of</w:t>
      </w:r>
      <w:r>
        <w:t xml:space="preserve"> settlement agreements/</w:t>
      </w:r>
      <w:r w:rsidRPr="001C2CB5">
        <w:rPr>
          <w:rStyle w:val="StyleUnderline"/>
        </w:rPr>
        <w:t>consent decrees, agency enforcement of civil rights laws</w:t>
      </w:r>
      <w:r>
        <w:t>, and the development and promotion of legal standards that increase police accountability.</w:t>
      </w:r>
    </w:p>
    <w:p w14:paraId="1D9AD493" w14:textId="77777777" w:rsidR="0057686C" w:rsidRDefault="0057686C" w:rsidP="0057686C">
      <w:r>
        <w:t>2. Promotion of promising policing practices and accountability systems, including:</w:t>
      </w:r>
    </w:p>
    <w:p w14:paraId="57D9BE21" w14:textId="77777777" w:rsidR="0057686C" w:rsidRDefault="0057686C" w:rsidP="0057686C">
      <w:pPr>
        <w:pStyle w:val="ListParagraph"/>
        <w:numPr>
          <w:ilvl w:val="0"/>
          <w:numId w:val="11"/>
        </w:numPr>
      </w:pPr>
      <w:r>
        <w:t xml:space="preserve">Mandatory annual </w:t>
      </w:r>
      <w:r w:rsidRPr="001C2CB5">
        <w:rPr>
          <w:rStyle w:val="StyleUnderline"/>
        </w:rPr>
        <w:t>data collection and reporting of use of force</w:t>
      </w:r>
      <w:r>
        <w:t xml:space="preserve"> and pedestrian and traffic stops as a condition to the receipt of federal funds;</w:t>
      </w:r>
    </w:p>
    <w:p w14:paraId="575FD0B4" w14:textId="77777777" w:rsidR="0057686C" w:rsidRDefault="0057686C" w:rsidP="0057686C">
      <w:pPr>
        <w:pStyle w:val="ListParagraph"/>
        <w:numPr>
          <w:ilvl w:val="0"/>
          <w:numId w:val="11"/>
        </w:numPr>
      </w:pPr>
      <w:r w:rsidRPr="001C2CB5">
        <w:rPr>
          <w:rStyle w:val="StyleUnderline"/>
        </w:rPr>
        <w:t xml:space="preserve">Training </w:t>
      </w:r>
      <w:r>
        <w:t xml:space="preserve">on bias, de-escalation, use of force, adolescent development, and proper interactions with persons with mental illness and other disabilities, as well as police departments’ enforcement of these trainings through close monitoring of police conduct and the imposition of disciplinary actions or retraining; </w:t>
      </w:r>
    </w:p>
    <w:p w14:paraId="11D665A1" w14:textId="77777777" w:rsidR="0057686C" w:rsidRDefault="0057686C" w:rsidP="0057686C">
      <w:pPr>
        <w:pStyle w:val="ListParagraph"/>
        <w:numPr>
          <w:ilvl w:val="0"/>
          <w:numId w:val="11"/>
        </w:numPr>
      </w:pPr>
      <w:r>
        <w:t xml:space="preserve">Expansion of the role of prosecutors in the elimination of racial bias in the criminal justice system, and the appointment of special </w:t>
      </w:r>
      <w:r w:rsidRPr="00E6728E">
        <w:rPr>
          <w:rStyle w:val="StyleUnderline"/>
        </w:rPr>
        <w:t>prosecutors to investigate and prosecute police misconduct</w:t>
      </w:r>
      <w:r>
        <w:t>; and</w:t>
      </w:r>
    </w:p>
    <w:p w14:paraId="69059BF7" w14:textId="77777777" w:rsidR="0057686C" w:rsidRDefault="0057686C" w:rsidP="0057686C">
      <w:pPr>
        <w:pStyle w:val="ListParagraph"/>
        <w:numPr>
          <w:ilvl w:val="0"/>
          <w:numId w:val="11"/>
        </w:numPr>
      </w:pPr>
      <w:r w:rsidRPr="001C2CB5">
        <w:rPr>
          <w:rStyle w:val="StyleUnderline"/>
        </w:rPr>
        <w:t xml:space="preserve">Reform of police union contracts </w:t>
      </w:r>
      <w:r>
        <w:t>to include fair investigation and discipline of police accused of misconduct.</w:t>
      </w:r>
    </w:p>
    <w:p w14:paraId="173D41B4" w14:textId="77777777" w:rsidR="0057686C" w:rsidRDefault="0057686C" w:rsidP="0057686C">
      <w:r>
        <w:t xml:space="preserve">3. </w:t>
      </w:r>
      <w:r w:rsidRPr="001C2CB5">
        <w:rPr>
          <w:rStyle w:val="StyleUnderline"/>
        </w:rPr>
        <w:t>Demilitarization of police and removal</w:t>
      </w:r>
      <w:r>
        <w:t xml:space="preserve"> or limitation of </w:t>
      </w:r>
      <w:r w:rsidRPr="001C2CB5">
        <w:rPr>
          <w:rStyle w:val="StyleUnderline"/>
        </w:rPr>
        <w:t>police in schools</w:t>
      </w:r>
      <w:r>
        <w:t>; and</w:t>
      </w:r>
    </w:p>
    <w:p w14:paraId="240E4A3E" w14:textId="77777777" w:rsidR="0057686C" w:rsidRDefault="0057686C" w:rsidP="0057686C">
      <w:r>
        <w:t xml:space="preserve">4. </w:t>
      </w:r>
      <w:r w:rsidRPr="001C2CB5">
        <w:rPr>
          <w:rStyle w:val="StyleUnderline"/>
        </w:rPr>
        <w:t>Capacity building for communities of color to create governance structures</w:t>
      </w:r>
      <w:r>
        <w:t xml:space="preserve"> and toolkits </w:t>
      </w:r>
      <w:r w:rsidRPr="001C2CB5">
        <w:rPr>
          <w:rStyle w:val="StyleUnderline"/>
        </w:rPr>
        <w:t>that allow them to make decisions relating to policing</w:t>
      </w:r>
      <w:r>
        <w:t xml:space="preserve"> and community-led public safety strategies.</w:t>
      </w:r>
    </w:p>
    <w:p w14:paraId="5342FAAC" w14:textId="77777777" w:rsidR="0057686C" w:rsidRDefault="0057686C" w:rsidP="0057686C"/>
    <w:p w14:paraId="4B9783A2" w14:textId="77777777" w:rsidR="0057686C" w:rsidRPr="00A64F16" w:rsidRDefault="0057686C" w:rsidP="0057686C">
      <w:pPr>
        <w:pStyle w:val="Heading4"/>
        <w:rPr>
          <w:u w:val="single"/>
        </w:rPr>
      </w:pPr>
      <w:r>
        <w:t>Sentencing reform must target decisions over the use, period, or termination of confinement</w:t>
      </w:r>
    </w:p>
    <w:p w14:paraId="0EA1ADF4" w14:textId="77777777" w:rsidR="0057686C" w:rsidRDefault="0057686C" w:rsidP="0057686C">
      <w:r>
        <w:t xml:space="preserve">Tamasak </w:t>
      </w:r>
      <w:r w:rsidRPr="00A64F16">
        <w:rPr>
          <w:rStyle w:val="Style13ptBold"/>
        </w:rPr>
        <w:t>Wicharaya, 95</w:t>
      </w:r>
      <w:r>
        <w:t xml:space="preserve"> - Deputy Superintendent of Police Administration Section in the Academic Section of the Police Cadet Academy (</w:t>
      </w:r>
      <w:r w:rsidRPr="00A64F16">
        <w:rPr>
          <w:u w:val="single"/>
        </w:rPr>
        <w:t>Simple Theory, Hard Reality: The Impact of Sentencing Reforms on Courts, Prisons, and Crime</w:t>
      </w:r>
      <w:r>
        <w:t>, p. 41-42, google books //DH</w:t>
      </w:r>
    </w:p>
    <w:p w14:paraId="6B9B23C8" w14:textId="77777777" w:rsidR="0057686C" w:rsidRDefault="0057686C" w:rsidP="0057686C"/>
    <w:p w14:paraId="39B8AE10" w14:textId="77777777" w:rsidR="0057686C" w:rsidRDefault="0057686C" w:rsidP="0057686C">
      <w:r w:rsidRPr="00A64F16">
        <w:rPr>
          <w:rStyle w:val="StyleUnderline"/>
        </w:rPr>
        <w:t>Sentencing reform</w:t>
      </w:r>
      <w:r>
        <w:t xml:space="preserve"> policy today </w:t>
      </w:r>
      <w:r w:rsidRPr="00A64F16">
        <w:rPr>
          <w:rStyle w:val="StyleUnderline"/>
        </w:rPr>
        <w:t>involves an effort to impose legislative control over</w:t>
      </w:r>
      <w:r>
        <w:t xml:space="preserve"> official </w:t>
      </w:r>
      <w:r w:rsidRPr="00A64F16">
        <w:rPr>
          <w:rStyle w:val="StyleUnderline"/>
        </w:rPr>
        <w:t xml:space="preserve">decisions in determining the use </w:t>
      </w:r>
      <w:r w:rsidRPr="00A64F16">
        <w:t>of confinement, the</w:t>
      </w:r>
      <w:r w:rsidRPr="00A64F16">
        <w:rPr>
          <w:rStyle w:val="StyleUnderline"/>
        </w:rPr>
        <w:t xml:space="preserve"> period </w:t>
      </w:r>
      <w:r w:rsidRPr="00A64F16">
        <w:t>of confinement,</w:t>
      </w:r>
      <w:r w:rsidRPr="00A64F16">
        <w:rPr>
          <w:rStyle w:val="StyleUnderline"/>
        </w:rPr>
        <w:t xml:space="preserve"> and </w:t>
      </w:r>
      <w:r w:rsidRPr="00A64F16">
        <w:t xml:space="preserve">the </w:t>
      </w:r>
      <w:r w:rsidRPr="00A64F16">
        <w:rPr>
          <w:rStyle w:val="StyleUnderline"/>
        </w:rPr>
        <w:t>termination of confinement</w:t>
      </w:r>
      <w:r>
        <w:t xml:space="preserve"> in the sanctioning process for a wide variety of offenses committed by different types of offenders under varying circum- stances. State legislatures have taken several approaches toward a set of shared goals accompanied by several guiding principles. Students of sentencing reform policy in the United States present several sentencing models as a means to describe these basic approaches toward legislative control over sentencing decisions.</w:t>
      </w:r>
    </w:p>
    <w:p w14:paraId="7CFA5FC5" w14:textId="77777777" w:rsidR="0057686C" w:rsidRDefault="0057686C" w:rsidP="0057686C">
      <w:r>
        <w:t xml:space="preserve">In this chapter, a sentencing reform typology will be developed to differentiate various types of sentencing reforms. To accomplish this task, three variables are used: the rigidity of control over judicial discretion, type of legislative control devised, and type of sentence employed. This chapter will analyze </w:t>
      </w:r>
      <w:r w:rsidRPr="00A64F16">
        <w:rPr>
          <w:rStyle w:val="StyleUnderline"/>
        </w:rPr>
        <w:t>five sentencing reform types:</w:t>
      </w:r>
      <w:r>
        <w:t xml:space="preserve"> </w:t>
      </w:r>
      <w:r w:rsidRPr="00A64F16">
        <w:rPr>
          <w:rStyle w:val="StyleUnderline"/>
        </w:rPr>
        <w:t>mandatory minimum</w:t>
      </w:r>
      <w:r>
        <w:t xml:space="preserve"> sentencing laws, mandatory </w:t>
      </w:r>
      <w:r w:rsidRPr="00607E32">
        <w:rPr>
          <w:rStyle w:val="StyleUnderline"/>
        </w:rPr>
        <w:t xml:space="preserve">determinate </w:t>
      </w:r>
      <w:r>
        <w:t xml:space="preserve">sentencing laws, </w:t>
      </w:r>
      <w:r w:rsidRPr="00607E32">
        <w:rPr>
          <w:rStyle w:val="StyleUnderline"/>
        </w:rPr>
        <w:t>presumptive</w:t>
      </w:r>
      <w:r>
        <w:t xml:space="preserve"> determinate sen- tencing laws, presumptive sentencing </w:t>
      </w:r>
      <w:r w:rsidRPr="00607E32">
        <w:rPr>
          <w:rStyle w:val="StyleUnderline"/>
        </w:rPr>
        <w:t>guidelines, and voluntary</w:t>
      </w:r>
      <w:r>
        <w:t xml:space="preserve"> sentencing guidelines. Each reform type will be considered separately regarding its characteristics of legislative control over judi- cial discretion at three crucial decision points in the sentencing process.</w:t>
      </w:r>
    </w:p>
    <w:p w14:paraId="2C38FF1B" w14:textId="77777777" w:rsidR="0057686C" w:rsidRDefault="0057686C" w:rsidP="0057686C">
      <w:r>
        <w:t>LEGISLATIVE CONTROL OVER JUDICIAL DECISIONS: WHEN TO INCARCERATE? FOR HOW LONG? WHEN TO RELEASE?</w:t>
      </w:r>
    </w:p>
    <w:p w14:paraId="219F7013" w14:textId="77777777" w:rsidR="0057686C" w:rsidRDefault="0057686C" w:rsidP="0057686C">
      <w:r w:rsidRPr="00607E32">
        <w:rPr>
          <w:rStyle w:val="StyleUnderline"/>
        </w:rPr>
        <w:t>Sentencing reform targets three decision points: the decision to incarcerate, the selection of sentence length, and the decision to release</w:t>
      </w:r>
      <w:r>
        <w:t xml:space="preserve"> (Goodstein and Hepburn 1985, 51-82). The decision to incarcerate involves deciding whether to impose prison or jail terms. This in/out decision, the choice between incarceration and its alternatives (i.e., probation, suspended sentence), relies mainly on three considerations: the seriousness of offenses; involvement of a firearm in committing certain offenses; and offender charac- teristics, especially prior conviction record. When the court decides to incarcerate, a sentence length must be determined. Determination of sentence length can affect the decision to release, particularly when a sentence is determinate.</w:t>
      </w:r>
    </w:p>
    <w:p w14:paraId="7C9B4464" w14:textId="77777777" w:rsidR="0057686C" w:rsidRDefault="0057686C" w:rsidP="0057686C"/>
    <w:p w14:paraId="6B9BB912" w14:textId="77777777" w:rsidR="0057686C" w:rsidRPr="009F11FE" w:rsidRDefault="0057686C" w:rsidP="0057686C">
      <w:pPr>
        <w:pStyle w:val="Heading4"/>
      </w:pPr>
      <w:r>
        <w:t xml:space="preserve">Violation – topical affs can’t change criminal laws – those might </w:t>
      </w:r>
      <w:r>
        <w:rPr>
          <w:u w:val="single"/>
        </w:rPr>
        <w:t>effect</w:t>
      </w:r>
      <w:r>
        <w:t xml:space="preserve"> policing or sentencing, but they are not reforms in policing or sentencing themselves.  </w:t>
      </w:r>
    </w:p>
    <w:p w14:paraId="5017D469" w14:textId="77777777" w:rsidR="0057686C" w:rsidRDefault="0057686C" w:rsidP="0057686C"/>
    <w:p w14:paraId="3D3C9723" w14:textId="77777777" w:rsidR="0057686C" w:rsidRDefault="0057686C" w:rsidP="0057686C">
      <w:pPr>
        <w:pStyle w:val="Heading4"/>
      </w:pPr>
      <w:r>
        <w:t>Voting issue –</w:t>
      </w:r>
    </w:p>
    <w:p w14:paraId="587EEF22" w14:textId="77777777" w:rsidR="0057686C" w:rsidRDefault="0057686C" w:rsidP="0057686C"/>
    <w:p w14:paraId="18A8C7E4" w14:textId="77777777" w:rsidR="0057686C" w:rsidRDefault="0057686C" w:rsidP="0057686C">
      <w:pPr>
        <w:pStyle w:val="Heading4"/>
      </w:pPr>
      <w:r>
        <w:t xml:space="preserve">Limits – there are thousands of laws on the books which is impossible to research or predict- there was an </w:t>
      </w:r>
      <w:r>
        <w:rPr>
          <w:u w:val="single"/>
        </w:rPr>
        <w:t>entire</w:t>
      </w:r>
      <w:r>
        <w:t xml:space="preserve"> college topic devoted to just </w:t>
      </w:r>
      <w:r>
        <w:rPr>
          <w:u w:val="single"/>
        </w:rPr>
        <w:t>five</w:t>
      </w:r>
      <w:r>
        <w:t xml:space="preserve"> of those laws – because the literature base is so deep it creates impossible research burdens</w:t>
      </w:r>
    </w:p>
    <w:p w14:paraId="1E0935D2" w14:textId="77777777" w:rsidR="0057686C" w:rsidRDefault="0057686C" w:rsidP="0057686C"/>
    <w:p w14:paraId="3D555559" w14:textId="3202735A" w:rsidR="0057686C" w:rsidRPr="008D09DE" w:rsidRDefault="0057686C" w:rsidP="00104DE2">
      <w:pPr>
        <w:pStyle w:val="Heading4"/>
        <w:rPr>
          <w:sz w:val="22"/>
        </w:rPr>
      </w:pPr>
      <w:r>
        <w:t xml:space="preserve">Ground – </w:t>
      </w:r>
      <w:r w:rsidR="00325B6B">
        <w:t>changing criminal law</w:t>
      </w:r>
      <w:r w:rsidR="008D09DE">
        <w:t xml:space="preserve"> gives the aff access to solvency mechanisms to access all advantages to legalization – there are </w:t>
      </w:r>
      <w:r w:rsidR="008D09DE">
        <w:rPr>
          <w:u w:val="single"/>
        </w:rPr>
        <w:t>dozens</w:t>
      </w:r>
      <w:r w:rsidR="008D09DE">
        <w:t xml:space="preserve"> of them and it makes it impossible for the neg to catch up </w:t>
      </w:r>
    </w:p>
    <w:p w14:paraId="0DB81CF0" w14:textId="77777777" w:rsidR="0057686C" w:rsidRDefault="0057686C" w:rsidP="0057686C"/>
    <w:p w14:paraId="6B3AE25A" w14:textId="77777777" w:rsidR="0057686C" w:rsidRDefault="0057686C" w:rsidP="0057686C">
      <w:pPr>
        <w:pStyle w:val="Heading3"/>
      </w:pPr>
      <w:r>
        <w:t>1nc/2nc – legalization module</w:t>
      </w:r>
    </w:p>
    <w:p w14:paraId="4D0A7541" w14:textId="77777777" w:rsidR="0057686C" w:rsidRDefault="0057686C" w:rsidP="0057686C"/>
    <w:p w14:paraId="25412172" w14:textId="77777777" w:rsidR="0057686C" w:rsidRPr="00F10847" w:rsidRDefault="0057686C" w:rsidP="0057686C">
      <w:pPr>
        <w:pStyle w:val="Heading4"/>
      </w:pPr>
      <w:r>
        <w:t xml:space="preserve">Legalize means removing criminal </w:t>
      </w:r>
      <w:r>
        <w:rPr>
          <w:u w:val="single"/>
        </w:rPr>
        <w:t>and civil</w:t>
      </w:r>
      <w:r>
        <w:t xml:space="preserve"> penalties</w:t>
      </w:r>
    </w:p>
    <w:p w14:paraId="4EACDC4B" w14:textId="77777777" w:rsidR="0057686C" w:rsidRPr="004A40F4" w:rsidRDefault="0057686C" w:rsidP="0057686C">
      <w:r w:rsidRPr="004A40F4">
        <w:t xml:space="preserve">Todd </w:t>
      </w:r>
      <w:r w:rsidRPr="004A40F4">
        <w:rPr>
          <w:rStyle w:val="Style13ptBold"/>
        </w:rPr>
        <w:t>Garvey, 14</w:t>
      </w:r>
      <w:r w:rsidRPr="004A40F4">
        <w:t xml:space="preserve"> – Legislative Attorney for the Congressional Research Service (“State Legalization of Recreational Marijuana: Selected Legal Issues”</w:t>
      </w:r>
      <w:r>
        <w:t xml:space="preserve"> CRS Report for Congress,</w:t>
      </w:r>
      <w:r w:rsidRPr="004A40F4">
        <w:t xml:space="preserve"> 1/13, </w:t>
      </w:r>
      <w:hyperlink r:id="rId8" w:history="1">
        <w:r w:rsidRPr="004A40F4">
          <w:rPr>
            <w:rStyle w:val="Hyperlink"/>
          </w:rPr>
          <w:t>https://www.everycrsreport.com/files/20130405_R43034_748c8d0a686780be53de61e26f9bae9b73c1937f.html</w:t>
        </w:r>
      </w:hyperlink>
    </w:p>
    <w:p w14:paraId="588C06D5" w14:textId="77777777" w:rsidR="0057686C" w:rsidRPr="004A40F4" w:rsidRDefault="0057686C" w:rsidP="0057686C">
      <w:r w:rsidRPr="004A40F4">
        <w:t>//DH</w:t>
      </w:r>
    </w:p>
    <w:p w14:paraId="0EEEEE33" w14:textId="77777777" w:rsidR="0057686C" w:rsidRPr="007E1352" w:rsidRDefault="0057686C" w:rsidP="0057686C"/>
    <w:p w14:paraId="7F34E5AD" w14:textId="77777777" w:rsidR="0057686C" w:rsidRDefault="0057686C" w:rsidP="0057686C">
      <w:r w:rsidRPr="00DE5C70">
        <w:t xml:space="preserve">4 </w:t>
      </w:r>
      <w:r w:rsidRPr="00DE5C70">
        <w:rPr>
          <w:rStyle w:val="TitleChar"/>
        </w:rPr>
        <w:t>It is important to distinguish between</w:t>
      </w:r>
      <w:r w:rsidRPr="00DE5C70">
        <w:t xml:space="preserve"> two common terms that have been used to describe state marijuana laws: </w:t>
      </w:r>
      <w:r w:rsidRPr="00DE5C70">
        <w:rPr>
          <w:rStyle w:val="TitleChar"/>
        </w:rPr>
        <w:t>legalization and decriminalization</w:t>
      </w:r>
      <w:r w:rsidRPr="00DE5C70">
        <w:t xml:space="preserve">. For purposes of this report, </w:t>
      </w:r>
      <w:r w:rsidRPr="00DE5C70">
        <w:rPr>
          <w:rStyle w:val="TitleChar"/>
        </w:rPr>
        <w:t xml:space="preserve">a state </w:t>
      </w:r>
      <w:r w:rsidRPr="00DE5C70">
        <w:rPr>
          <w:rStyle w:val="Emphasis"/>
        </w:rPr>
        <w:t>“legalizes”</w:t>
      </w:r>
      <w:r w:rsidRPr="00DE5C70">
        <w:rPr>
          <w:rStyle w:val="TitleChar"/>
        </w:rPr>
        <w:t xml:space="preserve"> </w:t>
      </w:r>
      <w:r w:rsidRPr="004A40F4">
        <w:t>conduct when</w:t>
      </w:r>
      <w:r w:rsidRPr="00DE5C70">
        <w:rPr>
          <w:rStyle w:val="TitleChar"/>
        </w:rPr>
        <w:t xml:space="preserve"> an individual who engages in that conduct is not subject to </w:t>
      </w:r>
      <w:r w:rsidRPr="00DE5C70">
        <w:rPr>
          <w:rStyle w:val="Emphasis"/>
        </w:rPr>
        <w:t>any state penalty</w:t>
      </w:r>
      <w:r w:rsidRPr="00DE5C70">
        <w:t xml:space="preserve">. </w:t>
      </w:r>
      <w:r w:rsidRPr="00DE5C70">
        <w:rPr>
          <w:rStyle w:val="TitleChar"/>
        </w:rPr>
        <w:t xml:space="preserve">A state decriminalizes conduct when criminal penalties are removed, but </w:t>
      </w:r>
      <w:r w:rsidRPr="00DE5C70">
        <w:rPr>
          <w:rStyle w:val="Emphasis"/>
        </w:rPr>
        <w:t>civil penalties remain</w:t>
      </w:r>
      <w:r w:rsidRPr="00DE5C70">
        <w:t xml:space="preserve">. </w:t>
      </w:r>
      <w:r w:rsidRPr="004A40F4">
        <w:t>This report characterizes the</w:t>
      </w:r>
      <w:r w:rsidRPr="00DE5C70">
        <w:rPr>
          <w:rStyle w:val="TitleChar"/>
        </w:rPr>
        <w:t xml:space="preserve"> Washington and Colorado </w:t>
      </w:r>
      <w:r w:rsidRPr="004A40F4">
        <w:t>laws as legalization initiatives because each state has</w:t>
      </w:r>
      <w:r w:rsidRPr="00DE5C70">
        <w:rPr>
          <w:rStyle w:val="TitleChar"/>
        </w:rPr>
        <w:t xml:space="preserve"> removed </w:t>
      </w:r>
      <w:r w:rsidRPr="00DE5C70">
        <w:rPr>
          <w:rStyle w:val="Emphasis"/>
        </w:rPr>
        <w:t>all</w:t>
      </w:r>
      <w:r w:rsidRPr="00DE5C70">
        <w:rPr>
          <w:rStyle w:val="TitleChar"/>
        </w:rPr>
        <w:t xml:space="preserve"> state-imposed </w:t>
      </w:r>
      <w:r w:rsidRPr="004A40F4">
        <w:t xml:space="preserve">penalties for qualified marijuana activities. </w:t>
      </w:r>
      <w:r w:rsidRPr="00DE5C70">
        <w:rPr>
          <w:rStyle w:val="TitleChar"/>
        </w:rPr>
        <w:t>The legalization initiatives are to be distinguished from state marijuana decriminalization measures</w:t>
      </w:r>
      <w:r w:rsidRPr="00DE5C70">
        <w:t xml:space="preserve">, </w:t>
      </w:r>
      <w:r w:rsidRPr="00DE5C70">
        <w:rPr>
          <w:rStyle w:val="TitleChar"/>
        </w:rPr>
        <w:t>like</w:t>
      </w:r>
      <w:r w:rsidRPr="00DE5C70">
        <w:t xml:space="preserve"> that of </w:t>
      </w:r>
      <w:r w:rsidRPr="00DE5C70">
        <w:rPr>
          <w:rStyle w:val="TitleChar"/>
        </w:rPr>
        <w:t xml:space="preserve">Massachusetts, which remove criminal penalties </w:t>
      </w:r>
      <w:r w:rsidRPr="00C97D1C">
        <w:t>for possession of small amounts of marijuana,</w:t>
      </w:r>
      <w:r w:rsidRPr="00DE5C70">
        <w:rPr>
          <w:rStyle w:val="TitleChar"/>
        </w:rPr>
        <w:t xml:space="preserve"> but </w:t>
      </w:r>
      <w:r w:rsidRPr="00C97D1C">
        <w:rPr>
          <w:rStyle w:val="Emphasis"/>
        </w:rPr>
        <w:t>retain civil penalties</w:t>
      </w:r>
      <w:r w:rsidRPr="00DE5C70">
        <w:t xml:space="preserve">. </w:t>
      </w:r>
      <w:r w:rsidRPr="00C97D1C">
        <w:t>It is important to note, however, that the term legalization is itself misleading, as a state cannot fully “legalize” conduct that constitutes a crime under federal law.</w:t>
      </w:r>
    </w:p>
    <w:p w14:paraId="2B5C252B" w14:textId="77777777" w:rsidR="0057686C" w:rsidRDefault="0057686C" w:rsidP="0057686C">
      <w:pPr>
        <w:pStyle w:val="Heading4"/>
      </w:pPr>
      <w:r>
        <w:t>Civil isn’t part of criminal justice reform</w:t>
      </w:r>
    </w:p>
    <w:p w14:paraId="090ABE43" w14:textId="77777777" w:rsidR="0057686C" w:rsidRPr="00DB76E4" w:rsidRDefault="0057686C" w:rsidP="0057686C">
      <w:r w:rsidRPr="00DB76E4">
        <w:t xml:space="preserve">Angela </w:t>
      </w:r>
      <w:r w:rsidRPr="00DB76E4">
        <w:rPr>
          <w:rStyle w:val="Style13ptBold"/>
        </w:rPr>
        <w:t>Schultz, 19</w:t>
      </w:r>
      <w:r>
        <w:rPr>
          <w:rStyle w:val="Style13ptBold"/>
        </w:rPr>
        <w:t xml:space="preserve"> </w:t>
      </w:r>
      <w:r>
        <w:t>– this article is a press release, but the underlined part is a quote from Schultz, assistant dean of public service at Marquette University Law School  (“DEAN OF PUBLIC SERVICE AT MARQUETTE UNIVERSITY LAW SCHOOL HONORED AS LEGAL INNOVATOR” States News Service, 11/14, Nexis Uni //DH</w:t>
      </w:r>
    </w:p>
    <w:p w14:paraId="7C31C96F" w14:textId="77777777" w:rsidR="0057686C" w:rsidRDefault="0057686C" w:rsidP="0057686C"/>
    <w:p w14:paraId="1D0990E7" w14:textId="77777777" w:rsidR="0057686C" w:rsidRDefault="0057686C" w:rsidP="0057686C">
      <w:r>
        <w:t>The following information was released by Marquette University:</w:t>
      </w:r>
    </w:p>
    <w:p w14:paraId="13089ED9" w14:textId="77777777" w:rsidR="0057686C" w:rsidRDefault="0057686C" w:rsidP="0057686C">
      <w:r>
        <w:t xml:space="preserve">Angela </w:t>
      </w:r>
      <w:r w:rsidRPr="00DB76E4">
        <w:t>Schultz, assistant dean of public service at Marquette University Law School</w:t>
      </w:r>
      <w:r>
        <w:t>, has been named to the State Bar of Wisconsin's list of Legal Innovators for 2019 for her role in developing an experiential learning activity to illustrate the challenges facing lower-income Wisconsinites navigating the civil court system.</w:t>
      </w:r>
    </w:p>
    <w:p w14:paraId="4CC2B5C3" w14:textId="77777777" w:rsidR="0057686C" w:rsidRDefault="0057686C" w:rsidP="0057686C">
      <w:r>
        <w:t>Alongside Mary Ferwerda, executive director of the Milwaukee Justice Center, Schultz sought to raise awareness about the issues facing low-income civil litigants in Wisconsin-many of whom are unable to afford private representation and may not qualify for free civil legal aid. "Lost in the Law" is a role-playing game designed to educate law students, lawyers, court officials, and other interested groups about the complex set of circumstances unrepresented people face.</w:t>
      </w:r>
    </w:p>
    <w:p w14:paraId="64C3C5E4" w14:textId="77777777" w:rsidR="0057686C" w:rsidRDefault="0057686C" w:rsidP="0057686C">
      <w:r>
        <w:t>"</w:t>
      </w:r>
      <w:r w:rsidRPr="00DB76E4">
        <w:rPr>
          <w:rStyle w:val="StyleUnderline"/>
        </w:rPr>
        <w:t>Most people have an idea about what 'criminal justice reform' refers to, but there is not a similar level of understanding about our civil justice system and the barriers facing low-income folks navigating our civil courts</w:t>
      </w:r>
      <w:r>
        <w:t>," said Schultz. "In developing 'Lost in the Law,' we sought to illustrate the vast and complex challenges underrepresented litigants face. Mary and I have participated in simulations for poverty and domestic violence and know how effective it can be to walk in the shoes of a character. Often, the choices someone has to make are very difficult and the game illustrates that.</w:t>
      </w:r>
    </w:p>
    <w:p w14:paraId="458BA3AE" w14:textId="77777777" w:rsidR="0057686C" w:rsidRDefault="0057686C" w:rsidP="0057686C"/>
    <w:p w14:paraId="19131A9D" w14:textId="77777777" w:rsidR="0057686C" w:rsidRDefault="0057686C" w:rsidP="0057686C">
      <w:pPr>
        <w:pStyle w:val="Heading3"/>
      </w:pPr>
      <w:r>
        <w:t>2nc – legalize includes civil</w:t>
      </w:r>
    </w:p>
    <w:p w14:paraId="0CF0A8B1" w14:textId="77777777" w:rsidR="0057686C" w:rsidRDefault="0057686C" w:rsidP="0057686C"/>
    <w:p w14:paraId="078455DC" w14:textId="77777777" w:rsidR="0057686C" w:rsidRPr="00DE5C70" w:rsidRDefault="0057686C" w:rsidP="0057686C">
      <w:pPr>
        <w:pStyle w:val="Heading4"/>
      </w:pPr>
      <w:r>
        <w:t xml:space="preserve">Legalization includes removing </w:t>
      </w:r>
      <w:r>
        <w:rPr>
          <w:u w:val="single"/>
        </w:rPr>
        <w:t>civil</w:t>
      </w:r>
      <w:r>
        <w:t xml:space="preserve"> penalties</w:t>
      </w:r>
    </w:p>
    <w:p w14:paraId="7ADE9E4D" w14:textId="77777777" w:rsidR="0057686C" w:rsidRPr="00B954A1" w:rsidRDefault="0057686C" w:rsidP="0057686C">
      <w:pPr>
        <w:rPr>
          <w:b/>
          <w:bCs/>
        </w:rPr>
      </w:pPr>
      <w:r w:rsidRPr="00F10847">
        <w:t xml:space="preserve">Robert </w:t>
      </w:r>
      <w:r w:rsidRPr="00F10847">
        <w:rPr>
          <w:rStyle w:val="Style13ptBold"/>
        </w:rPr>
        <w:t>Mikos, 9</w:t>
      </w:r>
      <w:r w:rsidRPr="00F10847">
        <w:t xml:space="preserve"> - Professor of Law, Vanderbilt University Law School (“On the Limits of Supremacy: Medical Marijuana and the States' Overlooked Power to Legalize Federal Crime” 62 Vand. L. Rev. 1419, Hein Online //DH</w:t>
      </w:r>
      <w:r>
        <w:t xml:space="preserve"> </w:t>
      </w:r>
      <w:r>
        <w:rPr>
          <w:b/>
          <w:bCs/>
        </w:rPr>
        <w:t>italics in original</w:t>
      </w:r>
    </w:p>
    <w:p w14:paraId="496BF7D1" w14:textId="77777777" w:rsidR="0057686C" w:rsidRPr="00F10847" w:rsidRDefault="0057686C" w:rsidP="0057686C"/>
    <w:p w14:paraId="4E0EF2E7" w14:textId="77777777" w:rsidR="0057686C" w:rsidRDefault="0057686C" w:rsidP="0057686C">
      <w:r w:rsidRPr="003F3216">
        <w:t xml:space="preserve">2. </w:t>
      </w:r>
      <w:r w:rsidRPr="00DE5C70">
        <w:rPr>
          <w:rStyle w:val="TitleChar"/>
        </w:rPr>
        <w:t xml:space="preserve">By legalize, I mean the government </w:t>
      </w:r>
      <w:r w:rsidRPr="00DE5C70">
        <w:rPr>
          <w:rStyle w:val="TitleChar"/>
          <w:i/>
        </w:rPr>
        <w:t>permits</w:t>
      </w:r>
      <w:r w:rsidRPr="00DE5C70">
        <w:rPr>
          <w:rStyle w:val="TitleChar"/>
        </w:rPr>
        <w:t xml:space="preserve"> some private conduct to occur free of legal sanctions, </w:t>
      </w:r>
      <w:r w:rsidRPr="00DE5C70">
        <w:rPr>
          <w:rStyle w:val="Emphasis"/>
        </w:rPr>
        <w:t>both civil and criminal</w:t>
      </w:r>
      <w:r w:rsidRPr="00DE5C70">
        <w:t xml:space="preserve">. </w:t>
      </w:r>
      <w:r w:rsidRPr="00DE5C70">
        <w:rPr>
          <w:rStyle w:val="TitleChar"/>
        </w:rPr>
        <w:t>It means something more than decriminalize, which merely removes the threat of criminal sanctions</w:t>
      </w:r>
      <w:r w:rsidRPr="00DE5C70">
        <w:t>.</w:t>
      </w:r>
      <w:r w:rsidRPr="003F3216">
        <w:t xml:space="preserve"> States can legalize conduct by repealing existing</w:t>
      </w:r>
      <w:r>
        <w:t xml:space="preserve"> </w:t>
      </w:r>
      <w:r w:rsidRPr="003F3216">
        <w:t>sanctions or by failing to enact sanctioning legislation in the first instance. In either case, the</w:t>
      </w:r>
      <w:r>
        <w:t xml:space="preserve"> </w:t>
      </w:r>
      <w:r w:rsidRPr="003F3216">
        <w:t>legal status of state law is the same, though the former method of legalization may have more</w:t>
      </w:r>
      <w:r>
        <w:t xml:space="preserve"> </w:t>
      </w:r>
      <w:r w:rsidRPr="003F3216">
        <w:t>practical impact than the latter, for reasons discussed in Part IV.B. I thank Bill Funk for</w:t>
      </w:r>
      <w:r>
        <w:t xml:space="preserve"> </w:t>
      </w:r>
      <w:r w:rsidRPr="003F3216">
        <w:t>bringing the distinction to my attention.</w:t>
      </w:r>
    </w:p>
    <w:p w14:paraId="2E8969ED" w14:textId="77777777" w:rsidR="0057686C" w:rsidRDefault="0057686C" w:rsidP="0057686C">
      <w:pPr>
        <w:pStyle w:val="Heading4"/>
      </w:pPr>
      <w:r>
        <w:t xml:space="preserve">Legalization includes removing </w:t>
      </w:r>
      <w:r>
        <w:rPr>
          <w:u w:val="single"/>
        </w:rPr>
        <w:t>civil</w:t>
      </w:r>
      <w:r>
        <w:t xml:space="preserve"> penalties</w:t>
      </w:r>
    </w:p>
    <w:p w14:paraId="68B1730D" w14:textId="77777777" w:rsidR="0057686C" w:rsidRPr="004A40F4" w:rsidRDefault="0057686C" w:rsidP="0057686C">
      <w:r w:rsidRPr="004A40F4">
        <w:t xml:space="preserve">Kerry </w:t>
      </w:r>
      <w:r w:rsidRPr="004A40F4">
        <w:rPr>
          <w:rStyle w:val="Style13ptBold"/>
        </w:rPr>
        <w:t>Cork, 18</w:t>
      </w:r>
      <w:r w:rsidRPr="004A40F4">
        <w:t xml:space="preserve"> – Public Health Law Center (Tobacco Control Legal Consortium, Toking, Smoking, and Public</w:t>
      </w:r>
    </w:p>
    <w:p w14:paraId="7A979E46" w14:textId="77777777" w:rsidR="0057686C" w:rsidRPr="004A40F4" w:rsidRDefault="0057686C" w:rsidP="0057686C">
      <w:r w:rsidRPr="004A40F4">
        <w:t xml:space="preserve">Health: Lessons from Tobacco Control for Marijuana Regulation (2nd ed. 2018, 2015), </w:t>
      </w:r>
      <w:hyperlink r:id="rId9" w:history="1">
        <w:r w:rsidRPr="004A40F4">
          <w:rPr>
            <w:rStyle w:val="Hyperlink"/>
          </w:rPr>
          <w:t>https://www.publichealthlawcenter.org/sites/default/files/resources/Toking-Smoking-Public-Health-2018.pdf</w:t>
        </w:r>
      </w:hyperlink>
      <w:r w:rsidRPr="004A40F4">
        <w:t xml:space="preserve"> //DH</w:t>
      </w:r>
    </w:p>
    <w:p w14:paraId="259FDA7E" w14:textId="77777777" w:rsidR="0057686C" w:rsidRDefault="0057686C" w:rsidP="0057686C">
      <w:pPr>
        <w:rPr>
          <w:b/>
          <w:bCs/>
        </w:rPr>
      </w:pPr>
    </w:p>
    <w:p w14:paraId="008DDF61" w14:textId="77777777" w:rsidR="0057686C" w:rsidRDefault="0057686C" w:rsidP="0057686C">
      <w:r>
        <w:t xml:space="preserve">State laws permitting the use of medical or recreational marijuana vary greatly in their scope and implementation strategies, and state and local governments continue to debate the safety, efficacy and, at times, legality of measures taken to implement these laws. The existing laws are frequently confusing. Even the terms referring to marijuana “legalization” and “decriminalization” are often misunderstood. </w:t>
      </w:r>
      <w:r w:rsidRPr="004A40F4">
        <w:rPr>
          <w:rStyle w:val="StyleUnderline"/>
        </w:rPr>
        <w:t>A state “legalizes” conduct when an individual who engages in this conduct is not subject to any state penalty.</w:t>
      </w:r>
      <w:r>
        <w:t xml:space="preserve"> Washington and Colorado, for example, have removed all state-imposed penalties for qualified marijuana activities.43 </w:t>
      </w:r>
      <w:r w:rsidRPr="004A40F4">
        <w:rPr>
          <w:rStyle w:val="StyleUnderline"/>
        </w:rPr>
        <w:t xml:space="preserve">A state “decriminalizes” conduct when criminal penalties are removed, but </w:t>
      </w:r>
      <w:r w:rsidRPr="004A40F4">
        <w:rPr>
          <w:rStyle w:val="Emphasis"/>
        </w:rPr>
        <w:t>civil penalties remain</w:t>
      </w:r>
      <w:r>
        <w:t xml:space="preserve">. To date, twenty-one states and the District of Columbia have decriminalized the possession of small amounts of marijuana for personal consumption.44 </w:t>
      </w:r>
      <w:r w:rsidRPr="004A40F4">
        <w:rPr>
          <w:rStyle w:val="StyleUnderline"/>
        </w:rPr>
        <w:t>New York, for instance, removes criminal penalties for possession</w:t>
      </w:r>
      <w:r>
        <w:t xml:space="preserve"> of small amounts of marijuana, </w:t>
      </w:r>
      <w:r w:rsidRPr="004A40F4">
        <w:rPr>
          <w:rStyle w:val="StyleUnderline"/>
        </w:rPr>
        <w:t>but retains civil penalties</w:t>
      </w:r>
      <w:r>
        <w:t>.45</w:t>
      </w:r>
    </w:p>
    <w:p w14:paraId="4C242F32" w14:textId="77777777" w:rsidR="00D11156" w:rsidRPr="00D11156" w:rsidRDefault="00D11156" w:rsidP="00D11156"/>
    <w:p w14:paraId="0E916EEC" w14:textId="77777777" w:rsidR="0057686C" w:rsidRDefault="0057686C" w:rsidP="0057686C"/>
    <w:p w14:paraId="7C590C9A" w14:textId="77777777" w:rsidR="0057686C" w:rsidRPr="00F10847" w:rsidRDefault="0057686C" w:rsidP="0057686C">
      <w:pPr>
        <w:pStyle w:val="Heading3"/>
      </w:pPr>
      <w:r>
        <w:t>2nc – civil penalties block solvency</w:t>
      </w:r>
    </w:p>
    <w:p w14:paraId="7F456AF9" w14:textId="77777777" w:rsidR="0057686C" w:rsidRDefault="0057686C" w:rsidP="0057686C">
      <w:pPr>
        <w:pStyle w:val="Heading4"/>
      </w:pPr>
      <w:r>
        <w:t>Civil forfeiture is still possible even without criminal prosecution</w:t>
      </w:r>
    </w:p>
    <w:p w14:paraId="2525DC8D" w14:textId="77777777" w:rsidR="0057686C" w:rsidRPr="004A40F4" w:rsidRDefault="0057686C" w:rsidP="0057686C">
      <w:r w:rsidRPr="004A40F4">
        <w:t xml:space="preserve">Todd </w:t>
      </w:r>
      <w:r w:rsidRPr="004A40F4">
        <w:rPr>
          <w:rStyle w:val="Style13ptBold"/>
        </w:rPr>
        <w:t>Garvey, 14</w:t>
      </w:r>
      <w:r w:rsidRPr="004A40F4">
        <w:t xml:space="preserve"> – Legislative Attorney for the Congressional Research Service (“State Legalization of Recreational Marijuana: Selected Legal Issues”</w:t>
      </w:r>
      <w:r>
        <w:t xml:space="preserve"> CRS Report for Congress,</w:t>
      </w:r>
      <w:r w:rsidRPr="004A40F4">
        <w:t xml:space="preserve"> 1/13, </w:t>
      </w:r>
      <w:hyperlink r:id="rId10" w:history="1">
        <w:r w:rsidRPr="004A40F4">
          <w:rPr>
            <w:rStyle w:val="Hyperlink"/>
          </w:rPr>
          <w:t>https://www.everycrsreport.com/files/20130405_R43034_748c8d0a686780be53de61e26f9bae9b73c1937f.html</w:t>
        </w:r>
      </w:hyperlink>
    </w:p>
    <w:p w14:paraId="388ADE12" w14:textId="77777777" w:rsidR="0057686C" w:rsidRPr="004A40F4" w:rsidRDefault="0057686C" w:rsidP="0057686C">
      <w:r w:rsidRPr="004A40F4">
        <w:t>//DH</w:t>
      </w:r>
    </w:p>
    <w:p w14:paraId="42763201" w14:textId="77777777" w:rsidR="0057686C" w:rsidRPr="00C97D1C" w:rsidRDefault="0057686C" w:rsidP="0057686C"/>
    <w:p w14:paraId="4B69258E" w14:textId="77777777" w:rsidR="0057686C" w:rsidRDefault="0057686C" w:rsidP="0057686C">
      <w:r w:rsidRPr="00C97D1C">
        <w:rPr>
          <w:rStyle w:val="StyleUnderline"/>
        </w:rPr>
        <w:t>Either in addition to, or in lieu of bringing criminal prosecutions, the DOJ may choose to rely</w:t>
      </w:r>
      <w:r>
        <w:t xml:space="preserve"> more heavily </w:t>
      </w:r>
      <w:r w:rsidRPr="00C97D1C">
        <w:rPr>
          <w:rStyle w:val="StyleUnderline"/>
        </w:rPr>
        <w:t xml:space="preserve">on the </w:t>
      </w:r>
      <w:r w:rsidRPr="00C97D1C">
        <w:rPr>
          <w:rStyle w:val="Emphasis"/>
        </w:rPr>
        <w:t>civil forfeiture provisions</w:t>
      </w:r>
      <w:r w:rsidRPr="00C97D1C">
        <w:rPr>
          <w:rStyle w:val="StyleUnderline"/>
        </w:rPr>
        <w:t xml:space="preserve"> of the CSA in order to disrupt the operation of marijuana dispensaries and production facilities.</w:t>
      </w:r>
      <w:r>
        <w:t xml:space="preserve"> Forfeiture is a penalty associated with a particular crime in which property is confiscated or otherwise divested from the owner and forfeited to the government, in accordance with constitutionally required due process procedures.157 Property forfeiture is used both to enforce criminal laws and to deter crime. Forfeitures are classified as civil or criminal depending on the nature of the judicial procedure which ends in confiscation. </w:t>
      </w:r>
      <w:r w:rsidRPr="00C97D1C">
        <w:rPr>
          <w:rStyle w:val="StyleUnderline"/>
        </w:rPr>
        <w:t>Civil forfeiture is ordinarily the product of a civil</w:t>
      </w:r>
      <w:r>
        <w:t xml:space="preserve">, in rem (against the property) </w:t>
      </w:r>
      <w:r w:rsidRPr="00C97D1C">
        <w:rPr>
          <w:rStyle w:val="StyleUnderline"/>
        </w:rPr>
        <w:t xml:space="preserve">proceeding </w:t>
      </w:r>
      <w:r>
        <w:t xml:space="preserve">in which the property is treated as the offender. </w:t>
      </w:r>
      <w:r w:rsidRPr="00C97D1C">
        <w:rPr>
          <w:rStyle w:val="StyleUnderline"/>
        </w:rPr>
        <w:t>No criminal charges are necessary against the owner because the guilt or innocence of the property owner is irrelevant; it is enough that the property was involved in, or otherwise connected to, an illegal activity</w:t>
      </w:r>
      <w:r>
        <w:t xml:space="preserve"> (in which forfeiture is authorized). Criminal forfeiture proceedings, on the other hand, are in personam (against the person) actions, and confiscation is only possible upon the conviction of the owner of the property and only to the extent of the defendant’s interest in the property.158 Property that is subject to forfeiture includes both the direct and indirect proceeds of illegal activities as well as any property used, or intended to be used, to facilitate that crime.159 Section 511 of the CSA (21 U.S.C. §881) makes a wide array of property associated with violations of the CSA subject to seizure by the Attorney General and forfeiture to the United States. </w:t>
      </w:r>
      <w:r w:rsidRPr="00C97D1C">
        <w:rPr>
          <w:rStyle w:val="StyleUnderline"/>
        </w:rPr>
        <w:t>Property subject to the CSA’s civil forfeiture provision includes any controlled substance that has been manufactured, distributed, dispensed, acquired, or possessed in violation of federal law</w:t>
      </w:r>
      <w:r>
        <w:t>, as well as any equipment, firearm, money, mode of transportation, or real property used or intended to be used to facilitate a violation of the CSA.160 In order to seize the covered property, the government need only show that the property is subject to forfeiture by a preponderance of the evidence.161 Once forfeited, the Attorney General may destroy the controlled substances seized, and sell the other property at public auction.162 After expenses of the forfeiture proceeding are recouped, excess funds are forwarded to the DOJ Asset Forfeiture Fund.163</w:t>
      </w:r>
    </w:p>
    <w:p w14:paraId="1BD2A695" w14:textId="77777777" w:rsidR="0057686C" w:rsidRDefault="0057686C" w:rsidP="0057686C">
      <w:pPr>
        <w:pStyle w:val="Heading4"/>
      </w:pPr>
      <w:r>
        <w:t>Federal civil penalties exist under the CSA</w:t>
      </w:r>
    </w:p>
    <w:p w14:paraId="7B4D6E7A" w14:textId="77777777" w:rsidR="0057686C" w:rsidRPr="004A40F4" w:rsidRDefault="0057686C" w:rsidP="0057686C">
      <w:r w:rsidRPr="004A40F4">
        <w:t xml:space="preserve">Todd </w:t>
      </w:r>
      <w:r w:rsidRPr="004A40F4">
        <w:rPr>
          <w:rStyle w:val="Style13ptBold"/>
        </w:rPr>
        <w:t>Garvey, 14</w:t>
      </w:r>
      <w:r w:rsidRPr="004A40F4">
        <w:t xml:space="preserve"> – Legislative Attorney for the Congressional Research Service (“State Legalization of Recreational Marijuana: Selected Legal Issues”</w:t>
      </w:r>
      <w:r>
        <w:t xml:space="preserve"> CRS Report for Congress,</w:t>
      </w:r>
      <w:r w:rsidRPr="004A40F4">
        <w:t xml:space="preserve"> 1/13, </w:t>
      </w:r>
      <w:hyperlink r:id="rId11" w:history="1">
        <w:r w:rsidRPr="004A40F4">
          <w:rPr>
            <w:rStyle w:val="Hyperlink"/>
          </w:rPr>
          <w:t>https://www.everycrsreport.com/files/20130405_R43034_748c8d0a686780be53de61e26f9bae9b73c1937f.html</w:t>
        </w:r>
      </w:hyperlink>
    </w:p>
    <w:p w14:paraId="6494420B" w14:textId="77777777" w:rsidR="0057686C" w:rsidRPr="004A40F4" w:rsidRDefault="0057686C" w:rsidP="0057686C">
      <w:r w:rsidRPr="004A40F4">
        <w:t>//DH</w:t>
      </w:r>
    </w:p>
    <w:p w14:paraId="26B6866D" w14:textId="77777777" w:rsidR="0057686C" w:rsidRDefault="0057686C" w:rsidP="0057686C"/>
    <w:p w14:paraId="434FC2B0" w14:textId="77777777" w:rsidR="0057686C" w:rsidRDefault="0057686C" w:rsidP="0057686C">
      <w:r>
        <w:t xml:space="preserve">Congress enacted the Controlled Substances Act (CSA)34 as Title II of the Comprehensive Drug Abuse Prevention and Control Act of 1970.35 The purpose of the CSA is to regulate and facilitate the manufacture, distribution, and use of controlled substances for legitimate medical, scientific, research, and industrial purposes, and to prevent these substances from being diverted for illegal purposes. The CSA places various plants, drugs, and chemicals (such as narcotics, stimulants, depressants, hallucinogens, and anabolic steroids) into one of five schedules based on the substance’s medical use, potential for abuse, and safety or dependence liability;36 Schedule I substances are deemed to have no currently accepted medical use in treatment and can only be used in very limited circumstances, whereas substances classified in Schedules II, III, IV, and V have recognized medical uses and may be manufactured, distributed, and used in accordance with the CSA. The CSA requires persons who handle controlled substances (such as drug manufacturers, wholesale distributors, doctors, hospitals, pharmacies, and scientific researchers) to register with the Drug Enforcement Administration (DEA) in the U.S. Department of Justice, the federal agency that administers and enforces the CSA.37 Such registrants are subject to strict requirements regarding drug security, recordkeeping, reporting and production quotas, in order to minimize theft and diversion.38 </w:t>
      </w:r>
      <w:r w:rsidRPr="00C97D1C">
        <w:rPr>
          <w:rStyle w:val="StyleUnderline"/>
        </w:rPr>
        <w:t>Federal civil and criminal penalties are available for anyone who manufactures, distributes, imports, or possesses controlled substances in violation of the CSA</w:t>
      </w:r>
      <w:r>
        <w:t xml:space="preserve"> (both “regulatory” offenses as well as illicit drug trafficking and possession).39 Because controlled substances classified as Schedule I drugs have “a high potential for abuse” with “no currently accepted medical use in treatment in the United States” and lack “accepted safety for use of the drug [] under medical supervisions,”40 doctors may not prescribe them to patients, and such substances may only be used for bona fide, federal government-approved research studies.41 Under the CSA, only DEA-licensed doctors are allowed to prescribe controlled substances listed in Schedules II-V to patients.42 Federal regulations stipulate that a lawful prescription for a controlled substance may only be “issued for a legitimate medical purpose by an individual practitioner acting in the usual course of his professional practice.”43 The CSA establishes an administrative mechanism for substances to be controlled (added to a schedule); decontrolled (removed from the scheduling framework altogether); and rescheduled or transferred from one schedule to another.44 Federal rulemaking proceedings to add, delete, or change the schedule of a drug or substance may be initiated by the DEA, the U.S. Department of Health and Human Services (HHS), or by petition by any interested person.45 Congress may also change the scheduling status of a drug or substance through legislation.</w:t>
      </w:r>
    </w:p>
    <w:p w14:paraId="65ECB187" w14:textId="77777777" w:rsidR="0057686C" w:rsidRDefault="0057686C" w:rsidP="0057686C"/>
    <w:p w14:paraId="44636ED8" w14:textId="77777777" w:rsidR="0057686C" w:rsidRDefault="0057686C" w:rsidP="0057686C">
      <w:pPr>
        <w:pStyle w:val="Heading3"/>
      </w:pPr>
      <w:r>
        <w:t>2nc – not policing</w:t>
      </w:r>
    </w:p>
    <w:p w14:paraId="35A03667" w14:textId="77777777" w:rsidR="0057686C" w:rsidRDefault="0057686C" w:rsidP="0057686C">
      <w:pPr>
        <w:pStyle w:val="Heading4"/>
      </w:pPr>
      <w:r>
        <w:t xml:space="preserve">Policing as a practice remains </w:t>
      </w:r>
      <w:r w:rsidRPr="00DB76E4">
        <w:rPr>
          <w:u w:val="single"/>
        </w:rPr>
        <w:t>unchanged</w:t>
      </w:r>
      <w:r>
        <w:t xml:space="preserve"> after decriminalization</w:t>
      </w:r>
    </w:p>
    <w:p w14:paraId="5E53D067" w14:textId="77777777" w:rsidR="0057686C" w:rsidRDefault="0057686C" w:rsidP="0057686C">
      <w:r>
        <w:t xml:space="preserve">Sophie </w:t>
      </w:r>
      <w:r w:rsidRPr="00646718">
        <w:rPr>
          <w:rStyle w:val="Style13ptBold"/>
        </w:rPr>
        <w:t>Quinton, 20</w:t>
      </w:r>
      <w:r>
        <w:t xml:space="preserve"> – staff, Stateline.org (“Policing protests propel marijuana decriminalization efforts” 7/6, </w:t>
      </w:r>
      <w:hyperlink r:id="rId12" w:history="1">
        <w:r w:rsidRPr="000671EE">
          <w:rPr>
            <w:rStyle w:val="Hyperlink"/>
          </w:rPr>
          <w:t>https://www.policeone.com/drug-interdiction-narcotics/articles/policing-protests-propel-marijuana-decriminalization-efforts-0vKZFAJbQvxDJwPO/</w:t>
        </w:r>
      </w:hyperlink>
      <w:r>
        <w:t xml:space="preserve">  //DH</w:t>
      </w:r>
    </w:p>
    <w:p w14:paraId="506EE818" w14:textId="77777777" w:rsidR="0057686C" w:rsidRPr="00646718" w:rsidRDefault="0057686C" w:rsidP="0057686C"/>
    <w:p w14:paraId="49CAB10B" w14:textId="77777777" w:rsidR="0057686C" w:rsidRDefault="0057686C" w:rsidP="0057686C">
      <w:r>
        <w:t xml:space="preserve">Some </w:t>
      </w:r>
      <w:r w:rsidRPr="00646718">
        <w:rPr>
          <w:rStyle w:val="StyleUnderline"/>
        </w:rPr>
        <w:t>decriminalization advocates caution</w:t>
      </w:r>
      <w:r>
        <w:t xml:space="preserve"> that </w:t>
      </w:r>
      <w:r w:rsidRPr="00646718">
        <w:rPr>
          <w:rStyle w:val="StyleUnderline"/>
        </w:rPr>
        <w:t>further action will be needed to address</w:t>
      </w:r>
      <w:r>
        <w:t xml:space="preserve"> unfair </w:t>
      </w:r>
      <w:r w:rsidRPr="00646718">
        <w:rPr>
          <w:rStyle w:val="StyleUnderline"/>
        </w:rPr>
        <w:t>policing</w:t>
      </w:r>
      <w:r>
        <w:t>.</w:t>
      </w:r>
    </w:p>
    <w:p w14:paraId="7FF6C20B" w14:textId="77777777" w:rsidR="0057686C" w:rsidRDefault="0057686C" w:rsidP="0057686C">
      <w:r w:rsidRPr="00646718">
        <w:rPr>
          <w:rStyle w:val="StyleUnderline"/>
        </w:rPr>
        <w:t>While fewer people are arrested for marijuana</w:t>
      </w:r>
      <w:r>
        <w:t xml:space="preserve">-related </w:t>
      </w:r>
      <w:r w:rsidRPr="00646718">
        <w:rPr>
          <w:rStyle w:val="StyleUnderline"/>
        </w:rPr>
        <w:t>crimes in states that have legalized</w:t>
      </w:r>
      <w:r>
        <w:t xml:space="preserve"> pot sales or decriminalized possession, </w:t>
      </w:r>
      <w:r w:rsidRPr="00646718">
        <w:rPr>
          <w:rStyle w:val="StyleUnderline"/>
        </w:rPr>
        <w:t>Black people still are more likely to be arrested</w:t>
      </w:r>
      <w:r>
        <w:t xml:space="preserve"> </w:t>
      </w:r>
      <w:r w:rsidRPr="00646718">
        <w:rPr>
          <w:rStyle w:val="StyleUnderline"/>
        </w:rPr>
        <w:t>for marijuana</w:t>
      </w:r>
      <w:r>
        <w:t xml:space="preserve">-related </w:t>
      </w:r>
      <w:r w:rsidRPr="00646718">
        <w:rPr>
          <w:rStyle w:val="StyleUnderline"/>
        </w:rPr>
        <w:t>crimes in those states</w:t>
      </w:r>
      <w:r>
        <w:t xml:space="preserve"> than white people are, according to an April report from the American Civil Liberties Union.</w:t>
      </w:r>
    </w:p>
    <w:p w14:paraId="387F120A" w14:textId="77777777" w:rsidR="0057686C" w:rsidRDefault="0057686C" w:rsidP="0057686C">
      <w:r>
        <w:t>Nationwide, Black people are 3.6 times as likely to be arrested for a marijuana-related offense as white people, according to the report. Both groups use pot at similar rates.</w:t>
      </w:r>
    </w:p>
    <w:p w14:paraId="7DE3CECA" w14:textId="77777777" w:rsidR="0057686C" w:rsidRDefault="0057686C" w:rsidP="0057686C">
      <w:r>
        <w:t>Even in states that allow marijuana sales, certain activities remain illegal, such as smoking a joint in public or selling to minors.</w:t>
      </w:r>
    </w:p>
    <w:p w14:paraId="27810E53" w14:textId="77777777" w:rsidR="0057686C" w:rsidRDefault="0057686C" w:rsidP="0057686C">
      <w:r>
        <w:t xml:space="preserve">Police in those states remain more likely to crack down on people of color for breaking the law, said Charlotte Resing, a policy analyst at the ACLU. That means that </w:t>
      </w:r>
      <w:r w:rsidRPr="00646718">
        <w:rPr>
          <w:rStyle w:val="StyleUnderline"/>
        </w:rPr>
        <w:t xml:space="preserve">efforts to change marijuana laws must be </w:t>
      </w:r>
      <w:r w:rsidRPr="00646718">
        <w:rPr>
          <w:rStyle w:val="Emphasis"/>
        </w:rPr>
        <w:t>paired with</w:t>
      </w:r>
      <w:r>
        <w:t xml:space="preserve"> </w:t>
      </w:r>
      <w:r w:rsidRPr="00646718">
        <w:rPr>
          <w:rStyle w:val="Emphasis"/>
        </w:rPr>
        <w:t>broader legislation</w:t>
      </w:r>
      <w:r>
        <w:t xml:space="preserve"> </w:t>
      </w:r>
      <w:r w:rsidRPr="00646718">
        <w:rPr>
          <w:rStyle w:val="StyleUnderline"/>
        </w:rPr>
        <w:t xml:space="preserve">that changes </w:t>
      </w:r>
      <w:r w:rsidRPr="00646718">
        <w:rPr>
          <w:rStyle w:val="Emphasis"/>
        </w:rPr>
        <w:t>how communities are policed</w:t>
      </w:r>
      <w:r>
        <w:t>, she said.</w:t>
      </w:r>
    </w:p>
    <w:p w14:paraId="1D0F5235" w14:textId="52EAF300" w:rsidR="0057686C" w:rsidRDefault="0057686C" w:rsidP="0057686C">
      <w:r>
        <w:t>“</w:t>
      </w:r>
      <w:r w:rsidRPr="00646718">
        <w:rPr>
          <w:rStyle w:val="StyleUnderline"/>
        </w:rPr>
        <w:t>We’re going to continue to see these racial disparities</w:t>
      </w:r>
      <w:r>
        <w:t>,” she said, “</w:t>
      </w:r>
      <w:r w:rsidRPr="00646718">
        <w:rPr>
          <w:rStyle w:val="StyleUnderline"/>
        </w:rPr>
        <w:t>until we see a policing system that looks drastically different</w:t>
      </w:r>
      <w:r>
        <w:t xml:space="preserve"> than it does right now.”</w:t>
      </w:r>
    </w:p>
    <w:p w14:paraId="1A793A8B" w14:textId="37C79D6B" w:rsidR="00D11156" w:rsidRDefault="00D11156" w:rsidP="0057686C"/>
    <w:p w14:paraId="228E3564" w14:textId="77777777" w:rsidR="00D11156" w:rsidRDefault="00D11156" w:rsidP="00D11156">
      <w:pPr>
        <w:pStyle w:val="Heading4"/>
      </w:pPr>
      <w:r>
        <w:t>Just removing criminal enforcement doesn’t limit policing</w:t>
      </w:r>
    </w:p>
    <w:p w14:paraId="44A30F26" w14:textId="77777777" w:rsidR="00D11156" w:rsidRDefault="00D11156" w:rsidP="00D11156">
      <w:r>
        <w:t xml:space="preserve">Jordan Blair </w:t>
      </w:r>
      <w:r w:rsidRPr="00DB76E4">
        <w:rPr>
          <w:rStyle w:val="Style13ptBold"/>
        </w:rPr>
        <w:t>Woods, 15</w:t>
      </w:r>
      <w:r>
        <w:t xml:space="preserve"> – Richard Taylor Law Teaching Fellow at the Williams Institute on Sexual Orientation and Gender Identity Law and Public Policy at the UCLA School of Law; he is also a Ph.D. Candidate and Gates Cambridge Scholar at the Institute of Criminology at the University of Cambridge “Decriminalization, Police Authority, and Routine Traffic Stops” 62 UCLA L. Rev. 672 (2015), </w:t>
      </w:r>
      <w:hyperlink r:id="rId13" w:history="1">
        <w:r w:rsidRPr="000671EE">
          <w:rPr>
            <w:rStyle w:val="Hyperlink"/>
          </w:rPr>
          <w:t>https://www.uclalawreview.org/pdf/62-3-3.pdf</w:t>
        </w:r>
      </w:hyperlink>
      <w:r>
        <w:t xml:space="preserve"> //DH</w:t>
      </w:r>
    </w:p>
    <w:p w14:paraId="3E890C22" w14:textId="77777777" w:rsidR="00D11156" w:rsidRDefault="00D11156" w:rsidP="00D11156"/>
    <w:p w14:paraId="2AA33A56" w14:textId="77777777" w:rsidR="00D11156" w:rsidRDefault="00D11156" w:rsidP="00D11156">
      <w:r w:rsidRPr="00C10C74">
        <w:rPr>
          <w:rStyle w:val="StyleUnderline"/>
        </w:rPr>
        <w:t>States sometimes retain legal prohibitions</w:t>
      </w:r>
      <w:r>
        <w:t xml:space="preserve"> on conduct, </w:t>
      </w:r>
      <w:r w:rsidRPr="00C10C74">
        <w:rPr>
          <w:rStyle w:val="StyleUnderline"/>
        </w:rPr>
        <w:t>but eliminate</w:t>
      </w:r>
      <w:r>
        <w:t xml:space="preserve"> or downgrade the associated </w:t>
      </w:r>
      <w:r w:rsidRPr="00C10C74">
        <w:rPr>
          <w:rStyle w:val="StyleUnderline"/>
        </w:rPr>
        <w:t>criminal penalties</w:t>
      </w:r>
      <w:r>
        <w:t xml:space="preserve">. Scholars have identified two circumstances under which legislatures tend to follow this approach: (1) when they view criminal sanctions as an ineffective deterrent for specific conduct but still wish to express disapproval of that conduct through less severe sanctions, and (2) as a political compromise to appeal to voters who wish to reduce sanctions for specific conduct while also appealing to voters who wish to keep that conduct illegal.90 These two circumstances focus on sanctions, with little guidance on whether reclassification should reduce police authority and discretion when officers investigate or respond to reclassified offenses. </w:t>
      </w:r>
    </w:p>
    <w:p w14:paraId="5301C1BE" w14:textId="77777777" w:rsidR="00D11156" w:rsidRDefault="00D11156" w:rsidP="00D11156">
      <w:r>
        <w:t xml:space="preserve">As explained in detail infra Part II, the decriminalization of minor traffic offenses has primarily occurred through reclassification. </w:t>
      </w:r>
      <w:r w:rsidRPr="00C10C74">
        <w:rPr>
          <w:rStyle w:val="StyleUnderline"/>
        </w:rPr>
        <w:t xml:space="preserve">To offer another example showing the gap involving reclassification and policing, revisit the decriminalization of </w:t>
      </w:r>
      <w:r>
        <w:t xml:space="preserve">simple possession of </w:t>
      </w:r>
      <w:r w:rsidRPr="00C10C74">
        <w:rPr>
          <w:rStyle w:val="StyleUnderline"/>
        </w:rPr>
        <w:t>marijuana</w:t>
      </w:r>
      <w:r>
        <w:t xml:space="preserve">. Several state legislatures have declassified the first-time offense for small amounts of marijuana possession from a felony to a misdemeanor, or from a misdemeanor to an infraction that is a civil offense or a low-level crime.91 </w:t>
      </w:r>
      <w:r w:rsidRPr="00C10C74">
        <w:rPr>
          <w:rStyle w:val="StyleUnderline"/>
        </w:rPr>
        <w:t>These changes have reduced possible incarceration or resulted in fine-only penalties</w:t>
      </w:r>
      <w:r>
        <w:t xml:space="preserve"> for the offense.</w:t>
      </w:r>
    </w:p>
    <w:p w14:paraId="05728153" w14:textId="77777777" w:rsidR="00D11156" w:rsidRDefault="00D11156" w:rsidP="00D11156">
      <w:r>
        <w:t>There are some glimpses of legislatures and courts restricting police authority to initiate searches and seizures—especially arrests—in cases involving simple possession of marijuana, but those restrictions are relatively rare and not uniform across jurisdictions.92 For instance, in 2011, the highest court of Massachusetts clarified when police officers may order a passenger out of a vehicle for suspicion of marijuana possession after the state decriminalized the possession of less than one ounce of marijuana as a civil infraction.93 The court held that “to order a passenger in a stopped vehicle to exit based merely on suspicion of an offense, that offense must be criminal.”94</w:t>
      </w:r>
    </w:p>
    <w:p w14:paraId="14D804D4" w14:textId="77777777" w:rsidR="00D11156" w:rsidRDefault="00D11156" w:rsidP="00D11156">
      <w:r>
        <w:t>Based on this view, it concluded that articulable facts must give rise to a reasonable suspicion that a defendant possesses more than one ounce of marijuana—the criminal threshold.95 In concrete terms, this meant that law enforcement could not rely on the odor of burnt marijuana in a car, or the fact that a suspect was smoking a cigar that is commonly known to mask the odor of marijuana smoke, to give rise to reasonable suspicion of a marijuana possession crime and thus order occupants out of vehicles.96 It reasoned that “[b]y mandating that possession of such a small quantity of marijuana become a civil violation, not a crime, the voters intended to treat offenders who possess one ounce or less of marijuana differently from perpetrators of drug crimes.”97</w:t>
      </w:r>
    </w:p>
    <w:p w14:paraId="3E3DEAEB" w14:textId="77777777" w:rsidR="00D11156" w:rsidRDefault="00D11156" w:rsidP="00D11156">
      <w:r>
        <w:t xml:space="preserve">The Massachusetts court, however, is in the minority on this issue. In many jurisdictions, </w:t>
      </w:r>
      <w:r w:rsidRPr="00C10C74">
        <w:rPr>
          <w:rStyle w:val="StyleUnderline"/>
        </w:rPr>
        <w:t xml:space="preserve">the reclassification of simple possession of marijuana has </w:t>
      </w:r>
      <w:r w:rsidRPr="00C10C74">
        <w:rPr>
          <w:rStyle w:val="Emphasis"/>
        </w:rPr>
        <w:t>not changed the scope of police authority to act</w:t>
      </w:r>
      <w:r w:rsidRPr="00C10C74">
        <w:rPr>
          <w:rStyle w:val="StyleUnderline"/>
        </w:rPr>
        <w:t xml:space="preserve"> or to conduct searches or seizures </w:t>
      </w:r>
      <w:r>
        <w:t xml:space="preserve">in cases involving marijuana possession. For instance, police officers in several U.S. jurisdictions that have downgraded penalties for simple possession of marijuana still allow officers to arrest individuals for the offense before they receive a citation—making those individuals vulnerable to searches incident to that arrest.98 And, </w:t>
      </w:r>
      <w:r w:rsidRPr="00C10C74">
        <w:rPr>
          <w:rStyle w:val="StyleUnderline"/>
        </w:rPr>
        <w:t xml:space="preserve">in some instances, police departments have expressed their intent to continue arresting people for simple possession of marijuana </w:t>
      </w:r>
      <w:r w:rsidRPr="00C10C74">
        <w:rPr>
          <w:rStyle w:val="Emphasis"/>
        </w:rPr>
        <w:t>regardless of decriminalization ordinances</w:t>
      </w:r>
      <w:r>
        <w:t>.99</w:t>
      </w:r>
    </w:p>
    <w:p w14:paraId="686A1229" w14:textId="77777777" w:rsidR="00D11156" w:rsidRDefault="00D11156" w:rsidP="00D11156">
      <w:r>
        <w:t>Nevertheless, the example of a recent ordinance decriminalizing small amounts of marijuana possession in the District of Columbia illustrates the promise of including restrictions on police authority within reclassification efforts.100 The ordinance changed the offense from a misdemeanor carrying up to six months in jail to a civil violation with a $25 penalty and no possibility of arrest.101 In addition, the ordinance provides that the mere fact that someone is smoking marijuana in public does not provide an officer with sufficient justification to search that person; the officer needs independent grounds to conduct a search.102</w:t>
      </w:r>
    </w:p>
    <w:p w14:paraId="48479219" w14:textId="77777777" w:rsidR="00D11156" w:rsidRDefault="00D11156" w:rsidP="00D11156">
      <w:r>
        <w:t>Notably, the sponsor of the bill did not only focus on the government costs of imposing jail time for simple possession of marijuana. His reasons also included the costs and unfairness of authorizing police to search and to arrest individuals for the marijuana offense. The racial disparity of arrests for marijuana possession in the district informed these concerns.103 Before the bill’s proposal, statistics reported that Black civilians were eight times more likely than white civilians to be arrested for marijuana possession in the district.104</w:t>
      </w:r>
    </w:p>
    <w:p w14:paraId="4CD12C93" w14:textId="20861A16" w:rsidR="00D11156" w:rsidRDefault="00D11156" w:rsidP="00D11156">
      <w:r>
        <w:t xml:space="preserve">The analysis to follow further explores the gap involving police authority and reclassification in the traffic context. The point here is that like other forms of </w:t>
      </w:r>
      <w:r w:rsidRPr="00C10C74">
        <w:rPr>
          <w:rStyle w:val="StyleUnderline"/>
        </w:rPr>
        <w:t>decriminalization</w:t>
      </w:r>
      <w:r>
        <w:t xml:space="preserve">, reclassification </w:t>
      </w:r>
      <w:r w:rsidRPr="00C10C74">
        <w:rPr>
          <w:rStyle w:val="StyleUnderline"/>
        </w:rPr>
        <w:t>is</w:t>
      </w:r>
      <w:r>
        <w:t xml:space="preserve"> typically </w:t>
      </w:r>
      <w:r w:rsidRPr="00C10C74">
        <w:rPr>
          <w:rStyle w:val="StyleUnderline"/>
        </w:rPr>
        <w:t>viewed as a means to modify sanctions attached to conduct,</w:t>
      </w:r>
      <w:r>
        <w:t xml:space="preserve"> </w:t>
      </w:r>
      <w:r w:rsidRPr="00C10C74">
        <w:rPr>
          <w:rStyle w:val="Emphasis"/>
        </w:rPr>
        <w:t xml:space="preserve">and not as a means of limiting </w:t>
      </w:r>
      <w:r>
        <w:t xml:space="preserve">other forms of social control like </w:t>
      </w:r>
      <w:r w:rsidRPr="00C10C74">
        <w:rPr>
          <w:rStyle w:val="Emphasis"/>
        </w:rPr>
        <w:t>policing</w:t>
      </w:r>
      <w:r>
        <w:t xml:space="preserve">. </w:t>
      </w:r>
    </w:p>
    <w:p w14:paraId="53A36E9F" w14:textId="3FD79F2E" w:rsidR="00104DE2" w:rsidRDefault="00104DE2" w:rsidP="00D11156"/>
    <w:p w14:paraId="51984B3D" w14:textId="77777777" w:rsidR="00104DE2" w:rsidRDefault="00104DE2" w:rsidP="00104DE2">
      <w:pPr>
        <w:pStyle w:val="Heading4"/>
      </w:pPr>
      <w:r>
        <w:t>Policing and criminalization of specific conduct are not connected – it’s not policing reform unless you target the policing organization itself</w:t>
      </w:r>
    </w:p>
    <w:p w14:paraId="5A8B41A5" w14:textId="77777777" w:rsidR="00104DE2" w:rsidRDefault="00104DE2" w:rsidP="00104DE2">
      <w:r>
        <w:t xml:space="preserve">Jordan Blair </w:t>
      </w:r>
      <w:r w:rsidRPr="00DB76E4">
        <w:rPr>
          <w:rStyle w:val="Style13ptBold"/>
        </w:rPr>
        <w:t>Woods, 15</w:t>
      </w:r>
      <w:r>
        <w:t xml:space="preserve"> – Richard Taylor Law Teaching Fellow at the Williams Institute on Sexual Orientation and Gender Identity Law and Public Policy at the UCLA School of Law; he is also a Ph.D. Candidate and Gates Cambridge Scholar at the Institute of Criminology at the University of Cambridge “Decriminalization, Police Authority, and Routine Traffic Stops” 62 UCLA L. Rev. 672 (2015), </w:t>
      </w:r>
      <w:hyperlink r:id="rId14" w:history="1">
        <w:r w:rsidRPr="000671EE">
          <w:rPr>
            <w:rStyle w:val="Hyperlink"/>
          </w:rPr>
          <w:t>https://www.uclalawreview.org/pdf/62-3-3.pdf</w:t>
        </w:r>
      </w:hyperlink>
      <w:r>
        <w:t xml:space="preserve"> //DH</w:t>
      </w:r>
    </w:p>
    <w:p w14:paraId="2B6232A8" w14:textId="77777777" w:rsidR="00104DE2" w:rsidRDefault="00104DE2" w:rsidP="00104DE2"/>
    <w:p w14:paraId="713E1718" w14:textId="77777777" w:rsidR="00104DE2" w:rsidRDefault="00104DE2" w:rsidP="00104DE2">
      <w:r>
        <w:t xml:space="preserve">The criminal justice asymmetry set out above unravels a different dimension involving policing to this critique. Specifically, </w:t>
      </w:r>
      <w:r w:rsidRPr="001878DF">
        <w:rPr>
          <w:rStyle w:val="StyleUnderline"/>
        </w:rPr>
        <w:t xml:space="preserve">even when legislatures </w:t>
      </w:r>
      <w:r>
        <w:t>purport to r</w:t>
      </w:r>
      <w:r w:rsidRPr="001878DF">
        <w:rPr>
          <w:rStyle w:val="StyleUnderline"/>
        </w:rPr>
        <w:t>emove conduct from the criminal framework by modifying sanctions</w:t>
      </w:r>
      <w:r>
        <w:t xml:space="preserve">, </w:t>
      </w:r>
      <w:r w:rsidRPr="001878DF">
        <w:rPr>
          <w:rStyle w:val="StyleUnderline"/>
        </w:rPr>
        <w:t>police</w:t>
      </w:r>
      <w:r>
        <w:t xml:space="preserve"> officers </w:t>
      </w:r>
      <w:r w:rsidRPr="001878DF">
        <w:rPr>
          <w:rStyle w:val="StyleUnderline"/>
        </w:rPr>
        <w:t xml:space="preserve">can </w:t>
      </w:r>
      <w:r w:rsidRPr="001878DF">
        <w:rPr>
          <w:rStyle w:val="Emphasis"/>
        </w:rPr>
        <w:t>recriminalize that conduct</w:t>
      </w:r>
      <w:r w:rsidRPr="001878DF">
        <w:rPr>
          <w:rStyle w:val="StyleUnderline"/>
        </w:rPr>
        <w:t xml:space="preserve"> </w:t>
      </w:r>
      <w:r>
        <w:t xml:space="preserve">in effect </w:t>
      </w:r>
      <w:r w:rsidRPr="001878DF">
        <w:rPr>
          <w:rStyle w:val="StyleUnderline"/>
        </w:rPr>
        <w:t>by acting in the exact ways in the name of crime control through the power to question, seize, and search as they would have previously done when that conduct was criminalized</w:t>
      </w:r>
      <w:r>
        <w:t xml:space="preserve">. Accordingly, </w:t>
      </w:r>
      <w:r w:rsidRPr="001878DF">
        <w:rPr>
          <w:rStyle w:val="StyleUnderline"/>
        </w:rPr>
        <w:t>when decriminalization does not capture restrictions on police authority and discretion, then formal criminalization is no longer a requirement</w:t>
      </w:r>
      <w:r>
        <w:t xml:space="preserve"> (as the prevailing overcriminalization narrative goes) </w:t>
      </w:r>
      <w:r w:rsidRPr="001878DF">
        <w:rPr>
          <w:rStyle w:val="StyleUnderline"/>
        </w:rPr>
        <w:t>to diffuse authority to define, enforce, and apply criminal laws</w:t>
      </w:r>
      <w:r>
        <w:t>.337</w:t>
      </w:r>
    </w:p>
    <w:p w14:paraId="4E02843F" w14:textId="6FD96205" w:rsidR="00104DE2" w:rsidRPr="00D11156" w:rsidRDefault="00104DE2" w:rsidP="00D11156">
      <w:r>
        <w:t xml:space="preserve">Under these circumstances, </w:t>
      </w:r>
      <w:r w:rsidRPr="001878DF">
        <w:rPr>
          <w:rStyle w:val="StyleUnderline"/>
        </w:rPr>
        <w:t xml:space="preserve">jurisdictions are left with the </w:t>
      </w:r>
      <w:r w:rsidRPr="001878DF">
        <w:rPr>
          <w:rStyle w:val="Emphasis"/>
        </w:rPr>
        <w:t>same policing conditions</w:t>
      </w:r>
      <w:r w:rsidRPr="001878DF">
        <w:rPr>
          <w:rStyle w:val="StyleUnderline"/>
        </w:rPr>
        <w:t xml:space="preserve"> </w:t>
      </w:r>
      <w:r>
        <w:t>that drive the costly and harmful pipeline to arrest and incarceration against the backdrop of minor criminality—</w:t>
      </w:r>
      <w:r w:rsidRPr="001878DF">
        <w:rPr>
          <w:rStyle w:val="StyleUnderline"/>
        </w:rPr>
        <w:t>only this time against the backdrop of decriminalized offenses</w:t>
      </w:r>
      <w:r>
        <w:t>. Jurisdictions are also left with the same policing conditions that encourage privacy, liberty, dignitary, and physical harms against individuals targeted during police investigation. Decriminalization should avoid these outcomes.</w:t>
      </w:r>
    </w:p>
    <w:p w14:paraId="6FD17CBD" w14:textId="77777777" w:rsidR="0057686C" w:rsidRPr="00A7180F" w:rsidRDefault="0057686C" w:rsidP="0057686C">
      <w:pPr>
        <w:pStyle w:val="Heading4"/>
      </w:pPr>
      <w:r>
        <w:t xml:space="preserve">The plan’s effects topical at best – and the effect could be to </w:t>
      </w:r>
      <w:r>
        <w:rPr>
          <w:u w:val="single"/>
        </w:rPr>
        <w:t>increase</w:t>
      </w:r>
      <w:r>
        <w:t xml:space="preserve"> policing</w:t>
      </w:r>
    </w:p>
    <w:p w14:paraId="52AB556C" w14:textId="77777777" w:rsidR="0057686C" w:rsidRDefault="0057686C" w:rsidP="0057686C">
      <w:r>
        <w:t xml:space="preserve">Chris </w:t>
      </w:r>
      <w:r w:rsidRPr="000322C5">
        <w:rPr>
          <w:rStyle w:val="Style13ptBold"/>
        </w:rPr>
        <w:t>Roberts, 20</w:t>
      </w:r>
      <w:r>
        <w:t xml:space="preserve"> - I’m an award-winning investigative reporter and I've covered the legalization movement and the cannabis industry with a political economy lens for more than a decade. I launched northern California’s first cannabis-centric print vertical and founded San Francisco’s first dedicated drug-policy column. My work’s been featured in VICE, The Daily Beast, The Guardian, Deadspin, Observer, Curbed, Leafly News, High Times, SF Weekly, and many other places. I hold a master’s degree in politics from Columbia Journalism School.  (“Why Marijuana Legalization Funds The Police” Forbes, 6/8, </w:t>
      </w:r>
      <w:hyperlink r:id="rId15" w:history="1">
        <w:r w:rsidRPr="000671EE">
          <w:rPr>
            <w:rStyle w:val="Hyperlink"/>
          </w:rPr>
          <w:t>https://www.forbes.com/sites/chrisroberts/2020/06/08/why-marijuana-legalization-funds-the-police/#3dbd70152f1e</w:t>
        </w:r>
      </w:hyperlink>
    </w:p>
    <w:p w14:paraId="11F8E655" w14:textId="77777777" w:rsidR="0057686C" w:rsidRDefault="0057686C" w:rsidP="0057686C"/>
    <w:p w14:paraId="14A8F30B" w14:textId="77777777" w:rsidR="0057686C" w:rsidRDefault="0057686C" w:rsidP="0057686C">
      <w:r>
        <w:t xml:space="preserve">Similar tactics have been employed elsewhere. California’s generosity was notable only in its size. </w:t>
      </w:r>
      <w:r w:rsidRPr="00646718">
        <w:rPr>
          <w:rStyle w:val="StyleUnderline"/>
        </w:rPr>
        <w:t>Marijuana legalization has meant money for American police everywhere the</w:t>
      </w:r>
      <w:r>
        <w:t xml:space="preserve"> social </w:t>
      </w:r>
      <w:r w:rsidRPr="00646718">
        <w:rPr>
          <w:rStyle w:val="StyleUnderline"/>
        </w:rPr>
        <w:t>experiment’s been tried</w:t>
      </w:r>
      <w:r>
        <w:t>.</w:t>
      </w:r>
    </w:p>
    <w:p w14:paraId="3080AE43" w14:textId="77777777" w:rsidR="0057686C" w:rsidRDefault="0057686C" w:rsidP="0057686C">
      <w:r w:rsidRPr="000322C5">
        <w:rPr>
          <w:rStyle w:val="StyleUnderline"/>
        </w:rPr>
        <w:t>Part of legalization’s sales pitch was lower law-enforcement costs</w:t>
      </w:r>
      <w:r>
        <w:t xml:space="preserve">. </w:t>
      </w:r>
      <w:r w:rsidRPr="000322C5">
        <w:rPr>
          <w:rStyle w:val="StyleUnderline"/>
        </w:rPr>
        <w:t>Since cannabis use was no longer a crime, police would have less to do, and fewer people would go to jail</w:t>
      </w:r>
      <w:r w:rsidRPr="000322C5">
        <w:rPr>
          <w:rStyle w:val="Emphasis"/>
        </w:rPr>
        <w:t>. This has yet to materialize</w:t>
      </w:r>
      <w:r>
        <w:t>.</w:t>
      </w:r>
    </w:p>
    <w:p w14:paraId="53A9FBD5" w14:textId="77777777" w:rsidR="0057686C" w:rsidRDefault="0057686C" w:rsidP="0057686C">
      <w:r w:rsidRPr="000322C5">
        <w:rPr>
          <w:rStyle w:val="StyleUnderline"/>
        </w:rPr>
        <w:t>In Nevada, pot taxes help pay the police to “enforce” the measure</w:t>
      </w:r>
      <w:r>
        <w:t xml:space="preserve"> (along with, one assumes, other laws). In </w:t>
      </w:r>
      <w:r w:rsidRPr="00646718">
        <w:t>Colorado, cannabis taxes fund diversion and addiction-recovery programs, which are administered by the police. In Portland, Oregon, most of a special 3 percent city tax on cannabis, part of which was meant to help jump-start minority entrepreneurs, somehow ended up in the police budget,</w:t>
      </w:r>
      <w:r>
        <w:t xml:space="preserve"> infuriating local lawmakers who thought the cash would go to minority entrepreneurs.</w:t>
      </w:r>
    </w:p>
    <w:p w14:paraId="472E41E5" w14:textId="01923A7A" w:rsidR="00A95652" w:rsidRDefault="00A95652" w:rsidP="00B55AD5"/>
    <w:p w14:paraId="61DA1A15" w14:textId="105A98A5" w:rsidR="00104DE2" w:rsidRDefault="00104DE2" w:rsidP="00104DE2">
      <w:pPr>
        <w:pStyle w:val="Heading3"/>
      </w:pPr>
      <w:r>
        <w:t>2nc – not sentencing</w:t>
      </w:r>
    </w:p>
    <w:p w14:paraId="7E9EB872" w14:textId="2A16EAB2" w:rsidR="00104DE2" w:rsidRDefault="00104DE2" w:rsidP="00104DE2"/>
    <w:p w14:paraId="7BC7C3BF" w14:textId="4489DFC4" w:rsidR="00104DE2" w:rsidRPr="009F11FE" w:rsidRDefault="008D09DE" w:rsidP="00104DE2">
      <w:pPr>
        <w:pStyle w:val="Heading4"/>
      </w:pPr>
      <w:r>
        <w:t>T</w:t>
      </w:r>
      <w:r w:rsidR="00104DE2">
        <w:t xml:space="preserve">here’s a </w:t>
      </w:r>
      <w:r>
        <w:t xml:space="preserve">substantial </w:t>
      </w:r>
      <w:r w:rsidR="00104DE2">
        <w:t xml:space="preserve">difference between </w:t>
      </w:r>
      <w:r w:rsidR="00104DE2" w:rsidRPr="00104DE2">
        <w:rPr>
          <w:u w:val="single"/>
        </w:rPr>
        <w:t>removing a law</w:t>
      </w:r>
      <w:r w:rsidR="00104DE2">
        <w:t xml:space="preserve"> from the books and </w:t>
      </w:r>
      <w:r w:rsidR="00104DE2">
        <w:rPr>
          <w:u w:val="single"/>
        </w:rPr>
        <w:t>reforming the sentence</w:t>
      </w:r>
      <w:r w:rsidR="00104DE2">
        <w:t xml:space="preserve"> – all aff advantages are from the extra-topical action of removing the law itself</w:t>
      </w:r>
    </w:p>
    <w:p w14:paraId="39AD6DC0" w14:textId="77777777" w:rsidR="00104DE2" w:rsidRDefault="00104DE2" w:rsidP="00104DE2">
      <w:r w:rsidRPr="00DE5C70">
        <w:t xml:space="preserve">Eric </w:t>
      </w:r>
      <w:r w:rsidRPr="00DE5C70">
        <w:rPr>
          <w:rStyle w:val="Style13ptBold"/>
        </w:rPr>
        <w:t>Single, 99</w:t>
      </w:r>
      <w:r>
        <w:rPr>
          <w:b/>
        </w:rPr>
        <w:t xml:space="preserve"> </w:t>
      </w:r>
      <w:r>
        <w:t>- Professor of Public Health Sciences, University of Toronto; Research Associate, Canadian Centre on Substance Abuse (“Options for cannabis reform” International Journal of Drug Policy 10 (1999) 281–290, Science Direct, //DH</w:t>
      </w:r>
    </w:p>
    <w:p w14:paraId="4D581FDD" w14:textId="77777777" w:rsidR="00104DE2" w:rsidRPr="006E7CB3" w:rsidRDefault="00104DE2" w:rsidP="00104DE2"/>
    <w:p w14:paraId="48CB3534" w14:textId="77777777" w:rsidR="00104DE2" w:rsidRPr="00DE5C70" w:rsidRDefault="00104DE2" w:rsidP="00104DE2">
      <w:r w:rsidRPr="00DE5C70">
        <w:rPr>
          <w:rStyle w:val="Emphasis"/>
        </w:rPr>
        <w:t>Depenalization</w:t>
      </w:r>
      <w:r w:rsidRPr="00DE5C70">
        <w:t xml:space="preserve">: This general option </w:t>
      </w:r>
      <w:r w:rsidRPr="00DE5C70">
        <w:rPr>
          <w:rStyle w:val="TitleChar"/>
        </w:rPr>
        <w:t xml:space="preserve">refers to measures which </w:t>
      </w:r>
      <w:r w:rsidRPr="004A40F4">
        <w:rPr>
          <w:rStyle w:val="Emphasis"/>
        </w:rPr>
        <w:t>reduce the penalties</w:t>
      </w:r>
      <w:r w:rsidRPr="00DE5C70">
        <w:rPr>
          <w:rStyle w:val="TitleChar"/>
        </w:rPr>
        <w:t xml:space="preserve"> </w:t>
      </w:r>
      <w:r w:rsidRPr="004A40F4">
        <w:t>for some or all cannabis offences to a discharge, fine or other non-incarcerative outcome. The so-called</w:t>
      </w:r>
      <w:r w:rsidRPr="00DE5C70">
        <w:rPr>
          <w:rStyle w:val="TitleChar"/>
        </w:rPr>
        <w:t xml:space="preserve"> ‘‘decriminalization’’ measures </w:t>
      </w:r>
      <w:r w:rsidRPr="00DE5C70">
        <w:t xml:space="preserve">in eleven US states in the 1970s </w:t>
      </w:r>
      <w:r w:rsidRPr="00DE5C70">
        <w:rPr>
          <w:rStyle w:val="TitleChar"/>
        </w:rPr>
        <w:t>did not in fact decriminalize cannabis offences, as it was still against the law to possess cannabis even in the ‘‘decriminalization’’ states.</w:t>
      </w:r>
      <w:r w:rsidRPr="00DE5C70">
        <w:t xml:space="preserve"> </w:t>
      </w:r>
      <w:r w:rsidRPr="00DE5C70">
        <w:rPr>
          <w:rStyle w:val="TitleChar"/>
        </w:rPr>
        <w:t xml:space="preserve">Rather they should more correctly viewed as depenalization measures that </w:t>
      </w:r>
      <w:r w:rsidRPr="004A40F4">
        <w:rPr>
          <w:rStyle w:val="Emphasis"/>
        </w:rPr>
        <w:t>reduced the severity of penalties</w:t>
      </w:r>
      <w:r w:rsidRPr="00DE5C70">
        <w:rPr>
          <w:rStyle w:val="TitleChar"/>
        </w:rPr>
        <w:t xml:space="preserve"> to a maximum of a fine only</w:t>
      </w:r>
      <w:r w:rsidRPr="00DE5C70">
        <w:t>. The legal specifics depend on the drug legislation of the country in question, but it is clear that there many variations on this option. The variations include:</w:t>
      </w:r>
    </w:p>
    <w:p w14:paraId="36C4F684" w14:textId="77777777" w:rsidR="00104DE2" w:rsidRPr="00DE5C70" w:rsidRDefault="00104DE2" w:rsidP="00104DE2">
      <w:pPr>
        <w:pStyle w:val="ListParagraph"/>
        <w:numPr>
          <w:ilvl w:val="0"/>
          <w:numId w:val="12"/>
        </w:numPr>
      </w:pPr>
      <w:r w:rsidRPr="00DE5C70">
        <w:t>Removal of jail as a sentencing option in the drug legislation,</w:t>
      </w:r>
    </w:p>
    <w:p w14:paraId="3D31EBA3" w14:textId="77777777" w:rsidR="00104DE2" w:rsidRPr="00DE5C70" w:rsidRDefault="00104DE2" w:rsidP="00104DE2">
      <w:pPr>
        <w:pStyle w:val="ListParagraph"/>
        <w:numPr>
          <w:ilvl w:val="0"/>
          <w:numId w:val="12"/>
        </w:numPr>
      </w:pPr>
      <w:r w:rsidRPr="00DE5C70">
        <w:t>Conversion of cannabis offenses to a lower order of offense such as a ‘‘civil’’ violation subject to a fine only,</w:t>
      </w:r>
    </w:p>
    <w:p w14:paraId="3F29A335" w14:textId="77777777" w:rsidR="00104DE2" w:rsidRPr="00DE5C70" w:rsidRDefault="00104DE2" w:rsidP="00104DE2">
      <w:pPr>
        <w:pStyle w:val="ListParagraph"/>
        <w:numPr>
          <w:ilvl w:val="0"/>
          <w:numId w:val="12"/>
        </w:numPr>
      </w:pPr>
      <w:r w:rsidRPr="00DE5C70">
        <w:t>Automatic pre-trial or post-trial diversion of offenders to treatment or community service,</w:t>
      </w:r>
    </w:p>
    <w:p w14:paraId="3B66FDAC" w14:textId="77777777" w:rsidR="00104DE2" w:rsidRPr="00DE5C70" w:rsidRDefault="00104DE2" w:rsidP="00104DE2">
      <w:pPr>
        <w:pStyle w:val="ListParagraph"/>
        <w:numPr>
          <w:ilvl w:val="0"/>
          <w:numId w:val="12"/>
        </w:numPr>
      </w:pPr>
      <w:r w:rsidRPr="00DE5C70">
        <w:t>Automatic discharge of cases, and:or</w:t>
      </w:r>
    </w:p>
    <w:p w14:paraId="791E8C05" w14:textId="77777777" w:rsidR="00104DE2" w:rsidRPr="00DE5C70" w:rsidRDefault="00104DE2" w:rsidP="00104DE2">
      <w:pPr>
        <w:pStyle w:val="ListParagraph"/>
        <w:numPr>
          <w:ilvl w:val="0"/>
          <w:numId w:val="12"/>
        </w:numPr>
      </w:pPr>
      <w:r w:rsidRPr="00DE5C70">
        <w:t>‘‘Fine only’’ options such as the Expiation Notice procedure in South Australia whereby offenders are served a summons and given the opportunity to avoid a court process by payment of an administrative fine.</w:t>
      </w:r>
    </w:p>
    <w:p w14:paraId="23EE822C" w14:textId="77777777" w:rsidR="00104DE2" w:rsidRPr="00DE5C70" w:rsidRDefault="00104DE2" w:rsidP="00104DE2">
      <w:r w:rsidRPr="00DE5C70">
        <w:t xml:space="preserve">The term </w:t>
      </w:r>
      <w:r w:rsidRPr="00DE5C70">
        <w:rPr>
          <w:rStyle w:val="TitleChar"/>
        </w:rPr>
        <w:t>depenalization</w:t>
      </w:r>
      <w:r w:rsidRPr="00DE5C70">
        <w:t xml:space="preserve"> is neither attractive nor in common usage, but I would suggest that it </w:t>
      </w:r>
      <w:r w:rsidRPr="00DE5C70">
        <w:rPr>
          <w:rStyle w:val="TitleChar"/>
        </w:rPr>
        <w:t xml:space="preserve">should be used to more clearly distinguish between measures which reduce the penalties for cannabis offences from measures which actually remove these offences altogether. </w:t>
      </w:r>
      <w:r w:rsidRPr="00DE5C70">
        <w:rPr>
          <w:rStyle w:val="Emphasis"/>
        </w:rPr>
        <w:t>This is more than a semantic point</w:t>
      </w:r>
      <w:r w:rsidRPr="00DE5C70">
        <w:rPr>
          <w:rStyle w:val="TitleChar"/>
        </w:rPr>
        <w:t xml:space="preserve">. Many of the adverse consequences </w:t>
      </w:r>
      <w:r w:rsidRPr="00DE5C70">
        <w:t xml:space="preserve">to individual offenders arising from prohibitionist policies — </w:t>
      </w:r>
      <w:r w:rsidRPr="004A40F4">
        <w:rPr>
          <w:rStyle w:val="StyleUnderline"/>
        </w:rPr>
        <w:t>most notably, the criminal record consequences of a conviction</w:t>
      </w:r>
      <w:r w:rsidRPr="00DE5C70">
        <w:t xml:space="preserve"> — </w:t>
      </w:r>
      <w:r w:rsidRPr="004A40F4">
        <w:rPr>
          <w:rStyle w:val="Emphasis"/>
        </w:rPr>
        <w:t>stem from the fact that cannabis possession is illegal</w:t>
      </w:r>
      <w:r w:rsidRPr="00DE5C70">
        <w:rPr>
          <w:rStyle w:val="TitleChar"/>
        </w:rPr>
        <w:t xml:space="preserve"> </w:t>
      </w:r>
      <w:r w:rsidRPr="004A40F4">
        <w:rPr>
          <w:rStyle w:val="Emphasis"/>
        </w:rPr>
        <w:t>rather than the severity of the sentence</w:t>
      </w:r>
      <w:r w:rsidRPr="00DE5C70">
        <w:t>. Reducing the penalties can ameliorate some adverse consequences but would have little effect on those impacts which automatically result from the fact that an official crime was committed.</w:t>
      </w:r>
    </w:p>
    <w:p w14:paraId="4C367D1D" w14:textId="77777777" w:rsidR="00104DE2" w:rsidRPr="00104DE2" w:rsidRDefault="00104DE2" w:rsidP="00104DE2"/>
    <w:p w14:paraId="4D77F098" w14:textId="77777777" w:rsidR="0057686C" w:rsidRDefault="0057686C" w:rsidP="0057686C">
      <w:pPr>
        <w:pStyle w:val="Heading3"/>
      </w:pPr>
      <w:r>
        <w:t>AT: In is within</w:t>
      </w:r>
    </w:p>
    <w:p w14:paraId="0D55E238" w14:textId="77777777" w:rsidR="0057686C" w:rsidRDefault="0057686C" w:rsidP="0057686C"/>
    <w:p w14:paraId="32D44082" w14:textId="77777777" w:rsidR="0057686C" w:rsidRDefault="0057686C" w:rsidP="0057686C">
      <w:pPr>
        <w:pStyle w:val="Heading4"/>
      </w:pPr>
      <w:r>
        <w:t>In means based on the law of</w:t>
      </w:r>
    </w:p>
    <w:p w14:paraId="13BB7D9E" w14:textId="77777777" w:rsidR="0057686C" w:rsidRDefault="0057686C" w:rsidP="0057686C">
      <w:pPr>
        <w:rPr>
          <w:b/>
          <w:bCs/>
        </w:rPr>
      </w:pPr>
      <w:r w:rsidRPr="002F742B">
        <w:rPr>
          <w:rStyle w:val="Style13ptBold"/>
        </w:rPr>
        <w:t>Black’s Law Dictionary, 9</w:t>
      </w:r>
      <w:r>
        <w:rPr>
          <w:b/>
          <w:bCs/>
        </w:rPr>
        <w:t xml:space="preserve"> </w:t>
      </w:r>
      <w:r w:rsidRPr="00FC7CDF">
        <w:t>(9</w:t>
      </w:r>
      <w:r w:rsidRPr="00FC7CDF">
        <w:rPr>
          <w:vertAlign w:val="superscript"/>
        </w:rPr>
        <w:t>th</w:t>
      </w:r>
      <w:r w:rsidRPr="00FC7CDF">
        <w:t xml:space="preserve"> edition, “in”) //DH</w:t>
      </w:r>
    </w:p>
    <w:p w14:paraId="1ACEC754" w14:textId="77777777" w:rsidR="0057686C" w:rsidRPr="00FC7CDF" w:rsidRDefault="0057686C" w:rsidP="0057686C">
      <w:pPr>
        <w:rPr>
          <w:b/>
          <w:bCs/>
        </w:rPr>
      </w:pPr>
    </w:p>
    <w:p w14:paraId="09C1AC73" w14:textId="77777777" w:rsidR="0057686C" w:rsidRDefault="0057686C" w:rsidP="0057686C">
      <w:r w:rsidRPr="00FC7CDF">
        <w:rPr>
          <w:rStyle w:val="StyleUnderline"/>
        </w:rPr>
        <w:t>in,</w:t>
      </w:r>
      <w:r>
        <w:t xml:space="preserve"> prep. Under or </w:t>
      </w:r>
      <w:r w:rsidRPr="00FC7CDF">
        <w:rPr>
          <w:rStyle w:val="StyleUnderline"/>
        </w:rPr>
        <w:t>based on the law of</w:t>
      </w:r>
      <w:r>
        <w:t>&lt;to bring an action in contract&gt;.</w:t>
      </w:r>
    </w:p>
    <w:p w14:paraId="33227F3C" w14:textId="77777777" w:rsidR="0057686C" w:rsidRPr="00B55AD5" w:rsidRDefault="0057686C" w:rsidP="00B55AD5"/>
    <w:sectPr w:rsidR="0057686C"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6C7D0F"/>
    <w:multiLevelType w:val="hybridMultilevel"/>
    <w:tmpl w:val="1D8265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59352A"/>
    <w:multiLevelType w:val="hybridMultilevel"/>
    <w:tmpl w:val="CE04E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7686C"/>
    <w:rsid w:val="000139A3"/>
    <w:rsid w:val="00100833"/>
    <w:rsid w:val="00104529"/>
    <w:rsid w:val="00104DE2"/>
    <w:rsid w:val="00105942"/>
    <w:rsid w:val="00107396"/>
    <w:rsid w:val="00144A4C"/>
    <w:rsid w:val="00170B17"/>
    <w:rsid w:val="00176AB0"/>
    <w:rsid w:val="00177B7D"/>
    <w:rsid w:val="0018322D"/>
    <w:rsid w:val="001B5776"/>
    <w:rsid w:val="001E527A"/>
    <w:rsid w:val="001F78CE"/>
    <w:rsid w:val="00251FC7"/>
    <w:rsid w:val="002855A7"/>
    <w:rsid w:val="002B146A"/>
    <w:rsid w:val="002B5E17"/>
    <w:rsid w:val="002B7521"/>
    <w:rsid w:val="002D1B07"/>
    <w:rsid w:val="00301056"/>
    <w:rsid w:val="00315690"/>
    <w:rsid w:val="00316B75"/>
    <w:rsid w:val="00325646"/>
    <w:rsid w:val="00325B6B"/>
    <w:rsid w:val="003460F2"/>
    <w:rsid w:val="0038158C"/>
    <w:rsid w:val="003902BA"/>
    <w:rsid w:val="003A09E2"/>
    <w:rsid w:val="00407037"/>
    <w:rsid w:val="004605D6"/>
    <w:rsid w:val="004C60E8"/>
    <w:rsid w:val="004E3579"/>
    <w:rsid w:val="004E728B"/>
    <w:rsid w:val="004F39E0"/>
    <w:rsid w:val="00537BD5"/>
    <w:rsid w:val="0057268A"/>
    <w:rsid w:val="0057686C"/>
    <w:rsid w:val="00577E5C"/>
    <w:rsid w:val="005D2912"/>
    <w:rsid w:val="005F7027"/>
    <w:rsid w:val="006065BD"/>
    <w:rsid w:val="00645FA9"/>
    <w:rsid w:val="00647866"/>
    <w:rsid w:val="00665003"/>
    <w:rsid w:val="006A2AD0"/>
    <w:rsid w:val="006C2375"/>
    <w:rsid w:val="006D4ECC"/>
    <w:rsid w:val="00722258"/>
    <w:rsid w:val="007243E5"/>
    <w:rsid w:val="00766EA0"/>
    <w:rsid w:val="007A2226"/>
    <w:rsid w:val="007E0872"/>
    <w:rsid w:val="007F5B66"/>
    <w:rsid w:val="00823A1C"/>
    <w:rsid w:val="00845B9D"/>
    <w:rsid w:val="00860984"/>
    <w:rsid w:val="008B3ECB"/>
    <w:rsid w:val="008B4E85"/>
    <w:rsid w:val="008C1B2E"/>
    <w:rsid w:val="008D09DE"/>
    <w:rsid w:val="0091627E"/>
    <w:rsid w:val="0097032B"/>
    <w:rsid w:val="009D2EAD"/>
    <w:rsid w:val="009D54B2"/>
    <w:rsid w:val="009E1922"/>
    <w:rsid w:val="009F7ED2"/>
    <w:rsid w:val="00A20FF1"/>
    <w:rsid w:val="00A7778D"/>
    <w:rsid w:val="00A93661"/>
    <w:rsid w:val="00A95652"/>
    <w:rsid w:val="00AC0AB8"/>
    <w:rsid w:val="00AD7B27"/>
    <w:rsid w:val="00B33C6D"/>
    <w:rsid w:val="00B4508F"/>
    <w:rsid w:val="00B55AD5"/>
    <w:rsid w:val="00B8057C"/>
    <w:rsid w:val="00BB2C34"/>
    <w:rsid w:val="00BD6238"/>
    <w:rsid w:val="00BF593B"/>
    <w:rsid w:val="00BF773A"/>
    <w:rsid w:val="00BF7E81"/>
    <w:rsid w:val="00C13773"/>
    <w:rsid w:val="00C17CC8"/>
    <w:rsid w:val="00C426CA"/>
    <w:rsid w:val="00C54733"/>
    <w:rsid w:val="00C83417"/>
    <w:rsid w:val="00C9604F"/>
    <w:rsid w:val="00CA19AA"/>
    <w:rsid w:val="00CA3A35"/>
    <w:rsid w:val="00CC5298"/>
    <w:rsid w:val="00CD736E"/>
    <w:rsid w:val="00CD798D"/>
    <w:rsid w:val="00CE161E"/>
    <w:rsid w:val="00CF59A8"/>
    <w:rsid w:val="00D11156"/>
    <w:rsid w:val="00D325A9"/>
    <w:rsid w:val="00D36A8A"/>
    <w:rsid w:val="00D61409"/>
    <w:rsid w:val="00D6691E"/>
    <w:rsid w:val="00D71170"/>
    <w:rsid w:val="00DA1C92"/>
    <w:rsid w:val="00DA25D4"/>
    <w:rsid w:val="00DA6538"/>
    <w:rsid w:val="00E15E75"/>
    <w:rsid w:val="00E377CA"/>
    <w:rsid w:val="00E5262C"/>
    <w:rsid w:val="00E6728E"/>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A96C"/>
  <w15:chartTrackingRefBased/>
  <w15:docId w15:val="{9D89AB6C-5DBE-4265-B1AE-94384E526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7686C"/>
    <w:pPr>
      <w:spacing w:line="240" w:lineRule="auto"/>
    </w:pPr>
    <w:rPr>
      <w:rFonts w:ascii="Calibri" w:hAnsi="Calibri" w:cs="Calibri"/>
    </w:rPr>
  </w:style>
  <w:style w:type="paragraph" w:styleId="Heading1">
    <w:name w:val="heading 1"/>
    <w:aliases w:val="Pocket"/>
    <w:basedOn w:val="Normal"/>
    <w:next w:val="Normal"/>
    <w:link w:val="Heading1Char"/>
    <w:qFormat/>
    <w:rsid w:val="005768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686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unhideWhenUsed/>
    <w:qFormat/>
    <w:rsid w:val="0057686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unhideWhenUsed/>
    <w:qFormat/>
    <w:rsid w:val="0057686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768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86C"/>
  </w:style>
  <w:style w:type="character" w:customStyle="1" w:styleId="Heading1Char">
    <w:name w:val="Heading 1 Char"/>
    <w:aliases w:val="Pocket Char"/>
    <w:basedOn w:val="DefaultParagraphFont"/>
    <w:link w:val="Heading1"/>
    <w:rsid w:val="005768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686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57686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57686C"/>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57686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7686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o"/>
    <w:basedOn w:val="DefaultParagraphFont"/>
    <w:uiPriority w:val="6"/>
    <w:qFormat/>
    <w:rsid w:val="0057686C"/>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link w:val="Card"/>
    <w:uiPriority w:val="99"/>
    <w:unhideWhenUsed/>
    <w:rsid w:val="0057686C"/>
    <w:rPr>
      <w:color w:val="auto"/>
      <w:u w:val="none"/>
    </w:rPr>
  </w:style>
  <w:style w:type="character" w:styleId="FollowedHyperlink">
    <w:name w:val="FollowedHyperlink"/>
    <w:basedOn w:val="DefaultParagraphFont"/>
    <w:uiPriority w:val="99"/>
    <w:semiHidden/>
    <w:unhideWhenUsed/>
    <w:rsid w:val="0057686C"/>
    <w:rPr>
      <w:color w:val="auto"/>
      <w:u w:val="none"/>
    </w:rPr>
  </w:style>
  <w:style w:type="paragraph" w:customStyle="1" w:styleId="textbold">
    <w:name w:val="text bold"/>
    <w:basedOn w:val="Normal"/>
    <w:link w:val="Emphasis"/>
    <w:uiPriority w:val="7"/>
    <w:qFormat/>
    <w:rsid w:val="0057686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Card">
    <w:name w:val="Card"/>
    <w:basedOn w:val="Heading1"/>
    <w:link w:val="Hyperlink"/>
    <w:autoRedefine/>
    <w:uiPriority w:val="99"/>
    <w:qFormat/>
    <w:rsid w:val="0057686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57686C"/>
    <w:pPr>
      <w:ind w:left="720"/>
      <w:contextualSpacing/>
    </w:pPr>
  </w:style>
  <w:style w:type="character" w:customStyle="1" w:styleId="TitleChar">
    <w:name w:val="Title Char"/>
    <w:aliases w:val="title Char,UNDERLINE Char,Cites and Cards Char,Bold Underlined Char,Block Heading Char"/>
    <w:basedOn w:val="DefaultParagraphFont"/>
    <w:link w:val="Title"/>
    <w:uiPriority w:val="6"/>
    <w:qFormat/>
    <w:rsid w:val="0057686C"/>
    <w:rPr>
      <w:u w:val="single"/>
    </w:rPr>
  </w:style>
  <w:style w:type="paragraph" w:styleId="Title">
    <w:name w:val="Title"/>
    <w:aliases w:val="title,UNDERLINE,Cites and Cards,Bold Underlined,Block Heading"/>
    <w:basedOn w:val="Normal"/>
    <w:next w:val="Normal"/>
    <w:link w:val="TitleChar"/>
    <w:uiPriority w:val="6"/>
    <w:qFormat/>
    <w:rsid w:val="0057686C"/>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57686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erycrsreport.com/files/20130405_R43034_748c8d0a686780be53de61e26f9bae9b73c1937f.html" TargetMode="External"/><Relationship Id="rId13" Type="http://schemas.openxmlformats.org/officeDocument/2006/relationships/hyperlink" Target="https://www.uclalawreview.org/pdf/62-3-3.pdf" TargetMode="External"/><Relationship Id="rId3" Type="http://schemas.openxmlformats.org/officeDocument/2006/relationships/styles" Target="styles.xml"/><Relationship Id="rId7" Type="http://schemas.openxmlformats.org/officeDocument/2006/relationships/hyperlink" Target="https://policefundingdatabase.tminstituteldf.org/policingreform" TargetMode="External"/><Relationship Id="rId12" Type="http://schemas.openxmlformats.org/officeDocument/2006/relationships/hyperlink" Target="https://www.policeone.com/drug-interdiction-narcotics/articles/policing-protests-propel-marijuana-decriminalization-efforts-0vKZFAJbQvxDJwP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britannica.com/topic/criminal-justice" TargetMode="External"/><Relationship Id="rId11" Type="http://schemas.openxmlformats.org/officeDocument/2006/relationships/hyperlink" Target="https://www.everycrsreport.com/files/20130405_R43034_748c8d0a686780be53de61e26f9bae9b73c1937f.html" TargetMode="External"/><Relationship Id="rId5" Type="http://schemas.openxmlformats.org/officeDocument/2006/relationships/webSettings" Target="webSettings.xml"/><Relationship Id="rId15" Type="http://schemas.openxmlformats.org/officeDocument/2006/relationships/hyperlink" Target="https://www.forbes.com/sites/chrisroberts/2020/06/08/why-marijuana-legalization-funds-the-police/#3dbd70152f1e" TargetMode="External"/><Relationship Id="rId10" Type="http://schemas.openxmlformats.org/officeDocument/2006/relationships/hyperlink" Target="https://www.everycrsreport.com/files/20130405_R43034_748c8d0a686780be53de61e26f9bae9b73c1937f.html" TargetMode="External"/><Relationship Id="rId4" Type="http://schemas.openxmlformats.org/officeDocument/2006/relationships/settings" Target="settings.xml"/><Relationship Id="rId9" Type="http://schemas.openxmlformats.org/officeDocument/2006/relationships/hyperlink" Target="https://www.publichealthlawcenter.org/sites/default/files/resources/Toking-Smoking-Public-Health-2018.pdf" TargetMode="External"/><Relationship Id="rId14" Type="http://schemas.openxmlformats.org/officeDocument/2006/relationships/hyperlink" Target="https://www.uclalawreview.org/pdf/62-3-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FFA97-C1B5-41E4-864D-303C01A67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4919</Words>
  <Characters>28039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3</cp:revision>
  <dcterms:created xsi:type="dcterms:W3CDTF">2020-07-14T16:55:00Z</dcterms:created>
  <dcterms:modified xsi:type="dcterms:W3CDTF">2020-07-14T18:39:00Z</dcterms:modified>
</cp:coreProperties>
</file>