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F35D6E" w14:textId="7E94B0CA" w:rsidR="00FA3FD8" w:rsidRDefault="00FA3FD8" w:rsidP="00FA3FD8">
      <w:pPr>
        <w:pStyle w:val="Heading3"/>
      </w:pPr>
      <w:r>
        <w:t xml:space="preserve">Alt---Crip </w:t>
      </w:r>
      <w:proofErr w:type="spellStart"/>
      <w:r>
        <w:t>Muselogical</w:t>
      </w:r>
      <w:proofErr w:type="spellEnd"/>
    </w:p>
    <w:p w14:paraId="116A20F3" w14:textId="048C2EFD" w:rsidR="00F623F8" w:rsidRPr="00064D54" w:rsidRDefault="00F623F8" w:rsidP="00F623F8">
      <w:pPr>
        <w:pStyle w:val="Heading4"/>
      </w:pPr>
      <w:r>
        <w:t xml:space="preserve">The alternative is to endorse a </w:t>
      </w:r>
      <w:r w:rsidRPr="001A6542">
        <w:rPr>
          <w:u w:val="single"/>
        </w:rPr>
        <w:t xml:space="preserve">crip museological </w:t>
      </w:r>
      <w:r w:rsidR="00064D54">
        <w:rPr>
          <w:u w:val="single"/>
        </w:rPr>
        <w:t>praxis</w:t>
      </w:r>
      <w:r w:rsidR="00064D54">
        <w:t xml:space="preserve">---an </w:t>
      </w:r>
      <w:r w:rsidR="00064D54" w:rsidRPr="00064D54">
        <w:rPr>
          <w:u w:val="single"/>
        </w:rPr>
        <w:t>unsettlement of embedded knowledges</w:t>
      </w:r>
      <w:r w:rsidR="00064D54">
        <w:t xml:space="preserve"> that recreate violence</w:t>
      </w:r>
    </w:p>
    <w:p w14:paraId="544F9BB5" w14:textId="09288DF0" w:rsidR="00DC109D" w:rsidRPr="00F623F8" w:rsidRDefault="00DC109D" w:rsidP="00F623F8">
      <w:r w:rsidRPr="00F623F8">
        <w:rPr>
          <w:rStyle w:val="Style13ptBold"/>
        </w:rPr>
        <w:t>Brophy</w:t>
      </w:r>
      <w:r w:rsidRPr="00F623F8">
        <w:t>, Sarah.</w:t>
      </w:r>
      <w:r w:rsidR="00F623F8" w:rsidRPr="00F623F8">
        <w:t xml:space="preserve"> Sarah Brophy is an Associate Professor of English and Cultural Studies at McMaster University, Canada. She is the author of Witnessing AIDS: Writing, Testimony, and the Work of Mourning (2004) and of essays in the End of Empire and the English Novel since 1945, Contemporary Women’s Writing, and Literature and Medicine. With Janice </w:t>
      </w:r>
      <w:proofErr w:type="spellStart"/>
      <w:r w:rsidR="00F623F8" w:rsidRPr="00F623F8">
        <w:t>Hladki</w:t>
      </w:r>
      <w:proofErr w:type="spellEnd"/>
      <w:r w:rsidR="00F623F8" w:rsidRPr="00F623F8">
        <w:t>, she has co-edited the volume Embodied Politics in Visual Autobiography (2014). Collaborative work includes exhibitions on political video art and self-portraiture (2010, 2014-15) as well as co-edited special issues of Interventions (2013) and the Review of Education, Pedagogy, and Cultural Studies (2012).</w:t>
      </w:r>
      <w:r w:rsidRPr="00F623F8">
        <w:t xml:space="preserve"> </w:t>
      </w:r>
      <w:r w:rsidR="008E76DC">
        <w:t>[</w:t>
      </w:r>
      <w:proofErr w:type="spellStart"/>
      <w:r w:rsidRPr="00F623F8">
        <w:t>Cripping</w:t>
      </w:r>
      <w:proofErr w:type="spellEnd"/>
      <w:r w:rsidRPr="00F623F8">
        <w:t xml:space="preserve"> the Museum: Disability, Pedagogy, and Video Art. (</w:t>
      </w:r>
      <w:r w:rsidRPr="00F623F8">
        <w:rPr>
          <w:rStyle w:val="Style13ptBold"/>
        </w:rPr>
        <w:t>2014</w:t>
      </w:r>
      <w:r w:rsidRPr="00F623F8">
        <w:t>). Journal of literary &amp; cultural disability studies. Liverpool University Press.</w:t>
      </w:r>
      <w:r w:rsidR="008E76DC">
        <w:t>]KPOO-CJK</w:t>
      </w:r>
    </w:p>
    <w:p w14:paraId="21DD4059" w14:textId="77777777" w:rsidR="001A6542" w:rsidRPr="00B018AA" w:rsidRDefault="00DC109D" w:rsidP="00B55AD5">
      <w:pPr>
        <w:rPr>
          <w:sz w:val="16"/>
          <w:szCs w:val="16"/>
        </w:rPr>
      </w:pPr>
      <w:r w:rsidRPr="00B018AA">
        <w:rPr>
          <w:sz w:val="16"/>
          <w:szCs w:val="16"/>
        </w:rPr>
        <w:t>Entering Scrapes</w:t>
      </w:r>
    </w:p>
    <w:p w14:paraId="54833A9D" w14:textId="50BB0F74" w:rsidR="00A95652" w:rsidRDefault="00DC109D" w:rsidP="00B55AD5">
      <w:pPr>
        <w:rPr>
          <w:sz w:val="16"/>
        </w:rPr>
      </w:pPr>
      <w:r w:rsidRPr="00B04643">
        <w:rPr>
          <w:sz w:val="16"/>
        </w:rPr>
        <w:t>In November 2010, in conjunction with our co-hosted conference on “Health, Embodiment, and Visual Culture” at McMaster University (Canada), we co-curated an exhibition called “Scrapes: Unruly Embodiments in Video Art” at the McMaster Museum of Art. “</w:t>
      </w:r>
      <w:r w:rsidRPr="001A6542">
        <w:rPr>
          <w:u w:val="single"/>
        </w:rPr>
        <w:t>Scrapes</w:t>
      </w:r>
      <w:r w:rsidRPr="00B04643">
        <w:rPr>
          <w:sz w:val="16"/>
        </w:rPr>
        <w:t xml:space="preserve">” </w:t>
      </w:r>
      <w:r w:rsidRPr="001A6542">
        <w:rPr>
          <w:u w:val="single"/>
        </w:rPr>
        <w:t>suggests</w:t>
      </w:r>
      <w:r w:rsidRPr="00B04643">
        <w:rPr>
          <w:sz w:val="16"/>
        </w:rPr>
        <w:t xml:space="preserve"> several related </w:t>
      </w:r>
      <w:r w:rsidRPr="001A6542">
        <w:rPr>
          <w:u w:val="single"/>
        </w:rPr>
        <w:t>actions</w:t>
      </w:r>
      <w:r w:rsidRPr="00B04643">
        <w:rPr>
          <w:sz w:val="16"/>
        </w:rPr>
        <w:t>, pressures, or forces</w:t>
      </w:r>
      <w:r w:rsidRPr="001A6542">
        <w:rPr>
          <w:u w:val="single"/>
        </w:rPr>
        <w:t>: to scratch, to uncover, to wound or rupture, to inscribe or erase, to dig or claw, to get into or make trouble, and to bring together with difficulty</w:t>
      </w:r>
      <w:r w:rsidRPr="00B04643">
        <w:rPr>
          <w:sz w:val="16"/>
        </w:rPr>
        <w:t xml:space="preserve">. In curating this exhibition, </w:t>
      </w:r>
      <w:r w:rsidRPr="001A6542">
        <w:rPr>
          <w:b/>
          <w:bCs/>
          <w:u w:val="single"/>
        </w:rPr>
        <w:t>we had an opportunity to explore how visual culture troubles the production of knowledge about multiple embodiments, particularly disability subjectivities.</w:t>
      </w:r>
      <w:r w:rsidRPr="00B04643">
        <w:rPr>
          <w:sz w:val="16"/>
        </w:rPr>
        <w:t xml:space="preserve"> </w:t>
      </w:r>
      <w:r w:rsidRPr="00090C4E">
        <w:rPr>
          <w:u w:val="single"/>
        </w:rPr>
        <w:t>Video art provides a rich ground for uncovering or unleashing imaginaries</w:t>
      </w:r>
      <w:r w:rsidRPr="00B04643">
        <w:rPr>
          <w:sz w:val="16"/>
        </w:rPr>
        <w:t>, s</w:t>
      </w:r>
      <w:r w:rsidRPr="00090C4E">
        <w:rPr>
          <w:u w:val="single"/>
        </w:rPr>
        <w:t xml:space="preserve">ince this form of cultural production does not follow the norms of moving image culture. Experimental image, audio, and narrative devices, along with political subject matter, combined to produce a </w:t>
      </w:r>
      <w:proofErr w:type="gramStart"/>
      <w:r w:rsidRPr="00090C4E">
        <w:rPr>
          <w:u w:val="single"/>
        </w:rPr>
        <w:t>“scrapes”</w:t>
      </w:r>
      <w:proofErr w:type="gramEnd"/>
      <w:r w:rsidRPr="00090C4E">
        <w:rPr>
          <w:u w:val="single"/>
        </w:rPr>
        <w:t xml:space="preserve"> thematic: a dissident scraping of bodies against institutional containments</w:t>
      </w:r>
      <w:r w:rsidRPr="00B04643">
        <w:rPr>
          <w:sz w:val="16"/>
        </w:rPr>
        <w:t>. This article insists on the implications of “scrapes” and “</w:t>
      </w:r>
      <w:r w:rsidRPr="00090C4E">
        <w:rPr>
          <w:b/>
          <w:bCs/>
          <w:u w:val="single"/>
        </w:rPr>
        <w:t>to scrape” in order to crip museological praxis</w:t>
      </w:r>
      <w:r w:rsidRPr="00B04643">
        <w:rPr>
          <w:sz w:val="16"/>
        </w:rPr>
        <w:t xml:space="preserve">. We argue that </w:t>
      </w:r>
      <w:proofErr w:type="spellStart"/>
      <w:r w:rsidRPr="009F6AAF">
        <w:rPr>
          <w:u w:val="single"/>
        </w:rPr>
        <w:t>cripistemologies</w:t>
      </w:r>
      <w:proofErr w:type="spellEnd"/>
      <w:r w:rsidRPr="009F6AAF">
        <w:rPr>
          <w:u w:val="single"/>
        </w:rPr>
        <w:t xml:space="preserve"> fundamentally depend on practices of disturbance</w:t>
      </w:r>
      <w:r w:rsidRPr="00B04643">
        <w:rPr>
          <w:sz w:val="16"/>
        </w:rPr>
        <w:t xml:space="preserve"> and unsettlement: </w:t>
      </w:r>
      <w:proofErr w:type="spellStart"/>
      <w:r w:rsidRPr="009F6AAF">
        <w:rPr>
          <w:u w:val="single"/>
        </w:rPr>
        <w:t>cripping</w:t>
      </w:r>
      <w:proofErr w:type="spellEnd"/>
      <w:r w:rsidRPr="00B04643">
        <w:rPr>
          <w:sz w:val="16"/>
        </w:rPr>
        <w:t xml:space="preserve">, in our argument, </w:t>
      </w:r>
      <w:r w:rsidRPr="009F6AAF">
        <w:rPr>
          <w:u w:val="single"/>
        </w:rPr>
        <w:t>entails scraping</w:t>
      </w:r>
      <w:r w:rsidRPr="00B04643">
        <w:rPr>
          <w:sz w:val="16"/>
        </w:rPr>
        <w:t xml:space="preserve">—the troubling, 316 Sarah Brophy and Janice </w:t>
      </w:r>
      <w:proofErr w:type="spellStart"/>
      <w:r w:rsidRPr="00B04643">
        <w:rPr>
          <w:sz w:val="16"/>
        </w:rPr>
        <w:t>Hladki</w:t>
      </w:r>
      <w:proofErr w:type="spellEnd"/>
      <w:r w:rsidRPr="00B04643">
        <w:rPr>
          <w:sz w:val="16"/>
        </w:rPr>
        <w:t xml:space="preserve"> </w:t>
      </w:r>
      <w:r w:rsidRPr="009F6AAF">
        <w:rPr>
          <w:b/>
          <w:bCs/>
          <w:u w:val="single"/>
        </w:rPr>
        <w:t>the uncovering, the rupturing—of embedded knowledges that otherwise tend to sediment into uninterrogated ableist and diversity discourses</w:t>
      </w:r>
      <w:r w:rsidRPr="00B04643">
        <w:rPr>
          <w:sz w:val="16"/>
        </w:rPr>
        <w:t xml:space="preserve">. Entering through the glass doors of the main gallery of the MMA, visitors crossed the threshold into a large open space with video projections on two walls and three monitors with video works. </w:t>
      </w:r>
      <w:r w:rsidRPr="00064D54">
        <w:rPr>
          <w:u w:val="single"/>
        </w:rPr>
        <w:t>Directly in front of the gallery entrance, visitors encountered the compilation component of “Scrapes,” “Program A,” which this article examines. Projected large and with ambient sound, the video artworks created an intense presence, and the oversized bodies, spaces, and objects in the works captured the visitor’s attention at the initial moment of entry</w:t>
      </w:r>
      <w:r w:rsidRPr="00B04643">
        <w:rPr>
          <w:sz w:val="16"/>
        </w:rPr>
        <w:t xml:space="preserve">. Creating additional challenges to spectatorial processes of focusing and filtering was the fact that the exhibition included several other works on headphones in the same large room, including </w:t>
      </w:r>
      <w:r w:rsidRPr="00064D54">
        <w:rPr>
          <w:u w:val="single"/>
        </w:rPr>
        <w:t>Lisa Steele’s iconic feminist video Birthday Suit</w:t>
      </w:r>
      <w:r w:rsidRPr="00B04643">
        <w:rPr>
          <w:sz w:val="16"/>
        </w:rPr>
        <w:t>—with scars and defects (1974). A</w:t>
      </w:r>
      <w:r w:rsidRPr="00064D54">
        <w:rPr>
          <w:u w:val="single"/>
        </w:rPr>
        <w:t xml:space="preserve">nother piece, by Navajo artist Anna </w:t>
      </w:r>
      <w:proofErr w:type="spellStart"/>
      <w:r w:rsidRPr="00064D54">
        <w:rPr>
          <w:u w:val="single"/>
        </w:rPr>
        <w:t>Tsouhlarakis</w:t>
      </w:r>
      <w:proofErr w:type="spellEnd"/>
      <w:r w:rsidRPr="00064D54">
        <w:rPr>
          <w:u w:val="single"/>
        </w:rPr>
        <w:t>, entitled Let’s Dance</w:t>
      </w:r>
      <w:r w:rsidRPr="00B04643">
        <w:rPr>
          <w:sz w:val="16"/>
        </w:rPr>
        <w:t xml:space="preserve"> (2004), played in an adjacent, smaller space that had ambient sound for its sequence of many dance tunes. The gallery was dim, so that lighting would not interfere with the visuals of the moving images, but </w:t>
      </w:r>
      <w:r w:rsidRPr="00064D54">
        <w:rPr>
          <w:b/>
          <w:bCs/>
          <w:u w:val="single"/>
        </w:rPr>
        <w:t>this muted lighting also served to disorient the visitor from normative expectations of well-lit gallery conditions</w:t>
      </w:r>
      <w:r w:rsidRPr="00B04643">
        <w:rPr>
          <w:sz w:val="16"/>
        </w:rPr>
        <w:t xml:space="preserve">. Within the muted space, colors and shapes pulsed distinctly in the moving images, producing a conspicuous presence and a demand for attention. </w:t>
      </w:r>
      <w:r w:rsidRPr="00064D54">
        <w:rPr>
          <w:u w:val="single"/>
        </w:rPr>
        <w:t>The size of the projected images of our “Program A” sequence offered a commanding point of reference for the spectator, magnifying the subjects on view</w:t>
      </w:r>
      <w:r w:rsidRPr="00B04643">
        <w:rPr>
          <w:sz w:val="16"/>
        </w:rPr>
        <w:t xml:space="preserve">. The soundscape was deliberately busy and disruptive, since only some of the surrounding video artworks were on headphones, and </w:t>
      </w:r>
      <w:r w:rsidRPr="00AE2CE2">
        <w:rPr>
          <w:u w:val="single"/>
        </w:rPr>
        <w:t>visitors had to orient themselves to the layered auditory effects</w:t>
      </w:r>
      <w:r w:rsidRPr="00B04643">
        <w:rPr>
          <w:sz w:val="16"/>
        </w:rPr>
        <w:t xml:space="preserve">. In close proximity to a projection or a monitor, the act of listening to the videos in relation to their images was uncomplicated. But, taken as a whole, </w:t>
      </w:r>
      <w:r w:rsidRPr="00AE2CE2">
        <w:rPr>
          <w:b/>
          <w:bCs/>
          <w:u w:val="single"/>
        </w:rPr>
        <w:t>the overlapping music, dialogues, and monologues of the artworks in the different areas served to undermine the idea of subjectivity as complete, definitive, and unitary</w:t>
      </w:r>
      <w:r w:rsidRPr="00B04643">
        <w:rPr>
          <w:sz w:val="16"/>
        </w:rPr>
        <w:t xml:space="preserve">. </w:t>
      </w:r>
      <w:r w:rsidRPr="00AE2CE2">
        <w:rPr>
          <w:u w:val="single"/>
        </w:rPr>
        <w:t>Our goal for this combination</w:t>
      </w:r>
      <w:r w:rsidRPr="00B04643">
        <w:rPr>
          <w:sz w:val="16"/>
        </w:rPr>
        <w:t xml:space="preserve"> of orientation and disorientation in the aural and visual fields </w:t>
      </w:r>
      <w:r w:rsidRPr="00AE2CE2">
        <w:rPr>
          <w:b/>
          <w:bCs/>
          <w:u w:val="single"/>
        </w:rPr>
        <w:t>was to evoke an uncertain epistemological ground</w:t>
      </w:r>
      <w:r w:rsidRPr="00B04643">
        <w:rPr>
          <w:sz w:val="16"/>
        </w:rPr>
        <w:t xml:space="preserve">, </w:t>
      </w:r>
      <w:r w:rsidRPr="00AE2CE2">
        <w:rPr>
          <w:u w:val="single"/>
        </w:rPr>
        <w:t xml:space="preserve">a problematization of the representation of difference, and an interrogation of truth claims about dis/abled, queer, gendered, and Indigenous subjects. The intensiveness of the invitation to spectators, the force of visual and aural impact, and the layering of videos without pause or comment, </w:t>
      </w:r>
      <w:r w:rsidRPr="00AE2CE2">
        <w:rPr>
          <w:b/>
          <w:bCs/>
          <w:u w:val="single"/>
        </w:rPr>
        <w:t xml:space="preserve">combined to create a dynamic context for encountering </w:t>
      </w:r>
      <w:proofErr w:type="spellStart"/>
      <w:r w:rsidRPr="00AE2CE2">
        <w:rPr>
          <w:b/>
          <w:bCs/>
          <w:u w:val="single"/>
        </w:rPr>
        <w:t>cripistemologies</w:t>
      </w:r>
      <w:proofErr w:type="spellEnd"/>
      <w:r w:rsidRPr="00B04643">
        <w:rPr>
          <w:sz w:val="16"/>
        </w:rPr>
        <w:t xml:space="preserve">. </w:t>
      </w:r>
      <w:r w:rsidRPr="00B04643">
        <w:rPr>
          <w:u w:val="single"/>
        </w:rPr>
        <w:t xml:space="preserve">A key critical premise of our curatorial </w:t>
      </w:r>
      <w:r w:rsidRPr="00B04643">
        <w:rPr>
          <w:sz w:val="16"/>
        </w:rPr>
        <w:t xml:space="preserve">practice is that </w:t>
      </w:r>
      <w:r w:rsidRPr="00B04643">
        <w:rPr>
          <w:u w:val="single"/>
        </w:rPr>
        <w:t>unexpected strategies</w:t>
      </w:r>
      <w:r w:rsidRPr="00B04643">
        <w:rPr>
          <w:sz w:val="16"/>
        </w:rPr>
        <w:t xml:space="preserve"> of imagery, sound, </w:t>
      </w:r>
      <w:r w:rsidRPr="00B04643">
        <w:rPr>
          <w:u w:val="single"/>
        </w:rPr>
        <w:t>and narrative can contribute to pedagogical and activist conversations.</w:t>
      </w:r>
      <w:r w:rsidRPr="00B04643">
        <w:rPr>
          <w:sz w:val="16"/>
        </w:rPr>
        <w:t xml:space="preserve"> Anchoring the exhibition was Steele’s pioneering </w:t>
      </w:r>
      <w:proofErr w:type="spellStart"/>
      <w:r w:rsidRPr="00B04643">
        <w:rPr>
          <w:sz w:val="16"/>
        </w:rPr>
        <w:t>Cripping</w:t>
      </w:r>
      <w:proofErr w:type="spellEnd"/>
      <w:r w:rsidRPr="00B04643">
        <w:rPr>
          <w:sz w:val="16"/>
        </w:rPr>
        <w:t xml:space="preserve"> the Museum 317 autobiographical video, Birthday Suit, in which the artist conjures a sense of having survived a host of childhood accidents and health crises up to her twenty-seventh birthday, as she insistently strokes and narrates the various marks on her body. Screened life-size and solo at the end of a long gallery adjacent and open to the main gallery location of the “Program A” works, the sounds and images of Let’s Dance by </w:t>
      </w:r>
      <w:proofErr w:type="spellStart"/>
      <w:r w:rsidRPr="00B04643">
        <w:rPr>
          <w:sz w:val="16"/>
        </w:rPr>
        <w:t>Tsouhlarakis</w:t>
      </w:r>
      <w:proofErr w:type="spellEnd"/>
      <w:r w:rsidRPr="00B04643">
        <w:rPr>
          <w:sz w:val="16"/>
        </w:rPr>
        <w:t xml:space="preserve"> flowed into the main gallery. </w:t>
      </w:r>
      <w:r w:rsidRPr="00B04643">
        <w:rPr>
          <w:b/>
          <w:bCs/>
          <w:u w:val="single"/>
        </w:rPr>
        <w:t xml:space="preserve">This spatial arrangement and the images of Indigenous artist </w:t>
      </w:r>
      <w:proofErr w:type="spellStart"/>
      <w:r w:rsidRPr="00B04643">
        <w:rPr>
          <w:b/>
          <w:bCs/>
          <w:u w:val="single"/>
        </w:rPr>
        <w:t>Tsouhlarakis</w:t>
      </w:r>
      <w:proofErr w:type="spellEnd"/>
      <w:r w:rsidRPr="00B04643">
        <w:rPr>
          <w:b/>
          <w:bCs/>
          <w:u w:val="single"/>
        </w:rPr>
        <w:t xml:space="preserve"> learning culturally diverse dances with “others,” interrupted notions of embodied and cultural coherency and disrupted an easy </w:t>
      </w:r>
      <w:proofErr w:type="spellStart"/>
      <w:r w:rsidRPr="00B04643">
        <w:rPr>
          <w:b/>
          <w:bCs/>
          <w:u w:val="single"/>
        </w:rPr>
        <w:t>normali</w:t>
      </w:r>
      <w:proofErr w:type="spellEnd"/>
      <w:r w:rsidRPr="00B04643">
        <w:rPr>
          <w:b/>
          <w:bCs/>
          <w:u w:val="single"/>
        </w:rPr>
        <w:t/>
      </w:r>
      <w:proofErr w:type="spellStart"/>
      <w:r w:rsidRPr="00B04643">
        <w:rPr>
          <w:b/>
          <w:bCs/>
          <w:u w:val="single"/>
        </w:rPr>
        <w:t>zation</w:t>
      </w:r>
      <w:proofErr w:type="spellEnd"/>
      <w:r w:rsidRPr="00B04643">
        <w:rPr>
          <w:b/>
          <w:bCs/>
          <w:u w:val="single"/>
        </w:rPr>
        <w:t xml:space="preserve"> of “diversity.”</w:t>
      </w:r>
      <w:r w:rsidRPr="00B04643">
        <w:rPr>
          <w:sz w:val="16"/>
        </w:rPr>
        <w:t xml:space="preserve"> Projected large on the wall opposite Steele’s experimental feminist work and around the corner from </w:t>
      </w:r>
      <w:proofErr w:type="spellStart"/>
      <w:r w:rsidRPr="00B04643">
        <w:rPr>
          <w:sz w:val="16"/>
        </w:rPr>
        <w:t>Tshoularakis’s</w:t>
      </w:r>
      <w:proofErr w:type="spellEnd"/>
      <w:r w:rsidRPr="00B04643">
        <w:rPr>
          <w:sz w:val="16"/>
        </w:rPr>
        <w:t xml:space="preserve"> Indigenous political intervention, the </w:t>
      </w:r>
      <w:r w:rsidRPr="00B04643">
        <w:rPr>
          <w:u w:val="single"/>
        </w:rPr>
        <w:t xml:space="preserve">contemporary artworks of our looped “Program A” critically mobilized crip constitutions of embodied intersubjectivity, </w:t>
      </w:r>
      <w:r w:rsidRPr="00B04643">
        <w:rPr>
          <w:b/>
          <w:bCs/>
          <w:u w:val="single"/>
        </w:rPr>
        <w:t>rupturing visual culture’s tenacious circulation of able-bodied representation and the ongoing regulation of disability’s appearance</w:t>
      </w:r>
      <w:r w:rsidRPr="00B04643">
        <w:rPr>
          <w:sz w:val="16"/>
        </w:rPr>
        <w:t xml:space="preserve">. In the looped sequence, bodies chafed materially and politically against their worlds’ surfaces: an Rx pill bottle is dragged along the ground, a blind walker’s cane scuffs against pavement, and a transgender puppet’s social-change narrative reconfigures an environmental future. By </w:t>
      </w:r>
      <w:r w:rsidRPr="00B04643">
        <w:rPr>
          <w:u w:val="single"/>
        </w:rPr>
        <w:t xml:space="preserve">engaging closely with the visual and aural poetics and critical activist </w:t>
      </w:r>
      <w:proofErr w:type="spellStart"/>
      <w:r w:rsidRPr="00B04643">
        <w:rPr>
          <w:u w:val="single"/>
        </w:rPr>
        <w:t>rhetorics</w:t>
      </w:r>
      <w:proofErr w:type="spellEnd"/>
      <w:r w:rsidRPr="00B04643">
        <w:rPr>
          <w:u w:val="single"/>
        </w:rPr>
        <w:t xml:space="preserve"> of video works that reference HIV/AIDS, trans subjectivities, Indigeneity, and intellectual and sight disabilities, we do not intend to conflate such potentially disparate identities</w:t>
      </w:r>
      <w:r w:rsidRPr="00B04643">
        <w:rPr>
          <w:sz w:val="16"/>
        </w:rPr>
        <w:t xml:space="preserve">. Rather, we suggest </w:t>
      </w:r>
      <w:r w:rsidRPr="00B04643">
        <w:rPr>
          <w:u w:val="single"/>
        </w:rPr>
        <w:t>that a critical practice of theorizing non-normative embodiments together can contribute to a mutually informing unsettlement of ableist, heteronormative, and neocolonial social relations</w:t>
      </w:r>
      <w:r w:rsidRPr="00B04643">
        <w:rPr>
          <w:sz w:val="16"/>
        </w:rPr>
        <w:t xml:space="preserve">. </w:t>
      </w:r>
      <w:r w:rsidRPr="00B04643">
        <w:rPr>
          <w:u w:val="single"/>
        </w:rPr>
        <w:t xml:space="preserve">By looping together works by Jorge Lozano, the ensemble </w:t>
      </w:r>
      <w:proofErr w:type="gramStart"/>
      <w:r w:rsidRPr="00B04643">
        <w:rPr>
          <w:u w:val="single"/>
        </w:rPr>
        <w:t>Back to Back</w:t>
      </w:r>
      <w:proofErr w:type="gramEnd"/>
      <w:r w:rsidRPr="00B04643">
        <w:rPr>
          <w:u w:val="single"/>
        </w:rPr>
        <w:t xml:space="preserve"> Theatre/Theatre of Speed, Shelley Niro, Allyson Mitchell and Christina </w:t>
      </w:r>
      <w:proofErr w:type="spellStart"/>
      <w:r w:rsidRPr="00B04643">
        <w:rPr>
          <w:u w:val="single"/>
        </w:rPr>
        <w:t>Zeidler</w:t>
      </w:r>
      <w:proofErr w:type="spellEnd"/>
      <w:r w:rsidRPr="00B04643">
        <w:rPr>
          <w:u w:val="single"/>
        </w:rPr>
        <w:t xml:space="preserve">, and John Greyson, </w:t>
      </w:r>
      <w:r w:rsidRPr="00B04643">
        <w:rPr>
          <w:b/>
          <w:bCs/>
          <w:u w:val="single"/>
        </w:rPr>
        <w:t>we sought to re-orient the cultural meanings of disability and excessive embodiments</w:t>
      </w:r>
      <w:r w:rsidRPr="00B04643">
        <w:rPr>
          <w:u w:val="single"/>
        </w:rPr>
        <w:t>, and to make a space of possibility for difficult, unruly, and unpredictable appearances</w:t>
      </w:r>
      <w:r w:rsidRPr="00B04643">
        <w:rPr>
          <w:sz w:val="16"/>
        </w:rPr>
        <w:t>. Intersectionality manifested not as a mix of differences, then, but rather what Sara Ahmed might call a “</w:t>
      </w:r>
      <w:proofErr w:type="spellStart"/>
      <w:r w:rsidRPr="00B04643">
        <w:rPr>
          <w:sz w:val="16"/>
        </w:rPr>
        <w:t>disalignment</w:t>
      </w:r>
      <w:proofErr w:type="spellEnd"/>
      <w:r w:rsidRPr="00B04643">
        <w:rPr>
          <w:sz w:val="16"/>
        </w:rPr>
        <w:t xml:space="preserve">” of what livable lives look like (Queer Phenomenology, 172). The histories and ways of knowing that condition embodiment, the cultural spaces in which difference can appear and be encountered, and the cultural work of knowledge-making (generally not understood as a mobile, resistant process), we argue, can be </w:t>
      </w:r>
      <w:proofErr w:type="spellStart"/>
      <w:r w:rsidRPr="00B04643">
        <w:rPr>
          <w:sz w:val="16"/>
        </w:rPr>
        <w:t>disaligned</w:t>
      </w:r>
      <w:proofErr w:type="spellEnd"/>
      <w:r w:rsidRPr="00B04643">
        <w:rPr>
          <w:sz w:val="16"/>
        </w:rPr>
        <w:t xml:space="preserve"> by critical scrapes, and were by our critical curatorial practice in “Scrapes.” By considering how video art representations crip the museum, </w:t>
      </w:r>
      <w:r w:rsidRPr="00B04643">
        <w:rPr>
          <w:u w:val="single"/>
        </w:rPr>
        <w:t xml:space="preserve">we seek to query the constitution of the university context in which we work. </w:t>
      </w:r>
      <w:r w:rsidRPr="00B04643">
        <w:rPr>
          <w:sz w:val="16"/>
        </w:rPr>
        <w:t xml:space="preserve">In Disability 318 Sarah Brophy and Janice </w:t>
      </w:r>
      <w:proofErr w:type="spellStart"/>
      <w:r w:rsidRPr="00B04643">
        <w:rPr>
          <w:sz w:val="16"/>
        </w:rPr>
        <w:t>Hladki</w:t>
      </w:r>
      <w:proofErr w:type="spellEnd"/>
      <w:r w:rsidRPr="00B04643">
        <w:rPr>
          <w:sz w:val="16"/>
        </w:rPr>
        <w:t xml:space="preserve"> Aesthetics, Tobin </w:t>
      </w:r>
      <w:proofErr w:type="spellStart"/>
      <w:r w:rsidRPr="00B04643">
        <w:rPr>
          <w:sz w:val="16"/>
        </w:rPr>
        <w:t>Siebers</w:t>
      </w:r>
      <w:proofErr w:type="spellEnd"/>
      <w:r w:rsidRPr="00B04643">
        <w:rPr>
          <w:sz w:val="16"/>
        </w:rPr>
        <w:t xml:space="preserve"> limns a trajectory for disability subjects out of the de-authorizing domain of the asylum and into the legitimating realm of artistic or educational sites: “</w:t>
      </w:r>
      <w:r w:rsidRPr="00B04643">
        <w:rPr>
          <w:u w:val="single"/>
        </w:rPr>
        <w:t>The figure of disability checks out of the asylum, the sick house, and the hospital to take up residence in the art gallery, the museum, and the public square” (139). Our approach radicalizes this arc of movement, arguing against the idea of an inexorable, unidirectional shift in the institutional location of disability and instead for an understanding of the university art museum as a complexly layered and historically overdetermined institutional space</w:t>
      </w:r>
      <w:r w:rsidRPr="00B04643">
        <w:rPr>
          <w:sz w:val="16"/>
        </w:rPr>
        <w:t xml:space="preserve">. As Nirmala </w:t>
      </w:r>
      <w:proofErr w:type="spellStart"/>
      <w:r w:rsidRPr="00B04643">
        <w:rPr>
          <w:sz w:val="16"/>
        </w:rPr>
        <w:t>Erevelles</w:t>
      </w:r>
      <w:proofErr w:type="spellEnd"/>
      <w:r w:rsidRPr="00B04643">
        <w:rPr>
          <w:sz w:val="16"/>
        </w:rPr>
        <w:t xml:space="preserve">, Roderick A. Ferguson, and Margaret Price have all demonstrated, </w:t>
      </w:r>
      <w:r w:rsidRPr="00B04643">
        <w:rPr>
          <w:u w:val="single"/>
        </w:rPr>
        <w:t>the university’s alignment with Enlightenment rationality</w:t>
      </w:r>
      <w:r w:rsidRPr="00B04643">
        <w:rPr>
          <w:sz w:val="16"/>
        </w:rPr>
        <w:t>— and with the formation of self-regulating citizens for the nation and for the capitalist economy—</w:t>
      </w:r>
      <w:r w:rsidRPr="00B04643">
        <w:rPr>
          <w:b/>
          <w:bCs/>
          <w:u w:val="single"/>
        </w:rPr>
        <w:t>is predicated on a constitutive, nearly “unmentionable anxiety about non-normativity</w:t>
      </w:r>
      <w:r w:rsidRPr="00B04643">
        <w:rPr>
          <w:sz w:val="16"/>
        </w:rPr>
        <w:t xml:space="preserve">” (Ferguson, Aberrations, 60). Today, in the bureaucratized context of the neoliberal university, disability is typically contained and regulated within branding exercises designed to promote tolerance and, as Ahmed remarks, “diversity and equality become ‘things’ that can be measured” or “repackaged” (“Doing,” 596; see also On Being Included). </w:t>
      </w:r>
      <w:r w:rsidRPr="00B04643">
        <w:rPr>
          <w:u w:val="single"/>
        </w:rPr>
        <w:t>This model of diversity “reifies difference as something that already exists ‘in’ the bodies of others</w:t>
      </w:r>
      <w:r w:rsidRPr="00B04643">
        <w:rPr>
          <w:sz w:val="16"/>
        </w:rPr>
        <w:t xml:space="preserve">” (“Doing,” 604). </w:t>
      </w:r>
      <w:r w:rsidRPr="00B04643">
        <w:rPr>
          <w:u w:val="single"/>
        </w:rPr>
        <w:t>While disability imagery is perhaps more visible in the contemporary university than it has been previously, it remains the case that “the dominant description of disability is that it should appear as if it is not present, not appearing</w:t>
      </w:r>
      <w:r w:rsidRPr="00B04643">
        <w:rPr>
          <w:sz w:val="16"/>
        </w:rPr>
        <w:t>” (</w:t>
      </w:r>
      <w:proofErr w:type="spellStart"/>
      <w:r w:rsidRPr="00B04643">
        <w:rPr>
          <w:sz w:val="16"/>
        </w:rPr>
        <w:t>Titchkosky</w:t>
      </w:r>
      <w:proofErr w:type="spellEnd"/>
      <w:r w:rsidRPr="00B04643">
        <w:rPr>
          <w:sz w:val="16"/>
        </w:rPr>
        <w:t xml:space="preserve"> 96). Considering the university’s anxious and now increasingly appropriative relationship to embodied social differences, we recall Judith Butler’s observation that “trouble is inevitable and the task, how best to make it, what best way to be in it” (Gender Trouble, xxvii). What possibilities and impossibilities might we and other researcher-educators encounter in embarking on disability-themed curatorial projects? How might visual art exhibitions make trouble for higher education and its management of diversity and disability representation?</w:t>
      </w:r>
    </w:p>
    <w:p w14:paraId="5E3D9372" w14:textId="6BCCD197" w:rsidR="00FA3FD8" w:rsidRDefault="00FA3FD8" w:rsidP="00FA3FD8">
      <w:pPr>
        <w:pStyle w:val="Heading3"/>
      </w:pPr>
      <w:r>
        <w:t>Alt---</w:t>
      </w:r>
      <w:proofErr w:type="spellStart"/>
      <w:r>
        <w:t>Visbilizing</w:t>
      </w:r>
      <w:proofErr w:type="spellEnd"/>
      <w:r>
        <w:t xml:space="preserve"> project</w:t>
      </w:r>
    </w:p>
    <w:p w14:paraId="0CDE24AF" w14:textId="047E4CF9" w:rsidR="002E6EC8" w:rsidRDefault="00077BD0" w:rsidP="002E6EC8">
      <w:pPr>
        <w:pStyle w:val="Heading4"/>
      </w:pPr>
      <w:r>
        <w:t xml:space="preserve">The alternative is a </w:t>
      </w:r>
      <w:proofErr w:type="spellStart"/>
      <w:r w:rsidR="00B466DD">
        <w:t>v</w:t>
      </w:r>
      <w:r w:rsidRPr="00DB1528">
        <w:t>isibilizing</w:t>
      </w:r>
      <w:proofErr w:type="spellEnd"/>
      <w:r>
        <w:t xml:space="preserve"> project </w:t>
      </w:r>
      <w:r w:rsidR="002E6EC8">
        <w:t>that turns activities into strategies of rebellion</w:t>
      </w:r>
    </w:p>
    <w:p w14:paraId="212163E3" w14:textId="02E456AF" w:rsidR="002E6EC8" w:rsidRPr="002E6EC8" w:rsidRDefault="002E6EC8" w:rsidP="00B55AD5">
      <w:hyperlink r:id="rId6" w:history="1">
        <w:r w:rsidRPr="00DB1528">
          <w:rPr>
            <w:rStyle w:val="Hyperlink"/>
          </w:rPr>
          <w:t xml:space="preserve">Emily A </w:t>
        </w:r>
        <w:r w:rsidRPr="00364336">
          <w:rPr>
            <w:rStyle w:val="Style13ptBold"/>
          </w:rPr>
          <w:t>Nusbaum</w:t>
        </w:r>
        <w:r w:rsidRPr="00DB1528">
          <w:rPr>
            <w:rStyle w:val="Hyperlink"/>
          </w:rPr>
          <w:t xml:space="preserve"> ; Maya L </w:t>
        </w:r>
        <w:r w:rsidRPr="00364336">
          <w:rPr>
            <w:rStyle w:val="Style13ptBold"/>
          </w:rPr>
          <w:t>Steinborn</w:t>
        </w:r>
      </w:hyperlink>
      <w:r>
        <w:t>.  [</w:t>
      </w:r>
      <w:r w:rsidRPr="00DB1528">
        <w:t>A “</w:t>
      </w:r>
      <w:proofErr w:type="spellStart"/>
      <w:r w:rsidRPr="00DB1528">
        <w:t>Visibilizing</w:t>
      </w:r>
      <w:proofErr w:type="spellEnd"/>
      <w:r w:rsidRPr="00DB1528">
        <w:t>” Project: “Seeing” the Ontological Erasure of Disability in Teacher Education and Social Studies Curricula. (</w:t>
      </w:r>
      <w:r w:rsidRPr="00364336">
        <w:rPr>
          <w:rStyle w:val="Style13ptBold"/>
        </w:rPr>
        <w:t>2019</w:t>
      </w:r>
      <w:r w:rsidRPr="00DB1528">
        <w:t>). Journal of curriculum theorizing. Rochester: Foundation for Curriculum Theory</w:t>
      </w:r>
      <w:r>
        <w:t>.]KPOO-CJK</w:t>
      </w:r>
    </w:p>
    <w:p w14:paraId="21E5AB2B" w14:textId="77777777" w:rsidR="002E6EC8" w:rsidRPr="00E7741B" w:rsidRDefault="002E6EC8" w:rsidP="002E6EC8">
      <w:pPr>
        <w:rPr>
          <w:sz w:val="16"/>
          <w:szCs w:val="16"/>
        </w:rPr>
      </w:pPr>
      <w:r w:rsidRPr="00E7741B">
        <w:rPr>
          <w:sz w:val="16"/>
          <w:szCs w:val="16"/>
        </w:rPr>
        <w:t>Conceptualizing the Future of “</w:t>
      </w:r>
      <w:proofErr w:type="spellStart"/>
      <w:r w:rsidRPr="00E7741B">
        <w:rPr>
          <w:sz w:val="16"/>
          <w:szCs w:val="16"/>
        </w:rPr>
        <w:t>Visibilizing</w:t>
      </w:r>
      <w:proofErr w:type="spellEnd"/>
      <w:r w:rsidRPr="00E7741B">
        <w:rPr>
          <w:sz w:val="16"/>
          <w:szCs w:val="16"/>
        </w:rPr>
        <w:t xml:space="preserve">” </w:t>
      </w:r>
    </w:p>
    <w:p w14:paraId="7383E3FC" w14:textId="09149441" w:rsidR="002E6EC8" w:rsidRDefault="002E6EC8" w:rsidP="002E6EC8">
      <w:pPr>
        <w:rPr>
          <w:sz w:val="16"/>
        </w:rPr>
      </w:pPr>
      <w:r w:rsidRPr="00B466DD">
        <w:rPr>
          <w:sz w:val="16"/>
        </w:rPr>
        <w:t xml:space="preserve">Projects According to </w:t>
      </w:r>
      <w:r w:rsidRPr="00077BD0">
        <w:rPr>
          <w:u w:val="single"/>
        </w:rPr>
        <w:t xml:space="preserve">Sick Woman Theory, disabled people manifest “self-understanding, </w:t>
      </w:r>
      <w:proofErr w:type="spellStart"/>
      <w:r w:rsidRPr="00077BD0">
        <w:rPr>
          <w:u w:val="single"/>
        </w:rPr>
        <w:t>selfconsciousness</w:t>
      </w:r>
      <w:proofErr w:type="spellEnd"/>
      <w:r w:rsidRPr="00077BD0">
        <w:rPr>
          <w:u w:val="single"/>
        </w:rPr>
        <w:t>, and self-representation” through the act of claiming their right to life</w:t>
      </w:r>
      <w:r w:rsidRPr="00B466DD">
        <w:rPr>
          <w:sz w:val="16"/>
        </w:rPr>
        <w:t xml:space="preserve"> (</w:t>
      </w:r>
      <w:proofErr w:type="spellStart"/>
      <w:r w:rsidRPr="00B466DD">
        <w:rPr>
          <w:sz w:val="16"/>
        </w:rPr>
        <w:t>Hedva</w:t>
      </w:r>
      <w:proofErr w:type="spellEnd"/>
      <w:r w:rsidRPr="00B466DD">
        <w:rPr>
          <w:sz w:val="16"/>
        </w:rPr>
        <w:t xml:space="preserve">, 2016, </w:t>
      </w:r>
      <w:proofErr w:type="spellStart"/>
      <w:r w:rsidRPr="00B466DD">
        <w:rPr>
          <w:sz w:val="16"/>
        </w:rPr>
        <w:t>n.p.</w:t>
      </w:r>
      <w:proofErr w:type="spellEnd"/>
      <w:r w:rsidRPr="00B466DD">
        <w:rPr>
          <w:sz w:val="16"/>
        </w:rPr>
        <w:t xml:space="preserve">). </w:t>
      </w:r>
      <w:r w:rsidRPr="00077BD0">
        <w:rPr>
          <w:b/>
          <w:bCs/>
          <w:u w:val="single"/>
        </w:rPr>
        <w:t>By surviving when society was built to prevent their survival</w:t>
      </w:r>
      <w:r w:rsidRPr="00B466DD">
        <w:rPr>
          <w:sz w:val="16"/>
        </w:rPr>
        <w:t xml:space="preserve">, </w:t>
      </w:r>
      <w:r w:rsidRPr="00077BD0">
        <w:rPr>
          <w:u w:val="single"/>
        </w:rPr>
        <w:t>disabled people become sites of political power and knowledge in their very existence, working against normative conceptions of whose knowledge is valuable or worthy</w:t>
      </w:r>
      <w:r w:rsidRPr="00B466DD">
        <w:rPr>
          <w:sz w:val="16"/>
        </w:rPr>
        <w:t xml:space="preserve">. </w:t>
      </w:r>
      <w:r w:rsidRPr="00077BD0">
        <w:rPr>
          <w:u w:val="single"/>
        </w:rPr>
        <w:t>This “</w:t>
      </w:r>
      <w:proofErr w:type="spellStart"/>
      <w:r w:rsidRPr="00077BD0">
        <w:rPr>
          <w:u w:val="single"/>
        </w:rPr>
        <w:t>visibilizing</w:t>
      </w:r>
      <w:proofErr w:type="spellEnd"/>
      <w:r w:rsidRPr="00077BD0">
        <w:rPr>
          <w:u w:val="single"/>
        </w:rPr>
        <w:t>” project</w:t>
      </w:r>
      <w:r w:rsidRPr="00B466DD">
        <w:rPr>
          <w:sz w:val="16"/>
        </w:rPr>
        <w:t xml:space="preserve">, then, </w:t>
      </w:r>
      <w:r w:rsidRPr="00077BD0">
        <w:rPr>
          <w:u w:val="single"/>
        </w:rPr>
        <w:t>requires that activism take place in disabled body-minds, disability-literate curricula, and radically inclusive classrooms</w:t>
      </w:r>
      <w:r w:rsidRPr="00B466DD">
        <w:rPr>
          <w:sz w:val="16"/>
        </w:rPr>
        <w:t xml:space="preserve">. Rather than situating this activism and ontology “in the street” (Arendt, 1958) or the industrial confines of the general education classroom, </w:t>
      </w:r>
      <w:r w:rsidRPr="00077BD0">
        <w:rPr>
          <w:b/>
          <w:bCs/>
          <w:u w:val="single"/>
        </w:rPr>
        <w:t>disability-ontology is situated in the body and with community</w:t>
      </w:r>
      <w:r w:rsidRPr="00B466DD">
        <w:rPr>
          <w:sz w:val="16"/>
        </w:rPr>
        <w:t xml:space="preserve">. The body and the community are reframed as syllabi—not for the purpose of delineating normal/abnormal boundaries or advancing curative science, but for the purpose of asserting and validating disabled people’s knowledge of themselves and their world. </w:t>
      </w:r>
      <w:proofErr w:type="spellStart"/>
      <w:r w:rsidRPr="00077BD0">
        <w:rPr>
          <w:u w:val="single"/>
        </w:rPr>
        <w:t>Visibilizing</w:t>
      </w:r>
      <w:proofErr w:type="spellEnd"/>
      <w:r w:rsidRPr="00077BD0">
        <w:rPr>
          <w:u w:val="single"/>
        </w:rPr>
        <w:t xml:space="preserve"> disability-ontology can then be understood as engaging in the “creative process of turning everyday activities into strategies of rebellion”</w:t>
      </w:r>
      <w:r w:rsidRPr="00B466DD">
        <w:rPr>
          <w:sz w:val="16"/>
        </w:rPr>
        <w:t xml:space="preserve"> (</w:t>
      </w:r>
      <w:proofErr w:type="spellStart"/>
      <w:r w:rsidRPr="00B466DD">
        <w:rPr>
          <w:sz w:val="16"/>
        </w:rPr>
        <w:t>Anyon</w:t>
      </w:r>
      <w:proofErr w:type="spellEnd"/>
      <w:r w:rsidRPr="00B466DD">
        <w:rPr>
          <w:sz w:val="16"/>
        </w:rPr>
        <w:t xml:space="preserve">, 2005, p. 143). </w:t>
      </w:r>
      <w:r w:rsidRPr="00B466DD">
        <w:rPr>
          <w:u w:val="single"/>
        </w:rPr>
        <w:t xml:space="preserve">With the goal of </w:t>
      </w:r>
      <w:proofErr w:type="spellStart"/>
      <w:r w:rsidRPr="00B466DD">
        <w:rPr>
          <w:u w:val="single"/>
        </w:rPr>
        <w:t>visibilizing</w:t>
      </w:r>
      <w:proofErr w:type="spellEnd"/>
      <w:r w:rsidRPr="00B466DD">
        <w:rPr>
          <w:u w:val="single"/>
        </w:rPr>
        <w:t xml:space="preserve"> disability in anti-oppressive multicultural curricula, human rights can be used as a tool to create interest convergence by foregrounding commonalities between disabled people and other marginalized communities, all of whom are dedicated to securing their rights to life, freedom, education, safety, and cultural expression, and all of whom cross paths in education and scholarship</w:t>
      </w:r>
      <w:r w:rsidRPr="00B466DD">
        <w:rPr>
          <w:sz w:val="16"/>
        </w:rPr>
        <w:t xml:space="preserve"> (Bell, 1980; UNGA, 1948). </w:t>
      </w:r>
      <w:r w:rsidRPr="00B466DD">
        <w:rPr>
          <w:b/>
          <w:bCs/>
          <w:u w:val="single"/>
        </w:rPr>
        <w:t>The interest convergence that brought the Black Panthers, Delancey Street Foundation, and Butterfly Brigade to the 1977 Section 504 sit-ins</w:t>
      </w:r>
      <w:r w:rsidRPr="00B466DD">
        <w:rPr>
          <w:sz w:val="16"/>
        </w:rPr>
        <w:t xml:space="preserve"> (O’Toole, 2015) </w:t>
      </w:r>
      <w:r w:rsidRPr="00B466DD">
        <w:rPr>
          <w:u w:val="single"/>
        </w:rPr>
        <w:t xml:space="preserve">can again bring scholars together from different disciplines, for the achievements of one group can and should have ripple effects for others. </w:t>
      </w:r>
      <w:r w:rsidRPr="00B466DD">
        <w:rPr>
          <w:sz w:val="16"/>
        </w:rPr>
        <w:t xml:space="preserve">Human rights education (HRE), which holds transformative action and social change as core tenets and sees the right to education as paramount (Bajaj, 2011; Tibbitts, 2002), is just one example of an anti-oppressive multicultural discipline wherein disability can and should be </w:t>
      </w:r>
      <w:proofErr w:type="spellStart"/>
      <w:r w:rsidRPr="00B466DD">
        <w:rPr>
          <w:sz w:val="16"/>
        </w:rPr>
        <w:t>visibilized</w:t>
      </w:r>
      <w:proofErr w:type="spellEnd"/>
      <w:r w:rsidRPr="00B466DD">
        <w:rPr>
          <w:sz w:val="16"/>
        </w:rPr>
        <w:t xml:space="preserve">. HRE is fundamentally about the inalienable social, cultural, and political rights of all people, so from a human rights perspective, </w:t>
      </w:r>
      <w:r w:rsidRPr="00B466DD">
        <w:rPr>
          <w:u w:val="single"/>
        </w:rPr>
        <w:t>disabled people claiming their right to life is a transformative social, cultural, and political act that not only requires, but also proves, metacognition</w:t>
      </w:r>
      <w:r w:rsidRPr="00B466DD">
        <w:rPr>
          <w:sz w:val="16"/>
        </w:rPr>
        <w:t xml:space="preserve">. Claiming personhood requires people to think about who they are, as well as what their existence means and what rights it entails and, as such, proves that disabled people have a stake in society’s ontology. </w:t>
      </w:r>
      <w:r w:rsidRPr="00B466DD">
        <w:rPr>
          <w:u w:val="single"/>
        </w:rPr>
        <w:t>Traditional conceptions of knowledge and being are uprooted through this incorporation of disability because scholars are forced to renegotiate their proximity to power and broaden their largely Western definitions of intelligence and logic.</w:t>
      </w:r>
      <w:r w:rsidRPr="00B466DD">
        <w:rPr>
          <w:sz w:val="16"/>
        </w:rPr>
        <w:t xml:space="preserve"> By claiming personhood and infiltrating new areas of academia, “</w:t>
      </w:r>
      <w:r w:rsidRPr="00B466DD">
        <w:rPr>
          <w:b/>
          <w:bCs/>
          <w:u w:val="single"/>
        </w:rPr>
        <w:t>disabled people…push against dominance while also…[pulling] society into disabled people’s way of seeing</w:t>
      </w:r>
      <w:r w:rsidRPr="00B466DD">
        <w:rPr>
          <w:sz w:val="16"/>
        </w:rPr>
        <w:t xml:space="preserve">” (Gabel &amp; Peters, 2004, pp. 594-595). This dissolves the Nusbaum &amp; Steinborn </w:t>
      </w:r>
      <w:r w:rsidRPr="00B466DD">
        <w:rPr>
          <w:sz w:val="16"/>
        </w:rPr>
        <w:sym w:font="Symbol" w:char="F077"/>
      </w:r>
      <w:r w:rsidRPr="00B466DD">
        <w:rPr>
          <w:sz w:val="16"/>
        </w:rPr>
        <w:t xml:space="preserve"> A “</w:t>
      </w:r>
      <w:proofErr w:type="spellStart"/>
      <w:r w:rsidRPr="00B466DD">
        <w:rPr>
          <w:sz w:val="16"/>
        </w:rPr>
        <w:t>Visibilizing</w:t>
      </w:r>
      <w:proofErr w:type="spellEnd"/>
      <w:r w:rsidRPr="00B466DD">
        <w:rPr>
          <w:sz w:val="16"/>
        </w:rPr>
        <w:t xml:space="preserve">” Project Journal of Curriculum Theorizing </w:t>
      </w:r>
      <w:r w:rsidRPr="00B466DD">
        <w:rPr>
          <w:rFonts w:ascii="Segoe UI Emoji" w:hAnsi="Segoe UI Emoji" w:cs="Segoe UI Emoji"/>
          <w:sz w:val="16"/>
        </w:rPr>
        <w:t>♦</w:t>
      </w:r>
      <w:r w:rsidRPr="00B466DD">
        <w:rPr>
          <w:sz w:val="16"/>
        </w:rPr>
        <w:t xml:space="preserve"> Volume 34, Number 1, 2019 31 “smart/not smart” binary to which much of education implicitly ascribes and creates an opening for collaboration between educators in previously segregated disciplines, like general and special education (Weiss &amp; Pellegrino, 2016, p. 189). In these acts of rebellion, disabled people’s and communities’ cultural wealth is born.</w:t>
      </w:r>
    </w:p>
    <w:p w14:paraId="75882F51" w14:textId="77777777" w:rsidR="00FA3FD8" w:rsidRPr="00B466DD" w:rsidRDefault="00FA3FD8" w:rsidP="002E6EC8">
      <w:pPr>
        <w:rPr>
          <w:sz w:val="16"/>
        </w:rPr>
      </w:pPr>
    </w:p>
    <w:p w14:paraId="00296F05" w14:textId="77777777" w:rsidR="00FA3FD8" w:rsidRDefault="00FA3FD8" w:rsidP="00FA3FD8">
      <w:pPr>
        <w:pStyle w:val="Heading3"/>
      </w:pPr>
      <w:r>
        <w:t>Yes ontology---education</w:t>
      </w:r>
    </w:p>
    <w:p w14:paraId="5094C372" w14:textId="77777777" w:rsidR="00FA3FD8" w:rsidRPr="00DB1528" w:rsidRDefault="00FA3FD8" w:rsidP="00FA3FD8">
      <w:pPr>
        <w:pStyle w:val="Heading4"/>
      </w:pPr>
      <w:r>
        <w:t>Violence against disabled people is ontological---specifically in the context of the educational landscape</w:t>
      </w:r>
    </w:p>
    <w:p w14:paraId="761AC1D5" w14:textId="77777777" w:rsidR="00FA3FD8" w:rsidRPr="00DB1528" w:rsidRDefault="00FA3FD8" w:rsidP="00FA3FD8">
      <w:hyperlink r:id="rId7" w:history="1">
        <w:r w:rsidRPr="00DB1528">
          <w:rPr>
            <w:rStyle w:val="Hyperlink"/>
          </w:rPr>
          <w:t xml:space="preserve">Emily A </w:t>
        </w:r>
        <w:r w:rsidRPr="00364336">
          <w:rPr>
            <w:rStyle w:val="Style13ptBold"/>
          </w:rPr>
          <w:t>Nusbaum</w:t>
        </w:r>
        <w:r w:rsidRPr="00DB1528">
          <w:rPr>
            <w:rStyle w:val="Hyperlink"/>
          </w:rPr>
          <w:t xml:space="preserve"> ; Maya L </w:t>
        </w:r>
        <w:r w:rsidRPr="00364336">
          <w:rPr>
            <w:rStyle w:val="Style13ptBold"/>
          </w:rPr>
          <w:t>Steinborn</w:t>
        </w:r>
      </w:hyperlink>
      <w:r>
        <w:t>.  [</w:t>
      </w:r>
      <w:r w:rsidRPr="00DB1528">
        <w:t>A “</w:t>
      </w:r>
      <w:proofErr w:type="spellStart"/>
      <w:r w:rsidRPr="00DB1528">
        <w:t>Visibilizing</w:t>
      </w:r>
      <w:proofErr w:type="spellEnd"/>
      <w:r w:rsidRPr="00DB1528">
        <w:t>” Project: “Seeing” the Ontological Erasure of Disability in Teacher Education and Social Studies Curricula. (</w:t>
      </w:r>
      <w:r w:rsidRPr="00364336">
        <w:rPr>
          <w:rStyle w:val="Style13ptBold"/>
        </w:rPr>
        <w:t>2019</w:t>
      </w:r>
      <w:r w:rsidRPr="00DB1528">
        <w:t>). Journal of curriculum theorizing. Rochester: Foundation for Curriculum Theory</w:t>
      </w:r>
      <w:r>
        <w:t>.]KPOO-CJK</w:t>
      </w:r>
    </w:p>
    <w:p w14:paraId="7B8AF34C" w14:textId="77777777" w:rsidR="00FA3FD8" w:rsidRPr="00364336" w:rsidRDefault="00FA3FD8" w:rsidP="00FA3FD8">
      <w:pPr>
        <w:rPr>
          <w:sz w:val="16"/>
          <w:szCs w:val="16"/>
        </w:rPr>
      </w:pPr>
      <w:r w:rsidRPr="00364336">
        <w:rPr>
          <w:sz w:val="16"/>
          <w:szCs w:val="16"/>
        </w:rPr>
        <w:t>Structuring the Theory of Ontological Erasure</w:t>
      </w:r>
    </w:p>
    <w:p w14:paraId="1CA4B29B" w14:textId="77777777" w:rsidR="00FA3FD8" w:rsidRDefault="00FA3FD8" w:rsidP="00FA3FD8">
      <w:pPr>
        <w:rPr>
          <w:b/>
          <w:bCs/>
          <w:u w:val="single"/>
        </w:rPr>
      </w:pPr>
      <w:r w:rsidRPr="00CF098C">
        <w:rPr>
          <w:u w:val="single"/>
        </w:rPr>
        <w:t xml:space="preserve">By articulating the absence of disability from dialogues about diversity and marginalization in education, this conceptual paper investigates the ways in which </w:t>
      </w:r>
      <w:r w:rsidRPr="00CF098C">
        <w:rPr>
          <w:b/>
          <w:bCs/>
          <w:u w:val="single"/>
        </w:rPr>
        <w:t>disability has been systemically erased</w:t>
      </w:r>
      <w:r w:rsidRPr="00364336">
        <w:rPr>
          <w:b/>
          <w:bCs/>
          <w:sz w:val="16"/>
        </w:rPr>
        <w:t>—</w:t>
      </w:r>
      <w:r w:rsidRPr="00364336">
        <w:rPr>
          <w:sz w:val="16"/>
        </w:rPr>
        <w:t>more than silenced—</w:t>
      </w:r>
      <w:r w:rsidRPr="00CF098C">
        <w:rPr>
          <w:b/>
          <w:bCs/>
          <w:u w:val="single"/>
        </w:rPr>
        <w:t>on an ontological level</w:t>
      </w:r>
      <w:r w:rsidRPr="00CF098C">
        <w:rPr>
          <w:u w:val="single"/>
        </w:rPr>
        <w:t xml:space="preserve"> from two fields wherein curriculum creation impacts not just content mastery, but what sources of knowledge are considered valid and worthy of study</w:t>
      </w:r>
      <w:r w:rsidRPr="00364336">
        <w:rPr>
          <w:sz w:val="16"/>
        </w:rPr>
        <w:t xml:space="preserve">: teacher education and critical social studies (CSS). </w:t>
      </w:r>
      <w:r w:rsidRPr="00364336">
        <w:rPr>
          <w:u w:val="single"/>
        </w:rPr>
        <w:t>In</w:t>
      </w:r>
      <w:r w:rsidRPr="00364336">
        <w:rPr>
          <w:sz w:val="16"/>
        </w:rPr>
        <w:t xml:space="preserve"> teacher </w:t>
      </w:r>
      <w:r w:rsidRPr="00364336">
        <w:rPr>
          <w:u w:val="single"/>
        </w:rPr>
        <w:t>education</w:t>
      </w:r>
      <w:r w:rsidRPr="00364336">
        <w:rPr>
          <w:sz w:val="16"/>
        </w:rPr>
        <w:t xml:space="preserve">, separate </w:t>
      </w:r>
      <w:r w:rsidRPr="00364336">
        <w:rPr>
          <w:u w:val="single"/>
        </w:rPr>
        <w:t>systems</w:t>
      </w:r>
      <w:r w:rsidRPr="00364336">
        <w:rPr>
          <w:sz w:val="16"/>
        </w:rPr>
        <w:t xml:space="preserve"> of preparing pre-service teachers </w:t>
      </w:r>
      <w:r w:rsidRPr="00364336">
        <w:rPr>
          <w:u w:val="single"/>
        </w:rPr>
        <w:t>are based on the binary of the “special” and “regular” student, reifying and reinforcing constructions of the “Other” about disabled students and those teachers who can/should teach them</w:t>
      </w:r>
      <w:r w:rsidRPr="00364336">
        <w:rPr>
          <w:sz w:val="16"/>
        </w:rPr>
        <w:t xml:space="preserve"> (Collins, 2013; Reid &amp; Valle, 2004). Concerned with “silences and exclusions that have plagued social studies,” CSS asserts that methods of teaching history should become more investigative, “inclusive and complex” (Jewett, 2007, p. 169). CSS further inculcates in its students “a concern for otherness…equity, and individual agency” (Klassen, 1997, pp. </w:t>
      </w:r>
      <w:proofErr w:type="spellStart"/>
      <w:r w:rsidRPr="00364336">
        <w:rPr>
          <w:sz w:val="16"/>
        </w:rPr>
        <w:t>iiiiv</w:t>
      </w:r>
      <w:proofErr w:type="spellEnd"/>
      <w:r w:rsidRPr="00364336">
        <w:rPr>
          <w:sz w:val="16"/>
        </w:rPr>
        <w:t xml:space="preserve">). Nusbaum &amp; Steinborn </w:t>
      </w:r>
      <w:r w:rsidRPr="00364336">
        <w:rPr>
          <w:sz w:val="16"/>
        </w:rPr>
        <w:sym w:font="Symbol" w:char="F077"/>
      </w:r>
      <w:r w:rsidRPr="00364336">
        <w:rPr>
          <w:sz w:val="16"/>
        </w:rPr>
        <w:t xml:space="preserve"> A “</w:t>
      </w:r>
      <w:proofErr w:type="spellStart"/>
      <w:r w:rsidRPr="00364336">
        <w:rPr>
          <w:sz w:val="16"/>
        </w:rPr>
        <w:t>Visibilizing</w:t>
      </w:r>
      <w:proofErr w:type="spellEnd"/>
      <w:r w:rsidRPr="00364336">
        <w:rPr>
          <w:sz w:val="16"/>
        </w:rPr>
        <w:t xml:space="preserve">” Project Journal of Curriculum Theorizing </w:t>
      </w:r>
      <w:r w:rsidRPr="00364336">
        <w:rPr>
          <w:rFonts w:ascii="Segoe UI Emoji" w:hAnsi="Segoe UI Emoji" w:cs="Segoe UI Emoji"/>
          <w:sz w:val="16"/>
        </w:rPr>
        <w:t>♦</w:t>
      </w:r>
      <w:r w:rsidRPr="00364336">
        <w:rPr>
          <w:sz w:val="16"/>
        </w:rPr>
        <w:t xml:space="preserve"> Volume 34, Number 1, 2019 26 </w:t>
      </w:r>
      <w:r w:rsidRPr="00364336">
        <w:rPr>
          <w:u w:val="single"/>
        </w:rPr>
        <w:t>These fields are probed to illustrate the genesis of ontological erasure, which we define as going beyond the absence of disability from curricular content or the silence regarding disability in educational justice conversations;</w:t>
      </w:r>
      <w:r w:rsidRPr="00364336">
        <w:rPr>
          <w:sz w:val="16"/>
        </w:rPr>
        <w:t xml:space="preserve"> rather, </w:t>
      </w:r>
      <w:r w:rsidRPr="00364336">
        <w:rPr>
          <w:b/>
          <w:bCs/>
          <w:u w:val="single"/>
        </w:rPr>
        <w:t>ontological erasure is the active erasing of certain body-minds from “being” in the educational landscape</w:t>
      </w:r>
      <w:r w:rsidRPr="00364336">
        <w:rPr>
          <w:sz w:val="16"/>
        </w:rPr>
        <w:t xml:space="preserve">. This shift from considerations of absence or silence, which both imply passivity and neglect, to an analysis that arrives at the concept of ontological erasure, which is explicitly active, although not necessarily malicious, is significant as it denotes issues of agency and power, as well as the possibility of purposeful change. </w:t>
      </w:r>
      <w:r w:rsidRPr="00364336">
        <w:rPr>
          <w:rStyle w:val="StyleUnderline"/>
        </w:rPr>
        <w:t>Ontological erasure</w:t>
      </w:r>
      <w:r w:rsidRPr="00364336">
        <w:rPr>
          <w:sz w:val="16"/>
        </w:rPr>
        <w:t xml:space="preserve">, then, </w:t>
      </w:r>
      <w:r w:rsidRPr="00364336">
        <w:rPr>
          <w:rStyle w:val="StyleUnderline"/>
        </w:rPr>
        <w:t>encapsulates the ways ableism creates societal norms that say disabled people cannot possibly be sources of knowledge because they lack, fundamentally, the ability to possess knowledge about themselves or the world</w:t>
      </w:r>
      <w:r w:rsidRPr="00364336">
        <w:rPr>
          <w:sz w:val="16"/>
        </w:rPr>
        <w:t xml:space="preserve">. They are </w:t>
      </w:r>
      <w:r w:rsidRPr="00364336">
        <w:rPr>
          <w:rStyle w:val="Emphasis"/>
        </w:rPr>
        <w:t>often viewed as already dead</w:t>
      </w:r>
      <w:r w:rsidRPr="00364336">
        <w:rPr>
          <w:sz w:val="16"/>
        </w:rPr>
        <w:t xml:space="preserve">, </w:t>
      </w:r>
      <w:r w:rsidRPr="00364336">
        <w:rPr>
          <w:rStyle w:val="StyleUnderline"/>
        </w:rPr>
        <w:t xml:space="preserve">as </w:t>
      </w:r>
      <w:proofErr w:type="gramStart"/>
      <w:r w:rsidRPr="00364336">
        <w:rPr>
          <w:rStyle w:val="StyleUnderline"/>
        </w:rPr>
        <w:t>nonentities</w:t>
      </w:r>
      <w:proofErr w:type="gramEnd"/>
      <w:r w:rsidRPr="00364336">
        <w:rPr>
          <w:rStyle w:val="StyleUnderline"/>
        </w:rPr>
        <w:t xml:space="preserve"> incapable of taking in or producing information, because they “were never meant to survive but did,”</w:t>
      </w:r>
      <w:r w:rsidRPr="00364336">
        <w:rPr>
          <w:sz w:val="16"/>
        </w:rPr>
        <w:t xml:space="preserve"> to borrow the language of disabled scholar Johanna </w:t>
      </w:r>
      <w:proofErr w:type="spellStart"/>
      <w:r w:rsidRPr="00364336">
        <w:rPr>
          <w:sz w:val="16"/>
        </w:rPr>
        <w:t>Hedva’s</w:t>
      </w:r>
      <w:proofErr w:type="spellEnd"/>
      <w:r w:rsidRPr="00364336">
        <w:rPr>
          <w:sz w:val="16"/>
        </w:rPr>
        <w:t xml:space="preserve"> (2016) Sick Woman Theory. Her theory—which critiques the way disabled bodies are policed and judged in society, alongside the ways disabled people resist nondisabled norms and forge unique ways of moving through, thinking about, and protesting the nondisabled world—is instrumental to understanding how curriculum plays a necropolitical and oppressive role in disabled people’s lives. </w:t>
      </w:r>
      <w:r w:rsidRPr="00364336">
        <w:rPr>
          <w:rStyle w:val="StyleUnderline"/>
        </w:rPr>
        <w:t>To make visible how ontological erasure has impacted curriculum studies</w:t>
      </w:r>
      <w:r w:rsidRPr="00364336">
        <w:rPr>
          <w:sz w:val="16"/>
        </w:rPr>
        <w:t xml:space="preserve">, </w:t>
      </w:r>
      <w:r w:rsidRPr="00364336">
        <w:rPr>
          <w:rStyle w:val="StyleUnderline"/>
        </w:rPr>
        <w:t>we first note early critiques of the absence of disability from broad, disciplinary inclusion discussions and the resulting “normal/disabled” binary that pervades education and educational practices</w:t>
      </w:r>
      <w:r w:rsidRPr="00364336">
        <w:rPr>
          <w:sz w:val="16"/>
        </w:rPr>
        <w:t>. We then address this form of ableism within teacher education and utilize our understanding of “studies in ableism” to explain our stance that disability is and should be centered as a source of knowledge and cultural wealth (</w:t>
      </w:r>
      <w:proofErr w:type="spellStart"/>
      <w:r w:rsidRPr="00364336">
        <w:rPr>
          <w:sz w:val="16"/>
        </w:rPr>
        <w:t>Yosso</w:t>
      </w:r>
      <w:proofErr w:type="spellEnd"/>
      <w:r w:rsidRPr="00364336">
        <w:rPr>
          <w:sz w:val="16"/>
        </w:rPr>
        <w:t xml:space="preserve">, 2005). </w:t>
      </w:r>
      <w:r w:rsidRPr="00364336">
        <w:rPr>
          <w:u w:val="single"/>
        </w:rPr>
        <w:t>We foreground the example of CSS since its goals of making social studies more inclusive, participatory, and anti-oppressive are aligned with DSE</w:t>
      </w:r>
      <w:r w:rsidRPr="00364336">
        <w:rPr>
          <w:sz w:val="16"/>
        </w:rPr>
        <w:t xml:space="preserve"> (Haworth, 2007), though the field does not analyze how disability has fundamentally affected who is considered human and who or what is worth learning about on a historical scale. The gaps in teacher education and CSS demonstrate how </w:t>
      </w:r>
      <w:r w:rsidRPr="00364336">
        <w:rPr>
          <w:b/>
          <w:bCs/>
          <w:u w:val="single"/>
        </w:rPr>
        <w:t>disability came to be erased from social justice scholarship in the U.S. and outline the necessity of further interdisciplinary research in disability studies in education</w:t>
      </w:r>
    </w:p>
    <w:p w14:paraId="586759C4" w14:textId="77777777" w:rsidR="00FA3FD8" w:rsidRDefault="00FA3FD8">
      <w:pPr>
        <w:rPr>
          <w:rFonts w:asciiTheme="minorHAnsi" w:hAnsiTheme="minorHAnsi" w:cstheme="minorBidi"/>
        </w:rPr>
      </w:pPr>
    </w:p>
    <w:sectPr w:rsidR="00FA3F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Kennedy"/>
    <w:docVar w:name="RibbonPointer" w:val="150407768"/>
    <w:docVar w:name="VerbatimVersion" w:val="5.1"/>
  </w:docVars>
  <w:rsids>
    <w:rsidRoot w:val="008842BF"/>
    <w:rsid w:val="000139A3"/>
    <w:rsid w:val="00064D54"/>
    <w:rsid w:val="00077BD0"/>
    <w:rsid w:val="00090C4E"/>
    <w:rsid w:val="00100833"/>
    <w:rsid w:val="00104529"/>
    <w:rsid w:val="00105942"/>
    <w:rsid w:val="00107396"/>
    <w:rsid w:val="00126DB0"/>
    <w:rsid w:val="00144A4C"/>
    <w:rsid w:val="00176AB0"/>
    <w:rsid w:val="00177B7D"/>
    <w:rsid w:val="0018322D"/>
    <w:rsid w:val="001A6542"/>
    <w:rsid w:val="001B5776"/>
    <w:rsid w:val="001E527A"/>
    <w:rsid w:val="001F78CE"/>
    <w:rsid w:val="00220660"/>
    <w:rsid w:val="00251FC7"/>
    <w:rsid w:val="002855A7"/>
    <w:rsid w:val="002978A5"/>
    <w:rsid w:val="002B146A"/>
    <w:rsid w:val="002B5E17"/>
    <w:rsid w:val="002E6EC8"/>
    <w:rsid w:val="00315690"/>
    <w:rsid w:val="00316B75"/>
    <w:rsid w:val="00325646"/>
    <w:rsid w:val="003460F2"/>
    <w:rsid w:val="00364336"/>
    <w:rsid w:val="0038158C"/>
    <w:rsid w:val="003902BA"/>
    <w:rsid w:val="003A09E2"/>
    <w:rsid w:val="00407037"/>
    <w:rsid w:val="00444096"/>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842BF"/>
    <w:rsid w:val="008B3ECB"/>
    <w:rsid w:val="008B4E85"/>
    <w:rsid w:val="008C1B2E"/>
    <w:rsid w:val="008D3A26"/>
    <w:rsid w:val="008E76DC"/>
    <w:rsid w:val="0091627E"/>
    <w:rsid w:val="0097032B"/>
    <w:rsid w:val="009D2EAD"/>
    <w:rsid w:val="009D54B2"/>
    <w:rsid w:val="009E1922"/>
    <w:rsid w:val="009F6AAF"/>
    <w:rsid w:val="009F73A4"/>
    <w:rsid w:val="009F7ED2"/>
    <w:rsid w:val="00A464DB"/>
    <w:rsid w:val="00A93661"/>
    <w:rsid w:val="00A95652"/>
    <w:rsid w:val="00AC0AB8"/>
    <w:rsid w:val="00AE2CE2"/>
    <w:rsid w:val="00B018AA"/>
    <w:rsid w:val="00B04643"/>
    <w:rsid w:val="00B33C6D"/>
    <w:rsid w:val="00B4508F"/>
    <w:rsid w:val="00B466DD"/>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098C"/>
    <w:rsid w:val="00CF59A8"/>
    <w:rsid w:val="00D325A9"/>
    <w:rsid w:val="00D36A8A"/>
    <w:rsid w:val="00D61409"/>
    <w:rsid w:val="00D6691E"/>
    <w:rsid w:val="00D71170"/>
    <w:rsid w:val="00D8582E"/>
    <w:rsid w:val="00DA1C92"/>
    <w:rsid w:val="00DA25D4"/>
    <w:rsid w:val="00DA6538"/>
    <w:rsid w:val="00DB1528"/>
    <w:rsid w:val="00DC109D"/>
    <w:rsid w:val="00E15E75"/>
    <w:rsid w:val="00E5262C"/>
    <w:rsid w:val="00E7741B"/>
    <w:rsid w:val="00EC7DC4"/>
    <w:rsid w:val="00ED30CF"/>
    <w:rsid w:val="00F176EF"/>
    <w:rsid w:val="00F45E10"/>
    <w:rsid w:val="00F623F8"/>
    <w:rsid w:val="00F6364A"/>
    <w:rsid w:val="00F9113A"/>
    <w:rsid w:val="00FA3FD8"/>
    <w:rsid w:val="00FE2546"/>
    <w:rsid w:val="00FE536B"/>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D4E99"/>
  <w15:chartTrackingRefBased/>
  <w15:docId w15:val="{D8572B8F-E7E3-45F2-BD8E-544476033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842BF"/>
    <w:rPr>
      <w:rFonts w:ascii="Calibri" w:hAnsi="Calibri" w:cs="Calibri"/>
    </w:rPr>
  </w:style>
  <w:style w:type="paragraph" w:styleId="Heading1">
    <w:name w:val="heading 1"/>
    <w:aliases w:val="Pocket"/>
    <w:basedOn w:val="Normal"/>
    <w:next w:val="Normal"/>
    <w:link w:val="Heading1Char"/>
    <w:qFormat/>
    <w:rsid w:val="008842B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842B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842B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8842B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8842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42BF"/>
  </w:style>
  <w:style w:type="character" w:customStyle="1" w:styleId="Heading1Char">
    <w:name w:val="Heading 1 Char"/>
    <w:aliases w:val="Pocket Char"/>
    <w:basedOn w:val="DefaultParagraphFont"/>
    <w:link w:val="Heading1"/>
    <w:rsid w:val="008842B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842B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842BF"/>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8842BF"/>
    <w:rPr>
      <w:rFonts w:ascii="Calibri" w:eastAsiaTheme="majorEastAsia" w:hAnsi="Calibri" w:cstheme="majorBidi"/>
      <w:b/>
      <w:iCs/>
      <w:sz w:val="26"/>
    </w:rPr>
  </w:style>
  <w:style w:type="character" w:styleId="Emphasis">
    <w:name w:val="Emphasis"/>
    <w:basedOn w:val="DefaultParagraphFont"/>
    <w:uiPriority w:val="7"/>
    <w:qFormat/>
    <w:rsid w:val="008842BF"/>
    <w:rPr>
      <w:rFonts w:ascii="Calibri" w:hAnsi="Calibri" w:cs="Calibri"/>
      <w:b/>
      <w:i w:val="0"/>
      <w:iCs/>
      <w:sz w:val="22"/>
      <w:u w:val="single"/>
      <w:bdr w:val="none" w:sz="0" w:space="0" w:color="auto"/>
    </w:rPr>
  </w:style>
  <w:style w:type="character" w:customStyle="1" w:styleId="Style13ptBold">
    <w:name w:val="Style 13 pt Bold"/>
    <w:aliases w:val="Cite"/>
    <w:basedOn w:val="DefaultParagraphFont"/>
    <w:uiPriority w:val="5"/>
    <w:qFormat/>
    <w:rsid w:val="008842BF"/>
    <w:rPr>
      <w:b/>
      <w:bCs/>
      <w:sz w:val="26"/>
      <w:u w:val="none"/>
    </w:rPr>
  </w:style>
  <w:style w:type="character" w:customStyle="1" w:styleId="StyleUnderline">
    <w:name w:val="Style Underline"/>
    <w:aliases w:val="Underline"/>
    <w:basedOn w:val="DefaultParagraphFont"/>
    <w:uiPriority w:val="6"/>
    <w:qFormat/>
    <w:rsid w:val="008842BF"/>
    <w:rPr>
      <w:b w:val="0"/>
      <w:sz w:val="22"/>
      <w:u w:val="single"/>
    </w:rPr>
  </w:style>
  <w:style w:type="character" w:styleId="Hyperlink">
    <w:name w:val="Hyperlink"/>
    <w:basedOn w:val="DefaultParagraphFont"/>
    <w:uiPriority w:val="99"/>
    <w:unhideWhenUsed/>
    <w:rsid w:val="008842BF"/>
    <w:rPr>
      <w:color w:val="auto"/>
      <w:u w:val="none"/>
    </w:rPr>
  </w:style>
  <w:style w:type="character" w:styleId="FollowedHyperlink">
    <w:name w:val="FollowedHyperlink"/>
    <w:basedOn w:val="DefaultParagraphFont"/>
    <w:uiPriority w:val="99"/>
    <w:semiHidden/>
    <w:unhideWhenUsed/>
    <w:rsid w:val="008842BF"/>
    <w:rPr>
      <w:color w:val="auto"/>
      <w:u w:val="none"/>
    </w:rPr>
  </w:style>
  <w:style w:type="paragraph" w:styleId="NormalWeb">
    <w:name w:val="Normal (Web)"/>
    <w:basedOn w:val="Normal"/>
    <w:uiPriority w:val="99"/>
    <w:semiHidden/>
    <w:unhideWhenUsed/>
    <w:rsid w:val="00F623F8"/>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DB15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628686">
      <w:bodyDiv w:val="1"/>
      <w:marLeft w:val="0"/>
      <w:marRight w:val="0"/>
      <w:marTop w:val="0"/>
      <w:marBottom w:val="0"/>
      <w:divBdr>
        <w:top w:val="none" w:sz="0" w:space="0" w:color="auto"/>
        <w:left w:val="none" w:sz="0" w:space="0" w:color="auto"/>
        <w:bottom w:val="none" w:sz="0" w:space="0" w:color="auto"/>
        <w:right w:val="none" w:sz="0" w:space="0" w:color="auto"/>
      </w:divBdr>
    </w:div>
    <w:div w:id="329599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search.lib.umich.edu/articles?query=author%3AEmily+A+Nusbaum+%3B+Maya+L+Steinbor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earch.lib.umich.edu/articles?query=author%3AEmily+A+Nusbaum+%3B+Maya+L+Steinbor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s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4C0FE-5F4F-46EB-ABCE-5CB04D598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2814</Words>
  <Characters>16046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Carson Kennedy</dc:creator>
  <cp:keywords>5.1.1</cp:keywords>
  <dc:description/>
  <cp:lastModifiedBy>Carson Kennedy</cp:lastModifiedBy>
  <cp:revision>2</cp:revision>
  <dcterms:created xsi:type="dcterms:W3CDTF">2021-07-26T16:41:00Z</dcterms:created>
  <dcterms:modified xsi:type="dcterms:W3CDTF">2021-07-26T16:41:00Z</dcterms:modified>
</cp:coreProperties>
</file>