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5B949" w14:textId="77777777" w:rsidR="00CC2CC5" w:rsidRDefault="00CC2CC5" w:rsidP="00CC2CC5">
      <w:pPr>
        <w:pStyle w:val="Heading1"/>
      </w:pPr>
      <w:r>
        <w:t xml:space="preserve">CBA Case Neg – AT </w:t>
      </w:r>
    </w:p>
    <w:p w14:paraId="0F620A4D" w14:textId="77777777" w:rsidR="00CC2CC5" w:rsidRDefault="00CC2CC5" w:rsidP="00CC2CC5">
      <w:pPr>
        <w:pStyle w:val="Heading2"/>
      </w:pPr>
      <w:r>
        <w:t>States CP</w:t>
      </w:r>
    </w:p>
    <w:p w14:paraId="3F31EB4A" w14:textId="77777777" w:rsidR="00CC2CC5" w:rsidRDefault="00CC2CC5" w:rsidP="00CC2CC5">
      <w:pPr>
        <w:pStyle w:val="Heading3"/>
      </w:pPr>
      <w:r>
        <w:t>TOP Level thoughts</w:t>
      </w:r>
    </w:p>
    <w:p w14:paraId="791C3C03" w14:textId="77777777" w:rsidR="00CC2CC5" w:rsidRDefault="00CC2CC5" w:rsidP="00CC2CC5">
      <w:r>
        <w:t>1] In the squo, the thing keeping states from implementing more stringent CWA standards than the fed are their own statues. States have “enacted statutes that generally constrain the state environmental agency from promulgating any regulation more stringent than federal environmental laws or regulations”, so can we fiat out of this by having states uniformly say they can pass more stringent then actually doing the plan (2 plank cp) or is that unnecessary if we just have the states do the cp because It’s implied that they no longer care about those statues or durable fiat solves?</w:t>
      </w:r>
    </w:p>
    <w:p w14:paraId="4B373FE4" w14:textId="77777777" w:rsidR="00CC2CC5" w:rsidRPr="008371BE" w:rsidRDefault="00CC2CC5" w:rsidP="00CC2CC5">
      <w:r>
        <w:t>2] If we do have the plank that allows states to enact statutes that allows them to impose more stringent standards, can we solve precedent by creating the room for it to happen – ik you don’t think that we should try to solve precendent but do you think it could be a possible effect?</w:t>
      </w:r>
    </w:p>
    <w:p w14:paraId="219AF0F6" w14:textId="77777777" w:rsidR="00CC2CC5" w:rsidRDefault="00CC2CC5" w:rsidP="00CC2CC5">
      <w:pPr>
        <w:pStyle w:val="Heading3"/>
      </w:pPr>
      <w:r>
        <w:t>1NC CP Text</w:t>
      </w:r>
    </w:p>
    <w:p w14:paraId="501ACCC2" w14:textId="77777777" w:rsidR="00CC2CC5" w:rsidRPr="000072C0" w:rsidRDefault="00CC2CC5" w:rsidP="00CC2CC5">
      <w:pPr>
        <w:pStyle w:val="Heading4"/>
      </w:pPr>
      <w:r>
        <w:t xml:space="preserve">CP: The 50 states and relevant sub federal governments should pass a statute saying they can impose more stringent standards than federal guidelines, stop using cost benefit analysis in determining the best available technology when implementing </w:t>
      </w:r>
      <w:r w:rsidRPr="009E3A59">
        <w:t>Section 1326(b) of the Clean Water Act</w:t>
      </w:r>
      <w:r>
        <w:t xml:space="preserve">, and determine that closed cooling systems or better should be used </w:t>
      </w:r>
    </w:p>
    <w:p w14:paraId="2F2DFB94" w14:textId="77777777" w:rsidR="00CC2CC5" w:rsidRPr="00944D1C" w:rsidRDefault="00CC2CC5" w:rsidP="00CC2CC5">
      <w:pPr>
        <w:pStyle w:val="Heading3"/>
      </w:pPr>
      <w:r>
        <w:t>States can impose more stringent standards</w:t>
      </w:r>
    </w:p>
    <w:p w14:paraId="12193316" w14:textId="77777777" w:rsidR="00CC2CC5" w:rsidRDefault="00CC2CC5" w:rsidP="00CC2CC5">
      <w:pPr>
        <w:pStyle w:val="Heading4"/>
      </w:pPr>
      <w:r>
        <w:t>States can implement more stringent standards – only thing stopping them in the squo are their own governments</w:t>
      </w:r>
    </w:p>
    <w:p w14:paraId="6BC9900E" w14:textId="77777777" w:rsidR="00CC2CC5" w:rsidRPr="00944D1C" w:rsidRDefault="00CC2CC5" w:rsidP="00CC2CC5">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Holloran Center for Ethical Leadership in the Professions </w:t>
      </w:r>
      <w:r>
        <w:t xml:space="preserve">“Cooling Water Intake Structures Once-Through Cooling”, </w:t>
      </w:r>
      <w:hyperlink r:id="rId9" w:history="1">
        <w:r w:rsidRPr="004A6607">
          <w:rPr>
            <w:rStyle w:val="Hyperlink"/>
          </w:rPr>
          <w:t>https://www.waterboards.ca.gov/water_issues/programs/ocean/cwa316/</w:t>
        </w:r>
      </w:hyperlink>
      <w:r>
        <w:t xml:space="preserve"> //JK</w:t>
      </w:r>
    </w:p>
    <w:p w14:paraId="2EA86AB7" w14:textId="77777777" w:rsidR="00CC2CC5" w:rsidRPr="00F172A6" w:rsidRDefault="00CC2CC5" w:rsidP="00CC2CC5">
      <w:pPr>
        <w:rPr>
          <w:sz w:val="14"/>
        </w:rPr>
      </w:pPr>
      <w:r w:rsidRPr="00F172A6">
        <w:rPr>
          <w:sz w:val="14"/>
        </w:rPr>
        <w:t xml:space="preserve">In many of the other environmental statutes Congress has enacted since the Clean Air Act and Clean Water Act, </w:t>
      </w:r>
      <w:r w:rsidRPr="00944D1C">
        <w:rPr>
          <w:rStyle w:val="StyleUnderline"/>
        </w:rPr>
        <w:t>Congress</w:t>
      </w:r>
      <w:r w:rsidRPr="00F172A6">
        <w:rPr>
          <w:sz w:val="14"/>
        </w:rPr>
        <w:t xml:space="preserve"> similarly </w:t>
      </w:r>
      <w:r w:rsidRPr="00944D1C">
        <w:rPr>
          <w:rStyle w:val="StyleUnderline"/>
        </w:rPr>
        <w:t>has given the states the right to administer the regulatory program</w:t>
      </w:r>
      <w:r>
        <w:rPr>
          <w:rStyle w:val="StyleUnderline"/>
        </w:rPr>
        <w:t xml:space="preserve"> </w:t>
      </w:r>
      <w:r w:rsidRPr="00944D1C">
        <w:rPr>
          <w:rStyle w:val="StyleUnderline"/>
        </w:rPr>
        <w:t xml:space="preserve">and/or the authority to impose standards </w:t>
      </w:r>
      <w:r w:rsidRPr="00944D1C">
        <w:rPr>
          <w:rStyle w:val="Emphasis"/>
        </w:rPr>
        <w:t>more stringent than the federal environmental statute</w:t>
      </w:r>
      <w:r w:rsidRPr="00944D1C">
        <w:rPr>
          <w:rStyle w:val="StyleUnderline"/>
        </w:rPr>
        <w:t xml:space="preserve"> required</w:t>
      </w:r>
      <w:r w:rsidRPr="00F172A6">
        <w:rPr>
          <w:sz w:val="14"/>
        </w:rPr>
        <w:t xml:space="preserve">. 9 Although </w:t>
      </w:r>
      <w:r w:rsidRPr="00944D1C">
        <w:rPr>
          <w:rStyle w:val="StyleUnderline"/>
        </w:rPr>
        <w:t>many states have accepted the responsibility to administer the federal environmental</w:t>
      </w:r>
      <w:r>
        <w:rPr>
          <w:rStyle w:val="StyleUnderline"/>
        </w:rPr>
        <w:t xml:space="preserve"> </w:t>
      </w:r>
      <w:r w:rsidRPr="00944D1C">
        <w:rPr>
          <w:rStyle w:val="StyleUnderline"/>
        </w:rPr>
        <w:t>programs</w:t>
      </w:r>
      <w:r w:rsidRPr="00F172A6">
        <w:rPr>
          <w:sz w:val="14"/>
        </w:rPr>
        <w:t xml:space="preserve">,1 ° </w:t>
      </w:r>
      <w:r w:rsidRPr="00944D1C">
        <w:rPr>
          <w:rStyle w:val="StyleUnderline"/>
        </w:rPr>
        <w:t>some</w:t>
      </w:r>
      <w:r w:rsidRPr="00F172A6">
        <w:rPr>
          <w:sz w:val="14"/>
        </w:rPr>
        <w:t xml:space="preserve"> state legislatures, through their environmental legislation, </w:t>
      </w:r>
      <w:r w:rsidRPr="00944D1C">
        <w:rPr>
          <w:rStyle w:val="StyleUnderline"/>
        </w:rPr>
        <w:t>have shown an increasing tendency to constrain state environmental agencies from promulgating standards more stringent than</w:t>
      </w:r>
      <w:r>
        <w:rPr>
          <w:rStyle w:val="StyleUnderline"/>
        </w:rPr>
        <w:t xml:space="preserve"> </w:t>
      </w:r>
      <w:r w:rsidRPr="00944D1C">
        <w:rPr>
          <w:rStyle w:val="StyleUnderline"/>
        </w:rPr>
        <w:t>federal standards</w:t>
      </w:r>
      <w:r w:rsidRPr="00F172A6">
        <w:rPr>
          <w:sz w:val="14"/>
        </w:rPr>
        <w:t>."</w:t>
      </w:r>
    </w:p>
    <w:p w14:paraId="0E12AB40" w14:textId="77777777" w:rsidR="00CC2CC5" w:rsidRDefault="00CC2CC5" w:rsidP="00CC2CC5">
      <w:pPr>
        <w:pStyle w:val="Heading4"/>
      </w:pPr>
      <w:r>
        <w:t>States changing the language of framing a constraint on their authority solves</w:t>
      </w:r>
    </w:p>
    <w:p w14:paraId="7D4075A3" w14:textId="77777777" w:rsidR="00CC2CC5" w:rsidRPr="00FB0083" w:rsidRDefault="00CC2CC5" w:rsidP="00CC2CC5">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Holloran Center for Ethical Leadership in the Professions </w:t>
      </w:r>
      <w:r>
        <w:t xml:space="preserve">“Cooling Water Intake Structures Once-Through Cooling”, </w:t>
      </w:r>
      <w:hyperlink r:id="rId10" w:history="1">
        <w:r w:rsidRPr="004A6607">
          <w:rPr>
            <w:rStyle w:val="Hyperlink"/>
          </w:rPr>
          <w:t>https://www.waterboards.ca.gov/water_issues/programs/ocean/cwa316/</w:t>
        </w:r>
      </w:hyperlink>
      <w:r>
        <w:t xml:space="preserve"> //JK</w:t>
      </w:r>
    </w:p>
    <w:p w14:paraId="2CEDE1AE" w14:textId="77777777" w:rsidR="00CC2CC5" w:rsidRPr="008A6FF0" w:rsidRDefault="00CC2CC5" w:rsidP="00CC2CC5">
      <w:pPr>
        <w:rPr>
          <w:sz w:val="14"/>
        </w:rPr>
      </w:pPr>
      <w:r w:rsidRPr="008A6FF0">
        <w:rPr>
          <w:sz w:val="14"/>
        </w:rPr>
        <w:t xml:space="preserve">Thus, regardless of whether a state statute contains an unconditional constraint or a conditional constraint on a state environmental agency's authority, and regardless of the statute's subject matter, such </w:t>
      </w:r>
      <w:r w:rsidRPr="008A6FF0">
        <w:rPr>
          <w:rStyle w:val="Emphasis"/>
        </w:rPr>
        <w:t>statutory constraints generally present three problems</w:t>
      </w:r>
      <w:r w:rsidRPr="008A6FF0">
        <w:rPr>
          <w:rStyle w:val="StyleUnderline"/>
        </w:rPr>
        <w:t xml:space="preserve"> of</w:t>
      </w:r>
      <w:r w:rsidRPr="008A6FF0">
        <w:rPr>
          <w:sz w:val="14"/>
        </w:rPr>
        <w:t xml:space="preserve"> statutory </w:t>
      </w:r>
      <w:r w:rsidRPr="008A6FF0">
        <w:rPr>
          <w:rStyle w:val="StyleUnderline"/>
        </w:rPr>
        <w:t>interpretation</w:t>
      </w:r>
      <w:r w:rsidRPr="008A6FF0">
        <w:rPr>
          <w:sz w:val="14"/>
        </w:rPr>
        <w:t xml:space="preserve">.92 </w:t>
      </w:r>
      <w:r w:rsidRPr="008A6FF0">
        <w:rPr>
          <w:rStyle w:val="StyleUnderline"/>
        </w:rPr>
        <w:t>The first interpretive problem concerns whether these constraints limit an agency's authority to impose "additional regulations" on sources that federal environmental legislation regulates</w:t>
      </w:r>
      <w:r w:rsidRPr="008A6FF0">
        <w:rPr>
          <w:sz w:val="14"/>
        </w:rPr>
        <w:t xml:space="preserve">.93 </w:t>
      </w:r>
      <w:r w:rsidRPr="008A6FF0">
        <w:rPr>
          <w:rStyle w:val="StyleUnderline"/>
        </w:rPr>
        <w:t>The second</w:t>
      </w:r>
      <w:r w:rsidRPr="008A6FF0">
        <w:rPr>
          <w:sz w:val="14"/>
        </w:rPr>
        <w:t xml:space="preserve"> interpretive problem </w:t>
      </w:r>
      <w:r w:rsidRPr="008A6FF0">
        <w:rPr>
          <w:rStyle w:val="StyleUnderline"/>
        </w:rPr>
        <w:t>concerns how much these constraints limit an agency's authority to regulate "additional sources" that federal environmental legislation does not regulate.</w:t>
      </w:r>
      <w:r w:rsidRPr="008A6FF0">
        <w:rPr>
          <w:sz w:val="14"/>
        </w:rPr>
        <w:t xml:space="preserve"> 94</w:t>
      </w:r>
    </w:p>
    <w:p w14:paraId="3CF7A69B" w14:textId="77777777" w:rsidR="00CC2CC5" w:rsidRPr="008A6FF0" w:rsidRDefault="00CC2CC5" w:rsidP="00CC2CC5">
      <w:pPr>
        <w:rPr>
          <w:sz w:val="14"/>
        </w:rPr>
      </w:pPr>
      <w:r w:rsidRPr="008A6FF0">
        <w:rPr>
          <w:rStyle w:val="StyleUnderline"/>
        </w:rPr>
        <w:t>A third interpretive problem arises from the</w:t>
      </w:r>
      <w:r w:rsidRPr="008A6FF0">
        <w:rPr>
          <w:sz w:val="14"/>
        </w:rPr>
        <w:t xml:space="preserve"> Clean Air Act's and </w:t>
      </w:r>
      <w:r w:rsidRPr="008A6FF0">
        <w:rPr>
          <w:rStyle w:val="StyleUnderline"/>
        </w:rPr>
        <w:t>Clean Water Act's requirements of compliance</w:t>
      </w:r>
      <w:r w:rsidRPr="008A6FF0">
        <w:rPr>
          <w:sz w:val="14"/>
        </w:rPr>
        <w:t xml:space="preserve"> with both ambient standards and source-specific standards. </w:t>
      </w:r>
      <w:r w:rsidRPr="008A6FF0">
        <w:rPr>
          <w:rStyle w:val="StyleUnderline"/>
        </w:rPr>
        <w:t>The</w:t>
      </w:r>
      <w:r w:rsidRPr="008A6FF0">
        <w:rPr>
          <w:sz w:val="14"/>
        </w:rPr>
        <w:t xml:space="preserve"> interpretive </w:t>
      </w:r>
      <w:r w:rsidRPr="008A6FF0">
        <w:rPr>
          <w:rStyle w:val="StyleUnderline"/>
        </w:rPr>
        <w:t xml:space="preserve">problem concerns </w:t>
      </w:r>
      <w:r w:rsidRPr="008A6FF0">
        <w:rPr>
          <w:rStyle w:val="Emphasis"/>
        </w:rPr>
        <w:t>how much state legislative constraints limit an agency's authority to impose</w:t>
      </w:r>
      <w:r w:rsidRPr="008A6FF0">
        <w:rPr>
          <w:rStyle w:val="StyleUnderline"/>
        </w:rPr>
        <w:t xml:space="preserve"> pollutant-specific, source-specific </w:t>
      </w:r>
      <w:r w:rsidRPr="008A6FF0">
        <w:rPr>
          <w:rStyle w:val="Emphasis"/>
        </w:rPr>
        <w:t xml:space="preserve">standards more stringent </w:t>
      </w:r>
      <w:r w:rsidRPr="008A6FF0">
        <w:rPr>
          <w:rStyle w:val="StyleUnderline"/>
        </w:rPr>
        <w:t>than the</w:t>
      </w:r>
      <w:r w:rsidRPr="008A6FF0">
        <w:rPr>
          <w:sz w:val="14"/>
        </w:rPr>
        <w:t xml:space="preserve"> Clean Air Act and </w:t>
      </w:r>
      <w:r w:rsidRPr="008A6FF0">
        <w:rPr>
          <w:rStyle w:val="Emphasis"/>
        </w:rPr>
        <w:t>C</w:t>
      </w:r>
      <w:r w:rsidRPr="008A6FF0">
        <w:rPr>
          <w:sz w:val="14"/>
        </w:rPr>
        <w:t xml:space="preserve">lean </w:t>
      </w:r>
      <w:r w:rsidRPr="008A6FF0">
        <w:rPr>
          <w:rStyle w:val="Emphasis"/>
        </w:rPr>
        <w:t>W</w:t>
      </w:r>
      <w:r w:rsidRPr="008A6FF0">
        <w:rPr>
          <w:sz w:val="14"/>
        </w:rPr>
        <w:t xml:space="preserve">ater </w:t>
      </w:r>
      <w:r w:rsidRPr="008A6FF0">
        <w:rPr>
          <w:rStyle w:val="Emphasis"/>
        </w:rPr>
        <w:t>A</w:t>
      </w:r>
      <w:r w:rsidRPr="008A6FF0">
        <w:rPr>
          <w:sz w:val="14"/>
        </w:rPr>
        <w:t xml:space="preserve">ct </w:t>
      </w:r>
      <w:r w:rsidRPr="008A6FF0">
        <w:rPr>
          <w:rStyle w:val="StyleUnderline"/>
        </w:rPr>
        <w:t>in order to comply with the general ambient standards</w:t>
      </w:r>
      <w:r w:rsidRPr="008A6FF0">
        <w:rPr>
          <w:sz w:val="14"/>
        </w:rPr>
        <w:t xml:space="preserve"> imposed by the Clean Air Act and Clean Water Act.95</w:t>
      </w:r>
    </w:p>
    <w:p w14:paraId="03BF4C59" w14:textId="77777777" w:rsidR="00CC2CC5" w:rsidRDefault="00CC2CC5" w:rsidP="00CC2CC5">
      <w:pPr>
        <w:rPr>
          <w:sz w:val="14"/>
        </w:rPr>
      </w:pPr>
      <w:r w:rsidRPr="008A6FF0">
        <w:rPr>
          <w:sz w:val="14"/>
        </w:rPr>
        <w:t xml:space="preserve">The following analysis highlights how </w:t>
      </w:r>
      <w:r w:rsidRPr="008A6FF0">
        <w:rPr>
          <w:rStyle w:val="StyleUnderline"/>
        </w:rPr>
        <w:t xml:space="preserve">a state legislature's use of </w:t>
      </w:r>
      <w:r w:rsidRPr="008A6FF0">
        <w:rPr>
          <w:rStyle w:val="Emphasis"/>
        </w:rPr>
        <w:t>simple language</w:t>
      </w:r>
      <w:r w:rsidRPr="008A6FF0">
        <w:rPr>
          <w:rStyle w:val="StyleUnderline"/>
        </w:rPr>
        <w:t xml:space="preserve"> in framing a constraint on the authority of a state agency </w:t>
      </w:r>
      <w:r w:rsidRPr="008A6FF0">
        <w:rPr>
          <w:rStyle w:val="Emphasis"/>
        </w:rPr>
        <w:t xml:space="preserve">may cause </w:t>
      </w:r>
      <w:r w:rsidRPr="008A6FF0">
        <w:rPr>
          <w:rStyle w:val="StyleUnderline"/>
        </w:rPr>
        <w:t xml:space="preserve">each of </w:t>
      </w:r>
      <w:r w:rsidRPr="008A6FF0">
        <w:rPr>
          <w:rStyle w:val="Emphasis"/>
        </w:rPr>
        <w:t>these interpretive problems</w:t>
      </w:r>
      <w:r w:rsidRPr="008A6FF0">
        <w:rPr>
          <w:sz w:val="14"/>
        </w:rPr>
        <w:t xml:space="preserve">, because the simple language is irreconcilable with the inherent complexity of a given federal regulatory regime. Because this Part of the Article merely highlights these three interpretive issues, it makes no attempt to construe each statute discussed in the context of each state's approach to statutory interpretation. Rather, this Part adopts the premise that </w:t>
      </w:r>
      <w:r w:rsidRPr="008A6FF0">
        <w:rPr>
          <w:rStyle w:val="StyleUnderline"/>
        </w:rPr>
        <w:t>one of the fundamental rules of statutory construction is to look solely at the plain meaning of the language</w:t>
      </w:r>
      <w:r w:rsidRPr="008A6FF0">
        <w:rPr>
          <w:sz w:val="14"/>
        </w:rPr>
        <w:t xml:space="preserve">, in context, </w:t>
      </w:r>
      <w:r w:rsidRPr="008A6FF0">
        <w:rPr>
          <w:rStyle w:val="StyleUnderline"/>
        </w:rPr>
        <w:t>to determine whether any ambiguity exists that would invoke additional rules of statutory construction</w:t>
      </w:r>
      <w:r w:rsidRPr="008A6FF0">
        <w:rPr>
          <w:sz w:val="14"/>
        </w:rPr>
        <w:t>. 9 Therefore, this Part of the Article merely attempts to identify those statutes that appear facially ambiguous9 7 or unambiguous.98</w:t>
      </w:r>
    </w:p>
    <w:p w14:paraId="5CE0A31C" w14:textId="77777777" w:rsidR="00CC2CC5" w:rsidRDefault="00CC2CC5" w:rsidP="00CC2CC5">
      <w:pPr>
        <w:rPr>
          <w:sz w:val="14"/>
        </w:rPr>
      </w:pPr>
    </w:p>
    <w:p w14:paraId="30DE4C87" w14:textId="77777777" w:rsidR="00CC2CC5" w:rsidRDefault="00CC2CC5" w:rsidP="00CC2CC5">
      <w:pPr>
        <w:pStyle w:val="Heading4"/>
      </w:pPr>
      <w:r>
        <w:t>Alt causes to the aff – states k2 solve get wrecked</w:t>
      </w:r>
    </w:p>
    <w:p w14:paraId="5B2AAB56" w14:textId="77777777" w:rsidR="00CC2CC5" w:rsidRPr="001C0397" w:rsidRDefault="00CC2CC5" w:rsidP="00CC2CC5">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Holloran Center for Ethical Leadership in the Professions </w:t>
      </w:r>
      <w:r>
        <w:t xml:space="preserve">“Cooling Water Intake Structures Once-Through Cooling”, </w:t>
      </w:r>
      <w:hyperlink r:id="rId11" w:history="1">
        <w:r w:rsidRPr="004A6607">
          <w:rPr>
            <w:rStyle w:val="Hyperlink"/>
          </w:rPr>
          <w:t>https://www.waterboards.ca.gov/water_issues/programs/ocean/cwa316/</w:t>
        </w:r>
      </w:hyperlink>
      <w:r>
        <w:t xml:space="preserve"> //JK</w:t>
      </w:r>
    </w:p>
    <w:p w14:paraId="0EFBE959" w14:textId="77777777" w:rsidR="00CC2CC5" w:rsidRPr="00073D3D" w:rsidRDefault="00CC2CC5" w:rsidP="00CC2CC5">
      <w:pPr>
        <w:rPr>
          <w:sz w:val="14"/>
        </w:rPr>
      </w:pPr>
      <w:r w:rsidRPr="00073D3D">
        <w:rPr>
          <w:sz w:val="14"/>
        </w:rPr>
        <w:t xml:space="preserve">Florida.-For example, section 403.804 of the </w:t>
      </w:r>
      <w:r w:rsidRPr="00073D3D">
        <w:rPr>
          <w:rStyle w:val="StyleUnderline"/>
        </w:rPr>
        <w:t xml:space="preserve">Florida Statutes requires </w:t>
      </w:r>
      <w:r w:rsidRPr="00073D3D">
        <w:rPr>
          <w:rStyle w:val="Emphasis"/>
        </w:rPr>
        <w:t>performance of a cost-benefit analysis of</w:t>
      </w:r>
      <w:r w:rsidRPr="00073D3D">
        <w:rPr>
          <w:rStyle w:val="StyleUnderline"/>
        </w:rPr>
        <w:t xml:space="preserve"> "any proposed </w:t>
      </w:r>
      <w:r w:rsidRPr="00073D3D">
        <w:rPr>
          <w:rStyle w:val="Emphasis"/>
        </w:rPr>
        <w:t>standard that would be stricter or more stringent</w:t>
      </w:r>
      <w:r w:rsidRPr="00073D3D">
        <w:rPr>
          <w:rStyle w:val="StyleUnderline"/>
        </w:rPr>
        <w:t xml:space="preserve"> than one which has been set by federal agencies pursuant to federal law</w:t>
      </w:r>
      <w:r w:rsidRPr="00073D3D">
        <w:rPr>
          <w:sz w:val="14"/>
        </w:rPr>
        <w:t xml:space="preserve"> or regulation." 1 7 </w:t>
      </w:r>
      <w:r w:rsidRPr="00073D3D">
        <w:rPr>
          <w:rStyle w:val="StyleUnderline"/>
        </w:rPr>
        <w:t>The</w:t>
      </w:r>
      <w:r w:rsidRPr="00073D3D">
        <w:rPr>
          <w:sz w:val="14"/>
        </w:rPr>
        <w:t xml:space="preserve"> </w:t>
      </w:r>
      <w:r w:rsidRPr="00073D3D">
        <w:rPr>
          <w:rStyle w:val="StyleUnderline"/>
        </w:rPr>
        <w:t>statute</w:t>
      </w:r>
      <w:r w:rsidRPr="00073D3D">
        <w:rPr>
          <w:sz w:val="14"/>
        </w:rPr>
        <w:t>, however, contains no language stating whether regulation of "additional pollutants" from a federally regulated source would trigger the obligation to perform the cost-benefit analysis. 118</w:t>
      </w:r>
    </w:p>
    <w:p w14:paraId="7133AC68" w14:textId="77777777" w:rsidR="00CC2CC5" w:rsidRPr="00073D3D" w:rsidRDefault="00CC2CC5" w:rsidP="00CC2CC5">
      <w:pPr>
        <w:rPr>
          <w:sz w:val="14"/>
          <w:szCs w:val="14"/>
        </w:rPr>
      </w:pPr>
      <w:r w:rsidRPr="00073D3D">
        <w:rPr>
          <w:sz w:val="14"/>
          <w:szCs w:val="14"/>
        </w:rPr>
        <w:t>In Florida Electric Power Coordinating Group, Inc. v. Askew," 9 however, the Florida District Court of Appeal was asked to interpret section 403.804. The electric power companies of Florida asked the court whether (1) "a state standard approved by the federal Environmental Protection Agency (EPA) can be more stringent than a federal standard," and (2) "a state standard which limits the same pollutant from the same source as a federal standard, but by a different method, can be compared to determine which is more stringent."120</w:t>
      </w:r>
    </w:p>
    <w:p w14:paraId="666A1102" w14:textId="77777777" w:rsidR="00CC2CC5" w:rsidRPr="00073D3D" w:rsidRDefault="00CC2CC5" w:rsidP="00CC2CC5">
      <w:pPr>
        <w:rPr>
          <w:sz w:val="14"/>
        </w:rPr>
      </w:pPr>
      <w:r w:rsidRPr="00073D3D">
        <w:rPr>
          <w:sz w:val="14"/>
        </w:rPr>
        <w:t>The court noted that "</w:t>
      </w:r>
      <w:r w:rsidRPr="00073D3D">
        <w:rPr>
          <w:rStyle w:val="StyleUnderline"/>
        </w:rPr>
        <w:t xml:space="preserve">for a Florida standard to be 'a stricter or more stringent standard than one which has been set by federal agencies pursuant to federal law or regulations,' the </w:t>
      </w:r>
      <w:r w:rsidRPr="00073D3D">
        <w:rPr>
          <w:rStyle w:val="Emphasis"/>
        </w:rPr>
        <w:t xml:space="preserve">federal standard must be in counterpoise </w:t>
      </w:r>
      <w:r w:rsidRPr="00073D3D">
        <w:rPr>
          <w:rStyle w:val="StyleUnderline"/>
        </w:rPr>
        <w:t>to the state standard</w:t>
      </w:r>
      <w:r w:rsidRPr="00073D3D">
        <w:rPr>
          <w:sz w:val="14"/>
        </w:rPr>
        <w:t xml:space="preserve">."1 21 Applying this rule to the first issue the electric power companies had raised, </w:t>
      </w:r>
      <w:r w:rsidRPr="00073D3D">
        <w:rPr>
          <w:rStyle w:val="StyleUnderline"/>
        </w:rPr>
        <w:t>the court discussed how ambient water quality standards</w:t>
      </w:r>
      <w:r w:rsidRPr="00073D3D">
        <w:rPr>
          <w:sz w:val="14"/>
        </w:rPr>
        <w:t xml:space="preserve">, which the state adopts and EPA approves, </w:t>
      </w:r>
      <w:r w:rsidRPr="00073D3D">
        <w:rPr>
          <w:rStyle w:val="StyleUnderline"/>
        </w:rPr>
        <w:t>compare with technology-based effluent limitations that the EPA alone sets</w:t>
      </w:r>
      <w:r w:rsidRPr="00073D3D">
        <w:rPr>
          <w:sz w:val="14"/>
        </w:rPr>
        <w:t>."' Acknowledging that a discharger "may be required to achieve a greater reduction in effluent than the federal [technology-based effluent limitations] require if the prevailing water quality standards so require," the court nonetheless concluded that the state water quality standards had no federal counterpart against which to be compared to determine whether the Florida standards were stricter. 123 By comparison, the court noted that under the Clean Air Act, EPA has set national primary and secondary ambient air quality standards that provide a basis for comparison with state ambient air quality standards.1 2 4</w:t>
      </w:r>
    </w:p>
    <w:p w14:paraId="0E1B640E" w14:textId="77777777" w:rsidR="00CC2CC5" w:rsidRPr="00073D3D" w:rsidRDefault="00CC2CC5" w:rsidP="00CC2CC5">
      <w:pPr>
        <w:rPr>
          <w:rStyle w:val="StyleUnderline"/>
        </w:rPr>
      </w:pPr>
      <w:r w:rsidRPr="00073D3D">
        <w:rPr>
          <w:sz w:val="14"/>
        </w:rPr>
        <w:t xml:space="preserve">The court then applied this rule to the second issue the electric power companies had raised, namely the extent to which standards containing different methods to address the same pollutant from the same source are comparable to determine which is stricter. 121 Using thermal pollution as an example, the court noted that </w:t>
      </w:r>
      <w:r w:rsidRPr="00073D3D">
        <w:rPr>
          <w:rStyle w:val="StyleUnderline"/>
        </w:rPr>
        <w:t xml:space="preserve">EPA requires installation of a specific type of water cooling system at new power plants, whereas the state regulation simply prohibits the discharge of "heated water having a temperature at the point of discharge more than five degrees </w:t>
      </w:r>
      <w:r w:rsidRPr="00073D3D">
        <w:rPr>
          <w:sz w:val="14"/>
        </w:rPr>
        <w:t xml:space="preserve">Fahrenheit </w:t>
      </w:r>
      <w:r w:rsidRPr="00073D3D">
        <w:rPr>
          <w:rStyle w:val="StyleUnderline"/>
        </w:rPr>
        <w:t>higher than the natural temperature</w:t>
      </w:r>
      <w:r w:rsidRPr="00073D3D">
        <w:rPr>
          <w:sz w:val="14"/>
        </w:rPr>
        <w:t xml:space="preserve"> of [a receiving] stream." 12 6 </w:t>
      </w:r>
      <w:r w:rsidRPr="00073D3D">
        <w:rPr>
          <w:rStyle w:val="StyleUnderline"/>
        </w:rPr>
        <w:t xml:space="preserve">The court concluded that when state and federal standards regulate a pollutant by different methods, the court cannot find as a matter of law that Florida standards are stricter than federal standards. </w:t>
      </w:r>
    </w:p>
    <w:p w14:paraId="4BDA16E5" w14:textId="77777777" w:rsidR="00CC2CC5" w:rsidRPr="00073D3D" w:rsidRDefault="00CC2CC5" w:rsidP="00CC2CC5">
      <w:pPr>
        <w:rPr>
          <w:sz w:val="14"/>
        </w:rPr>
      </w:pPr>
      <w:r w:rsidRPr="00073D3D">
        <w:rPr>
          <w:sz w:val="14"/>
        </w:rPr>
        <w:t xml:space="preserve">The court's conclusion that the statute applies only when there is "a federal standard in counterpoise to the state standard,"1 28 however, merely begs the question. </w:t>
      </w:r>
      <w:r w:rsidRPr="00073D3D">
        <w:rPr>
          <w:rStyle w:val="StyleUnderline"/>
        </w:rPr>
        <w:t>If a federal agency has set a standard for a source, but has not set a standard with respect to the pollutant in question, is the federal standard "in counterpoise to the state standard"</w:t>
      </w:r>
      <w:r w:rsidRPr="00073D3D">
        <w:rPr>
          <w:sz w:val="14"/>
        </w:rPr>
        <w:t>? To ascertain whether the statute applies, the court would have to determine the breadth of the definition of a "standard." Does "standard" denote a set of regulations relating to emissions from a source generally, or to each individual pollutant-specific regulation for each such source? The definition of "standard" in section 403.803(13) of the Florida Statutes provides no answer. 129 Because the language of both section 403.804 and the Florida Electric Power decision are vague, neither helps resolve this issue.</w:t>
      </w:r>
    </w:p>
    <w:p w14:paraId="08AD36AC" w14:textId="77777777" w:rsidR="00CC2CC5" w:rsidRDefault="00CC2CC5" w:rsidP="00CC2CC5">
      <w:pPr>
        <w:pStyle w:val="Heading4"/>
      </w:pPr>
      <w:r>
        <w:t>West Virginia has the same stringency standards</w:t>
      </w:r>
    </w:p>
    <w:p w14:paraId="7817120A" w14:textId="77777777" w:rsidR="00CC2CC5" w:rsidRPr="007A19D2" w:rsidRDefault="00CC2CC5" w:rsidP="00CC2CC5">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Holloran Center for Ethical Leadership in the Professions </w:t>
      </w:r>
      <w:r>
        <w:t xml:space="preserve">“Cooling Water Intake Structures Once-Through Cooling”, </w:t>
      </w:r>
      <w:hyperlink r:id="rId12" w:history="1">
        <w:r w:rsidRPr="004A6607">
          <w:rPr>
            <w:rStyle w:val="Hyperlink"/>
          </w:rPr>
          <w:t>https://www.waterboards.ca.gov/water_issues/programs/ocean/cwa316/</w:t>
        </w:r>
      </w:hyperlink>
      <w:r>
        <w:t xml:space="preserve"> //JK</w:t>
      </w:r>
    </w:p>
    <w:p w14:paraId="281BF442" w14:textId="77777777" w:rsidR="00CC2CC5" w:rsidRDefault="00CC2CC5" w:rsidP="00CC2CC5">
      <w:pPr>
        <w:rPr>
          <w:sz w:val="14"/>
        </w:rPr>
      </w:pPr>
      <w:r w:rsidRPr="007A19D2">
        <w:rPr>
          <w:sz w:val="14"/>
        </w:rPr>
        <w:t xml:space="preserve">West Virginia.-The </w:t>
      </w:r>
      <w:r w:rsidRPr="001C0397">
        <w:rPr>
          <w:rStyle w:val="StyleUnderline"/>
        </w:rPr>
        <w:t xml:space="preserve">recently </w:t>
      </w:r>
      <w:r w:rsidRPr="001C0397">
        <w:rPr>
          <w:rStyle w:val="Emphasis"/>
        </w:rPr>
        <w:t>enacted West Virginia statutes present the same type of "counterpoise" problem</w:t>
      </w:r>
      <w:r w:rsidRPr="007A19D2">
        <w:rPr>
          <w:sz w:val="14"/>
        </w:rPr>
        <w:t xml:space="preserve">. </w:t>
      </w:r>
      <w:r w:rsidRPr="001C0397">
        <w:rPr>
          <w:rStyle w:val="StyleUnderline"/>
        </w:rPr>
        <w:t>Section 22-1- 3a gives the Director of the</w:t>
      </w:r>
      <w:r w:rsidRPr="007A19D2">
        <w:rPr>
          <w:sz w:val="14"/>
        </w:rPr>
        <w:t xml:space="preserve"> Division of Environmental Protection (</w:t>
      </w:r>
      <w:r w:rsidRPr="001C0397">
        <w:rPr>
          <w:rStyle w:val="StyleUnderline"/>
        </w:rPr>
        <w:t xml:space="preserve">DEP) the authority to promulgate rules with "environmental provisions which are </w:t>
      </w:r>
      <w:r w:rsidRPr="001C0397">
        <w:rPr>
          <w:rStyle w:val="Emphasis"/>
        </w:rPr>
        <w:t>more stringent</w:t>
      </w:r>
      <w:r w:rsidRPr="001C0397">
        <w:rPr>
          <w:rStyle w:val="StyleUnderline"/>
        </w:rPr>
        <w:t xml:space="preserve"> than the counterpart federal rule or program</w:t>
      </w:r>
      <w:r w:rsidRPr="007A19D2">
        <w:rPr>
          <w:sz w:val="14"/>
        </w:rPr>
        <w:t>" provided that the director sets forth the specific reasons. 172 The statute further provides, however, that "[i</w:t>
      </w:r>
      <w:r w:rsidRPr="007A19D2">
        <w:rPr>
          <w:rStyle w:val="StyleUnderline"/>
        </w:rPr>
        <w:t>] n the absence of a federal rule, the adoption of a state rule shall not be construed to be more stringent than a federal rule</w:t>
      </w:r>
      <w:r w:rsidRPr="007A19D2">
        <w:rPr>
          <w:sz w:val="14"/>
        </w:rPr>
        <w:t xml:space="preserve"> unless the absence of a federal rule is the result of a specific federal exemption."173 Does the statute's reference to a "counterpart federal rule" mean any rule applicable to a source or any rule applicable to a specific pollutant from such source? Section 22-5-4 presents similar ambiguities as it provides that no rule or program related to air pollution "shall be any more stringent than any federal rule or program except to the limited extent that the director [of the DEP] first makes a.specific written finding for any such departure." 174</w:t>
      </w:r>
    </w:p>
    <w:p w14:paraId="53764DBC" w14:textId="77777777" w:rsidR="00CC2CC5" w:rsidRDefault="00CC2CC5" w:rsidP="00CC2CC5">
      <w:pPr>
        <w:rPr>
          <w:sz w:val="14"/>
        </w:rPr>
      </w:pPr>
    </w:p>
    <w:p w14:paraId="7C910341" w14:textId="77777777" w:rsidR="00CC2CC5" w:rsidRPr="00170D04" w:rsidRDefault="00CC2CC5" w:rsidP="00CC2CC5">
      <w:pPr>
        <w:pStyle w:val="Heading4"/>
        <w:numPr>
          <w:ilvl w:val="0"/>
          <w:numId w:val="12"/>
        </w:numPr>
        <w:tabs>
          <w:tab w:val="num" w:pos="360"/>
        </w:tabs>
        <w:ind w:left="0" w:firstLine="0"/>
        <w:rPr>
          <w:bCs w:val="0"/>
        </w:rPr>
      </w:pPr>
      <w:r w:rsidRPr="00770BE0">
        <w:rPr>
          <w:rStyle w:val="Style13ptBold"/>
          <w:b/>
          <w:bCs w:val="0"/>
          <w:u w:val="single"/>
        </w:rPr>
        <w:t xml:space="preserve">Section 401 of </w:t>
      </w:r>
      <w:r>
        <w:rPr>
          <w:rStyle w:val="Style13ptBold"/>
          <w:b/>
          <w:bCs w:val="0"/>
          <w:u w:val="single"/>
        </w:rPr>
        <w:t xml:space="preserve">the </w:t>
      </w:r>
      <w:r w:rsidRPr="00770BE0">
        <w:rPr>
          <w:rStyle w:val="Style13ptBold"/>
          <w:b/>
          <w:bCs w:val="0"/>
          <w:u w:val="single"/>
        </w:rPr>
        <w:t>CWA</w:t>
      </w:r>
      <w:r w:rsidRPr="00770BE0">
        <w:rPr>
          <w:rStyle w:val="Style13ptBold"/>
          <w:b/>
          <w:bCs w:val="0"/>
        </w:rPr>
        <w:t xml:space="preserve"> – gives </w:t>
      </w:r>
      <w:r w:rsidRPr="00770BE0">
        <w:rPr>
          <w:rStyle w:val="Style13ptBold"/>
          <w:b/>
          <w:bCs w:val="0"/>
          <w:u w:val="single"/>
        </w:rPr>
        <w:t>states</w:t>
      </w:r>
      <w:r w:rsidRPr="00770BE0">
        <w:rPr>
          <w:rStyle w:val="Style13ptBold"/>
          <w:b/>
          <w:bCs w:val="0"/>
        </w:rPr>
        <w:t xml:space="preserve"> the ability to </w:t>
      </w:r>
      <w:r w:rsidRPr="00770BE0">
        <w:rPr>
          <w:rStyle w:val="Style13ptBold"/>
          <w:b/>
          <w:bCs w:val="0"/>
          <w:u w:val="single"/>
        </w:rPr>
        <w:t xml:space="preserve">strike down the BTA standard </w:t>
      </w:r>
      <w:r>
        <w:rPr>
          <w:rStyle w:val="Style13ptBold"/>
          <w:b/>
          <w:bCs w:val="0"/>
        </w:rPr>
        <w:t>– applies to state and federal permits</w:t>
      </w:r>
    </w:p>
    <w:p w14:paraId="6236CC46" w14:textId="77777777" w:rsidR="00CC2CC5" w:rsidRPr="005C1736" w:rsidRDefault="00CC2CC5" w:rsidP="00CC2CC5">
      <w:pPr>
        <w:rPr>
          <w:rStyle w:val="Style13ptBold"/>
          <w:b w:val="0"/>
          <w:sz w:val="22"/>
        </w:rPr>
      </w:pPr>
      <w:r w:rsidRPr="005C1736">
        <w:rPr>
          <w:rStyle w:val="Style13ptBold"/>
        </w:rPr>
        <w:t>Rycewicz</w:t>
      </w:r>
      <w:r>
        <w:rPr>
          <w:rStyle w:val="Style13ptBold"/>
        </w:rPr>
        <w:t xml:space="preserve"> and </w:t>
      </w:r>
      <w:r w:rsidRPr="005C1736">
        <w:rPr>
          <w:rStyle w:val="Style13ptBold"/>
        </w:rPr>
        <w:t>Mensher</w:t>
      </w:r>
      <w:r>
        <w:rPr>
          <w:rStyle w:val="Style13ptBold"/>
        </w:rPr>
        <w:t xml:space="preserve"> 07 </w:t>
      </w:r>
      <w:r w:rsidRPr="005C1736">
        <w:t>(Christopher Rycewicz and Dan Mensher</w:t>
      </w:r>
      <w:r>
        <w:t>, attorneys in environmental law, “</w:t>
      </w:r>
      <w:r w:rsidRPr="005C1736">
        <w:t>Growing State Authority Under the Clean Water Act</w:t>
      </w:r>
      <w:r>
        <w:t xml:space="preserve">”, </w:t>
      </w:r>
      <w:r w:rsidRPr="005C1736">
        <w:t>Natural Resources &amp; Environment , Fall 2007</w:t>
      </w:r>
      <w:r>
        <w:t xml:space="preserve">, </w:t>
      </w:r>
      <w:hyperlink r:id="rId13" w:history="1">
        <w:r w:rsidRPr="00BE019C">
          <w:rPr>
            <w:rStyle w:val="FollowedHyperlink"/>
          </w:rPr>
          <w:t>https://www-jstor-org.ezproxy.sfpl.org/stable/pdf/40924909.pdf?ab_segments=0%252Fbasic_search_gsv2%252Fcontrol&amp;refreqid=excelsior%3Ac0948587ddf31e7b1787229c58e2a2e9</w:t>
        </w:r>
      </w:hyperlink>
      <w:r>
        <w:t>, ES)</w:t>
      </w:r>
    </w:p>
    <w:p w14:paraId="6B47766A" w14:textId="77777777" w:rsidR="00CC2CC5" w:rsidRPr="00770BE0" w:rsidRDefault="00CC2CC5" w:rsidP="00CC2CC5">
      <w:r w:rsidRPr="005C1736">
        <w:rPr>
          <w:rStyle w:val="StyleUnderline"/>
          <w:u w:val="none"/>
        </w:rPr>
        <w:t xml:space="preserve">In 1972, when Congress passed the Clean Water Act (CWA), it structured the programs embodied in the CWA on a "cooperative federalism" basis, </w:t>
      </w:r>
      <w:r w:rsidRPr="005C1736">
        <w:rPr>
          <w:rStyle w:val="StyleUnderline"/>
        </w:rPr>
        <w:t>which put states at the center of water-quality regulation</w:t>
      </w:r>
      <w:r w:rsidRPr="005C1736">
        <w:rPr>
          <w:rStyle w:val="StyleUnderline"/>
          <w:u w:val="none"/>
        </w:rPr>
        <w:t xml:space="preserve">. While the federal government establishes basic approaches and baselines, </w:t>
      </w:r>
      <w:r w:rsidRPr="00F615AC">
        <w:rPr>
          <w:rStyle w:val="StyleUnderline"/>
          <w:bCs/>
          <w:highlight w:val="cyan"/>
        </w:rPr>
        <w:t>states have substantial leeway to address water pollution as they see fit</w:t>
      </w:r>
      <w:r w:rsidRPr="005C1736">
        <w:rPr>
          <w:rStyle w:val="StyleUnderline"/>
        </w:rPr>
        <w:t xml:space="preserve">. States set water-quality standards for all their waters, and many </w:t>
      </w:r>
      <w:r w:rsidRPr="00EC7D6B">
        <w:rPr>
          <w:rStyle w:val="StyleUnderline"/>
          <w:highlight w:val="cyan"/>
        </w:rPr>
        <w:t>states have assumed control over pollution discharge permits</w:t>
      </w:r>
      <w:r w:rsidRPr="005C1736">
        <w:rPr>
          <w:rStyle w:val="StyleUnderline"/>
          <w:u w:val="none"/>
        </w:rPr>
        <w:t xml:space="preserve">. While these state roles tend to be well known, the CWA grants </w:t>
      </w:r>
      <w:r w:rsidRPr="005C1736">
        <w:rPr>
          <w:rStyle w:val="StyleUnderline"/>
        </w:rPr>
        <w:t>states another significant power that allows them to review federal licenses that might affect state waters.</w:t>
      </w:r>
      <w:r w:rsidRPr="005C1736">
        <w:rPr>
          <w:rStyle w:val="StyleUnderline"/>
          <w:u w:val="none"/>
        </w:rPr>
        <w:t xml:space="preserve"> This power arises out of Section 401 of the CWA</w:t>
      </w:r>
      <w:r w:rsidRPr="005C1736">
        <w:rPr>
          <w:rStyle w:val="StyleUnderline"/>
        </w:rPr>
        <w:t xml:space="preserve">. </w:t>
      </w:r>
      <w:r w:rsidRPr="00EC7D6B">
        <w:rPr>
          <w:rStyle w:val="StyleUnderline"/>
          <w:bCs/>
          <w:highlight w:val="cyan"/>
        </w:rPr>
        <w:t>Section 401 grants states</w:t>
      </w:r>
      <w:r w:rsidRPr="00D015C8">
        <w:rPr>
          <w:rStyle w:val="StyleUnderline"/>
          <w:bCs/>
        </w:rPr>
        <w:t xml:space="preserve"> far-reaching </w:t>
      </w:r>
      <w:r w:rsidRPr="00EC7D6B">
        <w:rPr>
          <w:rStyle w:val="StyleUnderline"/>
          <w:bCs/>
          <w:highlight w:val="cyan"/>
        </w:rPr>
        <w:t>authority to influence federal permit</w:t>
      </w:r>
      <w:r w:rsidRPr="00EC7D6B">
        <w:rPr>
          <w:rStyle w:val="StyleUnderline"/>
          <w:highlight w:val="cyan"/>
        </w:rPr>
        <w:t>s</w:t>
      </w:r>
      <w:r w:rsidRPr="005C1736">
        <w:rPr>
          <w:rStyle w:val="StyleUnderline"/>
        </w:rPr>
        <w:t xml:space="preserve">, </w:t>
      </w:r>
      <w:r w:rsidRPr="00EC7D6B">
        <w:rPr>
          <w:rStyle w:val="StyleUnderline"/>
          <w:highlight w:val="cyan"/>
        </w:rPr>
        <w:t>particularly</w:t>
      </w:r>
      <w:r w:rsidRPr="005C1736">
        <w:rPr>
          <w:rStyle w:val="StyleUnderline"/>
        </w:rPr>
        <w:t xml:space="preserve"> those </w:t>
      </w:r>
      <w:r w:rsidRPr="00EC7D6B">
        <w:rPr>
          <w:rStyle w:val="StyleUnderline"/>
          <w:highlight w:val="cyan"/>
        </w:rPr>
        <w:t>licenses needed to operate</w:t>
      </w:r>
      <w:r w:rsidRPr="005C1736">
        <w:rPr>
          <w:rStyle w:val="StyleUnderline"/>
        </w:rPr>
        <w:t xml:space="preserve"> dams and other </w:t>
      </w:r>
      <w:r w:rsidRPr="00EC7D6B">
        <w:rPr>
          <w:rStyle w:val="StyleUnderline"/>
          <w:highlight w:val="cyan"/>
        </w:rPr>
        <w:t>energy facilities</w:t>
      </w:r>
      <w:r w:rsidRPr="005C1736">
        <w:rPr>
          <w:rStyle w:val="StyleUnderline"/>
          <w:u w:val="none"/>
        </w:rPr>
        <w:t xml:space="preserve">. As energy and climate issues continue to capture headlines, and many states such as New York, California, and Oregon have begun taking action to address these issues, it is likely that </w:t>
      </w:r>
      <w:r w:rsidRPr="00EC7D6B">
        <w:rPr>
          <w:rStyle w:val="StyleUnderline"/>
          <w:bCs/>
          <w:highlight w:val="cyan"/>
        </w:rPr>
        <w:t>states will use</w:t>
      </w:r>
      <w:r w:rsidRPr="00D015C8">
        <w:rPr>
          <w:rStyle w:val="StyleUnderline"/>
          <w:bCs/>
        </w:rPr>
        <w:t xml:space="preserve"> their </w:t>
      </w:r>
      <w:r w:rsidRPr="00EC7D6B">
        <w:rPr>
          <w:rStyle w:val="StyleUnderline"/>
          <w:bCs/>
          <w:highlight w:val="cyan"/>
        </w:rPr>
        <w:t>Section 401 authority to increase their influence</w:t>
      </w:r>
      <w:r w:rsidRPr="00D015C8">
        <w:rPr>
          <w:rStyle w:val="StyleUnderline"/>
          <w:bCs/>
        </w:rPr>
        <w:t xml:space="preserve"> on otherwise solely federal processes</w:t>
      </w:r>
      <w:r w:rsidRPr="005C1736">
        <w:rPr>
          <w:rStyle w:val="StyleUnderline"/>
        </w:rPr>
        <w:t>.</w:t>
      </w:r>
      <w:r w:rsidRPr="005C1736">
        <w:rPr>
          <w:rStyle w:val="StyleUnderline"/>
          <w:u w:val="none"/>
        </w:rPr>
        <w:t xml:space="preserve"> As a result, the federal licensing agencies and regulated entities will need to be active in building productive relationships with host states. The CWA provides that before any federal agency issues a license or permit for a project that may result in a discharge into a waterbody, the state where the discharge would occur must certify that the project will not violate its water-quality standards. Known as "401 certification," </w:t>
      </w:r>
      <w:r w:rsidRPr="00D015C8">
        <w:rPr>
          <w:rStyle w:val="StyleUnderline"/>
          <w:bCs/>
        </w:rPr>
        <w:t>this section gives states an important role in determining how, and if, these projects will proceed.</w:t>
      </w:r>
      <w:r w:rsidRPr="00D015C8">
        <w:rPr>
          <w:rStyle w:val="StyleUnderline"/>
          <w:bCs/>
          <w:u w:val="none"/>
        </w:rPr>
        <w:t xml:space="preserve"> </w:t>
      </w:r>
      <w:r w:rsidRPr="005C1736">
        <w:rPr>
          <w:rStyle w:val="StyleUnderline"/>
        </w:rPr>
        <w:t>For example, the Supreme Court recently determined</w:t>
      </w:r>
      <w:r w:rsidRPr="005C1736">
        <w:rPr>
          <w:rStyle w:val="StyleUnderline"/>
          <w:u w:val="none"/>
        </w:rPr>
        <w:t xml:space="preserve"> in S.D. Warren v. Maine Board of Environmental Protection, 126 S. Ct. 1843 (2006), a unanimous decision</w:t>
      </w:r>
      <w:r w:rsidRPr="005C1736">
        <w:rPr>
          <w:rStyle w:val="StyleUnderline"/>
        </w:rPr>
        <w:t>, that discharges from dams trigger Section 401 certification requirements</w:t>
      </w:r>
      <w:r w:rsidRPr="005C1736">
        <w:rPr>
          <w:rStyle w:val="StyleUnderline"/>
          <w:u w:val="none"/>
        </w:rPr>
        <w:t>. As a result, any time a dam operator requires a license or permit from the Federal Energy Regulatory Commission (FERC</w:t>
      </w:r>
      <w:r w:rsidRPr="005C1736">
        <w:rPr>
          <w:rStyle w:val="StyleUnderline"/>
        </w:rPr>
        <w:t>), it must also seek separate approval from the state in which the dam is located</w:t>
      </w:r>
      <w:r w:rsidRPr="005C1736">
        <w:rPr>
          <w:rStyle w:val="StyleUnderline"/>
          <w:u w:val="none"/>
        </w:rPr>
        <w:t xml:space="preserve">. The term "discharge" is quite broad; indeed, </w:t>
      </w:r>
      <w:r w:rsidRPr="00EC7D6B">
        <w:rPr>
          <w:rStyle w:val="StyleUnderline"/>
          <w:highlight w:val="cyan"/>
        </w:rPr>
        <w:t xml:space="preserve">numerous courts have held that </w:t>
      </w:r>
      <w:r w:rsidRPr="00EC7D6B">
        <w:rPr>
          <w:rStyle w:val="StyleUnderline"/>
          <w:bCs/>
          <w:highlight w:val="cyan"/>
        </w:rPr>
        <w:t>401 is triggered when a project merely alters the potential volume, timing, or intensity of its discharge</w:t>
      </w:r>
      <w:r w:rsidRPr="005C1736">
        <w:rPr>
          <w:rStyle w:val="StyleUnderline"/>
          <w:u w:val="none"/>
        </w:rPr>
        <w:t xml:space="preserve">. Once Section 401 is implicated, </w:t>
      </w:r>
      <w:r w:rsidRPr="005C1736">
        <w:rPr>
          <w:rStyle w:val="StyleUnderline"/>
        </w:rPr>
        <w:t>states gain significant authority over the conditions on dam construction and operation</w:t>
      </w:r>
      <w:r w:rsidRPr="005C1736">
        <w:rPr>
          <w:rStyle w:val="StyleUnderline"/>
          <w:u w:val="none"/>
        </w:rPr>
        <w:t xml:space="preserve">. In certifying that a project meets its requirements, states may hinge their certification on the project meeting certain guidelines and adopting specific conditions. </w:t>
      </w:r>
      <w:r w:rsidRPr="00D015C8">
        <w:rPr>
          <w:rStyle w:val="StyleUnderline"/>
          <w:highlight w:val="cyan"/>
        </w:rPr>
        <w:t>A state might</w:t>
      </w:r>
      <w:r w:rsidRPr="005C1736">
        <w:rPr>
          <w:rStyle w:val="StyleUnderline"/>
          <w:u w:val="none"/>
        </w:rPr>
        <w:t>, for example</w:t>
      </w:r>
      <w:r w:rsidRPr="005C1736">
        <w:rPr>
          <w:rStyle w:val="StyleUnderline"/>
        </w:rPr>
        <w:t xml:space="preserve">, </w:t>
      </w:r>
      <w:r w:rsidRPr="00D015C8">
        <w:rPr>
          <w:rStyle w:val="StyleUnderline"/>
          <w:highlight w:val="cyan"/>
        </w:rPr>
        <w:t>withhold certification</w:t>
      </w:r>
      <w:r w:rsidRPr="005C1736">
        <w:rPr>
          <w:rStyle w:val="StyleUnderline"/>
          <w:u w:val="none"/>
        </w:rPr>
        <w:t xml:space="preserve"> unless a hydroelectric plant agrees to maintain certain amounts of water in the down- stream river or limit the amount of dissolved oxygen in the dam's discharge. The conditions a state may require are not confined to the discharge itself. Indeed, the Supreme Court held in PUD No. I of Jefferson Cty. v. Washington Dept. of Ecology &gt; 511 U. S. 700 (1994), that states may regulate the impacts of the project as a whole, so long as there is a discharge involved. Where, for instance, a dam removes water from a river, diverting it through turbines and discharging it downstream, a state has authority to examine and regulate the impacts of the water removal, not just of the discharge. As a result, </w:t>
      </w:r>
      <w:r w:rsidRPr="005C1736">
        <w:rPr>
          <w:rStyle w:val="StyleUnderline"/>
        </w:rPr>
        <w:t xml:space="preserve">once a dam triggers Section 401, states gain authority over the entire project </w:t>
      </w:r>
      <w:r w:rsidRPr="005C1736">
        <w:rPr>
          <w:rStyle w:val="StyleUnderline"/>
          <w:u w:val="none"/>
        </w:rPr>
        <w:t xml:space="preserve">and can require a host of actions and conditions </w:t>
      </w:r>
      <w:r w:rsidRPr="005C1736">
        <w:rPr>
          <w:rStyle w:val="StyleUnderline"/>
        </w:rPr>
        <w:t>as part of their certification</w:t>
      </w:r>
      <w:r w:rsidRPr="00D015C8">
        <w:rPr>
          <w:rStyle w:val="StyleUnderline"/>
          <w:highlight w:val="cyan"/>
          <w:u w:val="none"/>
        </w:rPr>
        <w:t xml:space="preserve">. </w:t>
      </w:r>
      <w:r w:rsidRPr="00D015C8">
        <w:rPr>
          <w:rStyle w:val="StyleUnderline"/>
          <w:bCs/>
          <w:highlight w:val="cyan"/>
        </w:rPr>
        <w:t>Section 401</w:t>
      </w:r>
      <w:r w:rsidRPr="005C1736">
        <w:rPr>
          <w:rStyle w:val="StyleUnderline"/>
        </w:rPr>
        <w:t xml:space="preserve"> not only gives states the authority to place conditions on a federal permit, it </w:t>
      </w:r>
      <w:r w:rsidRPr="00D015C8">
        <w:rPr>
          <w:rStyle w:val="StyleUnderline"/>
          <w:bCs/>
          <w:highlight w:val="cyan"/>
        </w:rPr>
        <w:t xml:space="preserve">binds the federal agencies to </w:t>
      </w:r>
      <w:r w:rsidRPr="00EC7D6B">
        <w:rPr>
          <w:rStyle w:val="StyleUnderline"/>
        </w:rPr>
        <w:t>those</w:t>
      </w:r>
      <w:r w:rsidRPr="00D015C8">
        <w:rPr>
          <w:rStyle w:val="StyleUnderline"/>
          <w:bCs/>
          <w:highlight w:val="cyan"/>
        </w:rPr>
        <w:t xml:space="preserve"> state decisions. </w:t>
      </w:r>
      <w:r w:rsidRPr="00EC7D6B">
        <w:rPr>
          <w:rStyle w:val="StyleUnderline"/>
          <w:bCs/>
        </w:rPr>
        <w:t>Federal agencies are not allowed to disregard the state-imposed conditions</w:t>
      </w:r>
      <w:r w:rsidRPr="00EC7D6B">
        <w:rPr>
          <w:rStyle w:val="StyleUnderline"/>
        </w:rPr>
        <w:t>.</w:t>
      </w:r>
      <w:r w:rsidRPr="005C1736">
        <w:rPr>
          <w:rStyle w:val="StyleUnderline"/>
        </w:rPr>
        <w:t xml:space="preserve"> </w:t>
      </w:r>
      <w:r w:rsidRPr="005C1736">
        <w:rPr>
          <w:rStyle w:val="StyleUnderline"/>
          <w:u w:val="none"/>
        </w:rPr>
        <w:t>Once a state conditions its certification on the project taking specific actions, the federal agency in charge of the license must not only include those conditions in the license, but also ensure the operator abides by them. Thus, if a state imposes minimum flows on a dam's operation, FERC must include such conditions in the dam operation license. But, the final extent to which a state's conditions can be successfully challenged by federal agencies or federal permit applicants has yet to become clear or consistent. The conditions states may impose through 401 certification are very wide ranging. For example, the Second Circuit found that Vermont could condition its certification of sever- al hydroelectric projects on its continued oversight of building plans, erosion controls at the site, and other project elements not directly involved with the dams' operations. American Rivers v. FERC, 129 F.3d 99 (2d Cir. 1997). Additionally, courts have not interpreted water quality narrowly in the 401 context. Although the CWA was not meant to be a water-quantity statute,</w:t>
      </w:r>
      <w:r w:rsidRPr="00D015C8">
        <w:rPr>
          <w:rStyle w:val="StyleUnderline"/>
          <w:bCs/>
          <w:u w:val="none"/>
        </w:rPr>
        <w:t xml:space="preserve"> </w:t>
      </w:r>
      <w:r w:rsidRPr="00D015C8">
        <w:rPr>
          <w:rStyle w:val="StyleUnderline"/>
          <w:bCs/>
        </w:rPr>
        <w:t xml:space="preserve">Section 401 allows states to address water-quality issues </w:t>
      </w:r>
      <w:r w:rsidRPr="005C1736">
        <w:rPr>
          <w:rStyle w:val="StyleUnderline"/>
        </w:rPr>
        <w:t xml:space="preserve">related to water quantity, allowing them to set minimum stream flow requirements in federal licenses. And </w:t>
      </w:r>
      <w:r w:rsidRPr="00770BE0">
        <w:rPr>
          <w:rStyle w:val="StyleUnderline"/>
          <w:highlight w:val="cyan"/>
        </w:rPr>
        <w:t>states</w:t>
      </w:r>
      <w:r w:rsidRPr="00D015C8">
        <w:rPr>
          <w:rStyle w:val="StyleUnderline"/>
          <w:bCs/>
        </w:rPr>
        <w:t xml:space="preserve"> are not limited to water-quality conditions alone</w:t>
      </w:r>
      <w:r w:rsidRPr="005C1736">
        <w:rPr>
          <w:rStyle w:val="StyleUnderline"/>
        </w:rPr>
        <w:t xml:space="preserve">, as they </w:t>
      </w:r>
      <w:r w:rsidRPr="00770BE0">
        <w:rPr>
          <w:rStyle w:val="StyleUnderline"/>
          <w:highlight w:val="cyan"/>
        </w:rPr>
        <w:t>may require</w:t>
      </w:r>
      <w:r w:rsidRPr="005C1736">
        <w:rPr>
          <w:rStyle w:val="StyleUnderline"/>
        </w:rPr>
        <w:t xml:space="preserve"> fish passageways around dams and other </w:t>
      </w:r>
      <w:r w:rsidRPr="00770BE0">
        <w:rPr>
          <w:rStyle w:val="StyleUnderline"/>
          <w:highlight w:val="cyan"/>
        </w:rPr>
        <w:t>projects to benefit aquatic habitats and specie</w:t>
      </w:r>
      <w:r w:rsidRPr="00770BE0">
        <w:rPr>
          <w:rStyle w:val="StyleUnderline"/>
          <w:highlight w:val="cyan"/>
          <w:u w:val="none"/>
        </w:rPr>
        <w:t>s</w:t>
      </w:r>
      <w:r w:rsidRPr="005C1736">
        <w:rPr>
          <w:rStyle w:val="StyleUnderline"/>
          <w:u w:val="none"/>
        </w:rPr>
        <w:t xml:space="preserve">. Indian tribes can also act as states for 401 certification purposes. </w:t>
      </w:r>
      <w:r w:rsidRPr="00D015C8">
        <w:rPr>
          <w:rStyle w:val="StyleUnderline"/>
          <w:bCs/>
        </w:rPr>
        <w:t>A tribe may seek authorization from the U.S. Environmental Protection Agency in order to take on the roles and responsibilities of a state under the CWA</w:t>
      </w:r>
      <w:r w:rsidRPr="005C1736">
        <w:rPr>
          <w:rStyle w:val="StyleUnderline"/>
          <w:u w:val="none"/>
        </w:rPr>
        <w:t xml:space="preserve">. This means that any federally licensed project that results in a dis- charge into tribally administered waters triggers the tribe's authority to add conditions to the permit. Section 401 also reserves a role for downstream states. Although downstream states do not have the same influence on a federal permit as the discharge state, they can play a significant role in shaping the approval process. </w:t>
      </w:r>
      <w:r w:rsidRPr="005C1736">
        <w:rPr>
          <w:rStyle w:val="StyleUnderline"/>
        </w:rPr>
        <w:t>When a project may affect the water quality in a downstream state, that state may request hearings, propose permit conditions, and demand federal responses to their concerns.</w:t>
      </w:r>
      <w:r w:rsidRPr="005C1736">
        <w:rPr>
          <w:rStyle w:val="StyleUnderline"/>
          <w:u w:val="none"/>
        </w:rPr>
        <w:t xml:space="preserve"> Although downstream states do not have the authority to bind federal agencies, they do hold a seat at the table and can influence upstream projects</w:t>
      </w:r>
      <w:r w:rsidRPr="00D015C8">
        <w:rPr>
          <w:rStyle w:val="StyleUnderline"/>
          <w:bCs/>
        </w:rPr>
        <w:t>. Section 401 gives states</w:t>
      </w:r>
      <w:r w:rsidRPr="005C1736">
        <w:rPr>
          <w:rStyle w:val="StyleUnderline"/>
        </w:rPr>
        <w:t xml:space="preserve"> an important </w:t>
      </w:r>
      <w:r w:rsidRPr="00D015C8">
        <w:rPr>
          <w:rStyle w:val="StyleUnderline"/>
          <w:bCs/>
        </w:rPr>
        <w:t>role in shaping the use of the country's water resources</w:t>
      </w:r>
      <w:r w:rsidRPr="005C1736">
        <w:rPr>
          <w:rStyle w:val="StyleUnderline"/>
        </w:rPr>
        <w:t xml:space="preserve"> and provides them with </w:t>
      </w:r>
      <w:r w:rsidRPr="00D015C8">
        <w:rPr>
          <w:rStyle w:val="StyleUnderline"/>
          <w:bCs/>
          <w:highlight w:val="cyan"/>
        </w:rPr>
        <w:t>significant authority to influence federal policy and actions</w:t>
      </w:r>
      <w:r w:rsidRPr="005C1736">
        <w:rPr>
          <w:rStyle w:val="StyleUnderline"/>
        </w:rPr>
        <w:t>.</w:t>
      </w:r>
      <w:r w:rsidRPr="005C1736">
        <w:rPr>
          <w:rStyle w:val="StyleUnderline"/>
          <w:u w:val="none"/>
        </w:rPr>
        <w:t xml:space="preserve"> As states have begun to take the lead on many environmental and energy issues, states are increasingly becoming aware of, and exercising, the power granted by Section 401. It may be important to grant states a role in managing state resources and water quality; however, Section 401 can create a tangle of overlapping jurisdiction, where states, tribes, federal agencies, and regulated entities compete for control over projects. As a result, for regulated entities seeking federal permits to construct or operate dams, irrigation projects, or even nuclear power plants, working with states early in a project is critical for successful navigation of the 401 certification process. Rather than coming to a state at the end of the process, with a completed plan that has received approval from a federal agency, the licensees ought to view states as part of the process from the start. When all the parties have open dialogue, maximizing communication about concerns and goals, chances for cooperation and success increase. While 401 certification certainly adds more work and new regulators to please, by addressing state concerns upfront, regulated entities are likely to find that they can work with states to build successful projects.</w:t>
      </w:r>
    </w:p>
    <w:p w14:paraId="2F96AA4F" w14:textId="77777777" w:rsidR="00CC2CC5" w:rsidRDefault="00CC2CC5" w:rsidP="00CC2CC5">
      <w:pPr>
        <w:pStyle w:val="Heading4"/>
      </w:pPr>
      <w:r>
        <w:t xml:space="preserve">States have the power to issue </w:t>
      </w:r>
      <w:r w:rsidRPr="00C90E89">
        <w:rPr>
          <w:u w:val="single"/>
        </w:rPr>
        <w:t>their own NPDES permits</w:t>
      </w:r>
      <w:r>
        <w:t xml:space="preserve"> to establish </w:t>
      </w:r>
      <w:r w:rsidRPr="00C90E89">
        <w:rPr>
          <w:u w:val="single"/>
        </w:rPr>
        <w:t xml:space="preserve">their own </w:t>
      </w:r>
      <w:r>
        <w:rPr>
          <w:u w:val="single"/>
        </w:rPr>
        <w:t>BTA determinations</w:t>
      </w:r>
    </w:p>
    <w:p w14:paraId="42105E75" w14:textId="77777777" w:rsidR="00CC2CC5" w:rsidRDefault="00CC2CC5" w:rsidP="00CC2CC5">
      <w:r w:rsidRPr="001431BC">
        <w:rPr>
          <w:b/>
          <w:bCs/>
          <w:sz w:val="26"/>
          <w:szCs w:val="26"/>
        </w:rPr>
        <w:t>Frank 16</w:t>
      </w:r>
      <w:r>
        <w:t xml:space="preserve"> </w:t>
      </w:r>
      <w:r w:rsidRPr="001431BC">
        <w:t>(</w:t>
      </w:r>
      <w:r>
        <w:t xml:space="preserve">Franks </w:t>
      </w:r>
      <w:r w:rsidRPr="001431BC">
        <w:t>Richard</w:t>
      </w:r>
      <w:r>
        <w:t xml:space="preserve">, </w:t>
      </w:r>
      <w:r w:rsidRPr="001431BC">
        <w:t>Professor of Environmental Practice</w:t>
      </w:r>
      <w:r>
        <w:t xml:space="preserve">, </w:t>
      </w:r>
      <w:r w:rsidRPr="001431BC">
        <w:t>Director of the U. C. Davis School of Law’s California Environmental Law &amp; Policy Cente</w:t>
      </w:r>
      <w:r>
        <w:t xml:space="preserve">r, “The Clean Water Act, Federalism, Big Money, and the California Supreme Court,” September 13 2016, </w:t>
      </w:r>
      <w:r w:rsidRPr="008D6F17">
        <w:t>https://legal-planet.org/2016/09/13/the-clean-water-act-federalism-big-money-and-the-california-supreme-court/</w:t>
      </w:r>
      <w:r w:rsidRPr="001431BC">
        <w:t>)</w:t>
      </w:r>
    </w:p>
    <w:p w14:paraId="09048C78" w14:textId="77777777" w:rsidR="00CC2CC5" w:rsidRPr="00187BFA" w:rsidRDefault="00CC2CC5" w:rsidP="00CC2CC5">
      <w:pPr>
        <w:rPr>
          <w:sz w:val="16"/>
        </w:rPr>
      </w:pPr>
      <w:r w:rsidRPr="00B27A68">
        <w:fldChar w:fldCharType="begin"/>
      </w:r>
      <w:r w:rsidRPr="00B27A68">
        <w:instrText xml:space="preserve"> INCLUDEPICTURE "https://legal-planet.org/wp-content/uploads/2016/09/Screen-Shot-2016-09-08-at-12.37.00-PM-291x300.png" \* MERGEFORMATINET </w:instrText>
      </w:r>
      <w:r w:rsidRPr="00B27A68">
        <w:fldChar w:fldCharType="end"/>
      </w:r>
      <w:r w:rsidRPr="00187BFA">
        <w:rPr>
          <w:sz w:val="16"/>
        </w:rPr>
        <w:t>The case is </w:t>
      </w:r>
      <w:hyperlink r:id="rId14" w:history="1">
        <w:r w:rsidRPr="00187BFA">
          <w:rPr>
            <w:rStyle w:val="FollowedHyperlink"/>
            <w:sz w:val="16"/>
          </w:rPr>
          <w:t>Department of Finance v. Commission on State Mandates</w:t>
        </w:r>
      </w:hyperlink>
      <w:r w:rsidRPr="00187BFA">
        <w:rPr>
          <w:sz w:val="16"/>
        </w:rPr>
        <w:t xml:space="preserve">.  In that decision, a bare 4-3 majority of the Supreme Court held that the costs associated with conditions imposed by California’s Regional Quality Control Board on local agencies that operate storm drain systems under a state-administered federal permit must, under the California Constitution, be reimbursed by the state.  In doing so, </w:t>
      </w:r>
      <w:r w:rsidRPr="00187BFA">
        <w:rPr>
          <w:rStyle w:val="StyleUnderline"/>
        </w:rPr>
        <w:t xml:space="preserve">the </w:t>
      </w:r>
      <w:r w:rsidRPr="00187BFA">
        <w:rPr>
          <w:rStyle w:val="Emphasis"/>
        </w:rPr>
        <w:t>Supreme Court imposed</w:t>
      </w:r>
      <w:r w:rsidRPr="00187BFA">
        <w:rPr>
          <w:rStyle w:val="StyleUnderline"/>
        </w:rPr>
        <w:t xml:space="preserve"> potentially multi-billion dollar </w:t>
      </w:r>
      <w:r w:rsidRPr="00187BFA">
        <w:rPr>
          <w:rStyle w:val="Emphasis"/>
        </w:rPr>
        <w:t>liability</w:t>
      </w:r>
      <w:r w:rsidRPr="00187BFA">
        <w:rPr>
          <w:rStyle w:val="StyleUnderline"/>
        </w:rPr>
        <w:t xml:space="preserve"> on the state while simultaneously misperceiving the nature of the federally-mandated water pollution permit system</w:t>
      </w:r>
      <w:r w:rsidRPr="00187BFA">
        <w:rPr>
          <w:sz w:val="16"/>
        </w:rPr>
        <w:t xml:space="preserve"> administered by the State of California since 1972.  Even more alarmingly, the </w:t>
      </w:r>
      <w:r w:rsidRPr="00187BFA">
        <w:rPr>
          <w:rStyle w:val="StyleUnderline"/>
        </w:rPr>
        <w:t>Court’s decision threatens the cooperative federalism principles that are inherent in the Clean Water Act’s regulatory program and incentivizes California’s abandonment of that program</w:t>
      </w:r>
      <w:r w:rsidRPr="00187BFA">
        <w:rPr>
          <w:sz w:val="16"/>
        </w:rPr>
        <w:t>.</w:t>
      </w:r>
    </w:p>
    <w:p w14:paraId="0E8D8288" w14:textId="77777777" w:rsidR="00CC2CC5" w:rsidRPr="00187BFA" w:rsidRDefault="00CC2CC5" w:rsidP="00CC2CC5">
      <w:pPr>
        <w:rPr>
          <w:sz w:val="16"/>
        </w:rPr>
      </w:pPr>
      <w:r w:rsidRPr="00187BFA">
        <w:rPr>
          <w:sz w:val="16"/>
        </w:rPr>
        <w:t xml:space="preserve">To understand the Court’s decision and its implications, a bit of background is required regarding both the Clean Water Act permit program and the rather Byzantine state finance system that together form the underpinnings of the Department of Finance decision: </w:t>
      </w:r>
      <w:r w:rsidRPr="00EC7D6B">
        <w:rPr>
          <w:rStyle w:val="StyleUnderline"/>
          <w:highlight w:val="cyan"/>
        </w:rPr>
        <w:t>The C</w:t>
      </w:r>
      <w:r w:rsidRPr="00B27A68">
        <w:rPr>
          <w:rStyle w:val="StyleUnderline"/>
        </w:rPr>
        <w:t xml:space="preserve">lean </w:t>
      </w:r>
      <w:r w:rsidRPr="00EC7D6B">
        <w:rPr>
          <w:rStyle w:val="StyleUnderline"/>
          <w:highlight w:val="cyan"/>
        </w:rPr>
        <w:t>W</w:t>
      </w:r>
      <w:r w:rsidRPr="00B27A68">
        <w:rPr>
          <w:rStyle w:val="StyleUnderline"/>
        </w:rPr>
        <w:t>ater </w:t>
      </w:r>
      <w:r w:rsidRPr="00EC7D6B">
        <w:rPr>
          <w:rStyle w:val="StyleUnderline"/>
          <w:highlight w:val="cyan"/>
        </w:rPr>
        <w:t>A</w:t>
      </w:r>
      <w:r w:rsidRPr="00B27A68">
        <w:rPr>
          <w:rStyle w:val="StyleUnderline"/>
        </w:rPr>
        <w:t xml:space="preserve">ct </w:t>
      </w:r>
      <w:r w:rsidRPr="00EC7D6B">
        <w:rPr>
          <w:rStyle w:val="StyleUnderline"/>
          <w:highlight w:val="cyan"/>
        </w:rPr>
        <w:t>creates a federal water pollution permit</w:t>
      </w:r>
      <w:r w:rsidRPr="00187BFA">
        <w:rPr>
          <w:sz w:val="16"/>
        </w:rPr>
        <w:t xml:space="preserve"> (NPDES) system for the U.S. Environmental Protection Agency to administer.  But </w:t>
      </w:r>
      <w:r w:rsidRPr="00EC7D6B">
        <w:rPr>
          <w:rStyle w:val="StyleUnderline"/>
          <w:highlight w:val="cyan"/>
        </w:rPr>
        <w:t xml:space="preserve">the Act also allows EPA to </w:t>
      </w:r>
      <w:r w:rsidRPr="00EC7D6B">
        <w:rPr>
          <w:rStyle w:val="Emphasis"/>
          <w:highlight w:val="cyan"/>
        </w:rPr>
        <w:t>delegate</w:t>
      </w:r>
      <w:r w:rsidRPr="00EC7D6B">
        <w:rPr>
          <w:rStyle w:val="StyleUnderline"/>
          <w:highlight w:val="cyan"/>
        </w:rPr>
        <w:t xml:space="preserve"> that</w:t>
      </w:r>
      <w:r w:rsidRPr="00B27A68">
        <w:rPr>
          <w:rStyle w:val="StyleUnderline"/>
        </w:rPr>
        <w:t xml:space="preserve"> federal </w:t>
      </w:r>
      <w:r w:rsidRPr="00EC7D6B">
        <w:rPr>
          <w:rStyle w:val="Emphasis"/>
          <w:highlight w:val="cyan"/>
        </w:rPr>
        <w:t>permit system to states</w:t>
      </w:r>
      <w:r w:rsidRPr="00B27A68">
        <w:rPr>
          <w:rStyle w:val="StyleUnderline"/>
        </w:rPr>
        <w:t xml:space="preserve"> willing to administer it within their own borders</w:t>
      </w:r>
      <w:r w:rsidRPr="00187BFA">
        <w:rPr>
          <w:sz w:val="16"/>
        </w:rPr>
        <w:t>.  California was the very first state to seek and obtain this delegated permit authority from EPA in 1972, mere months after Congress enacted the Clean Water Act.  One of California’s major incentives in doing so was to combine the NPDES permit program with California’s own, preexisting state water pollution permit system under the state’s Porter-Cologne Act.</w:t>
      </w:r>
    </w:p>
    <w:p w14:paraId="65D551F4" w14:textId="77777777" w:rsidR="00CC2CC5" w:rsidRPr="008630BA" w:rsidRDefault="00CC2CC5" w:rsidP="00CC2CC5">
      <w:pPr>
        <w:rPr>
          <w:sz w:val="16"/>
        </w:rPr>
      </w:pPr>
      <w:r w:rsidRPr="008630BA">
        <w:rPr>
          <w:sz w:val="16"/>
        </w:rPr>
        <w:t xml:space="preserve">Meanwhile, after California voters dramatically limited local government’s ability to increase property taxes by enacting Proposition 13 in 1978, California cities and counties responded with a provision in a related, successful initiative enacted by voters a year later. The latter “Gann initiative” requires the State of California to reimburse local governments for the costs of any state-mandated new program or higher level of service. But that reimbursement requirement is subject to one key exception: the state is not required to reimburse local governments for the costs of any state law imposing on them “a requirement that is mandated by a federal law or regulation.” Fast forward to 2001. Los Angeles County, on behalf of itself and 84 SoCal cities, applied to the </w:t>
      </w:r>
      <w:r w:rsidRPr="008630BA">
        <w:rPr>
          <w:rStyle w:val="StyleUnderline"/>
        </w:rPr>
        <w:t>California Regional Water Quality Control Board</w:t>
      </w:r>
      <w:r w:rsidRPr="008630BA">
        <w:rPr>
          <w:sz w:val="16"/>
        </w:rPr>
        <w:t xml:space="preserve"> for an NPDES permit to operate their local storm drainage systems, a.k.a. “municipal separate storm sewer systems” or “MS4.” The Regional Board </w:t>
      </w:r>
      <w:r w:rsidRPr="008630BA">
        <w:rPr>
          <w:rStyle w:val="StyleUnderline"/>
        </w:rPr>
        <w:t>issued</w:t>
      </w:r>
      <w:r w:rsidRPr="008630BA">
        <w:rPr>
          <w:sz w:val="16"/>
        </w:rPr>
        <w:t xml:space="preserve"> the requested </w:t>
      </w:r>
      <w:r w:rsidRPr="008630BA">
        <w:rPr>
          <w:rStyle w:val="StyleUnderline"/>
        </w:rPr>
        <w:t>5-year permit</w:t>
      </w:r>
      <w:r w:rsidRPr="008630BA">
        <w:rPr>
          <w:sz w:val="16"/>
        </w:rPr>
        <w:t xml:space="preserve">, subject to four conditions intended to “reduce the discharge of pollutants in storm water to the maximum extent practicable” within the local governments’ respective jurisdictions. Critically, the italicized language comes directly from the federal Clean Water Act. The local governments claim that the conditions, which collectively involve well over $1 billion in compliance costs over the life of the issued permit, filed an administrative claim seeking reimbursement from the state. They argued that the conditions constitute a state-mandated local program. The state countered by asserting that the conditions are part of a federal Clean Water Act mandate, and therefore not subject to reimbursement. After an administrative tribunal concluded that none of the imposed conditions were expressly required by federal law, the State of California sought judicial review. In its Department of Finance ruling, a divided California Supreme Court affirmed. The majority relied on the fact that </w:t>
      </w:r>
      <w:r w:rsidRPr="001431BC">
        <w:rPr>
          <w:sz w:val="16"/>
          <w:szCs w:val="16"/>
        </w:rPr>
        <w:t>federal law does not explicitly require the Regional Board to impose the specific permit conditions that it did.</w:t>
      </w:r>
      <w:r w:rsidRPr="008630BA">
        <w:rPr>
          <w:sz w:val="16"/>
        </w:rPr>
        <w:t xml:space="preserve"> (Indeed, it is plausible to read the Court’s decision as making it impossible for the state to issue any MS4 permits containing conditions without triggering a reimbursable state mandate.) Additionally, said the Court </w:t>
      </w:r>
      <w:r w:rsidRPr="008630BA">
        <w:rPr>
          <w:sz w:val="16"/>
          <w:szCs w:val="16"/>
        </w:rPr>
        <w:t>“[t]here was no evidence that the state was compelled to administer its own permitting system rather than allowing the EPA [sic] do so under the CWA.”</w:t>
      </w:r>
    </w:p>
    <w:p w14:paraId="43B5E079" w14:textId="77777777" w:rsidR="00CC2CC5" w:rsidRDefault="00CC2CC5" w:rsidP="00CC2CC5">
      <w:pPr>
        <w:rPr>
          <w:sz w:val="16"/>
        </w:rPr>
      </w:pPr>
      <w:r w:rsidRPr="008630BA">
        <w:rPr>
          <w:rStyle w:val="StyleUnderline"/>
        </w:rPr>
        <w:t>Justice Mariano-Florentino Cuellar wrote</w:t>
      </w:r>
      <w:r w:rsidRPr="001431BC">
        <w:rPr>
          <w:sz w:val="16"/>
        </w:rPr>
        <w:t xml:space="preserve"> a vigorous dissent, in which two of his fellow justices joined.  Cuellar protested that the majority reached the wrong decision by asking the wrong legal question, while at the same time failing to give appropriate deference to both state and federal water quality regulators. Cuellar’s dissent notes </w:t>
      </w:r>
      <w:r w:rsidRPr="008630BA">
        <w:rPr>
          <w:rStyle w:val="StyleUnderline"/>
        </w:rPr>
        <w:t xml:space="preserve">that </w:t>
      </w:r>
      <w:r w:rsidRPr="00EC7D6B">
        <w:rPr>
          <w:rStyle w:val="StyleUnderline"/>
          <w:highlight w:val="cyan"/>
        </w:rPr>
        <w:t>the Clean Water Act imposes a general performance standard for</w:t>
      </w:r>
      <w:r w:rsidRPr="008630BA">
        <w:rPr>
          <w:rStyle w:val="StyleUnderline"/>
        </w:rPr>
        <w:t xml:space="preserve"> federal or </w:t>
      </w:r>
      <w:r w:rsidRPr="00EC7D6B">
        <w:rPr>
          <w:rStyle w:val="StyleUnderline"/>
          <w:highlight w:val="cyan"/>
        </w:rPr>
        <w:t>state agencies issuing NPDES permits</w:t>
      </w:r>
      <w:r w:rsidRPr="008630BA">
        <w:rPr>
          <w:rStyle w:val="StyleUnderline"/>
        </w:rPr>
        <w:t xml:space="preserve"> under the Clean Water Act: </w:t>
      </w:r>
      <w:r w:rsidRPr="00EC7D6B">
        <w:rPr>
          <w:rStyle w:val="StyleUnderline"/>
          <w:highlight w:val="cyan"/>
        </w:rPr>
        <w:t xml:space="preserve">that the permittee </w:t>
      </w:r>
      <w:r w:rsidRPr="00EC7D6B">
        <w:rPr>
          <w:rStyle w:val="Emphasis"/>
          <w:highlight w:val="cyan"/>
        </w:rPr>
        <w:t>reduce its pollution</w:t>
      </w:r>
      <w:r w:rsidRPr="00EC7D6B">
        <w:rPr>
          <w:rStyle w:val="StyleUnderline"/>
          <w:highlight w:val="cyan"/>
        </w:rPr>
        <w:t xml:space="preserve"> “to the </w:t>
      </w:r>
      <w:r w:rsidRPr="00EC7D6B">
        <w:rPr>
          <w:rStyle w:val="Emphasis"/>
          <w:highlight w:val="cyan"/>
        </w:rPr>
        <w:t>maximum extent practicable</w:t>
      </w:r>
      <w:r w:rsidRPr="001431BC">
        <w:rPr>
          <w:sz w:val="16"/>
        </w:rPr>
        <w:t xml:space="preserve">.”  He observed </w:t>
      </w:r>
      <w:r w:rsidRPr="008630BA">
        <w:rPr>
          <w:rStyle w:val="StyleUnderline"/>
        </w:rPr>
        <w:t>that </w:t>
      </w:r>
      <w:r w:rsidRPr="00EC7D6B">
        <w:rPr>
          <w:rStyle w:val="StyleUnderline"/>
          <w:highlight w:val="cyan"/>
        </w:rPr>
        <w:t>regulators</w:t>
      </w:r>
      <w:r w:rsidRPr="008630BA">
        <w:rPr>
          <w:rStyle w:val="StyleUnderline"/>
        </w:rPr>
        <w:t xml:space="preserve"> are and </w:t>
      </w:r>
      <w:r w:rsidRPr="00EC7D6B">
        <w:rPr>
          <w:rStyle w:val="StyleUnderline"/>
          <w:highlight w:val="cyan"/>
        </w:rPr>
        <w:t>should be given broad discretion</w:t>
      </w:r>
      <w:r w:rsidRPr="008630BA">
        <w:rPr>
          <w:rStyle w:val="StyleUnderline"/>
        </w:rPr>
        <w:t xml:space="preserve"> under the CWA to achieve that result</w:t>
      </w:r>
      <w:r w:rsidRPr="001431BC">
        <w:rPr>
          <w:sz w:val="16"/>
        </w:rPr>
        <w:t xml:space="preserve"> via permit conditions.  That’s exactly what the state argued that the Board had done in issuing the permit at issue.  Equally important–and as noted by both the majority and dissenters–USEPA had submitted formal comments in the record before the Court indicating that </w:t>
      </w:r>
      <w:r w:rsidRPr="008630BA">
        <w:rPr>
          <w:rStyle w:val="StyleUnderline"/>
        </w:rPr>
        <w:t>the federal government agreed</w:t>
      </w:r>
      <w:r w:rsidRPr="001431BC">
        <w:rPr>
          <w:sz w:val="16"/>
        </w:rPr>
        <w:t xml:space="preserve"> with the Regional Board </w:t>
      </w:r>
      <w:r w:rsidRPr="008630BA">
        <w:rPr>
          <w:rStyle w:val="StyleUnderline"/>
        </w:rPr>
        <w:t xml:space="preserve">that the challenged </w:t>
      </w:r>
      <w:r w:rsidRPr="00EC7D6B">
        <w:rPr>
          <w:rStyle w:val="StyleUnderline"/>
          <w:highlight w:val="cyan"/>
        </w:rPr>
        <w:t>permit conditions were in fact required to meet the Clean Water Act’s “maximum extent possible” mandate</w:t>
      </w:r>
      <w:r w:rsidRPr="001431BC">
        <w:rPr>
          <w:sz w:val="16"/>
        </w:rPr>
        <w:t>. Which leads to the second defect in the majority’s decision, as aptly noted by the dissent: the former’s failure to give appropriate deference to both EPA and the Regional Board’s demonstrated expertise in administering “a complex federal statute governing regulation of the environment.” Justice Cuellar concludes his dissent by noting the profound, adverse policy implications of the Court’s decision: “[G]iven the nature of the relevant CWA provisions–and particularly the maximum extent practicable standard–it is wrong to assume that the conditions at issue in this case exceed what is necessary to comply with the CWA simply because neither the statute nor its regulations explicitly mention those conditions. The consequence of that assumption, moreover, risks discouraging the state from assuming cooperative federalism responsibilities–and may even encourage the state to withdraw from administering the NPDES.” The State of California has today formally asked the Supreme Court to reconsider its ruling in the Department of Finance case. Such motions are rarely granted by the Court. But this is the exceptional case warranting that exceptional action by the Court. The majority’s decision misreads California constitutional law, erroneously imposes potentially multibillion dollar liability on the State of California, and perversely incentivizes California to give back to the EPA a federal water pollution permit program that state regulators have administered efficiently and well for the past 44 years. Justice Cuellar’s dissent and the State of California’s petition for rehearing accurately identify both the legal defects in the Court’s decision and its profound, adverse public policy consequences. Let’s hope Cuellar’s judicial colleagues decide to reconsider the Court’s flawed decision.</w:t>
      </w:r>
    </w:p>
    <w:p w14:paraId="33714BD6" w14:textId="77777777" w:rsidR="00CC2CC5" w:rsidRPr="00C90E89" w:rsidRDefault="00CC2CC5" w:rsidP="00CC2CC5">
      <w:pPr>
        <w:pStyle w:val="Heading4"/>
      </w:pPr>
      <w:r>
        <w:t xml:space="preserve">Uniform section 401 State rules can be made consistent with EPA guidance </w:t>
      </w:r>
    </w:p>
    <w:p w14:paraId="1C772E55" w14:textId="77777777" w:rsidR="00CC2CC5" w:rsidRDefault="00CC2CC5" w:rsidP="00CC2CC5">
      <w:r w:rsidRPr="00D21E2D">
        <w:rPr>
          <w:rStyle w:val="Heading4Char"/>
        </w:rPr>
        <w:t>E</w:t>
      </w:r>
      <w:r>
        <w:t xml:space="preserve">nvironmental </w:t>
      </w:r>
      <w:r w:rsidRPr="00D21E2D">
        <w:rPr>
          <w:rStyle w:val="Heading4Char"/>
        </w:rPr>
        <w:t>P</w:t>
      </w:r>
      <w:r>
        <w:t xml:space="preserve">rotection </w:t>
      </w:r>
      <w:r w:rsidRPr="00D21E2D">
        <w:rPr>
          <w:rStyle w:val="Heading4Char"/>
        </w:rPr>
        <w:t>A</w:t>
      </w:r>
      <w:r>
        <w:t>gency</w:t>
      </w:r>
      <w:r w:rsidRPr="00D21E2D">
        <w:t xml:space="preserve">, </w:t>
      </w:r>
      <w:r>
        <w:t>08-15-20</w:t>
      </w:r>
      <w:r w:rsidRPr="00D21E2D">
        <w:rPr>
          <w:rStyle w:val="Heading4Char"/>
        </w:rPr>
        <w:t>14</w:t>
      </w:r>
      <w:r w:rsidRPr="00D21E2D">
        <w:t xml:space="preserve">, "National Pollutant Discharge Elimination System-Final Regulations To Establish Requirements for Cooling Water Intake Structures at Existing Facilities and Amend Requirements at Phase I Facilities," </w:t>
      </w:r>
      <w:r w:rsidRPr="00C90E89">
        <w:rPr>
          <w:i/>
          <w:iCs/>
        </w:rPr>
        <w:t>Federal Register</w:t>
      </w:r>
      <w:r w:rsidRPr="00D21E2D">
        <w:t>, https://www.federalregister.gov/documents/2014/08/15/2014-12164/national-pollutant-discharge-elimination-system-final-regulations-to-establish-requirements-for</w:t>
      </w:r>
      <w:r>
        <w:t>//LaD</w:t>
      </w:r>
    </w:p>
    <w:p w14:paraId="23392156" w14:textId="77777777" w:rsidR="00CC2CC5" w:rsidRPr="00C90E89" w:rsidRDefault="00CC2CC5" w:rsidP="00CC2CC5">
      <w:pPr>
        <w:rPr>
          <w:sz w:val="16"/>
        </w:rPr>
      </w:pPr>
      <w:r w:rsidRPr="00C90E89">
        <w:rPr>
          <w:sz w:val="16"/>
        </w:rPr>
        <w:t xml:space="preserve">Today's final rule affects authorized State and Tribal NPDES permit programs. Under 40 CFR 123.62(e), </w:t>
      </w:r>
      <w:r w:rsidRPr="00C90E89">
        <w:rPr>
          <w:rStyle w:val="StyleUnderline"/>
          <w:highlight w:val="cyan"/>
        </w:rPr>
        <w:t>any existing</w:t>
      </w:r>
      <w:r w:rsidRPr="00A90763">
        <w:rPr>
          <w:rStyle w:val="StyleUnderline"/>
        </w:rPr>
        <w:t xml:space="preserve"> approved section 402 permitting</w:t>
      </w:r>
      <w:r w:rsidRPr="00C90E89">
        <w:rPr>
          <w:sz w:val="16"/>
        </w:rPr>
        <w:t xml:space="preserve"> </w:t>
      </w:r>
      <w:r w:rsidRPr="00C90E89">
        <w:rPr>
          <w:rStyle w:val="StyleUnderline"/>
          <w:highlight w:val="cyan"/>
        </w:rPr>
        <w:t>program must be revised</w:t>
      </w:r>
      <w:r w:rsidRPr="00A90763">
        <w:rPr>
          <w:rStyle w:val="StyleUnderline"/>
        </w:rPr>
        <w:t xml:space="preserve"> to be consistent with new program requirements</w:t>
      </w:r>
      <w:r w:rsidRPr="00C90E89">
        <w:rPr>
          <w:sz w:val="16"/>
        </w:rPr>
        <w:t xml:space="preserve"> within one year from the date of this promulgation, </w:t>
      </w:r>
      <w:r w:rsidRPr="00C90E89">
        <w:rPr>
          <w:rStyle w:val="Emphasis"/>
          <w:highlight w:val="cyan"/>
        </w:rPr>
        <w:t>unless the NPDES-authorized State</w:t>
      </w:r>
      <w:r w:rsidRPr="00C90E89">
        <w:rPr>
          <w:rStyle w:val="Emphasis"/>
        </w:rPr>
        <w:t xml:space="preserve"> or Tribe must amend or </w:t>
      </w:r>
      <w:r w:rsidRPr="00C90E89">
        <w:rPr>
          <w:rStyle w:val="Emphasis"/>
          <w:highlight w:val="cyan"/>
        </w:rPr>
        <w:t>enact a statute to make the required revisions</w:t>
      </w:r>
      <w:r w:rsidRPr="00C90E89">
        <w:rPr>
          <w:sz w:val="16"/>
        </w:rPr>
        <w:t xml:space="preserve">. If a State or Tribe must amend or enact a statute to conform to today's final rule, the revision must be made within two years of this promulgation. </w:t>
      </w:r>
      <w:r w:rsidRPr="00A90763">
        <w:rPr>
          <w:rStyle w:val="StyleUnderline"/>
        </w:rPr>
        <w:t>States and Tribes seeking new EPA authorization to implement the NPDES program must comply with the requirements when authorization is approved.</w:t>
      </w:r>
      <w:r w:rsidRPr="00C90E89">
        <w:rPr>
          <w:sz w:val="16"/>
        </w:rPr>
        <w:t xml:space="preserve"> This final regulation does not alter State authority under section 510 of the CWA.</w:t>
      </w:r>
    </w:p>
    <w:p w14:paraId="61C0AB65" w14:textId="77777777" w:rsidR="00CC2CC5" w:rsidRDefault="00CC2CC5" w:rsidP="00CC2CC5">
      <w:pPr>
        <w:pStyle w:val="Heading4"/>
      </w:pPr>
      <w:r>
        <w:t>States can enforce permitting requirements and violations absent EPA involvement</w:t>
      </w:r>
    </w:p>
    <w:p w14:paraId="377C22A6" w14:textId="77777777" w:rsidR="00CC2CC5" w:rsidRPr="004127A2" w:rsidRDefault="00CC2CC5" w:rsidP="00CC2CC5">
      <w:r w:rsidRPr="004127A2">
        <w:rPr>
          <w:rStyle w:val="Heading4Char"/>
        </w:rPr>
        <w:t xml:space="preserve">Ballotpedia '17 </w:t>
      </w:r>
      <w:r w:rsidRPr="004127A2">
        <w:t>- features encyclopedic articles written and curated by professional staff of editors, writers, and researchers, Ballotpedia is nonprofit and nonpartisan. [Ballotpedia; ; 02-xx-2017; "Implementation of the Clean Water Act"; Ballotpedia; https://ballotpedia.org/Implementation_of_the_Clean_Water_Act#Footnotes; accessed 7-14-2021 (nBrown)]</w:t>
      </w:r>
    </w:p>
    <w:p w14:paraId="304A15CB" w14:textId="77777777" w:rsidR="00CC2CC5" w:rsidRPr="004127A2" w:rsidRDefault="00CC2CC5" w:rsidP="00CC2CC5">
      <w:pPr>
        <w:rPr>
          <w:sz w:val="16"/>
        </w:rPr>
      </w:pPr>
      <w:r w:rsidRPr="004127A2">
        <w:rPr>
          <w:sz w:val="16"/>
        </w:rPr>
        <w:t xml:space="preserve">Like other federal environmental statutes, the </w:t>
      </w:r>
      <w:r w:rsidRPr="001E1E5A">
        <w:rPr>
          <w:rStyle w:val="StyleUnderline"/>
          <w:highlight w:val="cyan"/>
        </w:rPr>
        <w:t>Clean Water Act includes</w:t>
      </w:r>
      <w:r w:rsidRPr="004127A2">
        <w:rPr>
          <w:rStyle w:val="StyleUnderline"/>
        </w:rPr>
        <w:t xml:space="preserve"> provisions to address civil and criminal violations.</w:t>
      </w:r>
      <w:r w:rsidRPr="004127A2">
        <w:rPr>
          <w:sz w:val="16"/>
        </w:rPr>
        <w:t xml:space="preserve"> </w:t>
      </w:r>
      <w:r w:rsidRPr="001E1E5A">
        <w:rPr>
          <w:rStyle w:val="StyleUnderline"/>
          <w:highlight w:val="cyan"/>
        </w:rPr>
        <w:t>Enforcement</w:t>
      </w:r>
      <w:r w:rsidRPr="004127A2">
        <w:rPr>
          <w:rStyle w:val="StyleUnderline"/>
        </w:rPr>
        <w:t xml:space="preserve"> is </w:t>
      </w:r>
      <w:r w:rsidRPr="001E1E5A">
        <w:rPr>
          <w:rStyle w:val="StyleUnderline"/>
          <w:highlight w:val="cyan"/>
        </w:rPr>
        <w:t xml:space="preserve">shared by the EPA </w:t>
      </w:r>
      <w:r w:rsidRPr="001E1E5A">
        <w:rPr>
          <w:rStyle w:val="Emphasis"/>
          <w:highlight w:val="cyan"/>
        </w:rPr>
        <w:t>and states</w:t>
      </w:r>
      <w:r w:rsidRPr="004127A2">
        <w:rPr>
          <w:sz w:val="16"/>
        </w:rPr>
        <w:t xml:space="preserve">, </w:t>
      </w:r>
      <w:r w:rsidRPr="004127A2">
        <w:rPr>
          <w:rStyle w:val="StyleUnderline"/>
        </w:rPr>
        <w:t xml:space="preserve">though </w:t>
      </w:r>
      <w:r w:rsidRPr="001E1E5A">
        <w:rPr>
          <w:rStyle w:val="StyleUnderline"/>
          <w:highlight w:val="cyan"/>
        </w:rPr>
        <w:t>states</w:t>
      </w:r>
      <w:r w:rsidRPr="004127A2">
        <w:rPr>
          <w:rStyle w:val="StyleUnderline"/>
        </w:rPr>
        <w:t xml:space="preserve"> </w:t>
      </w:r>
      <w:r w:rsidRPr="004127A2">
        <w:rPr>
          <w:sz w:val="16"/>
        </w:rPr>
        <w:t xml:space="preserve">generally </w:t>
      </w:r>
      <w:r w:rsidRPr="001E1E5A">
        <w:rPr>
          <w:rStyle w:val="Emphasis"/>
          <w:highlight w:val="cyan"/>
        </w:rPr>
        <w:t>have primary responsibility</w:t>
      </w:r>
      <w:r w:rsidRPr="001E1E5A">
        <w:rPr>
          <w:rStyle w:val="StyleUnderline"/>
          <w:highlight w:val="cyan"/>
        </w:rPr>
        <w:t xml:space="preserve"> given their role in enforcing</w:t>
      </w:r>
      <w:r w:rsidRPr="004127A2">
        <w:rPr>
          <w:rStyle w:val="StyleUnderline"/>
        </w:rPr>
        <w:t xml:space="preserve"> </w:t>
      </w:r>
      <w:r w:rsidRPr="001E1E5A">
        <w:rPr>
          <w:rStyle w:val="StyleUnderline"/>
          <w:highlight w:val="cyan"/>
        </w:rPr>
        <w:t>the discharge permit program and water quality standards</w:t>
      </w:r>
      <w:r w:rsidRPr="004127A2">
        <w:rPr>
          <w:rStyle w:val="StyleUnderline"/>
        </w:rPr>
        <w:t>.</w:t>
      </w:r>
      <w:r w:rsidRPr="004127A2">
        <w:rPr>
          <w:sz w:val="16"/>
        </w:rPr>
        <w:t xml:space="preserve"> Additionally, the EPA has oversight authority over states and can intervene to bring direct action against private individuals, businesses, and organizations for violations if the agency believes a state has failed to take the necessary and appropriate action or if a state requests EPA involvement. </w:t>
      </w:r>
      <w:r w:rsidRPr="001E1E5A">
        <w:rPr>
          <w:rStyle w:val="Emphasis"/>
          <w:highlight w:val="cyan"/>
        </w:rPr>
        <w:t>Civil enforcement</w:t>
      </w:r>
      <w:r w:rsidRPr="001E1E5A">
        <w:rPr>
          <w:rStyle w:val="StyleUnderline"/>
          <w:highlight w:val="cyan"/>
        </w:rPr>
        <w:t xml:space="preserve"> involves</w:t>
      </w:r>
      <w:r w:rsidRPr="004127A2">
        <w:rPr>
          <w:rStyle w:val="StyleUnderline"/>
        </w:rPr>
        <w:t xml:space="preserve"> </w:t>
      </w:r>
      <w:r w:rsidRPr="004127A2">
        <w:rPr>
          <w:sz w:val="16"/>
        </w:rPr>
        <w:t xml:space="preserve">EPA or </w:t>
      </w:r>
      <w:r w:rsidRPr="001E1E5A">
        <w:rPr>
          <w:rStyle w:val="StyleUnderline"/>
          <w:highlight w:val="cyan"/>
        </w:rPr>
        <w:t>state-initiated legal action to compel compliance with federal law and may involve fines or penalties leveled against private parties</w:t>
      </w:r>
      <w:r w:rsidRPr="004127A2">
        <w:rPr>
          <w:sz w:val="16"/>
        </w:rPr>
        <w:t>. Criminal enforcement, which is the sole purview of the federal government, involves criminal investigation and prosecution of deliberate and/or severe violations of federal environmental law. Some violations can result in jail time. Both types of violations are described below:</w:t>
      </w:r>
      <w:hyperlink r:id="rId15" w:anchor="cite_note-enforcement-23" w:history="1">
        <w:r w:rsidRPr="004127A2">
          <w:rPr>
            <w:rStyle w:val="FollowedHyperlink"/>
            <w:sz w:val="16"/>
          </w:rPr>
          <w:t>[23]</w:t>
        </w:r>
      </w:hyperlink>
    </w:p>
    <w:p w14:paraId="2532DE45" w14:textId="77777777" w:rsidR="00CC2CC5" w:rsidRPr="004127A2" w:rsidRDefault="00CC2CC5" w:rsidP="00CC2CC5">
      <w:pPr>
        <w:rPr>
          <w:rStyle w:val="StyleUnderline"/>
        </w:rPr>
      </w:pPr>
      <w:r w:rsidRPr="004127A2">
        <w:rPr>
          <w:sz w:val="16"/>
        </w:rPr>
        <w:t xml:space="preserve">Civil violations do not take into account if the violator knew of the violated law or regulation, while criminal violations involve a level of intent. For example, a knowing violation can include a discharge of pollutants into a river without a permit. </w:t>
      </w:r>
      <w:r w:rsidRPr="001E1E5A">
        <w:rPr>
          <w:rStyle w:val="StyleUnderline"/>
        </w:rPr>
        <w:t>Civil violations</w:t>
      </w:r>
      <w:r w:rsidRPr="004127A2">
        <w:rPr>
          <w:rStyle w:val="StyleUnderline"/>
        </w:rPr>
        <w:t xml:space="preserve"> are based on the preponderance of the evidence</w:t>
      </w:r>
      <w:r w:rsidRPr="004127A2">
        <w:rPr>
          <w:sz w:val="16"/>
        </w:rPr>
        <w:t>, which includes whether the presented evidence is convincing and more likely to be true than not</w:t>
      </w:r>
      <w:r w:rsidRPr="004127A2">
        <w:rPr>
          <w:rStyle w:val="StyleUnderline"/>
        </w:rPr>
        <w:t xml:space="preserve">. </w:t>
      </w:r>
      <w:r w:rsidRPr="001E1E5A">
        <w:rPr>
          <w:rStyle w:val="StyleUnderline"/>
          <w:highlight w:val="cyan"/>
        </w:rPr>
        <w:t>Defendants</w:t>
      </w:r>
      <w:r w:rsidRPr="004127A2">
        <w:rPr>
          <w:sz w:val="16"/>
        </w:rPr>
        <w:t xml:space="preserve"> in civil suits</w:t>
      </w:r>
      <w:r w:rsidRPr="004127A2">
        <w:rPr>
          <w:rStyle w:val="StyleUnderline"/>
        </w:rPr>
        <w:t xml:space="preserve"> </w:t>
      </w:r>
      <w:r w:rsidRPr="001E1E5A">
        <w:rPr>
          <w:rStyle w:val="StyleUnderline"/>
          <w:highlight w:val="cyan"/>
        </w:rPr>
        <w:t>can be found liable</w:t>
      </w:r>
      <w:r w:rsidRPr="004127A2">
        <w:rPr>
          <w:rStyle w:val="StyleUnderline"/>
        </w:rPr>
        <w:t xml:space="preserve"> either following a trial or a mutually agreed-upon settlement with the EPA or state</w:t>
      </w:r>
      <w:r w:rsidRPr="004127A2">
        <w:rPr>
          <w:sz w:val="16"/>
        </w:rPr>
        <w:t xml:space="preserve">. </w:t>
      </w:r>
      <w:r w:rsidRPr="004127A2">
        <w:rPr>
          <w:rStyle w:val="StyleUnderline"/>
        </w:rPr>
        <w:t>If found liable</w:t>
      </w:r>
      <w:r w:rsidRPr="004127A2">
        <w:rPr>
          <w:sz w:val="16"/>
        </w:rPr>
        <w:t xml:space="preserve"> or agreeing to a settlement, </w:t>
      </w:r>
      <w:r w:rsidRPr="004127A2">
        <w:rPr>
          <w:rStyle w:val="StyleUnderline"/>
        </w:rPr>
        <w:t>a civil defendant may face a monetary penalty or be required to correct the violation.</w:t>
      </w:r>
      <w:hyperlink r:id="rId16" w:anchor="cite_note-enforcement-23" w:history="1">
        <w:r w:rsidRPr="004127A2">
          <w:rPr>
            <w:rStyle w:val="StyleUnderline"/>
          </w:rPr>
          <w:t>[23]</w:t>
        </w:r>
      </w:hyperlink>
    </w:p>
    <w:p w14:paraId="2B85C885" w14:textId="77777777" w:rsidR="00CC2CC5" w:rsidRPr="001E1E5A" w:rsidRDefault="00CC2CC5" w:rsidP="00CC2CC5">
      <w:pPr>
        <w:rPr>
          <w:sz w:val="16"/>
          <w:szCs w:val="16"/>
        </w:rPr>
      </w:pPr>
      <w:r w:rsidRPr="004127A2">
        <w:rPr>
          <w:sz w:val="16"/>
          <w:szCs w:val="16"/>
        </w:rPr>
        <w:t>Criminal violations must be established beyond a reasonable doubt. If convicted or after a guilty plea, a violator may face monetary fines, be required to reimburse the EPA for cleanup costs, or be incarcerated. In all federal environmental laws outside statutes for toxic substances and pesticides, criminal violations are considered felonies.</w:t>
      </w:r>
      <w:hyperlink r:id="rId17" w:anchor="cite_note-enforcement-23" w:history="1">
        <w:r w:rsidRPr="004127A2">
          <w:rPr>
            <w:rStyle w:val="FollowedHyperlink"/>
            <w:sz w:val="16"/>
            <w:szCs w:val="16"/>
          </w:rPr>
          <w:t>[23]</w:t>
        </w:r>
      </w:hyperlink>
    </w:p>
    <w:p w14:paraId="466A6CC9" w14:textId="77777777" w:rsidR="00CC2CC5" w:rsidRDefault="00CC2CC5" w:rsidP="00CC2CC5">
      <w:pPr>
        <w:rPr>
          <w:sz w:val="14"/>
        </w:rPr>
      </w:pPr>
    </w:p>
    <w:p w14:paraId="7BDC2605" w14:textId="77777777" w:rsidR="00CC2CC5" w:rsidRDefault="00CC2CC5" w:rsidP="00CC2CC5">
      <w:pPr>
        <w:pStyle w:val="Heading4"/>
        <w:numPr>
          <w:ilvl w:val="0"/>
          <w:numId w:val="13"/>
        </w:numPr>
        <w:tabs>
          <w:tab w:val="num" w:pos="360"/>
        </w:tabs>
        <w:ind w:left="0" w:firstLine="0"/>
      </w:pPr>
      <w:r>
        <w:t>Section 401 of the CWA grants states the authority to deny discharge permits and impose their own standards on polluters</w:t>
      </w:r>
    </w:p>
    <w:p w14:paraId="47AB8733" w14:textId="77777777" w:rsidR="00CC2CC5" w:rsidRDefault="00CC2CC5" w:rsidP="00CC2CC5">
      <w:r w:rsidRPr="00276224">
        <w:t xml:space="preserve">Peter </w:t>
      </w:r>
      <w:r w:rsidRPr="00B75503">
        <w:rPr>
          <w:rStyle w:val="Heading4Char"/>
        </w:rPr>
        <w:t>Kalicki, '21</w:t>
      </w:r>
      <w:r w:rsidRPr="00276224">
        <w:t xml:space="preserve"> </w:t>
      </w:r>
      <w:r>
        <w:t xml:space="preserve">– A JD candidate in environmental law at Harvard </w:t>
      </w:r>
      <w:r w:rsidRPr="00276224">
        <w:t>[Peter Kalicki,; ; 1-25-2021; "Section 401 of the Clean Water Act from Trump to Biden"; Harvard Law School; https://eelp.law.harvard.edu/2021/01/section-401-of-the-clean-water-act-from-trump-to-biden/; accessed 7-14-2021 (nBrown)]</w:t>
      </w:r>
    </w:p>
    <w:p w14:paraId="1A6E9342" w14:textId="77777777" w:rsidR="00CC2CC5" w:rsidRPr="00276224" w:rsidRDefault="00CC2CC5" w:rsidP="00CC2CC5">
      <w:r>
        <w:t>*This card is so damn good*</w:t>
      </w:r>
    </w:p>
    <w:p w14:paraId="1F141BC0" w14:textId="77777777" w:rsidR="00CC2CC5" w:rsidRPr="00F21417" w:rsidRDefault="00CC2CC5" w:rsidP="00CC2CC5">
      <w:pPr>
        <w:rPr>
          <w:sz w:val="16"/>
        </w:rPr>
      </w:pPr>
      <w:r w:rsidRPr="0063435D">
        <w:rPr>
          <w:rStyle w:val="StyleUnderline"/>
          <w:highlight w:val="cyan"/>
        </w:rPr>
        <w:t>Under section 401 of the</w:t>
      </w:r>
      <w:r w:rsidRPr="00F21417">
        <w:rPr>
          <w:sz w:val="16"/>
        </w:rPr>
        <w:t xml:space="preserve"> Clean Water Act </w:t>
      </w:r>
      <w:r w:rsidRPr="0063435D">
        <w:rPr>
          <w:sz w:val="16"/>
          <w:highlight w:val="cyan"/>
        </w:rPr>
        <w:t>(</w:t>
      </w:r>
      <w:r w:rsidRPr="0063435D">
        <w:rPr>
          <w:rStyle w:val="StyleUnderline"/>
          <w:highlight w:val="cyan"/>
        </w:rPr>
        <w:t>CWA)</w:t>
      </w:r>
      <w:r w:rsidRPr="0063435D">
        <w:rPr>
          <w:sz w:val="16"/>
          <w:highlight w:val="cyan"/>
        </w:rPr>
        <w:t xml:space="preserve">, </w:t>
      </w:r>
      <w:r w:rsidRPr="0063435D">
        <w:rPr>
          <w:rStyle w:val="StyleUnderline"/>
          <w:highlight w:val="cyan"/>
        </w:rPr>
        <w:t>any applicant seeking a federal permit</w:t>
      </w:r>
      <w:r w:rsidRPr="00276224">
        <w:rPr>
          <w:rStyle w:val="StyleUnderline"/>
        </w:rPr>
        <w:t xml:space="preserve"> or license</w:t>
      </w:r>
      <w:r w:rsidRPr="00F21417">
        <w:rPr>
          <w:sz w:val="16"/>
        </w:rPr>
        <w:t xml:space="preserve"> </w:t>
      </w:r>
      <w:r w:rsidRPr="00276224">
        <w:rPr>
          <w:rStyle w:val="StyleUnderline"/>
        </w:rPr>
        <w:t>for</w:t>
      </w:r>
      <w:r w:rsidRPr="00F21417">
        <w:rPr>
          <w:sz w:val="16"/>
        </w:rPr>
        <w:t xml:space="preserve"> an </w:t>
      </w:r>
      <w:r w:rsidRPr="00276224">
        <w:rPr>
          <w:rStyle w:val="StyleUnderline"/>
        </w:rPr>
        <w:t>activity that “may result in</w:t>
      </w:r>
      <w:r w:rsidRPr="00F21417">
        <w:rPr>
          <w:sz w:val="16"/>
        </w:rPr>
        <w:t xml:space="preserve"> any </w:t>
      </w:r>
      <w:r w:rsidRPr="00276224">
        <w:rPr>
          <w:rStyle w:val="StyleUnderline"/>
        </w:rPr>
        <w:t>discharge into</w:t>
      </w:r>
      <w:r w:rsidRPr="00F21417">
        <w:rPr>
          <w:sz w:val="16"/>
        </w:rPr>
        <w:t xml:space="preserve"> the </w:t>
      </w:r>
      <w:r w:rsidRPr="00276224">
        <w:rPr>
          <w:rStyle w:val="StyleUnderline"/>
        </w:rPr>
        <w:t>navigable waters</w:t>
      </w:r>
      <w:r w:rsidRPr="00F21417">
        <w:rPr>
          <w:sz w:val="16"/>
        </w:rPr>
        <w:t xml:space="preserve">” </w:t>
      </w:r>
      <w:r w:rsidRPr="0063435D">
        <w:rPr>
          <w:rStyle w:val="StyleUnderline"/>
          <w:highlight w:val="cyan"/>
        </w:rPr>
        <w:t>must also obtain a water quality certification from the state</w:t>
      </w:r>
      <w:r w:rsidRPr="00276224">
        <w:rPr>
          <w:rStyle w:val="StyleUnderline"/>
        </w:rPr>
        <w:t xml:space="preserve"> </w:t>
      </w:r>
      <w:r w:rsidRPr="00F21417">
        <w:rPr>
          <w:sz w:val="16"/>
        </w:rPr>
        <w:t>or authorized tribe</w:t>
      </w:r>
      <w:r w:rsidRPr="00276224">
        <w:rPr>
          <w:rStyle w:val="StyleUnderline"/>
        </w:rPr>
        <w:t xml:space="preserve"> with jurisdiction over the project area where a discharge could occur.</w:t>
      </w:r>
      <w:r w:rsidRPr="00F21417">
        <w:rPr>
          <w:sz w:val="16"/>
        </w:rPr>
        <w:t xml:space="preserve"> </w:t>
      </w:r>
      <w:r w:rsidRPr="0063435D">
        <w:rPr>
          <w:rStyle w:val="StyleUnderline"/>
          <w:highlight w:val="cyan"/>
        </w:rPr>
        <w:t>This requirement aims to ensure</w:t>
      </w:r>
      <w:r w:rsidRPr="00276224">
        <w:rPr>
          <w:rStyle w:val="StyleUnderline"/>
        </w:rPr>
        <w:t xml:space="preserve"> </w:t>
      </w:r>
      <w:r w:rsidRPr="00F21417">
        <w:rPr>
          <w:sz w:val="16"/>
        </w:rPr>
        <w:t xml:space="preserve">that </w:t>
      </w:r>
      <w:r w:rsidRPr="0063435D">
        <w:rPr>
          <w:rStyle w:val="StyleUnderline"/>
          <w:highlight w:val="cyan"/>
        </w:rPr>
        <w:t>the</w:t>
      </w:r>
      <w:r w:rsidRPr="00276224">
        <w:rPr>
          <w:rStyle w:val="StyleUnderline"/>
        </w:rPr>
        <w:t xml:space="preserve"> proposed </w:t>
      </w:r>
      <w:r w:rsidRPr="0063435D">
        <w:rPr>
          <w:rStyle w:val="StyleUnderline"/>
          <w:highlight w:val="cyan"/>
        </w:rPr>
        <w:t>activity will not violate</w:t>
      </w:r>
      <w:r w:rsidRPr="0063435D">
        <w:rPr>
          <w:sz w:val="16"/>
          <w:highlight w:val="cyan"/>
        </w:rPr>
        <w:t xml:space="preserve"> </w:t>
      </w:r>
      <w:r w:rsidRPr="0063435D">
        <w:rPr>
          <w:rStyle w:val="StyleUnderline"/>
          <w:highlight w:val="cyan"/>
        </w:rPr>
        <w:t>state</w:t>
      </w:r>
      <w:r w:rsidRPr="00F21417">
        <w:rPr>
          <w:sz w:val="16"/>
        </w:rPr>
        <w:t xml:space="preserve"> and tribal water </w:t>
      </w:r>
      <w:r w:rsidRPr="0063435D">
        <w:rPr>
          <w:rStyle w:val="StyleUnderline"/>
          <w:highlight w:val="cyan"/>
        </w:rPr>
        <w:t>quality requirements</w:t>
      </w:r>
      <w:r w:rsidRPr="00276224">
        <w:rPr>
          <w:rStyle w:val="StyleUnderline"/>
        </w:rPr>
        <w:t>,</w:t>
      </w:r>
      <w:r w:rsidRPr="00F21417">
        <w:rPr>
          <w:sz w:val="16"/>
        </w:rPr>
        <w:t xml:space="preserve"> in addition to other requirements under the CWA. </w:t>
      </w:r>
      <w:r w:rsidRPr="00276224">
        <w:rPr>
          <w:rStyle w:val="StyleUnderline"/>
        </w:rPr>
        <w:t xml:space="preserve">Section 401 recognizes that water quality standards are set at state and tribal levels; </w:t>
      </w:r>
      <w:r w:rsidRPr="0063435D">
        <w:rPr>
          <w:rStyle w:val="StyleUnderline"/>
          <w:highlight w:val="cyan"/>
        </w:rPr>
        <w:t>it provides a process for federal agencies to</w:t>
      </w:r>
      <w:r w:rsidRPr="0063435D">
        <w:rPr>
          <w:sz w:val="16"/>
          <w:highlight w:val="cyan"/>
        </w:rPr>
        <w:t xml:space="preserve"> </w:t>
      </w:r>
      <w:r w:rsidRPr="0063435D">
        <w:rPr>
          <w:rStyle w:val="StyleUnderline"/>
          <w:highlight w:val="cyan"/>
        </w:rPr>
        <w:t>check in with states</w:t>
      </w:r>
      <w:r w:rsidRPr="00276224">
        <w:rPr>
          <w:rStyle w:val="StyleUnderline"/>
        </w:rPr>
        <w:t xml:space="preserve"> and have them certify that the project will not violate these standards and other requirements</w:t>
      </w:r>
      <w:r w:rsidRPr="00F21417">
        <w:rPr>
          <w:sz w:val="16"/>
        </w:rPr>
        <w:t xml:space="preserve">. </w:t>
      </w:r>
      <w:r w:rsidRPr="0063435D">
        <w:rPr>
          <w:rStyle w:val="StyleUnderline"/>
          <w:highlight w:val="cyan"/>
        </w:rPr>
        <w:t xml:space="preserve">Projects requiring section 401 certification </w:t>
      </w:r>
      <w:r w:rsidRPr="0063435D">
        <w:rPr>
          <w:rStyle w:val="Emphasis"/>
          <w:highlight w:val="cyan"/>
        </w:rPr>
        <w:t>include</w:t>
      </w:r>
      <w:r w:rsidRPr="0063435D">
        <w:rPr>
          <w:rStyle w:val="StyleUnderline"/>
          <w:highlight w:val="cyan"/>
        </w:rPr>
        <w:t xml:space="preserve"> those needing </w:t>
      </w:r>
      <w:r w:rsidRPr="0063435D">
        <w:rPr>
          <w:rStyle w:val="Emphasis"/>
          <w:highlight w:val="cyan"/>
        </w:rPr>
        <w:t>federal NPDES permits</w:t>
      </w:r>
      <w:r w:rsidRPr="003F1B07">
        <w:rPr>
          <w:rStyle w:val="StyleUnderline"/>
        </w:rPr>
        <w:t xml:space="preserve"> under </w:t>
      </w:r>
      <w:hyperlink r:id="rId18" w:tgtFrame="_blank" w:history="1">
        <w:r w:rsidRPr="003F1B07">
          <w:rPr>
            <w:rStyle w:val="StyleUnderline"/>
          </w:rPr>
          <w:t>CWA section 402</w:t>
        </w:r>
      </w:hyperlink>
      <w:r w:rsidRPr="003F1B07">
        <w:t>,</w:t>
      </w:r>
      <w:r w:rsidRPr="00F21417">
        <w:rPr>
          <w:sz w:val="16"/>
        </w:rPr>
        <w:t xml:space="preserve"> federal dredge and fill permits under CWA </w:t>
      </w:r>
      <w:hyperlink r:id="rId19" w:tgtFrame="_blank" w:history="1">
        <w:r w:rsidRPr="00F21417">
          <w:rPr>
            <w:rStyle w:val="FollowedHyperlink"/>
            <w:sz w:val="16"/>
          </w:rPr>
          <w:t>section 404</w:t>
        </w:r>
      </w:hyperlink>
      <w:r w:rsidRPr="00F21417">
        <w:rPr>
          <w:sz w:val="16"/>
        </w:rPr>
        <w:t xml:space="preserve">, FERC licenses </w:t>
      </w:r>
      <w:r w:rsidRPr="0063435D">
        <w:rPr>
          <w:rStyle w:val="StyleUnderline"/>
        </w:rPr>
        <w:t>(</w:t>
      </w:r>
      <w:r w:rsidRPr="0063435D">
        <w:rPr>
          <w:rStyle w:val="StyleUnderline"/>
          <w:highlight w:val="cyan"/>
        </w:rPr>
        <w:t>e.g. for hydropower facilities</w:t>
      </w:r>
      <w:r w:rsidRPr="0063435D">
        <w:rPr>
          <w:rStyle w:val="StyleUnderline"/>
        </w:rPr>
        <w:t xml:space="preserve"> and natural gas pipelines),</w:t>
      </w:r>
      <w:r w:rsidRPr="00F21417">
        <w:rPr>
          <w:sz w:val="16"/>
        </w:rPr>
        <w:t xml:space="preserve"> and permits under the Rivers and Harbors Act.</w:t>
      </w:r>
    </w:p>
    <w:p w14:paraId="6179673F" w14:textId="77777777" w:rsidR="00CC2CC5" w:rsidRPr="00F21417" w:rsidRDefault="00CC2CC5" w:rsidP="00CC2CC5">
      <w:pPr>
        <w:rPr>
          <w:sz w:val="16"/>
        </w:rPr>
      </w:pPr>
      <w:r w:rsidRPr="0063435D">
        <w:rPr>
          <w:rStyle w:val="StyleUnderline"/>
          <w:highlight w:val="cyan"/>
        </w:rPr>
        <w:t>States</w:t>
      </w:r>
      <w:r w:rsidRPr="00276224">
        <w:rPr>
          <w:rStyle w:val="StyleUnderline"/>
        </w:rPr>
        <w:t xml:space="preserve"> </w:t>
      </w:r>
      <w:r w:rsidRPr="00F21417">
        <w:rPr>
          <w:sz w:val="16"/>
        </w:rPr>
        <w:t>and tribes</w:t>
      </w:r>
      <w:r w:rsidRPr="00276224">
        <w:rPr>
          <w:rStyle w:val="StyleUnderline"/>
        </w:rPr>
        <w:t xml:space="preserve"> </w:t>
      </w:r>
      <w:r w:rsidRPr="0063435D">
        <w:rPr>
          <w:rStyle w:val="StyleUnderline"/>
          <w:highlight w:val="cyan"/>
        </w:rPr>
        <w:t>may grant</w:t>
      </w:r>
      <w:r w:rsidRPr="0063435D">
        <w:rPr>
          <w:sz w:val="16"/>
          <w:highlight w:val="cyan"/>
        </w:rPr>
        <w:t xml:space="preserve">, </w:t>
      </w:r>
      <w:r w:rsidRPr="0063435D">
        <w:rPr>
          <w:rStyle w:val="Emphasis"/>
          <w:highlight w:val="cyan"/>
        </w:rPr>
        <w:t>grant with conditions</w:t>
      </w:r>
      <w:r w:rsidRPr="00F21417">
        <w:rPr>
          <w:sz w:val="16"/>
        </w:rPr>
        <w:t xml:space="preserve">, </w:t>
      </w:r>
      <w:r w:rsidRPr="00276224">
        <w:rPr>
          <w:rStyle w:val="StyleUnderline"/>
        </w:rPr>
        <w:t>or deny certification requests</w:t>
      </w:r>
      <w:r w:rsidRPr="00F21417">
        <w:rPr>
          <w:sz w:val="16"/>
        </w:rPr>
        <w:t xml:space="preserve">. </w:t>
      </w:r>
      <w:r w:rsidRPr="0063435D">
        <w:rPr>
          <w:sz w:val="16"/>
          <w:highlight w:val="cyan"/>
        </w:rPr>
        <w:t>I</w:t>
      </w:r>
      <w:r w:rsidRPr="0063435D">
        <w:rPr>
          <w:rStyle w:val="StyleUnderline"/>
          <w:highlight w:val="cyan"/>
        </w:rPr>
        <w:t>f certification is denied,</w:t>
      </w:r>
      <w:r w:rsidRPr="0063435D">
        <w:rPr>
          <w:sz w:val="16"/>
          <w:highlight w:val="cyan"/>
        </w:rPr>
        <w:t xml:space="preserve"> </w:t>
      </w:r>
      <w:r w:rsidRPr="0063435D">
        <w:rPr>
          <w:rStyle w:val="StyleUnderline"/>
          <w:highlight w:val="cyan"/>
        </w:rPr>
        <w:t>the</w:t>
      </w:r>
      <w:r w:rsidRPr="00276224">
        <w:rPr>
          <w:rStyle w:val="StyleUnderline"/>
        </w:rPr>
        <w:t xml:space="preserve"> </w:t>
      </w:r>
      <w:r w:rsidRPr="00F21417">
        <w:rPr>
          <w:sz w:val="16"/>
        </w:rPr>
        <w:t xml:space="preserve">related </w:t>
      </w:r>
      <w:r w:rsidRPr="0063435D">
        <w:rPr>
          <w:rStyle w:val="StyleUnderline"/>
          <w:highlight w:val="cyan"/>
        </w:rPr>
        <w:t>federal permit cannot be issued</w:t>
      </w:r>
      <w:r w:rsidRPr="00F21417">
        <w:rPr>
          <w:sz w:val="16"/>
        </w:rPr>
        <w:t>. The CWA mandates that certifying authorities must act “within a reasonable period of time (which shall not exceed one year) after receipt” of a certification request; otherwise, the certification requirement for that project will be waived. In 2019, the D.C. Circuit gave this waiver provision teeth in Hoopa Valley Tribe v. FERC, holding that the one-year period cannot be reset by the withdrawal and resubmission of certification requests.</w:t>
      </w:r>
      <w:bookmarkStart w:id="0" w:name="_ftnref1"/>
      <w:r w:rsidRPr="00F21417">
        <w:rPr>
          <w:sz w:val="16"/>
        </w:rPr>
        <w:fldChar w:fldCharType="begin"/>
      </w:r>
      <w:r w:rsidRPr="00F21417">
        <w:rPr>
          <w:sz w:val="16"/>
        </w:rPr>
        <w:instrText xml:space="preserve"> HYPERLINK "https://eelp.law.harvard.edu/2021/01/section-401-of-the-clean-water-act-from-trump-to-biden/" \l "_ftn1" </w:instrText>
      </w:r>
      <w:r w:rsidRPr="00F21417">
        <w:rPr>
          <w:sz w:val="16"/>
        </w:rPr>
        <w:fldChar w:fldCharType="separate"/>
      </w:r>
      <w:r w:rsidRPr="00F21417">
        <w:rPr>
          <w:rStyle w:val="FollowedHyperlink"/>
          <w:sz w:val="16"/>
        </w:rPr>
        <w:t>[1]</w:t>
      </w:r>
      <w:r w:rsidRPr="00F21417">
        <w:rPr>
          <w:sz w:val="16"/>
        </w:rPr>
        <w:fldChar w:fldCharType="end"/>
      </w:r>
      <w:bookmarkEnd w:id="0"/>
    </w:p>
    <w:p w14:paraId="097AB534" w14:textId="77777777" w:rsidR="00CC2CC5" w:rsidRPr="00F21417" w:rsidRDefault="00CC2CC5" w:rsidP="00CC2CC5">
      <w:pPr>
        <w:rPr>
          <w:sz w:val="16"/>
        </w:rPr>
      </w:pPr>
      <w:r w:rsidRPr="00F21417">
        <w:rPr>
          <w:sz w:val="16"/>
        </w:rPr>
        <w:t xml:space="preserve">In </w:t>
      </w:r>
      <w:r w:rsidRPr="00276224">
        <w:rPr>
          <w:rStyle w:val="StyleUnderline"/>
        </w:rPr>
        <w:t>determining whether to grant certification</w:t>
      </w:r>
      <w:r w:rsidRPr="00F21417">
        <w:rPr>
          <w:sz w:val="16"/>
        </w:rPr>
        <w:t xml:space="preserve">, </w:t>
      </w:r>
      <w:r w:rsidRPr="00276224">
        <w:rPr>
          <w:rStyle w:val="StyleUnderline"/>
        </w:rPr>
        <w:t>states</w:t>
      </w:r>
      <w:r w:rsidRPr="00F21417">
        <w:rPr>
          <w:sz w:val="16"/>
        </w:rPr>
        <w:t xml:space="preserve"> and tribes </w:t>
      </w:r>
      <w:r w:rsidRPr="00276224">
        <w:rPr>
          <w:rStyle w:val="StyleUnderline"/>
        </w:rPr>
        <w:t xml:space="preserve">consider </w:t>
      </w:r>
      <w:r w:rsidRPr="00F21417">
        <w:rPr>
          <w:sz w:val="16"/>
        </w:rPr>
        <w:t>whether the proposed activity satisfies effluent limitations standards, water quality standards, national standards of performance, toxic and pretreatment effluent standards, and “</w:t>
      </w:r>
      <w:r w:rsidRPr="00276224">
        <w:rPr>
          <w:rStyle w:val="StyleUnderline"/>
        </w:rPr>
        <w:t>any other appropriate requirement of state [or tribal] law</w:t>
      </w:r>
      <w:r w:rsidRPr="00F21417">
        <w:rPr>
          <w:sz w:val="16"/>
        </w:rPr>
        <w:t xml:space="preserve">.” </w:t>
      </w:r>
      <w:r w:rsidRPr="0063435D">
        <w:rPr>
          <w:rStyle w:val="StyleUnderline"/>
          <w:highlight w:val="cyan"/>
        </w:rPr>
        <w:t>The Supreme Court has twice upheld the broad discretion of states making certification determinations</w:t>
      </w:r>
      <w:r w:rsidRPr="00276224">
        <w:rPr>
          <w:rStyle w:val="StyleUnderline"/>
        </w:rPr>
        <w:t xml:space="preserve">. </w:t>
      </w:r>
      <w:r w:rsidRPr="00F21417">
        <w:rPr>
          <w:rStyle w:val="StyleUnderline"/>
        </w:rPr>
        <w:t>In PUD No. 1</w:t>
      </w:r>
      <w:r w:rsidRPr="00F21417">
        <w:rPr>
          <w:sz w:val="16"/>
        </w:rPr>
        <w:t xml:space="preserve"> of </w:t>
      </w:r>
      <w:r w:rsidRPr="0063435D">
        <w:rPr>
          <w:rStyle w:val="StyleUnderline"/>
        </w:rPr>
        <w:t>Jefferson County v. Washington Department of Ecology</w:t>
      </w:r>
      <w:r w:rsidRPr="00F21417">
        <w:rPr>
          <w:sz w:val="16"/>
        </w:rPr>
        <w:t>, the Court held that a state can require a minimum stream flow requirement in its certification.</w:t>
      </w:r>
      <w:bookmarkStart w:id="1" w:name="_ftnref2"/>
      <w:r w:rsidRPr="00F21417">
        <w:rPr>
          <w:sz w:val="16"/>
        </w:rPr>
        <w:fldChar w:fldCharType="begin"/>
      </w:r>
      <w:r w:rsidRPr="00F21417">
        <w:rPr>
          <w:sz w:val="16"/>
        </w:rPr>
        <w:instrText xml:space="preserve"> HYPERLINK "https://eelp.law.harvard.edu/2021/01/section-401-of-the-clean-water-act-from-trump-to-biden/" \l "_ftn2" </w:instrText>
      </w:r>
      <w:r w:rsidRPr="00F21417">
        <w:rPr>
          <w:sz w:val="16"/>
        </w:rPr>
        <w:fldChar w:fldCharType="separate"/>
      </w:r>
      <w:r w:rsidRPr="00F21417">
        <w:rPr>
          <w:rStyle w:val="FollowedHyperlink"/>
          <w:sz w:val="16"/>
        </w:rPr>
        <w:t>[2]</w:t>
      </w:r>
      <w:r w:rsidRPr="00F21417">
        <w:rPr>
          <w:sz w:val="16"/>
        </w:rPr>
        <w:fldChar w:fldCharType="end"/>
      </w:r>
      <w:bookmarkEnd w:id="1"/>
      <w:r w:rsidRPr="00F21417">
        <w:rPr>
          <w:sz w:val="16"/>
        </w:rPr>
        <w:t> </w:t>
      </w:r>
      <w:r w:rsidRPr="00F21417">
        <w:rPr>
          <w:rStyle w:val="StyleUnderline"/>
        </w:rPr>
        <w:t>In doing so</w:t>
      </w:r>
      <w:r w:rsidRPr="00F21417">
        <w:rPr>
          <w:sz w:val="16"/>
        </w:rPr>
        <w:t xml:space="preserve">, </w:t>
      </w:r>
      <w:r w:rsidRPr="0063435D">
        <w:rPr>
          <w:rStyle w:val="StyleUnderline"/>
          <w:highlight w:val="cyan"/>
        </w:rPr>
        <w:t xml:space="preserve">the Court decided that certifying authorities may </w:t>
      </w:r>
      <w:r w:rsidRPr="0063435D">
        <w:rPr>
          <w:rStyle w:val="Emphasis"/>
          <w:highlight w:val="cyan"/>
        </w:rPr>
        <w:t>use section 401</w:t>
      </w:r>
      <w:r w:rsidRPr="0063435D">
        <w:rPr>
          <w:rStyle w:val="StyleUnderline"/>
          <w:highlight w:val="cyan"/>
        </w:rPr>
        <w:t xml:space="preserve"> to </w:t>
      </w:r>
      <w:r w:rsidRPr="0063435D">
        <w:rPr>
          <w:rStyle w:val="Emphasis"/>
          <w:highlight w:val="cyan"/>
        </w:rPr>
        <w:t>impose conditions on “activities</w:t>
      </w:r>
      <w:r w:rsidRPr="00F21417">
        <w:rPr>
          <w:rStyle w:val="StyleUnderline"/>
        </w:rPr>
        <w:t>” as a whole, not just on individual discharges</w:t>
      </w:r>
      <w:r w:rsidRPr="00F21417">
        <w:rPr>
          <w:sz w:val="16"/>
        </w:rPr>
        <w:t xml:space="preserve">. </w:t>
      </w:r>
      <w:r w:rsidRPr="00F21417">
        <w:rPr>
          <w:rStyle w:val="StyleUnderline"/>
        </w:rPr>
        <w:t>The Court confirmed this holding in S. D. Warren Co. v. Maine Board of Environmental Protection</w:t>
      </w:r>
      <w:r w:rsidRPr="00F21417">
        <w:rPr>
          <w:sz w:val="16"/>
        </w:rPr>
        <w:t xml:space="preserve">, explaining that </w:t>
      </w:r>
      <w:r w:rsidRPr="0063435D">
        <w:rPr>
          <w:rStyle w:val="StyleUnderline"/>
          <w:highlight w:val="cyan"/>
        </w:rPr>
        <w:t>section 401</w:t>
      </w:r>
      <w:r w:rsidRPr="00F21417">
        <w:rPr>
          <w:sz w:val="16"/>
        </w:rPr>
        <w:t xml:space="preserve"> certifications are “</w:t>
      </w:r>
      <w:r w:rsidRPr="0063435D">
        <w:rPr>
          <w:rStyle w:val="StyleUnderline"/>
          <w:highlight w:val="cyan"/>
        </w:rPr>
        <w:t>essential in the scheme to preserve state authority</w:t>
      </w:r>
      <w:r w:rsidRPr="00F21417">
        <w:rPr>
          <w:rStyle w:val="StyleUnderline"/>
        </w:rPr>
        <w:t xml:space="preserve"> to address the broad range of pollution</w:t>
      </w:r>
      <w:r w:rsidRPr="00F21417">
        <w:rPr>
          <w:sz w:val="16"/>
        </w:rPr>
        <w:t>.”</w:t>
      </w:r>
      <w:bookmarkStart w:id="2" w:name="_ftnref3"/>
      <w:r w:rsidRPr="00F21417">
        <w:rPr>
          <w:sz w:val="16"/>
        </w:rPr>
        <w:fldChar w:fldCharType="begin"/>
      </w:r>
      <w:r w:rsidRPr="00F21417">
        <w:rPr>
          <w:sz w:val="16"/>
        </w:rPr>
        <w:instrText xml:space="preserve"> HYPERLINK "https://eelp.law.harvard.edu/2021/01/section-401-of-the-clean-water-act-from-trump-to-biden/" \l "_ftn3" </w:instrText>
      </w:r>
      <w:r w:rsidRPr="00F21417">
        <w:rPr>
          <w:sz w:val="16"/>
        </w:rPr>
        <w:fldChar w:fldCharType="separate"/>
      </w:r>
      <w:r w:rsidRPr="00F21417">
        <w:rPr>
          <w:rStyle w:val="FollowedHyperlink"/>
          <w:sz w:val="16"/>
        </w:rPr>
        <w:t>[3]</w:t>
      </w:r>
      <w:r w:rsidRPr="00F21417">
        <w:rPr>
          <w:sz w:val="16"/>
        </w:rPr>
        <w:fldChar w:fldCharType="end"/>
      </w:r>
      <w:bookmarkEnd w:id="2"/>
    </w:p>
    <w:p w14:paraId="43865326" w14:textId="77777777" w:rsidR="00CC2CC5" w:rsidRDefault="00CC2CC5" w:rsidP="00CC2CC5">
      <w:r w:rsidRPr="00D3027A">
        <w:t>differently.</w:t>
      </w:r>
    </w:p>
    <w:p w14:paraId="1330A8AE" w14:textId="77777777" w:rsidR="00CC2CC5" w:rsidRDefault="00CC2CC5" w:rsidP="00CC2CC5">
      <w:pPr>
        <w:pStyle w:val="Heading3"/>
      </w:pPr>
      <w:r>
        <w:t>AT: USFG Includes Stats</w:t>
      </w:r>
    </w:p>
    <w:p w14:paraId="4CC3E6D0" w14:textId="77777777" w:rsidR="00CC2CC5" w:rsidRDefault="00CC2CC5" w:rsidP="00CC2CC5">
      <w:pPr>
        <w:pStyle w:val="Heading4"/>
      </w:pPr>
      <w:r>
        <w:t xml:space="preserve">“United States federal government” means </w:t>
      </w:r>
      <w:r w:rsidRPr="0057092E">
        <w:rPr>
          <w:u w:val="single"/>
        </w:rPr>
        <w:t>the three branches</w:t>
      </w:r>
      <w:r>
        <w:t xml:space="preserve"> of the central government. </w:t>
      </w:r>
    </w:p>
    <w:p w14:paraId="127A9DF8" w14:textId="77777777" w:rsidR="00CC2CC5" w:rsidRDefault="00CC2CC5" w:rsidP="00CC2CC5">
      <w:r w:rsidRPr="0057092E">
        <w:rPr>
          <w:rStyle w:val="Style13ptBold"/>
        </w:rPr>
        <w:t>OECD 87</w:t>
      </w:r>
      <w:r w:rsidRPr="0057092E">
        <w:t xml:space="preserve"> — Organisation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050AF5DC" w14:textId="77777777" w:rsidR="00CC2CC5" w:rsidRDefault="00CC2CC5" w:rsidP="00CC2CC5">
      <w:r>
        <w:t xml:space="preserve">1. </w:t>
      </w:r>
      <w:r w:rsidRPr="0057092E">
        <w:rPr>
          <w:rStyle w:val="StyleUnderline"/>
        </w:rPr>
        <w:t>Political and organisational structure of government</w:t>
      </w:r>
    </w:p>
    <w:p w14:paraId="1086A655" w14:textId="77777777" w:rsidR="00CC2CC5" w:rsidRDefault="00CC2CC5" w:rsidP="00CC2CC5">
      <w:r w:rsidRPr="0015241C">
        <w:rPr>
          <w:rStyle w:val="StyleUnderline"/>
          <w:highlight w:val="yellow"/>
        </w:rPr>
        <w:t>The U</w:t>
      </w:r>
      <w:r w:rsidRPr="0057092E">
        <w:rPr>
          <w:rStyle w:val="StyleUnderline"/>
        </w:rPr>
        <w:t xml:space="preserve">nited </w:t>
      </w:r>
      <w:r w:rsidRPr="0015241C">
        <w:rPr>
          <w:rStyle w:val="StyleUnderline"/>
          <w:highlight w:val="yellow"/>
        </w:rPr>
        <w:t>S</w:t>
      </w:r>
      <w:r w:rsidRPr="0057092E">
        <w:rPr>
          <w:rStyle w:val="StyleUnderline"/>
        </w:rPr>
        <w:t xml:space="preserve">tates of America </w:t>
      </w:r>
      <w:r w:rsidRPr="0015241C">
        <w:rPr>
          <w:rStyle w:val="StyleUnderline"/>
          <w:highlight w:val="yellow"/>
        </w:rPr>
        <w:t>is a federal republic</w:t>
      </w:r>
      <w:r w:rsidRPr="0057092E">
        <w:rPr>
          <w:rStyle w:val="Style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18A7C134" w14:textId="77777777" w:rsidR="00CC2CC5" w:rsidRPr="001C0358" w:rsidRDefault="00CC2CC5" w:rsidP="00CC2CC5">
      <w:r w:rsidRPr="0015241C">
        <w:rPr>
          <w:rStyle w:val="StyleUnderline"/>
          <w:highlight w:val="yellow"/>
        </w:rPr>
        <w:t xml:space="preserve">The Federal Government is composed of </w:t>
      </w:r>
      <w:r w:rsidRPr="0015241C">
        <w:rPr>
          <w:rStyle w:val="Emphasis"/>
          <w:highlight w:val="yellow"/>
        </w:rPr>
        <w:t>three branches</w:t>
      </w:r>
      <w:r w:rsidRPr="0015241C">
        <w:rPr>
          <w:rStyle w:val="StyleUnderline"/>
          <w:highlight w:val="yellow"/>
        </w:rPr>
        <w:t>:</w:t>
      </w:r>
      <w:r w:rsidRPr="0057092E">
        <w:rPr>
          <w:rStyle w:val="StyleUnderline"/>
        </w:rPr>
        <w:t xml:space="preserve"> the </w:t>
      </w:r>
      <w:r w:rsidRPr="0015241C">
        <w:rPr>
          <w:rStyle w:val="StyleUnderline"/>
          <w:highlight w:val="yellow"/>
        </w:rPr>
        <w:t>legislative</w:t>
      </w:r>
      <w:r w:rsidRPr="0057092E">
        <w:rPr>
          <w:rStyle w:val="StyleUnderline"/>
        </w:rPr>
        <w:t xml:space="preserve"> branch, the </w:t>
      </w:r>
      <w:r w:rsidRPr="0015241C">
        <w:rPr>
          <w:rStyle w:val="StyleUnderline"/>
          <w:highlight w:val="yellow"/>
        </w:rPr>
        <w:t>executive</w:t>
      </w:r>
      <w:r w:rsidRPr="0057092E">
        <w:rPr>
          <w:rStyle w:val="StyleUnderline"/>
        </w:rPr>
        <w:t xml:space="preserve"> branch, </w:t>
      </w:r>
      <w:r w:rsidRPr="0015241C">
        <w:rPr>
          <w:rStyle w:val="StyleUnderline"/>
          <w:highlight w:val="yellow"/>
        </w:rPr>
        <w:t>and</w:t>
      </w:r>
      <w:r w:rsidRPr="0057092E">
        <w:rPr>
          <w:rStyle w:val="StyleUnderline"/>
        </w:rPr>
        <w:t xml:space="preserve"> the </w:t>
      </w:r>
      <w:r w:rsidRPr="0015241C">
        <w:rPr>
          <w:rStyle w:val="StyleUnderline"/>
          <w:highlight w:val="yellow"/>
        </w:rPr>
        <w:t>judicial</w:t>
      </w:r>
      <w:r w:rsidRPr="0057092E">
        <w:rPr>
          <w:rStyle w:val="StyleUnderline"/>
        </w:rPr>
        <w:t xml:space="preserve"> branch</w:t>
      </w:r>
      <w:r>
        <w:t>. Budgetary decisionmaking is shared primarily by the legislative and executive branches. The general structure of these two branches relative to budget formulation and execution is as follows.</w:t>
      </w:r>
    </w:p>
    <w:p w14:paraId="76ABB5D0" w14:textId="77777777" w:rsidR="00CC2CC5" w:rsidRDefault="00CC2CC5" w:rsidP="00CC2CC5">
      <w:pPr>
        <w:pStyle w:val="Heading2"/>
      </w:pPr>
      <w:r>
        <w:t>Distinguish CP</w:t>
      </w:r>
    </w:p>
    <w:p w14:paraId="346AE92B" w14:textId="77777777" w:rsidR="00CC2CC5" w:rsidRPr="009A319B" w:rsidRDefault="00CC2CC5" w:rsidP="00CC2CC5">
      <w:pPr>
        <w:pStyle w:val="Heading3"/>
      </w:pPr>
      <w:r>
        <w:t>1NC – Distinguish CP</w:t>
      </w:r>
    </w:p>
    <w:p w14:paraId="047FF329" w14:textId="77777777" w:rsidR="00CC2CC5" w:rsidRPr="00B55AD5" w:rsidRDefault="00CC2CC5" w:rsidP="00CC2CC5">
      <w:pPr>
        <w:pStyle w:val="Heading4"/>
      </w:pPr>
      <w:r>
        <w:t xml:space="preserve">The Supreme Court of the United States ought to Distinguish </w:t>
      </w:r>
      <w:r w:rsidRPr="007D1323">
        <w:rPr>
          <w:u w:val="single"/>
        </w:rPr>
        <w:t>Entergy v Riverkeeper</w:t>
      </w:r>
      <w:r>
        <w:t xml:space="preserve"> by ruling that the Environmental Protection Agencies CBA was arbitrarily limited on the grounds that if failed to to consider environmental benefit which requires evaluation of </w:t>
      </w:r>
      <w:r w:rsidRPr="007D1323">
        <w:rPr>
          <w:u w:val="single"/>
        </w:rPr>
        <w:t>all</w:t>
      </w:r>
      <w:r>
        <w:t xml:space="preserve"> aquatic organisms.</w:t>
      </w:r>
    </w:p>
    <w:p w14:paraId="3BA02BE2" w14:textId="77777777" w:rsidR="00CC2CC5" w:rsidRDefault="00CC2CC5" w:rsidP="00CC2CC5"/>
    <w:p w14:paraId="0AC05B97" w14:textId="77777777" w:rsidR="00CC2CC5" w:rsidRDefault="00CC2CC5" w:rsidP="00CC2CC5">
      <w:pPr>
        <w:pStyle w:val="Heading4"/>
      </w:pPr>
      <w:r>
        <w:t xml:space="preserve">Counterplan solves – results in retrofitting of cooling systems and sets precedent that CBA requires consideration of 100% of Environmental harms – avoids violating Chevron </w:t>
      </w:r>
    </w:p>
    <w:p w14:paraId="10866535" w14:textId="77777777" w:rsidR="00CC2CC5" w:rsidRDefault="00CC2CC5" w:rsidP="00CC2CC5">
      <w:r w:rsidRPr="001C26F8">
        <w:rPr>
          <w:rStyle w:val="Style13ptBold"/>
        </w:rPr>
        <w:t>Odom 10</w:t>
      </w:r>
      <w:r>
        <w:t xml:space="preserve"> [</w:t>
      </w:r>
      <w:r w:rsidRPr="001C26F8">
        <w:t>Olivia Odom</w:t>
      </w:r>
      <w:r>
        <w:t>; 2010; JD from UC Berkeley, MS in Water Resources Policy &amp; Management from Oregon State University; “</w:t>
      </w:r>
      <w:r w:rsidRPr="001C26F8">
        <w:t>Energy v. Water</w:t>
      </w:r>
      <w:r>
        <w:t xml:space="preserve">,” </w:t>
      </w:r>
      <w:r w:rsidRPr="001C26F8">
        <w:t>Ecology Law Quarterly</w:t>
      </w:r>
      <w:r>
        <w:t xml:space="preserve">, </w:t>
      </w:r>
      <w:r w:rsidRPr="001C26F8">
        <w:t>Vol. 37, No. 2</w:t>
      </w:r>
      <w:r>
        <w:t>, p. 362-364] |Trip|</w:t>
      </w:r>
    </w:p>
    <w:p w14:paraId="0EE56252" w14:textId="77777777" w:rsidR="00CC2CC5" w:rsidRPr="00D71B41" w:rsidRDefault="00CC2CC5" w:rsidP="00CC2CC5">
      <w:pPr>
        <w:rPr>
          <w:sz w:val="16"/>
        </w:rPr>
      </w:pPr>
      <w:r w:rsidRPr="00F46F73">
        <w:rPr>
          <w:rStyle w:val="StyleUnderline"/>
        </w:rPr>
        <w:t>The question in Entergy v. Riverkeeper was how the EPA should interpret the word "best" in "best technology available."</w:t>
      </w:r>
      <w:r w:rsidRPr="00D71B41">
        <w:rPr>
          <w:sz w:val="16"/>
        </w:rPr>
        <w:t xml:space="preserve">62 Riverkeeper argued that Congress provided no room for CBA in the plain language of section 316(b). In their view, the "best technology available for minimizing adverse environmental impact" standard requires the "EPA to mandate the most protective technology feasible."63 Because the environmental harm of cooling systems is clear, environmental groups advocated for strict, technology-forcing standards.64 </w:t>
      </w:r>
      <w:r w:rsidRPr="00FF3512">
        <w:rPr>
          <w:rStyle w:val="StyleUnderline"/>
        </w:rPr>
        <w:t>The Second Circuit agreed that the variance provision and standard unlawfully allow for CBA, and remanded to the EPA for further clarification of the promulgation process and reassessment of the best technology available standard.</w:t>
      </w:r>
      <w:r w:rsidRPr="00D71B41">
        <w:rPr>
          <w:sz w:val="16"/>
        </w:rPr>
        <w:t>65</w:t>
      </w:r>
    </w:p>
    <w:p w14:paraId="10F9A2E2" w14:textId="77777777" w:rsidR="00CC2CC5" w:rsidRPr="00D71B41" w:rsidRDefault="00CC2CC5" w:rsidP="00CC2CC5">
      <w:pPr>
        <w:rPr>
          <w:sz w:val="16"/>
        </w:rPr>
      </w:pPr>
      <w:r w:rsidRPr="00D71B41">
        <w:rPr>
          <w:sz w:val="16"/>
        </w:rPr>
        <w:t xml:space="preserve">On appeal to the Supreme Court, industrial representatives advocated that economic costs should be measured against environmental benefits before the agency could require implementation of expensive technologies.66 They argued that the Second Circuit opinion would burden the industry with "a regime of potentially continuous retrofitting" that could cost billions of dollars annually, even in cases where environmental benefits could not be demonstrated.67 Agreeing with the industry representatives, </w:t>
      </w:r>
      <w:r w:rsidRPr="00F46F73">
        <w:rPr>
          <w:rStyle w:val="StyleUnderline"/>
        </w:rPr>
        <w:t>the Supreme Court in Riverkeeper reversed the Second Circuit by a vote of 5-1-3, holding that section 316(b) allows the EPA to compare costs to benefits in determining the best technology available.</w:t>
      </w:r>
      <w:r w:rsidRPr="00D71B41">
        <w:rPr>
          <w:sz w:val="16"/>
        </w:rPr>
        <w:t xml:space="preserve">68 Writing for the Riverkeeper majority, Justice </w:t>
      </w:r>
      <w:r w:rsidRPr="00F46F73">
        <w:rPr>
          <w:rStyle w:val="StyleUnderline"/>
        </w:rPr>
        <w:t>Scalia permitted</w:t>
      </w:r>
      <w:r w:rsidRPr="00D71B41">
        <w:rPr>
          <w:sz w:val="16"/>
        </w:rPr>
        <w:t xml:space="preserve"> this </w:t>
      </w:r>
      <w:r w:rsidRPr="00F46F73">
        <w:rPr>
          <w:rStyle w:val="StyleUnderline"/>
        </w:rPr>
        <w:t>CBA-based interpretation, finding that the "best" technology available can reasonably be interpreted to mean the "most efficient," and that efficiency determinations can reasonably rely on CBA</w:t>
      </w:r>
      <w:r w:rsidRPr="00D71B41">
        <w:rPr>
          <w:sz w:val="16"/>
        </w:rPr>
        <w:t>.69</w:t>
      </w:r>
    </w:p>
    <w:p w14:paraId="53EA6954" w14:textId="77777777" w:rsidR="00CC2CC5" w:rsidRPr="00D71B41" w:rsidRDefault="00CC2CC5" w:rsidP="00CC2CC5">
      <w:pPr>
        <w:rPr>
          <w:sz w:val="16"/>
        </w:rPr>
      </w:pPr>
      <w:r w:rsidRPr="00D71B41">
        <w:rPr>
          <w:sz w:val="16"/>
        </w:rPr>
        <w:t>II. The EPA's Limited CBA in Setting Phase II Standards</w:t>
      </w:r>
    </w:p>
    <w:p w14:paraId="62D7A251" w14:textId="77777777" w:rsidR="00CC2CC5" w:rsidRPr="00D71B41" w:rsidRDefault="00CC2CC5" w:rsidP="00CC2CC5">
      <w:pPr>
        <w:rPr>
          <w:sz w:val="16"/>
        </w:rPr>
      </w:pPr>
      <w:r w:rsidRPr="00D71B41">
        <w:rPr>
          <w:sz w:val="16"/>
        </w:rPr>
        <w:t xml:space="preserve">Simply put, CBA determines and compares the costs and benefits of an action or inaction.70 </w:t>
      </w:r>
      <w:r w:rsidRPr="00D71B41">
        <w:rPr>
          <w:b/>
          <w:bCs/>
          <w:sz w:val="16"/>
        </w:rPr>
        <w:t>[Insert Footnote 70]</w:t>
      </w:r>
      <w:r w:rsidRPr="00D71B41">
        <w:rPr>
          <w:sz w:val="16"/>
        </w:rPr>
        <w:t xml:space="preserve"> CBA is appropriate when an agency wishes to maximize net economic contribution to social welfare. See Partha Dasgupta &amp; Karl-Goran Maler, The Environment: The Environment and Emerging Development Issues, in COST-BENEFIT Analysis 319-35 (Richard Layard &amp; Stephen Glaister, eds., 1994). Cost-effectiveness is appropriate when the agency is determined to take an action toward a predefined goal and must identify the most efficient means of reaching that goal. Charles M. Paulsen &amp; Kris Wernstedt, Cost-effectiveness Analysis for Complex Managed Hydrosystems: An Application to the Columbia River Basin, 28 J. Envtl. ECON. &amp; MGMT 388, 388-400 (1995). Technically, they are different methods. Most non-economists, however, do not </w:t>
      </w:r>
      <w:r w:rsidRPr="00D71B41">
        <w:rPr>
          <w:rStyle w:val="StyleUnderline"/>
        </w:rPr>
        <w:t>distinguish between</w:t>
      </w:r>
      <w:r w:rsidRPr="00D71B41">
        <w:rPr>
          <w:sz w:val="16"/>
        </w:rPr>
        <w:t xml:space="preserve"> them and refer to both </w:t>
      </w:r>
      <w:r w:rsidRPr="00D71B41">
        <w:rPr>
          <w:rStyle w:val="StyleUnderline"/>
        </w:rPr>
        <w:t>tests</w:t>
      </w:r>
      <w:r w:rsidRPr="00D71B41">
        <w:rPr>
          <w:sz w:val="16"/>
        </w:rPr>
        <w:t xml:space="preserve"> as CBA. </w:t>
      </w:r>
      <w:r w:rsidRPr="00D71B41">
        <w:rPr>
          <w:b/>
          <w:bCs/>
          <w:sz w:val="16"/>
        </w:rPr>
        <w:t>[Footnote 70 Ends]</w:t>
      </w:r>
      <w:r w:rsidRPr="00D71B41">
        <w:rPr>
          <w:sz w:val="16"/>
        </w:rPr>
        <w:t xml:space="preserve"> </w:t>
      </w:r>
      <w:r w:rsidRPr="00D71B41">
        <w:rPr>
          <w:rStyle w:val="StyleUnderline"/>
        </w:rPr>
        <w:t>When applied to environmental problems</w:t>
      </w:r>
      <w:r w:rsidRPr="00D71B41">
        <w:rPr>
          <w:sz w:val="16"/>
        </w:rPr>
        <w:t xml:space="preserve">, CBA attempts to weigh the capital, social, and environmental costs and benefits of a proposed action or inaction. The difficulty lies in calculating unregulated externalities—noncommercial environmental benefits, intangible values, and potential impacts of inaction.71 For example, quantifying nonuse values, or the "existence value," of a functioning riverine ecosystem may be difficult, but most economists agree that it is an important step in determining the value of environmental assets.72 This Part will elaborate the extent to which </w:t>
      </w:r>
      <w:r w:rsidRPr="00D71B41">
        <w:rPr>
          <w:rStyle w:val="StyleUnderline"/>
          <w:bCs/>
        </w:rPr>
        <w:t>the EPA</w:t>
      </w:r>
      <w:r w:rsidRPr="00D71B41">
        <w:rPr>
          <w:sz w:val="16"/>
        </w:rPr>
        <w:t xml:space="preserve"> completed, or </w:t>
      </w:r>
      <w:r w:rsidRPr="00D71B41">
        <w:rPr>
          <w:rStyle w:val="StyleUnderline"/>
          <w:bCs/>
        </w:rPr>
        <w:t>failed to complete, a thorough CBA in issuing the rule disputed in Riverkeeper.</w:t>
      </w:r>
    </w:p>
    <w:p w14:paraId="057ADF5C" w14:textId="77777777" w:rsidR="00CC2CC5" w:rsidRPr="00D71B41" w:rsidRDefault="00CC2CC5" w:rsidP="00CC2CC5">
      <w:pPr>
        <w:rPr>
          <w:sz w:val="16"/>
        </w:rPr>
      </w:pPr>
      <w:r w:rsidRPr="00D71B41">
        <w:rPr>
          <w:sz w:val="16"/>
        </w:rPr>
        <w:t>A. Environmental Benefits Considered by the EPA</w:t>
      </w:r>
    </w:p>
    <w:p w14:paraId="55D78F68" w14:textId="77777777" w:rsidR="00CC2CC5" w:rsidRPr="00D71B41" w:rsidRDefault="00CC2CC5" w:rsidP="00CC2CC5">
      <w:pPr>
        <w:rPr>
          <w:sz w:val="16"/>
        </w:rPr>
      </w:pPr>
      <w:r w:rsidRPr="00D71B41">
        <w:rPr>
          <w:sz w:val="16"/>
        </w:rPr>
        <w:t xml:space="preserve">Full economic valuation of river system manipulation first predicts ecosystem impacts of the proposed change, then quantifies the direct and indirect effects of the ecosystem impacts on economic goods and services.73 Because water resource management is vital to both ecosystems and socioeconomic systems, regulators must evaluate the effects of management decisions broadly to include nonmarket environmental values (such as noncommercial fishing and instream flows) and incidental socioeconomic consequences (such as the stable supply of electricity).74 Models that link river management decisions, economic consequences, and ecosystem vitality are rare and difficult to validate.75 Nonetheless, </w:t>
      </w:r>
      <w:r w:rsidRPr="00FF3512">
        <w:rPr>
          <w:rStyle w:val="StyleUnderline"/>
        </w:rPr>
        <w:t>in order to conduct a genuine, effective CBA, the EPA needed to evaluate the economic impacts of wet cooling systems on the energy sector especially in times of hydrologic variability.</w:t>
      </w:r>
    </w:p>
    <w:p w14:paraId="49A57175" w14:textId="77777777" w:rsidR="00CC2CC5" w:rsidRPr="00D71B41" w:rsidRDefault="00CC2CC5" w:rsidP="00CC2CC5">
      <w:pPr>
        <w:rPr>
          <w:sz w:val="16"/>
        </w:rPr>
      </w:pPr>
      <w:r w:rsidRPr="007D1323">
        <w:rPr>
          <w:rStyle w:val="StyleUnderline"/>
        </w:rPr>
        <w:t>Instead, the EPA only looked at the capital costs of retrofitting existing systems and</w:t>
      </w:r>
      <w:r w:rsidRPr="00D71B41">
        <w:rPr>
          <w:sz w:val="16"/>
        </w:rPr>
        <w:t xml:space="preserve"> the </w:t>
      </w:r>
      <w:r w:rsidRPr="007D1323">
        <w:rPr>
          <w:rStyle w:val="StyleUnderline"/>
        </w:rPr>
        <w:t>environmental benefit of saving the 1.8</w:t>
      </w:r>
      <w:r w:rsidRPr="00D71B41">
        <w:rPr>
          <w:sz w:val="16"/>
        </w:rPr>
        <w:t xml:space="preserve"> </w:t>
      </w:r>
      <w:r w:rsidRPr="007D1323">
        <w:rPr>
          <w:rStyle w:val="StyleUnderline"/>
        </w:rPr>
        <w:t>percent of aquatic species that are commercially or recreationally valuable.</w:t>
      </w:r>
      <w:r w:rsidRPr="00D71B41">
        <w:rPr>
          <w:sz w:val="16"/>
        </w:rPr>
        <w:t xml:space="preserve">76 </w:t>
      </w:r>
      <w:r w:rsidRPr="007D1323">
        <w:rPr>
          <w:rStyle w:val="StyleUnderline"/>
          <w:bCs/>
        </w:rPr>
        <w:t>At a minimum, the EPA should have considered the value of the other 98 percent of aquatic species</w:t>
      </w:r>
      <w:r w:rsidRPr="00D71B41">
        <w:rPr>
          <w:sz w:val="16"/>
        </w:rPr>
        <w:t xml:space="preserve">.77 </w:t>
      </w:r>
      <w:r w:rsidRPr="00D71B41">
        <w:rPr>
          <w:b/>
          <w:bCs/>
          <w:sz w:val="16"/>
        </w:rPr>
        <w:t>[Insert Footnote 77]</w:t>
      </w:r>
      <w:r w:rsidRPr="00D71B41">
        <w:rPr>
          <w:sz w:val="16"/>
        </w:rPr>
        <w:t xml:space="preserve"> </w:t>
      </w:r>
      <w:r w:rsidRPr="007D1323">
        <w:rPr>
          <w:rStyle w:val="StyleUnderline"/>
          <w:bCs/>
        </w:rPr>
        <w:t>When EPA did calculate the environmental benefit of saving 100 percent of aquatic organisms, the environmental benefit increased by an order of magnitude.</w:t>
      </w:r>
      <w:r w:rsidRPr="00D71B41">
        <w:rPr>
          <w:sz w:val="16"/>
        </w:rPr>
        <w:t xml:space="preserve"> Final Regulations for Cooling Water Intake Structures at Phase II Existing Facilities, 69 Fed. Reg. 41,576, 41,666 (Jul. 9,1994). </w:t>
      </w:r>
      <w:r w:rsidRPr="00D71B41">
        <w:rPr>
          <w:b/>
          <w:bCs/>
          <w:sz w:val="16"/>
        </w:rPr>
        <w:t>[Footnote 77 Ends]</w:t>
      </w:r>
      <w:r w:rsidRPr="00D71B41">
        <w:rPr>
          <w:sz w:val="16"/>
        </w:rPr>
        <w:t xml:space="preserve"> Moreover</w:t>
      </w:r>
      <w:r w:rsidRPr="007D1323">
        <w:rPr>
          <w:rStyle w:val="StyleUnderline"/>
        </w:rPr>
        <w:t xml:space="preserve">, the </w:t>
      </w:r>
      <w:r w:rsidRPr="007D1323">
        <w:rPr>
          <w:rStyle w:val="StyleUnderline"/>
          <w:bCs/>
        </w:rPr>
        <w:t>EPA arbitrarily limited</w:t>
      </w:r>
      <w:r w:rsidRPr="007D1323">
        <w:rPr>
          <w:rStyle w:val="StyleUnderline"/>
        </w:rPr>
        <w:t xml:space="preserve"> its analysis to impingement and entrainment. The plain statutory text more broadly requires the EPA to minimize "adverse environmental impact."</w:t>
      </w:r>
      <w:r w:rsidRPr="00D71B41">
        <w:rPr>
          <w:sz w:val="16"/>
        </w:rPr>
        <w:t>78 "Adverse environmental impact" is not defined in the CWA nor does the legislative history provide guidance. The Agency narrowly interprets the phrase such that "adverse aquatic environmental impacts occur whenever there will be entrainment or impingement damage as a result of the operation of a specific cooling water intake structure.”79</w:t>
      </w:r>
    </w:p>
    <w:p w14:paraId="6AFE65D3" w14:textId="77777777" w:rsidR="00CC2CC5" w:rsidRDefault="00CC2CC5" w:rsidP="00CC2CC5">
      <w:pPr>
        <w:pStyle w:val="Heading3"/>
      </w:pPr>
      <w:r>
        <w:t>Congress Solves</w:t>
      </w:r>
    </w:p>
    <w:p w14:paraId="3C954511" w14:textId="77777777" w:rsidR="00CC2CC5" w:rsidRDefault="00CC2CC5" w:rsidP="00CC2CC5">
      <w:pPr>
        <w:pStyle w:val="Heading4"/>
      </w:pPr>
      <w:r>
        <w:t>Congress solves</w:t>
      </w:r>
    </w:p>
    <w:p w14:paraId="458768EE" w14:textId="77777777" w:rsidR="00CC2CC5" w:rsidRDefault="00CC2CC5" w:rsidP="00CC2CC5">
      <w:r w:rsidRPr="004155CD">
        <w:rPr>
          <w:rStyle w:val="Style13ptBold"/>
        </w:rPr>
        <w:t>Carey 14</w:t>
      </w:r>
      <w:r>
        <w:t xml:space="preserve"> [Maeve P. Carey; 12/9/2014; Congressional Research Service Coordinator, Analyst in Government Organization and Management;</w:t>
      </w:r>
      <w:r w:rsidRPr="004155CD">
        <w:t xml:space="preserve"> </w:t>
      </w:r>
      <w:r>
        <w:t xml:space="preserve">“Cost-Benefit and Other Analysis Requirements in the Rulemaking Process,” </w:t>
      </w:r>
      <w:r>
        <w:cr/>
      </w:r>
      <w:r w:rsidRPr="004155CD">
        <w:t>Congressional Research Service</w:t>
      </w:r>
      <w:r>
        <w:t xml:space="preserve"> Report, p. 30, </w:t>
      </w:r>
      <w:hyperlink r:id="rId20" w:history="1">
        <w:r w:rsidRPr="0034782C">
          <w:rPr>
            <w:rStyle w:val="Hyperlink"/>
          </w:rPr>
          <w:t>https://fas.org/sgp/crs/misc/R41974.pdf</w:t>
        </w:r>
      </w:hyperlink>
      <w:r>
        <w:t>] |Trip|</w:t>
      </w:r>
    </w:p>
    <w:p w14:paraId="76D13E6F" w14:textId="77777777" w:rsidR="00CC2CC5" w:rsidRDefault="00CC2CC5" w:rsidP="00CC2CC5">
      <w:r w:rsidRPr="005A518C">
        <w:rPr>
          <w:rStyle w:val="StyleUnderline"/>
        </w:rPr>
        <w:t xml:space="preserve">Whether done by presidential or </w:t>
      </w:r>
      <w:r w:rsidRPr="005A518C">
        <w:rPr>
          <w:rStyle w:val="StyleUnderline"/>
          <w:bCs/>
        </w:rPr>
        <w:t>congressional action</w:t>
      </w:r>
      <w:r w:rsidRPr="005A518C">
        <w:rPr>
          <w:rStyle w:val="StyleUnderline"/>
        </w:rPr>
        <w:t xml:space="preserve">, any effort to consolidate or reform the analytical requirements in rulemaking </w:t>
      </w:r>
      <w:r w:rsidRPr="005A518C">
        <w:rPr>
          <w:rStyle w:val="StyleUnderline"/>
          <w:bCs/>
        </w:rPr>
        <w:t>should</w:t>
      </w:r>
      <w:r w:rsidRPr="005A518C">
        <w:rPr>
          <w:rStyle w:val="StyleUnderline"/>
        </w:rPr>
        <w:t xml:space="preserve"> be cognizant of the state of existing law in this area.</w:t>
      </w:r>
      <w:r>
        <w:t xml:space="preserve"> </w:t>
      </w:r>
      <w:r w:rsidRPr="005A518C">
        <w:rPr>
          <w:rStyle w:val="StyleUnderline"/>
        </w:rPr>
        <w:t xml:space="preserve">Congress has </w:t>
      </w:r>
      <w:r w:rsidRPr="005A518C">
        <w:rPr>
          <w:rStyle w:val="StyleUnderline"/>
          <w:bCs/>
        </w:rPr>
        <w:t>require</w:t>
      </w:r>
      <w:r w:rsidRPr="005A518C">
        <w:rPr>
          <w:rStyle w:val="StyleUnderline"/>
        </w:rPr>
        <w:t xml:space="preserve">d </w:t>
      </w:r>
      <w:r w:rsidRPr="005A518C">
        <w:rPr>
          <w:rStyle w:val="StyleUnderline"/>
          <w:bCs/>
        </w:rPr>
        <w:t>cost-benefit analysis</w:t>
      </w:r>
      <w:r w:rsidRPr="005A518C">
        <w:rPr>
          <w:rStyle w:val="StyleUnderline"/>
        </w:rPr>
        <w:t xml:space="preserve"> in some statutes, prohibited it in other statutes,</w:t>
      </w:r>
      <w:r>
        <w:t>114 [</w:t>
      </w:r>
      <w:r w:rsidRPr="005A518C">
        <w:t>Whitman v. American Trucking Associations, 531 U.S. 457 (2001)</w:t>
      </w:r>
      <w:r>
        <w:t xml:space="preserve">] </w:t>
      </w:r>
      <w:r w:rsidRPr="005A518C">
        <w:rPr>
          <w:rStyle w:val="StyleUnderline"/>
        </w:rPr>
        <w:t>and not precluded it in still other statutes.115 [Entergy Corp. v. Riverkeeper,</w:t>
      </w:r>
      <w:r w:rsidRPr="005A518C">
        <w:t xml:space="preserve"> Inc., 556 U.S. 208 (2009).</w:t>
      </w:r>
      <w:r>
        <w:t>]</w:t>
      </w:r>
      <w:r w:rsidRPr="005A518C">
        <w:t xml:space="preserve"> </w:t>
      </w:r>
      <w:r>
        <w:t xml:space="preserve"> Both Executive Orders 12866 and 13563 contain the phrase “to the extent permitted by law” when referencing the principles of rulemaking and the analytical requirements, confirming that </w:t>
      </w:r>
      <w:r w:rsidRPr="005A518C">
        <w:rPr>
          <w:rStyle w:val="StyleUnderline"/>
          <w:bCs/>
        </w:rPr>
        <w:t>agencies must adhere</w:t>
      </w:r>
      <w:r w:rsidRPr="005A518C">
        <w:rPr>
          <w:rStyle w:val="StyleUnderline"/>
        </w:rPr>
        <w:t xml:space="preserve"> to the requirements contained in their authorizing statutes, and may only apply the principles and procedures</w:t>
      </w:r>
      <w:r>
        <w:t xml:space="preserve"> of the executive orders </w:t>
      </w:r>
      <w:r w:rsidRPr="005A518C">
        <w:rPr>
          <w:rStyle w:val="StyleUnderline"/>
        </w:rPr>
        <w:t>if</w:t>
      </w:r>
      <w:r>
        <w:t xml:space="preserve"> the </w:t>
      </w:r>
      <w:r w:rsidRPr="005A518C">
        <w:rPr>
          <w:rStyle w:val="StyleUnderline"/>
        </w:rPr>
        <w:t>statutes permit them to do so. Should Congress decide to enact legislation superseding existing law, it should do so</w:t>
      </w:r>
      <w:r>
        <w:t xml:space="preserve"> in full recognition of the likely consequences.</w:t>
      </w:r>
    </w:p>
    <w:p w14:paraId="54552F92" w14:textId="77777777" w:rsidR="00CC2CC5" w:rsidRDefault="00CC2CC5" w:rsidP="00CC2CC5">
      <w:pPr>
        <w:pStyle w:val="Heading2"/>
      </w:pPr>
      <w:r>
        <w:t>EPA/Adv CP</w:t>
      </w:r>
    </w:p>
    <w:p w14:paraId="630EC8A2" w14:textId="77777777" w:rsidR="00CC2CC5" w:rsidRDefault="00CC2CC5" w:rsidP="00CC2CC5">
      <w:pPr>
        <w:pStyle w:val="Heading4"/>
      </w:pPr>
      <w:r>
        <w:t>The United States Environmental Protection Agency ought to [Insert relevant planks]</w:t>
      </w:r>
    </w:p>
    <w:p w14:paraId="4933CB76" w14:textId="77777777" w:rsidR="00CC2CC5" w:rsidRDefault="00CC2CC5" w:rsidP="00CC2CC5"/>
    <w:p w14:paraId="63115B30" w14:textId="77777777" w:rsidR="00CC2CC5" w:rsidRDefault="00CC2CC5" w:rsidP="00CC2CC5">
      <w:pPr>
        <w:pStyle w:val="Heading4"/>
      </w:pPr>
      <w:r>
        <w:t>Adv CP solves and avoids Court and Industry DA</w:t>
      </w:r>
    </w:p>
    <w:p w14:paraId="2BE41ACD" w14:textId="77777777" w:rsidR="00CC2CC5" w:rsidRDefault="00CC2CC5" w:rsidP="00CC2CC5">
      <w:r w:rsidRPr="000369F3">
        <w:rPr>
          <w:rStyle w:val="Style13ptBold"/>
        </w:rPr>
        <w:t>EPA 11</w:t>
      </w:r>
      <w:r>
        <w:t xml:space="preserve"> </w:t>
      </w:r>
      <w:r w:rsidRPr="000369F3">
        <w:rPr>
          <w:sz w:val="18"/>
          <w:szCs w:val="18"/>
        </w:rPr>
        <w:t xml:space="preserve">[United States Environmental Protection Agency; 8/18/2011; Report on COMMENTS OF RIVERKEEPER, INC., NATURAL RESOURCES DEFENSE COUNCIL, SIERRA CLUB, WATERKEEPER ALLIANCE, EARTHJUSTICE, ENVIRONMENTAL LAW AND POLICY CENTER, CLEAN AIR TASK FORCE, NETWORK FOR NEW ENERGY CHOICES, CALIFORNIA COASTKEEPER ALLIANCE, SOUNDKEEPER, INC., DELAWARE RIVERKEEPER NETWORK, SAVE THE BAY – RHODE ISLAND, FRIENDS OF CASCO BAY, NY/NJ BAYKEEPER, HACKENSACK RIVERKEEPER, SANTA MONICA BAYKEEPER, SAN DIEGO BAYKEEPER, SCENIC HUDSON, AMERICAN LITTORAL SOCIETY, AND CONSERVATION LAW FOUNDATION, “National Pollutant Discharge Elimination System – Cooling Water Intake Structures at Existing Facilities and Phase I Facilities,” 76 Fed. Reg. 22,174 (April 20, 2011), </w:t>
      </w:r>
      <w:hyperlink r:id="rId21" w:history="1">
        <w:r w:rsidRPr="000369F3">
          <w:rPr>
            <w:rStyle w:val="Hyperlink"/>
            <w:sz w:val="18"/>
            <w:szCs w:val="18"/>
          </w:rPr>
          <w:t>https://www.riverkeeper.org/wp-content/uploads/2011/09/316B_RVK-Comment-EPA-HQ-OW-2008-0667.pdf</w:t>
        </w:r>
      </w:hyperlink>
      <w:r w:rsidRPr="000369F3">
        <w:rPr>
          <w:sz w:val="18"/>
          <w:szCs w:val="18"/>
        </w:rPr>
        <w:t>] |Trip|</w:t>
      </w:r>
    </w:p>
    <w:p w14:paraId="68E5068F" w14:textId="77777777" w:rsidR="00CC2CC5" w:rsidRPr="009A319B" w:rsidRDefault="00CC2CC5" w:rsidP="00CC2CC5">
      <w:pPr>
        <w:rPr>
          <w:sz w:val="16"/>
        </w:rPr>
      </w:pPr>
      <w:r w:rsidRPr="009A319B">
        <w:rPr>
          <w:sz w:val="16"/>
        </w:rPr>
        <w:t>Entrainment</w:t>
      </w:r>
    </w:p>
    <w:p w14:paraId="35397EDB" w14:textId="77777777" w:rsidR="00CC2CC5" w:rsidRPr="00EC604E" w:rsidRDefault="00CC2CC5" w:rsidP="00CC2CC5">
      <w:pPr>
        <w:rPr>
          <w:rStyle w:val="StyleUnderline"/>
        </w:rPr>
      </w:pPr>
      <w:r w:rsidRPr="009A319B">
        <w:rPr>
          <w:sz w:val="16"/>
        </w:rPr>
        <w:t xml:space="preserve">The Proposed Rule does little to change the unacceptable status quo and protect the aquatic environment from entrainment. </w:t>
      </w:r>
      <w:r w:rsidRPr="00EC604E">
        <w:rPr>
          <w:rStyle w:val="StyleUnderline"/>
        </w:rPr>
        <w:t>EPA should establish an entrainment standard</w:t>
      </w:r>
      <w:r>
        <w:rPr>
          <w:rStyle w:val="StyleUnderline"/>
        </w:rPr>
        <w:t xml:space="preserve"> </w:t>
      </w:r>
      <w:r w:rsidRPr="00EC604E">
        <w:rPr>
          <w:rStyle w:val="StyleUnderline"/>
        </w:rPr>
        <w:t xml:space="preserve">based on closed-cycle cooling </w:t>
      </w:r>
      <w:r w:rsidRPr="009A319B">
        <w:rPr>
          <w:sz w:val="16"/>
        </w:rPr>
        <w:t xml:space="preserve">as envisioned in the agency’s Option 3. The agency had before it a regulatory option – a national categorical standard based on the performance of closed-cycle cooling systems (Option 3) – </w:t>
      </w:r>
      <w:r w:rsidRPr="00EC604E">
        <w:rPr>
          <w:rStyle w:val="StyleUnderline"/>
        </w:rPr>
        <w:t>that would protect the environment at a reasonable</w:t>
      </w:r>
      <w:r>
        <w:rPr>
          <w:rStyle w:val="StyleUnderline"/>
        </w:rPr>
        <w:t xml:space="preserve"> </w:t>
      </w:r>
      <w:r w:rsidRPr="00EC604E">
        <w:rPr>
          <w:rStyle w:val="StyleUnderline"/>
        </w:rPr>
        <w:t>cost to industry, create jobs, and cause no significant adverse effects on the environment,</w:t>
      </w:r>
      <w:r>
        <w:rPr>
          <w:rStyle w:val="StyleUnderline"/>
        </w:rPr>
        <w:t xml:space="preserve"> </w:t>
      </w:r>
      <w:r w:rsidRPr="00EC604E">
        <w:rPr>
          <w:rStyle w:val="StyleUnderline"/>
        </w:rPr>
        <w:t>electric reliability, or consumer prices</w:t>
      </w:r>
      <w:r w:rsidRPr="009A319B">
        <w:rPr>
          <w:sz w:val="16"/>
        </w:rPr>
        <w:t xml:space="preserve">. EPA unlawfully rejected that option in favor of preserving the status quo. </w:t>
      </w:r>
      <w:r w:rsidRPr="00EC604E">
        <w:rPr>
          <w:rStyle w:val="StyleUnderline"/>
        </w:rPr>
        <w:t>Closed-cycle cooling is a feasible and readily affordable</w:t>
      </w:r>
      <w:r>
        <w:rPr>
          <w:rStyle w:val="StyleUnderline"/>
        </w:rPr>
        <w:t xml:space="preserve"> </w:t>
      </w:r>
      <w:r w:rsidRPr="00EC604E">
        <w:rPr>
          <w:rStyle w:val="StyleUnderline"/>
        </w:rPr>
        <w:t>technology. A national, categorical entrainment standard based on that technology could</w:t>
      </w:r>
      <w:r>
        <w:rPr>
          <w:rStyle w:val="StyleUnderline"/>
        </w:rPr>
        <w:t xml:space="preserve"> </w:t>
      </w:r>
      <w:r w:rsidRPr="00EC604E">
        <w:rPr>
          <w:rStyle w:val="StyleUnderline"/>
        </w:rPr>
        <w:t>include a narrow safety-valve variance to properly take account of site-specific factors for</w:t>
      </w:r>
      <w:r>
        <w:rPr>
          <w:rStyle w:val="StyleUnderline"/>
        </w:rPr>
        <w:t xml:space="preserve"> </w:t>
      </w:r>
      <w:r w:rsidRPr="00EC604E">
        <w:rPr>
          <w:rStyle w:val="StyleUnderline"/>
        </w:rPr>
        <w:t>those plants fundamentally different than the majority. Parameters for such a variance are</w:t>
      </w:r>
      <w:r>
        <w:rPr>
          <w:rStyle w:val="StyleUnderline"/>
        </w:rPr>
        <w:t xml:space="preserve"> </w:t>
      </w:r>
      <w:r w:rsidRPr="00EC604E">
        <w:rPr>
          <w:rStyle w:val="StyleUnderline"/>
        </w:rPr>
        <w:t>proposed below.</w:t>
      </w:r>
    </w:p>
    <w:p w14:paraId="79C46867" w14:textId="77777777" w:rsidR="00CC2CC5" w:rsidRPr="009A319B" w:rsidRDefault="00CC2CC5" w:rsidP="00CC2CC5">
      <w:pPr>
        <w:rPr>
          <w:sz w:val="16"/>
        </w:rPr>
      </w:pPr>
      <w:r w:rsidRPr="009A319B">
        <w:rPr>
          <w:sz w:val="16"/>
        </w:rPr>
        <w:t>• Contrary to industry’s hyperbolic claims, Option 3 would not cause electric reliability problems and would barely increase electricity prices. EPA estimates that if the total cost of Option 3 were to be passed on to ratepayers, those costs would total only $1.47 per month per household. Conversely, if 100 percent of the costs fell upon power companies, the majority of parent entities would incur annualized costs of less than one percent of revenues. Further, assuming none of those costs could be passed on, plant retirements caused by Option 3 would represent less than 1.5 percent of total capacity, which could be easily replaced by new, cleaner generation.</w:t>
      </w:r>
    </w:p>
    <w:p w14:paraId="7EE6373E" w14:textId="77777777" w:rsidR="00CC2CC5" w:rsidRPr="009A319B" w:rsidRDefault="00CC2CC5" w:rsidP="00CC2CC5">
      <w:pPr>
        <w:rPr>
          <w:sz w:val="16"/>
        </w:rPr>
      </w:pPr>
      <w:r w:rsidRPr="009A319B">
        <w:rPr>
          <w:sz w:val="16"/>
        </w:rPr>
        <w:t>EPA’s economic findings are unambiguous: the stronger the regulation, the greater the boost to the economy and job creation. At either discount rate EPA used in its analysis, Option 3 creates jobs and stimulates the economy to a greater degree than any of the other options. At a 7 percent discount rate, it produces 10,102 new jobs under EPA’s analysis, but the actual benefits to the economy of Option 3 are likely much greater. Option 3 is therefore a job-creating rule that will improve the economy.</w:t>
      </w:r>
    </w:p>
    <w:p w14:paraId="60E2413A" w14:textId="77777777" w:rsidR="00CC2CC5" w:rsidRPr="009A319B" w:rsidRDefault="00CC2CC5" w:rsidP="00CC2CC5">
      <w:pPr>
        <w:rPr>
          <w:sz w:val="16"/>
        </w:rPr>
      </w:pPr>
      <w:r w:rsidRPr="009A319B">
        <w:rPr>
          <w:sz w:val="16"/>
        </w:rPr>
        <w:t>EPA’s national cost-benefit analysis is deeply flawed and illegal. These comments and the attached reports of the Stockholm Environment Institute (“SEI”) and Powers Engineering identify significant flaws in EPA’s national cost-benefit analysis. Making only partial and conservative corrections to EPA’s analysis, the monetizable benefits of a national standard based on the performance of closed-cycle cooling systems (Option 3) exceed its costs.</w:t>
      </w:r>
    </w:p>
    <w:p w14:paraId="62ED4A13" w14:textId="77777777" w:rsidR="00CC2CC5" w:rsidRPr="009A319B" w:rsidRDefault="00CC2CC5" w:rsidP="00CC2CC5">
      <w:pPr>
        <w:rPr>
          <w:sz w:val="16"/>
        </w:rPr>
      </w:pPr>
      <w:r w:rsidRPr="009A319B">
        <w:rPr>
          <w:sz w:val="16"/>
        </w:rPr>
        <w:t>In place of Option 3 (or Option 2, a watered-down version of Option 3), EPA has illegally substituted Option 1, a case-by-case decision making process that is legally infirm. A nationally uniform entrainment standard based on the performance of closed-cycle cooling systems, like Option 3, is technologically and economically feasible. Therefore, EPA’s caseby-case approach to standard setting (Option 1) is a wholesale abdication of its statutory duties.</w:t>
      </w:r>
    </w:p>
    <w:p w14:paraId="443FAC58" w14:textId="77777777" w:rsidR="00CC2CC5" w:rsidRPr="009A319B" w:rsidRDefault="00CC2CC5" w:rsidP="00CC2CC5">
      <w:pPr>
        <w:rPr>
          <w:sz w:val="16"/>
        </w:rPr>
      </w:pPr>
      <w:r w:rsidRPr="009A319B">
        <w:rPr>
          <w:sz w:val="16"/>
        </w:rPr>
        <w:t>The Proposed Rule will turn permitting proceedings into an endless quagmire because states are incapable of developing permit requirements in the absence of national categorical standards. As states repeatedly have told EPA and EPA has itself recognized, state permitting agencies lack the resources to undertake or review the multiple engineering, biological, economic and other studies that the Proposed Rule requires as a condition of permitting. States are particularly incapable of conducting cost-benefit analysis in the context of NPDES permit proceedings, but the Proposed Rule contemplates 1,200 such analyses in the coming years (one for every plant subject to the rule), even though EPA itself, with all of its resources and many years to do it, has still never come close to monetizing more than a few percent of the benefits in its national rulemakings under Section 316(b).</w:t>
      </w:r>
    </w:p>
    <w:p w14:paraId="59C385F5" w14:textId="77777777" w:rsidR="00CC2CC5" w:rsidRPr="009A319B" w:rsidRDefault="00CC2CC5" w:rsidP="00CC2CC5">
      <w:pPr>
        <w:rPr>
          <w:sz w:val="16"/>
        </w:rPr>
      </w:pPr>
      <w:r w:rsidRPr="009A319B">
        <w:rPr>
          <w:sz w:val="16"/>
        </w:rPr>
        <w:t>OMB took EPA’s illegal and weak proposal and made it worse. The agency sent OMB a proposal designed around a case-by-case format in which state permitting authorities would begin with a rebuttable presumption that closed-cycle cooling was the best technology available. EPA also sought to avoid making cost-benefit analysis a primary consideration, using it only to eliminate extreme results under a “wholly disproportionate” test. That regulatory approach was insufficient to begin with, but OMB further weakened it, leaving a completely rudderless decision-making process that allows state agencies to consider an open-ended set of factors the director deems to be “relevant” and then choose the technologies the agency deems “warranted.” The Proposed Rule now invites those permitting directors to determine that “no additional control requirements are necessary beyond what a facility is already doing.” OMB’s changes thus render the entire rule an elaborate ruse for doing nothing at all.</w:t>
      </w:r>
    </w:p>
    <w:p w14:paraId="3CF6E79D" w14:textId="77777777" w:rsidR="00CC2CC5" w:rsidRPr="009A319B" w:rsidRDefault="00CC2CC5" w:rsidP="00CC2CC5">
      <w:pPr>
        <w:rPr>
          <w:sz w:val="16"/>
        </w:rPr>
      </w:pPr>
      <w:r w:rsidRPr="009A319B">
        <w:rPr>
          <w:sz w:val="16"/>
        </w:rPr>
        <w:t>Impingement</w:t>
      </w:r>
    </w:p>
    <w:p w14:paraId="6720432E" w14:textId="77777777" w:rsidR="00CC2CC5" w:rsidRPr="009A319B" w:rsidRDefault="00CC2CC5" w:rsidP="00CC2CC5">
      <w:pPr>
        <w:rPr>
          <w:sz w:val="16"/>
        </w:rPr>
      </w:pPr>
      <w:r w:rsidRPr="009A319B">
        <w:rPr>
          <w:sz w:val="16"/>
        </w:rPr>
        <w:t>EPA should establish a national categorical impingement standard based on closed-cycle cooling. The Proposed Rule does not do this, but instead provides a choice among options that are clearly less protective.</w:t>
      </w:r>
    </w:p>
    <w:p w14:paraId="5BBE310C" w14:textId="77777777" w:rsidR="00CC2CC5" w:rsidRPr="009A319B" w:rsidRDefault="00CC2CC5" w:rsidP="00CC2CC5">
      <w:pPr>
        <w:rPr>
          <w:sz w:val="16"/>
        </w:rPr>
      </w:pPr>
      <w:r w:rsidRPr="009A319B">
        <w:rPr>
          <w:sz w:val="16"/>
        </w:rPr>
        <w:t>EPA should also establish an additional impingement standard based on the 0.5 ft/s velocity limit and allow a carefully crafted variance for facilities that legitimately cannot meet it. Because the velocity limit will not eliminate impingement, EPA should also retain the requirements to install protective devices on travelling screens, install barrier nets for shellfish in marine waters, and provide a mechanism for “entrapped” fish (for example, those caught in a forebay) to escape.</w:t>
      </w:r>
    </w:p>
    <w:p w14:paraId="2A6C846F" w14:textId="77777777" w:rsidR="00CC2CC5" w:rsidRPr="009A319B" w:rsidRDefault="00CC2CC5" w:rsidP="00CC2CC5">
      <w:pPr>
        <w:rPr>
          <w:sz w:val="16"/>
        </w:rPr>
      </w:pPr>
      <w:r w:rsidRPr="009A319B">
        <w:rPr>
          <w:sz w:val="16"/>
        </w:rPr>
        <w:t>Although EPA found that reducing intake velocity to 0.5 feet per second would be more protective than other impingement mortality standards it considered, EPA nevertheless gave existing facilities the choice between the velocity limit and meeting a twelve-percentannual impingement mortality standard (i.e., meaning that no more than twelve percent of impinged fish may die in a given year). The twelve-percent standard, however, is not only weaker than the velocity limit but would also require extensive monitoring and latent mortality testing that will inevitably lead to vague, controversial and inconclusive results as to the percentage of impinged fish that have survived impingement.</w:t>
      </w:r>
    </w:p>
    <w:p w14:paraId="20215F75" w14:textId="77777777" w:rsidR="00CC2CC5" w:rsidRPr="009A319B" w:rsidRDefault="00CC2CC5" w:rsidP="00CC2CC5">
      <w:pPr>
        <w:rPr>
          <w:sz w:val="16"/>
        </w:rPr>
      </w:pPr>
      <w:r w:rsidRPr="009A319B">
        <w:rPr>
          <w:sz w:val="16"/>
        </w:rPr>
        <w:t>To measure performance against the twelve percent standard, plant operators would be required to hold impinged organisms for 24 to 48 hours, yet latent impingement mortality can occur 96 hours after the impingement event. Moreover, there are no agreed-upon protocols for handling and holding impinged fish, and it is difficult to determine whether fish have died from impingement or some other cause. Because certain species are more susceptible to impingement and less likely to survive, the twelve percent standard would disproportionately affect those species, and would cause plant operators to seek to invoke a provision of the Proposed Rule that would allow permit writers to exclude certain species from monitoring requirements and calculations. Definition of “New Unit”</w:t>
      </w:r>
    </w:p>
    <w:p w14:paraId="3B57C9C5" w14:textId="77777777" w:rsidR="00CC2CC5" w:rsidRPr="009A319B" w:rsidRDefault="00CC2CC5" w:rsidP="00CC2CC5">
      <w:pPr>
        <w:rPr>
          <w:sz w:val="16"/>
        </w:rPr>
      </w:pPr>
      <w:r w:rsidRPr="009A319B">
        <w:rPr>
          <w:sz w:val="16"/>
        </w:rPr>
        <w:t>EPA should revert to the new units definition and standards that it proposed to OMB with minor revisions suggested below. The version of the proposed rule that EPA sent to OMB would have required all replacements, repowerings, and rebuilt power plants to meet standards based on closed-cycle cooling because those plants have the ability to include closed-cycle cooing systems as part of the initial design of the rebuilt, repowered or replacement plant. But OMB modified those provisions such that only “new units at existing facilities,” a very narrowly defined class of entities, now have to meet the closed-cycle cooling standards. That OMB change would allow the operators of the worst fish-killing plants in the country to demolish their plants and rebuild entirely new plants from scratch without having to install modern equipment.</w:t>
      </w:r>
    </w:p>
    <w:p w14:paraId="31E4623C" w14:textId="77777777" w:rsidR="00CC2CC5" w:rsidRPr="009A319B" w:rsidRDefault="00CC2CC5" w:rsidP="00CC2CC5">
      <w:pPr>
        <w:rPr>
          <w:sz w:val="16"/>
        </w:rPr>
      </w:pPr>
    </w:p>
    <w:p w14:paraId="21995F35" w14:textId="77777777" w:rsidR="00CC2CC5" w:rsidRPr="009A319B" w:rsidRDefault="00CC2CC5" w:rsidP="00CC2CC5">
      <w:pPr>
        <w:rPr>
          <w:sz w:val="16"/>
        </w:rPr>
      </w:pPr>
      <w:r w:rsidRPr="009A319B">
        <w:rPr>
          <w:sz w:val="16"/>
        </w:rPr>
        <w:t>Other Critical Provisions</w:t>
      </w:r>
    </w:p>
    <w:p w14:paraId="13E62BB4" w14:textId="77777777" w:rsidR="00CC2CC5" w:rsidRPr="009A319B" w:rsidRDefault="00CC2CC5" w:rsidP="00CC2CC5">
      <w:pPr>
        <w:rPr>
          <w:sz w:val="16"/>
        </w:rPr>
      </w:pPr>
      <w:r w:rsidRPr="00345B5A">
        <w:rPr>
          <w:rStyle w:val="StyleUnderline"/>
          <w:bCs/>
        </w:rPr>
        <w:t>EPA should define and protect “species of concern.”</w:t>
      </w:r>
      <w:r w:rsidRPr="009A319B">
        <w:rPr>
          <w:sz w:val="16"/>
        </w:rPr>
        <w:t xml:space="preserve"> Previously, EPA has explained that “species of concern” are species that may be “in need of conservation actions, but are not currently listed as threatened or endangered under State or Federal law.”6 Sadly, a decadeslong backlog of endangered species listings means that hundreds of species whose claims </w:t>
      </w:r>
      <w:r w:rsidRPr="00345B5A">
        <w:rPr>
          <w:rStyle w:val="StyleUnderline"/>
        </w:rPr>
        <w:t>to endangered or threatened status</w:t>
      </w:r>
      <w:r w:rsidRPr="009A319B">
        <w:rPr>
          <w:sz w:val="16"/>
        </w:rPr>
        <w:t xml:space="preserve"> are supported by substantial scientific evidence fit into this category. </w:t>
      </w:r>
      <w:r w:rsidRPr="00F821F2">
        <w:rPr>
          <w:rStyle w:val="StyleUnderline"/>
        </w:rPr>
        <w:t xml:space="preserve">EPA should define and extend additional protections to species of concern, </w:t>
      </w:r>
      <w:r w:rsidRPr="00345B5A">
        <w:rPr>
          <w:rStyle w:val="StyleUnderline"/>
          <w:bCs/>
        </w:rPr>
        <w:t>as it did in the original Phase II rulemaking</w:t>
      </w:r>
      <w:r w:rsidRPr="009A319B">
        <w:rPr>
          <w:sz w:val="16"/>
        </w:rPr>
        <w:t>.</w:t>
      </w:r>
    </w:p>
    <w:p w14:paraId="00275BC1" w14:textId="77777777" w:rsidR="00CC2CC5" w:rsidRPr="009A319B" w:rsidRDefault="00CC2CC5" w:rsidP="00CC2CC5">
      <w:pPr>
        <w:rPr>
          <w:sz w:val="16"/>
        </w:rPr>
      </w:pPr>
      <w:r w:rsidRPr="00F821F2">
        <w:rPr>
          <w:rStyle w:val="StyleUnderline"/>
        </w:rPr>
        <w:t>EPA should prevent states from excluding any species from the rule’s scope. The provision contained in proposed 40 CFR § 125.98(c)(6), mentioned above in the context of impingement, should be revised to prevent state permit directors from excluding “other specific species,” which are neither invasive nor naturally moribund, from monitoring, sampling, and study requirements.</w:t>
      </w:r>
      <w:r w:rsidRPr="009A319B">
        <w:rPr>
          <w:sz w:val="16"/>
        </w:rPr>
        <w:t xml:space="preserve"> Since BTA determinations and compliance with BTA standards will be in large part determined through monitoring, sampling and studies, this “species of [no] concern” provision would allow states to simply ignore, rather than minimize, mortality to certain species.</w:t>
      </w:r>
    </w:p>
    <w:p w14:paraId="00F7B9E8" w14:textId="77777777" w:rsidR="00CC2CC5" w:rsidRPr="009A319B" w:rsidRDefault="00CC2CC5" w:rsidP="00CC2CC5">
      <w:pPr>
        <w:rPr>
          <w:sz w:val="16"/>
        </w:rPr>
      </w:pPr>
      <w:r w:rsidRPr="00C67BE9">
        <w:rPr>
          <w:rStyle w:val="StyleUnderline"/>
          <w:bCs/>
          <w:sz w:val="26"/>
          <w:szCs w:val="26"/>
        </w:rPr>
        <w:t>EPA should assume that entrainment mortality is 100 percent in all cases</w:t>
      </w:r>
      <w:r w:rsidRPr="009A319B">
        <w:rPr>
          <w:sz w:val="16"/>
        </w:rPr>
        <w:t xml:space="preserve">. </w:t>
      </w:r>
      <w:r w:rsidRPr="00C67BE9">
        <w:rPr>
          <w:rStyle w:val="StyleUnderline"/>
        </w:rPr>
        <w:t xml:space="preserve">Assessing entrainment mortality on a site-specific and species-specific basis is administratively unworkable. </w:t>
      </w:r>
      <w:r w:rsidRPr="009A319B">
        <w:rPr>
          <w:sz w:val="16"/>
        </w:rPr>
        <w:t>It will lead to significant delays in the permitting of cooling water intake structures, for little, if any, gain. EPA should presuppose, in all cases, that entrainment mortality is 100 percent.</w:t>
      </w:r>
    </w:p>
    <w:p w14:paraId="3AA3B500" w14:textId="77777777" w:rsidR="00CC2CC5" w:rsidRPr="009A319B" w:rsidRDefault="00CC2CC5" w:rsidP="00CC2CC5">
      <w:pPr>
        <w:rPr>
          <w:sz w:val="16"/>
        </w:rPr>
      </w:pPr>
      <w:r w:rsidRPr="00C67BE9">
        <w:rPr>
          <w:rStyle w:val="StyleUnderline"/>
          <w:bCs/>
        </w:rPr>
        <w:t>EPA should specify minimum monitoring requirements</w:t>
      </w:r>
      <w:r w:rsidRPr="009A319B">
        <w:rPr>
          <w:sz w:val="16"/>
        </w:rPr>
        <w:t>. EPA lays out its minimum expectations with respect to monitoring practices in the preamble, but then, inexplicably, leaves the final determination to state regulators. It is inefficient for each state to reinvent monitoring requirements dozens of times – once for each facility. EPA should specify in the rule uniform minimum monitoring requirements that meet the expectations it laid out in the preamble.</w:t>
      </w:r>
    </w:p>
    <w:p w14:paraId="3563A04C" w14:textId="77777777" w:rsidR="00CC2CC5" w:rsidRPr="009A319B" w:rsidRDefault="00CC2CC5" w:rsidP="00CC2CC5">
      <w:pPr>
        <w:rPr>
          <w:sz w:val="16"/>
        </w:rPr>
      </w:pPr>
      <w:r w:rsidRPr="00C67BE9">
        <w:rPr>
          <w:rStyle w:val="StyleUnderline"/>
        </w:rPr>
        <w:t xml:space="preserve">EPA should prohibit the use of freshwater for once-through cooling in arid regions or those at risk of drought. BTA must be defined to require reclaimed water use as the potential benefits of using reclaimed water for power plant cooling are immense and would result in additional environmental protection and water savings and improved reliability at both once-through and closed-cycle facilities that utilize freshwater intake. </w:t>
      </w:r>
      <w:r w:rsidRPr="009A319B">
        <w:rPr>
          <w:sz w:val="16"/>
        </w:rPr>
        <w:t>EPA’s proposed approach fails to fully recognize either the availability of reclaimed water or the public and environmental benefits of using reclaimed water for cooling and fails explicitly to require local consideration of this readily available option.</w:t>
      </w:r>
    </w:p>
    <w:p w14:paraId="4A0953DB" w14:textId="77777777" w:rsidR="00CC2CC5" w:rsidRPr="009A319B" w:rsidRDefault="00CC2CC5" w:rsidP="00CC2CC5">
      <w:pPr>
        <w:rPr>
          <w:sz w:val="16"/>
        </w:rPr>
      </w:pPr>
      <w:r w:rsidRPr="00C67BE9">
        <w:rPr>
          <w:rStyle w:val="StyleUnderline"/>
        </w:rPr>
        <w:t>EPA should not exempt cooling water withdrawals that are also used for desalination.</w:t>
      </w:r>
      <w:r w:rsidRPr="009A319B">
        <w:rPr>
          <w:sz w:val="16"/>
        </w:rPr>
        <w:t xml:space="preserve"> The proposed </w:t>
      </w:r>
      <w:r w:rsidRPr="00C67BE9">
        <w:rPr>
          <w:rStyle w:val="StyleUnderline"/>
        </w:rPr>
        <w:t>exclusion of seawater</w:t>
      </w:r>
      <w:r w:rsidRPr="009A319B">
        <w:rPr>
          <w:sz w:val="16"/>
        </w:rPr>
        <w:t xml:space="preserve"> used for both cooling and desalination </w:t>
      </w:r>
      <w:r w:rsidRPr="00C67BE9">
        <w:rPr>
          <w:rStyle w:val="StyleUnderline"/>
        </w:rPr>
        <w:t>from</w:t>
      </w:r>
      <w:r w:rsidRPr="009A319B">
        <w:rPr>
          <w:sz w:val="16"/>
        </w:rPr>
        <w:t xml:space="preserve"> the definition of </w:t>
      </w:r>
      <w:r w:rsidRPr="00C67BE9">
        <w:rPr>
          <w:rStyle w:val="StyleUnderline"/>
        </w:rPr>
        <w:t>“cooling water” would allow the power plant to contend that the water is drinking water and the desalination plant to contend that the water is cooling water, leaving the withdrawal completely unregulated, contrary to the intent of Section 316(b). EPA should require that if a calculation baseline is used by permit writers, it must reflect the actual operation of the facility, not a fictional “full flow” baseline. EPA acknowledges that one of the most “challenging” aspects of the 2004 Phase II rule was the calculation baseline; EPA claims to have developed an approach that does not use a calculation baseline. In fact, EPA has just punted the calculation baseline issue to the states. Consequently, EPA should either make clear in the rule that no calculation baseline can be used in implementing the rule or, if a calculation baseline may be used, then the rule should require that the operational component of the calculation baseline – which is the most controversial baseline issue – reflect actual plant operation, not a fictional “full-flow” baseline</w:t>
      </w:r>
      <w:r w:rsidRPr="009A319B">
        <w:rPr>
          <w:sz w:val="16"/>
        </w:rPr>
        <w:t>.</w:t>
      </w:r>
    </w:p>
    <w:p w14:paraId="62E2E700" w14:textId="77777777" w:rsidR="00CC2CC5" w:rsidRPr="009A319B" w:rsidRDefault="00CC2CC5" w:rsidP="00CC2CC5">
      <w:pPr>
        <w:rPr>
          <w:sz w:val="16"/>
        </w:rPr>
      </w:pPr>
      <w:r w:rsidRPr="00C67BE9">
        <w:rPr>
          <w:rStyle w:val="StyleUnderline"/>
        </w:rPr>
        <w:t>EPA should remove the special site-specific BTA determination for nuclear facilities.</w:t>
      </w:r>
      <w:r w:rsidRPr="009A319B">
        <w:rPr>
          <w:sz w:val="16"/>
        </w:rPr>
        <w:t xml:space="preserve"> It is extremely unlikely that a BTA requirement could conflict with NRC requirements because the cooling water system used to condense steam used in generating electricity (which is the subject of this rulemaking) is completely separate from and independent of the “service water” system which cools reactors, spent fuel pools and other critical plant systems in the event of an accident. Moreover, existing NRC regulations adequately address proposed changes to a nuclear facility, rendering an additional process unnecessary and potentially confusing as part of a BTA determination. At a minimum, EPA should revert to the version of the nuclear facility provision contained in the version of the proposed rule sent to OMB.</w:t>
      </w:r>
    </w:p>
    <w:p w14:paraId="35C4E12A" w14:textId="77777777" w:rsidR="00CC2CC5" w:rsidRPr="00C67BE9" w:rsidRDefault="00CC2CC5" w:rsidP="00CC2CC5">
      <w:pPr>
        <w:rPr>
          <w:rStyle w:val="StyleUnderline"/>
          <w:b/>
          <w:bCs/>
        </w:rPr>
      </w:pPr>
      <w:r w:rsidRPr="00C67BE9">
        <w:rPr>
          <w:rStyle w:val="StyleUnderline"/>
        </w:rPr>
        <w:t xml:space="preserve">EPA should </w:t>
      </w:r>
      <w:r w:rsidRPr="00C67BE9">
        <w:rPr>
          <w:rStyle w:val="StyleUnderline"/>
          <w:bCs/>
        </w:rPr>
        <w:t>require interim measures</w:t>
      </w:r>
      <w:r w:rsidRPr="00C67BE9">
        <w:rPr>
          <w:rStyle w:val="StyleUnderline"/>
        </w:rPr>
        <w:t xml:space="preserve"> to protect aquatic ecosystems until long term compliance solutions are in place.</w:t>
      </w:r>
      <w:r w:rsidRPr="009A319B">
        <w:rPr>
          <w:sz w:val="16"/>
        </w:rPr>
        <w:t xml:space="preserve"> We request that EPA include in the rule a requirement for interim measures that most plants can use to reduce their intake of cooling water, particularly at peak spawning times. Such measures could include installation of variable speed pumps or drives at peaking facilities or scheduling regular maintenance outages during peak spawning periods whenever feasible. Until full compliance at a site is achieved, these </w:t>
      </w:r>
      <w:r w:rsidRPr="00C67BE9">
        <w:rPr>
          <w:rStyle w:val="StyleUnderline"/>
        </w:rPr>
        <w:t xml:space="preserve">interim measures should be implemented as NPDES permit conditions, </w:t>
      </w:r>
      <w:r w:rsidRPr="00C67BE9">
        <w:rPr>
          <w:rStyle w:val="StyleUnderline"/>
          <w:bCs/>
        </w:rPr>
        <w:t>without allowing them to supplant permanent measures.</w:t>
      </w:r>
    </w:p>
    <w:p w14:paraId="5CFECCE4" w14:textId="77777777" w:rsidR="00CC2CC5" w:rsidRPr="00C67BE9" w:rsidRDefault="00CC2CC5" w:rsidP="00CC2CC5">
      <w:pPr>
        <w:rPr>
          <w:rStyle w:val="StyleUnderline"/>
        </w:rPr>
      </w:pPr>
      <w:r w:rsidRPr="00C67BE9">
        <w:rPr>
          <w:rStyle w:val="StyleUnderline"/>
        </w:rPr>
        <w:t>EPA should clarify that only offshore seafood processing facilities, not onshore facilities, are exempt from the Rule.</w:t>
      </w:r>
      <w:r w:rsidRPr="009A319B">
        <w:rPr>
          <w:sz w:val="16"/>
        </w:rPr>
        <w:t xml:space="preserve"> EPA intended to exempt seagoing vessels from the rule because of concerns about space limitations and retrofits that could compromise the seaworthiness of drilling rigs, liquefied natural gas terminals, and fishing boats. But </w:t>
      </w:r>
      <w:r w:rsidRPr="00C67BE9">
        <w:rPr>
          <w:rStyle w:val="StyleUnderline"/>
        </w:rPr>
        <w:t>EPA should include the word “offshore” before “seafood processing facilities” in its exemption at 40 C.F.R. § 125.91(d) to make it clear that only vessels, and not coastal fish processing plants, are exempt.</w:t>
      </w:r>
    </w:p>
    <w:p w14:paraId="36072F5B" w14:textId="77777777" w:rsidR="00CC2CC5" w:rsidRPr="009A319B" w:rsidRDefault="00CC2CC5" w:rsidP="00CC2CC5">
      <w:pPr>
        <w:rPr>
          <w:sz w:val="16"/>
        </w:rPr>
      </w:pPr>
      <w:r w:rsidRPr="00C67BE9">
        <w:rPr>
          <w:rStyle w:val="StyleUnderline"/>
        </w:rPr>
        <w:t xml:space="preserve">EPA must consult with the National Marine Fisheries Service and the Fish and Wildlife Service. </w:t>
      </w:r>
      <w:r w:rsidRPr="009A319B">
        <w:rPr>
          <w:sz w:val="16"/>
        </w:rPr>
        <w:t xml:space="preserve">EPA must obtain the opinions of its sister federal agencies on the Proposed Rule’s impact upon threatened and endangered species and the advisability of reasonable and prudent alternatives, such as a nationally uniform closed-cycle cooling standard. In </w:t>
      </w:r>
      <w:r w:rsidRPr="00C67BE9">
        <w:rPr>
          <w:rStyle w:val="StyleUnderline"/>
        </w:rPr>
        <w:t>declining to set such a standard, EPA is authorizing existing facilities to continue to take endangered species and to adversely modify habitat that is critical to multiple endangered species.</w:t>
      </w:r>
    </w:p>
    <w:p w14:paraId="4CB07872" w14:textId="77777777" w:rsidR="00CC2CC5" w:rsidRPr="009A319B" w:rsidRDefault="00CC2CC5" w:rsidP="00CC2CC5">
      <w:pPr>
        <w:rPr>
          <w:sz w:val="16"/>
        </w:rPr>
      </w:pPr>
      <w:r w:rsidRPr="009A319B">
        <w:rPr>
          <w:sz w:val="16"/>
        </w:rPr>
        <w:t>Cost-Benefit Analysis</w:t>
      </w:r>
    </w:p>
    <w:p w14:paraId="290984B5" w14:textId="77777777" w:rsidR="00CC2CC5" w:rsidRPr="00C67BE9" w:rsidRDefault="00CC2CC5" w:rsidP="00CC2CC5">
      <w:pPr>
        <w:rPr>
          <w:rStyle w:val="StyleUnderline"/>
        </w:rPr>
      </w:pPr>
      <w:r w:rsidRPr="00C67BE9">
        <w:rPr>
          <w:rStyle w:val="StyleUnderline"/>
        </w:rPr>
        <w:t>If EPA persists in employing a cost-benefit analysis for the national rulemaking (which is neither required, nor useful) that analysis must be significantly improved by valuing more of the benefits in the manner suggested by economists Frank Ackerman and Elizabeth Stanton in their attached Stockholm Environmental Institute (SEI) comments. Not only does EPA’s approach to cost-benefit analysis exceed the restrictions imposed by Congress (as noted above), EPA also vastly underestimated the benefits and overestimated the costs of the rulemaking options. EPA used old data which do not reflect current conditions and fish kill levels and then monetized only a very small fraction of the benefits. EPA also used a misleading and distorted industry model, rather than its own model, and thereby overstated the costs by approximately a factor of two. A more accurate cost-benefit analysis, (although still limited by existing economic tools) shows that the benefits of Option 3 clearly exceed the costs.</w:t>
      </w:r>
    </w:p>
    <w:p w14:paraId="6D34DEAE" w14:textId="77777777" w:rsidR="00CC2CC5" w:rsidRPr="009A319B" w:rsidRDefault="00CC2CC5" w:rsidP="00CC2CC5">
      <w:pPr>
        <w:rPr>
          <w:sz w:val="16"/>
        </w:rPr>
      </w:pPr>
      <w:r w:rsidRPr="009A319B">
        <w:rPr>
          <w:sz w:val="16"/>
        </w:rPr>
        <w:t>The substantial shortcomings in EPA’s cost-benefit analysis demonstrate conclusively why state permitting agencies should be forbidden from considering costs in relation to benefits in the site-specific context. No cost-benefit analysis is to be conducted under EPA’s Phase I rule for new facilities, the new oil rig regulations in the Phase III rule, or the “new units” requirements of this rule. None should be conducted by states under this rule either.</w:t>
      </w:r>
    </w:p>
    <w:p w14:paraId="204FABA1" w14:textId="77777777" w:rsidR="00CC2CC5" w:rsidRPr="009A319B" w:rsidRDefault="00CC2CC5" w:rsidP="00CC2CC5">
      <w:pPr>
        <w:rPr>
          <w:sz w:val="16"/>
        </w:rPr>
      </w:pPr>
      <w:r w:rsidRPr="009A319B">
        <w:rPr>
          <w:sz w:val="16"/>
        </w:rPr>
        <w:t>However, to the extent that states are authorized to conduct site-specific cost-benefit analyses for existing facilities, EPA should set very specific requirements for states to follow, as suggested by Ackerman and Stanton in the attached SEI comments, so that such analyses do not undermine the purpose of the rule and of Section 316(b) – to minimize the adverse environmental impacts of cooling water intake structures using the best technology available.</w:t>
      </w:r>
    </w:p>
    <w:p w14:paraId="2B78010D" w14:textId="77777777" w:rsidR="00CC2CC5" w:rsidRPr="009A319B" w:rsidRDefault="00CC2CC5" w:rsidP="00CC2CC5">
      <w:pPr>
        <w:rPr>
          <w:sz w:val="16"/>
        </w:rPr>
      </w:pPr>
      <w:r w:rsidRPr="009A319B">
        <w:rPr>
          <w:sz w:val="16"/>
        </w:rPr>
        <w:t>Revision to the Phase I Rule</w:t>
      </w:r>
    </w:p>
    <w:p w14:paraId="35CD2717" w14:textId="77777777" w:rsidR="00CC2CC5" w:rsidRPr="009A319B" w:rsidRDefault="00CC2CC5" w:rsidP="00CC2CC5">
      <w:pPr>
        <w:rPr>
          <w:sz w:val="16"/>
        </w:rPr>
      </w:pPr>
      <w:r w:rsidRPr="004E0724">
        <w:rPr>
          <w:rStyle w:val="StyleUnderline"/>
          <w:bCs/>
        </w:rPr>
        <w:t>EPA should make clear in the regulatory text of the Phase I rule that a facility choosing Track II must aim for 100 percent of the entrainment and impingement reductions of Track I</w:t>
      </w:r>
      <w:r w:rsidRPr="009A319B">
        <w:rPr>
          <w:sz w:val="16"/>
        </w:rPr>
        <w:t xml:space="preserve">, and if it falls short within 10 percent, that will be acceptable, but may not aim for 90 percent and achieve only an 89 percent reduction. EPA is proposing to delete the references to “restoration measures” in the Phase I rule because the Second Circuit held in Riverkeeper I (and again in Riverkeeper II ) that the statute does not authorize use of such measures to comply with Section 316(b). At the same time, </w:t>
      </w:r>
      <w:r w:rsidRPr="004E0724">
        <w:rPr>
          <w:rStyle w:val="StyleUnderline"/>
        </w:rPr>
        <w:t>EPA should make an additional revision to the Phase I rule in order to implement the finding of the Second Circuit in Riverkeeper I that under Track II, it would be inappropriate for EPA to use 90 percent as a benchmark and allow an additional margin of error in measuring compliance with that benchmark.</w:t>
      </w:r>
    </w:p>
    <w:p w14:paraId="1A616F41" w14:textId="77777777" w:rsidR="00CC2CC5" w:rsidRDefault="00CC2CC5" w:rsidP="00CC2CC5">
      <w:pPr>
        <w:pStyle w:val="Heading3"/>
      </w:pPr>
      <w:r>
        <w:t>Link – EPA DA</w:t>
      </w:r>
    </w:p>
    <w:p w14:paraId="26F5D88C" w14:textId="77777777" w:rsidR="00CC2CC5" w:rsidRDefault="00CC2CC5" w:rsidP="00CC2CC5">
      <w:pPr>
        <w:pStyle w:val="Heading4"/>
      </w:pPr>
      <w:r>
        <w:t>Requiring CBA saps Resources</w:t>
      </w:r>
    </w:p>
    <w:p w14:paraId="408134B9" w14:textId="77777777" w:rsidR="00CC2CC5" w:rsidRDefault="00CC2CC5" w:rsidP="00CC2CC5">
      <w:r w:rsidRPr="004155CD">
        <w:rPr>
          <w:rStyle w:val="Style13ptBold"/>
        </w:rPr>
        <w:t>Carey 14</w:t>
      </w:r>
      <w:r>
        <w:t xml:space="preserve"> [Maeve P. Carey; 12/9/2014; Congressional Research Service Coordinator, Analyst in Government Organization and Management;</w:t>
      </w:r>
      <w:r w:rsidRPr="004155CD">
        <w:t xml:space="preserve"> </w:t>
      </w:r>
      <w:r>
        <w:t xml:space="preserve">“Cost-Benefit and Other Analysis Requirements in the Rulemaking Process,” </w:t>
      </w:r>
      <w:r>
        <w:cr/>
      </w:r>
      <w:r w:rsidRPr="004155CD">
        <w:t>Congressional Research Service</w:t>
      </w:r>
      <w:r>
        <w:t xml:space="preserve"> Report, p. 30, </w:t>
      </w:r>
      <w:hyperlink r:id="rId22" w:history="1">
        <w:r w:rsidRPr="0034782C">
          <w:rPr>
            <w:rStyle w:val="Hyperlink"/>
          </w:rPr>
          <w:t>https://fas.org/sgp/crs/misc/R41974.pdf</w:t>
        </w:r>
      </w:hyperlink>
      <w:r>
        <w:t>] |Trip|</w:t>
      </w:r>
    </w:p>
    <w:p w14:paraId="37D06A16" w14:textId="77777777" w:rsidR="00CC2CC5" w:rsidRPr="00655ABA" w:rsidRDefault="00CC2CC5" w:rsidP="00CC2CC5">
      <w:pPr>
        <w:rPr>
          <w:sz w:val="16"/>
        </w:rPr>
      </w:pPr>
      <w:r w:rsidRPr="009A319B">
        <w:rPr>
          <w:sz w:val="16"/>
        </w:rPr>
        <w:t xml:space="preserve">Presidential and congressional </w:t>
      </w:r>
      <w:r w:rsidRPr="005A518C">
        <w:rPr>
          <w:rStyle w:val="StyleUnderline"/>
        </w:rPr>
        <w:t>requirements for cost-benefit analysis should</w:t>
      </w:r>
      <w:r w:rsidRPr="009A319B">
        <w:rPr>
          <w:sz w:val="16"/>
        </w:rPr>
        <w:t xml:space="preserve"> also </w:t>
      </w:r>
      <w:r w:rsidRPr="005A518C">
        <w:rPr>
          <w:rStyle w:val="StyleUnderline"/>
        </w:rPr>
        <w:t>recognize</w:t>
      </w:r>
      <w:r w:rsidRPr="009A319B">
        <w:rPr>
          <w:sz w:val="16"/>
        </w:rPr>
        <w:t xml:space="preserve"> that data availability may be </w:t>
      </w:r>
      <w:r w:rsidRPr="005A518C">
        <w:rPr>
          <w:rStyle w:val="StyleUnderline"/>
        </w:rPr>
        <w:t>an implementation issue,</w:t>
      </w:r>
      <w:r w:rsidRPr="009A319B">
        <w:rPr>
          <w:sz w:val="16"/>
        </w:rPr>
        <w:t xml:space="preserve"> and that </w:t>
      </w:r>
      <w:r w:rsidRPr="005A518C">
        <w:rPr>
          <w:rStyle w:val="StyleUnderline"/>
        </w:rPr>
        <w:t>additional resources may be necessary for the agencies conducting these analyses.</w:t>
      </w:r>
      <w:r w:rsidRPr="009A319B">
        <w:rPr>
          <w:sz w:val="16"/>
        </w:rPr>
        <w:t xml:space="preserve"> In some cases, the data that agencies need to estimate the costs and benefits of their rules may not exist, or may only be available from regulated entities.116 Although there is no “typical” cost-benefit analysis (just as there is no “typical” rule), </w:t>
      </w:r>
      <w:r w:rsidRPr="004155CD">
        <w:rPr>
          <w:rStyle w:val="StyleUnderline"/>
        </w:rPr>
        <w:t>the cost of conducting many individual regulatory analyses has been in the hundreds of thousands of dollars.</w:t>
      </w:r>
      <w:r w:rsidRPr="009A319B">
        <w:rPr>
          <w:sz w:val="16"/>
        </w:rPr>
        <w:t xml:space="preserve">117 </w:t>
      </w:r>
      <w:r w:rsidRPr="004155CD">
        <w:rPr>
          <w:rStyle w:val="StyleUnderline"/>
        </w:rPr>
        <w:t>If more agencies were required to prepare more detailed analyses for more rules, it is likely</w:t>
      </w:r>
      <w:r w:rsidRPr="009A319B">
        <w:rPr>
          <w:sz w:val="16"/>
        </w:rPr>
        <w:t xml:space="preserve"> that the </w:t>
      </w:r>
      <w:r w:rsidRPr="004155CD">
        <w:rPr>
          <w:rStyle w:val="StyleUnderline"/>
        </w:rPr>
        <w:t>agencies would</w:t>
      </w:r>
      <w:r w:rsidRPr="009A319B">
        <w:rPr>
          <w:sz w:val="16"/>
        </w:rPr>
        <w:t xml:space="preserve"> make the argument that they would </w:t>
      </w:r>
      <w:r w:rsidRPr="004155CD">
        <w:rPr>
          <w:rStyle w:val="StyleUnderline"/>
        </w:rPr>
        <w:t>be unable to do so without additional resources.</w:t>
      </w:r>
      <w:r w:rsidRPr="009A319B">
        <w:rPr>
          <w:sz w:val="16"/>
        </w:rPr>
        <w:t>118</w:t>
      </w:r>
    </w:p>
    <w:p w14:paraId="51828F67" w14:textId="77777777" w:rsidR="00CC2CC5" w:rsidRDefault="00CC2CC5" w:rsidP="00CC2CC5">
      <w:pPr>
        <w:pStyle w:val="Heading2"/>
      </w:pPr>
      <w:r>
        <w:t>Settlerism K</w:t>
      </w:r>
    </w:p>
    <w:p w14:paraId="18C45237" w14:textId="77777777" w:rsidR="00CC2CC5" w:rsidRDefault="00CC2CC5" w:rsidP="00CC2CC5">
      <w:pPr>
        <w:pStyle w:val="Heading3"/>
      </w:pPr>
      <w:r>
        <w:t>1NC</w:t>
      </w:r>
    </w:p>
    <w:p w14:paraId="3E92BBC2" w14:textId="77777777" w:rsidR="00CC2CC5" w:rsidRPr="00FC6FCB" w:rsidRDefault="00CC2CC5" w:rsidP="00CC2CC5">
      <w:pPr>
        <w:pStyle w:val="Heading4"/>
      </w:pPr>
      <w:r>
        <w:t xml:space="preserve">The binary logic of “Cost Benefit Analysis” versus “Best Available Technology” pits pristine nature against destructive humanity. Resource management is </w:t>
      </w:r>
      <w:r w:rsidRPr="003E5DE8">
        <w:rPr>
          <w:u w:val="single"/>
        </w:rPr>
        <w:t>complicated</w:t>
      </w:r>
      <w:r>
        <w:t xml:space="preserve">, especially for Indigenous peoples – resource extraction and economization are often the only road to survival when communities are caught between </w:t>
      </w:r>
      <w:r w:rsidRPr="008A0549">
        <w:rPr>
          <w:u w:val="single"/>
        </w:rPr>
        <w:t>a rock</w:t>
      </w:r>
      <w:r>
        <w:t xml:space="preserve"> and a </w:t>
      </w:r>
      <w:r w:rsidRPr="008A0549">
        <w:rPr>
          <w:u w:val="single"/>
        </w:rPr>
        <w:t>hard place</w:t>
      </w:r>
      <w:r>
        <w:t xml:space="preserve">. </w:t>
      </w:r>
    </w:p>
    <w:p w14:paraId="1E39C8A9" w14:textId="77777777" w:rsidR="00CC2CC5" w:rsidRPr="00DA02B7" w:rsidRDefault="00CC2CC5" w:rsidP="00CC2CC5">
      <w:pPr>
        <w:rPr>
          <w:rStyle w:val="Style13ptBold"/>
        </w:rPr>
      </w:pPr>
      <w:r w:rsidRPr="00DA02B7">
        <w:rPr>
          <w:rStyle w:val="Style13ptBold"/>
        </w:rPr>
        <w:t>Atleo ‘21</w:t>
      </w:r>
    </w:p>
    <w:p w14:paraId="29D3C44D" w14:textId="77777777" w:rsidR="00CC2CC5" w:rsidRPr="0006639B" w:rsidRDefault="00CC2CC5" w:rsidP="00CC2CC5">
      <w:pPr>
        <w:rPr>
          <w:sz w:val="16"/>
          <w:szCs w:val="16"/>
        </w:rPr>
      </w:pPr>
      <w:r w:rsidRPr="0006639B">
        <w:rPr>
          <w:sz w:val="16"/>
          <w:szCs w:val="16"/>
        </w:rPr>
        <w:t xml:space="preserve">(Cliff Atleo, Cliff is a Tsimshian (Kitsumkalum/Kitselas) and Nuu-chah-nulth (Ahousaht) scholar who researches and teaches Indigenous governance, political economy and resource management at Simon Fraser University. “Between a Rock and a Hard Place: Canada’s Carbon Economy and Indigenous Ambivalence,” in </w:t>
      </w:r>
      <w:r w:rsidRPr="0006639B">
        <w:rPr>
          <w:i/>
          <w:iCs/>
          <w:sz w:val="16"/>
          <w:szCs w:val="16"/>
        </w:rPr>
        <w:t>Regime of Obstruction: How Corporate Power Blocks Energy Democracy</w:t>
      </w:r>
      <w:r w:rsidRPr="0006639B">
        <w:rPr>
          <w:sz w:val="16"/>
          <w:szCs w:val="16"/>
        </w:rPr>
        <w:t xml:space="preserve">, edited by W. Carroll (Forthcoming, 2021). Athabasca University Press. </w:t>
      </w:r>
      <w:hyperlink r:id="rId23" w:history="1">
        <w:r w:rsidRPr="0006639B">
          <w:rPr>
            <w:rStyle w:val="Hyperlink"/>
            <w:sz w:val="16"/>
            <w:szCs w:val="16"/>
          </w:rPr>
          <w:t>https://read.aupress.ca/read/regime-of-obstruction/section/11ea9068-0f23-41c9-85a5-c20d5afbded2</w:t>
        </w:r>
      </w:hyperlink>
      <w:r w:rsidRPr="0006639B">
        <w:rPr>
          <w:sz w:val="16"/>
          <w:szCs w:val="16"/>
        </w:rPr>
        <w:t>, JB)</w:t>
      </w:r>
    </w:p>
    <w:p w14:paraId="3C1E8DB2" w14:textId="77777777" w:rsidR="00CC2CC5" w:rsidRPr="005A655E" w:rsidRDefault="00CC2CC5" w:rsidP="00CC2CC5">
      <w:pPr>
        <w:rPr>
          <w:sz w:val="16"/>
        </w:rPr>
      </w:pPr>
      <w:r w:rsidRPr="00866813">
        <w:rPr>
          <w:u w:val="single"/>
        </w:rPr>
        <w:t>Indigenous peoples</w:t>
      </w:r>
      <w:r w:rsidRPr="00754373">
        <w:rPr>
          <w:u w:val="single"/>
        </w:rPr>
        <w:t xml:space="preserve"> have a long and complicated history with settler colonialism and resource extraction</w:t>
      </w:r>
      <w:r w:rsidRPr="005A655E">
        <w:rPr>
          <w:sz w:val="16"/>
        </w:rPr>
        <w:t xml:space="preserve"> in Canada. </w:t>
      </w:r>
      <w:r w:rsidRPr="00060B8A">
        <w:rPr>
          <w:u w:val="single"/>
        </w:rPr>
        <w:t xml:space="preserve">While there has certainly been a lot of opposition to some of the more egregious forms of resource extraction, some </w:t>
      </w:r>
      <w:r w:rsidRPr="00F22764">
        <w:rPr>
          <w:highlight w:val="green"/>
          <w:u w:val="single"/>
        </w:rPr>
        <w:t>Indigenous communities</w:t>
      </w:r>
      <w:r w:rsidRPr="00060B8A">
        <w:rPr>
          <w:u w:val="single"/>
        </w:rPr>
        <w:t xml:space="preserve"> have also tried to </w:t>
      </w:r>
      <w:r w:rsidRPr="00F22764">
        <w:rPr>
          <w:highlight w:val="green"/>
          <w:u w:val="single"/>
        </w:rPr>
        <w:t>work with</w:t>
      </w:r>
      <w:r w:rsidRPr="00060B8A">
        <w:rPr>
          <w:u w:val="single"/>
        </w:rPr>
        <w:t xml:space="preserve"> corporations and </w:t>
      </w:r>
      <w:r w:rsidRPr="00F22764">
        <w:rPr>
          <w:highlight w:val="green"/>
          <w:u w:val="single"/>
        </w:rPr>
        <w:t>settler governments</w:t>
      </w:r>
      <w:r w:rsidRPr="005A655E">
        <w:rPr>
          <w:sz w:val="16"/>
        </w:rPr>
        <w:t xml:space="preserve"> for a myriad of reasons—not only </w:t>
      </w:r>
      <w:r w:rsidRPr="00F22764">
        <w:rPr>
          <w:highlight w:val="green"/>
          <w:u w:val="single"/>
        </w:rPr>
        <w:t>because of dire socioeconomic circumstances</w:t>
      </w:r>
      <w:r w:rsidRPr="005A655E">
        <w:rPr>
          <w:sz w:val="16"/>
        </w:rPr>
        <w:t xml:space="preserve"> but also </w:t>
      </w:r>
      <w:r w:rsidRPr="00F22764">
        <w:rPr>
          <w:highlight w:val="green"/>
          <w:u w:val="single"/>
        </w:rPr>
        <w:t>as a way of asserting their right to self-determination</w:t>
      </w:r>
      <w:r w:rsidRPr="008063AE">
        <w:rPr>
          <w:u w:val="single"/>
        </w:rPr>
        <w:t xml:space="preserve"> and of influencing management decisions </w:t>
      </w:r>
      <w:r w:rsidRPr="00F22764">
        <w:rPr>
          <w:highlight w:val="green"/>
          <w:u w:val="single"/>
        </w:rPr>
        <w:t>regarding environmental sustainability</w:t>
      </w:r>
      <w:r w:rsidRPr="008063AE">
        <w:rPr>
          <w:u w:val="single"/>
        </w:rPr>
        <w:t>.</w:t>
      </w:r>
      <w:r w:rsidRPr="005A655E">
        <w:rPr>
          <w:sz w:val="16"/>
        </w:rPr>
        <w:t xml:space="preserve"> These </w:t>
      </w:r>
      <w:r w:rsidRPr="00F22764">
        <w:rPr>
          <w:highlight w:val="green"/>
          <w:u w:val="single"/>
        </w:rPr>
        <w:t>efforts have been contentious</w:t>
      </w:r>
      <w:r w:rsidRPr="005A655E">
        <w:rPr>
          <w:sz w:val="16"/>
        </w:rPr>
        <w:t xml:space="preserve">, both within Indigenous communities and </w:t>
      </w:r>
      <w:r w:rsidRPr="00F22764">
        <w:rPr>
          <w:highlight w:val="green"/>
          <w:u w:val="single"/>
        </w:rPr>
        <w:t>among</w:t>
      </w:r>
      <w:r w:rsidRPr="005A655E">
        <w:rPr>
          <w:sz w:val="16"/>
        </w:rPr>
        <w:t xml:space="preserve"> some Canadians, particularly </w:t>
      </w:r>
      <w:r w:rsidRPr="00F22764">
        <w:rPr>
          <w:highlight w:val="green"/>
          <w:u w:val="single"/>
        </w:rPr>
        <w:t>environmentalists</w:t>
      </w:r>
      <w:r w:rsidRPr="005A655E">
        <w:rPr>
          <w:sz w:val="16"/>
        </w:rPr>
        <w:t xml:space="preserve">. In this chapter </w:t>
      </w:r>
      <w:r w:rsidRPr="00BC20D7">
        <w:rPr>
          <w:u w:val="single"/>
        </w:rPr>
        <w:t>I look at Indigenous opposition to</w:t>
      </w:r>
      <w:r w:rsidRPr="005A655E">
        <w:rPr>
          <w:sz w:val="16"/>
        </w:rPr>
        <w:t xml:space="preserve">, and participation in, </w:t>
      </w:r>
      <w:r w:rsidRPr="00BC20D7">
        <w:rPr>
          <w:u w:val="single"/>
        </w:rPr>
        <w:t>energy extraction and transportation projects</w:t>
      </w:r>
      <w:r w:rsidRPr="005A655E">
        <w:rPr>
          <w:sz w:val="16"/>
        </w:rPr>
        <w:t xml:space="preserve">. </w:t>
      </w:r>
      <w:r w:rsidRPr="00BE4733">
        <w:rPr>
          <w:u w:val="single"/>
        </w:rPr>
        <w:t>My intent is not to set up a</w:t>
      </w:r>
      <w:r w:rsidRPr="005A655E">
        <w:rPr>
          <w:sz w:val="16"/>
        </w:rPr>
        <w:t xml:space="preserve"> simple </w:t>
      </w:r>
      <w:r w:rsidRPr="00BE4733">
        <w:rPr>
          <w:u w:val="single"/>
        </w:rPr>
        <w:t>binary of those for and</w:t>
      </w:r>
      <w:r w:rsidRPr="005A655E">
        <w:rPr>
          <w:sz w:val="16"/>
        </w:rPr>
        <w:t xml:space="preserve"> those </w:t>
      </w:r>
      <w:r w:rsidRPr="00BE4733">
        <w:rPr>
          <w:u w:val="single"/>
        </w:rPr>
        <w:t>against development,</w:t>
      </w:r>
      <w:r w:rsidRPr="005A655E">
        <w:rPr>
          <w:sz w:val="16"/>
        </w:rPr>
        <w:t xml:space="preserve"> or </w:t>
      </w:r>
      <w:r w:rsidRPr="00BE4733">
        <w:rPr>
          <w:u w:val="single"/>
        </w:rPr>
        <w:t>those who have “sold out” and those who have “remained true” to</w:t>
      </w:r>
      <w:r w:rsidRPr="005A655E">
        <w:rPr>
          <w:sz w:val="16"/>
        </w:rPr>
        <w:t xml:space="preserve"> their </w:t>
      </w:r>
      <w:r w:rsidRPr="00BE4733">
        <w:rPr>
          <w:u w:val="single"/>
        </w:rPr>
        <w:t>Indigenous values</w:t>
      </w:r>
      <w:r w:rsidRPr="005A655E">
        <w:rPr>
          <w:sz w:val="16"/>
        </w:rPr>
        <w:t xml:space="preserve">. Contemporary </w:t>
      </w:r>
      <w:r w:rsidRPr="00BE4733">
        <w:rPr>
          <w:u w:val="single"/>
        </w:rPr>
        <w:t>Indigenous resource management is</w:t>
      </w:r>
      <w:r w:rsidRPr="005A655E">
        <w:rPr>
          <w:sz w:val="16"/>
        </w:rPr>
        <w:t xml:space="preserve"> more </w:t>
      </w:r>
      <w:r w:rsidRPr="00F5485B">
        <w:rPr>
          <w:u w:val="single"/>
        </w:rPr>
        <w:t>complicated and warrants a critical examination and nuanced analysis that places the dilemmas of leaders within the contexts of settler colonialism</w:t>
      </w:r>
      <w:r w:rsidRPr="005A655E">
        <w:rPr>
          <w:sz w:val="16"/>
        </w:rPr>
        <w:t xml:space="preserve">, neoliberal capitalism, </w:t>
      </w:r>
      <w:r w:rsidRPr="00F5485B">
        <w:rPr>
          <w:u w:val="single"/>
        </w:rPr>
        <w:t>environmental politics, and</w:t>
      </w:r>
      <w:r w:rsidRPr="005A655E">
        <w:rPr>
          <w:sz w:val="16"/>
        </w:rPr>
        <w:t xml:space="preserve"> the ongoing struggles for Indigenous </w:t>
      </w:r>
      <w:r w:rsidRPr="00F5485B">
        <w:rPr>
          <w:u w:val="single"/>
        </w:rPr>
        <w:t>self-determination.</w:t>
      </w:r>
      <w:r w:rsidRPr="005A655E">
        <w:rPr>
          <w:sz w:val="16"/>
        </w:rPr>
        <w:t xml:space="preserve"> I argue that these contexts in particular are critical to understanding Indigenous ambivalence with respect to oil and gas extraction and management in North America. </w:t>
      </w:r>
      <w:r w:rsidRPr="005A655E">
        <w:rPr>
          <w:sz w:val="6"/>
          <w:szCs w:val="6"/>
        </w:rPr>
        <w:t>Settler Colonialism Māori scholar Linda Tuhiwai Smith (2005, 19) writes, “Imperialism frames the indigenous experience. It is part of our story, our version of modernity.” Indigenous peoples all over the world have struggled with various iterations of imperialism and colonialism for centuries. Of particular interest here is Canadian settler colonialism. A number of scholars, including Patrick Wolfe (1999, 2006), Carol Elkins and Susan Pedersen (2005), and Lorenzo Veracini (2010, 2011), have greatly expanded our understanding of settler colonialism as a distinct structure and not merely a historical event. Put simply, settler colonialism arose when European colonists did not leave or relinquish power and instead continued to occupy Indigenous lands, setting up Euro-Canadian political and economic institutions. Although, like Australia and New Zealand, the United States of America and Canada transitioned from British colonies into independent states, albeit in very different ways, these newly formed states maintained asymmetrical colonial relations with the continent’s Indigenous peoples. As Zapotec scholar Isabel Altamirano-Jiménez (2011, 107) points out, “Settler colonialism … focuses on claiming land and on creating permanent settlements that replicate social, political, economic, legal and cultural structures of settlers’ homeland over the new territories and the colonized.” With regard to Canada, James Tully (2000), Emma Battell Lowman and Adam Barker (2015), and Taiaiake Alfred (2005) concur with this description. They all stress that colonialism in Canada is not simply a legacy but a persistent reality that Indigenous peoples still endure. The ramifications of settler colonialism do not, however, emanate only from the occupation of Indigenous lands and waters, the alienation of Indigenous peoples from their territories, and the pillaging of resources. The negation and suppression of unique cultures, ways of being, governance, and economies has also had profound and ongoing impacts on Indigenous people today. Nuu-chah-nulth legal scholar Johnny Mack (2011, 293) writes of his peoples’ experience: “For 150 years efforts have been taken to change the way we related to each other and the territory to which we belong. We would be wise to acknowledge that these efforts have been somewhat successful in their aims.” This statement might seem controversial, especially in Indigenous communities, but Mack and I believe that our experiences with settler colonialism warrant critical honesty to better understand our present predicaments. In Canada, the structure of settler colonialism that specifically oppresses Indigenous peoples includes the legacy of Indian residential schools, religious indoctrination, the Indian Act, and other government legislation and policies, as well as neoliberal capitalism. Settler colonialism in Canada frames our experiences and constrains our options. Neoliberal Capitalism There are literally hundreds of thousands of articles and books about capitalism, engaging in countless debates about its definition, origins, stages, or presumptive demise. I am most interested in what Geoff Mann (2013) describes as “actually existing capitalism,” which is distinguished to a certain extent from its theoretical foundations. I am interested in how capitalism plays out on Indigenous lands and waters and in the lives of Indigenous peoples. It is impossible to know with certainty if capitalism will remain as resilient as it seems in the present moment, but, as the work of the Russian economist Nikolai Kondratieff demonstrated, “capitalism’s tendency is not to collapse, but rather, to mutate” (Mason 2015, 34). Here, I focus on the present era of neoliberal capitalism that is so hegemonic that some people no longer even refer to it as capitalism. Canadian-born economist John Kenneth Galbraith (2004, 3) felt that the term had lost favour among proponents, coming instead to be known by the rather benign sounding “market system.” And while more people are talking about the growing inequities and precariousness of our capitalist market system (see, for example, Piketty 2014), its core tenets of private property, competition, and endless economic growth roll easily off the tongues of politicians, Indigenous and settler alike. Collectively, we experience capitalism as ubiquitous and everlasting. There are specific concerns about neoliberal capitalism that I want to address. The neoliberal era began roughly during the tenures of Ronald Reagan and Margaret Thatcher in the late 1970s and early 1980s, and neoliberalism continues to spread around the globe. It is marked by government austerity, deregulation, enhanced market penetration into more and more spaces, and a hyperdeveloped focus on individualism. But, as scholars have recognized, neoliberalism as a governing paradigm is more than simply economic policies meant to favour corporations. Neoliberalism alters individual and communal subjectivity in profound ways. Jeff Shantz and José Brendan Macdonald (2013, xvi) warn of “the creation of neoliberal subjects for whom neoliberalism is regarded simply as a ‘way of life,’ the only possible world,” echoing Margaret Thatcher’s infamous summation: “There is no alternative.” It is this sense of inevitability that is disconcerting—that the march of neoliberal capitalist progress has necessarily led us here, with no other options. Altamirano-Jiménez (2004) suggests that this neoliberal subject transformation grants Indigenous peoples only “market citizenship.” While neoliberal discourse allows for a certain shallow recognition of Indigenous cultures, it conceives of Indigenous citizenship purely in terms of participation in the mainstream market economy rather than viewing citizenship as flowing from the legal and territorial autonomy of Indigenous nations. Not only does neoliberal capitalism reframe our (settler and Indigenous) conceptions of citizenship; it tells us that if we fail, we have only ourselves to blame. As African American scholar Lester Spence (2016, xxiv) observes, “The neoliberal turn, the gradual embrace of the general idea that society (and every institution within it) works best when it works according to the principles of the market,” produces “a society that increasingly shirks its responsibilities to those perceived to be losers in an increasingly stark competition over material, social, and psychic resources.” Under neoliberalism, social problems are individualized and pathologized. David Harvey (2006, xiv) writes, “If conditions among the lower classes deteriorated it was because, it is said, they failed, usually for personal or cultural reasons, to enhance their own human capital through dedication to education, the Protestant work ethic, submission to labour discipline.” Wendy Brown goes further, stating that neoliberalism renders people “as human capital, not simply having it to deploy or to invest or to enhance.” Consequently, some people are “credit-worthy,” while others are “disposable” (Cruz and Brown 2016, 80). Elsewhere, Brown (2016, 3) adds that the effects of neoliberalism “generate intensely isolated and unprotected individuals, persistently in peril of deracination and deprivation of basic life support, wholly vulnerable to capital’s vicissitudes.” To clarify, Brown is speaking primarily of people in democratic societies. I argue that Indigenous people and peoples are especially vulnerable to the effects of neoliberal capitalism because of historical trauma and the contemporary dynamics of settler colonialism.</w:t>
      </w:r>
      <w:r w:rsidRPr="005A655E">
        <w:rPr>
          <w:sz w:val="16"/>
          <w:szCs w:val="6"/>
        </w:rPr>
        <w:t xml:space="preserve"> </w:t>
      </w:r>
      <w:r w:rsidRPr="005A655E">
        <w:rPr>
          <w:sz w:val="16"/>
        </w:rPr>
        <w:t xml:space="preserve">Environmental Politics Having laid out the contexts of settler colonialism and neoliberal capitalism, I want to shift to the realm of environmental politics, on which much of the debate over resource extraction focuses, especially with respect to Indigenous peoples. </w:t>
      </w:r>
      <w:r w:rsidRPr="000E0D70">
        <w:rPr>
          <w:u w:val="single"/>
        </w:rPr>
        <w:t>Indigenous people</w:t>
      </w:r>
      <w:r w:rsidRPr="005A655E">
        <w:rPr>
          <w:sz w:val="16"/>
        </w:rPr>
        <w:t xml:space="preserve"> in Canada </w:t>
      </w:r>
      <w:r w:rsidRPr="000E0D70">
        <w:rPr>
          <w:u w:val="single"/>
        </w:rPr>
        <w:t>are</w:t>
      </w:r>
      <w:r w:rsidRPr="005A655E">
        <w:rPr>
          <w:sz w:val="16"/>
        </w:rPr>
        <w:t xml:space="preserve"> often </w:t>
      </w:r>
      <w:r w:rsidRPr="000E0D70">
        <w:rPr>
          <w:u w:val="single"/>
        </w:rPr>
        <w:t>confined to stereotypical caricatures that obscure the totality of their diversity and depth</w:t>
      </w:r>
      <w:r w:rsidRPr="005A655E">
        <w:rPr>
          <w:sz w:val="16"/>
        </w:rPr>
        <w:t xml:space="preserve">. These </w:t>
      </w:r>
      <w:r w:rsidRPr="00F22764">
        <w:rPr>
          <w:highlight w:val="green"/>
          <w:u w:val="single"/>
        </w:rPr>
        <w:t>stereotypes include</w:t>
      </w:r>
      <w:r w:rsidRPr="00931159">
        <w:rPr>
          <w:u w:val="single"/>
        </w:rPr>
        <w:t xml:space="preserve"> the drunkard, the princess, the noble savage</w:t>
      </w:r>
      <w:r w:rsidRPr="005A655E">
        <w:rPr>
          <w:sz w:val="16"/>
        </w:rPr>
        <w:t xml:space="preserve">, and their multiple iterations. </w:t>
      </w:r>
      <w:r w:rsidRPr="00931159">
        <w:rPr>
          <w:u w:val="single"/>
        </w:rPr>
        <w:t xml:space="preserve">Included in the noble savage stereotype is </w:t>
      </w:r>
      <w:r w:rsidRPr="00F22764">
        <w:rPr>
          <w:highlight w:val="green"/>
          <w:u w:val="single"/>
        </w:rPr>
        <w:t>“the ecologically noble Indian</w:t>
      </w:r>
      <w:r w:rsidRPr="00931159">
        <w:rPr>
          <w:u w:val="single"/>
        </w:rPr>
        <w:t>,”</w:t>
      </w:r>
      <w:r w:rsidRPr="005A655E">
        <w:rPr>
          <w:sz w:val="16"/>
        </w:rPr>
        <w:t xml:space="preserve"> which Paul Nadasdy (2005) has already deftly critiqued and complicated. He writes of </w:t>
      </w:r>
      <w:r w:rsidRPr="00F22764">
        <w:rPr>
          <w:highlight w:val="green"/>
          <w:u w:val="single"/>
        </w:rPr>
        <w:t>Indigenous peoples</w:t>
      </w:r>
      <w:r w:rsidRPr="005A655E">
        <w:rPr>
          <w:sz w:val="16"/>
        </w:rPr>
        <w:t xml:space="preserve">, They </w:t>
      </w:r>
      <w:r w:rsidRPr="00F22764">
        <w:rPr>
          <w:highlight w:val="green"/>
          <w:u w:val="single"/>
        </w:rPr>
        <w:t>are</w:t>
      </w:r>
      <w:r w:rsidRPr="009A2AE6">
        <w:rPr>
          <w:u w:val="single"/>
        </w:rPr>
        <w:t xml:space="preserve"> simply people with a </w:t>
      </w:r>
      <w:r w:rsidRPr="00F22764">
        <w:rPr>
          <w:highlight w:val="green"/>
          <w:u w:val="single"/>
        </w:rPr>
        <w:t>complex</w:t>
      </w:r>
      <w:r w:rsidRPr="009A2AE6">
        <w:rPr>
          <w:u w:val="single"/>
        </w:rPr>
        <w:t xml:space="preserve"> set of beliefs, practices, and values that defy standard Euro–North American schemes of categorization</w:t>
      </w:r>
      <w:r w:rsidRPr="005A655E">
        <w:rPr>
          <w:sz w:val="16"/>
        </w:rPr>
        <w:t>. To be sure</w:t>
      </w:r>
      <w:r w:rsidRPr="00445FA2">
        <w:rPr>
          <w:u w:val="single"/>
        </w:rPr>
        <w:t xml:space="preserve">, </w:t>
      </w:r>
      <w:r w:rsidRPr="00F22764">
        <w:rPr>
          <w:highlight w:val="green"/>
          <w:u w:val="single"/>
        </w:rPr>
        <w:t>they</w:t>
      </w:r>
      <w:r w:rsidRPr="00445FA2">
        <w:rPr>
          <w:u w:val="single"/>
        </w:rPr>
        <w:t xml:space="preserve"> sometimes make </w:t>
      </w:r>
      <w:r w:rsidRPr="00F22764">
        <w:rPr>
          <w:highlight w:val="green"/>
          <w:u w:val="single"/>
        </w:rPr>
        <w:t>use</w:t>
      </w:r>
      <w:r w:rsidRPr="00445FA2">
        <w:rPr>
          <w:u w:val="single"/>
        </w:rPr>
        <w:t xml:space="preserve"> of </w:t>
      </w:r>
      <w:r w:rsidRPr="00F22764">
        <w:rPr>
          <w:highlight w:val="green"/>
          <w:u w:val="single"/>
        </w:rPr>
        <w:t>environmentalist rhetoric,</w:t>
      </w:r>
      <w:r w:rsidRPr="00F22764">
        <w:rPr>
          <w:sz w:val="16"/>
          <w:highlight w:val="green"/>
        </w:rPr>
        <w:t xml:space="preserve"> </w:t>
      </w:r>
      <w:r w:rsidRPr="00F22764">
        <w:rPr>
          <w:highlight w:val="green"/>
          <w:u w:val="single"/>
        </w:rPr>
        <w:t>because it confers</w:t>
      </w:r>
      <w:r w:rsidRPr="00AA7122">
        <w:rPr>
          <w:u w:val="single"/>
        </w:rPr>
        <w:t xml:space="preserve"> on them a degree of </w:t>
      </w:r>
      <w:r w:rsidRPr="00F22764">
        <w:rPr>
          <w:highlight w:val="green"/>
          <w:u w:val="single"/>
        </w:rPr>
        <w:t>legitimacy</w:t>
      </w:r>
      <w:r w:rsidRPr="00AA7122">
        <w:rPr>
          <w:u w:val="single"/>
        </w:rPr>
        <w:t xml:space="preserve"> and power in</w:t>
      </w:r>
      <w:r w:rsidRPr="005A655E">
        <w:rPr>
          <w:sz w:val="16"/>
        </w:rPr>
        <w:t xml:space="preserve"> certain </w:t>
      </w:r>
      <w:r w:rsidRPr="00AA7122">
        <w:rPr>
          <w:u w:val="single"/>
        </w:rPr>
        <w:t>political contexts</w:t>
      </w:r>
      <w:r w:rsidRPr="005A655E">
        <w:rPr>
          <w:sz w:val="16"/>
        </w:rPr>
        <w:t xml:space="preserve">. But in my experience, </w:t>
      </w:r>
      <w:r w:rsidRPr="00AA7122">
        <w:rPr>
          <w:u w:val="single"/>
        </w:rPr>
        <w:t>they seldom do so cynically</w:t>
      </w:r>
      <w:r w:rsidRPr="005A655E">
        <w:rPr>
          <w:sz w:val="16"/>
        </w:rPr>
        <w:t xml:space="preserve">; more often they genuinely believe that their own practices are more environmentally benign than those of the dominant Euro–North American society. </w:t>
      </w:r>
      <w:r w:rsidRPr="00444282">
        <w:rPr>
          <w:u w:val="single"/>
        </w:rPr>
        <w:t xml:space="preserve">Their </w:t>
      </w:r>
      <w:r w:rsidRPr="00866813">
        <w:rPr>
          <w:u w:val="single"/>
        </w:rPr>
        <w:t>claims</w:t>
      </w:r>
      <w:r w:rsidRPr="00444282">
        <w:rPr>
          <w:u w:val="single"/>
        </w:rPr>
        <w:t xml:space="preserve"> to this effect must be considered on their own merits, rather than as part of a larger general debate over their ecological nobility</w:t>
      </w:r>
      <w:r w:rsidRPr="005A655E">
        <w:rPr>
          <w:sz w:val="16"/>
        </w:rPr>
        <w:t xml:space="preserve">. (322) I would argue that </w:t>
      </w:r>
      <w:r w:rsidRPr="00C059BD">
        <w:rPr>
          <w:u w:val="single"/>
        </w:rPr>
        <w:t>these matters are not straightforward</w:t>
      </w:r>
      <w:r w:rsidRPr="005A655E">
        <w:rPr>
          <w:sz w:val="16"/>
        </w:rPr>
        <w:t xml:space="preserve"> and that </w:t>
      </w:r>
      <w:r w:rsidRPr="00EE3BDC">
        <w:rPr>
          <w:u w:val="single"/>
        </w:rPr>
        <w:t>we must use caution when applying</w:t>
      </w:r>
      <w:r w:rsidRPr="005A655E">
        <w:rPr>
          <w:sz w:val="16"/>
        </w:rPr>
        <w:t xml:space="preserve"> dominant </w:t>
      </w:r>
      <w:r w:rsidRPr="00EE3BDC">
        <w:rPr>
          <w:u w:val="single"/>
        </w:rPr>
        <w:t>Western conceptions of the environment, economy, or governance when seeking to understand Indigenous communities.</w:t>
      </w:r>
      <w:r w:rsidRPr="005A655E">
        <w:rPr>
          <w:sz w:val="16"/>
        </w:rPr>
        <w:t xml:space="preserve"> While </w:t>
      </w:r>
      <w:r w:rsidRPr="00F22764">
        <w:rPr>
          <w:highlight w:val="green"/>
          <w:u w:val="single"/>
        </w:rPr>
        <w:t>some</w:t>
      </w:r>
      <w:r w:rsidRPr="00723477">
        <w:rPr>
          <w:u w:val="single"/>
        </w:rPr>
        <w:t xml:space="preserve"> might readily </w:t>
      </w:r>
      <w:r w:rsidRPr="00F22764">
        <w:rPr>
          <w:highlight w:val="green"/>
          <w:u w:val="single"/>
        </w:rPr>
        <w:t>accept the simplistic narrative of Indigenous peoples as “natural” environmentalists</w:t>
      </w:r>
      <w:r w:rsidRPr="005A655E">
        <w:rPr>
          <w:sz w:val="16"/>
        </w:rPr>
        <w:t xml:space="preserve">, the political-economic contexts introduced here must be considered to develop a more accurate and nuanced understanding. In critiquing the environmental movement of the 1990s, </w:t>
      </w:r>
      <w:r w:rsidRPr="00723477">
        <w:rPr>
          <w:u w:val="single"/>
        </w:rPr>
        <w:t>Bruce Braun</w:t>
      </w:r>
      <w:r w:rsidRPr="005A655E">
        <w:rPr>
          <w:sz w:val="16"/>
        </w:rPr>
        <w:t xml:space="preserve"> (2002, 2) </w:t>
      </w:r>
      <w:r w:rsidRPr="00723477">
        <w:rPr>
          <w:u w:val="single"/>
        </w:rPr>
        <w:t xml:space="preserve">challenges the binary logic </w:t>
      </w:r>
      <w:r w:rsidRPr="00F22764">
        <w:rPr>
          <w:highlight w:val="green"/>
          <w:u w:val="single"/>
        </w:rPr>
        <w:t xml:space="preserve">that </w:t>
      </w:r>
      <w:r w:rsidRPr="00F22764">
        <w:rPr>
          <w:rStyle w:val="Emphasis"/>
          <w:highlight w:val="green"/>
        </w:rPr>
        <w:t>pits “pristine nature” against “destructive humanity.”</w:t>
      </w:r>
      <w:r w:rsidRPr="00723477">
        <w:rPr>
          <w:u w:val="single"/>
        </w:rPr>
        <w:t xml:space="preserve"> The reality is that Indigenous peoples have had contentious relationships with environmental activists and corporate and government representatives alike</w:t>
      </w:r>
      <w:r w:rsidRPr="005A655E">
        <w:rPr>
          <w:sz w:val="16"/>
        </w:rPr>
        <w:t>. Braun reminds us that in 1994, in the aftermath of the “War in the Woods” in Clayoquot Sound, Nuu-chah-nulth Tribal Council chairman George Watts accused the environmental movement of “neocolonialism,” and in 1996, the tribal council “banned” Greenpeace (107–8). As Nadasdy has pointed out, Indigenous people have made use of environmentalist rhetoric and have even genuinely allied with environmental NGOs to fight the more destructive forms of resource extraction, but these actions primarily take place, I argue, within the context of Indigenous self-determination. Indigenous Self-Determination As Chippewa scholar Duane Champagne (2007, 2) observes, “</w:t>
      </w:r>
      <w:r w:rsidRPr="00473560">
        <w:rPr>
          <w:u w:val="single"/>
        </w:rPr>
        <w:t>The indigenous self-determination movement is about maintaining land, culture, institutional relations, government, and self-sufficiency under terms compatible with indigenous cultures and beliefs.</w:t>
      </w:r>
      <w:r w:rsidRPr="005A655E">
        <w:rPr>
          <w:sz w:val="16"/>
        </w:rPr>
        <w:t xml:space="preserve">” </w:t>
      </w:r>
      <w:r w:rsidRPr="00E22016">
        <w:rPr>
          <w:u w:val="single"/>
        </w:rPr>
        <w:t>Champagne writes</w:t>
      </w:r>
      <w:r w:rsidRPr="005A655E">
        <w:rPr>
          <w:sz w:val="16"/>
        </w:rPr>
        <w:t xml:space="preserve"> mostly </w:t>
      </w:r>
      <w:r w:rsidRPr="00E22016">
        <w:rPr>
          <w:u w:val="single"/>
        </w:rPr>
        <w:t>about</w:t>
      </w:r>
      <w:r w:rsidRPr="005A655E">
        <w:rPr>
          <w:sz w:val="16"/>
        </w:rPr>
        <w:t xml:space="preserve"> </w:t>
      </w:r>
      <w:r w:rsidRPr="00E22016">
        <w:rPr>
          <w:u w:val="single"/>
        </w:rPr>
        <w:t xml:space="preserve">Native American </w:t>
      </w:r>
      <w:r w:rsidRPr="00F22764">
        <w:rPr>
          <w:highlight w:val="green"/>
          <w:u w:val="single"/>
        </w:rPr>
        <w:t>tribes</w:t>
      </w:r>
      <w:r w:rsidRPr="005A655E">
        <w:rPr>
          <w:sz w:val="16"/>
        </w:rPr>
        <w:t xml:space="preserve">, and in this case he is also referring to Indigenous community </w:t>
      </w:r>
      <w:r w:rsidRPr="00F22764">
        <w:rPr>
          <w:highlight w:val="green"/>
          <w:u w:val="single"/>
        </w:rPr>
        <w:t>survival via “tribal capitalism”</w:t>
      </w:r>
      <w:r w:rsidRPr="005A655E">
        <w:rPr>
          <w:sz w:val="16"/>
        </w:rPr>
        <w:t xml:space="preserve"> within the contexts of American settler colonialism and capitalism. Indigenous </w:t>
      </w:r>
      <w:r w:rsidRPr="0045131A">
        <w:rPr>
          <w:u w:val="single"/>
        </w:rPr>
        <w:t>self-determination is</w:t>
      </w:r>
      <w:r w:rsidRPr="005A655E">
        <w:rPr>
          <w:sz w:val="16"/>
        </w:rPr>
        <w:t xml:space="preserve"> widely discussed and debated in academic and political circles with common terms such as sovereignty, nationhood, self-government, and autonomy. Here, I am referring to </w:t>
      </w:r>
      <w:r w:rsidRPr="00722119">
        <w:rPr>
          <w:u w:val="single"/>
        </w:rPr>
        <w:t>the persistent belief in, and struggle for, the right of Indigenous peoples to exercise the authority of self-determining nations with clear corresponding rights, entitlements, jurisdictions, and responsibilities</w:t>
      </w:r>
      <w:r w:rsidRPr="005A655E">
        <w:rPr>
          <w:sz w:val="16"/>
        </w:rPr>
        <w:t xml:space="preserve">. Article 3 of the United Nations Declaration on the Rights of Indigenous Peoples states, “Indigenous peoples have the right to self-determination. By virtue of that right they freely determine their political status and freely pursue their economic, social and cultural development” (UN General Assembly 2007, 8). Although the declaration has been adopted by all UN member states, it has yet to resonate in the daily lives of most Indigenous people.1 </w:t>
      </w:r>
      <w:r w:rsidRPr="009E4606">
        <w:rPr>
          <w:u w:val="single"/>
        </w:rPr>
        <w:t>Of particular interest to Indigenous peoples is the principle of free, prior, and informed consent with respect to</w:t>
      </w:r>
      <w:r w:rsidRPr="005A655E">
        <w:rPr>
          <w:sz w:val="16"/>
        </w:rPr>
        <w:t xml:space="preserve"> laws, lands, cultures, and </w:t>
      </w:r>
      <w:r w:rsidRPr="009E4606">
        <w:rPr>
          <w:u w:val="single"/>
        </w:rPr>
        <w:t>economic development</w:t>
      </w:r>
      <w:r w:rsidRPr="005A655E">
        <w:rPr>
          <w:sz w:val="16"/>
        </w:rPr>
        <w:t xml:space="preserve"> including </w:t>
      </w:r>
      <w:r w:rsidRPr="009E4606">
        <w:rPr>
          <w:u w:val="single"/>
        </w:rPr>
        <w:t>resource extraction and environmental hazards</w:t>
      </w:r>
      <w:r w:rsidRPr="005A655E">
        <w:rPr>
          <w:sz w:val="16"/>
        </w:rPr>
        <w:t xml:space="preserve"> outlined in articles 10, 11, 19, 28, 29, and 32. I will expand on this below in the examples of oil sands and pipeline development in Canada. The struggle for Indigenous self-determination in Canada is older than the country and remains ongoing. I do not have the space here to present the entire history of Indigenous-colonial settler relations, but I do want to make a few key points regarding the matter of land. Altamirano-Jiménez (2011, 107) writes, “</w:t>
      </w:r>
      <w:r w:rsidRPr="001A52B3">
        <w:rPr>
          <w:u w:val="single"/>
        </w:rPr>
        <w:t>Settler colonialism presupposes that the annexation and colonization of new territories is based on terra nullius or unoccupied, empty lands</w:t>
      </w:r>
      <w:r w:rsidRPr="005A655E">
        <w:rPr>
          <w:sz w:val="16"/>
        </w:rPr>
        <w:t xml:space="preserve">.” The concept of </w:t>
      </w:r>
      <w:r w:rsidRPr="005336DA">
        <w:rPr>
          <w:u w:val="single"/>
        </w:rPr>
        <w:t>terra nullius has provided a theoretical foundation for the theft of Indigenous lands and resources under settler colonialism,</w:t>
      </w:r>
      <w:r w:rsidRPr="005A655E">
        <w:rPr>
          <w:sz w:val="16"/>
        </w:rPr>
        <w:t xml:space="preserve"> but it was based on a false premise. Indigenous peoples with their own complex languages, cultures, and political and economic systems already inhabited North America. Indigenous peoples also had their own land tenure systems and relationships with land and non-human life forms that were distinct from, and often befuddling to, European understandings (Stark 2012). Even those who did not ignore Indigenous presence in what would later become North America argued that Indigenous societies were not advanced enough to maintain legitimate claims to the lands that would be devoured by European colonialism. Here, I am thinking of John Locke and his labour-based theory of land ownership ([1689] 2003, 288): “Whatsoever then he removes out of the State that Nature hath Provided, and left in, he hath mixed his Labour with, and joined to it something that is his own, and thereby makes it his Property.” Settler colonialists believed that Indigenous peoples did not improve the land through their labour and therefore could not be said to truly own it. Many still believe this to be true. They cannot comprehend why some people would want to leave resources in the ground. We will now look at some background and examples of Indigenous resistance, before also considering examples of cooperation that defy stereotypes but nonetheless represent Indigenous efforts to assert agency. Indigenous Resistance and Adaptation “Resistance is futile,” Onondaga scholar David Newhouse (2000) once proclaimed. Employing a Star Trek analogy, Newhouse likened the hegemony and power of capitalism to that of the Borg—the cybernetic collective that seeks to assimilate all sentient beings and all knowledge into its hive mind. In Newhouse’s analysis, Indigenous cultures will eventually be absorbed and assimilated into the liberal-democratic-capitalist mainstream. “We have participated at the edges of capitalism, as labourers, as small business people, as debtors,” he writes. “Now we seek to enter its heart. We will be transformed by it. Just as the Borg absorbs cultures, capitalism will absorb Aboriginal cultures. And the moral order of Aboriginal societies will be changed” (153–54). Admittedly, I was angered the first time I encountered Newhouse’s take on capitalism and Indigenous societies, but over time I have, with some sadness, come to understand the astuteness of his position. I still disagree with the conclusion that Indigenous peoples should wholeheartedly embrace capitalism, but I certainly acknowledge the power of capitalism and the way it persists and invades every corner of both the earth and our imaginations. It is a force that Indigenous peoples cannot afford to underestimate or ignore. Indigenous peoples have had diverse experiences with settler colonialism, yet with respect to timing and pace, we witnessed an alarming decline in traditional and adaptive livelihoods on Indigenous lands and waters at the end of the twentieth century. This was especially pronounced in the more remote and sparsely populated areas that have relatively recently come to the attention of voracious resource-extraction companies. </w:t>
      </w:r>
      <w:r w:rsidRPr="003233A1">
        <w:rPr>
          <w:u w:val="single"/>
        </w:rPr>
        <w:t xml:space="preserve">As Indigenous peoples have had their traditional and adaptive livelihoods, </w:t>
      </w:r>
      <w:r w:rsidRPr="00F22764">
        <w:rPr>
          <w:highlight w:val="green"/>
          <w:u w:val="single"/>
        </w:rPr>
        <w:t>we have become</w:t>
      </w:r>
      <w:r w:rsidRPr="003233A1">
        <w:rPr>
          <w:u w:val="single"/>
        </w:rPr>
        <w:t xml:space="preserve"> increasingly </w:t>
      </w:r>
      <w:r w:rsidRPr="00F22764">
        <w:rPr>
          <w:highlight w:val="green"/>
          <w:u w:val="single"/>
        </w:rPr>
        <w:t>dependent on the</w:t>
      </w:r>
      <w:r w:rsidRPr="003233A1">
        <w:rPr>
          <w:u w:val="single"/>
        </w:rPr>
        <w:t xml:space="preserve"> mainstream </w:t>
      </w:r>
      <w:r w:rsidRPr="00F22764">
        <w:rPr>
          <w:highlight w:val="green"/>
          <w:u w:val="single"/>
        </w:rPr>
        <w:t>economy</w:t>
      </w:r>
      <w:r w:rsidRPr="003233A1">
        <w:rPr>
          <w:u w:val="single"/>
        </w:rPr>
        <w:t xml:space="preserve"> for survival.</w:t>
      </w:r>
      <w:r w:rsidRPr="005A655E">
        <w:rPr>
          <w:sz w:val="16"/>
        </w:rPr>
        <w:t xml:space="preserve"> Perhaps more contentiously, I also argue that </w:t>
      </w:r>
      <w:r w:rsidRPr="00F22764">
        <w:rPr>
          <w:highlight w:val="green"/>
          <w:u w:val="single"/>
        </w:rPr>
        <w:t>alienation from</w:t>
      </w:r>
      <w:r w:rsidRPr="009820FC">
        <w:rPr>
          <w:u w:val="single"/>
        </w:rPr>
        <w:t xml:space="preserve"> traditional </w:t>
      </w:r>
      <w:r w:rsidRPr="00F22764">
        <w:rPr>
          <w:highlight w:val="green"/>
          <w:u w:val="single"/>
        </w:rPr>
        <w:t>territories</w:t>
      </w:r>
      <w:r w:rsidRPr="009820FC">
        <w:rPr>
          <w:u w:val="single"/>
        </w:rPr>
        <w:t xml:space="preserve"> can </w:t>
      </w:r>
      <w:r w:rsidRPr="00F22764">
        <w:rPr>
          <w:highlight w:val="green"/>
          <w:u w:val="single"/>
        </w:rPr>
        <w:t>have the effect of desensitizing Indigenous people to</w:t>
      </w:r>
      <w:r w:rsidRPr="009820FC">
        <w:rPr>
          <w:u w:val="single"/>
        </w:rPr>
        <w:t xml:space="preserve"> the adverse </w:t>
      </w:r>
      <w:r w:rsidRPr="00F22764">
        <w:rPr>
          <w:highlight w:val="green"/>
          <w:u w:val="single"/>
        </w:rPr>
        <w:t>environmental impacts that</w:t>
      </w:r>
      <w:r w:rsidRPr="009820FC">
        <w:rPr>
          <w:u w:val="single"/>
        </w:rPr>
        <w:t xml:space="preserve"> often </w:t>
      </w:r>
      <w:r w:rsidRPr="00F22764">
        <w:rPr>
          <w:highlight w:val="green"/>
          <w:u w:val="single"/>
        </w:rPr>
        <w:t>come with</w:t>
      </w:r>
      <w:r w:rsidRPr="009820FC">
        <w:rPr>
          <w:u w:val="single"/>
        </w:rPr>
        <w:t xml:space="preserve"> intensive </w:t>
      </w:r>
      <w:r w:rsidRPr="00F22764">
        <w:rPr>
          <w:highlight w:val="green"/>
          <w:u w:val="single"/>
        </w:rPr>
        <w:t>resource extraction</w:t>
      </w:r>
      <w:r w:rsidRPr="009820FC">
        <w:rPr>
          <w:u w:val="single"/>
        </w:rPr>
        <w:t>.</w:t>
      </w:r>
      <w:r>
        <w:rPr>
          <w:u w:val="single"/>
        </w:rPr>
        <w:t xml:space="preserve"> </w:t>
      </w:r>
      <w:r w:rsidRPr="005A655E">
        <w:rPr>
          <w:sz w:val="16"/>
        </w:rPr>
        <w:t>M</w:t>
      </w:r>
      <w:r w:rsidRPr="002677F7">
        <w:rPr>
          <w:u w:val="single"/>
        </w:rPr>
        <w:t xml:space="preserve">ore than </w:t>
      </w:r>
      <w:r w:rsidRPr="00F22764">
        <w:rPr>
          <w:highlight w:val="green"/>
          <w:u w:val="single"/>
        </w:rPr>
        <w:t>half</w:t>
      </w:r>
      <w:r w:rsidRPr="002677F7">
        <w:rPr>
          <w:u w:val="single"/>
        </w:rPr>
        <w:t xml:space="preserve"> of Indigenous people in Canada </w:t>
      </w:r>
      <w:r w:rsidRPr="00F22764">
        <w:rPr>
          <w:highlight w:val="green"/>
          <w:u w:val="single"/>
        </w:rPr>
        <w:t>live in urban centres</w:t>
      </w:r>
      <w:r w:rsidRPr="005A655E">
        <w:rPr>
          <w:sz w:val="16"/>
        </w:rPr>
        <w:t xml:space="preserve">. In the case of my father’s people, the Nuu-chah-nulth, the majority now “live away from home.” Additionally, </w:t>
      </w:r>
      <w:r w:rsidRPr="002504AC">
        <w:rPr>
          <w:u w:val="single"/>
        </w:rPr>
        <w:t>changes to</w:t>
      </w:r>
      <w:r w:rsidRPr="005A655E">
        <w:rPr>
          <w:sz w:val="16"/>
        </w:rPr>
        <w:t xml:space="preserve"> our main adaptive livelihood—</w:t>
      </w:r>
      <w:r w:rsidRPr="002504AC">
        <w:rPr>
          <w:u w:val="single"/>
        </w:rPr>
        <w:t>commercial fishing—have been swift and dramatic</w:t>
      </w:r>
      <w:r w:rsidRPr="005A655E">
        <w:rPr>
          <w:sz w:val="16"/>
        </w:rPr>
        <w:t xml:space="preserve">. The Nuu-chah-nulth commercial fishing fleet dropped from a peak of two hundred boats in the mid- to late twentieth century to only six by 2002. </w:t>
      </w:r>
      <w:r w:rsidRPr="00F22764">
        <w:rPr>
          <w:highlight w:val="green"/>
          <w:u w:val="single"/>
        </w:rPr>
        <w:t>We</w:t>
      </w:r>
      <w:r w:rsidRPr="00A7189A">
        <w:rPr>
          <w:u w:val="single"/>
        </w:rPr>
        <w:t xml:space="preserve"> now </w:t>
      </w:r>
      <w:r w:rsidRPr="00F22764">
        <w:rPr>
          <w:highlight w:val="green"/>
          <w:u w:val="single"/>
        </w:rPr>
        <w:t>find ourselves</w:t>
      </w:r>
      <w:r w:rsidRPr="00A7189A">
        <w:rPr>
          <w:u w:val="single"/>
        </w:rPr>
        <w:t xml:space="preserve"> in the unenviable position of </w:t>
      </w:r>
      <w:r w:rsidRPr="00F22764">
        <w:rPr>
          <w:highlight w:val="green"/>
          <w:u w:val="single"/>
        </w:rPr>
        <w:t>struggling</w:t>
      </w:r>
      <w:r w:rsidRPr="00A7189A">
        <w:rPr>
          <w:u w:val="single"/>
        </w:rPr>
        <w:t xml:space="preserve"> with high rates of poverty (by any standard), a loss of connection to our home waters, including many traditional Indigenous foods, and the ongoing pressure of industrial economic development in our territories</w:t>
      </w:r>
      <w:r w:rsidRPr="005A655E">
        <w:rPr>
          <w:sz w:val="16"/>
        </w:rPr>
        <w:t xml:space="preserve">. The </w:t>
      </w:r>
      <w:r w:rsidRPr="00D279D6">
        <w:rPr>
          <w:u w:val="single"/>
        </w:rPr>
        <w:t>dominance of neoliberal capitalism</w:t>
      </w:r>
      <w:r w:rsidRPr="005A655E">
        <w:rPr>
          <w:sz w:val="16"/>
        </w:rPr>
        <w:t xml:space="preserve">, settler colonialism, </w:t>
      </w:r>
      <w:r w:rsidRPr="00D279D6">
        <w:rPr>
          <w:u w:val="single"/>
        </w:rPr>
        <w:t>and rampant resource extraction</w:t>
      </w:r>
      <w:r w:rsidRPr="005A655E">
        <w:rPr>
          <w:sz w:val="16"/>
        </w:rPr>
        <w:t xml:space="preserve"> in Canada truly </w:t>
      </w:r>
      <w:r w:rsidRPr="00D279D6">
        <w:rPr>
          <w:u w:val="single"/>
        </w:rPr>
        <w:t xml:space="preserve">places Indigenous communities </w:t>
      </w:r>
      <w:r w:rsidRPr="00F22764">
        <w:rPr>
          <w:highlight w:val="green"/>
          <w:u w:val="single"/>
        </w:rPr>
        <w:t>between the</w:t>
      </w:r>
      <w:r w:rsidRPr="00D279D6">
        <w:rPr>
          <w:u w:val="single"/>
        </w:rPr>
        <w:t xml:space="preserve"> proverbial </w:t>
      </w:r>
      <w:r w:rsidRPr="00F22764">
        <w:rPr>
          <w:highlight w:val="green"/>
          <w:u w:val="single"/>
        </w:rPr>
        <w:t>rock and hard place</w:t>
      </w:r>
      <w:r w:rsidRPr="005A655E">
        <w:rPr>
          <w:sz w:val="16"/>
        </w:rPr>
        <w:t xml:space="preserve">. </w:t>
      </w:r>
      <w:r w:rsidRPr="004A02D5">
        <w:rPr>
          <w:u w:val="single"/>
        </w:rPr>
        <w:t xml:space="preserve">The forces of neoliberal capitalism and settler colonialism have left us with </w:t>
      </w:r>
      <w:r w:rsidRPr="00FA6145">
        <w:rPr>
          <w:rStyle w:val="Emphasis"/>
        </w:rPr>
        <w:t>very few choices</w:t>
      </w:r>
      <w:r w:rsidRPr="005A655E">
        <w:rPr>
          <w:sz w:val="16"/>
        </w:rPr>
        <w:t xml:space="preserve">, yet I do not want to completely ignore the ongoing efforts of Indigenous leaders to assert agency in the political-economic decisions in their territories. Since the first days of Captain James Cook’s arrival in Nuu-chah-nulth waters, Ha’wiih (hereditary chiefs) have worked consistently to assert their jurisdiction and authority in their respective Ha’houlthlii (chiefly territories). As the relationships with imperial actors shifted from trade to settler colonialism in the nineteenth century, the agency of Nuu-chah-nulth Ha’wiih became greatly diminished. The story is long and complex, but it begins with the assertion of Crown sovereignty, the endangerment of whale populations by commercial whaling fleets, and the multi-layered and interconnected components of settler colonialism in Canada, which include Indian residential schools, religious indoctrination, the persistent undermining of traditional Indigenous cultures, ways of living, economics, and governance. Even in the current era of reconciliation, Canadian governments refuse to acknowledge or respect traditional Indigenous governing institutions. I argue that all of this has worked to discredit Indigenous ways of knowing and livelihoods generally and traditional Indigenous political-economic governance specifically. This is not only true in the territories I am most familiar with, but a common experience of Indigenous peoples across the country. Overshadowing Indigenous political economies are the paradigms of neoliberal democracy and capitalism. Despite Newhouse’s Borg-like assessment that Indigenous resistance to capitalism is futile, I believe that Indigenous resistance is both fertile and necessary but also complicated and certainly not inevitable. First, I want to address Indigenous resistance and the ways it is often criticized as being reactionary or unprogressive. </w:t>
      </w:r>
      <w:r w:rsidRPr="00D303ED">
        <w:rPr>
          <w:u w:val="single"/>
        </w:rPr>
        <w:t xml:space="preserve">The </w:t>
      </w:r>
      <w:r w:rsidRPr="00F22764">
        <w:rPr>
          <w:highlight w:val="green"/>
          <w:u w:val="single"/>
        </w:rPr>
        <w:t>rhetoric surrounding</w:t>
      </w:r>
      <w:r w:rsidRPr="00D303ED">
        <w:rPr>
          <w:u w:val="single"/>
        </w:rPr>
        <w:t xml:space="preserve"> Indigenous </w:t>
      </w:r>
      <w:r w:rsidRPr="00F22764">
        <w:rPr>
          <w:highlight w:val="green"/>
          <w:u w:val="single"/>
        </w:rPr>
        <w:t>economic development</w:t>
      </w:r>
      <w:r w:rsidRPr="00D303ED">
        <w:rPr>
          <w:u w:val="single"/>
        </w:rPr>
        <w:t xml:space="preserve"> in Canada </w:t>
      </w:r>
      <w:r w:rsidRPr="00F22764">
        <w:rPr>
          <w:highlight w:val="green"/>
          <w:u w:val="single"/>
        </w:rPr>
        <w:t>is laced with</w:t>
      </w:r>
      <w:r w:rsidRPr="00D303ED">
        <w:rPr>
          <w:u w:val="single"/>
        </w:rPr>
        <w:t xml:space="preserve"> notions of </w:t>
      </w:r>
      <w:r w:rsidRPr="00F22764">
        <w:rPr>
          <w:highlight w:val="green"/>
          <w:u w:val="single"/>
        </w:rPr>
        <w:t>liberal</w:t>
      </w:r>
      <w:r w:rsidRPr="00D303ED">
        <w:rPr>
          <w:u w:val="single"/>
        </w:rPr>
        <w:t xml:space="preserve"> teleological progress and </w:t>
      </w:r>
      <w:r w:rsidRPr="00F22764">
        <w:rPr>
          <w:highlight w:val="green"/>
          <w:u w:val="single"/>
        </w:rPr>
        <w:t>modernity</w:t>
      </w:r>
      <w:r w:rsidRPr="00D303ED">
        <w:rPr>
          <w:u w:val="single"/>
        </w:rPr>
        <w:t xml:space="preserve">. </w:t>
      </w:r>
      <w:r w:rsidRPr="005A655E">
        <w:rPr>
          <w:sz w:val="16"/>
        </w:rPr>
        <w:t xml:space="preserve">Much as in Francis Fukiyama’s (1992) notion of the “end of history,” </w:t>
      </w:r>
      <w:r w:rsidRPr="009100DF">
        <w:rPr>
          <w:u w:val="single"/>
        </w:rPr>
        <w:t xml:space="preserve">Canada is often thought to have achieved the pinnacle of human political and economic progress. Ergo, anything that stands in the way of “Canadian progress” must be backward, and many </w:t>
      </w:r>
      <w:r w:rsidRPr="00F22764">
        <w:rPr>
          <w:rStyle w:val="Emphasis"/>
          <w:highlight w:val="green"/>
        </w:rPr>
        <w:t xml:space="preserve">Indigenous </w:t>
      </w:r>
      <w:r w:rsidRPr="00866813">
        <w:rPr>
          <w:rStyle w:val="Emphasis"/>
        </w:rPr>
        <w:t>people</w:t>
      </w:r>
      <w:r w:rsidRPr="00D96DD2">
        <w:rPr>
          <w:rStyle w:val="Emphasis"/>
        </w:rPr>
        <w:t xml:space="preserve">, especially political </w:t>
      </w:r>
      <w:r w:rsidRPr="00F22764">
        <w:rPr>
          <w:rStyle w:val="Emphasis"/>
          <w:highlight w:val="green"/>
        </w:rPr>
        <w:t>leaders, have internalized this logic</w:t>
      </w:r>
      <w:r w:rsidRPr="005A655E">
        <w:rPr>
          <w:sz w:val="16"/>
        </w:rPr>
        <w:t xml:space="preserve">. Here I am thinking of people like long-time Osoyoos Indian Band chief Clarence Louie and Tsimshian lawyer and author Calvin Helin. Louie is known for his inflammatory rhetoric, such as “If your life sucks, it’s because you suck” and “Quit your sniffling” (quoted in MacGregor 2006). Louie has also advised, “If you call yourself a leader, give all your people the chance at the dignity of a job, equal opportunity and the individual responsibility to earn a living” (quoted in Helin 2006, 235). Helin (2006, 30) writes optimistically, “Aboriginals are likely in the best position ever to integrate economically with the mainstream, to partner with industry, and create wealth and opportunities for all.” Notably, Louie and Helin are not really outliers. It is safe to say that </w:t>
      </w:r>
      <w:r w:rsidRPr="00866813">
        <w:rPr>
          <w:u w:val="single"/>
        </w:rPr>
        <w:t>many</w:t>
      </w:r>
      <w:r w:rsidRPr="003035C0">
        <w:rPr>
          <w:u w:val="single"/>
        </w:rPr>
        <w:t xml:space="preserve"> </w:t>
      </w:r>
      <w:r w:rsidRPr="00866813">
        <w:rPr>
          <w:u w:val="single"/>
        </w:rPr>
        <w:t>Indigenous</w:t>
      </w:r>
      <w:r w:rsidRPr="003035C0">
        <w:rPr>
          <w:u w:val="single"/>
        </w:rPr>
        <w:t xml:space="preserve"> </w:t>
      </w:r>
      <w:r w:rsidRPr="00866813">
        <w:rPr>
          <w:u w:val="single"/>
        </w:rPr>
        <w:t>leaders</w:t>
      </w:r>
      <w:r w:rsidRPr="003035C0">
        <w:rPr>
          <w:u w:val="single"/>
        </w:rPr>
        <w:t xml:space="preserve"> in Canada </w:t>
      </w:r>
      <w:r w:rsidRPr="00F22764">
        <w:rPr>
          <w:highlight w:val="green"/>
          <w:u w:val="single"/>
        </w:rPr>
        <w:t>support</w:t>
      </w:r>
      <w:r w:rsidRPr="003035C0">
        <w:rPr>
          <w:u w:val="single"/>
        </w:rPr>
        <w:t xml:space="preserve"> some form of </w:t>
      </w:r>
      <w:r w:rsidRPr="00F22764">
        <w:rPr>
          <w:highlight w:val="green"/>
          <w:u w:val="single"/>
        </w:rPr>
        <w:t>economic</w:t>
      </w:r>
      <w:r w:rsidRPr="003035C0">
        <w:rPr>
          <w:u w:val="single"/>
        </w:rPr>
        <w:t xml:space="preserve"> </w:t>
      </w:r>
      <w:r w:rsidRPr="00F22764">
        <w:rPr>
          <w:highlight w:val="green"/>
          <w:u w:val="single"/>
        </w:rPr>
        <w:t>development</w:t>
      </w:r>
      <w:r w:rsidRPr="003035C0">
        <w:rPr>
          <w:u w:val="single"/>
        </w:rPr>
        <w:t xml:space="preserve"> that inevitably plugs into mainstream neoliberal capitalism</w:t>
      </w:r>
      <w:r w:rsidRPr="005A655E">
        <w:rPr>
          <w:sz w:val="16"/>
        </w:rPr>
        <w:t xml:space="preserve">. This is not to suggest that even the most economically minded Indigenous leaders are not concerned about negative </w:t>
      </w:r>
      <w:r w:rsidRPr="00F22764">
        <w:rPr>
          <w:highlight w:val="green"/>
          <w:u w:val="single"/>
        </w:rPr>
        <w:t>environmental</w:t>
      </w:r>
      <w:r w:rsidRPr="007D40A3">
        <w:rPr>
          <w:u w:val="single"/>
        </w:rPr>
        <w:t xml:space="preserve">, social, and cultural </w:t>
      </w:r>
      <w:r w:rsidRPr="00F22764">
        <w:rPr>
          <w:highlight w:val="green"/>
          <w:u w:val="single"/>
        </w:rPr>
        <w:t>impacts</w:t>
      </w:r>
      <w:r w:rsidRPr="005A655E">
        <w:rPr>
          <w:sz w:val="16"/>
        </w:rPr>
        <w:t xml:space="preserve"> of capitalism, but, as is the case with their settler counterparts, the rhetoric tends to </w:t>
      </w:r>
      <w:r w:rsidRPr="00F22764">
        <w:rPr>
          <w:highlight w:val="green"/>
          <w:u w:val="single"/>
        </w:rPr>
        <w:t>ring hollow in the face of billion-dollar industrial</w:t>
      </w:r>
      <w:r w:rsidRPr="007D40A3">
        <w:rPr>
          <w:u w:val="single"/>
        </w:rPr>
        <w:t xml:space="preserve"> projects and </w:t>
      </w:r>
      <w:r w:rsidRPr="00F22764">
        <w:rPr>
          <w:highlight w:val="green"/>
          <w:u w:val="single"/>
        </w:rPr>
        <w:t>profits</w:t>
      </w:r>
      <w:r w:rsidRPr="002676DD">
        <w:rPr>
          <w:u w:val="single"/>
        </w:rPr>
        <w:t>. Those who oppose destructive projects are often criticized as being fringe radicals</w:t>
      </w:r>
      <w:r w:rsidRPr="005A655E">
        <w:rPr>
          <w:sz w:val="16"/>
        </w:rPr>
        <w:t xml:space="preserve">. But Dene scholar Glen Coulthard (2014) reminds us that </w:t>
      </w:r>
      <w:r w:rsidRPr="00F02B1E">
        <w:rPr>
          <w:u w:val="single"/>
        </w:rPr>
        <w:t>resistance is</w:t>
      </w:r>
      <w:r w:rsidRPr="005A655E">
        <w:rPr>
          <w:sz w:val="16"/>
        </w:rPr>
        <w:t xml:space="preserve"> not simply a negative reaction within the context of Canadian political, </w:t>
      </w:r>
      <w:r w:rsidRPr="00835C27">
        <w:rPr>
          <w:u w:val="single"/>
        </w:rPr>
        <w:t xml:space="preserve">legal, and economic orders; it is also an affirmative action in the context of Indigenous political, legal, and economic </w:t>
      </w:r>
      <w:r w:rsidRPr="00866813">
        <w:rPr>
          <w:u w:val="single"/>
        </w:rPr>
        <w:t>orders</w:t>
      </w:r>
      <w:r w:rsidRPr="00F22764">
        <w:rPr>
          <w:highlight w:val="green"/>
          <w:u w:val="single"/>
        </w:rPr>
        <w:t>. When Indigenous people</w:t>
      </w:r>
      <w:r w:rsidRPr="00835C27">
        <w:rPr>
          <w:u w:val="single"/>
        </w:rPr>
        <w:t xml:space="preserve"> resist and </w:t>
      </w:r>
      <w:r w:rsidRPr="00F22764">
        <w:rPr>
          <w:highlight w:val="green"/>
          <w:u w:val="single"/>
        </w:rPr>
        <w:t>say no,</w:t>
      </w:r>
      <w:r w:rsidRPr="00835C27">
        <w:rPr>
          <w:u w:val="single"/>
        </w:rPr>
        <w:t xml:space="preserve"> “</w:t>
      </w:r>
      <w:r w:rsidRPr="00F22764">
        <w:rPr>
          <w:highlight w:val="green"/>
          <w:u w:val="single"/>
        </w:rPr>
        <w:t>they</w:t>
      </w:r>
      <w:r w:rsidRPr="00835C27">
        <w:rPr>
          <w:u w:val="single"/>
        </w:rPr>
        <w:t xml:space="preserve"> also </w:t>
      </w:r>
      <w:r w:rsidRPr="00F22764">
        <w:rPr>
          <w:highlight w:val="green"/>
          <w:u w:val="single"/>
        </w:rPr>
        <w:t>have</w:t>
      </w:r>
      <w:r w:rsidRPr="00835C27">
        <w:rPr>
          <w:u w:val="single"/>
        </w:rPr>
        <w:t xml:space="preserve"> </w:t>
      </w:r>
      <w:r w:rsidRPr="00F22764">
        <w:rPr>
          <w:highlight w:val="green"/>
          <w:u w:val="single"/>
        </w:rPr>
        <w:t>ingrained</w:t>
      </w:r>
      <w:r w:rsidRPr="00835C27">
        <w:rPr>
          <w:u w:val="single"/>
        </w:rPr>
        <w:t xml:space="preserve"> within them </w:t>
      </w:r>
      <w:r w:rsidRPr="00866813">
        <w:rPr>
          <w:u w:val="single"/>
        </w:rPr>
        <w:t>a</w:t>
      </w:r>
      <w:r w:rsidRPr="00835C27">
        <w:rPr>
          <w:u w:val="single"/>
        </w:rPr>
        <w:t xml:space="preserve"> resounding ‘</w:t>
      </w:r>
      <w:r w:rsidRPr="00866813">
        <w:rPr>
          <w:u w:val="single"/>
        </w:rPr>
        <w:t>yes’</w:t>
      </w:r>
      <w:r w:rsidRPr="00835C27">
        <w:rPr>
          <w:u w:val="single"/>
        </w:rPr>
        <w:t xml:space="preserve">: they are the affirmative enactment of </w:t>
      </w:r>
      <w:r w:rsidRPr="00F22764">
        <w:rPr>
          <w:highlight w:val="green"/>
          <w:u w:val="single"/>
        </w:rPr>
        <w:t>another modality of being</w:t>
      </w:r>
      <w:r w:rsidRPr="00835C27">
        <w:rPr>
          <w:u w:val="single"/>
        </w:rPr>
        <w:t xml:space="preserve">, a different way of </w:t>
      </w:r>
      <w:r w:rsidRPr="00F22764">
        <w:rPr>
          <w:highlight w:val="green"/>
          <w:u w:val="single"/>
        </w:rPr>
        <w:t>relating to and with the world</w:t>
      </w:r>
      <w:r w:rsidRPr="005A655E">
        <w:rPr>
          <w:sz w:val="16"/>
        </w:rPr>
        <w:t xml:space="preserve">” (169). This position is often incomprehensible when we prioritize neoliberal Canadian political and economic values or take them for granted as being universal. Some Indigenous people still remind us that there are other, older ways of organizing politically and economically that are divergent from Canadian norms but equally valid. What happens when these older, but equally valid, Indigenous world views come into contact with big oil? </w:t>
      </w:r>
      <w:r w:rsidRPr="005A655E">
        <w:rPr>
          <w:sz w:val="6"/>
          <w:szCs w:val="6"/>
        </w:rPr>
        <w:t>Indigenous Peoples and Big Oil The issue of Indigenous peoples and big oil in Canada first appeared on my radar with the stirring footage from the Mackenzie Valley Pipeline Inquiry, led by Justice Thomas Berger, between 1974 and 1976. I was particularly moved by the testimony of Frank T’Seleie, then chief of the Fort Good Hope Dene Band, a K’asho Got’įnę community located on the eastern shore of the Mackenzie River in the Sahtu Region of the Northwest Territories. Chief T’Seleie stated, Let me tell your nation that this is Dene land and we the Dene people intend to decide what happens on our land. Mr. Berger, there will be no pipeline. There will be no pipeline because we have our plans for our lands. There will be no pipeline because we no longer intend to allow our land and our future to be taken away from us and that we are destroyed to make someone else rich. There will be no pipeline because we, the Dene people, are awakening to see the truth of the system of genocide that has been imposed on us and we will not go back to sleep. We do not say we are better or worse than the white man. We are proud of who we are, proud to be Dene and loyal to our nation, but we are not saying that we do not respect you and your ways. We are only asking now, as we asked you then, to let us live our own lives, in our own way, on our own land, without forever being threatened by invasion and extinction. We do not want to have to fight and struggle forever just to survive as a people.2 Chief T’Seleie, and the position he articulated on behalf of his community, inspired generations of Indigenous activists. The 1970s Mackenzie Valley pipeline proposal did not succeed, and neither did the recently revived project proposed by Imperial Oil, ConocoPhillips, and ExxonMobile, but the positionality of many Indigenous communities was markedly different this time around. T’Seleie was also involved in the recent incarnation, but this time as a proponent and as a director of the Aboriginal Pipeline Group, which proposed a 33.3 percent Indigenous ownership stake. He says, simply and unapologetically, “Times have changed” (quoted in Laird 2003). When Imperial Oil announced that it would not go forward with the pipeline (citing low natural gas prices), many Indigenous community leaders were disappointed. Duane Smith, chair of the Inuvialuit Regional Corporation, stated, “I just hope that Canada as a government recognizes the valuable resources that we are sitting on in this region and the potential it provides for the economy of this country as well as to the people of the region” (in Strong 2017). The apparent about-face of T’Seleie and others is partially responsible for my interest in this area of research. Such reactions have become more common. My question is simple: What has changed? Actually, I have two questions. The second one is this: What has stayed the same? I am interested in both change and continuity in Indigenous-settler relations generally and in Indigenous community governance and political economies specifically. Not only are Indigenous peoples diverse, but their experiences of settler colonialism have been diverse. Native American legal scholar Robert Williams Jr. (1997) has written about what he calls “the Encounter era,” a period during which Indigenous-settler relations were more reflective of mutual dependence and cooperation than they would later come to be. The Kaswentha, or Two-Row Wampum, a treaty originally negotiated between the Dutch and Haudenosaunee in the seventeenth century, was meant to symbolize not only mutual respect and interdependence but also, importantly, non-interference (Parmenter 2013, 97). Others, particularly in the north and the west, experienced colonialism and development in different ways. Diverse origins and experiences are bound to lead to a diversity of responses to colonialism and contemporary capitalism. How different Indigenous nations navigate settler colonialism varies from place to place, despite many similarities in our collective treatment by federal, provincial, and territorial governments. If some continuity exists within and across Indigenous nations, it is that they have almost always attempted to act in ways that would preserve and perpetuate their political and economic autonomy. How this is manifested looks different depending on the nation, treaties (or their absence), and options and strategies for survival and resilience. There is no template.</w:t>
      </w:r>
      <w:r w:rsidRPr="005A655E">
        <w:rPr>
          <w:sz w:val="16"/>
          <w:szCs w:val="6"/>
        </w:rPr>
        <w:t xml:space="preserve"> </w:t>
      </w:r>
      <w:r w:rsidRPr="00EF4A27">
        <w:rPr>
          <w:u w:val="single"/>
        </w:rPr>
        <w:t xml:space="preserve">Oil and gas pipelines and Indigenous peoples are back in the headlines in </w:t>
      </w:r>
      <w:r w:rsidRPr="005A655E">
        <w:rPr>
          <w:sz w:val="16"/>
        </w:rPr>
        <w:t xml:space="preserve">both Canada and </w:t>
      </w:r>
      <w:r w:rsidRPr="00EF4A27">
        <w:rPr>
          <w:u w:val="single"/>
        </w:rPr>
        <w:t>the United States</w:t>
      </w:r>
      <w:r w:rsidRPr="005A655E">
        <w:rPr>
          <w:sz w:val="16"/>
        </w:rPr>
        <w:t xml:space="preserve">. </w:t>
      </w:r>
      <w:r w:rsidRPr="00F22764">
        <w:rPr>
          <w:highlight w:val="green"/>
          <w:u w:val="single"/>
        </w:rPr>
        <w:t>Opposition to the Dakota</w:t>
      </w:r>
      <w:r w:rsidRPr="00901A8D">
        <w:rPr>
          <w:u w:val="single"/>
        </w:rPr>
        <w:t xml:space="preserve"> Access </w:t>
      </w:r>
      <w:r w:rsidRPr="00F22764">
        <w:rPr>
          <w:highlight w:val="green"/>
          <w:u w:val="single"/>
        </w:rPr>
        <w:t>Pipeline erupted</w:t>
      </w:r>
      <w:r w:rsidRPr="005A655E">
        <w:rPr>
          <w:sz w:val="16"/>
        </w:rPr>
        <w:t xml:space="preserve"> in 2016 and 2017, particularly </w:t>
      </w:r>
      <w:r w:rsidRPr="00F22764">
        <w:rPr>
          <w:highlight w:val="green"/>
          <w:u w:val="single"/>
        </w:rPr>
        <w:t>in the</w:t>
      </w:r>
      <w:r w:rsidRPr="00901A8D">
        <w:rPr>
          <w:u w:val="single"/>
        </w:rPr>
        <w:t xml:space="preserve"> territories of the Standing Rock </w:t>
      </w:r>
      <w:r w:rsidRPr="00F22764">
        <w:rPr>
          <w:highlight w:val="green"/>
          <w:u w:val="single"/>
        </w:rPr>
        <w:t>Sioux Tribe</w:t>
      </w:r>
      <w:r w:rsidRPr="005A655E">
        <w:rPr>
          <w:sz w:val="16"/>
        </w:rPr>
        <w:t xml:space="preserve"> in North Dakota. Regarding the resonance and significance of the protests, Eric Steinman (2019, 1070–71) writes, “With grassroots participation by members of other American Indian tribal nations, formal encouragement by many tribal governments, support from Indigenous people from elsewhere in the Americas and allies of all kinds from American society, the historic effort was the most broad-base grassroots social movement campaign that featured or centrally included American Indians.” </w:t>
      </w:r>
      <w:r w:rsidRPr="00F92295">
        <w:rPr>
          <w:u w:val="single"/>
        </w:rPr>
        <w:t xml:space="preserve">Opposition leadership to the pipeline originated among Indigenous women and youth, who emerged as “water protectors” to stand in the way of the “black snake” </w:t>
      </w:r>
      <w:r w:rsidRPr="005A655E">
        <w:rPr>
          <w:sz w:val="16"/>
        </w:rPr>
        <w:t xml:space="preserve">(1081). Reflecting on the protests, Standing Rock Elder LaDonna Brave Bull Allard commented, “When people want to say, ‘Who started this?’ Nobody. Everybody. There was no one leader. There was no one person. It was everybody. Each with their own journey. In the middle of all of this was the youth, who continued to stand up. Who continued to bring that power, that healing” (quoted in Halpin 2017). US president Barack Obama’s outgoing administration responded to the protests in December 2016 by denying the Army Corps of Engineers a permit required to build the pipeline under the Missouri River, but newly elected president Donald Trump promptly issued an executive order reversing that decision, and the pipeline was completed in April 2017. Even though the pipeline did go through (at a cost of $3.8 billion), Dave Archambault II, the tribal chairman of the Standing Rock Sioux at the #NoDAPL protests, felt that </w:t>
      </w:r>
      <w:r w:rsidRPr="00C474CC">
        <w:rPr>
          <w:u w:val="single"/>
        </w:rPr>
        <w:t>the protests were important expressions of tribal sovereignty and calls for environmental justice</w:t>
      </w:r>
      <w:r w:rsidRPr="005A655E">
        <w:rPr>
          <w:sz w:val="16"/>
        </w:rPr>
        <w:t xml:space="preserve">. As he stated, “What tribes are doing is saying, we have value, we have worth, we’re still here, and that is exercising your sovereignty” (quoted in McKenna 2017). </w:t>
      </w:r>
      <w:r w:rsidRPr="005F4F9E">
        <w:rPr>
          <w:u w:val="single"/>
        </w:rPr>
        <w:t xml:space="preserve">Yet </w:t>
      </w:r>
      <w:r w:rsidRPr="00F22764">
        <w:rPr>
          <w:highlight w:val="green"/>
          <w:u w:val="single"/>
        </w:rPr>
        <w:t>not all Native</w:t>
      </w:r>
      <w:r w:rsidRPr="005F4F9E">
        <w:rPr>
          <w:u w:val="single"/>
        </w:rPr>
        <w:t xml:space="preserve"> American </w:t>
      </w:r>
      <w:r w:rsidRPr="00F22764">
        <w:rPr>
          <w:highlight w:val="green"/>
          <w:u w:val="single"/>
        </w:rPr>
        <w:t>tribes</w:t>
      </w:r>
      <w:r w:rsidRPr="005F4F9E">
        <w:rPr>
          <w:u w:val="single"/>
        </w:rPr>
        <w:t xml:space="preserve"> or citizens </w:t>
      </w:r>
      <w:r w:rsidRPr="00F22764">
        <w:rPr>
          <w:highlight w:val="green"/>
          <w:u w:val="single"/>
        </w:rPr>
        <w:t>oppose oil and gas</w:t>
      </w:r>
      <w:r w:rsidRPr="005F4F9E">
        <w:rPr>
          <w:u w:val="single"/>
        </w:rPr>
        <w:t xml:space="preserve"> projects</w:t>
      </w:r>
      <w:r w:rsidRPr="005A655E">
        <w:rPr>
          <w:sz w:val="16"/>
        </w:rPr>
        <w:t xml:space="preserve">, although this fact receives less media attention. According to a CNN report from November 2016, </w:t>
      </w:r>
      <w:r w:rsidRPr="00116834">
        <w:rPr>
          <w:u w:val="single"/>
        </w:rPr>
        <w:t xml:space="preserve">not all Standing Rock Sioux </w:t>
      </w:r>
      <w:r w:rsidRPr="00F22764">
        <w:rPr>
          <w:highlight w:val="green"/>
          <w:u w:val="single"/>
        </w:rPr>
        <w:t>citizens</w:t>
      </w:r>
      <w:r w:rsidRPr="00116834">
        <w:rPr>
          <w:u w:val="single"/>
        </w:rPr>
        <w:t xml:space="preserve"> opposed the Dakota Access Pipeline, and some </w:t>
      </w:r>
      <w:r w:rsidRPr="00F22764">
        <w:rPr>
          <w:highlight w:val="green"/>
          <w:u w:val="single"/>
        </w:rPr>
        <w:t>found</w:t>
      </w:r>
      <w:r w:rsidRPr="00116834">
        <w:rPr>
          <w:u w:val="single"/>
        </w:rPr>
        <w:t xml:space="preserve"> the invasion of </w:t>
      </w:r>
      <w:r w:rsidRPr="00F22764">
        <w:rPr>
          <w:highlight w:val="green"/>
          <w:u w:val="single"/>
        </w:rPr>
        <w:t>protesters</w:t>
      </w:r>
      <w:r w:rsidRPr="00116834">
        <w:rPr>
          <w:u w:val="single"/>
        </w:rPr>
        <w:t xml:space="preserve"> from all over the world to be </w:t>
      </w:r>
      <w:r w:rsidRPr="00F22764">
        <w:rPr>
          <w:highlight w:val="green"/>
          <w:u w:val="single"/>
        </w:rPr>
        <w:t>a nuisance</w:t>
      </w:r>
      <w:r w:rsidRPr="00116834">
        <w:rPr>
          <w:u w:val="single"/>
        </w:rPr>
        <w:t xml:space="preserve"> rather than a help</w:t>
      </w:r>
      <w:r w:rsidRPr="005A655E">
        <w:rPr>
          <w:sz w:val="16"/>
        </w:rPr>
        <w:t xml:space="preserve"> (Ravitz 2016). In this regard, I want to stress two points. First, diversity of opinion in Indigenous communities should be a surprise to no one; however, </w:t>
      </w:r>
      <w:r w:rsidRPr="009E2146">
        <w:rPr>
          <w:u w:val="single"/>
        </w:rPr>
        <w:t xml:space="preserve">stereotypical </w:t>
      </w:r>
      <w:r w:rsidRPr="00F22764">
        <w:rPr>
          <w:highlight w:val="green"/>
          <w:u w:val="single"/>
        </w:rPr>
        <w:t>caricatures tend not to allow for</w:t>
      </w:r>
      <w:r w:rsidRPr="009E2146">
        <w:rPr>
          <w:u w:val="single"/>
        </w:rPr>
        <w:t xml:space="preserve"> an acceptance of </w:t>
      </w:r>
      <w:r w:rsidRPr="00F22764">
        <w:rPr>
          <w:highlight w:val="green"/>
          <w:u w:val="single"/>
        </w:rPr>
        <w:t>this diversity</w:t>
      </w:r>
      <w:r w:rsidRPr="005A655E">
        <w:rPr>
          <w:sz w:val="16"/>
        </w:rPr>
        <w:t xml:space="preserve">. Second, </w:t>
      </w:r>
      <w:r w:rsidRPr="00F22764">
        <w:rPr>
          <w:highlight w:val="green"/>
          <w:u w:val="single"/>
        </w:rPr>
        <w:t>supporting economic development</w:t>
      </w:r>
      <w:r w:rsidRPr="00F3169F">
        <w:rPr>
          <w:u w:val="single"/>
        </w:rPr>
        <w:t xml:space="preserve"> initiatives, even controversial ones, </w:t>
      </w:r>
      <w:r w:rsidRPr="00F22764">
        <w:rPr>
          <w:highlight w:val="green"/>
          <w:u w:val="single"/>
        </w:rPr>
        <w:t>is</w:t>
      </w:r>
      <w:r w:rsidRPr="00F3169F">
        <w:rPr>
          <w:u w:val="single"/>
        </w:rPr>
        <w:t xml:space="preserve"> also </w:t>
      </w:r>
      <w:r w:rsidRPr="00F22764">
        <w:rPr>
          <w:highlight w:val="green"/>
          <w:u w:val="single"/>
        </w:rPr>
        <w:t>an</w:t>
      </w:r>
      <w:r w:rsidRPr="00F3169F">
        <w:rPr>
          <w:u w:val="single"/>
        </w:rPr>
        <w:t xml:space="preserve"> </w:t>
      </w:r>
      <w:r w:rsidRPr="00F22764">
        <w:rPr>
          <w:highlight w:val="green"/>
          <w:u w:val="single"/>
        </w:rPr>
        <w:t>expression of tribal sovereignty</w:t>
      </w:r>
      <w:r w:rsidRPr="005A655E">
        <w:rPr>
          <w:sz w:val="16"/>
        </w:rPr>
        <w:t xml:space="preserve">. After seventy years of American oil and gas companies operating on tribal lands, </w:t>
      </w:r>
      <w:r w:rsidRPr="00F22764">
        <w:rPr>
          <w:highlight w:val="green"/>
          <w:u w:val="single"/>
        </w:rPr>
        <w:t>the Diné people formed</w:t>
      </w:r>
      <w:r w:rsidRPr="004D5468">
        <w:rPr>
          <w:u w:val="single"/>
        </w:rPr>
        <w:t xml:space="preserve"> the </w:t>
      </w:r>
      <w:r w:rsidRPr="00F22764">
        <w:rPr>
          <w:highlight w:val="green"/>
          <w:u w:val="single"/>
        </w:rPr>
        <w:t>Navajo</w:t>
      </w:r>
      <w:r w:rsidRPr="004D5468">
        <w:rPr>
          <w:u w:val="single"/>
        </w:rPr>
        <w:t xml:space="preserve"> Nation </w:t>
      </w:r>
      <w:r w:rsidRPr="00F22764">
        <w:rPr>
          <w:highlight w:val="green"/>
          <w:u w:val="single"/>
        </w:rPr>
        <w:t>Oil and Gas</w:t>
      </w:r>
      <w:r w:rsidRPr="004D5468">
        <w:rPr>
          <w:u w:val="single"/>
        </w:rPr>
        <w:t xml:space="preserve"> Company</w:t>
      </w:r>
      <w:r w:rsidRPr="005A655E">
        <w:rPr>
          <w:sz w:val="16"/>
        </w:rPr>
        <w:t xml:space="preserve">. Headquartered in Arizona, with operations in New Mexico and Utah as well, </w:t>
      </w:r>
      <w:r w:rsidRPr="004D5468">
        <w:rPr>
          <w:u w:val="single"/>
        </w:rPr>
        <w:t xml:space="preserve">the company currently employs more than fifty people </w:t>
      </w:r>
      <w:r w:rsidRPr="00F22764">
        <w:rPr>
          <w:highlight w:val="green"/>
          <w:u w:val="single"/>
        </w:rPr>
        <w:t>and generates millions</w:t>
      </w:r>
      <w:r w:rsidRPr="004D5468">
        <w:rPr>
          <w:u w:val="single"/>
        </w:rPr>
        <w:t xml:space="preserve"> of dollars in income for the Navajo Nation</w:t>
      </w:r>
      <w:r w:rsidRPr="005A655E">
        <w:rPr>
          <w:sz w:val="16"/>
        </w:rPr>
        <w:t>.3 This does not mean I agree with those who support oil and gas projects, but I understand their dilemma, and I certainly think that all political and economic decisions should be debated and critiqued by Indigenous people. Moreover, as illustrated in the Clayoquot Sound example raised by Braun (2002), it is also possible for environmental NGOs to act in neocolonial ways with respect to Indigenous peoples and priorities, especially when the latter do not conform to the preconceived notions of authentic indigeneity by the former. These issues are far from straightforward.</w:t>
      </w:r>
    </w:p>
    <w:p w14:paraId="7B2EC9B1" w14:textId="77777777" w:rsidR="00CC2CC5" w:rsidRDefault="00CC2CC5" w:rsidP="00CC2CC5">
      <w:pPr>
        <w:pStyle w:val="Heading4"/>
      </w:pPr>
      <w:r>
        <w:t xml:space="preserve">The affirmative’s declaration that “fish lives outweigh” cannot be extricated from a set of violent assumptions about Indigenous communities and commercial fishing practices. EITHER Indigenous peoples are “fraudulent ecologists” for hunting harmless fish OR they are “the same” as White folk and therefore ought not govern their own waters. </w:t>
      </w:r>
    </w:p>
    <w:p w14:paraId="4CFC77F2" w14:textId="77777777" w:rsidR="00CC2CC5" w:rsidRPr="0063260B" w:rsidRDefault="00CC2CC5" w:rsidP="00CC2CC5">
      <w:pPr>
        <w:rPr>
          <w:rStyle w:val="Style13ptBold"/>
        </w:rPr>
      </w:pPr>
      <w:r w:rsidRPr="0063260B">
        <w:rPr>
          <w:rStyle w:val="Style13ptBold"/>
        </w:rPr>
        <w:t>Marker ‘06</w:t>
      </w:r>
    </w:p>
    <w:p w14:paraId="0C926771" w14:textId="77777777" w:rsidR="00CC2CC5" w:rsidRPr="0063260B" w:rsidRDefault="00CC2CC5" w:rsidP="00CC2CC5">
      <w:pPr>
        <w:rPr>
          <w:sz w:val="16"/>
          <w:szCs w:val="16"/>
        </w:rPr>
      </w:pPr>
      <w:r>
        <w:rPr>
          <w:sz w:val="16"/>
          <w:szCs w:val="16"/>
        </w:rPr>
        <w:t>(</w:t>
      </w:r>
      <w:r w:rsidRPr="0063260B">
        <w:rPr>
          <w:sz w:val="16"/>
          <w:szCs w:val="16"/>
        </w:rPr>
        <w:t xml:space="preserve">Michael Marker, </w:t>
      </w:r>
      <w:r>
        <w:rPr>
          <w:sz w:val="16"/>
          <w:szCs w:val="16"/>
        </w:rPr>
        <w:t xml:space="preserve">Indigenous scholar, Associate Professor in the Department of Educational Studies at the University of British Columbia. </w:t>
      </w:r>
      <w:r w:rsidRPr="0063260B">
        <w:rPr>
          <w:sz w:val="16"/>
          <w:szCs w:val="16"/>
        </w:rPr>
        <w:t xml:space="preserve">“After the Makah Whale Hunt: Indigenous Knowledge and Limits to Multicultural Discourse,” </w:t>
      </w:r>
      <w:r w:rsidRPr="0063260B">
        <w:rPr>
          <w:i/>
          <w:iCs/>
          <w:sz w:val="16"/>
          <w:szCs w:val="16"/>
        </w:rPr>
        <w:t xml:space="preserve">Urban Education </w:t>
      </w:r>
      <w:r w:rsidRPr="0063260B">
        <w:rPr>
          <w:sz w:val="16"/>
          <w:szCs w:val="16"/>
        </w:rPr>
        <w:t xml:space="preserve">41, no. 5 (September 2006): 482–505. </w:t>
      </w:r>
      <w:hyperlink r:id="rId24" w:history="1">
        <w:r w:rsidRPr="0063260B">
          <w:rPr>
            <w:rStyle w:val="Hyperlink"/>
            <w:sz w:val="16"/>
            <w:szCs w:val="16"/>
          </w:rPr>
          <w:t>https://doi.org/10.1177%2F0042085906291923</w:t>
        </w:r>
      </w:hyperlink>
      <w:r w:rsidRPr="0063260B">
        <w:rPr>
          <w:sz w:val="16"/>
          <w:szCs w:val="16"/>
        </w:rPr>
        <w:t>, JB)</w:t>
      </w:r>
    </w:p>
    <w:p w14:paraId="67971C6F" w14:textId="77777777" w:rsidR="00CC2CC5" w:rsidRPr="008D482C" w:rsidRDefault="00CC2CC5" w:rsidP="00CC2CC5">
      <w:pPr>
        <w:rPr>
          <w:sz w:val="16"/>
        </w:rPr>
      </w:pPr>
      <w:r w:rsidRPr="00AA5968">
        <w:rPr>
          <w:u w:val="single"/>
        </w:rPr>
        <w:t>No recent event has exposed the present limits to “multicultural openness” and classroom cultural responsiveness</w:t>
      </w:r>
      <w:r w:rsidRPr="008D482C">
        <w:rPr>
          <w:sz w:val="16"/>
        </w:rPr>
        <w:t xml:space="preserve"> </w:t>
      </w:r>
      <w:r w:rsidRPr="00AA5968">
        <w:rPr>
          <w:u w:val="single"/>
        </w:rPr>
        <w:t xml:space="preserve">more than </w:t>
      </w:r>
      <w:r w:rsidRPr="00856395">
        <w:rPr>
          <w:u w:val="single"/>
        </w:rPr>
        <w:t>the</w:t>
      </w:r>
      <w:r w:rsidRPr="00AA5968">
        <w:rPr>
          <w:u w:val="single"/>
        </w:rPr>
        <w:t xml:space="preserve"> </w:t>
      </w:r>
      <w:r w:rsidRPr="00856395">
        <w:rPr>
          <w:u w:val="single"/>
        </w:rPr>
        <w:t>Makah</w:t>
      </w:r>
      <w:r w:rsidRPr="00AA5968">
        <w:rPr>
          <w:u w:val="single"/>
        </w:rPr>
        <w:t xml:space="preserve"> whale hunt and the anti-Indian backlash that followed</w:t>
      </w:r>
      <w:r w:rsidRPr="008D482C">
        <w:rPr>
          <w:sz w:val="16"/>
        </w:rPr>
        <w:t xml:space="preserve">. </w:t>
      </w:r>
      <w:r w:rsidRPr="00F22764">
        <w:rPr>
          <w:highlight w:val="green"/>
          <w:u w:val="single"/>
        </w:rPr>
        <w:t>When the Makah</w:t>
      </w:r>
      <w:r w:rsidRPr="0068454B">
        <w:rPr>
          <w:u w:val="single"/>
        </w:rPr>
        <w:t xml:space="preserve"> tribe</w:t>
      </w:r>
      <w:r w:rsidRPr="008D482C">
        <w:rPr>
          <w:sz w:val="16"/>
        </w:rPr>
        <w:t xml:space="preserve"> </w:t>
      </w:r>
      <w:r w:rsidRPr="00F22764">
        <w:rPr>
          <w:highlight w:val="green"/>
          <w:u w:val="single"/>
        </w:rPr>
        <w:t>hunted</w:t>
      </w:r>
      <w:r w:rsidRPr="008D482C">
        <w:rPr>
          <w:sz w:val="16"/>
        </w:rPr>
        <w:t xml:space="preserve"> and killed </w:t>
      </w:r>
      <w:r w:rsidRPr="00F22764">
        <w:rPr>
          <w:highlight w:val="green"/>
          <w:u w:val="single"/>
        </w:rPr>
        <w:t>a</w:t>
      </w:r>
      <w:r w:rsidRPr="0068454B">
        <w:rPr>
          <w:u w:val="single"/>
        </w:rPr>
        <w:t xml:space="preserve"> </w:t>
      </w:r>
      <w:r w:rsidRPr="00F22764">
        <w:rPr>
          <w:highlight w:val="green"/>
          <w:u w:val="single"/>
        </w:rPr>
        <w:t>whale</w:t>
      </w:r>
      <w:r w:rsidRPr="0068454B">
        <w:rPr>
          <w:u w:val="single"/>
        </w:rPr>
        <w:t xml:space="preserve"> off the Washington coast</w:t>
      </w:r>
      <w:r w:rsidRPr="008D482C">
        <w:rPr>
          <w:sz w:val="16"/>
        </w:rPr>
        <w:t xml:space="preserve"> on May 17, 1999, </w:t>
      </w:r>
      <w:r w:rsidRPr="00F22764">
        <w:rPr>
          <w:highlight w:val="green"/>
          <w:u w:val="single"/>
        </w:rPr>
        <w:t>it kindled</w:t>
      </w:r>
      <w:r w:rsidRPr="0068454B">
        <w:rPr>
          <w:u w:val="single"/>
        </w:rPr>
        <w:t xml:space="preserve"> a </w:t>
      </w:r>
      <w:r w:rsidRPr="00F22764">
        <w:rPr>
          <w:highlight w:val="green"/>
          <w:u w:val="single"/>
        </w:rPr>
        <w:t xml:space="preserve">sweeping aggression </w:t>
      </w:r>
      <w:r w:rsidRPr="00856395">
        <w:rPr>
          <w:u w:val="single"/>
        </w:rPr>
        <w:t>against Indians</w:t>
      </w:r>
      <w:r w:rsidRPr="008D482C">
        <w:rPr>
          <w:sz w:val="16"/>
        </w:rPr>
        <w:t xml:space="preserve"> in the region and even </w:t>
      </w:r>
      <w:r w:rsidRPr="0068454B">
        <w:rPr>
          <w:u w:val="single"/>
        </w:rPr>
        <w:t>across North America</w:t>
      </w:r>
      <w:r w:rsidRPr="008D482C">
        <w:rPr>
          <w:sz w:val="16"/>
        </w:rPr>
        <w:t xml:space="preserve">. In Puget Sound communities, it was the worst climate for Indian-White relations since the fishing wars of the 1970s, when anti-Indian bumper stickers and T-shirts were commonplace. Whereas the whale hunt has been discussed as a media relations circus related to the politics of animal rights environmentalists, the event was never talked about as a profound rupture in the prospects for crosscultural education. The classroom context of hostility toward indigenous perspectives on land, identity, and food revealed the limits to meaningful considerations of culture within educational institutions. </w:t>
      </w:r>
      <w:r w:rsidRPr="00F22764">
        <w:rPr>
          <w:highlight w:val="green"/>
          <w:u w:val="single"/>
        </w:rPr>
        <w:t>The</w:t>
      </w:r>
      <w:r w:rsidRPr="003B3B71">
        <w:rPr>
          <w:u w:val="single"/>
        </w:rPr>
        <w:t xml:space="preserve"> whale </w:t>
      </w:r>
      <w:r w:rsidRPr="00F22764">
        <w:rPr>
          <w:highlight w:val="green"/>
          <w:u w:val="single"/>
        </w:rPr>
        <w:t xml:space="preserve">hunt was </w:t>
      </w:r>
      <w:r w:rsidRPr="00856395">
        <w:rPr>
          <w:u w:val="single"/>
        </w:rPr>
        <w:t xml:space="preserve">regarded as </w:t>
      </w:r>
      <w:r w:rsidRPr="00F22764">
        <w:rPr>
          <w:highlight w:val="green"/>
          <w:u w:val="single"/>
        </w:rPr>
        <w:t>an environmental issue</w:t>
      </w:r>
      <w:r w:rsidRPr="003B3B71">
        <w:rPr>
          <w:u w:val="single"/>
        </w:rPr>
        <w:t>, but it was evaded as a core epistemological problem</w:t>
      </w:r>
      <w:r w:rsidRPr="008D482C">
        <w:rPr>
          <w:sz w:val="16"/>
        </w:rPr>
        <w:t xml:space="preserve"> for educational settings. Schools are founded on a way of knowing that distances and isolates students from engaging with both community and the local ecosystem (Gruenwald, 2003</w:t>
      </w:r>
      <w:r w:rsidRPr="00D3123C">
        <w:rPr>
          <w:u w:val="single"/>
        </w:rPr>
        <w:t xml:space="preserve">). For </w:t>
      </w:r>
      <w:r w:rsidRPr="00F22764">
        <w:rPr>
          <w:highlight w:val="green"/>
          <w:u w:val="single"/>
        </w:rPr>
        <w:t>Indian</w:t>
      </w:r>
      <w:r w:rsidRPr="00D3123C">
        <w:rPr>
          <w:u w:val="single"/>
        </w:rPr>
        <w:t xml:space="preserve"> people, their </w:t>
      </w:r>
      <w:r w:rsidRPr="00F22764">
        <w:rPr>
          <w:highlight w:val="green"/>
          <w:u w:val="single"/>
        </w:rPr>
        <w:t>ways of understanding have</w:t>
      </w:r>
      <w:r w:rsidRPr="00D3123C">
        <w:rPr>
          <w:u w:val="single"/>
        </w:rPr>
        <w:t xml:space="preserve"> always </w:t>
      </w:r>
      <w:r w:rsidRPr="00F22764">
        <w:rPr>
          <w:highlight w:val="green"/>
          <w:u w:val="single"/>
        </w:rPr>
        <w:t>been inseparable from</w:t>
      </w:r>
      <w:r w:rsidRPr="00D3123C">
        <w:rPr>
          <w:u w:val="single"/>
        </w:rPr>
        <w:t xml:space="preserve"> their web of </w:t>
      </w:r>
      <w:r w:rsidRPr="00F22764">
        <w:rPr>
          <w:highlight w:val="green"/>
          <w:u w:val="single"/>
        </w:rPr>
        <w:t>relationships</w:t>
      </w:r>
      <w:r w:rsidRPr="00D3123C">
        <w:rPr>
          <w:u w:val="single"/>
        </w:rPr>
        <w:t xml:space="preserve"> in the natural world</w:t>
      </w:r>
      <w:r w:rsidRPr="008D482C">
        <w:rPr>
          <w:sz w:val="16"/>
        </w:rPr>
        <w:t xml:space="preserve">. </w:t>
      </w:r>
      <w:r w:rsidRPr="00917D0B">
        <w:rPr>
          <w:u w:val="single"/>
        </w:rPr>
        <w:t xml:space="preserve">Many indigenous communities are attempting to reassemble </w:t>
      </w:r>
      <w:r w:rsidRPr="008D482C">
        <w:rPr>
          <w:sz w:val="16"/>
        </w:rPr>
        <w:t xml:space="preserve">components of their </w:t>
      </w:r>
      <w:r w:rsidRPr="00917D0B">
        <w:rPr>
          <w:u w:val="single"/>
        </w:rPr>
        <w:t>traditional ways of life and learning in a contemporary context</w:t>
      </w:r>
      <w:r w:rsidRPr="008D482C">
        <w:rPr>
          <w:sz w:val="16"/>
        </w:rPr>
        <w:t xml:space="preserve">. </w:t>
      </w:r>
      <w:r w:rsidRPr="00947B08">
        <w:rPr>
          <w:u w:val="single"/>
        </w:rPr>
        <w:t>These endeavors</w:t>
      </w:r>
      <w:r w:rsidRPr="008D482C">
        <w:rPr>
          <w:sz w:val="16"/>
        </w:rPr>
        <w:t xml:space="preserve">, although understood by the tribal community as reinvigorating old values and beliefs, </w:t>
      </w:r>
      <w:r w:rsidRPr="00947B08">
        <w:rPr>
          <w:u w:val="single"/>
        </w:rPr>
        <w:t>are often misunderstood</w:t>
      </w:r>
      <w:r w:rsidRPr="008D482C">
        <w:rPr>
          <w:sz w:val="16"/>
        </w:rPr>
        <w:t xml:space="preserve"> by the dominant society. Meanwhile, the popular media have so saturated the public imagination with Indian stereotypes that </w:t>
      </w:r>
      <w:r w:rsidRPr="00F22764">
        <w:rPr>
          <w:highlight w:val="green"/>
          <w:u w:val="single"/>
        </w:rPr>
        <w:t>educators</w:t>
      </w:r>
      <w:r w:rsidRPr="00C16D54">
        <w:rPr>
          <w:u w:val="single"/>
        </w:rPr>
        <w:t xml:space="preserve"> tend to </w:t>
      </w:r>
      <w:r w:rsidRPr="00F22764">
        <w:rPr>
          <w:highlight w:val="green"/>
          <w:u w:val="single"/>
        </w:rPr>
        <w:t>place indigenous people in a frozen</w:t>
      </w:r>
      <w:r w:rsidRPr="00C16D54">
        <w:rPr>
          <w:u w:val="single"/>
        </w:rPr>
        <w:t xml:space="preserve"> exotic </w:t>
      </w:r>
      <w:r w:rsidRPr="00F22764">
        <w:rPr>
          <w:highlight w:val="green"/>
          <w:u w:val="single"/>
        </w:rPr>
        <w:t>past or an assimilated</w:t>
      </w:r>
      <w:r w:rsidRPr="00C16D54">
        <w:rPr>
          <w:u w:val="single"/>
        </w:rPr>
        <w:t xml:space="preserve">, degenerate present </w:t>
      </w:r>
      <w:r w:rsidRPr="00F22764">
        <w:rPr>
          <w:highlight w:val="green"/>
          <w:u w:val="single"/>
        </w:rPr>
        <w:t>identity</w:t>
      </w:r>
      <w:r w:rsidRPr="00AA2118">
        <w:rPr>
          <w:u w:val="single"/>
        </w:rPr>
        <w:t>. In Neah Bay, protesters held up signs: “Save a whale, hunt a Makah”</w:t>
      </w:r>
      <w:r w:rsidRPr="008D482C">
        <w:rPr>
          <w:sz w:val="16"/>
        </w:rPr>
        <w:t xml:space="preserve"> (Harris, Lyon, &amp; McLaughlin, 2005, p. 82). Apart from the important social justice concerns raised by the persistent backlash against Aboriginal political resurgence (Lomawaima &amp; McCarty, 2002), </w:t>
      </w:r>
      <w:r w:rsidRPr="00657554">
        <w:rPr>
          <w:u w:val="single"/>
        </w:rPr>
        <w:t>there is a deeper epistemological collision that animates these moments and challenges us to view schools through an indigenous lens</w:t>
      </w:r>
      <w:r w:rsidRPr="008D482C">
        <w:rPr>
          <w:sz w:val="16"/>
        </w:rPr>
        <w:t xml:space="preserve">. The </w:t>
      </w:r>
      <w:r w:rsidRPr="007D47FE">
        <w:rPr>
          <w:u w:val="single"/>
        </w:rPr>
        <w:t xml:space="preserve">backlash against tribal students was not confined to environmental education issues but reveals how the </w:t>
      </w:r>
      <w:r w:rsidRPr="00F22764">
        <w:rPr>
          <w:highlight w:val="green"/>
          <w:u w:val="single"/>
        </w:rPr>
        <w:t>mainstream culture of the classroom silences</w:t>
      </w:r>
      <w:r w:rsidRPr="007D47FE">
        <w:rPr>
          <w:u w:val="single"/>
        </w:rPr>
        <w:t xml:space="preserve"> both </w:t>
      </w:r>
      <w:r w:rsidRPr="00F22764">
        <w:rPr>
          <w:highlight w:val="green"/>
          <w:u w:val="single"/>
        </w:rPr>
        <w:t>the native voice</w:t>
      </w:r>
      <w:r w:rsidRPr="007D47FE">
        <w:rPr>
          <w:u w:val="single"/>
        </w:rPr>
        <w:t xml:space="preserve"> </w:t>
      </w:r>
      <w:r w:rsidRPr="003C574F">
        <w:rPr>
          <w:u w:val="single"/>
        </w:rPr>
        <w:t>and</w:t>
      </w:r>
      <w:r w:rsidRPr="007D47FE">
        <w:rPr>
          <w:u w:val="single"/>
        </w:rPr>
        <w:t xml:space="preserve"> a deeper cross-cultural reflection</w:t>
      </w:r>
      <w:r w:rsidRPr="008D482C">
        <w:rPr>
          <w:sz w:val="16"/>
        </w:rPr>
        <w:t xml:space="preserve">. Because the </w:t>
      </w:r>
      <w:r w:rsidRPr="00F22764">
        <w:rPr>
          <w:highlight w:val="green"/>
          <w:u w:val="single"/>
        </w:rPr>
        <w:t>schools privilege a form of knowledge that presumes</w:t>
      </w:r>
      <w:r w:rsidRPr="00DE235F">
        <w:rPr>
          <w:u w:val="single"/>
        </w:rPr>
        <w:t xml:space="preserve"> the cultural </w:t>
      </w:r>
      <w:r w:rsidRPr="00F22764">
        <w:rPr>
          <w:highlight w:val="green"/>
          <w:u w:val="single"/>
        </w:rPr>
        <w:t>neutrality of science and technology</w:t>
      </w:r>
      <w:r w:rsidRPr="00DE235F">
        <w:rPr>
          <w:u w:val="single"/>
        </w:rPr>
        <w:t xml:space="preserve">, indigenous </w:t>
      </w:r>
      <w:r w:rsidRPr="00F22764">
        <w:rPr>
          <w:highlight w:val="green"/>
          <w:u w:val="single"/>
        </w:rPr>
        <w:t>ecological understandings are</w:t>
      </w:r>
      <w:r w:rsidRPr="00DE235F">
        <w:rPr>
          <w:u w:val="single"/>
        </w:rPr>
        <w:t xml:space="preserve"> dismissed as </w:t>
      </w:r>
      <w:r w:rsidRPr="00F22764">
        <w:rPr>
          <w:highlight w:val="green"/>
          <w:u w:val="single"/>
        </w:rPr>
        <w:t>exotic</w:t>
      </w:r>
      <w:r w:rsidRPr="00DE235F">
        <w:rPr>
          <w:u w:val="single"/>
        </w:rPr>
        <w:t>, but irrelevant, distraction</w:t>
      </w:r>
      <w:r w:rsidRPr="008D482C">
        <w:rPr>
          <w:sz w:val="16"/>
        </w:rPr>
        <w:t xml:space="preserve">. Rather than disparaging or ignoring indigenous values and choices, educators should seize a potent opportunity for a crosscultural critique (Marcus &amp; Fischer, 1986), focusing a mirror back at the commonplace assumptions about nature, history, identity, and food. This is a setting where anthropology’s comparative approach to understanding culture would have been exceedingly useful. </w:t>
      </w:r>
      <w:r w:rsidRPr="00886862">
        <w:rPr>
          <w:u w:val="single"/>
        </w:rPr>
        <w:t xml:space="preserve">Recently, there has been an intensification of assaults on Aboriginal people by both academic writers and </w:t>
      </w:r>
      <w:r w:rsidRPr="00F22764">
        <w:rPr>
          <w:highlight w:val="green"/>
          <w:u w:val="single"/>
        </w:rPr>
        <w:t>journalists</w:t>
      </w:r>
      <w:r w:rsidRPr="00886862">
        <w:rPr>
          <w:u w:val="single"/>
        </w:rPr>
        <w:t xml:space="preserve"> who </w:t>
      </w:r>
      <w:r w:rsidRPr="00F22764">
        <w:rPr>
          <w:highlight w:val="green"/>
          <w:u w:val="single"/>
        </w:rPr>
        <w:t>portray them as fraudulent models for ecologically sustainable lifeways</w:t>
      </w:r>
      <w:r w:rsidRPr="008D482C">
        <w:rPr>
          <w:sz w:val="16"/>
        </w:rPr>
        <w:t xml:space="preserve">. Most of </w:t>
      </w:r>
      <w:r w:rsidRPr="00F74566">
        <w:rPr>
          <w:u w:val="single"/>
        </w:rPr>
        <w:t xml:space="preserve">these writings assert that Indians have become assimilated and so do not represent any connection with an Aboriginal past that has likewise been mythologized and romanticized. </w:t>
      </w:r>
      <w:r w:rsidRPr="008D482C">
        <w:rPr>
          <w:sz w:val="16"/>
        </w:rPr>
        <w:t xml:space="preserve">Founded on iconoclastic zeal, these texts go too far. In an effort to expose the cardboard version of “Indian as ecologist,” they end up like Krech’s (1999) book, The Ecological Indian, having an underlying theme of “Indians are just like us”: </w:t>
      </w:r>
      <w:r w:rsidRPr="002A7AB5">
        <w:rPr>
          <w:u w:val="single"/>
        </w:rPr>
        <w:t xml:space="preserve">For </w:t>
      </w:r>
      <w:r w:rsidRPr="00F22764">
        <w:rPr>
          <w:highlight w:val="green"/>
          <w:u w:val="single"/>
        </w:rPr>
        <w:t>every story about</w:t>
      </w:r>
      <w:r w:rsidRPr="002A7AB5">
        <w:rPr>
          <w:u w:val="single"/>
        </w:rPr>
        <w:t xml:space="preserve"> Indians </w:t>
      </w:r>
      <w:r w:rsidRPr="00F22764">
        <w:rPr>
          <w:highlight w:val="green"/>
          <w:u w:val="single"/>
        </w:rPr>
        <w:t>being</w:t>
      </w:r>
      <w:r w:rsidRPr="002A7AB5">
        <w:rPr>
          <w:u w:val="single"/>
        </w:rPr>
        <w:t xml:space="preserve"> at the receiving end of environmental </w:t>
      </w:r>
      <w:r w:rsidRPr="00D461F8">
        <w:rPr>
          <w:u w:val="single"/>
        </w:rPr>
        <w:t xml:space="preserve">racism or taking actions usually </w:t>
      </w:r>
      <w:r w:rsidRPr="00F22764">
        <w:rPr>
          <w:highlight w:val="green"/>
          <w:u w:val="single"/>
        </w:rPr>
        <w:t>associated with conservation</w:t>
      </w:r>
      <w:r w:rsidRPr="00D461F8">
        <w:rPr>
          <w:u w:val="single"/>
        </w:rPr>
        <w:t xml:space="preserve"> or environmentalism </w:t>
      </w:r>
      <w:r w:rsidRPr="00F22764">
        <w:rPr>
          <w:highlight w:val="green"/>
          <w:u w:val="single"/>
        </w:rPr>
        <w:t>is a conflicting story about</w:t>
      </w:r>
      <w:r w:rsidRPr="008D482C">
        <w:rPr>
          <w:sz w:val="16"/>
        </w:rPr>
        <w:t xml:space="preserve"> them </w:t>
      </w:r>
      <w:r w:rsidRPr="00F22764">
        <w:rPr>
          <w:highlight w:val="green"/>
          <w:u w:val="single"/>
        </w:rPr>
        <w:t>exploiting resources</w:t>
      </w:r>
      <w:r w:rsidRPr="006E38D6">
        <w:rPr>
          <w:u w:val="single"/>
        </w:rPr>
        <w:t xml:space="preserve"> or endangering lands—</w:t>
      </w:r>
      <w:r w:rsidRPr="00F22764">
        <w:rPr>
          <w:highlight w:val="green"/>
          <w:u w:val="single"/>
        </w:rPr>
        <w:t>and</w:t>
      </w:r>
      <w:r w:rsidRPr="006E38D6">
        <w:rPr>
          <w:u w:val="single"/>
        </w:rPr>
        <w:t xml:space="preserve"> inevitably </w:t>
      </w:r>
      <w:r w:rsidRPr="00F22764">
        <w:rPr>
          <w:highlight w:val="green"/>
          <w:u w:val="single"/>
        </w:rPr>
        <w:t>disappointing non-Indian</w:t>
      </w:r>
      <w:r w:rsidRPr="006E38D6">
        <w:rPr>
          <w:u w:val="single"/>
        </w:rPr>
        <w:t xml:space="preserve"> </w:t>
      </w:r>
      <w:r w:rsidRPr="00816EEB">
        <w:rPr>
          <w:u w:val="single"/>
        </w:rPr>
        <w:t xml:space="preserve">environmentalists and </w:t>
      </w:r>
      <w:r w:rsidRPr="00F22764">
        <w:rPr>
          <w:highlight w:val="green"/>
          <w:u w:val="single"/>
        </w:rPr>
        <w:t>conservationists</w:t>
      </w:r>
      <w:r w:rsidRPr="00A37A4F">
        <w:rPr>
          <w:u w:val="single"/>
        </w:rPr>
        <w:t xml:space="preserve">. </w:t>
      </w:r>
      <w:r w:rsidRPr="00F22764">
        <w:rPr>
          <w:highlight w:val="green"/>
          <w:u w:val="single"/>
        </w:rPr>
        <w:t>In Indian country</w:t>
      </w:r>
      <w:r w:rsidRPr="008D482C">
        <w:rPr>
          <w:sz w:val="16"/>
        </w:rPr>
        <w:t xml:space="preserve">, as in the larger society, </w:t>
      </w:r>
      <w:r w:rsidRPr="00F22764">
        <w:rPr>
          <w:highlight w:val="green"/>
          <w:u w:val="single"/>
        </w:rPr>
        <w:t>conservation is</w:t>
      </w:r>
      <w:r w:rsidRPr="00A37A4F">
        <w:rPr>
          <w:u w:val="single"/>
        </w:rPr>
        <w:t xml:space="preserve"> often </w:t>
      </w:r>
      <w:r w:rsidRPr="00F22764">
        <w:rPr>
          <w:highlight w:val="green"/>
          <w:u w:val="single"/>
        </w:rPr>
        <w:t>sacrificed for economic security</w:t>
      </w:r>
      <w:r w:rsidRPr="008D482C">
        <w:rPr>
          <w:sz w:val="16"/>
        </w:rPr>
        <w:t xml:space="preserve">. (p. 227) This </w:t>
      </w:r>
      <w:r w:rsidRPr="00F22764">
        <w:rPr>
          <w:highlight w:val="green"/>
          <w:u w:val="single"/>
        </w:rPr>
        <w:t>writing</w:t>
      </w:r>
      <w:r w:rsidRPr="008D482C">
        <w:rPr>
          <w:sz w:val="16"/>
        </w:rPr>
        <w:t xml:space="preserve">, which </w:t>
      </w:r>
      <w:r w:rsidRPr="00766AF1">
        <w:rPr>
          <w:u w:val="single"/>
        </w:rPr>
        <w:t xml:space="preserve">excoriates the “Indians and nature” construction, </w:t>
      </w:r>
      <w:r w:rsidRPr="00F22764">
        <w:rPr>
          <w:highlight w:val="green"/>
          <w:u w:val="single"/>
        </w:rPr>
        <w:t>replaces</w:t>
      </w:r>
      <w:r w:rsidRPr="00766AF1">
        <w:rPr>
          <w:u w:val="single"/>
        </w:rPr>
        <w:t xml:space="preserve"> it </w:t>
      </w:r>
      <w:r w:rsidRPr="00F22764">
        <w:rPr>
          <w:highlight w:val="green"/>
          <w:u w:val="single"/>
        </w:rPr>
        <w:t>with another stereotype</w:t>
      </w:r>
      <w:r w:rsidRPr="00766AF1">
        <w:rPr>
          <w:u w:val="single"/>
        </w:rPr>
        <w:t xml:space="preserve">, one </w:t>
      </w:r>
      <w:r w:rsidRPr="00F22764">
        <w:rPr>
          <w:highlight w:val="green"/>
          <w:u w:val="single"/>
        </w:rPr>
        <w:t>based on the denial of</w:t>
      </w:r>
      <w:r w:rsidRPr="00766AF1">
        <w:rPr>
          <w:u w:val="single"/>
        </w:rPr>
        <w:t xml:space="preserve"> significant </w:t>
      </w:r>
      <w:r w:rsidRPr="00F22764">
        <w:rPr>
          <w:highlight w:val="green"/>
          <w:u w:val="single"/>
        </w:rPr>
        <w:t>cultural differences</w:t>
      </w:r>
      <w:r w:rsidRPr="00766AF1">
        <w:rPr>
          <w:u w:val="single"/>
        </w:rPr>
        <w:t xml:space="preserve"> between European and indigenous ecological conduct</w:t>
      </w:r>
      <w:r w:rsidRPr="008D482C">
        <w:rPr>
          <w:sz w:val="16"/>
        </w:rPr>
        <w:t xml:space="preserve">. Smith (1999) has discussed how </w:t>
      </w:r>
      <w:r w:rsidRPr="003A39C1">
        <w:rPr>
          <w:u w:val="single"/>
        </w:rPr>
        <w:t>discourse on the politics of difference—or sameness—becomes caustic anti-Indian rhetoric</w:t>
      </w:r>
      <w:r w:rsidRPr="008D482C">
        <w:rPr>
          <w:sz w:val="16"/>
        </w:rPr>
        <w:t xml:space="preserve">: One of the major problems with the way words are defined is that these debates are often held by academics in one context, within a specific intellectual discourse, and then appropriated by the media and popular press to serve a more blatant ideological and racist agenda. (p. 73) In many respects, </w:t>
      </w:r>
      <w:r w:rsidRPr="005432FB">
        <w:rPr>
          <w:u w:val="single"/>
        </w:rPr>
        <w:t xml:space="preserve">this </w:t>
      </w:r>
      <w:r w:rsidRPr="00F22764">
        <w:rPr>
          <w:highlight w:val="green"/>
          <w:u w:val="single"/>
        </w:rPr>
        <w:t>move to deny Aboriginal claims based on ecological practice</w:t>
      </w:r>
      <w:r w:rsidRPr="005432FB">
        <w:rPr>
          <w:u w:val="single"/>
        </w:rPr>
        <w:t xml:space="preserve"> and sustained inhabitation </w:t>
      </w:r>
      <w:r w:rsidRPr="00F22764">
        <w:rPr>
          <w:highlight w:val="green"/>
          <w:u w:val="single"/>
        </w:rPr>
        <w:t>is not</w:t>
      </w:r>
      <w:r w:rsidRPr="005432FB">
        <w:rPr>
          <w:u w:val="single"/>
        </w:rPr>
        <w:t xml:space="preserve"> a </w:t>
      </w:r>
      <w:r w:rsidRPr="00F22764">
        <w:rPr>
          <w:highlight w:val="green"/>
          <w:u w:val="single"/>
        </w:rPr>
        <w:t>new</w:t>
      </w:r>
      <w:r w:rsidRPr="005432FB">
        <w:rPr>
          <w:u w:val="single"/>
        </w:rPr>
        <w:t xml:space="preserve"> theme for tribal people of the Pacific Northwest</w:t>
      </w:r>
      <w:r w:rsidRPr="008D482C">
        <w:rPr>
          <w:sz w:val="16"/>
        </w:rPr>
        <w:t xml:space="preserve">. Washington state has one of the most notable anti-Indian histories in North America. What is not conventionally discussed is how the politics of Indian-White relations is felt in classrooms and other educational 484 URBAN EDUCATION / SEPTEMBER 2006 Downloaded from uex.sagepub.com at The University of Hong Kong Libraries on May 10, 2015 Marker / AFTER THE MAKAH WHALE HUNT 485 settings. During the 1970s and 1980s, Indian children were attacked both verbally and physically because of White resentment about native fishing rights victories in the courts. The 1974 Boldt decision1 is foregrounded as tribal people tell of their survival in hostile public schools controlled by powerful White teachers and administrators, many of whom were fishermen (Marker, 2000). The expression of local indigenous culture becomes contentious whenever claims on land and resources from tribal representatives are made from claims about historic cultural identity. So it was that </w:t>
      </w:r>
      <w:r w:rsidRPr="005432FB">
        <w:rPr>
          <w:u w:val="single"/>
        </w:rPr>
        <w:t xml:space="preserve">Coastal Salish students during the fishing wars could speak about their culture only as long as they avoided discussing the salmon—a central aspect of their culture. Classroom talk about the salmon, in particular when it included discourse on treaties, provoked attacks on Indians. </w:t>
      </w:r>
      <w:r w:rsidRPr="008D482C">
        <w:rPr>
          <w:sz w:val="16"/>
        </w:rPr>
        <w:t xml:space="preserve">The </w:t>
      </w:r>
      <w:r w:rsidRPr="00FE5333">
        <w:rPr>
          <w:u w:val="single"/>
        </w:rPr>
        <w:t>cultural claims to the salmon were pounced on at the same time that the Aboriginal students’ narratives about identity and history were confronted and framed as illegitimate by the White community</w:t>
      </w:r>
      <w:r w:rsidRPr="008D482C">
        <w:rPr>
          <w:sz w:val="16"/>
        </w:rPr>
        <w:t xml:space="preserve">. Such assaults were viewed as justified outrage at a political, not cultural, condition born of a presumed inequitable distribution of the fisheries resource. Teachers, administrators, and other members of </w:t>
      </w:r>
      <w:r w:rsidRPr="00182246">
        <w:rPr>
          <w:u w:val="single"/>
        </w:rPr>
        <w:t>the White community argued vociferously that they were not being racist</w:t>
      </w:r>
      <w:r w:rsidRPr="008D482C">
        <w:rPr>
          <w:sz w:val="16"/>
        </w:rPr>
        <w:t xml:space="preserve"> against Indians </w:t>
      </w:r>
      <w:r w:rsidRPr="00182246">
        <w:rPr>
          <w:u w:val="single"/>
        </w:rPr>
        <w:t>but were merely disputing the “special” rights of tribal people</w:t>
      </w:r>
      <w:r w:rsidRPr="008D482C">
        <w:rPr>
          <w:sz w:val="16"/>
        </w:rPr>
        <w:t xml:space="preserve">. It could be asserted that the racist hostility experienced by Washington state’s Indian children was formed out of conflicts that were essentially economic in nature, but that is incomplete and inexact. There is a deeper kind of suspicion and resentment about the indigenous Other that simply finds public legitimacy in the claims of injustice or unfair special status for Indians. Tribal elders have told me on a number of occasions that political backlash moments are largely an excuse for Whites to vent long-held hostilities toward Indians. There is a deep and enduring aspect to the racism experienced by Aboriginal students that is unlike the experiences of any other oppressed ethnic minority. There is a deep insecurity within the consciousness and conscience of settler societies that, when confronted by the indigenous Other, is awakened to challenges about authenticity in relation to land and identity. </w:t>
      </w:r>
      <w:r w:rsidRPr="003F5462">
        <w:rPr>
          <w:u w:val="single"/>
        </w:rPr>
        <w:t>There is embedded in this encounter with indigenous knowledge a challenge about both epistemic and moral authority with regard to indigenous relationships to land and the spirit of the land.</w:t>
      </w:r>
      <w:r w:rsidRPr="008D482C">
        <w:rPr>
          <w:sz w:val="16"/>
        </w:rPr>
        <w:t xml:space="preserve"> Whereas other minoritized groups demand revisionist histories and increased access to power within educational institutions, indigenous people present a more direct challenge to the core assumptions about life’s goals and purposes. Urban African Americans and Latinos mobilize around equity and access discourses, but indigenous cultures posit a social stance outside of assertions of pluralism, rather, claims to moral and epistemic preeminence based on ancient and sustained relationships to land. Their histories and presence speak loudly, “We are the First Peoples.” Kawagley and Barnhardt (1999) put it well: “The incongruities between Western institutional structures and practices and indigenous cultural forms will not be easy to reconcile. The complexities that come into play when two fundamentally different worldviews converge present a formidable challenge” (p. 120). American Indian scholar Donald Fixico (2003) points out that indigenous and nonindigenous frames of mind are polar opposites and that the Indian relationship to place is connected to “one of the undisputed laws of nature” (p. 71</w:t>
      </w:r>
      <w:r w:rsidRPr="009475B3">
        <w:rPr>
          <w:u w:val="single"/>
        </w:rPr>
        <w:t xml:space="preserve">). </w:t>
      </w:r>
      <w:r w:rsidRPr="00F22764">
        <w:rPr>
          <w:highlight w:val="green"/>
          <w:u w:val="single"/>
        </w:rPr>
        <w:t>In the</w:t>
      </w:r>
      <w:r w:rsidRPr="009475B3">
        <w:rPr>
          <w:u w:val="single"/>
        </w:rPr>
        <w:t xml:space="preserve"> case of the </w:t>
      </w:r>
      <w:r w:rsidRPr="00F22764">
        <w:rPr>
          <w:highlight w:val="green"/>
          <w:u w:val="single"/>
        </w:rPr>
        <w:t>Makah whale hunt</w:t>
      </w:r>
      <w:r w:rsidRPr="009475B3">
        <w:rPr>
          <w:u w:val="single"/>
        </w:rPr>
        <w:t xml:space="preserve">, </w:t>
      </w:r>
      <w:r w:rsidRPr="00F22764">
        <w:rPr>
          <w:highlight w:val="green"/>
          <w:u w:val="single"/>
        </w:rPr>
        <w:t>the</w:t>
      </w:r>
      <w:r w:rsidRPr="009475B3">
        <w:rPr>
          <w:u w:val="single"/>
        </w:rPr>
        <w:t xml:space="preserve"> </w:t>
      </w:r>
      <w:r w:rsidRPr="00F22764">
        <w:rPr>
          <w:highlight w:val="green"/>
          <w:u w:val="single"/>
        </w:rPr>
        <w:t>issue</w:t>
      </w:r>
      <w:r w:rsidRPr="009475B3">
        <w:rPr>
          <w:u w:val="single"/>
        </w:rPr>
        <w:t xml:space="preserve"> was not that White fishermen wanted to hunt whales and were resentful that Indians were granted an exclusive treaty right to an economic resource; it </w:t>
      </w:r>
      <w:r w:rsidRPr="00F22764">
        <w:rPr>
          <w:highlight w:val="green"/>
          <w:u w:val="single"/>
        </w:rPr>
        <w:t>was that public opinion opposed any and all hunting of whales.</w:t>
      </w:r>
      <w:r w:rsidRPr="008D482C">
        <w:rPr>
          <w:sz w:val="16"/>
        </w:rPr>
        <w:t xml:space="preserve"> The </w:t>
      </w:r>
      <w:r w:rsidRPr="00F22764">
        <w:rPr>
          <w:highlight w:val="green"/>
          <w:u w:val="single"/>
        </w:rPr>
        <w:t>cultural clash was based on different understandings of reality</w:t>
      </w:r>
      <w:r w:rsidRPr="009475B3">
        <w:rPr>
          <w:u w:val="single"/>
        </w:rPr>
        <w:t xml:space="preserve"> and different emotional perspectives about the whale</w:t>
      </w:r>
      <w:r w:rsidRPr="008D482C">
        <w:rPr>
          <w:sz w:val="16"/>
        </w:rPr>
        <w:t xml:space="preserve">. For the nonnative public, </w:t>
      </w:r>
      <w:r w:rsidRPr="00F22764">
        <w:rPr>
          <w:highlight w:val="green"/>
          <w:u w:val="single"/>
        </w:rPr>
        <w:t>the whale is viewed as</w:t>
      </w:r>
      <w:r w:rsidRPr="00F20138">
        <w:rPr>
          <w:u w:val="single"/>
        </w:rPr>
        <w:t xml:space="preserve"> a special creature that has been sufficiently media-ized and anthropomorphized</w:t>
      </w:r>
      <w:r w:rsidRPr="008D482C">
        <w:rPr>
          <w:sz w:val="16"/>
        </w:rPr>
        <w:t xml:space="preserve">. On classroom bulletin boards all across North America, </w:t>
      </w:r>
      <w:r w:rsidRPr="00701CE6">
        <w:rPr>
          <w:u w:val="single"/>
        </w:rPr>
        <w:t xml:space="preserve">whales are displayed as </w:t>
      </w:r>
      <w:r w:rsidRPr="00F22764">
        <w:rPr>
          <w:highlight w:val="green"/>
          <w:u w:val="single"/>
        </w:rPr>
        <w:t>gentle wise creatures</w:t>
      </w:r>
      <w:r w:rsidRPr="00701CE6">
        <w:rPr>
          <w:u w:val="single"/>
        </w:rPr>
        <w:t xml:space="preserve"> helping children imagine a warm and friendly natural world </w:t>
      </w:r>
      <w:r w:rsidRPr="00F22764">
        <w:rPr>
          <w:highlight w:val="green"/>
          <w:u w:val="single"/>
        </w:rPr>
        <w:t>that mimics a Disney film</w:t>
      </w:r>
      <w:r w:rsidRPr="008D482C">
        <w:rPr>
          <w:sz w:val="16"/>
        </w:rPr>
        <w:t xml:space="preserve">.2 Teachers inadvertently inculcate a strange and unnatural affection for a media-concocted icon while cementing the collage of their students’ ethnocentrism. </w:t>
      </w:r>
      <w:r w:rsidRPr="00F22764">
        <w:rPr>
          <w:sz w:val="16"/>
          <w:highlight w:val="green"/>
        </w:rPr>
        <w:t>Tr</w:t>
      </w:r>
      <w:r w:rsidRPr="00F22764">
        <w:rPr>
          <w:highlight w:val="green"/>
          <w:u w:val="single"/>
        </w:rPr>
        <w:t>ibal people</w:t>
      </w:r>
      <w:r w:rsidRPr="00B21819">
        <w:rPr>
          <w:u w:val="single"/>
        </w:rPr>
        <w:t xml:space="preserve">, on the other hand, tend to </w:t>
      </w:r>
      <w:r w:rsidRPr="00F22764">
        <w:rPr>
          <w:highlight w:val="green"/>
          <w:u w:val="single"/>
        </w:rPr>
        <w:t>regard</w:t>
      </w:r>
      <w:r w:rsidRPr="00B21819">
        <w:rPr>
          <w:u w:val="single"/>
        </w:rPr>
        <w:t xml:space="preserve"> events such as </w:t>
      </w:r>
      <w:r w:rsidRPr="00F22764">
        <w:rPr>
          <w:highlight w:val="green"/>
          <w:u w:val="single"/>
        </w:rPr>
        <w:t>the Makah</w:t>
      </w:r>
      <w:r w:rsidRPr="00B21819">
        <w:rPr>
          <w:u w:val="single"/>
        </w:rPr>
        <w:t xml:space="preserve"> whale </w:t>
      </w:r>
      <w:r w:rsidRPr="00F22764">
        <w:rPr>
          <w:highlight w:val="green"/>
          <w:u w:val="single"/>
        </w:rPr>
        <w:t>hunt as an effort to reclaim</w:t>
      </w:r>
      <w:r w:rsidRPr="00B21819">
        <w:rPr>
          <w:u w:val="single"/>
        </w:rPr>
        <w:t xml:space="preserve"> stolen </w:t>
      </w:r>
      <w:r w:rsidRPr="00F22764">
        <w:rPr>
          <w:highlight w:val="green"/>
          <w:u w:val="single"/>
        </w:rPr>
        <w:t>cultural</w:t>
      </w:r>
      <w:r w:rsidRPr="00B21819">
        <w:rPr>
          <w:u w:val="single"/>
        </w:rPr>
        <w:t xml:space="preserve"> space and </w:t>
      </w:r>
      <w:r w:rsidRPr="00F22764">
        <w:rPr>
          <w:highlight w:val="green"/>
          <w:u w:val="single"/>
        </w:rPr>
        <w:t>autonomy</w:t>
      </w:r>
      <w:r w:rsidRPr="00B21819">
        <w:rPr>
          <w:u w:val="single"/>
        </w:rPr>
        <w:t xml:space="preserve"> in the shadow of colonial and corporate hegemony.</w:t>
      </w:r>
      <w:r w:rsidRPr="008D482C">
        <w:rPr>
          <w:sz w:val="16"/>
        </w:rPr>
        <w:t xml:space="preserve"> </w:t>
      </w:r>
      <w:r w:rsidRPr="00011104">
        <w:rPr>
          <w:u w:val="single"/>
        </w:rPr>
        <w:t>The sentiment of the public</w:t>
      </w:r>
      <w:r w:rsidRPr="008D482C">
        <w:rPr>
          <w:sz w:val="16"/>
        </w:rPr>
        <w:t xml:space="preserve">, manipulated by the media, </w:t>
      </w:r>
      <w:r w:rsidRPr="00011104">
        <w:rPr>
          <w:u w:val="single"/>
        </w:rPr>
        <w:t>was that the Makah</w:t>
      </w:r>
      <w:r w:rsidRPr="008D482C">
        <w:rPr>
          <w:sz w:val="16"/>
        </w:rPr>
        <w:t xml:space="preserve"> were not involved in anything cultural—whatever culture means—and that sinister economic forces, such as Japanese businessmen, </w:t>
      </w:r>
      <w:r w:rsidRPr="00011104">
        <w:rPr>
          <w:u w:val="single"/>
        </w:rPr>
        <w:t>were manipulating an already corrupted group of factionalized and even fictionalized Indians</w:t>
      </w:r>
      <w:r w:rsidRPr="008D482C">
        <w:rPr>
          <w:sz w:val="16"/>
        </w:rPr>
        <w:t>. Patricia Pierce Erickson (2002) has written that in the wake of save-the-whales campaigns—the Free Willy and Free Willy II movies and the saga of repatriating the whale, Keiko, to his original homeland in Iceland—t</w:t>
      </w:r>
      <w:r w:rsidRPr="00C76ED2">
        <w:rPr>
          <w:u w:val="single"/>
        </w:rPr>
        <w:t>he Makah people have faced considerable anti-whaling sentiment</w:t>
      </w:r>
      <w:r w:rsidRPr="008D482C">
        <w:rPr>
          <w:sz w:val="16"/>
        </w:rPr>
        <w:t xml:space="preserve">. . . . Some of the </w:t>
      </w:r>
      <w:r w:rsidRPr="00C76ED2">
        <w:rPr>
          <w:u w:val="single"/>
        </w:rPr>
        <w:t>more intense elements of this anti-whaling strategy have included threats to destroy Makah whaling vessels, blockading the Neah Bay harbor, and swamping the annual Makah Days gathering with protestors</w:t>
      </w:r>
      <w:r w:rsidRPr="008D482C">
        <w:rPr>
          <w:sz w:val="16"/>
        </w:rPr>
        <w:t xml:space="preserve">. (pp. 207-208) The public attacks on the Makah have been akin to such vituperative writings as Ted Williams’s (2001) Audubon editorial against the Hopi’s taking of golden eagles for religious purposes: Who really stands to benefit from the myth that Native Americans, when given the opportunity, can’t make as good exploiters as other Americans? Can wrongs to people long dead be righted by wrongs to people living and yet unborn? And can it really be that what is bad for wildlife is good for Native Americans? (p. 1) Once again, </w:t>
      </w:r>
      <w:r w:rsidRPr="00690848">
        <w:rPr>
          <w:u w:val="single"/>
        </w:rPr>
        <w:t>we are delivered the unvarying and militant chorus of “Indians are just like the rest of us” with an ethnocentric edge</w:t>
      </w:r>
      <w:r w:rsidRPr="008D482C">
        <w:rPr>
          <w:sz w:val="16"/>
        </w:rPr>
        <w:t>. “Can school be a place to be indigenous, a place to be nonhomogenized, a place in which all children learn, question, and grow from a position that values and builds upon who they are?” (McCarty, 2002, p. 199). Maybe, but not if you are from a Makah family that hunts whales. In the classroom</w:t>
      </w:r>
      <w:r w:rsidRPr="00F22764">
        <w:rPr>
          <w:sz w:val="16"/>
          <w:highlight w:val="green"/>
        </w:rPr>
        <w:t xml:space="preserve">, </w:t>
      </w:r>
      <w:r w:rsidRPr="00F22764">
        <w:rPr>
          <w:highlight w:val="green"/>
          <w:u w:val="single"/>
        </w:rPr>
        <w:t>an authoritative teacher</w:t>
      </w:r>
      <w:r w:rsidRPr="003C574F">
        <w:rPr>
          <w:u w:val="single"/>
        </w:rPr>
        <w:t>’s</w:t>
      </w:r>
      <w:r w:rsidRPr="008168E3">
        <w:rPr>
          <w:u w:val="single"/>
        </w:rPr>
        <w:t xml:space="preserve"> voice, immersed in science and psychology, </w:t>
      </w:r>
      <w:r w:rsidRPr="00F22764">
        <w:rPr>
          <w:highlight w:val="green"/>
          <w:u w:val="single"/>
        </w:rPr>
        <w:t>overwhelms</w:t>
      </w:r>
      <w:r w:rsidRPr="008168E3">
        <w:rPr>
          <w:u w:val="single"/>
        </w:rPr>
        <w:t xml:space="preserve"> the rare moments when </w:t>
      </w:r>
      <w:r w:rsidRPr="00F22764">
        <w:rPr>
          <w:highlight w:val="green"/>
          <w:u w:val="single"/>
        </w:rPr>
        <w:t>an</w:t>
      </w:r>
      <w:r w:rsidRPr="008168E3">
        <w:rPr>
          <w:u w:val="single"/>
        </w:rPr>
        <w:t xml:space="preserve"> </w:t>
      </w:r>
      <w:r w:rsidRPr="00F22764">
        <w:rPr>
          <w:highlight w:val="green"/>
          <w:u w:val="single"/>
        </w:rPr>
        <w:t>Aboriginal</w:t>
      </w:r>
      <w:r w:rsidRPr="008168E3">
        <w:rPr>
          <w:u w:val="single"/>
        </w:rPr>
        <w:t xml:space="preserve"> student, risking a personal attack, offers an </w:t>
      </w:r>
      <w:r w:rsidRPr="00F22764">
        <w:rPr>
          <w:highlight w:val="green"/>
          <w:u w:val="single"/>
        </w:rPr>
        <w:t>outside</w:t>
      </w:r>
      <w:r w:rsidRPr="008168E3">
        <w:rPr>
          <w:u w:val="single"/>
        </w:rPr>
        <w:t xml:space="preserve"> </w:t>
      </w:r>
      <w:r w:rsidRPr="00F22764">
        <w:rPr>
          <w:highlight w:val="green"/>
          <w:u w:val="single"/>
        </w:rPr>
        <w:t>perspective on cosmology</w:t>
      </w:r>
      <w:r w:rsidRPr="008168E3">
        <w:rPr>
          <w:u w:val="single"/>
        </w:rPr>
        <w:t>, humans, and animals.</w:t>
      </w:r>
      <w:r w:rsidRPr="008D482C">
        <w:rPr>
          <w:sz w:val="16"/>
        </w:rPr>
        <w:t xml:space="preserve"> This is the point at which indigenous perspective is “up against the wall,” so to speak.</w:t>
      </w:r>
    </w:p>
    <w:p w14:paraId="2B2ACBFB" w14:textId="77777777" w:rsidR="00CC2CC5" w:rsidRDefault="00CC2CC5" w:rsidP="00CC2CC5">
      <w:pPr>
        <w:pStyle w:val="Heading4"/>
      </w:pPr>
      <w:r>
        <w:t>The Clean Water Act (</w:t>
      </w:r>
      <w:r w:rsidRPr="00802A8C">
        <w:t>CWA</w:t>
      </w:r>
      <w:r>
        <w:t>) cements federal jurisdiction over Indigenous water control measures. The EPA restricts self-determination by supplanting Indigenous responses to water degradation with its own standards.</w:t>
      </w:r>
    </w:p>
    <w:p w14:paraId="23E0271D" w14:textId="77777777" w:rsidR="00CC2CC5" w:rsidRDefault="00CC2CC5" w:rsidP="00CC2CC5">
      <w:r>
        <w:t>*TAS = Treatment In a Similar Manner as States</w:t>
      </w:r>
    </w:p>
    <w:p w14:paraId="69494F96" w14:textId="77777777" w:rsidR="00CC2CC5" w:rsidRPr="0063559B" w:rsidRDefault="00CC2CC5" w:rsidP="00CC2CC5">
      <w:pPr>
        <w:rPr>
          <w:rStyle w:val="Style13ptBold"/>
        </w:rPr>
      </w:pPr>
      <w:r w:rsidRPr="0063559B">
        <w:rPr>
          <w:rStyle w:val="Style13ptBold"/>
        </w:rPr>
        <w:t>Cohn ‘19</w:t>
      </w:r>
    </w:p>
    <w:p w14:paraId="3C7F1558" w14:textId="77777777" w:rsidR="00CC2CC5" w:rsidRPr="00462F85" w:rsidRDefault="00CC2CC5" w:rsidP="00CC2CC5">
      <w:pPr>
        <w:rPr>
          <w:sz w:val="16"/>
          <w:szCs w:val="16"/>
        </w:rPr>
      </w:pPr>
      <w:r w:rsidRPr="00462F85">
        <w:rPr>
          <w:sz w:val="16"/>
          <w:szCs w:val="16"/>
        </w:rPr>
        <w:t xml:space="preserve">(Teresa Cavazos Cohn, Assistant Professor in the College of Natural Resources at the University of Idaho. Her research centers on water and hydrosocial relations with emphasis on Indigenous communities. Kate Berry, Geography Professor at the University of Nevada, Reno. Her research interests center on water governance and geographies of social identity. Kyle Powys Whyte, the George Willis Pack Professor of Environmental Justice at the University of Michigan. His research focuses on moral and political issues concerning climate policies and Indigenous peoples. Emma Norman, Department Chair of the Native Environmental Science program at Northwest Indian College. She works with Indigenous communities on decolonizing Indigenous water governance. “Spatio-Temporality and Tribal Water Quality Governance in the United States,” </w:t>
      </w:r>
      <w:r w:rsidRPr="00462F85">
        <w:rPr>
          <w:i/>
          <w:iCs/>
          <w:sz w:val="16"/>
          <w:szCs w:val="16"/>
        </w:rPr>
        <w:t>Water</w:t>
      </w:r>
      <w:r w:rsidRPr="00462F85">
        <w:rPr>
          <w:sz w:val="16"/>
          <w:szCs w:val="16"/>
        </w:rPr>
        <w:t xml:space="preserve"> 2019, 11, 99. </w:t>
      </w:r>
      <w:hyperlink r:id="rId25" w:history="1">
        <w:r w:rsidRPr="00462F85">
          <w:rPr>
            <w:rStyle w:val="Hyperlink"/>
            <w:sz w:val="16"/>
            <w:szCs w:val="16"/>
          </w:rPr>
          <w:t>https://doi.org/10.3390/w11010099</w:t>
        </w:r>
      </w:hyperlink>
      <w:r w:rsidRPr="00462F85">
        <w:rPr>
          <w:sz w:val="16"/>
          <w:szCs w:val="16"/>
        </w:rPr>
        <w:t>, JB)</w:t>
      </w:r>
    </w:p>
    <w:p w14:paraId="7262A15D" w14:textId="77777777" w:rsidR="00CC2CC5" w:rsidRPr="0046115B" w:rsidRDefault="00CC2CC5" w:rsidP="00CC2CC5">
      <w:pPr>
        <w:rPr>
          <w:sz w:val="16"/>
        </w:rPr>
      </w:pPr>
      <w:r w:rsidRPr="0046115B">
        <w:rPr>
          <w:sz w:val="16"/>
        </w:rPr>
        <w:t xml:space="preserve">In the U.S., </w:t>
      </w:r>
      <w:r w:rsidRPr="00B12596">
        <w:rPr>
          <w:u w:val="single"/>
        </w:rPr>
        <w:t xml:space="preserve">one significant network associated with tribal water quality governance relates to </w:t>
      </w:r>
      <w:r w:rsidRPr="000F54F1">
        <w:rPr>
          <w:u w:val="single"/>
        </w:rPr>
        <w:t>the Clean Water Act’s</w:t>
      </w:r>
      <w:r w:rsidRPr="00B12596">
        <w:rPr>
          <w:u w:val="single"/>
        </w:rPr>
        <w:t xml:space="preserve"> (CWA) </w:t>
      </w:r>
      <w:r w:rsidRPr="000F54F1">
        <w:rPr>
          <w:u w:val="single"/>
        </w:rPr>
        <w:t>Treatment</w:t>
      </w:r>
      <w:r w:rsidRPr="0046115B">
        <w:rPr>
          <w:sz w:val="16"/>
        </w:rPr>
        <w:t xml:space="preserve"> in a manner </w:t>
      </w:r>
      <w:r w:rsidRPr="00B12596">
        <w:rPr>
          <w:u w:val="single"/>
        </w:rPr>
        <w:t>similar to a State (TAS) provision</w:t>
      </w:r>
      <w:r w:rsidRPr="0046115B">
        <w:rPr>
          <w:sz w:val="16"/>
        </w:rPr>
        <w:t xml:space="preserve"> [29–36]. TAS was first applied to the CWA through 1987 amendments, in which Congress acknowledged the capacity of tribal governments in water quality planning, monitoring, and implementation, such that </w:t>
      </w:r>
      <w:r w:rsidRPr="00504C8E">
        <w:rPr>
          <w:u w:val="single"/>
        </w:rPr>
        <w:t xml:space="preserve">federally-recognized </w:t>
      </w:r>
      <w:r w:rsidRPr="00F22764">
        <w:rPr>
          <w:highlight w:val="green"/>
          <w:u w:val="single"/>
        </w:rPr>
        <w:t>Tribes may</w:t>
      </w:r>
      <w:r w:rsidRPr="00504C8E">
        <w:rPr>
          <w:u w:val="single"/>
        </w:rPr>
        <w:t xml:space="preserve"> now </w:t>
      </w:r>
      <w:r w:rsidRPr="00F22764">
        <w:rPr>
          <w:highlight w:val="green"/>
          <w:u w:val="single"/>
        </w:rPr>
        <w:t>apply for</w:t>
      </w:r>
      <w:r w:rsidRPr="00504C8E">
        <w:rPr>
          <w:u w:val="single"/>
        </w:rPr>
        <w:t xml:space="preserve"> and receive </w:t>
      </w:r>
      <w:r w:rsidRPr="00F22764">
        <w:rPr>
          <w:highlight w:val="green"/>
          <w:u w:val="single"/>
        </w:rPr>
        <w:t>TAS</w:t>
      </w:r>
      <w:r w:rsidRPr="00504C8E">
        <w:rPr>
          <w:u w:val="single"/>
        </w:rPr>
        <w:t xml:space="preserve">. </w:t>
      </w:r>
      <w:r w:rsidRPr="00F22764">
        <w:rPr>
          <w:highlight w:val="green"/>
          <w:u w:val="single"/>
        </w:rPr>
        <w:t>The</w:t>
      </w:r>
      <w:r w:rsidRPr="00504C8E">
        <w:rPr>
          <w:u w:val="single"/>
        </w:rPr>
        <w:t xml:space="preserve"> </w:t>
      </w:r>
      <w:r w:rsidRPr="00F22764">
        <w:rPr>
          <w:highlight w:val="green"/>
          <w:u w:val="single"/>
        </w:rPr>
        <w:t>EPA</w:t>
      </w:r>
      <w:r w:rsidRPr="00504C8E">
        <w:rPr>
          <w:u w:val="single"/>
        </w:rPr>
        <w:t>,</w:t>
      </w:r>
      <w:r w:rsidRPr="0046115B">
        <w:rPr>
          <w:sz w:val="16"/>
        </w:rPr>
        <w:t xml:space="preserve"> a federal regulatory agency, </w:t>
      </w:r>
      <w:r w:rsidRPr="00F22764">
        <w:rPr>
          <w:highlight w:val="green"/>
          <w:u w:val="single"/>
        </w:rPr>
        <w:t>determines TAS status and approves standards</w:t>
      </w:r>
      <w:r w:rsidRPr="00504C8E">
        <w:rPr>
          <w:u w:val="single"/>
        </w:rPr>
        <w:t xml:space="preserve"> </w:t>
      </w:r>
      <w:r w:rsidRPr="00F22764">
        <w:rPr>
          <w:highlight w:val="green"/>
          <w:u w:val="single"/>
        </w:rPr>
        <w:t>and</w:t>
      </w:r>
      <w:r w:rsidRPr="00504C8E">
        <w:rPr>
          <w:u w:val="single"/>
        </w:rPr>
        <w:t xml:space="preserve"> other </w:t>
      </w:r>
      <w:r w:rsidRPr="00F22764">
        <w:rPr>
          <w:highlight w:val="green"/>
          <w:u w:val="single"/>
        </w:rPr>
        <w:t>water quality control measures</w:t>
      </w:r>
      <w:r w:rsidRPr="0046115B">
        <w:rPr>
          <w:sz w:val="16"/>
        </w:rPr>
        <w:t xml:space="preserve">, just </w:t>
      </w:r>
      <w:r w:rsidRPr="00504C8E">
        <w:rPr>
          <w:u w:val="single"/>
        </w:rPr>
        <w:t>as they do for state governments</w:t>
      </w:r>
      <w:r w:rsidRPr="0046115B">
        <w:rPr>
          <w:sz w:val="16"/>
        </w:rPr>
        <w:t xml:space="preserve">. Currently, </w:t>
      </w:r>
      <w:r w:rsidRPr="00F22764">
        <w:rPr>
          <w:highlight w:val="green"/>
          <w:u w:val="single"/>
        </w:rPr>
        <w:t>only</w:t>
      </w:r>
      <w:r w:rsidRPr="00504C8E">
        <w:rPr>
          <w:u w:val="single"/>
        </w:rPr>
        <w:t xml:space="preserve"> </w:t>
      </w:r>
      <w:r w:rsidRPr="00F22764">
        <w:rPr>
          <w:highlight w:val="green"/>
          <w:u w:val="single"/>
        </w:rPr>
        <w:t>60</w:t>
      </w:r>
      <w:r w:rsidRPr="00504C8E">
        <w:rPr>
          <w:u w:val="single"/>
        </w:rPr>
        <w:t xml:space="preserve"> federally-recognized </w:t>
      </w:r>
      <w:r w:rsidRPr="00F22764">
        <w:rPr>
          <w:highlight w:val="green"/>
          <w:u w:val="single"/>
        </w:rPr>
        <w:t>Tribes have been approved</w:t>
      </w:r>
      <w:r w:rsidRPr="00504C8E">
        <w:rPr>
          <w:u w:val="single"/>
        </w:rPr>
        <w:t xml:space="preserve"> to administer their own water-quality standards program, and </w:t>
      </w:r>
      <w:r w:rsidRPr="00F22764">
        <w:rPr>
          <w:highlight w:val="green"/>
          <w:u w:val="single"/>
        </w:rPr>
        <w:t>44 Tribes have</w:t>
      </w:r>
      <w:r w:rsidRPr="00504C8E">
        <w:rPr>
          <w:u w:val="single"/>
        </w:rPr>
        <w:t xml:space="preserve"> had their water quality </w:t>
      </w:r>
      <w:r w:rsidRPr="00F22764">
        <w:rPr>
          <w:highlight w:val="green"/>
          <w:u w:val="single"/>
        </w:rPr>
        <w:t>standards accepted</w:t>
      </w:r>
      <w:r w:rsidRPr="00504C8E">
        <w:rPr>
          <w:u w:val="single"/>
        </w:rPr>
        <w:t>,</w:t>
      </w:r>
      <w:r w:rsidRPr="0046115B">
        <w:rPr>
          <w:sz w:val="16"/>
        </w:rPr>
        <w:t xml:space="preserve"> or </w:t>
      </w:r>
      <w:r w:rsidRPr="00F22764">
        <w:rPr>
          <w:highlight w:val="green"/>
          <w:u w:val="single"/>
        </w:rPr>
        <w:t>fewer than ten percent</w:t>
      </w:r>
      <w:r w:rsidRPr="00504C8E">
        <w:rPr>
          <w:u w:val="single"/>
        </w:rPr>
        <w:t xml:space="preserve"> of eligible Tribes</w:t>
      </w:r>
      <w:r w:rsidRPr="0046115B">
        <w:rPr>
          <w:sz w:val="16"/>
        </w:rPr>
        <w:t xml:space="preserve"> [37–39]. The Navajo Nation has TAS status and received approval to administer a water quality standards program in 2006, the same year that EPA approved its water quality standards [37]. Water 2019, 11, 99 3 of 14 Significantly, </w:t>
      </w:r>
      <w:r w:rsidRPr="00F22764">
        <w:rPr>
          <w:highlight w:val="green"/>
          <w:u w:val="single"/>
        </w:rPr>
        <w:t xml:space="preserve">definitions </w:t>
      </w:r>
      <w:r w:rsidRPr="000F54F1">
        <w:rPr>
          <w:u w:val="single"/>
        </w:rPr>
        <w:t>of water quality</w:t>
      </w:r>
      <w:r w:rsidRPr="00E50B09">
        <w:rPr>
          <w:u w:val="single"/>
        </w:rPr>
        <w:t xml:space="preserve">, </w:t>
      </w:r>
      <w:r w:rsidRPr="00F22764">
        <w:rPr>
          <w:highlight w:val="green"/>
          <w:u w:val="single"/>
        </w:rPr>
        <w:t>methods</w:t>
      </w:r>
      <w:r w:rsidRPr="00E50B09">
        <w:rPr>
          <w:u w:val="single"/>
        </w:rPr>
        <w:t xml:space="preserve"> of determining water quality, </w:t>
      </w:r>
      <w:r w:rsidRPr="00F22764">
        <w:rPr>
          <w:highlight w:val="green"/>
          <w:u w:val="single"/>
        </w:rPr>
        <w:t>and responses to water</w:t>
      </w:r>
      <w:r w:rsidRPr="00E50B09">
        <w:rPr>
          <w:u w:val="single"/>
        </w:rPr>
        <w:t xml:space="preserve"> </w:t>
      </w:r>
      <w:r w:rsidRPr="00F22764">
        <w:rPr>
          <w:highlight w:val="green"/>
          <w:u w:val="single"/>
        </w:rPr>
        <w:t>degradation are not</w:t>
      </w:r>
      <w:r w:rsidRPr="00E50B09">
        <w:rPr>
          <w:u w:val="single"/>
        </w:rPr>
        <w:t xml:space="preserve"> always </w:t>
      </w:r>
      <w:r w:rsidRPr="00F22764">
        <w:rPr>
          <w:highlight w:val="green"/>
          <w:u w:val="single"/>
        </w:rPr>
        <w:t>shared</w:t>
      </w:r>
      <w:r w:rsidRPr="0046115B">
        <w:rPr>
          <w:sz w:val="16"/>
        </w:rPr>
        <w:t xml:space="preserve"> [6,24,40]. As the incident above described, </w:t>
      </w:r>
      <w:r w:rsidRPr="00F22764">
        <w:rPr>
          <w:highlight w:val="green"/>
          <w:u w:val="single"/>
        </w:rPr>
        <w:t>President Begaye refused to lift water restrictions for the Navajo</w:t>
      </w:r>
      <w:r w:rsidRPr="00E50B09">
        <w:rPr>
          <w:u w:val="single"/>
        </w:rPr>
        <w:t xml:space="preserve"> </w:t>
      </w:r>
      <w:r w:rsidRPr="00F22764">
        <w:rPr>
          <w:highlight w:val="green"/>
          <w:u w:val="single"/>
        </w:rPr>
        <w:t xml:space="preserve">Nation when the EPA announced that water quality </w:t>
      </w:r>
      <w:r w:rsidRPr="002A50FD">
        <w:rPr>
          <w:u w:val="single"/>
        </w:rPr>
        <w:t xml:space="preserve">had </w:t>
      </w:r>
      <w:r w:rsidRPr="00F22764">
        <w:rPr>
          <w:highlight w:val="green"/>
          <w:u w:val="single"/>
        </w:rPr>
        <w:t>returned to pre-event levels</w:t>
      </w:r>
      <w:r w:rsidRPr="0046115B">
        <w:rPr>
          <w:sz w:val="16"/>
        </w:rPr>
        <w:t xml:space="preserve">, and even </w:t>
      </w:r>
      <w:r w:rsidRPr="00E50B09">
        <w:rPr>
          <w:u w:val="single"/>
        </w:rPr>
        <w:t xml:space="preserve">local Navajo </w:t>
      </w:r>
      <w:r w:rsidRPr="00F22764">
        <w:rPr>
          <w:highlight w:val="green"/>
          <w:u w:val="single"/>
        </w:rPr>
        <w:t>chapters did not respond</w:t>
      </w:r>
      <w:r w:rsidRPr="00E50B09">
        <w:rPr>
          <w:u w:val="single"/>
        </w:rPr>
        <w:t xml:space="preserve"> </w:t>
      </w:r>
      <w:r w:rsidRPr="00F22764">
        <w:rPr>
          <w:highlight w:val="green"/>
          <w:u w:val="single"/>
        </w:rPr>
        <w:t>homogeneously</w:t>
      </w:r>
      <w:r w:rsidRPr="00E50B09">
        <w:rPr>
          <w:u w:val="single"/>
        </w:rPr>
        <w:t xml:space="preserve"> to contamination concerns.</w:t>
      </w:r>
      <w:r w:rsidRPr="0046115B">
        <w:rPr>
          <w:sz w:val="16"/>
        </w:rPr>
        <w:t xml:space="preserve"> Such acute </w:t>
      </w:r>
      <w:r w:rsidRPr="00F22764">
        <w:rPr>
          <w:highlight w:val="green"/>
          <w:u w:val="single"/>
        </w:rPr>
        <w:t>water contamination</w:t>
      </w:r>
      <w:r w:rsidRPr="00E50B09">
        <w:rPr>
          <w:u w:val="single"/>
        </w:rPr>
        <w:t xml:space="preserve">, often resulting from industrial, mining, urban, or agricultural pollution, </w:t>
      </w:r>
      <w:r w:rsidRPr="00F22764">
        <w:rPr>
          <w:highlight w:val="green"/>
          <w:u w:val="single"/>
        </w:rPr>
        <w:t>raises</w:t>
      </w:r>
      <w:r w:rsidRPr="00E50B09">
        <w:rPr>
          <w:u w:val="single"/>
        </w:rPr>
        <w:t xml:space="preserve"> complicated </w:t>
      </w:r>
      <w:r w:rsidRPr="00F22764">
        <w:rPr>
          <w:highlight w:val="green"/>
          <w:u w:val="single"/>
        </w:rPr>
        <w:t>proprietary and regulatory issues for tribal governments</w:t>
      </w:r>
      <w:r w:rsidRPr="00E50B09">
        <w:rPr>
          <w:u w:val="single"/>
        </w:rPr>
        <w:t xml:space="preserve"> and Indigenous groups vis-à-vis federal, state, and local governments</w:t>
      </w:r>
      <w:r w:rsidRPr="0046115B">
        <w:rPr>
          <w:sz w:val="16"/>
        </w:rPr>
        <w:t xml:space="preserve"> [33]. </w:t>
      </w:r>
      <w:r w:rsidRPr="00F22764">
        <w:rPr>
          <w:highlight w:val="green"/>
          <w:u w:val="single"/>
        </w:rPr>
        <w:t>Tribal governments are forced to maneuver</w:t>
      </w:r>
      <w:r w:rsidRPr="0046115B">
        <w:rPr>
          <w:sz w:val="16"/>
        </w:rPr>
        <w:t xml:space="preserve"> ways </w:t>
      </w:r>
      <w:r w:rsidRPr="00E50B09">
        <w:rPr>
          <w:u w:val="single"/>
        </w:rPr>
        <w:t>to resolve</w:t>
      </w:r>
      <w:r w:rsidRPr="0046115B">
        <w:rPr>
          <w:sz w:val="16"/>
        </w:rPr>
        <w:t xml:space="preserve"> the impacts of such </w:t>
      </w:r>
      <w:r w:rsidRPr="00E50B09">
        <w:rPr>
          <w:u w:val="single"/>
        </w:rPr>
        <w:t xml:space="preserve">pollution, </w:t>
      </w:r>
      <w:r w:rsidRPr="00F22764">
        <w:rPr>
          <w:highlight w:val="green"/>
          <w:u w:val="single"/>
        </w:rPr>
        <w:t>while</w:t>
      </w:r>
      <w:r w:rsidRPr="00E50B09">
        <w:rPr>
          <w:u w:val="single"/>
        </w:rPr>
        <w:t xml:space="preserve"> simultaneously </w:t>
      </w:r>
      <w:r w:rsidRPr="00F22764">
        <w:rPr>
          <w:highlight w:val="green"/>
          <w:u w:val="single"/>
        </w:rPr>
        <w:t>exercising</w:t>
      </w:r>
      <w:r w:rsidRPr="00E50B09">
        <w:rPr>
          <w:u w:val="single"/>
        </w:rPr>
        <w:t xml:space="preserve"> </w:t>
      </w:r>
      <w:r w:rsidRPr="00F22764">
        <w:rPr>
          <w:highlight w:val="green"/>
          <w:u w:val="single"/>
        </w:rPr>
        <w:t>jurisdiction</w:t>
      </w:r>
      <w:r w:rsidRPr="00E50B09">
        <w:rPr>
          <w:u w:val="single"/>
        </w:rPr>
        <w:t>al influence</w:t>
      </w:r>
      <w:r w:rsidRPr="0046115B">
        <w:rPr>
          <w:sz w:val="16"/>
        </w:rPr>
        <w:t xml:space="preserve">, both </w:t>
      </w:r>
      <w:r w:rsidRPr="00E50B09">
        <w:rPr>
          <w:u w:val="single"/>
        </w:rPr>
        <w:t>on and off the reservation</w:t>
      </w:r>
      <w:r w:rsidRPr="0046115B">
        <w:rPr>
          <w:sz w:val="16"/>
        </w:rPr>
        <w:t xml:space="preserve"> [22,30,35,41].</w:t>
      </w:r>
    </w:p>
    <w:p w14:paraId="4CD5692A" w14:textId="77777777" w:rsidR="00CC2CC5" w:rsidRDefault="00CC2CC5" w:rsidP="00CC2CC5">
      <w:pPr>
        <w:pStyle w:val="Heading4"/>
      </w:pPr>
      <w:r>
        <w:t>Ecological noble savage stereotypes lead to white expansion of power, fragmentation of the indigenous community, and undermine tribal sovereignty</w:t>
      </w:r>
    </w:p>
    <w:p w14:paraId="32305E2E" w14:textId="77777777" w:rsidR="00CC2CC5" w:rsidRPr="00A24A40" w:rsidRDefault="00CC2CC5" w:rsidP="00CC2CC5">
      <w:r>
        <w:t>*needs author quals</w:t>
      </w:r>
    </w:p>
    <w:p w14:paraId="0499D019" w14:textId="77777777" w:rsidR="00CC2CC5" w:rsidRPr="008F2CD9" w:rsidRDefault="00CC2CC5" w:rsidP="00CC2CC5">
      <w:r w:rsidRPr="00A24A40">
        <w:rPr>
          <w:rStyle w:val="Style13ptBold"/>
        </w:rPr>
        <w:t>Grande 99</w:t>
      </w:r>
      <w:r>
        <w:t xml:space="preserve">, </w:t>
      </w:r>
      <w:r w:rsidRPr="008F2CD9">
        <w:t>Sandy Marie Anglás Grande</w:t>
      </w:r>
      <w:r>
        <w:t>,</w:t>
      </w:r>
      <w:r w:rsidRPr="008F2CD9">
        <w:t xml:space="preserve"> </w:t>
      </w:r>
      <w:r>
        <w:t xml:space="preserve">“Beyond the Ecologically Noble Savage: Deconstructing the White Man’s Indian”, Philosophy documentation center, </w:t>
      </w:r>
      <w:hyperlink r:id="rId26" w:history="1">
        <w:r w:rsidRPr="005379CC">
          <w:rPr>
            <w:rStyle w:val="Hyperlink"/>
          </w:rPr>
          <w:t>https://www.pdcnet.org/collection/authorizedshow?id=enviroethics_1999_0021_0003_0307_0320&amp;pdfname=enviroethics_1999_0021_0003_0307_0320.pdf&amp;file_type=pdf&amp;googlescholar=true</w:t>
        </w:r>
      </w:hyperlink>
      <w:r>
        <w:t xml:space="preserve"> //JK</w:t>
      </w:r>
    </w:p>
    <w:p w14:paraId="1BD10A34" w14:textId="77777777" w:rsidR="00CC2CC5" w:rsidRPr="008F2CD9" w:rsidRDefault="00CC2CC5" w:rsidP="00CC2CC5">
      <w:pPr>
        <w:rPr>
          <w:sz w:val="14"/>
        </w:rPr>
      </w:pPr>
      <w:r w:rsidRPr="008F2CD9">
        <w:rPr>
          <w:sz w:val="14"/>
        </w:rPr>
        <w:t xml:space="preserve">Perhaps the most important message of this article is that environmentalists working to define the Indian-nature relationship need to understand that their work is neither innocent nor objective and that their “findings” are never apolitical or merely academic. Put simply, </w:t>
      </w:r>
      <w:r w:rsidRPr="00E373AE">
        <w:rPr>
          <w:rStyle w:val="StyleUnderline"/>
        </w:rPr>
        <w:t>the U.S. government retains all plenary power over Indian nations, including the right to bestow federal recognition</w:t>
      </w:r>
      <w:r w:rsidRPr="008F2CD9">
        <w:rPr>
          <w:sz w:val="14"/>
        </w:rPr>
        <w:t xml:space="preserve">. In short, </w:t>
      </w:r>
      <w:r w:rsidRPr="00E373AE">
        <w:rPr>
          <w:rStyle w:val="StyleUnderline"/>
        </w:rPr>
        <w:t>the government retains the right to determine who is Indian and who is not</w:t>
      </w:r>
      <w:r w:rsidRPr="008F2CD9">
        <w:rPr>
          <w:sz w:val="14"/>
        </w:rPr>
        <w:t xml:space="preserve"> and insofar as any stereotype informs </w:t>
      </w:r>
      <w:r w:rsidRPr="00E373AE">
        <w:rPr>
          <w:rStyle w:val="StyleUnderline"/>
        </w:rPr>
        <w:t>the criteria for American Indian “authenticity” it remains a duplicitous accomplice in the continued domination of Native American peoples</w:t>
      </w:r>
      <w:r w:rsidRPr="008F2CD9">
        <w:rPr>
          <w:sz w:val="14"/>
        </w:rPr>
        <w:t xml:space="preserve">. It is, thus, important to consider the political implications of </w:t>
      </w:r>
      <w:r w:rsidRPr="00E373AE">
        <w:rPr>
          <w:rStyle w:val="StyleUnderline"/>
        </w:rPr>
        <w:t>the “ecologically noble savage” stereotype</w:t>
      </w:r>
      <w:r w:rsidRPr="008F2CD9">
        <w:rPr>
          <w:sz w:val="14"/>
        </w:rPr>
        <w:t xml:space="preserve"> and the ways in which it </w:t>
      </w:r>
      <w:r w:rsidRPr="00E373AE">
        <w:rPr>
          <w:rStyle w:val="StyleUnderline"/>
        </w:rPr>
        <w:t>informs perceptions of “authenticity.”</w:t>
      </w:r>
    </w:p>
    <w:p w14:paraId="3D812C6E" w14:textId="77777777" w:rsidR="00CC2CC5" w:rsidRPr="008F2CD9" w:rsidRDefault="00CC2CC5" w:rsidP="00CC2CC5">
      <w:pPr>
        <w:rPr>
          <w:sz w:val="14"/>
        </w:rPr>
      </w:pPr>
      <w:r w:rsidRPr="008F2CD9">
        <w:rPr>
          <w:sz w:val="14"/>
        </w:rPr>
        <w:t xml:space="preserve">According to Buege, </w:t>
      </w:r>
      <w:r w:rsidRPr="00E373AE">
        <w:rPr>
          <w:rStyle w:val="StyleUnderline"/>
        </w:rPr>
        <w:t xml:space="preserve">environmentalists who embrace the stereotype tend to operate within the </w:t>
      </w:r>
      <w:r w:rsidRPr="00E373AE">
        <w:rPr>
          <w:rStyle w:val="Emphasis"/>
        </w:rPr>
        <w:t>crisis mentality</w:t>
      </w:r>
      <w:r w:rsidRPr="00E373AE">
        <w:rPr>
          <w:rStyle w:val="StyleUnderline"/>
        </w:rPr>
        <w:t xml:space="preserve"> of environmentalism where the path of global development is viewed as </w:t>
      </w:r>
      <w:r w:rsidRPr="00E373AE">
        <w:rPr>
          <w:rStyle w:val="Emphasis"/>
        </w:rPr>
        <w:t>inevitably leading to planetary destruction</w:t>
      </w:r>
      <w:r w:rsidRPr="008F2CD9">
        <w:rPr>
          <w:sz w:val="14"/>
        </w:rPr>
        <w:t>. As a result, such environmentalists seek actual and psychological control over global development, in part, by requiring ecological nobility from Native American peoples.34 Schwarz, similarly contends that</w:t>
      </w:r>
    </w:p>
    <w:p w14:paraId="1F925300" w14:textId="77777777" w:rsidR="00CC2CC5" w:rsidRPr="00A572C4" w:rsidRDefault="00CC2CC5" w:rsidP="00CC2CC5">
      <w:pPr>
        <w:rPr>
          <w:sz w:val="14"/>
          <w:szCs w:val="14"/>
        </w:rPr>
      </w:pPr>
      <w:r w:rsidRPr="00A572C4">
        <w:rPr>
          <w:sz w:val="14"/>
          <w:szCs w:val="14"/>
        </w:rPr>
        <w:t>. . . we [environmentalists] admire Indians so long as they appear to remain what we imagine them and desire them to be: ecologically noble savages symbolizing a better way of life than we ourselves find it practical to live. We respect their traditions so long as they fit our preconceived notions of what those traditions should be. . . [so] if a white hunter shoots an eagle we are angry. But if an Indian shoots an eagle we are outraged; an Indian should know better!35</w:t>
      </w:r>
    </w:p>
    <w:p w14:paraId="4B86F513" w14:textId="77777777" w:rsidR="00CC2CC5" w:rsidRPr="008F2CD9" w:rsidRDefault="00CC2CC5" w:rsidP="00CC2CC5">
      <w:pPr>
        <w:rPr>
          <w:sz w:val="14"/>
        </w:rPr>
      </w:pPr>
      <w:r w:rsidRPr="008F2CD9">
        <w:rPr>
          <w:sz w:val="14"/>
        </w:rPr>
        <w:t xml:space="preserve"> The impact of this ideology manifests itself in questions surrounding the issue of “authentic” Indian identity. The problem of </w:t>
      </w:r>
      <w:r w:rsidRPr="008F2CD9">
        <w:rPr>
          <w:rStyle w:val="StyleUnderline"/>
        </w:rPr>
        <w:t>forging an effective contemporary Indian identity is complicated by the expectations of the dominant culture that “real” Indians live up to the stereotypic images that whites have constructed for them</w:t>
      </w:r>
      <w:r w:rsidRPr="008F2CD9">
        <w:rPr>
          <w:sz w:val="14"/>
        </w:rPr>
        <w:t xml:space="preserve">. Buege argues that “we Euro-Americans claim to know what a ‘real’ native person is [and] authenticity depends in part, upon whether or not natives live according to the values dictated by [our] stereotypes. . . .”36 </w:t>
      </w:r>
      <w:r w:rsidRPr="008F2CD9">
        <w:rPr>
          <w:rStyle w:val="StyleUnderline"/>
        </w:rPr>
        <w:t>The presumed power of whites to define “Indian-ness” is an integral component of modern racist attitudes toward Native American peoples. Instances of this control are readily seen in the common battlegrounds of contemporary Indian-white relations (i.e., land claims, hunting</w:t>
      </w:r>
      <w:r w:rsidRPr="008F2CD9">
        <w:rPr>
          <w:sz w:val="14"/>
        </w:rPr>
        <w:t xml:space="preserve"> and fishing rights, </w:t>
      </w:r>
      <w:r w:rsidRPr="008F2CD9">
        <w:rPr>
          <w:rStyle w:val="StyleUnderline"/>
        </w:rPr>
        <w:t>sovereignty</w:t>
      </w:r>
      <w:r w:rsidRPr="008F2CD9">
        <w:rPr>
          <w:sz w:val="14"/>
        </w:rPr>
        <w:t xml:space="preserve">, gambling, taxation) </w:t>
      </w:r>
      <w:r w:rsidRPr="008F2CD9">
        <w:rPr>
          <w:rStyle w:val="StyleUnderline"/>
        </w:rPr>
        <w:t>in which white dominated courts attempt to exert power over Native American peoples</w:t>
      </w:r>
      <w:r w:rsidRPr="008F2CD9">
        <w:rPr>
          <w:sz w:val="14"/>
        </w:rPr>
        <w:t>. Among the more ironic examples of the ensuing legal maze are those cases involving tribal recognition. Federally “unrecognized” tribes are forced to document their authenticity so as to be recognized as real Indians in the eyes of the courts, while “recognized” tribes are put in the position of either having to defend themselves against charges of un-authenticity when seeking logging, gaming, or fishing rights or against accusations of hyper-authenticity when seeking ceremonial rights (i.e., to perform the Sun Dance or ceremonial use of peyote).</w:t>
      </w:r>
    </w:p>
    <w:p w14:paraId="1374BE16" w14:textId="77777777" w:rsidR="00CC2CC5" w:rsidRPr="00A572C4" w:rsidRDefault="00CC2CC5" w:rsidP="00CC2CC5">
      <w:pPr>
        <w:rPr>
          <w:sz w:val="14"/>
        </w:rPr>
      </w:pPr>
      <w:r w:rsidRPr="008F2CD9">
        <w:rPr>
          <w:sz w:val="14"/>
        </w:rPr>
        <w:t xml:space="preserve">In summary, the current </w:t>
      </w:r>
      <w:r w:rsidRPr="008F2CD9">
        <w:rPr>
          <w:rStyle w:val="StyleUnderline"/>
        </w:rPr>
        <w:t>typification of Indian as ecologically noble savage</w:t>
      </w:r>
      <w:r w:rsidRPr="008F2CD9">
        <w:rPr>
          <w:sz w:val="14"/>
        </w:rPr>
        <w:t xml:space="preserve"> </w:t>
      </w:r>
      <w:r w:rsidRPr="008F2CD9">
        <w:rPr>
          <w:rStyle w:val="StyleUnderline"/>
        </w:rPr>
        <w:t>serves</w:t>
      </w:r>
      <w:r w:rsidRPr="008F2CD9">
        <w:rPr>
          <w:sz w:val="14"/>
        </w:rPr>
        <w:t xml:space="preserve"> several functions and the following “</w:t>
      </w:r>
      <w:r w:rsidRPr="008F2CD9">
        <w:rPr>
          <w:rStyle w:val="StyleUnderline"/>
        </w:rPr>
        <w:t>creative and polemical needs” of white society</w:t>
      </w:r>
      <w:r w:rsidRPr="008F2CD9">
        <w:rPr>
          <w:sz w:val="14"/>
        </w:rPr>
        <w:t xml:space="preserve">: first, </w:t>
      </w:r>
      <w:r w:rsidRPr="008F2CD9">
        <w:rPr>
          <w:rStyle w:val="StyleUnderline"/>
        </w:rPr>
        <w:t xml:space="preserve">to legitimate and reify the status of whites </w:t>
      </w:r>
      <w:r w:rsidRPr="008F2CD9">
        <w:rPr>
          <w:sz w:val="14"/>
        </w:rPr>
        <w:t xml:space="preserve">and their claims to a progressive, civilized society; second, </w:t>
      </w:r>
      <w:r w:rsidRPr="008F2CD9">
        <w:rPr>
          <w:rStyle w:val="StyleUnderline"/>
        </w:rPr>
        <w:t xml:space="preserve">to provide whites actual </w:t>
      </w:r>
      <w:r w:rsidRPr="008F2CD9">
        <w:rPr>
          <w:rStyle w:val="Emphasis"/>
        </w:rPr>
        <w:t>power</w:t>
      </w:r>
      <w:r w:rsidRPr="008F2CD9">
        <w:rPr>
          <w:rStyle w:val="StyleUnderline"/>
        </w:rPr>
        <w:t xml:space="preserve"> to authenticate and</w:t>
      </w:r>
      <w:r w:rsidRPr="008F2CD9">
        <w:rPr>
          <w:sz w:val="14"/>
        </w:rPr>
        <w:t xml:space="preserve">, </w:t>
      </w:r>
      <w:r w:rsidRPr="008F2CD9">
        <w:rPr>
          <w:rStyle w:val="StyleUnderline"/>
        </w:rPr>
        <w:t xml:space="preserve">thus, control who counts as real Indians; third, to </w:t>
      </w:r>
      <w:r w:rsidRPr="008F2CD9">
        <w:rPr>
          <w:rStyle w:val="Emphasis"/>
        </w:rPr>
        <w:t>fragment the Indian community</w:t>
      </w:r>
      <w:r w:rsidRPr="008F2CD9">
        <w:rPr>
          <w:sz w:val="14"/>
        </w:rPr>
        <w:t xml:space="preserve"> by introducing the quandary of identity politics and inciting internal divisions between full-bloods, half-bloods, and mestizos ; and fourth, to </w:t>
      </w:r>
      <w:r w:rsidRPr="008F2CD9">
        <w:rPr>
          <w:rStyle w:val="Emphasis"/>
        </w:rPr>
        <w:t>obfuscate</w:t>
      </w:r>
      <w:r w:rsidRPr="008F2CD9">
        <w:rPr>
          <w:rStyle w:val="StyleUnderline"/>
        </w:rPr>
        <w:t xml:space="preserve"> the ongoing struggle for </w:t>
      </w:r>
      <w:r w:rsidRPr="008F2CD9">
        <w:rPr>
          <w:rStyle w:val="Emphasis"/>
        </w:rPr>
        <w:t>tribal rights and sovereignty</w:t>
      </w:r>
      <w:r w:rsidRPr="008F2CD9">
        <w:rPr>
          <w:sz w:val="14"/>
        </w:rPr>
        <w:t xml:space="preserve"> by effectively employing the above strategies.</w:t>
      </w:r>
    </w:p>
    <w:p w14:paraId="00ACFFDA" w14:textId="77777777" w:rsidR="00CC2CC5" w:rsidRPr="00F4190E" w:rsidRDefault="00CC2CC5" w:rsidP="00CC2CC5">
      <w:pPr>
        <w:pStyle w:val="Heading4"/>
      </w:pPr>
      <w:r>
        <w:t>The alternative is to endorse indigenous governance and self-determination. Voting neg incommensurably demands indigenous sovereignty and opens up decolonial worldmaking.</w:t>
      </w:r>
    </w:p>
    <w:p w14:paraId="07E007F8" w14:textId="77777777" w:rsidR="00CC2CC5" w:rsidRDefault="00CC2CC5" w:rsidP="00CC2CC5">
      <w:pPr>
        <w:rPr>
          <w:b/>
          <w:bCs/>
        </w:rPr>
      </w:pPr>
      <w:r w:rsidRPr="00DB27E3">
        <w:rPr>
          <w:rStyle w:val="Style13ptBold"/>
        </w:rPr>
        <w:t>Stevenson ’18</w:t>
      </w:r>
      <w:r>
        <w:rPr>
          <w:b/>
          <w:bCs/>
        </w:rPr>
        <w:t xml:space="preserve"> </w:t>
      </w:r>
    </w:p>
    <w:p w14:paraId="389E6A4B" w14:textId="77777777" w:rsidR="00CC2CC5" w:rsidRPr="006F737D" w:rsidRDefault="00CC2CC5" w:rsidP="00CC2CC5">
      <w:pPr>
        <w:rPr>
          <w:sz w:val="16"/>
          <w:szCs w:val="16"/>
        </w:rPr>
      </w:pPr>
      <w:r w:rsidRPr="006F737D">
        <w:rPr>
          <w:sz w:val="16"/>
          <w:szCs w:val="16"/>
        </w:rPr>
        <w:t>(</w:t>
      </w:r>
      <w:r w:rsidRPr="006F737D">
        <w:rPr>
          <w:rFonts w:asciiTheme="minorHAnsi" w:hAnsiTheme="minorHAnsi" w:cstheme="minorHAnsi"/>
          <w:sz w:val="16"/>
          <w:szCs w:val="16"/>
        </w:rPr>
        <w:t>Shaun A. Stevenson, f</w:t>
      </w:r>
      <w:r w:rsidRPr="006F737D">
        <w:rPr>
          <w:rFonts w:asciiTheme="minorHAnsi" w:hAnsiTheme="minorHAnsi" w:cstheme="minorHAnsi"/>
          <w:sz w:val="16"/>
          <w:szCs w:val="16"/>
          <w:shd w:val="clear" w:color="auto" w:fill="FFFFFF"/>
        </w:rPr>
        <w:t>ull-time Faculty Member in the University Studies Program at Northern Lakes College,</w:t>
      </w:r>
      <w:r w:rsidRPr="006F737D">
        <w:rPr>
          <w:rFonts w:ascii="Roboto" w:hAnsi="Roboto"/>
          <w:sz w:val="16"/>
          <w:szCs w:val="16"/>
          <w:shd w:val="clear" w:color="auto" w:fill="FFFFFF"/>
        </w:rPr>
        <w:t xml:space="preserve"> “</w:t>
      </w:r>
      <w:r w:rsidRPr="006F737D">
        <w:rPr>
          <w:rFonts w:asciiTheme="minorHAnsi" w:hAnsiTheme="minorHAnsi" w:cstheme="minorHAnsi"/>
          <w:sz w:val="16"/>
          <w:szCs w:val="16"/>
          <w:shd w:val="clear" w:color="auto" w:fill="FFFFFF"/>
        </w:rPr>
        <w:t xml:space="preserve">(Re)Making Indigenous Water Worlds: Settler Colonialism, Indigenous Rights, and Hydrosocial Relations in the Settler Nation State”, A thesis submitted to the Faculty of Graduate and Postdoctoral Affairs in partial fulfillment of the requirements for the degree of Doctor of Philosophy in English Language and Literature Carleton University Ottawa, Ontario, ppg. 6-12, JB) </w:t>
      </w:r>
    </w:p>
    <w:p w14:paraId="3060A33D" w14:textId="77777777" w:rsidR="00CC2CC5" w:rsidRPr="00F4190E" w:rsidRDefault="00CC2CC5" w:rsidP="00CC2CC5">
      <w:pPr>
        <w:spacing w:after="0"/>
        <w:rPr>
          <w:b/>
          <w:bCs/>
          <w:u w:val="single"/>
        </w:rPr>
      </w:pPr>
      <w:r w:rsidRPr="00E017CC">
        <w:rPr>
          <w:sz w:val="16"/>
        </w:rPr>
        <w:t>My inquiry is premised</w:t>
      </w:r>
      <w:r w:rsidRPr="00F4190E">
        <w:rPr>
          <w:sz w:val="16"/>
        </w:rPr>
        <w:t xml:space="preserve"> on two fundamental and interrelated questions: I ask, </w:t>
      </w:r>
      <w:r w:rsidRPr="00F22764">
        <w:rPr>
          <w:highlight w:val="green"/>
          <w:u w:val="single"/>
        </w:rPr>
        <w:t>how can Indigenous</w:t>
      </w:r>
      <w:r w:rsidRPr="00F4190E">
        <w:rPr>
          <w:u w:val="single"/>
        </w:rPr>
        <w:t xml:space="preserve"> peoples’ inherent rights, and specifically their inherent </w:t>
      </w:r>
      <w:r w:rsidRPr="00F22764">
        <w:rPr>
          <w:highlight w:val="green"/>
          <w:u w:val="single"/>
        </w:rPr>
        <w:t>rights to water, be made legible in the</w:t>
      </w:r>
      <w:r w:rsidRPr="00F4190E">
        <w:rPr>
          <w:u w:val="single"/>
        </w:rPr>
        <w:t xml:space="preserve"> context of the </w:t>
      </w:r>
      <w:r w:rsidRPr="00F22764">
        <w:rPr>
          <w:highlight w:val="green"/>
          <w:u w:val="single"/>
        </w:rPr>
        <w:t>settler state</w:t>
      </w:r>
      <w:r w:rsidRPr="00F4190E">
        <w:rPr>
          <w:u w:val="single"/>
        </w:rPr>
        <w:t>—that is within the state powers, legal, political, educational, and cultural institutions, and the worldviews and discursive structures that it encompasses</w:t>
      </w:r>
      <w:r w:rsidRPr="00F4190E">
        <w:rPr>
          <w:sz w:val="16"/>
        </w:rPr>
        <w:t xml:space="preserve">? </w:t>
      </w:r>
      <w:r w:rsidRPr="00F4190E">
        <w:rPr>
          <w:u w:val="single"/>
        </w:rPr>
        <w:t>By extension, how might thinking of Indigenous rights issues through water shift the terrain, the terms of negotiation, and the social relations that structure the readability of Indigenous rights</w:t>
      </w:r>
      <w:r w:rsidRPr="00F4190E">
        <w:rPr>
          <w:sz w:val="16"/>
        </w:rPr>
        <w:t xml:space="preserve"> in Canada? What kind of pressures does thinking with and through water put on taken for granted discourses of land tenure and </w:t>
      </w:r>
      <w:r w:rsidRPr="00F22764">
        <w:rPr>
          <w:b/>
          <w:bCs/>
          <w:highlight w:val="green"/>
          <w:u w:val="single"/>
        </w:rPr>
        <w:t>what alternatives does this</w:t>
      </w:r>
      <w:r w:rsidRPr="00F4190E">
        <w:rPr>
          <w:b/>
          <w:bCs/>
          <w:u w:val="single"/>
        </w:rPr>
        <w:t xml:space="preserve"> thinking </w:t>
      </w:r>
      <w:r w:rsidRPr="00F22764">
        <w:rPr>
          <w:b/>
          <w:bCs/>
          <w:highlight w:val="green"/>
          <w:u w:val="single"/>
        </w:rPr>
        <w:t>offer in highlighting</w:t>
      </w:r>
      <w:r w:rsidRPr="00F4190E">
        <w:rPr>
          <w:b/>
          <w:bCs/>
          <w:u w:val="single"/>
        </w:rPr>
        <w:t xml:space="preserve"> the impetus for the legibility </w:t>
      </w:r>
      <w:r w:rsidRPr="00F22764">
        <w:rPr>
          <w:b/>
          <w:bCs/>
          <w:highlight w:val="green"/>
          <w:u w:val="single"/>
        </w:rPr>
        <w:t>Indigenous peoples’</w:t>
      </w:r>
      <w:r w:rsidRPr="00F4190E">
        <w:rPr>
          <w:b/>
          <w:bCs/>
          <w:u w:val="single"/>
        </w:rPr>
        <w:t xml:space="preserve"> inherent </w:t>
      </w:r>
      <w:r w:rsidRPr="00F22764">
        <w:rPr>
          <w:b/>
          <w:bCs/>
          <w:highlight w:val="green"/>
          <w:u w:val="single"/>
        </w:rPr>
        <w:t>rights</w:t>
      </w:r>
      <w:r w:rsidRPr="00F4190E">
        <w:rPr>
          <w:b/>
          <w:bCs/>
          <w:u w:val="single"/>
        </w:rPr>
        <w:t>?</w:t>
      </w:r>
      <w:r w:rsidRPr="00F4190E">
        <w:rPr>
          <w:sz w:val="16"/>
        </w:rPr>
        <w:t xml:space="preserve"> Here, I mean </w:t>
      </w:r>
      <w:r w:rsidRPr="00F4190E">
        <w:rPr>
          <w:u w:val="single"/>
        </w:rPr>
        <w:t>legible, in terms of that which is “comprehensible,” intelligible,”</w:t>
      </w:r>
      <w:r w:rsidRPr="00F4190E">
        <w:rPr>
          <w:sz w:val="16"/>
        </w:rPr>
        <w:t xml:space="preserve"> and has a “readily discernable nature or significance”— that which can be read (Oxford English Dictionary). I do not intend to imply, however, that this legibility necessarily come easily or naturally to the settler state, its institutions, and actors. Further, my use of legible here is also not synonymous with that which is inevitably translatable into the dominant settler language or order. Speaking on translation and its function in relation to differently positioned worldviews, John Law suggests that “to translate is to make two worlds equivalent”; however, he notes that “since no two worlds are equivalent, translation also implies betrayal” (2009, y144). </w:t>
      </w:r>
      <w:r w:rsidRPr="00F4190E">
        <w:rPr>
          <w:u w:val="single"/>
        </w:rPr>
        <w:t>In other words, a translation always implies an uneven relation wherein attempts are made to translate one language into the language of the other.</w:t>
      </w:r>
      <w:r w:rsidRPr="00F4190E">
        <w:rPr>
          <w:sz w:val="16"/>
        </w:rPr>
        <w:t xml:space="preserve"> But because translation is premised on the relationality between the different sites of translation—because it is “about making equivalent” but also “about shifting . . . about moving terms around, about linking and changing them” (144)—</w:t>
      </w:r>
      <w:r w:rsidRPr="00F4190E">
        <w:rPr>
          <w:u w:val="single"/>
        </w:rPr>
        <w:t xml:space="preserve">Law importantly notes, “translation is always insecure, a process susceptible to failure. Disorder – or other orders – are only precariously kept at bay” </w:t>
      </w:r>
      <w:r w:rsidRPr="00F4190E">
        <w:rPr>
          <w:sz w:val="16"/>
        </w:rPr>
        <w:t xml:space="preserve">(145). </w:t>
      </w:r>
      <w:r w:rsidRPr="00F22764">
        <w:rPr>
          <w:b/>
          <w:bCs/>
          <w:highlight w:val="green"/>
          <w:u w:val="single"/>
        </w:rPr>
        <w:t>To make Indigenous rights legible</w:t>
      </w:r>
      <w:r w:rsidRPr="00F4190E">
        <w:rPr>
          <w:b/>
          <w:bCs/>
          <w:u w:val="single"/>
        </w:rPr>
        <w:t xml:space="preserve"> on their own terms is thus </w:t>
      </w:r>
      <w:r w:rsidRPr="00F22764">
        <w:rPr>
          <w:b/>
          <w:bCs/>
          <w:highlight w:val="green"/>
          <w:u w:val="single"/>
        </w:rPr>
        <w:t>to</w:t>
      </w:r>
      <w:r w:rsidRPr="00F4190E">
        <w:rPr>
          <w:b/>
          <w:bCs/>
          <w:u w:val="single"/>
        </w:rPr>
        <w:t xml:space="preserve"> encounter, </w:t>
      </w:r>
      <w:r w:rsidRPr="00F22764">
        <w:rPr>
          <w:b/>
          <w:bCs/>
          <w:highlight w:val="green"/>
          <w:u w:val="single"/>
        </w:rPr>
        <w:t>unsettle, and undermine the</w:t>
      </w:r>
      <w:r w:rsidRPr="00F4190E">
        <w:rPr>
          <w:b/>
          <w:bCs/>
          <w:u w:val="single"/>
        </w:rPr>
        <w:t xml:space="preserve"> translative </w:t>
      </w:r>
      <w:r w:rsidRPr="00F22764">
        <w:rPr>
          <w:b/>
          <w:bCs/>
          <w:highlight w:val="green"/>
          <w:u w:val="single"/>
        </w:rPr>
        <w:t>coercion of the settler state</w:t>
      </w:r>
      <w:r w:rsidRPr="00F4190E">
        <w:rPr>
          <w:b/>
          <w:bCs/>
          <w:u w:val="single"/>
        </w:rPr>
        <w:t xml:space="preserve">, </w:t>
      </w:r>
      <w:r w:rsidRPr="00F22764">
        <w:rPr>
          <w:b/>
          <w:bCs/>
          <w:highlight w:val="green"/>
          <w:u w:val="single"/>
        </w:rPr>
        <w:t>revealing its</w:t>
      </w:r>
      <w:r w:rsidRPr="00F4190E">
        <w:rPr>
          <w:b/>
          <w:bCs/>
          <w:u w:val="single"/>
        </w:rPr>
        <w:t xml:space="preserve"> insecurities and </w:t>
      </w:r>
      <w:r w:rsidRPr="00F22764">
        <w:rPr>
          <w:b/>
          <w:bCs/>
          <w:highlight w:val="green"/>
          <w:u w:val="single"/>
        </w:rPr>
        <w:t>failures</w:t>
      </w:r>
      <w:r w:rsidRPr="00F4190E">
        <w:rPr>
          <w:b/>
          <w:bCs/>
          <w:u w:val="single"/>
        </w:rPr>
        <w:t>.</w:t>
      </w:r>
    </w:p>
    <w:p w14:paraId="0663312F" w14:textId="77777777" w:rsidR="00CC2CC5" w:rsidRPr="00F4190E" w:rsidRDefault="00CC2CC5" w:rsidP="00CC2CC5">
      <w:pPr>
        <w:spacing w:after="0"/>
        <w:rPr>
          <w:b/>
          <w:bCs/>
          <w:u w:val="single"/>
        </w:rPr>
      </w:pPr>
      <w:r w:rsidRPr="00F4190E">
        <w:rPr>
          <w:sz w:val="16"/>
        </w:rPr>
        <w:t xml:space="preserve">Legibility implies a committed reading, rather than a simple translation. </w:t>
      </w:r>
      <w:r w:rsidRPr="00F4190E">
        <w:rPr>
          <w:u w:val="single"/>
        </w:rPr>
        <w:t xml:space="preserve">The question of legibility pivots on the related question of how the inherent </w:t>
      </w:r>
      <w:r w:rsidRPr="00F22764">
        <w:rPr>
          <w:highlight w:val="green"/>
          <w:u w:val="single"/>
        </w:rPr>
        <w:t>rights of Indigenous peoples</w:t>
      </w:r>
      <w:r w:rsidRPr="00F4190E">
        <w:rPr>
          <w:u w:val="single"/>
        </w:rPr>
        <w:t xml:space="preserve"> can be read and understood on their own terms in the settler state— and </w:t>
      </w:r>
      <w:r w:rsidRPr="00F4190E">
        <w:rPr>
          <w:b/>
          <w:bCs/>
          <w:u w:val="single"/>
        </w:rPr>
        <w:t xml:space="preserve">in ways which </w:t>
      </w:r>
      <w:r w:rsidRPr="00F22764">
        <w:rPr>
          <w:b/>
          <w:bCs/>
          <w:highlight w:val="green"/>
          <w:u w:val="single"/>
        </w:rPr>
        <w:t>are often incommensurable with</w:t>
      </w:r>
      <w:r w:rsidRPr="00F4190E">
        <w:rPr>
          <w:b/>
          <w:bCs/>
          <w:u w:val="single"/>
        </w:rPr>
        <w:t xml:space="preserve"> or irreconcilable to </w:t>
      </w:r>
      <w:r w:rsidRPr="00F22764">
        <w:rPr>
          <w:b/>
          <w:bCs/>
          <w:highlight w:val="green"/>
          <w:u w:val="single"/>
        </w:rPr>
        <w:t>a Western liberal interpretation</w:t>
      </w:r>
      <w:r w:rsidRPr="00F4190E">
        <w:rPr>
          <w:b/>
          <w:bCs/>
          <w:u w:val="single"/>
        </w:rPr>
        <w:t xml:space="preserve"> of rights</w:t>
      </w:r>
      <w:r w:rsidRPr="00F4190E">
        <w:rPr>
          <w:sz w:val="16"/>
        </w:rPr>
        <w:t xml:space="preserve">. </w:t>
      </w:r>
      <w:r w:rsidRPr="00F4190E">
        <w:rPr>
          <w:u w:val="single"/>
        </w:rPr>
        <w:t xml:space="preserve">This means </w:t>
      </w:r>
      <w:r w:rsidRPr="00F4190E">
        <w:rPr>
          <w:rStyle w:val="StyleUnderline"/>
        </w:rPr>
        <w:t>making legible the very incongruences between Western rights discourse and Indigenous peoples’ interpretation</w:t>
      </w:r>
      <w:r w:rsidRPr="00F4190E">
        <w:rPr>
          <w:u w:val="single"/>
        </w:rPr>
        <w:t xml:space="preserve"> of their inherent rights</w:t>
      </w:r>
      <w:r w:rsidRPr="00F4190E">
        <w:rPr>
          <w:sz w:val="16"/>
        </w:rPr>
        <w:t xml:space="preserve">. </w:t>
      </w:r>
      <w:r w:rsidRPr="00F4190E">
        <w:rPr>
          <w:u w:val="single"/>
        </w:rPr>
        <w:t xml:space="preserve">It also means making legible the potential illegibility of inherent rights under state judicial constraints, as inherent rights flow from Indigenous peoples’ distinct worldviews and legal orders that often exist in opposition to state rights discourse. </w:t>
      </w:r>
      <w:r w:rsidRPr="00F22764">
        <w:rPr>
          <w:b/>
          <w:bCs/>
          <w:highlight w:val="green"/>
          <w:u w:val="single"/>
        </w:rPr>
        <w:t>Legibility</w:t>
      </w:r>
      <w:r w:rsidRPr="00F4190E">
        <w:rPr>
          <w:u w:val="single"/>
        </w:rPr>
        <w:t>—</w:t>
      </w:r>
      <w:r w:rsidRPr="00F4190E">
        <w:rPr>
          <w:sz w:val="16"/>
        </w:rPr>
        <w:t>to learn to read, and to recognize the limits of one’s own reading practice—</w:t>
      </w:r>
      <w:r w:rsidRPr="00F22764">
        <w:rPr>
          <w:b/>
          <w:bCs/>
          <w:highlight w:val="green"/>
          <w:u w:val="single"/>
        </w:rPr>
        <w:t>implies a commitment to unlearning and</w:t>
      </w:r>
      <w:r w:rsidRPr="00F4190E">
        <w:rPr>
          <w:b/>
          <w:bCs/>
          <w:u w:val="single"/>
        </w:rPr>
        <w:t xml:space="preserve"> relearning, to </w:t>
      </w:r>
      <w:r w:rsidRPr="00F22764">
        <w:rPr>
          <w:b/>
          <w:bCs/>
          <w:highlight w:val="green"/>
          <w:u w:val="single"/>
        </w:rPr>
        <w:t>reconceptualising,</w:t>
      </w:r>
      <w:r w:rsidRPr="00F4190E">
        <w:rPr>
          <w:b/>
          <w:bCs/>
          <w:u w:val="single"/>
        </w:rPr>
        <w:t xml:space="preserve"> respecting boundaries, and seeing </w:t>
      </w:r>
      <w:r w:rsidRPr="00F22764">
        <w:rPr>
          <w:b/>
          <w:bCs/>
          <w:highlight w:val="green"/>
          <w:u w:val="single"/>
        </w:rPr>
        <w:t>the limits of</w:t>
      </w:r>
      <w:r w:rsidRPr="00F4190E">
        <w:rPr>
          <w:b/>
          <w:bCs/>
          <w:u w:val="single"/>
        </w:rPr>
        <w:t xml:space="preserve"> one’s own </w:t>
      </w:r>
      <w:r w:rsidRPr="00F22764">
        <w:rPr>
          <w:b/>
          <w:bCs/>
          <w:highlight w:val="green"/>
          <w:u w:val="single"/>
        </w:rPr>
        <w:t>epistemology and ontology</w:t>
      </w:r>
      <w:r w:rsidRPr="00F4190E">
        <w:rPr>
          <w:b/>
          <w:bCs/>
          <w:u w:val="single"/>
        </w:rPr>
        <w:t>.</w:t>
      </w:r>
    </w:p>
    <w:p w14:paraId="26627945" w14:textId="77777777" w:rsidR="00CC2CC5" w:rsidRPr="00F4190E" w:rsidRDefault="00CC2CC5" w:rsidP="00CC2CC5">
      <w:pPr>
        <w:spacing w:after="0"/>
        <w:rPr>
          <w:sz w:val="16"/>
        </w:rPr>
      </w:pPr>
      <w:r w:rsidRPr="00F4190E">
        <w:rPr>
          <w:sz w:val="16"/>
        </w:rPr>
        <w:t xml:space="preserve">Legibility, however, is not only about misreading, or misunderstanding; </w:t>
      </w:r>
      <w:r w:rsidRPr="00F4190E">
        <w:rPr>
          <w:rStyle w:val="StyleUnderline"/>
        </w:rPr>
        <w:t>it is also about power and legitimacy, and the settler state’s power to make Indigenous rights illegible and thus illegitimate</w:t>
      </w:r>
      <w:r w:rsidRPr="00F4190E">
        <w:rPr>
          <w:sz w:val="16"/>
        </w:rPr>
        <w:t xml:space="preserve">. As I will explore through my sites of conflict below, </w:t>
      </w:r>
      <w:r w:rsidRPr="00F22764">
        <w:rPr>
          <w:rStyle w:val="Emphasis"/>
          <w:highlight w:val="green"/>
        </w:rPr>
        <w:t>to render Indigenous</w:t>
      </w:r>
      <w:r w:rsidRPr="00F4190E">
        <w:rPr>
          <w:rStyle w:val="Emphasis"/>
        </w:rPr>
        <w:t xml:space="preserve"> rights and </w:t>
      </w:r>
      <w:r w:rsidRPr="00F22764">
        <w:rPr>
          <w:rStyle w:val="Emphasis"/>
          <w:highlight w:val="green"/>
        </w:rPr>
        <w:t>relations to water as illegible is to</w:t>
      </w:r>
      <w:r w:rsidRPr="00F4190E">
        <w:rPr>
          <w:rStyle w:val="StyleUnderline"/>
        </w:rPr>
        <w:t xml:space="preserve"> contain them or </w:t>
      </w:r>
      <w:r w:rsidRPr="00F22764">
        <w:rPr>
          <w:rStyle w:val="Emphasis"/>
          <w:highlight w:val="green"/>
        </w:rPr>
        <w:t>negate them</w:t>
      </w:r>
      <w:r w:rsidRPr="00F4190E">
        <w:rPr>
          <w:rStyle w:val="Emphasis"/>
        </w:rPr>
        <w:t xml:space="preserve">; </w:t>
      </w:r>
      <w:r w:rsidRPr="00F4190E">
        <w:rPr>
          <w:rStyle w:val="StyleUnderline"/>
        </w:rPr>
        <w:t>it is to re-interpret them or romanticize them as mere cultural expression</w:t>
      </w:r>
      <w:r w:rsidRPr="00F4190E">
        <w:rPr>
          <w:rStyle w:val="Emphasis"/>
        </w:rPr>
        <w:t>; it is to subordinate them</w:t>
      </w:r>
      <w:r w:rsidRPr="00F4190E">
        <w:rPr>
          <w:sz w:val="16"/>
        </w:rPr>
        <w:t xml:space="preserve">, </w:t>
      </w:r>
      <w:r w:rsidRPr="00F4190E">
        <w:rPr>
          <w:rStyle w:val="StyleUnderline"/>
        </w:rPr>
        <w:t>construct them as inferior, to make them illegal, or actively disavow and destroy them</w:t>
      </w:r>
      <w:r w:rsidRPr="00F4190E">
        <w:rPr>
          <w:sz w:val="16"/>
        </w:rPr>
        <w:t xml:space="preserve">. </w:t>
      </w:r>
      <w:r w:rsidRPr="00F4190E">
        <w:rPr>
          <w:rStyle w:val="StyleUnderline"/>
        </w:rPr>
        <w:t xml:space="preserve">Significantly then, </w:t>
      </w:r>
      <w:r w:rsidRPr="00F22764">
        <w:rPr>
          <w:rStyle w:val="Emphasis"/>
          <w:highlight w:val="green"/>
        </w:rPr>
        <w:t>to engage with the problem of</w:t>
      </w:r>
      <w:r w:rsidRPr="00F4190E">
        <w:rPr>
          <w:rStyle w:val="Emphasis"/>
        </w:rPr>
        <w:t xml:space="preserve"> </w:t>
      </w:r>
      <w:r w:rsidRPr="00F4190E">
        <w:rPr>
          <w:rStyle w:val="StyleUnderline"/>
        </w:rPr>
        <w:t>legibility in</w:t>
      </w:r>
      <w:r w:rsidRPr="00F4190E">
        <w:rPr>
          <w:rStyle w:val="Emphasis"/>
        </w:rPr>
        <w:t xml:space="preserve"> </w:t>
      </w:r>
      <w:r w:rsidRPr="00F22764">
        <w:rPr>
          <w:rStyle w:val="Emphasis"/>
          <w:highlight w:val="green"/>
        </w:rPr>
        <w:t>the settler state also means</w:t>
      </w:r>
      <w:r w:rsidRPr="00F4190E">
        <w:rPr>
          <w:rStyle w:val="Emphasis"/>
        </w:rPr>
        <w:t xml:space="preserve"> </w:t>
      </w:r>
      <w:r w:rsidRPr="00F4190E">
        <w:rPr>
          <w:rStyle w:val="StyleUnderline"/>
        </w:rPr>
        <w:t>reading and</w:t>
      </w:r>
      <w:r w:rsidRPr="00F4190E">
        <w:rPr>
          <w:rStyle w:val="Emphasis"/>
        </w:rPr>
        <w:t xml:space="preserve"> </w:t>
      </w:r>
      <w:r w:rsidRPr="00F22764">
        <w:rPr>
          <w:rStyle w:val="Emphasis"/>
          <w:highlight w:val="green"/>
        </w:rPr>
        <w:t>reckoning</w:t>
      </w:r>
      <w:r w:rsidRPr="006D7AFB">
        <w:rPr>
          <w:rStyle w:val="Emphasis"/>
        </w:rPr>
        <w:t xml:space="preserve"> </w:t>
      </w:r>
      <w:r w:rsidRPr="00F22764">
        <w:rPr>
          <w:rStyle w:val="Emphasis"/>
          <w:highlight w:val="green"/>
        </w:rPr>
        <w:t>with the necessity of</w:t>
      </w:r>
      <w:r w:rsidRPr="00F4190E">
        <w:rPr>
          <w:rStyle w:val="Emphasis"/>
        </w:rPr>
        <w:t xml:space="preserve"> </w:t>
      </w:r>
      <w:r w:rsidRPr="00F4190E">
        <w:rPr>
          <w:rStyle w:val="StyleUnderline"/>
        </w:rPr>
        <w:t xml:space="preserve">the jurisdictional powers of </w:t>
      </w:r>
      <w:r w:rsidRPr="00F22764">
        <w:rPr>
          <w:rStyle w:val="StyleUnderline"/>
          <w:highlight w:val="green"/>
        </w:rPr>
        <w:t>Indigenous</w:t>
      </w:r>
      <w:r w:rsidRPr="00F4190E">
        <w:rPr>
          <w:rStyle w:val="Emphasis"/>
        </w:rPr>
        <w:t xml:space="preserve"> </w:t>
      </w:r>
      <w:r w:rsidRPr="00F4190E">
        <w:rPr>
          <w:rStyle w:val="StyleUnderline"/>
        </w:rPr>
        <w:t>law and</w:t>
      </w:r>
      <w:r w:rsidRPr="00F4190E">
        <w:rPr>
          <w:rStyle w:val="Emphasis"/>
        </w:rPr>
        <w:t xml:space="preserve"> </w:t>
      </w:r>
      <w:r w:rsidRPr="00F22764">
        <w:rPr>
          <w:rStyle w:val="Emphasis"/>
          <w:highlight w:val="green"/>
        </w:rPr>
        <w:t>governance over their</w:t>
      </w:r>
      <w:r w:rsidRPr="006D7AFB">
        <w:rPr>
          <w:rStyle w:val="Emphasis"/>
        </w:rPr>
        <w:t xml:space="preserve"> </w:t>
      </w:r>
      <w:r w:rsidRPr="00F22764">
        <w:rPr>
          <w:rStyle w:val="Emphasis"/>
          <w:highlight w:val="green"/>
        </w:rPr>
        <w:t>waters</w:t>
      </w:r>
      <w:r w:rsidRPr="00F4190E">
        <w:rPr>
          <w:rStyle w:val="StyleUnderline"/>
        </w:rPr>
        <w:t xml:space="preserve"> and also over waters that are necessarily shared; it means </w:t>
      </w:r>
      <w:r w:rsidRPr="00F4190E">
        <w:rPr>
          <w:rStyle w:val="Emphasis"/>
        </w:rPr>
        <w:t xml:space="preserve">reckoning with what the settler state and settler subjects must give up or </w:t>
      </w:r>
      <w:r w:rsidRPr="00F22764">
        <w:rPr>
          <w:rStyle w:val="Emphasis"/>
          <w:highlight w:val="green"/>
        </w:rPr>
        <w:t>relinquish in order to decolonize water on Turtle Island</w:t>
      </w:r>
      <w:r w:rsidRPr="00F4190E">
        <w:rPr>
          <w:sz w:val="16"/>
        </w:rPr>
        <w:t xml:space="preserve">.3 </w:t>
      </w:r>
      <w:r w:rsidRPr="00F22764">
        <w:rPr>
          <w:rStyle w:val="StyleUnderline"/>
          <w:highlight w:val="green"/>
        </w:rPr>
        <w:t>Engagement</w:t>
      </w:r>
      <w:r w:rsidRPr="00F4190E">
        <w:rPr>
          <w:sz w:val="16"/>
        </w:rPr>
        <w:t xml:space="preserve"> with the problem of legibility </w:t>
      </w:r>
      <w:r w:rsidRPr="00F22764">
        <w:rPr>
          <w:rStyle w:val="StyleUnderline"/>
          <w:highlight w:val="green"/>
        </w:rPr>
        <w:t>moves</w:t>
      </w:r>
      <w:r w:rsidRPr="00F4190E">
        <w:rPr>
          <w:rStyle w:val="StyleUnderline"/>
        </w:rPr>
        <w:t xml:space="preserve"> us </w:t>
      </w:r>
      <w:r w:rsidRPr="00F22764">
        <w:rPr>
          <w:rStyle w:val="StyleUnderline"/>
          <w:highlight w:val="green"/>
        </w:rPr>
        <w:t>away from</w:t>
      </w:r>
      <w:r w:rsidRPr="00F4190E">
        <w:rPr>
          <w:rStyle w:val="StyleUnderline"/>
        </w:rPr>
        <w:t xml:space="preserve"> a </w:t>
      </w:r>
      <w:r w:rsidRPr="00F22764">
        <w:rPr>
          <w:rStyle w:val="StyleUnderline"/>
          <w:highlight w:val="green"/>
        </w:rPr>
        <w:t>liberal politics of recognition</w:t>
      </w:r>
      <w:r w:rsidRPr="00F4190E">
        <w:rPr>
          <w:rStyle w:val="StyleUnderline"/>
        </w:rPr>
        <w:t>,</w:t>
      </w:r>
      <w:r w:rsidRPr="00F4190E">
        <w:rPr>
          <w:sz w:val="16"/>
        </w:rPr>
        <w:t xml:space="preserve"> wherein Indigenous rights must be made recognizable, or translatable to Canadian common law, </w:t>
      </w:r>
      <w:r w:rsidRPr="00F22764">
        <w:rPr>
          <w:rStyle w:val="StyleUnderline"/>
          <w:highlight w:val="green"/>
        </w:rPr>
        <w:t>and instead calls for</w:t>
      </w:r>
      <w:r w:rsidRPr="00F4190E">
        <w:rPr>
          <w:rStyle w:val="StyleUnderline"/>
        </w:rPr>
        <w:t xml:space="preserve"> the readability of </w:t>
      </w:r>
      <w:r w:rsidRPr="00F22764">
        <w:rPr>
          <w:rStyle w:val="StyleUnderline"/>
          <w:highlight w:val="green"/>
        </w:rPr>
        <w:t>Indigenous rights as they have emerged through “their own legal traditions, land tenure systems, and governance structures</w:t>
      </w:r>
      <w:r w:rsidRPr="00F4190E">
        <w:rPr>
          <w:sz w:val="16"/>
        </w:rPr>
        <w:t>” (Askew, Kung, and Smith 2016, 230). What could be called the problem of legibility thus becomes a task for the settler state, and for non-Indigenous people in Canada as they reckon with the nature and significance of Indigenous peoples’ inherent rights, reconciling themselves, their worldviews, and their own legal orders with the inherent rights of Indigenous peoples.</w:t>
      </w:r>
    </w:p>
    <w:p w14:paraId="2AD31174" w14:textId="77777777" w:rsidR="00CC2CC5" w:rsidRPr="00F4190E" w:rsidRDefault="00CC2CC5" w:rsidP="00CC2CC5">
      <w:pPr>
        <w:spacing w:after="0"/>
        <w:rPr>
          <w:sz w:val="16"/>
        </w:rPr>
      </w:pPr>
      <w:r w:rsidRPr="00F4190E">
        <w:rPr>
          <w:sz w:val="16"/>
        </w:rPr>
        <w:t xml:space="preserve">My concern with </w:t>
      </w:r>
      <w:r w:rsidRPr="00F4190E">
        <w:rPr>
          <w:rStyle w:val="StyleUnderline"/>
        </w:rPr>
        <w:t xml:space="preserve">legibility here is closely </w:t>
      </w:r>
      <w:r w:rsidRPr="00F22764">
        <w:rPr>
          <w:rStyle w:val="StyleUnderline"/>
          <w:highlight w:val="green"/>
        </w:rPr>
        <w:t>aligned with</w:t>
      </w:r>
      <w:r w:rsidRPr="00F4190E">
        <w:rPr>
          <w:rStyle w:val="StyleUnderline"/>
        </w:rPr>
        <w:t xml:space="preserve"> Eve </w:t>
      </w:r>
      <w:r w:rsidRPr="00F22764">
        <w:rPr>
          <w:rStyle w:val="StyleUnderline"/>
          <w:highlight w:val="green"/>
        </w:rPr>
        <w:t>Tuck and</w:t>
      </w:r>
      <w:r w:rsidRPr="00F4190E">
        <w:rPr>
          <w:rStyle w:val="StyleUnderline"/>
        </w:rPr>
        <w:t xml:space="preserve"> Edward </w:t>
      </w:r>
      <w:r w:rsidRPr="00F22764">
        <w:rPr>
          <w:rStyle w:val="StyleUnderline"/>
          <w:highlight w:val="green"/>
        </w:rPr>
        <w:t>Yang’s notion</w:t>
      </w:r>
      <w:r w:rsidRPr="00F4190E">
        <w:rPr>
          <w:rStyle w:val="StyleUnderline"/>
        </w:rPr>
        <w:t xml:space="preserve"> of incommensurability in</w:t>
      </w:r>
      <w:r w:rsidRPr="00F4190E">
        <w:rPr>
          <w:sz w:val="16"/>
        </w:rPr>
        <w:t xml:space="preserve"> their pivotal essay, “</w:t>
      </w:r>
      <w:r w:rsidRPr="00F4190E">
        <w:rPr>
          <w:rStyle w:val="StyleUnderline"/>
        </w:rPr>
        <w:t>Decolonization is Not a Metaphor</w:t>
      </w:r>
      <w:r w:rsidRPr="00F4190E">
        <w:rPr>
          <w:sz w:val="16"/>
        </w:rPr>
        <w:t>”; however, my use of legibility marks, perhaps, a different kind of project than that outlined by Tuck and Yang. Tuck and Yang write, “</w:t>
      </w:r>
      <w:r w:rsidRPr="00F22764">
        <w:rPr>
          <w:rStyle w:val="Emphasis"/>
          <w:highlight w:val="green"/>
        </w:rPr>
        <w:t>To fully enact an ethic of incommensurability means relinquishing settler futurity</w:t>
      </w:r>
      <w:r w:rsidRPr="00F4190E">
        <w:rPr>
          <w:rStyle w:val="Emphasis"/>
        </w:rPr>
        <w:t>,</w:t>
      </w:r>
      <w:r w:rsidRPr="00F4190E">
        <w:rPr>
          <w:rStyle w:val="StyleUnderline"/>
        </w:rPr>
        <w:t xml:space="preserve"> </w:t>
      </w:r>
      <w:r w:rsidRPr="00F4190E">
        <w:rPr>
          <w:rStyle w:val="Emphasis"/>
        </w:rPr>
        <w:t>abandoning the hope that settlers may one day be commensurable</w:t>
      </w:r>
      <w:r w:rsidRPr="00F4190E">
        <w:rPr>
          <w:rStyle w:val="StyleUnderline"/>
        </w:rPr>
        <w:t xml:space="preserve"> to Native peoples. It means </w:t>
      </w:r>
      <w:r w:rsidRPr="00F22764">
        <w:rPr>
          <w:rStyle w:val="Emphasis"/>
          <w:highlight w:val="green"/>
        </w:rPr>
        <w:t>removing the asterisks</w:t>
      </w:r>
      <w:r w:rsidRPr="00F4190E">
        <w:rPr>
          <w:rStyle w:val="Emphasis"/>
        </w:rPr>
        <w:t xml:space="preserve">, periods, </w:t>
      </w:r>
      <w:r w:rsidRPr="00F22764">
        <w:rPr>
          <w:rStyle w:val="Emphasis"/>
          <w:highlight w:val="green"/>
        </w:rPr>
        <w:t>commas</w:t>
      </w:r>
      <w:r w:rsidRPr="00F4190E">
        <w:rPr>
          <w:rStyle w:val="Emphasis"/>
        </w:rPr>
        <w:t>, apostrophes</w:t>
      </w:r>
      <w:r w:rsidRPr="00F4190E">
        <w:rPr>
          <w:rStyle w:val="StyleUnderline"/>
        </w:rPr>
        <w:t xml:space="preserve">, the whereas’s, buts, </w:t>
      </w:r>
      <w:r w:rsidRPr="00F22764">
        <w:rPr>
          <w:rStyle w:val="StyleUnderline"/>
          <w:highlight w:val="green"/>
        </w:rPr>
        <w:t xml:space="preserve">and conditional clauses </w:t>
      </w:r>
      <w:r w:rsidRPr="00F22764">
        <w:rPr>
          <w:rStyle w:val="Emphasis"/>
          <w:highlight w:val="green"/>
        </w:rPr>
        <w:t>that punctuate decolonization and underwrite settler innocence</w:t>
      </w:r>
      <w:r w:rsidRPr="00F4190E">
        <w:rPr>
          <w:sz w:val="16"/>
        </w:rPr>
        <w:t xml:space="preserve">” (2012, 36). The authors further write, </w:t>
      </w:r>
      <w:r w:rsidRPr="00F4190E">
        <w:rPr>
          <w:rStyle w:val="StyleUnderline"/>
        </w:rPr>
        <w:t>drawing on Fanon, “Incommensurability is an acknowledgement that decolonization will require a change in the order of the world</w:t>
      </w:r>
      <w:r w:rsidRPr="00F4190E">
        <w:rPr>
          <w:sz w:val="16"/>
        </w:rPr>
        <w:t xml:space="preserve">” (36). </w:t>
      </w:r>
      <w:r w:rsidRPr="00F4190E">
        <w:rPr>
          <w:rStyle w:val="StyleUnderline"/>
        </w:rPr>
        <w:t xml:space="preserve">For Tuck and Yang, </w:t>
      </w:r>
      <w:r w:rsidRPr="00F4190E">
        <w:rPr>
          <w:rStyle w:val="Emphasis"/>
        </w:rPr>
        <w:t>“</w:t>
      </w:r>
      <w:r w:rsidRPr="00F22764">
        <w:rPr>
          <w:rStyle w:val="Emphasis"/>
          <w:highlight w:val="green"/>
        </w:rPr>
        <w:t>decolonization is not a metaphor</w:t>
      </w:r>
      <w:r w:rsidRPr="00F4190E">
        <w:rPr>
          <w:rStyle w:val="StyleUnderline"/>
        </w:rPr>
        <w:t xml:space="preserve"> . . . it is not a metonym for social justice, </w:t>
      </w:r>
      <w:r w:rsidRPr="00F22764">
        <w:rPr>
          <w:rStyle w:val="StyleUnderline"/>
          <w:highlight w:val="green"/>
        </w:rPr>
        <w:t xml:space="preserve">but </w:t>
      </w:r>
      <w:r w:rsidRPr="00F22764">
        <w:rPr>
          <w:rStyle w:val="Emphasis"/>
          <w:highlight w:val="green"/>
        </w:rPr>
        <w:t>a change in the material conditions that undergird the settler state and their ongoing colonization of Indigenous people’s lands, waters, and ways of life</w:t>
      </w:r>
      <w:r w:rsidRPr="00F4190E">
        <w:rPr>
          <w:sz w:val="16"/>
        </w:rPr>
        <w:t>” (21).</w:t>
      </w:r>
    </w:p>
    <w:p w14:paraId="7E514A41" w14:textId="77777777" w:rsidR="00CC2CC5" w:rsidRPr="00F4190E" w:rsidRDefault="00CC2CC5" w:rsidP="00CC2CC5">
      <w:pPr>
        <w:spacing w:after="0"/>
        <w:rPr>
          <w:rStyle w:val="StyleUnderline"/>
        </w:rPr>
      </w:pPr>
      <w:r w:rsidRPr="00F4190E">
        <w:rPr>
          <w:sz w:val="16"/>
        </w:rPr>
        <w:t xml:space="preserve"> I follow Tuck and Yang’s emphasis on the importance of incommensurability </w:t>
      </w:r>
      <w:r w:rsidRPr="00F4190E">
        <w:rPr>
          <w:rStyle w:val="StyleUnderline"/>
        </w:rPr>
        <w:t>within decolonizing projects—on “what is irreconcilable within settler colonial relations” rather than on that which is reconcilable</w:t>
      </w:r>
      <w:r w:rsidRPr="00F4190E">
        <w:rPr>
          <w:sz w:val="16"/>
        </w:rPr>
        <w:t xml:space="preserve"> (4). Like Tuck and Yang, I am interested in </w:t>
      </w:r>
      <w:r w:rsidRPr="00F22764">
        <w:rPr>
          <w:rStyle w:val="Emphasis"/>
          <w:highlight w:val="green"/>
        </w:rPr>
        <w:t>a break in the organizing logics and material conditions of settler colonialism, rather than a</w:t>
      </w:r>
      <w:r w:rsidRPr="00F4190E">
        <w:rPr>
          <w:rStyle w:val="Emphasis"/>
        </w:rPr>
        <w:t xml:space="preserve"> kind of </w:t>
      </w:r>
      <w:r w:rsidRPr="00F22764">
        <w:rPr>
          <w:rStyle w:val="Emphasis"/>
          <w:highlight w:val="green"/>
        </w:rPr>
        <w:t>compromise</w:t>
      </w:r>
      <w:r w:rsidRPr="00F4190E">
        <w:rPr>
          <w:sz w:val="16"/>
        </w:rPr>
        <w:t xml:space="preserve">. But where water demands a consideration of that which is relational between Indigenous and settler worlds, I remain committed </w:t>
      </w:r>
      <w:r w:rsidRPr="00F4190E">
        <w:rPr>
          <w:rStyle w:val="StyleUnderline"/>
        </w:rPr>
        <w:t>to understanding how this relation itself might be decolonized</w:t>
      </w:r>
      <w:r w:rsidRPr="00F4190E">
        <w:rPr>
          <w:sz w:val="16"/>
        </w:rPr>
        <w:t xml:space="preserve">. While I do not intend to affirm a “settler futurity,” which Tuck and Yang assert is incommensurable with Indigenous decolonial projects, I undertake here what I identify as </w:t>
      </w:r>
      <w:r w:rsidRPr="00F22764">
        <w:rPr>
          <w:rStyle w:val="StyleUnderline"/>
          <w:highlight w:val="green"/>
        </w:rPr>
        <w:t>a decolonial thought experiment</w:t>
      </w:r>
      <w:r w:rsidRPr="00F4190E">
        <w:rPr>
          <w:rStyle w:val="StyleUnderline"/>
        </w:rPr>
        <w:t xml:space="preserve"> in order to consider how to live relationally </w:t>
      </w:r>
      <w:r w:rsidRPr="00F22764">
        <w:rPr>
          <w:rStyle w:val="StyleUnderline"/>
          <w:highlight w:val="green"/>
        </w:rPr>
        <w:t>with water</w:t>
      </w:r>
      <w:r w:rsidRPr="00F4190E">
        <w:rPr>
          <w:rStyle w:val="StyleUnderline"/>
        </w:rPr>
        <w:t xml:space="preserve"> now within lands where we are already “living within Indigenous sovereignty,” but </w:t>
      </w:r>
      <w:r w:rsidRPr="00F22764">
        <w:rPr>
          <w:rStyle w:val="StyleUnderline"/>
          <w:highlight w:val="green"/>
        </w:rPr>
        <w:t>which are overdetermined by</w:t>
      </w:r>
      <w:r w:rsidRPr="00F4190E">
        <w:rPr>
          <w:rStyle w:val="StyleUnderline"/>
        </w:rPr>
        <w:t xml:space="preserve"> the jurisdictional constraints of </w:t>
      </w:r>
      <w:r w:rsidRPr="00F22764">
        <w:rPr>
          <w:rStyle w:val="StyleUnderline"/>
          <w:highlight w:val="green"/>
        </w:rPr>
        <w:t>the settler state</w:t>
      </w:r>
      <w:r w:rsidRPr="00F4190E">
        <w:rPr>
          <w:sz w:val="16"/>
        </w:rPr>
        <w:t xml:space="preserve"> (Nicoll 2004, qtd. in Mackey 2016, 129). Legibility returns me to the demand of the relation, what Dorries and Ruddick, drawing on Bignall, call “the problematic unity of coexistence” (2018, 6). While incommensurability remains an important consideration for this relation, it is the relation itself where I ultimately aim to locate decolonial potential. Where legibility is produced and delimited through systems of power, </w:t>
      </w:r>
      <w:r w:rsidRPr="00F22764">
        <w:rPr>
          <w:rStyle w:val="StyleUnderline"/>
          <w:highlight w:val="green"/>
        </w:rPr>
        <w:t>water forces a reckoning with</w:t>
      </w:r>
      <w:r w:rsidRPr="00F4190E">
        <w:rPr>
          <w:rStyle w:val="StyleUnderline"/>
        </w:rPr>
        <w:t xml:space="preserve"> legibility across </w:t>
      </w:r>
      <w:r w:rsidRPr="00F22764">
        <w:rPr>
          <w:rStyle w:val="StyleUnderline"/>
          <w:highlight w:val="green"/>
        </w:rPr>
        <w:t>settler and Indigenous water worlds</w:t>
      </w:r>
      <w:r w:rsidRPr="00F4190E">
        <w:rPr>
          <w:rStyle w:val="StyleUnderline"/>
        </w:rPr>
        <w:t>—its relational presence demands the readability of Indigenous peoples’ inherent rights, their hydrosocial relations and legal orders, and the pressures they put on waters that necessarily flow in relation between Indigenous and settler worlds.</w:t>
      </w:r>
    </w:p>
    <w:p w14:paraId="0F9AABE2" w14:textId="77777777" w:rsidR="00CC2CC5" w:rsidRPr="00F4190E" w:rsidRDefault="00CC2CC5" w:rsidP="00CC2CC5">
      <w:pPr>
        <w:spacing w:after="0"/>
        <w:rPr>
          <w:sz w:val="16"/>
        </w:rPr>
      </w:pPr>
      <w:r w:rsidRPr="00F4190E">
        <w:rPr>
          <w:sz w:val="16"/>
        </w:rPr>
        <w:t xml:space="preserve">My second and related question, then, is what it has meant and what it could mean to live relationally with water in a settler colonial nation state such as Canada? At the heart of both of these questions is what it means to exist relationally in a settler state, in law, and with rights when worldviews are incommensurable in ways that often lead to violence and dispossession. What does it mean to exist relationally in a place where legibility is confined to a matter of cultural difference, and at worst violently erased? </w:t>
      </w:r>
      <w:r w:rsidRPr="00F4190E">
        <w:rPr>
          <w:rStyle w:val="StyleUnderline"/>
        </w:rPr>
        <w:t>While I will expand on the concept of “worlding” below, my research questions prompt me to consider the distinct worlds—</w:t>
      </w:r>
      <w:r w:rsidRPr="00F22764">
        <w:rPr>
          <w:rStyle w:val="StyleUnderline"/>
          <w:highlight w:val="green"/>
        </w:rPr>
        <w:t>the</w:t>
      </w:r>
      <w:r w:rsidRPr="00F4190E">
        <w:rPr>
          <w:rStyle w:val="StyleUnderline"/>
        </w:rPr>
        <w:t xml:space="preserve"> complex </w:t>
      </w:r>
      <w:r w:rsidRPr="00F22764">
        <w:rPr>
          <w:rStyle w:val="StyleUnderline"/>
          <w:highlight w:val="green"/>
        </w:rPr>
        <w:t>ontological perspectives</w:t>
      </w:r>
      <w:r w:rsidRPr="00F4190E">
        <w:rPr>
          <w:rStyle w:val="StyleUnderline"/>
        </w:rPr>
        <w:t xml:space="preserve">—that are </w:t>
      </w:r>
      <w:r w:rsidRPr="00F22764">
        <w:rPr>
          <w:rStyle w:val="StyleUnderline"/>
          <w:highlight w:val="green"/>
        </w:rPr>
        <w:t>comprised by</w:t>
      </w:r>
      <w:r w:rsidRPr="00F4190E">
        <w:rPr>
          <w:rStyle w:val="StyleUnderline"/>
        </w:rPr>
        <w:t xml:space="preserve"> and through our different </w:t>
      </w:r>
      <w:r w:rsidRPr="00F22764">
        <w:rPr>
          <w:rStyle w:val="StyleUnderline"/>
          <w:highlight w:val="green"/>
        </w:rPr>
        <w:t>engagements with water</w:t>
      </w:r>
      <w:r w:rsidRPr="00F4190E">
        <w:rPr>
          <w:rStyle w:val="StyleUnderline"/>
        </w:rPr>
        <w:t xml:space="preserve"> and the system of rights that arise through these engagements</w:t>
      </w:r>
      <w:r w:rsidRPr="00F4190E">
        <w:rPr>
          <w:sz w:val="16"/>
        </w:rPr>
        <w:t xml:space="preserve">. </w:t>
      </w:r>
      <w:r w:rsidRPr="00F4190E">
        <w:rPr>
          <w:rStyle w:val="Emphasis"/>
          <w:bCs/>
        </w:rPr>
        <w:t xml:space="preserve">How do certain interpretations of rights around water and the laws that </w:t>
      </w:r>
      <w:r w:rsidRPr="00F22764">
        <w:rPr>
          <w:rStyle w:val="Emphasis"/>
          <w:bCs/>
          <w:highlight w:val="green"/>
        </w:rPr>
        <w:t>uphold</w:t>
      </w:r>
      <w:r w:rsidRPr="00F4190E">
        <w:rPr>
          <w:rStyle w:val="Emphasis"/>
          <w:bCs/>
        </w:rPr>
        <w:t xml:space="preserve"> them construct </w:t>
      </w:r>
      <w:r w:rsidRPr="00F22764">
        <w:rPr>
          <w:rStyle w:val="Emphasis"/>
          <w:bCs/>
          <w:highlight w:val="green"/>
        </w:rPr>
        <w:t>material worlds in their image</w:t>
      </w:r>
      <w:r w:rsidRPr="00F4190E">
        <w:rPr>
          <w:rStyle w:val="Emphasis"/>
        </w:rPr>
        <w:t>?</w:t>
      </w:r>
      <w:r w:rsidRPr="00F4190E">
        <w:rPr>
          <w:sz w:val="16"/>
        </w:rPr>
        <w:t xml:space="preserve"> How have they limited, and in many instances, actively worked to undermine and even destroy the possibility for the enactment, making, and remaking of Indigenous worlds? What worlds have been and could be possible through reckoning with the legibility of the inherent rights of Indigenous peoples, Indigenous legal orders, and assertions of sovereignty, particularly as they pertain to water? In raising these questions about legibility and relationality, I am fundamentally concerned with the question of what is and what could be legible as law on lands that are both overdetermined by settler colonialism, and where enactments of Indigenous land and water tenure are actively being remade within and against these constraints.</w:t>
      </w:r>
    </w:p>
    <w:p w14:paraId="3BC0B1C7" w14:textId="77777777" w:rsidR="00CC2CC5" w:rsidRPr="00F4190E" w:rsidRDefault="00CC2CC5" w:rsidP="00CC2CC5">
      <w:pPr>
        <w:spacing w:after="0"/>
        <w:rPr>
          <w:sz w:val="16"/>
        </w:rPr>
      </w:pPr>
      <w:r w:rsidRPr="00F4190E">
        <w:rPr>
          <w:rStyle w:val="StyleUnderline"/>
        </w:rPr>
        <w:t>Through an interdisciplinary analysis of</w:t>
      </w:r>
      <w:r w:rsidRPr="00F4190E">
        <w:rPr>
          <w:sz w:val="16"/>
        </w:rPr>
        <w:t xml:space="preserve"> selected </w:t>
      </w:r>
      <w:r w:rsidRPr="00F4190E">
        <w:rPr>
          <w:rStyle w:val="StyleUnderline"/>
        </w:rPr>
        <w:t>discursive articulations of land, water, law, and Indigenous rights</w:t>
      </w:r>
      <w:r w:rsidRPr="00F4190E">
        <w:rPr>
          <w:sz w:val="16"/>
        </w:rPr>
        <w:t xml:space="preserve"> in Canada, </w:t>
      </w:r>
      <w:r w:rsidRPr="00F4190E">
        <w:rPr>
          <w:rStyle w:val="StyleUnderline"/>
        </w:rPr>
        <w:t>I explore the production of and relationship between Indigenous and settler water worlds as they are made and remade within and against the confines of the settler colonial nation state</w:t>
      </w:r>
      <w:r w:rsidRPr="00F4190E">
        <w:rPr>
          <w:sz w:val="16"/>
        </w:rPr>
        <w:t xml:space="preserve">. As land and its </w:t>
      </w:r>
      <w:r w:rsidRPr="00F4190E">
        <w:rPr>
          <w:rStyle w:val="Emphasis"/>
          <w:bCs/>
        </w:rPr>
        <w:t>settlement continues to play such a fundamental role in the development of the nation</w:t>
      </w:r>
      <w:r w:rsidRPr="00F4190E">
        <w:rPr>
          <w:b/>
          <w:bCs/>
          <w:sz w:val="16"/>
        </w:rPr>
        <w:t>,</w:t>
      </w:r>
      <w:r w:rsidRPr="00F4190E">
        <w:rPr>
          <w:sz w:val="16"/>
        </w:rPr>
        <w:t xml:space="preserve"> I explore how water has been figured within the settler state and its settler subjectifications. I ask, what are the ways in which water has been relegated to a simplified extension of land-based discourse within Canadian Indigenous rights policy and what are the effects of this? What are the ways that settler subjects have enacted and amplified these land-based limitations? </w:t>
      </w:r>
      <w:r w:rsidRPr="00F4190E">
        <w:rPr>
          <w:rStyle w:val="Emphasis"/>
        </w:rPr>
        <w:t>Subjective dynamics, the logics of settler possession and their corresponding elements of settler desire</w:t>
      </w:r>
      <w:r w:rsidRPr="00F4190E">
        <w:rPr>
          <w:sz w:val="16"/>
        </w:rPr>
        <w:t xml:space="preserve"> and self-delusion </w:t>
      </w:r>
      <w:r w:rsidRPr="00F4190E">
        <w:rPr>
          <w:rStyle w:val="Emphasis"/>
        </w:rPr>
        <w:t>are integral in understanding the</w:t>
      </w:r>
      <w:r w:rsidRPr="00F4190E">
        <w:rPr>
          <w:sz w:val="16"/>
        </w:rPr>
        <w:t xml:space="preserve"> subjective </w:t>
      </w:r>
      <w:r w:rsidRPr="00F4190E">
        <w:rPr>
          <w:rStyle w:val="Emphasis"/>
        </w:rPr>
        <w:t>processes underpinning the enactment and perpetuation of settler colonial water worlds</w:t>
      </w:r>
      <w:r w:rsidRPr="00F4190E">
        <w:rPr>
          <w:sz w:val="16"/>
        </w:rPr>
        <w:t xml:space="preserve">—for understanding how settler colonial water worlds are embodied and projected on the ground by settler subjects in distinct historical moments. In </w:t>
      </w:r>
      <w:r w:rsidRPr="00F4190E">
        <w:rPr>
          <w:rStyle w:val="StyleUnderline"/>
        </w:rPr>
        <w:t>this</w:t>
      </w:r>
      <w:r w:rsidRPr="00F4190E">
        <w:rPr>
          <w:sz w:val="16"/>
        </w:rPr>
        <w:t xml:space="preserve"> project’s </w:t>
      </w:r>
      <w:r w:rsidRPr="00F4190E">
        <w:rPr>
          <w:rStyle w:val="Emphasis"/>
        </w:rPr>
        <w:t>commitment to critique</w:t>
      </w:r>
      <w:r w:rsidRPr="00F4190E">
        <w:rPr>
          <w:sz w:val="16"/>
        </w:rPr>
        <w:t xml:space="preserve">, I attempt </w:t>
      </w:r>
      <w:r w:rsidRPr="00F4190E">
        <w:rPr>
          <w:rStyle w:val="Emphasis"/>
        </w:rPr>
        <w:t>to account for the structural, institutional, the large-scale historical processes</w:t>
      </w:r>
      <w:r w:rsidRPr="00F4190E">
        <w:rPr>
          <w:rStyle w:val="StyleUnderline"/>
        </w:rPr>
        <w:t>, as well as their extension into the waters of Turtle at the subjective level</w:t>
      </w:r>
      <w:r w:rsidRPr="00F4190E">
        <w:rPr>
          <w:sz w:val="16"/>
        </w:rPr>
        <w:t xml:space="preserve">—the subjective dimensions </w:t>
      </w:r>
      <w:r w:rsidRPr="00F4190E">
        <w:rPr>
          <w:rStyle w:val="StyleUnderline"/>
        </w:rPr>
        <w:t>that are often complicit in their well-meaning intentions, and which make settler colonial water worlds so hard to alter or unmake</w:t>
      </w:r>
      <w:r w:rsidRPr="00F4190E">
        <w:rPr>
          <w:sz w:val="16"/>
        </w:rPr>
        <w:t>. Alternatively</w:t>
      </w:r>
      <w:r w:rsidRPr="00F4190E">
        <w:rPr>
          <w:rStyle w:val="StyleUnderline"/>
        </w:rPr>
        <w:t>, by exploring the historical, political, and legal perspectives of specific Indigenous nations, communities, and writers, I examine how water has been figured in Indigenous cultural, political, and legal thought, practice, and community action</w:t>
      </w:r>
      <w:r w:rsidRPr="00F4190E">
        <w:rPr>
          <w:sz w:val="16"/>
        </w:rPr>
        <w:t xml:space="preserve">. How do Indigenous legal orders and sovereignty claims frame water rights for Indigenous peoples and what kind of material worlds does this reframing aim to construct? </w:t>
      </w:r>
    </w:p>
    <w:p w14:paraId="6A70ED5E" w14:textId="77777777" w:rsidR="00CC2CC5" w:rsidRDefault="00CC2CC5" w:rsidP="00CC2CC5">
      <w:pPr>
        <w:spacing w:after="0"/>
        <w:rPr>
          <w:rStyle w:val="StyleUnderline"/>
        </w:rPr>
      </w:pPr>
      <w:r w:rsidRPr="00F4190E">
        <w:rPr>
          <w:sz w:val="16"/>
        </w:rPr>
        <w:t xml:space="preserve">Cree/Gitxsan legal scholar Val Napoleon asserts that we “cannot assume that there are fully functioning Indigenous laws around us that will spring to life by mere recognition. Instead, what is required is rebuilding” (Napoleon 2013). Following Napoleon’s comments here, my aim in this dissertation is ultimately to explore some of the conditions required to begin rebuilding or remaking Indigenous water worlds in the settler colonial context. Put another way, </w:t>
      </w:r>
      <w:r w:rsidRPr="00F22764">
        <w:rPr>
          <w:rStyle w:val="Emphasis"/>
          <w:highlight w:val="green"/>
        </w:rPr>
        <w:t>if state interpretations of Indigenous rights</w:t>
      </w:r>
      <w:r w:rsidRPr="00F4190E">
        <w:rPr>
          <w:rStyle w:val="Emphasis"/>
        </w:rPr>
        <w:t xml:space="preserve"> discourse, those which </w:t>
      </w:r>
      <w:r w:rsidRPr="00F22764">
        <w:rPr>
          <w:rStyle w:val="Emphasis"/>
          <w:highlight w:val="green"/>
        </w:rPr>
        <w:t>are rooted in Western property regimes</w:t>
      </w:r>
      <w:r w:rsidRPr="00F4190E">
        <w:rPr>
          <w:rStyle w:val="Emphasis"/>
        </w:rPr>
        <w:t xml:space="preserve">, </w:t>
      </w:r>
      <w:r w:rsidRPr="00F22764">
        <w:rPr>
          <w:rStyle w:val="Emphasis"/>
          <w:highlight w:val="green"/>
        </w:rPr>
        <w:t>and colonial common law have actively unmade Indigenous water worlds</w:t>
      </w:r>
      <w:r w:rsidRPr="00F4190E">
        <w:rPr>
          <w:rStyle w:val="Emphasis"/>
        </w:rPr>
        <w:t xml:space="preserve">, </w:t>
      </w:r>
      <w:r w:rsidRPr="00F4190E">
        <w:rPr>
          <w:rStyle w:val="Emphasis"/>
          <w:bCs/>
        </w:rPr>
        <w:t>correspondingly limiting the legibility of Indigenous peoples’ inherent rights and the legal orders from which these inherent rights are derived,</w:t>
      </w:r>
      <w:r w:rsidRPr="00F4190E">
        <w:rPr>
          <w:rStyle w:val="Emphasis"/>
        </w:rPr>
        <w:t xml:space="preserve"> </w:t>
      </w:r>
      <w:r w:rsidRPr="00F22764">
        <w:rPr>
          <w:rStyle w:val="Emphasis"/>
          <w:highlight w:val="green"/>
        </w:rPr>
        <w:t>what kinds of conditions are required for their remaking</w:t>
      </w:r>
      <w:r w:rsidRPr="00F4190E">
        <w:rPr>
          <w:sz w:val="16"/>
        </w:rPr>
        <w:t xml:space="preserve">? What are the ways in which Indigenous peoples have resisted the imposition of settler colonial water worlds? And what is the potential to constitute these distinct, often oppositional worlds relationally? While I do not intend to circumscribe what this remaking has and will look like, as each of my sites of analysis show, </w:t>
      </w:r>
      <w:r w:rsidRPr="00F22764">
        <w:rPr>
          <w:rStyle w:val="StyleUnderline"/>
          <w:highlight w:val="green"/>
        </w:rPr>
        <w:t>it involves the</w:t>
      </w:r>
      <w:r w:rsidRPr="00F4190E">
        <w:rPr>
          <w:rStyle w:val="StyleUnderline"/>
        </w:rPr>
        <w:t xml:space="preserve"> fostering of the conditions for the assertion and </w:t>
      </w:r>
      <w:r w:rsidRPr="00F22764">
        <w:rPr>
          <w:rStyle w:val="StyleUnderline"/>
          <w:highlight w:val="green"/>
        </w:rPr>
        <w:t>resurgence of</w:t>
      </w:r>
      <w:r w:rsidRPr="00F4190E">
        <w:rPr>
          <w:rStyle w:val="StyleUnderline"/>
        </w:rPr>
        <w:t xml:space="preserve"> the </w:t>
      </w:r>
      <w:r w:rsidRPr="00F22764">
        <w:rPr>
          <w:rStyle w:val="StyleUnderline"/>
          <w:highlight w:val="green"/>
        </w:rPr>
        <w:t>Indigenous legal orders and hydrosocial relations</w:t>
      </w:r>
      <w:r w:rsidRPr="00F4190E">
        <w:rPr>
          <w:rStyle w:val="StyleUnderline"/>
        </w:rPr>
        <w:t xml:space="preserve"> that give meaning to Indigenous peoples’ inherent rights to </w:t>
      </w:r>
      <w:r w:rsidRPr="00F22764">
        <w:rPr>
          <w:rStyle w:val="StyleUnderline"/>
          <w:highlight w:val="green"/>
        </w:rPr>
        <w:t>and self-determination over their waters</w:t>
      </w:r>
      <w:r w:rsidRPr="00F4190E">
        <w:rPr>
          <w:sz w:val="16"/>
        </w:rPr>
        <w:t xml:space="preserve">. Tuck and Yang assert that “decolonization in the settler colonial context must involve the repatriation of land simultaneous to the recognition of how land and relations to land have always already been differently understood and enacted; that is, all of the land, and not just symbolically” (7). To be clear, my focus on a decolonial relationality in this project is not simply a call for the recognition and respect of an ontological plurality on colonized lands. Rather, my project is </w:t>
      </w:r>
      <w:r w:rsidRPr="00F4190E">
        <w:rPr>
          <w:rStyle w:val="StyleUnderline"/>
        </w:rPr>
        <w:t>concerned with</w:t>
      </w:r>
      <w:r w:rsidRPr="00F4190E">
        <w:rPr>
          <w:sz w:val="16"/>
        </w:rPr>
        <w:t xml:space="preserve"> what this </w:t>
      </w:r>
      <w:r w:rsidRPr="00F4190E">
        <w:rPr>
          <w:rStyle w:val="StyleUnderline"/>
        </w:rPr>
        <w:t>repatriation</w:t>
      </w:r>
      <w:r w:rsidRPr="00F4190E">
        <w:rPr>
          <w:sz w:val="16"/>
        </w:rPr>
        <w:t xml:space="preserve"> is up </w:t>
      </w:r>
      <w:r w:rsidRPr="00F4190E">
        <w:rPr>
          <w:rStyle w:val="StyleUnderline"/>
        </w:rPr>
        <w:t>against</w:t>
      </w:r>
      <w:r w:rsidRPr="00F4190E">
        <w:rPr>
          <w:sz w:val="16"/>
        </w:rPr>
        <w:t xml:space="preserve"> under </w:t>
      </w:r>
      <w:r w:rsidRPr="00F4190E">
        <w:rPr>
          <w:rStyle w:val="StyleUnderline"/>
        </w:rPr>
        <w:t>the jurisdictional powers of the settler state, the concrete and material shift in power that it would require, and what this might look like in relation to the waters that flow between Indigenous and settler understandings and enactments.</w:t>
      </w:r>
    </w:p>
    <w:p w14:paraId="094F1355" w14:textId="77777777" w:rsidR="00CC2CC5" w:rsidRDefault="00CC2CC5" w:rsidP="00CC2CC5">
      <w:pPr>
        <w:pStyle w:val="Heading3"/>
      </w:pPr>
      <w:r>
        <w:t>2NC - Impact – ecological nobility</w:t>
      </w:r>
    </w:p>
    <w:p w14:paraId="39A551BC" w14:textId="77777777" w:rsidR="00CC2CC5" w:rsidRDefault="00CC2CC5" w:rsidP="00CC2CC5">
      <w:pPr>
        <w:pStyle w:val="Heading4"/>
      </w:pPr>
      <w:r>
        <w:t>Recent images of ecological nobility feed into the American Dream of colonization and cultural genocide while denying indigenous folk rights to identity</w:t>
      </w:r>
    </w:p>
    <w:p w14:paraId="163D796F" w14:textId="77777777" w:rsidR="00CC2CC5" w:rsidRPr="00A24A40" w:rsidRDefault="00CC2CC5" w:rsidP="00CC2CC5">
      <w:r>
        <w:t>*needs author quals</w:t>
      </w:r>
    </w:p>
    <w:p w14:paraId="4F684C86" w14:textId="77777777" w:rsidR="00CC2CC5" w:rsidRPr="00E373AE" w:rsidRDefault="00CC2CC5" w:rsidP="00CC2CC5">
      <w:r w:rsidRPr="00A24A40">
        <w:rPr>
          <w:rStyle w:val="Style13ptBold"/>
        </w:rPr>
        <w:t>Grande 99</w:t>
      </w:r>
      <w:r>
        <w:t xml:space="preserve">, </w:t>
      </w:r>
      <w:r w:rsidRPr="008F2CD9">
        <w:t>Sandy Marie Anglás Grande</w:t>
      </w:r>
      <w:r>
        <w:t>,</w:t>
      </w:r>
      <w:r w:rsidRPr="008F2CD9">
        <w:t xml:space="preserve"> </w:t>
      </w:r>
      <w:r>
        <w:t xml:space="preserve">“Beyond the Ecologically Noble Savage: Deconstructing the White Man’s Indian”, Philosophy documentation center, </w:t>
      </w:r>
      <w:hyperlink r:id="rId27" w:history="1">
        <w:r w:rsidRPr="005379CC">
          <w:rPr>
            <w:rStyle w:val="Hyperlink"/>
          </w:rPr>
          <w:t>https://www.pdcnet.org/collection/authorizedshow?id=enviroethics_1999_0021_0003_0307_0320&amp;pdfname=enviroethics_1999_0021_0003_0307_0320.pdf&amp;file_type=pdf&amp;googlescholar=true</w:t>
        </w:r>
      </w:hyperlink>
      <w:r>
        <w:t xml:space="preserve"> //JK</w:t>
      </w:r>
    </w:p>
    <w:p w14:paraId="6F4C892B" w14:textId="77777777" w:rsidR="00CC2CC5" w:rsidRPr="00E373AE" w:rsidRDefault="00CC2CC5" w:rsidP="00CC2CC5">
      <w:pPr>
        <w:rPr>
          <w:sz w:val="16"/>
        </w:rPr>
      </w:pPr>
      <w:r w:rsidRPr="00E373AE">
        <w:rPr>
          <w:sz w:val="16"/>
        </w:rPr>
        <w:t xml:space="preserve">After five hundred years of colonization, </w:t>
      </w:r>
      <w:r w:rsidRPr="0080642F">
        <w:rPr>
          <w:rStyle w:val="StyleUnderline"/>
        </w:rPr>
        <w:t>American Indians remain virtually invisible and relatively absent from the collective consciousness of most Americans</w:t>
      </w:r>
      <w:r w:rsidRPr="00E373AE">
        <w:rPr>
          <w:sz w:val="16"/>
        </w:rPr>
        <w:t xml:space="preserve">. In this way, </w:t>
      </w:r>
      <w:r w:rsidRPr="0080642F">
        <w:rPr>
          <w:rStyle w:val="StyleUnderline"/>
        </w:rPr>
        <w:t xml:space="preserve">we remain distinct from other subjugated groups whose images have become more integrated in “mainstream” depiction’s of American life </w:t>
      </w:r>
      <w:r w:rsidRPr="00E373AE">
        <w:rPr>
          <w:sz w:val="16"/>
        </w:rPr>
        <w:t xml:space="preserve">and who have had more success in complicating and re-humanizing their subjectivities. In contrast, American Indians remain locked in the confines and time warps of American iconography so that, even in this time of multicultural </w:t>
      </w:r>
      <w:r w:rsidRPr="0080642F">
        <w:rPr>
          <w:rStyle w:val="StyleUnderline"/>
        </w:rPr>
        <w:t>America</w:t>
      </w:r>
      <w:r w:rsidRPr="00E373AE">
        <w:rPr>
          <w:sz w:val="16"/>
        </w:rPr>
        <w:t xml:space="preserve">, we are typically </w:t>
      </w:r>
      <w:r w:rsidRPr="0080642F">
        <w:rPr>
          <w:rStyle w:val="StyleUnderline"/>
        </w:rPr>
        <w:t>accepted and recognized only in</w:t>
      </w:r>
      <w:r w:rsidRPr="00E373AE">
        <w:rPr>
          <w:sz w:val="16"/>
        </w:rPr>
        <w:t xml:space="preserve"> our </w:t>
      </w:r>
      <w:r w:rsidRPr="0080642F">
        <w:rPr>
          <w:rStyle w:val="Emphasis"/>
        </w:rPr>
        <w:t>crudest forms</w:t>
      </w:r>
      <w:r w:rsidRPr="0080642F">
        <w:rPr>
          <w:rStyle w:val="StyleUnderline"/>
        </w:rPr>
        <w:t>— as generic, buckskin clad warriors</w:t>
      </w:r>
      <w:r w:rsidRPr="00E373AE">
        <w:rPr>
          <w:sz w:val="16"/>
        </w:rPr>
        <w:t xml:space="preserve"> and exotic maidens. This relative invisibility and inaccessibility undoubtedly contributes to the fact that Indians remain among the most studied peoples in the world; or as Vine Deloria Jr. contends, that </w:t>
      </w:r>
      <w:r w:rsidRPr="0080642F">
        <w:rPr>
          <w:rStyle w:val="StyleUnderline"/>
        </w:rPr>
        <w:t>we continue to be objectified and constructed as “</w:t>
      </w:r>
      <w:r w:rsidRPr="0080642F">
        <w:rPr>
          <w:rStyle w:val="Emphasis"/>
        </w:rPr>
        <w:t>the primitive unknown quantity</w:t>
      </w:r>
      <w:r w:rsidRPr="0080642F">
        <w:rPr>
          <w:rStyle w:val="StyleUnderline"/>
        </w:rPr>
        <w:t>.”</w:t>
      </w:r>
      <w:r w:rsidRPr="00E373AE">
        <w:rPr>
          <w:sz w:val="16"/>
        </w:rPr>
        <w:t>3</w:t>
      </w:r>
    </w:p>
    <w:p w14:paraId="66372450" w14:textId="77777777" w:rsidR="00CC2CC5" w:rsidRPr="00E373AE" w:rsidRDefault="00CC2CC5" w:rsidP="00CC2CC5">
      <w:pPr>
        <w:rPr>
          <w:sz w:val="14"/>
        </w:rPr>
      </w:pPr>
      <w:r w:rsidRPr="00E373AE">
        <w:rPr>
          <w:sz w:val="14"/>
        </w:rPr>
        <w:t xml:space="preserve">Robert F. Berkhofer Jr., author of The White Man’s Indian, argues that </w:t>
      </w:r>
      <w:r w:rsidRPr="0080642F">
        <w:rPr>
          <w:rStyle w:val="StyleUnderline"/>
        </w:rPr>
        <w:t xml:space="preserve">maintenance of the image of the American Indian as a “primitive unknown quantity” has been a largely </w:t>
      </w:r>
      <w:r w:rsidRPr="00E373AE">
        <w:rPr>
          <w:rStyle w:val="Emphasis"/>
        </w:rPr>
        <w:t>unconscious and deliberate project</w:t>
      </w:r>
      <w:r w:rsidRPr="0080642F">
        <w:rPr>
          <w:rStyle w:val="StyleUnderline"/>
        </w:rPr>
        <w:t xml:space="preserve"> to control and exert power over Native American peoples. It is a project with deep historical roots and enduring contemporary ramifications through which the white world has </w:t>
      </w:r>
      <w:r w:rsidRPr="00E373AE">
        <w:rPr>
          <w:rStyle w:val="Emphasis"/>
        </w:rPr>
        <w:t>dominated</w:t>
      </w:r>
      <w:r w:rsidRPr="0080642F">
        <w:rPr>
          <w:rStyle w:val="StyleUnderline"/>
        </w:rPr>
        <w:t xml:space="preserve"> in part, by constructing the image of American Indians to be </w:t>
      </w:r>
      <w:r w:rsidRPr="00E373AE">
        <w:rPr>
          <w:rStyle w:val="Emphasis"/>
        </w:rPr>
        <w:t>whatever they needed it to be</w:t>
      </w:r>
      <w:r w:rsidRPr="00E373AE">
        <w:rPr>
          <w:sz w:val="14"/>
        </w:rPr>
        <w:t>. For instance, Berkhofer contends that long before European imperialism reached the shores of Jamestown, stereotypes of Indians had already been formed from accounts of earlier explorers, and he questions whether and, to what degree, these early images predetermined the actions of the colonists, pitting the civilized against savage, the Christian against the godless. To illustrate how such images were contrived to serve the interests of power, namely that of the “settlers,” Berkhofer offers the following excerpt from Goode News From Virginia (1613) in which a Virginian minister, Alexander Whitaker, first capitalizes upon the image of the “bad Indian” to advocate the case for Christian conversion, and later in the same document, employs the image of the “good Indian” to prove them capable of conversion:</w:t>
      </w:r>
    </w:p>
    <w:p w14:paraId="6C790E44" w14:textId="77777777" w:rsidR="00CC2CC5" w:rsidRPr="00E373AE" w:rsidRDefault="00CC2CC5" w:rsidP="00CC2CC5">
      <w:pPr>
        <w:rPr>
          <w:sz w:val="14"/>
          <w:szCs w:val="14"/>
        </w:rPr>
      </w:pPr>
      <w:r w:rsidRPr="00E373AE">
        <w:rPr>
          <w:sz w:val="14"/>
          <w:szCs w:val="14"/>
        </w:rPr>
        <w:t>. . . Their priests . . . are no other but such as our English witches are. They live naked in bodie, as if their shame of their sinne deserved no covering: Their names are as naked as their bodie: They esteem it a virtue to lie, deceive and steal as their master the divell teacheth to them.</w:t>
      </w:r>
    </w:p>
    <w:p w14:paraId="7B25348B" w14:textId="77777777" w:rsidR="00CC2CC5" w:rsidRPr="00E373AE" w:rsidRDefault="00CC2CC5" w:rsidP="00CC2CC5">
      <w:pPr>
        <w:rPr>
          <w:sz w:val="14"/>
          <w:szCs w:val="14"/>
        </w:rPr>
      </w:pPr>
      <w:r w:rsidRPr="00E373AE">
        <w:rPr>
          <w:sz w:val="14"/>
          <w:szCs w:val="14"/>
        </w:rPr>
        <w:t>But if any of us should misdoubt that this barbarous people is uncapable of such heavenly mysteries, let such men know that they are farre mistaken in the nature of these men . . . for they are of bodie lustie strong and very nimble: They are a very understanding generation, quick of apprehension, suddaine in their dispatches, subtle in their dealings, exquisite in their inventions, and industrious in their labor.4 While this passage is clearly just one excerpt from one minister, it is a microcosm of the history of genocide and colonization in which “success” was largely dependent upon white control of the frames by which Indian people were defined. Essentially, Berkhofer argues that when the rush to secure subsidies for continued “exploration” was at hand, it was important for whites to paint a picture of the “New World” as inhabited by subhuman entities in need of eradication. Thus, at the height of the invasion, the image of Indian as primitive, bloodthirsty warrior was widely employed as fuel for the escalation of war. As fears mounted and the futility of the genocidal campaign became apparent, however, there arose a greater need for Indians to be viewed as savages in search of salvation, making way for the new and improved “save the man kill the Indian” campaigns.</w:t>
      </w:r>
    </w:p>
    <w:p w14:paraId="5D5DC3C9" w14:textId="77777777" w:rsidR="00CC2CC5" w:rsidRPr="00E373AE" w:rsidRDefault="00CC2CC5" w:rsidP="00CC2CC5">
      <w:pPr>
        <w:rPr>
          <w:rStyle w:val="Emphasis"/>
        </w:rPr>
      </w:pPr>
      <w:r w:rsidRPr="00E373AE">
        <w:rPr>
          <w:sz w:val="14"/>
        </w:rPr>
        <w:t xml:space="preserve"> Berkhofer’s central thesis is that the image of American Indians has historically coincided with the concurrent state of Indian-white relations; in other words, the image has and continues to serve the “polemical and creative needs of Whites.”5 He argues that </w:t>
      </w:r>
      <w:r w:rsidRPr="00E373AE">
        <w:rPr>
          <w:rStyle w:val="StyleUnderline"/>
        </w:rPr>
        <w:t xml:space="preserve">the depictions have vacillated between </w:t>
      </w:r>
      <w:r w:rsidRPr="00E373AE">
        <w:rPr>
          <w:rStyle w:val="Emphasis"/>
        </w:rPr>
        <w:t>noble and ignoble depending on the prevailing “acceptance or critique of White civilization</w:t>
      </w:r>
      <w:r w:rsidRPr="00E373AE">
        <w:rPr>
          <w:sz w:val="14"/>
        </w:rPr>
        <w:t xml:space="preserve">,”6 so that when white civilization is in favor, Indians are deemed ignoble, and when white civilization is in disfavor, “Indian-ness” becomes the elixir. For instance, the sustainability of a white-dominated society is currently being deeply questioned by scholars and activists from various corners (i.e., feminists, environmentalists, multiculturalists) all of whom have helped to set in motion a pervasive critique of the dominant culture. True to Berkhofer’s thesis, in this time of relative discontent, </w:t>
      </w:r>
      <w:r w:rsidRPr="00E373AE">
        <w:rPr>
          <w:rStyle w:val="StyleUnderline"/>
        </w:rPr>
        <w:t>images of the good Indian have been resurrected and imported into consumer culture writ large</w:t>
      </w:r>
      <w:r w:rsidRPr="00E373AE">
        <w:rPr>
          <w:sz w:val="14"/>
        </w:rPr>
        <w:t xml:space="preserve">. Noble, DancesWith-Wolves, and Earth-loving, Pocahontas-like subjectivities have flooded the market as commodified indicators of the growing ambivalence toward the modern project.7 </w:t>
      </w:r>
      <w:r w:rsidRPr="00E373AE">
        <w:rPr>
          <w:rStyle w:val="StyleUnderline"/>
        </w:rPr>
        <w:t xml:space="preserve">Such images appear to interject into the modern-technological world an illusion of the </w:t>
      </w:r>
      <w:r w:rsidRPr="00E373AE">
        <w:rPr>
          <w:rStyle w:val="Emphasis"/>
        </w:rPr>
        <w:t>uncomplicated primitive utopia</w:t>
      </w:r>
      <w:r w:rsidRPr="00E373AE">
        <w:rPr>
          <w:sz w:val="14"/>
        </w:rPr>
        <w:t xml:space="preserve">, an image that has now become about as dear to the modern zeitgeist </w:t>
      </w:r>
      <w:r w:rsidRPr="00E373AE">
        <w:rPr>
          <w:rStyle w:val="StyleUnderline"/>
        </w:rPr>
        <w:t xml:space="preserve">as </w:t>
      </w:r>
      <w:r w:rsidRPr="00E373AE">
        <w:rPr>
          <w:rStyle w:val="Emphasis"/>
        </w:rPr>
        <w:t>the American Dream.</w:t>
      </w:r>
    </w:p>
    <w:p w14:paraId="712CE9A2" w14:textId="77777777" w:rsidR="00CC2CC5" w:rsidRDefault="00CC2CC5" w:rsidP="00CC2CC5">
      <w:pPr>
        <w:rPr>
          <w:sz w:val="14"/>
        </w:rPr>
      </w:pPr>
      <w:r w:rsidRPr="00E373AE">
        <w:rPr>
          <w:sz w:val="14"/>
        </w:rPr>
        <w:t xml:space="preserve">In this article, I explore the implications of </w:t>
      </w:r>
      <w:r w:rsidRPr="00E373AE">
        <w:rPr>
          <w:rStyle w:val="StyleUnderline"/>
        </w:rPr>
        <w:t>the most recent resurrection of the image of the “good Indian”</w:t>
      </w:r>
      <w:r w:rsidRPr="00E373AE">
        <w:rPr>
          <w:sz w:val="14"/>
        </w:rPr>
        <w:t xml:space="preserve"> and the ways in which it </w:t>
      </w:r>
      <w:r w:rsidRPr="00E373AE">
        <w:rPr>
          <w:rStyle w:val="StyleUnderline"/>
        </w:rPr>
        <w:t>serves the current “polemical and creative needs of whites.</w:t>
      </w:r>
      <w:r w:rsidRPr="00E373AE">
        <w:rPr>
          <w:sz w:val="14"/>
        </w:rPr>
        <w:t>” In an effort to understand why such “needs” have remained a constant element of the American psyche and consciousness, I turn to the insights of cognitive and social psychology, established Western disciplines. These disciplines’ differing views of the social and psychological function of stereotypic images provides a foundation by which to examine the ways in which the image of Indian as ecologically noble savage has been employed by environmentalists to serve the various needs of that community. Finally, I reassert the right and more importantly the authority of Native American peoples to ultimately define for ourselves our respective identities and destiny’s.</w:t>
      </w:r>
    </w:p>
    <w:p w14:paraId="630BD01B" w14:textId="77777777" w:rsidR="00CC2CC5" w:rsidRDefault="00CC2CC5" w:rsidP="00CC2CC5">
      <w:pPr>
        <w:pStyle w:val="Heading2"/>
      </w:pPr>
      <w:r>
        <w:t>Eco K</w:t>
      </w:r>
    </w:p>
    <w:p w14:paraId="573B7725" w14:textId="77777777" w:rsidR="00CC2CC5" w:rsidRDefault="00CC2CC5" w:rsidP="00CC2CC5">
      <w:pPr>
        <w:pStyle w:val="Heading3"/>
      </w:pPr>
      <w:r>
        <w:t xml:space="preserve">Technology Links </w:t>
      </w:r>
    </w:p>
    <w:p w14:paraId="1F56B064"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The aff’s approach to universalized technology standards is a form of managerialism</w:t>
      </w:r>
    </w:p>
    <w:p w14:paraId="5BB9C006" w14:textId="77777777" w:rsidR="00CC2CC5" w:rsidRPr="00525307" w:rsidRDefault="00CC2CC5" w:rsidP="00CC2CC5">
      <w:pPr>
        <w:rPr>
          <w:rFonts w:asciiTheme="majorHAnsi" w:hAnsiTheme="majorHAnsi" w:cstheme="majorHAnsi"/>
        </w:rPr>
      </w:pPr>
      <w:r w:rsidRPr="00525307">
        <w:rPr>
          <w:rStyle w:val="Style13ptBold"/>
        </w:rPr>
        <w:t>Malpas, 18</w:t>
      </w:r>
      <w:r w:rsidRPr="00DE54AF">
        <w:rPr>
          <w:rFonts w:asciiTheme="majorHAnsi" w:hAnsiTheme="majorHAnsi" w:cstheme="majorHAnsi"/>
        </w:rPr>
        <w:t xml:space="preserve"> (Jeff, Distinguished Professor at the University of Tasmania and Visiting </w:t>
      </w:r>
      <w:r w:rsidRPr="00525307">
        <w:rPr>
          <w:rFonts w:asciiTheme="majorHAnsi" w:hAnsiTheme="majorHAnsi" w:cstheme="majorHAnsi"/>
        </w:rPr>
        <w:t>Distinguished Professor at Latrobe University. He was founder, and until 2005, Director, of the University of Tasmania’s Centre for Applied Philosophy and Ethics. He is the author or editor of numerous books with some of the world’s leading academic presses, and has published a wide range of scholarly articles on topics in philosophy, art, architecture, and geography, “‘Taking Everything in Hand’: Managerialism and Technology”, Office of the School of Humanities) https://jeffmalpas.com/wp-content/uploads/Taking-Everything-in-Hand-Managerialism-and-Te.pdf//ac</w:t>
      </w:r>
    </w:p>
    <w:p w14:paraId="00087BE7" w14:textId="77777777" w:rsidR="00CC2CC5" w:rsidRPr="00525307" w:rsidRDefault="00CC2CC5" w:rsidP="00CC2CC5">
      <w:pPr>
        <w:spacing w:after="0" w:line="240" w:lineRule="auto"/>
        <w:rPr>
          <w:rFonts w:asciiTheme="majorHAnsi" w:eastAsia="Times New Roman" w:hAnsiTheme="majorHAnsi" w:cstheme="majorHAnsi"/>
          <w:sz w:val="24"/>
        </w:rPr>
      </w:pPr>
      <w:r w:rsidRPr="00167B42">
        <w:rPr>
          <w:rFonts w:asciiTheme="majorHAnsi" w:eastAsia="Times New Roman" w:hAnsiTheme="majorHAnsi" w:cstheme="majorHAnsi"/>
          <w:sz w:val="24"/>
        </w:rPr>
        <w:t>The way this effacement of distinction occurs is not through any simple denial of the second-order character of management or the straightforward affirmation of management as a first order activity – managerialism does not deny that there are activities, like auto assembly or teaching, that are, ostensibly the objects towards which management is directed</w:t>
      </w:r>
      <w:r w:rsidRPr="00167B42">
        <w:rPr>
          <w:rStyle w:val="StyleUnderline"/>
          <w:rFonts w:asciiTheme="majorHAnsi" w:hAnsiTheme="majorHAnsi" w:cstheme="majorHAnsi"/>
        </w:rPr>
        <w:t xml:space="preserve">. Yet it nevertheless also tends </w:t>
      </w:r>
      <w:r w:rsidRPr="00167B42">
        <w:rPr>
          <w:rStyle w:val="Emphasis"/>
        </w:rPr>
        <w:t>to appropriate all activities</w:t>
      </w:r>
      <w:r w:rsidRPr="00167B42">
        <w:rPr>
          <w:rStyle w:val="StyleUnderline"/>
          <w:rFonts w:asciiTheme="majorHAnsi" w:hAnsiTheme="majorHAnsi" w:cstheme="majorHAnsi"/>
        </w:rPr>
        <w:t xml:space="preserve"> to the sphere of the managerial, effectively extending managerial practice into even those activities that would ordinarily be the object of such practice</w:t>
      </w:r>
      <w:r w:rsidRPr="00167B42">
        <w:rPr>
          <w:rFonts w:asciiTheme="majorHAnsi" w:eastAsia="Times New Roman" w:hAnsiTheme="majorHAnsi" w:cstheme="majorHAnsi"/>
          <w:sz w:val="24"/>
        </w:rPr>
        <w:t xml:space="preserve">. This does not occur merely through taking activities that may otherwise have escaped the managerial gaze and making them into objects of management – although part of what characterises managerialism is indeed the encompassing character of managerial attention: nothing is so minute or so seemingly irrelevant that it cannot be made part of the managerial project (something reflected in the concern of so many contemporary organisations to manage their ‘brand’ down to the smallest detail of organisational operation and presentation). </w:t>
      </w:r>
      <w:r w:rsidRPr="00167B42">
        <w:rPr>
          <w:rStyle w:val="StyleUnderline"/>
          <w:rFonts w:asciiTheme="majorHAnsi" w:hAnsiTheme="majorHAnsi" w:cstheme="majorHAnsi"/>
        </w:rPr>
        <w:t xml:space="preserve">The managerial extension of managerial activity occurs both through the </w:t>
      </w:r>
      <w:r w:rsidRPr="00167B42">
        <w:rPr>
          <w:rStyle w:val="Emphasis"/>
        </w:rPr>
        <w:t>extension of managerial practice</w:t>
      </w:r>
      <w:r w:rsidRPr="00167B42">
        <w:rPr>
          <w:rStyle w:val="StyleUnderline"/>
          <w:rFonts w:asciiTheme="majorHAnsi" w:hAnsiTheme="majorHAnsi" w:cstheme="majorHAnsi"/>
        </w:rPr>
        <w:t xml:space="preserve"> to encompass a greater range of objects or activities and through the extension of that practice to encompass a greater range of actors (which means that managerialism is primarily an organisational form that it will generate organisational structures even where it may appear none may have existed). The result is effectively that any and every activity is seen as having a managerial component at the same time as any and every agent becomes, to some extent, a manager or, at least, is seen as having managerial responsibilities</w:t>
      </w:r>
      <w:r w:rsidRPr="00167B42">
        <w:rPr>
          <w:rFonts w:asciiTheme="majorHAnsi" w:eastAsia="Times New Roman" w:hAnsiTheme="majorHAnsi" w:cstheme="majorHAnsi"/>
          <w:sz w:val="24"/>
        </w:rPr>
        <w:t xml:space="preserve"> (something strikingly in contrast with older conceptions of management6 </w:t>
      </w:r>
      <w:r w:rsidRPr="00167B42">
        <w:rPr>
          <w:rStyle w:val="StyleUnderline"/>
          <w:rFonts w:asciiTheme="majorHAnsi" w:hAnsiTheme="majorHAnsi" w:cstheme="majorHAnsi"/>
        </w:rPr>
        <w:t xml:space="preserve">). </w:t>
      </w:r>
      <w:r w:rsidRPr="00525307">
        <w:rPr>
          <w:rStyle w:val="StyleUnderline"/>
          <w:rFonts w:asciiTheme="majorHAnsi" w:hAnsiTheme="majorHAnsi" w:cstheme="majorHAnsi"/>
        </w:rPr>
        <w:t xml:space="preserve">The way this occurs within most contemporary organisations is through </w:t>
      </w:r>
      <w:r w:rsidRPr="00525307">
        <w:rPr>
          <w:rStyle w:val="Emphasis"/>
        </w:rPr>
        <w:t>increased</w:t>
      </w:r>
      <w:r w:rsidRPr="00525307">
        <w:rPr>
          <w:rStyle w:val="StyleUnderline"/>
          <w:rFonts w:asciiTheme="majorHAnsi" w:hAnsiTheme="majorHAnsi" w:cstheme="majorHAnsi"/>
        </w:rPr>
        <w:t xml:space="preserve"> reporting, </w:t>
      </w:r>
      <w:r w:rsidRPr="00525307">
        <w:rPr>
          <w:rStyle w:val="Emphasis"/>
        </w:rPr>
        <w:t>compliance</w:t>
      </w:r>
      <w:r w:rsidRPr="00525307">
        <w:rPr>
          <w:rStyle w:val="StyleUnderline"/>
          <w:rFonts w:asciiTheme="majorHAnsi" w:hAnsiTheme="majorHAnsi" w:cstheme="majorHAnsi"/>
        </w:rPr>
        <w:t xml:space="preserve">, and audit requirements that are </w:t>
      </w:r>
      <w:r w:rsidRPr="00525307">
        <w:rPr>
          <w:rStyle w:val="Emphasis"/>
        </w:rPr>
        <w:t>imposed across</w:t>
      </w:r>
      <w:r w:rsidRPr="00525307">
        <w:rPr>
          <w:rStyle w:val="StyleUnderline"/>
          <w:rFonts w:asciiTheme="majorHAnsi" w:hAnsiTheme="majorHAnsi" w:cstheme="majorHAnsi"/>
        </w:rPr>
        <w:t xml:space="preserve"> the organisation as a whole, usually </w:t>
      </w:r>
      <w:r w:rsidRPr="00525307">
        <w:rPr>
          <w:rStyle w:val="Emphasis"/>
        </w:rPr>
        <w:t>in generic fashion</w:t>
      </w:r>
      <w:r w:rsidRPr="00525307">
        <w:rPr>
          <w:rStyle w:val="StyleUnderline"/>
          <w:rFonts w:asciiTheme="majorHAnsi" w:hAnsiTheme="majorHAnsi" w:cstheme="majorHAnsi"/>
        </w:rPr>
        <w:t>, and that are most strongly felt at the lower levels of the organisation, sometimes significantly changing the character of activities at that level.</w:t>
      </w:r>
      <w:r w:rsidRPr="00525307">
        <w:rPr>
          <w:rFonts w:asciiTheme="majorHAnsi" w:eastAsia="Times New Roman" w:hAnsiTheme="majorHAnsi" w:cstheme="majorHAnsi"/>
          <w:sz w:val="24"/>
        </w:rPr>
        <w:t xml:space="preserve"> This is most obviously the case in those organisations whose primary focus is on activities</w:t>
      </w:r>
      <w:r w:rsidRPr="00525307">
        <w:rPr>
          <w:rFonts w:asciiTheme="majorHAnsi" w:hAnsiTheme="majorHAnsi" w:cstheme="majorHAnsi"/>
        </w:rPr>
        <w:t>.</w:t>
      </w:r>
    </w:p>
    <w:p w14:paraId="6085F899"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The aff’s focus on changing technology standards drives managerial processes – imposes control and direction while ignoring operational contexts</w:t>
      </w:r>
    </w:p>
    <w:p w14:paraId="0E9F01D1" w14:textId="77777777" w:rsidR="00CC2CC5" w:rsidRPr="00DE54AF" w:rsidRDefault="00CC2CC5" w:rsidP="00CC2CC5">
      <w:pPr>
        <w:rPr>
          <w:rFonts w:asciiTheme="majorHAnsi" w:hAnsiTheme="majorHAnsi" w:cstheme="majorHAnsi"/>
        </w:rPr>
      </w:pPr>
      <w:r w:rsidRPr="00DE54AF">
        <w:rPr>
          <w:rFonts w:asciiTheme="majorHAnsi" w:hAnsiTheme="majorHAnsi" w:cstheme="majorHAnsi"/>
        </w:rPr>
        <w:t>Malpas, 18 (Jeff, Distinguished Professor at the University of Tasmania and Visiting Distinguished Professor at Latrobe University. He was founder, and until 2005, Director, of the University of Tasmania’s Centre for Applied Philosophy and Ethics. He is the author or editor of numerous books with some of the world’s leading academic presses, and has published a wide range of scholarly articles on topics in philosophy, art, architecture, and geography, “‘Taking Everything in Hand’: Managerialism and Technology”, Office of the School of Humanities) https://jeffmalpas.com/wp-content/uploads/Taking-Everything-in-Hand-Managerialism-and-Te.pdf//ac</w:t>
      </w:r>
    </w:p>
    <w:p w14:paraId="05157630" w14:textId="77777777" w:rsidR="00CC2CC5" w:rsidRPr="00DE54AF" w:rsidRDefault="00CC2CC5" w:rsidP="00CC2CC5">
      <w:pPr>
        <w:spacing w:after="0" w:line="240" w:lineRule="auto"/>
        <w:rPr>
          <w:rFonts w:asciiTheme="majorHAnsi" w:eastAsia="Times New Roman" w:hAnsiTheme="majorHAnsi" w:cstheme="majorHAnsi"/>
          <w:sz w:val="24"/>
        </w:rPr>
      </w:pPr>
      <w:r w:rsidRPr="00167B42">
        <w:rPr>
          <w:rStyle w:val="StyleUnderline"/>
        </w:rPr>
        <w:t xml:space="preserve">In general terms, the rise of managerialism has meant that organisations are increasingly driven by highly generic, determinative, and </w:t>
      </w:r>
      <w:r w:rsidRPr="00167B42">
        <w:rPr>
          <w:rStyle w:val="Emphasis"/>
        </w:rPr>
        <w:t>invasive managerial processes</w:t>
      </w:r>
      <w:r w:rsidRPr="00167B42">
        <w:rPr>
          <w:rStyle w:val="StyleUnderline"/>
        </w:rPr>
        <w:t xml:space="preserve"> and systems that are imposed onto organisations by decision-makers who are typically </w:t>
      </w:r>
      <w:r w:rsidRPr="00167B42">
        <w:rPr>
          <w:rStyle w:val="Emphasis"/>
        </w:rPr>
        <w:t>removed from the operational context</w:t>
      </w:r>
      <w:r w:rsidRPr="00167B42">
        <w:rPr>
          <w:rFonts w:asciiTheme="majorHAnsi" w:eastAsia="Times New Roman" w:hAnsiTheme="majorHAnsi" w:cstheme="majorHAnsi"/>
          <w:sz w:val="24"/>
        </w:rPr>
        <w:t xml:space="preserve"> – removed physically, but also, in virtue of the generic nature of managerial practice, behaviourally and conceptually. In spite of its obvious drawbacks, the advantage of such an approach is that it centralises control while decentralising and depersonalising responsibility</w:t>
      </w:r>
      <w:r w:rsidRPr="00167B42">
        <w:rPr>
          <w:rStyle w:val="StyleUnderline"/>
        </w:rPr>
        <w:t xml:space="preserve">. Since the processes it imposes are indeed generic, and amenable to generalised descriptors such as ‘quality’, ‘excellence’, ‘efficiency’, and ‘accountability’, managerialism </w:t>
      </w:r>
      <w:r w:rsidRPr="00167B42">
        <w:rPr>
          <w:rStyle w:val="Emphasis"/>
        </w:rPr>
        <w:t>has rhetorical advantages</w:t>
      </w:r>
      <w:r w:rsidRPr="00167B42">
        <w:rPr>
          <w:rStyle w:val="StyleUnderline"/>
        </w:rPr>
        <w:t xml:space="preserve"> that make it especially useful in a political context. Managerialism removes the emphasis from the management of the activities that make up the real operational work of the organisation, and the values that underpin those activities, </w:t>
      </w:r>
      <w:r w:rsidRPr="00167B42">
        <w:rPr>
          <w:rStyle w:val="Emphasis"/>
        </w:rPr>
        <w:t>shifting the focus onto processes and systems</w:t>
      </w:r>
      <w:r w:rsidRPr="00167B42">
        <w:rPr>
          <w:rStyle w:val="StyleUnderline"/>
        </w:rPr>
        <w:t xml:space="preserve"> that are themselves more amenable to manipulation (because more removed from the activities themselves), and that also allow managerial work to be more easily and abstractly represented – thereby </w:t>
      </w:r>
      <w:r w:rsidRPr="00167B42">
        <w:rPr>
          <w:rStyle w:val="Emphasis"/>
        </w:rPr>
        <w:t>reinforcing a sense of control and direction.</w:t>
      </w:r>
      <w:r w:rsidRPr="00167B42">
        <w:rPr>
          <w:rStyle w:val="StyleUnderline"/>
        </w:rPr>
        <w:t xml:space="preserve"> </w:t>
      </w:r>
    </w:p>
    <w:p w14:paraId="2363B8F3"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“Best available technology” cannot be divorced from the structure of technology that imposes order on the world</w:t>
      </w:r>
    </w:p>
    <w:p w14:paraId="43BB0DE1" w14:textId="77777777" w:rsidR="00CC2CC5" w:rsidRPr="00DE54AF" w:rsidRDefault="00CC2CC5" w:rsidP="00CC2CC5">
      <w:pPr>
        <w:rPr>
          <w:rFonts w:asciiTheme="majorHAnsi" w:hAnsiTheme="majorHAnsi" w:cstheme="majorHAnsi"/>
        </w:rPr>
      </w:pPr>
      <w:r w:rsidRPr="00DE54AF">
        <w:rPr>
          <w:rFonts w:asciiTheme="majorHAnsi" w:hAnsiTheme="majorHAnsi" w:cstheme="majorHAnsi"/>
        </w:rPr>
        <w:t>Malpas, 18 (Jeff, Distinguished Professor at the University of Tasmania and Visiting Distinguished Professor at Latrobe University. He was founder, and until 2005, Director, of the University of Tasmania’s Centre for Applied Philosophy and Ethics. He is the author or editor of numerous books with some of the world’s leading academic presses, and has published a wide range of scholarly articles on topics in philosophy, art, architecture, and geography, “‘Taking Everything in Hand’: Managerialism and Technology”, Office of the School of Humanities) https://jeffmalpas.com/wp-content/uploads/Taking-Everything-in-Hand-Managerialism-and-Te.pdf//ac</w:t>
      </w:r>
    </w:p>
    <w:p w14:paraId="7A105524" w14:textId="77777777" w:rsidR="00CC2CC5" w:rsidRPr="006927D2" w:rsidRDefault="00CC2CC5" w:rsidP="00CC2CC5">
      <w:pPr>
        <w:spacing w:after="0" w:line="240" w:lineRule="auto"/>
        <w:rPr>
          <w:rStyle w:val="StyleUnderline"/>
        </w:rPr>
      </w:pPr>
      <w:r w:rsidRPr="00167B42">
        <w:rPr>
          <w:rStyle w:val="StyleUnderline"/>
        </w:rPr>
        <w:t>Generic and sometimes diffuse though it may be, managerialism can nevertheless be understood as itself a technology, and an especially pervasive and ubiquitous one.</w:t>
      </w:r>
      <w:r w:rsidRPr="00167B42">
        <w:rPr>
          <w:rFonts w:asciiTheme="majorHAnsi" w:eastAsia="Times New Roman" w:hAnsiTheme="majorHAnsi" w:cstheme="majorHAnsi"/>
          <w:sz w:val="24"/>
        </w:rPr>
        <w:t xml:space="preserve"> Although it draws upon a range of more specific technological systems and devices, managerialism also provides a very particular framework within which such systems and devices operate and are directed, as well as shaping the development of new such systems and devices</w:t>
      </w:r>
      <w:r w:rsidRPr="00167B42">
        <w:rPr>
          <w:rStyle w:val="StyleUnderline"/>
        </w:rPr>
        <w:t xml:space="preserve">. Managerialism is thus a </w:t>
      </w:r>
      <w:r w:rsidRPr="00167B42">
        <w:rPr>
          <w:rStyle w:val="Emphasis"/>
        </w:rPr>
        <w:t>specific form of technology</w:t>
      </w:r>
      <w:r w:rsidRPr="00167B42">
        <w:rPr>
          <w:rStyle w:val="StyleUnderline"/>
        </w:rPr>
        <w:t xml:space="preserve">, and yet its character as a system of ordering reflects the </w:t>
      </w:r>
      <w:r w:rsidRPr="00167B42">
        <w:rPr>
          <w:rStyle w:val="Emphasis"/>
        </w:rPr>
        <w:t>character of technology</w:t>
      </w:r>
      <w:r w:rsidRPr="00167B42">
        <w:rPr>
          <w:rStyle w:val="StyleUnderline"/>
        </w:rPr>
        <w:t xml:space="preserve"> more generally: technology just is a system for the </w:t>
      </w:r>
      <w:r w:rsidRPr="00167B42">
        <w:rPr>
          <w:rStyle w:val="Emphasis"/>
        </w:rPr>
        <w:t>ordering of the world</w:t>
      </w:r>
      <w:r w:rsidRPr="00167B42">
        <w:rPr>
          <w:rStyle w:val="StyleUnderline"/>
        </w:rPr>
        <w:t>, and increasingly, for the ordering of the world in its entirety.</w:t>
      </w:r>
      <w:r w:rsidRPr="00167B42">
        <w:rPr>
          <w:rFonts w:asciiTheme="majorHAnsi" w:eastAsia="Times New Roman" w:hAnsiTheme="majorHAnsi" w:cstheme="majorHAnsi"/>
          <w:sz w:val="24"/>
        </w:rPr>
        <w:t xml:space="preserve"> </w:t>
      </w:r>
      <w:r w:rsidRPr="00167B42">
        <w:rPr>
          <w:rStyle w:val="StyleUnderline"/>
        </w:rPr>
        <w:t xml:space="preserve">In this respect, technology is </w:t>
      </w:r>
      <w:r w:rsidRPr="00167B42">
        <w:rPr>
          <w:rStyle w:val="Emphasis"/>
        </w:rPr>
        <w:t>not reducible</w:t>
      </w:r>
      <w:r w:rsidRPr="00167B42">
        <w:rPr>
          <w:rStyle w:val="StyleUnderline"/>
        </w:rPr>
        <w:t xml:space="preserve"> to any specific device or even any single technique – it is indeed an </w:t>
      </w:r>
      <w:r w:rsidRPr="00167B42">
        <w:rPr>
          <w:rStyle w:val="Emphasis"/>
        </w:rPr>
        <w:t>ordering or assemblage</w:t>
      </w:r>
      <w:r w:rsidRPr="00167B42">
        <w:rPr>
          <w:rStyle w:val="StyleUnderline"/>
        </w:rPr>
        <w:t xml:space="preserve"> or ordering, and as such, it is essentially systematic in the specific sense that it operates at the level of the encompassing structure rather than being identifiable with any element or component within that structure</w:t>
      </w:r>
    </w:p>
    <w:p w14:paraId="5F9F2F33"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The aff instrumentalizes technology – its connection to technology means technological standards overtake their environmental goals – turns solvency</w:t>
      </w:r>
    </w:p>
    <w:p w14:paraId="78E2B1BB" w14:textId="77777777" w:rsidR="00CC2CC5" w:rsidRPr="00DE54AF" w:rsidRDefault="00CC2CC5" w:rsidP="00CC2CC5">
      <w:pPr>
        <w:rPr>
          <w:rFonts w:asciiTheme="majorHAnsi" w:hAnsiTheme="majorHAnsi" w:cstheme="majorHAnsi"/>
        </w:rPr>
      </w:pPr>
      <w:r w:rsidRPr="00DE54AF">
        <w:rPr>
          <w:rFonts w:asciiTheme="majorHAnsi" w:hAnsiTheme="majorHAnsi" w:cstheme="majorHAnsi"/>
        </w:rPr>
        <w:t>Malpas, 18 (Jeff, Distinguished Professor at the University of Tasmania and Visiting Distinguished Professor at Latrobe University. He was founder, and until 2005, Director, of the University of Tasmania’s Centre for Applied Philosophy and Ethics. He is the author or editor of numerous books with some of the world’s leading academic presses, and has published a wide range of scholarly articles on topics in philosophy, art, architecture, and geography, “‘Taking Everything in Hand’: Managerialism and Technology”, Office of the School of Humanities) https://jeffmalpas.com/wp-content/uploads/Taking-Everything-in-Hand-Managerialism-and-Te.pdf//ac</w:t>
      </w:r>
    </w:p>
    <w:p w14:paraId="2BC95CF4" w14:textId="77777777" w:rsidR="00CC2CC5" w:rsidRPr="00DE54AF" w:rsidRDefault="00CC2CC5" w:rsidP="00CC2CC5">
      <w:pPr>
        <w:spacing w:after="0" w:line="240" w:lineRule="auto"/>
        <w:rPr>
          <w:rFonts w:asciiTheme="majorHAnsi" w:eastAsia="Times New Roman" w:hAnsiTheme="majorHAnsi" w:cstheme="majorHAnsi"/>
          <w:sz w:val="24"/>
        </w:rPr>
      </w:pPr>
      <w:r w:rsidRPr="00167B42">
        <w:rPr>
          <w:rStyle w:val="StyleUnderline"/>
        </w:rPr>
        <w:t xml:space="preserve">That it is </w:t>
      </w:r>
      <w:r w:rsidRPr="00167B42">
        <w:rPr>
          <w:rStyle w:val="Emphasis"/>
        </w:rPr>
        <w:t>systematic</w:t>
      </w:r>
      <w:r w:rsidRPr="00167B42">
        <w:rPr>
          <w:rStyle w:val="StyleUnderline"/>
        </w:rPr>
        <w:t xml:space="preserve"> thus does not imply any sense in which the technological structure is ‘well-fitted’ to some purpose or that it is more ‘rational’ or ‘efficient’. Such notions have no absolute or neutral meaning, their content always deriving from a specific context of evaluation, and strictly speaking, such evalu</w:t>
      </w:r>
      <w:r w:rsidRPr="00167B42">
        <w:rPr>
          <w:rStyle w:val="Emphasis"/>
        </w:rPr>
        <w:t>ative frameworks lie outside of the technological</w:t>
      </w:r>
      <w:r w:rsidRPr="00167B42">
        <w:rPr>
          <w:rStyle w:val="StyleUnderline"/>
        </w:rPr>
        <w:t xml:space="preserve">, do not belong to it, and are effectively ignored by it. Similarly, it is a mistake to treat technology as </w:t>
      </w:r>
      <w:r w:rsidRPr="00167B42">
        <w:rPr>
          <w:rStyle w:val="Emphasis"/>
        </w:rPr>
        <w:t>primarily ‘instrumental’</w:t>
      </w:r>
      <w:r w:rsidRPr="00167B42">
        <w:rPr>
          <w:rStyle w:val="StyleUnderline"/>
        </w:rPr>
        <w:t xml:space="preserve"> – such a notion of instrumentality implies a sense of a non-technological ‘end’ that the technological serves, but any such instrumental relationship is </w:t>
      </w:r>
      <w:r w:rsidRPr="00167B42">
        <w:rPr>
          <w:rStyle w:val="Emphasis"/>
        </w:rPr>
        <w:t>accidental to the character of technology</w:t>
      </w:r>
      <w:r w:rsidRPr="00167B42">
        <w:rPr>
          <w:rStyle w:val="StyleUnderline"/>
        </w:rPr>
        <w:t xml:space="preserve"> as such (and this is so even though the economic and social context in which technology is embedded is one in which the </w:t>
      </w:r>
      <w:r w:rsidRPr="00167B42">
        <w:rPr>
          <w:rStyle w:val="Emphasis"/>
        </w:rPr>
        <w:t>technological is almost always represented, or misrepresented</w:t>
      </w:r>
      <w:r w:rsidRPr="00167B42">
        <w:rPr>
          <w:rStyle w:val="StyleUnderline"/>
        </w:rPr>
        <w:t xml:space="preserve">, in instrumental terms). The sense of systematicity that applies to technology involves nothing more than the idea of the </w:t>
      </w:r>
      <w:r w:rsidRPr="00167B42">
        <w:rPr>
          <w:rStyle w:val="Emphasis"/>
        </w:rPr>
        <w:t>constantly expanding operational connection and connectivity of the technological structure</w:t>
      </w:r>
      <w:r w:rsidRPr="00167B42">
        <w:rPr>
          <w:rStyle w:val="StyleUnderline"/>
        </w:rPr>
        <w:t xml:space="preserve"> as a whole, and this is completely indifferent to any extra-technological standards or ends, and indeed, precisely </w:t>
      </w:r>
      <w:r w:rsidRPr="003714E0">
        <w:rPr>
          <w:rStyle w:val="StyleUnderline"/>
        </w:rPr>
        <w:t xml:space="preserve">because of its </w:t>
      </w:r>
      <w:r w:rsidRPr="003714E0">
        <w:rPr>
          <w:rStyle w:val="Emphasis"/>
        </w:rPr>
        <w:t>ever-expanding and encompassing character</w:t>
      </w:r>
      <w:r w:rsidRPr="003714E0">
        <w:rPr>
          <w:rStyle w:val="StyleUnderline"/>
        </w:rPr>
        <w:t>, it actually tends to overtake, and so also to obliterate or to efface any such standards or ends.</w:t>
      </w:r>
      <w:r w:rsidRPr="00DE54AF">
        <w:rPr>
          <w:rFonts w:asciiTheme="majorHAnsi" w:eastAsia="Times New Roman" w:hAnsiTheme="majorHAnsi" w:cstheme="majorHAnsi"/>
          <w:sz w:val="24"/>
        </w:rPr>
        <w:t xml:space="preserve"> The character of technology as systematic in this way is more significant and salient as technology is more developed – the more developed, the more its systematic character is evident. </w:t>
      </w:r>
      <w:r w:rsidRPr="003714E0">
        <w:rPr>
          <w:rStyle w:val="StyleUnderline"/>
        </w:rPr>
        <w:t xml:space="preserve">The simplest technologies reveal themselves as </w:t>
      </w:r>
      <w:r w:rsidRPr="00960A10">
        <w:rPr>
          <w:rStyle w:val="Emphasis"/>
        </w:rPr>
        <w:t>systematic</w:t>
      </w:r>
      <w:r w:rsidRPr="003714E0">
        <w:rPr>
          <w:rStyle w:val="StyleUnderline"/>
        </w:rPr>
        <w:t xml:space="preserve"> in only a rudimentary fashion – the stone tools used by Palaeolithic peoples are part of a fairly simple system of tools and practices, and any single tool can still function effectively even when the rest of the system of tools breaks down (so a Paleolithic stone tool can still be used today even if there is seldom an occasion for such use) and in spite of the </w:t>
      </w:r>
      <w:r w:rsidRPr="00960A10">
        <w:rPr>
          <w:rStyle w:val="Emphasis"/>
        </w:rPr>
        <w:t>removal of the tools from their original context</w:t>
      </w:r>
      <w:r w:rsidRPr="003714E0">
        <w:rPr>
          <w:rStyle w:val="StyleUnderline"/>
        </w:rPr>
        <w:t>.</w:t>
      </w:r>
      <w:r w:rsidRPr="00DE54AF">
        <w:rPr>
          <w:rFonts w:asciiTheme="majorHAnsi" w:eastAsia="Times New Roman" w:hAnsiTheme="majorHAnsi" w:cstheme="majorHAnsi"/>
          <w:sz w:val="24"/>
        </w:rPr>
        <w:t xml:space="preserve"> Compare this with a mobile phone or any other sophisticated contemporary device which is utterly useless when removed from the systematic structure of which it is only a part. </w:t>
      </w:r>
      <w:r w:rsidRPr="003714E0">
        <w:rPr>
          <w:rStyle w:val="StyleUnderline"/>
        </w:rPr>
        <w:t xml:space="preserve">Significantly, the same points about systematicity also apply to managerialism and its mechanisms: </w:t>
      </w:r>
      <w:r w:rsidRPr="00960A10">
        <w:rPr>
          <w:rStyle w:val="Emphasis"/>
        </w:rPr>
        <w:t>managerialism emerges as a technique or technology</w:t>
      </w:r>
      <w:r w:rsidRPr="003714E0">
        <w:rPr>
          <w:rStyle w:val="StyleUnderline"/>
        </w:rPr>
        <w:t xml:space="preserve"> only to the extent that management develops in a similarly systematic and ramified fashion, and only amidst the larger system of contemporary technologies on which managerialism necessarily draws, to which it also contributes, and of which it is an integral part.</w:t>
      </w:r>
      <w:r w:rsidRPr="00DE54AF">
        <w:rPr>
          <w:rFonts w:asciiTheme="majorHAnsi" w:eastAsia="Times New Roman" w:hAnsiTheme="majorHAnsi" w:cstheme="majorHAnsi"/>
          <w:sz w:val="24"/>
        </w:rPr>
        <w:t xml:space="preserve"> The technological character of managerialism is thus directly tied to its essentially encompassing and connecting character – and the systematic character of managerialism, already briefly discussed above, is not a systematicity subordinated to any end that lies outside the managerial system, in spite of the rhetorical positioning that might suggest otherwise (such rhetoric operating here as merely another of the means by which managerial systems maintain and extend themselves). </w:t>
      </w:r>
      <w:r w:rsidRPr="003714E0">
        <w:rPr>
          <w:rStyle w:val="StyleUnderline"/>
        </w:rPr>
        <w:t xml:space="preserve">There is no end to that managerial than its own expansion </w:t>
      </w:r>
      <w:r w:rsidRPr="00960A10">
        <w:rPr>
          <w:rStyle w:val="Emphasis"/>
        </w:rPr>
        <w:t>nor to the technological</w:t>
      </w:r>
      <w:r w:rsidRPr="003714E0">
        <w:rPr>
          <w:rStyle w:val="StyleUnderline"/>
        </w:rPr>
        <w:t xml:space="preserve"> either. </w:t>
      </w:r>
    </w:p>
    <w:p w14:paraId="66FFC698"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The end result of the policy can’t be divorced from its process – even if the aff’s final evaluation of the technology doesn’t use cost-benefit analysis, the process of developing that technology links</w:t>
      </w:r>
    </w:p>
    <w:p w14:paraId="7D7299C5" w14:textId="77777777" w:rsidR="00CC2CC5" w:rsidRPr="00DE54AF" w:rsidRDefault="00CC2CC5" w:rsidP="00CC2CC5">
      <w:r>
        <w:t xml:space="preserve">Antolick, 02 (Matthew, Graduate Student in Philosophy, President of Philosophy Graduate Student Organization, Regional Coordinator for Free the Planet, Field Manager for Florida PIRG, "Deep Ecology and Heideggerian Phenomenology", University of South Florida, 8-20-2002) </w:t>
      </w:r>
      <w:r w:rsidRPr="00DE54AF">
        <w:t>https://digitalcommons.usf.edu/cgi/viewcontent.cgi?article=2325&amp;context=etd</w:t>
      </w:r>
      <w:r>
        <w:t>//ac</w:t>
      </w:r>
    </w:p>
    <w:p w14:paraId="308211A1" w14:textId="77777777" w:rsidR="00CC2CC5" w:rsidRPr="00DE54AF" w:rsidRDefault="00CC2CC5" w:rsidP="00CC2CC5">
      <w:pPr>
        <w:spacing w:after="0" w:line="240" w:lineRule="auto"/>
        <w:rPr>
          <w:rFonts w:asciiTheme="majorHAnsi" w:eastAsia="Times New Roman" w:hAnsiTheme="majorHAnsi" w:cstheme="majorHAnsi"/>
          <w:sz w:val="24"/>
        </w:rPr>
      </w:pPr>
      <w:r w:rsidRPr="007C5D42">
        <w:rPr>
          <w:rFonts w:asciiTheme="majorHAnsi" w:eastAsia="Times New Roman" w:hAnsiTheme="majorHAnsi" w:cstheme="majorHAnsi"/>
          <w:sz w:val="24"/>
        </w:rPr>
        <w:t xml:space="preserve">Much of Heidegger’s take on technology is relevant here. </w:t>
      </w:r>
      <w:r w:rsidRPr="007C5D42">
        <w:rPr>
          <w:rStyle w:val="StyleUnderline"/>
        </w:rPr>
        <w:t>Like Heidegger, Naess laments a world in which the tool has become the owner.</w:t>
      </w:r>
      <w:r w:rsidRPr="007C5D42">
        <w:rPr>
          <w:rFonts w:asciiTheme="majorHAnsi" w:eastAsia="Times New Roman" w:hAnsiTheme="majorHAnsi" w:cstheme="majorHAnsi"/>
          <w:sz w:val="24"/>
        </w:rPr>
        <w:t xml:space="preserve"> “The cog wheels have brought us into the very machinery we thought was our slave,” says Naess, sounding a lot like Heidegger speaking of humans as standing reserve.108 </w:t>
      </w:r>
      <w:r w:rsidRPr="007C5D42">
        <w:rPr>
          <w:rStyle w:val="StyleUnderline"/>
        </w:rPr>
        <w:t>Further, The technological developments in modern industrial societies have resulted in continuous pressures towards a kind of lifestyle repugnant not only to supporters of the deep ecology movement but to those in most alternative movements</w:t>
      </w:r>
      <w:r w:rsidRPr="007C5D42">
        <w:rPr>
          <w:rFonts w:asciiTheme="majorHAnsi" w:eastAsia="Times New Roman" w:hAnsiTheme="majorHAnsi" w:cstheme="majorHAnsi"/>
          <w:sz w:val="24"/>
        </w:rPr>
        <w:t>…</w:t>
      </w:r>
      <w:r w:rsidRPr="007C5D42">
        <w:rPr>
          <w:rStyle w:val="StyleUnderline"/>
        </w:rPr>
        <w:t>Some of the reasons for such a confrontation are fairly obvious: modern industrial technology is a centralizing factor, it tends towards bigness, it decreases the area within which one can say ‘self-made is well made’, it attaches us to big markets, and forces us to seek an ever-increasing income.</w:t>
      </w:r>
      <w:r w:rsidRPr="007C5D42">
        <w:rPr>
          <w:rFonts w:asciiTheme="majorHAnsi" w:eastAsia="Times New Roman" w:hAnsiTheme="majorHAnsi" w:cstheme="majorHAnsi"/>
          <w:sz w:val="24"/>
        </w:rPr>
        <w:t xml:space="preserve"> The administrative technologies are adapted to the physical technologies and encourage more and more impersonal relations.109 </w:t>
      </w:r>
      <w:r w:rsidRPr="007C5D42">
        <w:rPr>
          <w:rStyle w:val="StyleUnderline"/>
        </w:rPr>
        <w:t>A technological society, it appears, inhibits many of the actions and attitudes necessary for lifestyle consistent with ecosystemic processes. Diversity is superceded by centralization, calculated bigness replaces a deeper greatness, instrumental justifications for production replace self-making the self-emergence of life and personal relationships take second place</w:t>
      </w:r>
      <w:r w:rsidRPr="007C5D42">
        <w:rPr>
          <w:rFonts w:asciiTheme="majorHAnsi" w:eastAsia="Times New Roman" w:hAnsiTheme="majorHAnsi" w:cstheme="majorHAnsi"/>
          <w:sz w:val="24"/>
        </w:rPr>
        <w:t xml:space="preserve"> to an impersonal social structure in which competition outweighs community, openness, and a deep appreciation of the </w:t>
      </w:r>
      <w:r w:rsidRPr="007C5D42">
        <w:rPr>
          <w:rStyle w:val="StyleUnderline"/>
        </w:rPr>
        <w:t>other</w:t>
      </w:r>
      <w:r w:rsidRPr="00406CFD">
        <w:rPr>
          <w:rStyle w:val="StyleUnderline"/>
        </w:rPr>
        <w:t xml:space="preserve"> The nature of competition is peculiar in itself. A competitive society has the appearance of diversity, but upon closer inspection, reveals itself to the one who probes as a rather homogenous state of affairs. </w:t>
      </w:r>
      <w:r w:rsidRPr="00DE54AF">
        <w:rPr>
          <w:rFonts w:asciiTheme="majorHAnsi" w:eastAsia="Times New Roman" w:hAnsiTheme="majorHAnsi" w:cstheme="majorHAnsi"/>
          <w:sz w:val="24"/>
        </w:rPr>
        <w:t xml:space="preserve">Competition is a driving force towards centralization. Not only that: once competition becomes a value to a society (as in the United States, where competition is all too often held to be the actualization of Jeffersonian democracy), alienation and elitism result, as each individual individualizes himself against the other: the other becomes a possible hindrance to personal prestige. </w:t>
      </w:r>
    </w:p>
    <w:p w14:paraId="08EB1918"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An approach to environmental protection around technical progress fails – the aff attempts to justify innovation and better technology to reinvest in the system</w:t>
      </w:r>
    </w:p>
    <w:p w14:paraId="3E2E6BC3" w14:textId="77777777" w:rsidR="00CC2CC5" w:rsidRPr="00DE54AF" w:rsidRDefault="00CC2CC5" w:rsidP="00CC2CC5">
      <w:r>
        <w:t xml:space="preserve">Antolick, 02 (Matthew, Graduate Student in Philosophy, President of Philosophy Graduate Student Organization, Regional Coordinator for Free the Planet, Field Manager for Florida PIRG, "Deep Ecology and Heideggerian Phenomenology", University of South Florida, 8-20-2002) </w:t>
      </w:r>
      <w:r w:rsidRPr="00DE54AF">
        <w:t>https://digitalcommons.usf.edu/cgi/viewcontent.cgi?article=2325&amp;context=etd</w:t>
      </w:r>
      <w:r>
        <w:t>//ac</w:t>
      </w:r>
    </w:p>
    <w:p w14:paraId="15E8DA9B" w14:textId="77777777" w:rsidR="00CC2CC5" w:rsidRPr="00DE54AF" w:rsidRDefault="00CC2CC5" w:rsidP="00CC2CC5">
      <w:pPr>
        <w:spacing w:after="0" w:line="240" w:lineRule="auto"/>
        <w:rPr>
          <w:rFonts w:asciiTheme="majorHAnsi" w:eastAsia="Times New Roman" w:hAnsiTheme="majorHAnsi" w:cstheme="majorHAnsi"/>
          <w:sz w:val="24"/>
        </w:rPr>
      </w:pPr>
      <w:r w:rsidRPr="007C5D42">
        <w:rPr>
          <w:rStyle w:val="StyleUnderline"/>
        </w:rPr>
        <w:t>These questions are difficult to answer, especially in light of the totalizing effect of technological societies over generations.</w:t>
      </w:r>
      <w:r w:rsidRPr="007C5D42">
        <w:rPr>
          <w:rFonts w:asciiTheme="majorHAnsi" w:eastAsia="Times New Roman" w:hAnsiTheme="majorHAnsi" w:cstheme="majorHAnsi"/>
          <w:sz w:val="24"/>
        </w:rPr>
        <w:t xml:space="preserve"> It is one thing to locate a conscious decision by a citizen: the moment where she proclaims technical progress as the purpose of life</w:t>
      </w:r>
      <w:r w:rsidRPr="007C5D42">
        <w:rPr>
          <w:rStyle w:val="StyleUnderline"/>
        </w:rPr>
        <w:t xml:space="preserve">. It is quite another when such an ideal forms the structure of life into which a person is born, grows up, and is educated to accept that one who has no money has no life. </w:t>
      </w:r>
      <w:r w:rsidRPr="007C5D42">
        <w:rPr>
          <w:rFonts w:asciiTheme="majorHAnsi" w:eastAsia="Times New Roman" w:hAnsiTheme="majorHAnsi" w:cstheme="majorHAnsi"/>
          <w:sz w:val="24"/>
        </w:rPr>
        <w:t xml:space="preserve">Heidegger’s conception of thrownness is one way of getting at this cross-generational totalization. </w:t>
      </w:r>
      <w:r w:rsidRPr="007C5D42">
        <w:rPr>
          <w:rStyle w:val="StyleUnderline"/>
        </w:rPr>
        <w:t>Something similar perhaps is behind Naess’s comment that “the general trend of modern technological developments has perhaps not been masterminded by anybody, by any group or any constellation of humans.</w:t>
      </w:r>
      <w:r w:rsidRPr="007C5D42">
        <w:rPr>
          <w:rFonts w:asciiTheme="majorHAnsi" w:eastAsia="Times New Roman" w:hAnsiTheme="majorHAnsi" w:cstheme="majorHAnsi"/>
          <w:sz w:val="24"/>
        </w:rPr>
        <w:t xml:space="preserve"> It may have developed largely ‘by itself’.”112 If technology has “developed largely ‘by itself’,” it is not to be taken in the same sense as an organism’s self-development, but rather as a function of a perpetuated ideology: “a deeply grounded ideology of production and consumption.”113 </w:t>
      </w:r>
      <w:r w:rsidRPr="007C5D42">
        <w:rPr>
          <w:rStyle w:val="StyleUnderline"/>
        </w:rPr>
        <w:t>Technical progress is often justified in terms of its being useful for culture: think of the advertisements for cellular phones and cars where the father gets the laboring mother to the emergency room just in time to save the baby, thanks to his superior satellite network and his trusty Jeep.</w:t>
      </w:r>
      <w:r w:rsidRPr="007C5D42">
        <w:rPr>
          <w:rFonts w:asciiTheme="majorHAnsi" w:eastAsia="Times New Roman" w:hAnsiTheme="majorHAnsi" w:cstheme="majorHAnsi"/>
          <w:sz w:val="24"/>
        </w:rPr>
        <w:t xml:space="preserve"> In all distortions of the truth, a kernel is necessarily preserved. This truth is that “Technical progress is never purely technical: the value of technical change is dependent upon its value for culture in general.”114 </w:t>
      </w:r>
    </w:p>
    <w:p w14:paraId="211719B8" w14:textId="77777777" w:rsidR="00CC2CC5" w:rsidRDefault="00CC2CC5" w:rsidP="00CC2CC5">
      <w:pPr>
        <w:pStyle w:val="Heading4"/>
      </w:pPr>
      <w:r>
        <w:t>Policy can’t solve – the aff doesn’t change the way of production – links to all of the offense</w:t>
      </w:r>
    </w:p>
    <w:p w14:paraId="0E425E2C" w14:textId="77777777" w:rsidR="00CC2CC5" w:rsidRPr="00DE54AF" w:rsidRDefault="00CC2CC5" w:rsidP="00CC2CC5">
      <w:r>
        <w:t xml:space="preserve">Antolick, 02 (Matthew, Graduate Student in Philosophy, President of Philosophy Graduate Student Organization, Regional Coordinator for Free the Planet, Field Manager for Florida PIRG, "Deep Ecology and Heideggerian Phenomenology", University of South Florida, 8-20-2002) </w:t>
      </w:r>
      <w:r w:rsidRPr="00DE54AF">
        <w:t>https://digitalcommons.usf.edu/cgi/viewcontent.cgi?article=2325&amp;context=etd</w:t>
      </w:r>
      <w:r>
        <w:t>//ac</w:t>
      </w:r>
    </w:p>
    <w:p w14:paraId="2323658C" w14:textId="77777777" w:rsidR="00CC2CC5" w:rsidRPr="009C44E4" w:rsidRDefault="00CC2CC5" w:rsidP="00CC2CC5">
      <w:pPr>
        <w:spacing w:after="0" w:line="240" w:lineRule="auto"/>
        <w:rPr>
          <w:rFonts w:asciiTheme="majorHAnsi" w:eastAsia="Times New Roman" w:hAnsiTheme="majorHAnsi" w:cstheme="majorHAnsi"/>
          <w:sz w:val="24"/>
        </w:rPr>
      </w:pPr>
      <w:r w:rsidRPr="007C5D42">
        <w:rPr>
          <w:rFonts w:asciiTheme="majorHAnsi" w:eastAsia="Times New Roman" w:hAnsiTheme="majorHAnsi" w:cstheme="majorHAnsi"/>
          <w:sz w:val="24"/>
        </w:rPr>
        <w:t>What demand is the deep ecologist expected to satisfy with this question</w:t>
      </w:r>
      <w:r w:rsidRPr="007C5D42">
        <w:rPr>
          <w:rStyle w:val="StyleUnderline"/>
        </w:rPr>
        <w:t xml:space="preserve">? Some demands are consistent with nature, and can thus be met; others are not. Naess writes: The Future in Our Hands is actively </w:t>
      </w:r>
      <w:r w:rsidRPr="007C5D42">
        <w:rPr>
          <w:rStyle w:val="Emphasis"/>
        </w:rPr>
        <w:t>associating consciousness and lifestyle change with direct action</w:t>
      </w:r>
      <w:r w:rsidRPr="007C5D42">
        <w:rPr>
          <w:rStyle w:val="StyleUnderline"/>
        </w:rPr>
        <w:t>.</w:t>
      </w:r>
      <w:r w:rsidRPr="007C5D42">
        <w:rPr>
          <w:rFonts w:asciiTheme="majorHAnsi" w:eastAsia="Times New Roman" w:hAnsiTheme="majorHAnsi" w:cstheme="majorHAnsi"/>
          <w:sz w:val="24"/>
        </w:rPr>
        <w:t xml:space="preserve"> </w:t>
      </w:r>
      <w:r w:rsidRPr="007C5D42">
        <w:rPr>
          <w:rStyle w:val="StyleUnderline"/>
        </w:rPr>
        <w:t xml:space="preserve">Attempts at a change in lifestyle </w:t>
      </w:r>
      <w:r w:rsidRPr="007C5D42">
        <w:rPr>
          <w:rStyle w:val="Emphasis"/>
        </w:rPr>
        <w:t>cannot wait for the implementation of policies</w:t>
      </w:r>
      <w:r w:rsidRPr="007C5D42">
        <w:rPr>
          <w:rStyle w:val="StyleUnderline"/>
        </w:rPr>
        <w:t xml:space="preserve"> which render such change more or less required.</w:t>
      </w:r>
      <w:r w:rsidRPr="007C5D42">
        <w:rPr>
          <w:rFonts w:asciiTheme="majorHAnsi" w:eastAsia="Times New Roman" w:hAnsiTheme="majorHAnsi" w:cstheme="majorHAnsi"/>
          <w:sz w:val="24"/>
        </w:rPr>
        <w:t xml:space="preserve"> The demand for a ‘new system’ first is misguided and can lead to passivity. </w:t>
      </w:r>
      <w:r w:rsidRPr="007C5D42">
        <w:rPr>
          <w:rStyle w:val="StyleUnderline"/>
        </w:rPr>
        <w:t xml:space="preserve">The same applies to personal lifestyle change first, and consequent </w:t>
      </w:r>
      <w:r w:rsidRPr="007C5D42">
        <w:rPr>
          <w:rStyle w:val="Emphasis"/>
        </w:rPr>
        <w:t>isolation from political action</w:t>
      </w:r>
      <w:r w:rsidRPr="007C5D42">
        <w:rPr>
          <w:rStyle w:val="StyleUnderline"/>
        </w:rPr>
        <w:t xml:space="preserve">. </w:t>
      </w:r>
      <w:r w:rsidRPr="007C5D42">
        <w:rPr>
          <w:rFonts w:asciiTheme="majorHAnsi" w:eastAsia="Times New Roman" w:hAnsiTheme="majorHAnsi" w:cstheme="majorHAnsi"/>
          <w:sz w:val="24"/>
        </w:rPr>
        <w:t>These two changes must proceed simultaneously. Changes have to be made from the inside and from the outside, all in one.121 Fine: but for the seeker of more explicit answers, some statements can still be offered</w:t>
      </w:r>
      <w:r w:rsidRPr="007C5D42">
        <w:rPr>
          <w:rStyle w:val="StyleUnderline"/>
        </w:rPr>
        <w:t>. Society “cannot adopt different aims and values u</w:t>
      </w:r>
      <w:r w:rsidRPr="007C5D42">
        <w:rPr>
          <w:rStyle w:val="Emphasis"/>
        </w:rPr>
        <w:t>nless the way of production is altered.</w:t>
      </w:r>
      <w:r w:rsidRPr="007C5D42">
        <w:rPr>
          <w:rStyle w:val="StyleUnderline"/>
        </w:rPr>
        <w:t>”</w:t>
      </w:r>
      <w:r w:rsidRPr="007C5D42">
        <w:rPr>
          <w:rFonts w:asciiTheme="majorHAnsi" w:eastAsia="Times New Roman" w:hAnsiTheme="majorHAnsi" w:cstheme="majorHAnsi"/>
          <w:sz w:val="24"/>
        </w:rPr>
        <w:t xml:space="preserve">122 One obvious way to achieve production shift in an originally demand-driven economy is through demand shift. The power of boycotts and product information campaigns derives from the original rootedness of market progress in demand. Ironically, so too does the advertising industry. But there are many ways to achieve such a shift. The next section investigates more in depth the common qualities the any deep ecological activism will share insofar as it qualifies as an ‘ecosophy’. </w:t>
      </w:r>
    </w:p>
    <w:p w14:paraId="1FFB821B" w14:textId="77777777" w:rsidR="00CC2CC5" w:rsidRDefault="00CC2CC5" w:rsidP="00CC2CC5">
      <w:pPr>
        <w:pStyle w:val="Heading2"/>
      </w:pPr>
      <w:r>
        <w:t>Chevron DA</w:t>
      </w:r>
    </w:p>
    <w:p w14:paraId="0EBAFBE9" w14:textId="77777777" w:rsidR="00CC2CC5" w:rsidRDefault="00CC2CC5" w:rsidP="00CC2CC5">
      <w:pPr>
        <w:pStyle w:val="Heading3"/>
      </w:pPr>
      <w:r>
        <w:t>DA—1NC</w:t>
      </w:r>
    </w:p>
    <w:p w14:paraId="365ED2AA" w14:textId="77777777" w:rsidR="00CC2CC5" w:rsidRDefault="00CC2CC5" w:rsidP="00CC2CC5">
      <w:pPr>
        <w:pStyle w:val="Heading4"/>
      </w:pPr>
      <w:r>
        <w:t xml:space="preserve">Chevron precedent is still alive, especially in the lower courts </w:t>
      </w:r>
    </w:p>
    <w:p w14:paraId="6EC4A65C" w14:textId="77777777" w:rsidR="00CC2CC5" w:rsidRDefault="00CC2CC5" w:rsidP="00CC2CC5">
      <w:r w:rsidRPr="00B53C35">
        <w:rPr>
          <w:rStyle w:val="Style13ptBold"/>
        </w:rPr>
        <w:t>Hickman and Nielson 21</w:t>
      </w:r>
      <w:r>
        <w:t xml:space="preserve"> (Kristen E, Hickman, </w:t>
      </w:r>
      <w:r w:rsidRPr="00DD5AE9">
        <w:t>McKnight Presidential Professor in Law</w:t>
      </w:r>
      <w:r>
        <w:t xml:space="preserve"> at the University of Minnesota, Aaron L. Nielson, </w:t>
      </w:r>
      <w:r w:rsidRPr="00DD5AE9">
        <w:t>Professor of Law at the J. Reuben Clark Law School</w:t>
      </w:r>
      <w:r>
        <w:t xml:space="preserve">, “The Future of Chevron Deference,” Duke Law Journal 70, 2021, </w:t>
      </w:r>
      <w:r w:rsidRPr="00DD5AE9">
        <w:t>https://scholarship.law.duke.edu/dlj/vol70/iss5/2</w:t>
      </w:r>
      <w:r>
        <w:t>)//cb</w:t>
      </w:r>
    </w:p>
    <w:p w14:paraId="092F1920" w14:textId="77777777" w:rsidR="00CC2CC5" w:rsidRDefault="00CC2CC5" w:rsidP="00CC2CC5">
      <w:pPr>
        <w:rPr>
          <w:sz w:val="16"/>
        </w:rPr>
      </w:pPr>
      <w:r w:rsidRPr="00DD5AE9">
        <w:rPr>
          <w:sz w:val="16"/>
        </w:rPr>
        <w:t xml:space="preserve">That view, however, is too simplistic. Even if they might sometimes do so only grudgingly,17 </w:t>
      </w:r>
      <w:r w:rsidRPr="0024134B">
        <w:rPr>
          <w:rStyle w:val="StyleUnderline"/>
          <w:highlight w:val="cyan"/>
        </w:rPr>
        <w:t xml:space="preserve">lower court judges </w:t>
      </w:r>
      <w:r w:rsidRPr="0024134B">
        <w:rPr>
          <w:rStyle w:val="Emphasis"/>
          <w:highlight w:val="cyan"/>
        </w:rPr>
        <w:t>regularly rely on Chevron</w:t>
      </w:r>
      <w:r w:rsidRPr="0024134B">
        <w:rPr>
          <w:sz w:val="16"/>
          <w:highlight w:val="cyan"/>
        </w:rPr>
        <w:t>18</w:t>
      </w:r>
      <w:r w:rsidRPr="00DD5AE9">
        <w:rPr>
          <w:sz w:val="16"/>
        </w:rPr>
        <w:t>—</w:t>
      </w:r>
      <w:r w:rsidRPr="00DD5AE9">
        <w:rPr>
          <w:rStyle w:val="StyleUnderline"/>
        </w:rPr>
        <w:t>and the Supreme Court rarely reverses those decisions</w:t>
      </w:r>
      <w:r w:rsidRPr="00DD5AE9">
        <w:rPr>
          <w:sz w:val="16"/>
        </w:rPr>
        <w:t xml:space="preserve">. </w:t>
      </w:r>
      <w:r w:rsidRPr="0024134B">
        <w:rPr>
          <w:rStyle w:val="StyleUnderline"/>
          <w:highlight w:val="cyan"/>
        </w:rPr>
        <w:t xml:space="preserve">Chevron </w:t>
      </w:r>
      <w:r w:rsidRPr="0024134B">
        <w:rPr>
          <w:rStyle w:val="Emphasis"/>
          <w:highlight w:val="cyan"/>
        </w:rPr>
        <w:t xml:space="preserve">continues to play a significant role </w:t>
      </w:r>
      <w:r w:rsidRPr="0024134B">
        <w:rPr>
          <w:rStyle w:val="StyleUnderline"/>
        </w:rPr>
        <w:t>in the law</w:t>
      </w:r>
      <w:r w:rsidRPr="00DD5AE9">
        <w:rPr>
          <w:rStyle w:val="StyleUnderline"/>
        </w:rPr>
        <w:t>, even if it is rarely cited by the Justices</w:t>
      </w:r>
      <w:r w:rsidRPr="00DD5AE9">
        <w:rPr>
          <w:sz w:val="16"/>
        </w:rPr>
        <w:t xml:space="preserve">. Nor is it clear that the Supreme Court is looking to toss out Chevron altogether. </w:t>
      </w:r>
      <w:r w:rsidRPr="0024134B">
        <w:rPr>
          <w:rStyle w:val="StyleUnderline"/>
          <w:highlight w:val="cyan"/>
        </w:rPr>
        <w:t>In</w:t>
      </w:r>
      <w:r w:rsidRPr="00DD5AE9">
        <w:rPr>
          <w:sz w:val="16"/>
        </w:rPr>
        <w:t xml:space="preserve"> its </w:t>
      </w:r>
      <w:r w:rsidRPr="00DD5AE9">
        <w:rPr>
          <w:rStyle w:val="StyleUnderline"/>
        </w:rPr>
        <w:t>2019</w:t>
      </w:r>
      <w:r w:rsidRPr="00DD5AE9">
        <w:rPr>
          <w:sz w:val="16"/>
        </w:rPr>
        <w:t xml:space="preserve"> decision in </w:t>
      </w:r>
      <w:r w:rsidRPr="0024134B">
        <w:rPr>
          <w:rStyle w:val="StyleUnderline"/>
          <w:highlight w:val="cyan"/>
        </w:rPr>
        <w:t>Kisor v. Wilkie</w:t>
      </w:r>
      <w:r w:rsidRPr="00DD5AE9">
        <w:rPr>
          <w:sz w:val="16"/>
        </w:rPr>
        <w:t xml:space="preserve">, 19 </w:t>
      </w:r>
      <w:r w:rsidRPr="00DD5AE9">
        <w:rPr>
          <w:rStyle w:val="StyleUnderline"/>
        </w:rPr>
        <w:t xml:space="preserve">a divided </w:t>
      </w:r>
      <w:r w:rsidRPr="0024134B">
        <w:rPr>
          <w:rStyle w:val="StyleUnderline"/>
          <w:highlight w:val="cyan"/>
        </w:rPr>
        <w:t>Court rejected</w:t>
      </w:r>
      <w:r w:rsidRPr="00DD5AE9">
        <w:rPr>
          <w:sz w:val="16"/>
        </w:rPr>
        <w:t xml:space="preserve"> a chorus of </w:t>
      </w:r>
      <w:r w:rsidRPr="0024134B">
        <w:rPr>
          <w:rStyle w:val="StyleUnderline"/>
          <w:highlight w:val="cyan"/>
        </w:rPr>
        <w:t>calls to overrule Chevron</w:t>
      </w:r>
      <w:r w:rsidRPr="00DD5AE9">
        <w:rPr>
          <w:rStyle w:val="StyleUnderline"/>
        </w:rPr>
        <w:t>’s cousin, Auer</w:t>
      </w:r>
      <w:r w:rsidRPr="00DD5AE9">
        <w:rPr>
          <w:sz w:val="16"/>
        </w:rPr>
        <w:t xml:space="preserve"> v. Robbins, 20 which prescribed judicial deference when an agency interprets ambiguities in its own regulations.21 Instead, the Court merely narrowed Auer’s scope.22 </w:t>
      </w:r>
      <w:r w:rsidRPr="00DD5AE9">
        <w:rPr>
          <w:rStyle w:val="StyleUnderline"/>
        </w:rPr>
        <w:t xml:space="preserve">The Court’s reluctance to overrule Auer, a much less important decision than Chevron, suggests that </w:t>
      </w:r>
      <w:r w:rsidRPr="00343E2B">
        <w:rPr>
          <w:rStyle w:val="StyleUnderline"/>
          <w:highlight w:val="cyan"/>
        </w:rPr>
        <w:t>the Court may not be inclined to overrule</w:t>
      </w:r>
      <w:r w:rsidRPr="00DD5AE9">
        <w:rPr>
          <w:rStyle w:val="StyleUnderline"/>
        </w:rPr>
        <w:t xml:space="preserve"> </w:t>
      </w:r>
      <w:r w:rsidRPr="00343E2B">
        <w:rPr>
          <w:rStyle w:val="StyleUnderline"/>
          <w:highlight w:val="cyan"/>
        </w:rPr>
        <w:t>Chevron</w:t>
      </w:r>
      <w:r w:rsidRPr="00DD5AE9">
        <w:rPr>
          <w:sz w:val="16"/>
        </w:rPr>
        <w:t xml:space="preserve"> deference outright.23</w:t>
      </w:r>
    </w:p>
    <w:p w14:paraId="6EE3A448" w14:textId="77777777" w:rsidR="00CC2CC5" w:rsidRPr="004955F2" w:rsidRDefault="00CC2CC5" w:rsidP="00CC2CC5">
      <w:pPr>
        <w:rPr>
          <w:sz w:val="14"/>
        </w:rPr>
      </w:pPr>
      <w:r w:rsidRPr="004955F2">
        <w:rPr>
          <w:sz w:val="14"/>
        </w:rPr>
        <w:t xml:space="preserve">So </w:t>
      </w:r>
      <w:r w:rsidRPr="004955F2">
        <w:rPr>
          <w:rStyle w:val="StyleUnderline"/>
        </w:rPr>
        <w:t>what is Chevron’s future</w:t>
      </w:r>
      <w:r w:rsidRPr="004955F2">
        <w:rPr>
          <w:sz w:val="14"/>
        </w:rPr>
        <w:t xml:space="preserve">? That may be the most significant question right now in all of administrative law. In Narrowing Chevron’s Domain, also published in this issue, we predict that the Supreme Court will curtail Chevron but not overrule it.24 We also offer the Justices what we believe is a coherent path forward. The Court should hold that Chevron only applies in the rulemaking context and not to agency interpretations announced through agency adjudications.25 Limiting Chevron’s scope in this way would be more faithful to the underlying theoretical justifications for Chevron deference in the first place.26 It also would put a stop to the unfair retroactivity that motivates some of the sharpest criticisms of Chevron and cut off the opportunity for some agencies to bootstrap their way into Chevron deference through their procedural choices.27 We agree with Justice Neil Gorsuch, for example, that allowing agencies to change the law retroactively by means of Chevron deference for agency adjudications should stop.28 Nor, in our view, is stare decisis quite the obstacle to such reform that one might think. After all, </w:t>
      </w:r>
      <w:r w:rsidRPr="004955F2">
        <w:rPr>
          <w:rStyle w:val="StyleUnderline"/>
        </w:rPr>
        <w:t xml:space="preserve">the </w:t>
      </w:r>
      <w:r w:rsidRPr="00343E2B">
        <w:rPr>
          <w:rStyle w:val="StyleUnderline"/>
          <w:highlight w:val="cyan"/>
        </w:rPr>
        <w:t>instances in which the Court has deferred</w:t>
      </w:r>
      <w:r w:rsidRPr="004955F2">
        <w:rPr>
          <w:rStyle w:val="StyleUnderline"/>
        </w:rPr>
        <w:t xml:space="preserve"> under Chevron</w:t>
      </w:r>
      <w:r w:rsidRPr="004955F2">
        <w:rPr>
          <w:sz w:val="14"/>
        </w:rPr>
        <w:t xml:space="preserve"> overwhelmingly </w:t>
      </w:r>
      <w:r w:rsidRPr="00343E2B">
        <w:rPr>
          <w:rStyle w:val="StyleUnderline"/>
          <w:highlight w:val="cyan"/>
        </w:rPr>
        <w:t>have arisen in the context of rulemaking</w:t>
      </w:r>
      <w:r w:rsidRPr="004955F2">
        <w:rPr>
          <w:sz w:val="14"/>
        </w:rPr>
        <w:t>—including but by no means limited to Chevron itself— and the Court’s “precedent on precedent” from cases like Kisor and Mead29 recognizes that stare decisis has less force when it comes to decisions curtailing deference short of overruling it.30</w:t>
      </w:r>
    </w:p>
    <w:p w14:paraId="2E225F2F" w14:textId="77777777" w:rsidR="00CC2CC5" w:rsidRPr="0024134B" w:rsidRDefault="00CC2CC5" w:rsidP="00CC2CC5">
      <w:pPr>
        <w:pStyle w:val="Heading4"/>
        <w:rPr>
          <w:rFonts w:cs="Calibri"/>
        </w:rPr>
      </w:pPr>
      <w:r w:rsidRPr="005F3904">
        <w:rPr>
          <w:rFonts w:cs="Calibri"/>
        </w:rPr>
        <w:t>Upholding the Second Circuit ruling erodes Chevron</w:t>
      </w:r>
      <w:r>
        <w:rPr>
          <w:rFonts w:cs="Calibri"/>
        </w:rPr>
        <w:t xml:space="preserve"> by deferring to unaccountable agencies</w:t>
      </w:r>
    </w:p>
    <w:p w14:paraId="77AA5FD1" w14:textId="77777777" w:rsidR="00CC2CC5" w:rsidRPr="005F3904" w:rsidRDefault="00CC2CC5" w:rsidP="00CC2CC5">
      <w:r w:rsidRPr="005F3904">
        <w:rPr>
          <w:rStyle w:val="Style13ptBold"/>
        </w:rPr>
        <w:t>HLR 09</w:t>
      </w:r>
      <w:r w:rsidRPr="005F3904">
        <w:t xml:space="preserve"> – student-run organization whose primary purpose is to publish a journal of legal scholarship. (Harvard Law Review; Published: November 1, 2009; “Entergy Corp. v. Riverkeeper, Inc.”; Accessed: July 13, 2021; </w:t>
      </w:r>
      <w:hyperlink r:id="rId28" w:history="1">
        <w:r w:rsidRPr="005F3904">
          <w:rPr>
            <w:rStyle w:val="Hyperlink"/>
          </w:rPr>
          <w:t>https://harvardlawreview.org/2009/11/review-of-administrative-action-ae-clean-water-act-ae-judicial-review-of-cost-benefit-analysis-entergy-corp-v-riverkeeper-inc/)</w:t>
        </w:r>
      </w:hyperlink>
    </w:p>
    <w:p w14:paraId="5E2ADBA5" w14:textId="77777777" w:rsidR="00CC2CC5" w:rsidRPr="000F493F" w:rsidRDefault="00CC2CC5" w:rsidP="00CC2CC5">
      <w:pPr>
        <w:rPr>
          <w:sz w:val="14"/>
        </w:rPr>
      </w:pPr>
      <w:r w:rsidRPr="005F3904">
        <w:rPr>
          <w:sz w:val="14"/>
        </w:rPr>
        <w:t xml:space="preserve">Justice Stevens is correct that the Entergy decision parts company with the American Trucking Court’s interpretation of statutory silence with regard to cost-benefit analysis. In 2001, the American Trucking Court “refused to find implicit in ambiguous sections of the CAA an authorization to consider costs that has elsewhere . . . been expressly granted.”60 In Entergy, the Court rejected this principle with regard to the CWA. But Justice Stevens’s assertion that “American Trucking’s approach should have guided the Court’s reading of § 1326(b)”61 is less convincing. </w:t>
      </w:r>
      <w:r w:rsidRPr="005F3904">
        <w:rPr>
          <w:rStyle w:val="StyleUnderline"/>
        </w:rPr>
        <w:t>While the American Trucking Court found evidence that the CAA “unambiguously bar[red] cost considerations</w:t>
      </w:r>
      <w:r w:rsidRPr="005F3904">
        <w:rPr>
          <w:sz w:val="14"/>
        </w:rPr>
        <w:t xml:space="preserve">,”62 </w:t>
      </w:r>
      <w:r w:rsidRPr="005F3904">
        <w:rPr>
          <w:rStyle w:val="StyleUnderline"/>
        </w:rPr>
        <w:t>no such evidence was present in Entergy</w:t>
      </w:r>
      <w:r w:rsidRPr="005F3904">
        <w:rPr>
          <w:sz w:val="14"/>
        </w:rPr>
        <w:t xml:space="preserve">. Instead, </w:t>
      </w:r>
      <w:r w:rsidRPr="005F3904">
        <w:rPr>
          <w:rStyle w:val="StyleUnderline"/>
        </w:rPr>
        <w:t xml:space="preserve">the </w:t>
      </w:r>
      <w:r w:rsidRPr="00343E2B">
        <w:rPr>
          <w:rStyle w:val="StyleUnderline"/>
          <w:highlight w:val="cyan"/>
        </w:rPr>
        <w:t>silence in the CWA created</w:t>
      </w:r>
      <w:r w:rsidRPr="005F3904">
        <w:rPr>
          <w:rStyle w:val="StyleUnderline"/>
        </w:rPr>
        <w:t xml:space="preserve"> only </w:t>
      </w:r>
      <w:r w:rsidRPr="00343E2B">
        <w:rPr>
          <w:rStyle w:val="StyleUnderline"/>
          <w:highlight w:val="cyan"/>
        </w:rPr>
        <w:t>ambiguity</w:t>
      </w:r>
      <w:r w:rsidRPr="005F3904">
        <w:rPr>
          <w:sz w:val="14"/>
        </w:rPr>
        <w:t xml:space="preserve"> as to the factors Congress wished the EPA to consider. </w:t>
      </w:r>
      <w:r w:rsidRPr="005F3904">
        <w:rPr>
          <w:rStyle w:val="StyleUnderline"/>
        </w:rPr>
        <w:t xml:space="preserve">When faced with this ambiguity, </w:t>
      </w:r>
      <w:r w:rsidRPr="00343E2B">
        <w:rPr>
          <w:rStyle w:val="StyleUnderline"/>
          <w:highlight w:val="cyan"/>
        </w:rPr>
        <w:t>the Court eschewed</w:t>
      </w:r>
      <w:r w:rsidRPr="005F3904">
        <w:rPr>
          <w:rStyle w:val="StyleUnderline"/>
        </w:rPr>
        <w:t xml:space="preserve"> </w:t>
      </w:r>
      <w:r w:rsidRPr="00343E2B">
        <w:rPr>
          <w:rStyle w:val="StyleUnderline"/>
          <w:highlight w:val="cyan"/>
        </w:rPr>
        <w:t>the adoption of a presumption for or against c</w:t>
      </w:r>
      <w:r w:rsidRPr="005F3904">
        <w:rPr>
          <w:rStyle w:val="StyleUnderline"/>
        </w:rPr>
        <w:t>ost-</w:t>
      </w:r>
      <w:r w:rsidRPr="00343E2B">
        <w:rPr>
          <w:rStyle w:val="StyleUnderline"/>
          <w:highlight w:val="cyan"/>
        </w:rPr>
        <w:t>b</w:t>
      </w:r>
      <w:r w:rsidRPr="005F3904">
        <w:rPr>
          <w:rStyle w:val="StyleUnderline"/>
        </w:rPr>
        <w:t xml:space="preserve">enefit </w:t>
      </w:r>
      <w:r w:rsidRPr="00343E2B">
        <w:rPr>
          <w:rStyle w:val="StyleUnderline"/>
          <w:highlight w:val="cyan"/>
        </w:rPr>
        <w:t>a</w:t>
      </w:r>
      <w:r w:rsidRPr="005F3904">
        <w:rPr>
          <w:rStyle w:val="StyleUnderline"/>
        </w:rPr>
        <w:t xml:space="preserve">nalysis, instead </w:t>
      </w:r>
      <w:r w:rsidRPr="00343E2B">
        <w:rPr>
          <w:rStyle w:val="StyleUnderline"/>
          <w:highlight w:val="cyan"/>
        </w:rPr>
        <w:t>applying</w:t>
      </w:r>
      <w:r w:rsidRPr="005F3904">
        <w:rPr>
          <w:rStyle w:val="StyleUnderline"/>
        </w:rPr>
        <w:t xml:space="preserve"> the </w:t>
      </w:r>
      <w:r w:rsidRPr="00343E2B">
        <w:rPr>
          <w:rStyle w:val="StyleUnderline"/>
          <w:highlight w:val="cyan"/>
        </w:rPr>
        <w:t>Chevron</w:t>
      </w:r>
      <w:r w:rsidRPr="005F3904">
        <w:rPr>
          <w:rStyle w:val="StyleUnderline"/>
        </w:rPr>
        <w:t xml:space="preserve"> doctrine</w:t>
      </w:r>
      <w:r w:rsidRPr="005F3904">
        <w:rPr>
          <w:sz w:val="14"/>
        </w:rPr>
        <w:t xml:space="preserve">. By deferring to the agency interpretation, </w:t>
      </w:r>
      <w:r w:rsidRPr="005F3904">
        <w:rPr>
          <w:rStyle w:val="StyleUnderline"/>
        </w:rPr>
        <w:t>the Court clarified that the controversial decision as to whether to use costbenefit analysis must be made by Congress</w:t>
      </w:r>
      <w:r w:rsidRPr="005F3904">
        <w:rPr>
          <w:sz w:val="14"/>
        </w:rPr>
        <w:t xml:space="preserve"> </w:t>
      </w:r>
      <w:r w:rsidRPr="005F3904">
        <w:rPr>
          <w:rStyle w:val="StyleUnderline"/>
        </w:rPr>
        <w:t>or,</w:t>
      </w:r>
      <w:r w:rsidRPr="005F3904">
        <w:rPr>
          <w:sz w:val="14"/>
        </w:rPr>
        <w:t xml:space="preserve"> if no such decision is made, by </w:t>
      </w:r>
      <w:r w:rsidRPr="005F3904">
        <w:rPr>
          <w:rStyle w:val="StyleUnderline"/>
        </w:rPr>
        <w:t>the agencies, which also can be held politically accountable</w:t>
      </w:r>
      <w:r w:rsidRPr="005F3904">
        <w:rPr>
          <w:sz w:val="14"/>
        </w:rPr>
        <w:t xml:space="preserve">. Thus, </w:t>
      </w:r>
      <w:r w:rsidRPr="00343E2B">
        <w:rPr>
          <w:rStyle w:val="StyleUnderline"/>
          <w:highlight w:val="cyan"/>
        </w:rPr>
        <w:t xml:space="preserve">Entergy </w:t>
      </w:r>
      <w:r w:rsidRPr="00343E2B">
        <w:rPr>
          <w:rStyle w:val="Emphasis"/>
          <w:highlight w:val="cyan"/>
        </w:rPr>
        <w:t>reaffirmed a key Chevron principle</w:t>
      </w:r>
      <w:r w:rsidRPr="005F3904">
        <w:rPr>
          <w:rStyle w:val="StyleUnderline"/>
        </w:rPr>
        <w:t xml:space="preserve">: </w:t>
      </w:r>
      <w:r w:rsidRPr="00343E2B">
        <w:rPr>
          <w:rStyle w:val="StyleUnderline"/>
          <w:highlight w:val="cyan"/>
        </w:rPr>
        <w:t>courts are not</w:t>
      </w:r>
      <w:r w:rsidRPr="005F3904">
        <w:rPr>
          <w:rStyle w:val="StyleUnderline"/>
        </w:rPr>
        <w:t xml:space="preserve"> the </w:t>
      </w:r>
      <w:r w:rsidRPr="00343E2B">
        <w:rPr>
          <w:rStyle w:val="StyleUnderline"/>
          <w:highlight w:val="cyan"/>
        </w:rPr>
        <w:t>appropriate decisionmakers</w:t>
      </w:r>
      <w:r w:rsidRPr="005F3904">
        <w:rPr>
          <w:rStyle w:val="StyleUnderline"/>
        </w:rPr>
        <w:t xml:space="preserve"> </w:t>
      </w:r>
      <w:r w:rsidRPr="00343E2B">
        <w:rPr>
          <w:rStyle w:val="StyleUnderline"/>
          <w:highlight w:val="cyan"/>
        </w:rPr>
        <w:t>in</w:t>
      </w:r>
      <w:r w:rsidRPr="005F3904">
        <w:rPr>
          <w:rStyle w:val="StyleUnderline"/>
        </w:rPr>
        <w:t xml:space="preserve"> such </w:t>
      </w:r>
      <w:r w:rsidRPr="00343E2B">
        <w:rPr>
          <w:rStyle w:val="StyleUnderline"/>
          <w:highlight w:val="cyan"/>
        </w:rPr>
        <w:t>political battles</w:t>
      </w:r>
      <w:r w:rsidRPr="005F3904">
        <w:rPr>
          <w:sz w:val="14"/>
        </w:rPr>
        <w:t xml:space="preserve">. </w:t>
      </w:r>
    </w:p>
    <w:p w14:paraId="2D39398F" w14:textId="77777777" w:rsidR="00CC2CC5" w:rsidRPr="000F493F" w:rsidRDefault="00CC2CC5" w:rsidP="00CC2CC5">
      <w:pPr>
        <w:rPr>
          <w:sz w:val="12"/>
          <w:szCs w:val="12"/>
        </w:rPr>
      </w:pPr>
      <w:r w:rsidRPr="005F3904">
        <w:rPr>
          <w:sz w:val="12"/>
          <w:szCs w:val="12"/>
        </w:rPr>
        <w:t>As the Entergy majority noted, the American Trucking Court grounded its interpretation in the “statutory and historical context” of the CAA provision under consideration.63 This “statutory and historical context” was very different from that of the CWA provision at stake in Entergy, which justified the Entergy majority’s different outcome. First (and rather obviously), the language of the provisions differ. The CAA provision at issue in American Trucking mandated setting the ambient air quality standards at the level “requisite to protect the public health,”64 language which could be considered more absolute than the CWA requirement, which does not mandate the “best technology,” but only the “best technology available.” At a minimum, this language is not similar enough to suggest Congress would have assumed, or logic would dictate, that courts would interpret the provisions in the same way. Second, the CAA provision included specific criteria on which the EPA was to base its standards,65 so it was not true — as it was in Entergy66 — that reading silence as a prohibition would prevent the agency from considering any factors in formulating regulations. Finally, the American Trucking Court’s decision to bar cost-benefit analysis merely confirmed the reading of the CAA that the D.C. Circuit had been applying for twenty years without any congressional indication of dissatisfaction,67 despite intervening CAA amendments.68 The Entergy Court confronted the opposite situation because the EPA had consistently interpreted the CWA to permit cost-benefit analysis in the cooling water intake structure context for over thirty years.69</w:t>
      </w:r>
    </w:p>
    <w:p w14:paraId="0761FD04" w14:textId="77777777" w:rsidR="00CC2CC5" w:rsidRPr="005F3904" w:rsidRDefault="00CC2CC5" w:rsidP="00CC2CC5">
      <w:pPr>
        <w:rPr>
          <w:sz w:val="14"/>
        </w:rPr>
      </w:pPr>
      <w:r w:rsidRPr="005F3904">
        <w:rPr>
          <w:sz w:val="14"/>
        </w:rPr>
        <w:t xml:space="preserve">In light of these significant differences, Justice Stevens’s claim that the Entergy Court should have been guided by American Trucking seems based not on a desire to interpret similar statutes similarly, but rather on the sense that the Court should adopt a consistent approach to the interpretation of silence or ambiguity in the cost-benefit context. Effectively, </w:t>
      </w:r>
      <w:r w:rsidRPr="005F3904">
        <w:rPr>
          <w:rStyle w:val="StyleUnderline"/>
        </w:rPr>
        <w:t>Justice Stevens advocated for a presumption against costbenefit analysis when the text is silent. The justification for such a presumption</w:t>
      </w:r>
      <w:r w:rsidRPr="005F3904">
        <w:rPr>
          <w:sz w:val="14"/>
        </w:rPr>
        <w:t xml:space="preserve">, though, </w:t>
      </w:r>
      <w:r w:rsidRPr="005F3904">
        <w:rPr>
          <w:rStyle w:val="StyleUnderline"/>
        </w:rPr>
        <w:t>is unclear</w:t>
      </w:r>
      <w:r w:rsidRPr="005F3904">
        <w:rPr>
          <w:sz w:val="14"/>
        </w:rPr>
        <w:t xml:space="preserve">. Justice Stevens acknowledged that the use of cost-benefit analysis is “controversial.”70 But for this reason, his subsequent assertion that the process “often, if not always, yields a result that does not maximize environmental protection”71 must be taken with a grain of salt. A fierce battle continues to rage as to the efficacy and desirability of cost-benefit analysis. In fact, </w:t>
      </w:r>
      <w:r w:rsidRPr="005F3904">
        <w:rPr>
          <w:rStyle w:val="StyleUnderline"/>
        </w:rPr>
        <w:t>some scholars have argued that cost-benefit analysis is particularly effective in the environmental context</w:t>
      </w:r>
      <w:r w:rsidRPr="005F3904">
        <w:rPr>
          <w:sz w:val="14"/>
        </w:rPr>
        <w:t>.72</w:t>
      </w:r>
    </w:p>
    <w:p w14:paraId="553442AA" w14:textId="77777777" w:rsidR="00CC2CC5" w:rsidRPr="005F3904" w:rsidRDefault="00CC2CC5" w:rsidP="00CC2CC5">
      <w:pPr>
        <w:rPr>
          <w:sz w:val="12"/>
        </w:rPr>
      </w:pPr>
      <w:r w:rsidRPr="005F3904">
        <w:rPr>
          <w:sz w:val="12"/>
        </w:rPr>
        <w:t xml:space="preserve">This controversy does not, of course, mean that an ambiguous statute must be read to permit cost-benefit analysis, but it does mean that </w:t>
      </w:r>
      <w:r w:rsidRPr="00343E2B">
        <w:rPr>
          <w:rStyle w:val="StyleUnderline"/>
          <w:highlight w:val="cyan"/>
        </w:rPr>
        <w:t>there is not</w:t>
      </w:r>
      <w:r w:rsidRPr="005F3904">
        <w:rPr>
          <w:rStyle w:val="StyleUnderline"/>
        </w:rPr>
        <w:t xml:space="preserve"> the sort of widespread </w:t>
      </w:r>
      <w:r w:rsidRPr="00343E2B">
        <w:rPr>
          <w:rStyle w:val="StyleUnderline"/>
          <w:highlight w:val="cyan"/>
        </w:rPr>
        <w:t>consensus</w:t>
      </w:r>
      <w:r w:rsidRPr="005F3904">
        <w:rPr>
          <w:rStyle w:val="StyleUnderline"/>
        </w:rPr>
        <w:t xml:space="preserve"> as to the inefficacy of cost-benefit analysis </w:t>
      </w:r>
      <w:r w:rsidRPr="00343E2B">
        <w:rPr>
          <w:rStyle w:val="StyleUnderline"/>
          <w:highlight w:val="cyan"/>
        </w:rPr>
        <w:t>that might justify</w:t>
      </w:r>
      <w:r w:rsidRPr="005F3904">
        <w:rPr>
          <w:rStyle w:val="StyleUnderline"/>
        </w:rPr>
        <w:t xml:space="preserve"> the </w:t>
      </w:r>
      <w:r w:rsidRPr="00343E2B">
        <w:rPr>
          <w:rStyle w:val="StyleUnderline"/>
          <w:highlight w:val="cyan"/>
        </w:rPr>
        <w:t>creation of a presumption against allowing agencies to use the tool</w:t>
      </w:r>
      <w:r w:rsidRPr="005F3904">
        <w:rPr>
          <w:sz w:val="12"/>
        </w:rPr>
        <w:t xml:space="preserve">. Rather, the lack of consensus suggests that </w:t>
      </w:r>
      <w:r w:rsidRPr="005F3904">
        <w:rPr>
          <w:rStyle w:val="StyleUnderline"/>
        </w:rPr>
        <w:t>this is exactly the sort of policy issue that should be decided by the politically accountable legislative branch, rather than the judiciary</w:t>
      </w:r>
      <w:r w:rsidRPr="005F3904">
        <w:rPr>
          <w:sz w:val="12"/>
        </w:rPr>
        <w:t>. Justice Stevens appeared to recognize this when he noted that “[b]ecause benefits can be more accurately monetized in some industries than in others, Congress typically decides whether it is appropriate for an agency to use cost-benefit analysis in crafting regulations.”73 The problem, though, is that sometimes Congress does not decide; the CWA provision represents just such an instance. Indeed, even after a thorough evaluation of the legislative history,74 Justice Stevens was unable to present a single unambiguous statement reflecting a congressional desire to prohibit cost-benefit analysis under § 1326 of the CWA. In these circumstances, unlike those in American Trucking, a finding that cost-benefit analysis was barred could not represent a simple acquiescence to the will of Congress.</w:t>
      </w:r>
    </w:p>
    <w:p w14:paraId="50EE6726" w14:textId="77777777" w:rsidR="00CC2CC5" w:rsidRPr="000F493F" w:rsidRDefault="00CC2CC5" w:rsidP="00CC2CC5">
      <w:pPr>
        <w:rPr>
          <w:sz w:val="8"/>
        </w:rPr>
      </w:pPr>
      <w:r w:rsidRPr="005F3904">
        <w:rPr>
          <w:sz w:val="8"/>
        </w:rPr>
        <w:t xml:space="preserve">One might argue, though, that adopting a presumption now would mean that congressional intent with respect to cost-benefit analysis could be better honored in the future. Once a presumption is adopted, future Congresses would act with the knowledge of its existence and could conform their legislation accordingly. Presumably, if the Entergy Court had found that silence barred cost-benefit analysis, subsequent legislators would have taken care to make an explicit statutory provision for cost-benefit analysis when they desired it. But the same can be said of the Entergy majority opinion: because the Court established that in the absence of clear language it would defer to the agency, legislators on both sides of the cost-benefit debate are now on notice that they must clearly state their cost-benefit preferences to ensure that they are honored. Further, </w:t>
      </w:r>
      <w:r w:rsidRPr="005F3904">
        <w:rPr>
          <w:rStyle w:val="StyleUnderline"/>
        </w:rPr>
        <w:t>applying Chevron — rather than adopting a presumption — ensured that the Court’s weight was not unnecessarily thrown behind either side of the debate</w:t>
      </w:r>
      <w:r w:rsidRPr="005F3904">
        <w:rPr>
          <w:sz w:val="8"/>
        </w:rPr>
        <w:t xml:space="preserve">. Indeed, </w:t>
      </w:r>
      <w:r w:rsidRPr="005F3904">
        <w:rPr>
          <w:rStyle w:val="StyleUnderline"/>
        </w:rPr>
        <w:t xml:space="preserve">the Court emphasized its neutrality by refusing to disturb the essential findings of American Trucking, </w:t>
      </w:r>
      <w:r w:rsidRPr="005F3904">
        <w:rPr>
          <w:sz w:val="8"/>
        </w:rPr>
        <w:t xml:space="preserve">showing that it would not presume that silence with regard to cost-benefit analysis always means authorization. The </w:t>
      </w:r>
      <w:r w:rsidRPr="005F3904">
        <w:rPr>
          <w:rStyle w:val="StyleUnderline"/>
        </w:rPr>
        <w:t xml:space="preserve">Court will still look to the “best interpretation” of a statute to determine if cost-benefit analysis is permitted; but </w:t>
      </w:r>
      <w:r w:rsidRPr="005F3904">
        <w:rPr>
          <w:sz w:val="8"/>
        </w:rPr>
        <w:t>sometimes, as in Entergy,</w:t>
      </w:r>
      <w:r w:rsidRPr="005F3904">
        <w:rPr>
          <w:rStyle w:val="StyleUnderline"/>
        </w:rPr>
        <w:t xml:space="preserve"> the best interpretation is that the statute is ambiguous</w:t>
      </w:r>
      <w:r w:rsidRPr="005F3904">
        <w:rPr>
          <w:sz w:val="8"/>
        </w:rPr>
        <w:t>.75</w:t>
      </w:r>
    </w:p>
    <w:p w14:paraId="64F7EC27" w14:textId="77777777" w:rsidR="00CC2CC5" w:rsidRPr="005F3904" w:rsidRDefault="00CC2CC5" w:rsidP="00CC2CC5">
      <w:pPr>
        <w:rPr>
          <w:sz w:val="8"/>
        </w:rPr>
      </w:pPr>
      <w:r w:rsidRPr="005F3904">
        <w:rPr>
          <w:rStyle w:val="StyleUnderline"/>
        </w:rPr>
        <w:t xml:space="preserve">The </w:t>
      </w:r>
      <w:r w:rsidRPr="00343E2B">
        <w:rPr>
          <w:rStyle w:val="StyleUnderline"/>
          <w:highlight w:val="cyan"/>
        </w:rPr>
        <w:t>Entergy</w:t>
      </w:r>
      <w:r w:rsidRPr="005F3904">
        <w:rPr>
          <w:rStyle w:val="StyleUnderline"/>
        </w:rPr>
        <w:t xml:space="preserve"> Court</w:t>
      </w:r>
      <w:r w:rsidRPr="00343E2B">
        <w:rPr>
          <w:rStyle w:val="StyleUnderline"/>
          <w:highlight w:val="cyan"/>
        </w:rPr>
        <w:t>’s decision</w:t>
      </w:r>
      <w:r w:rsidRPr="005F3904">
        <w:rPr>
          <w:rStyle w:val="StyleUnderline"/>
        </w:rPr>
        <w:t xml:space="preserve"> not </w:t>
      </w:r>
      <w:r w:rsidRPr="00343E2B">
        <w:rPr>
          <w:rStyle w:val="StyleUnderline"/>
          <w:highlight w:val="cyan"/>
        </w:rPr>
        <w:t>to</w:t>
      </w:r>
      <w:r w:rsidRPr="005F3904">
        <w:rPr>
          <w:rStyle w:val="StyleUnderline"/>
        </w:rPr>
        <w:t xml:space="preserve"> take sides in the cost-benefit debate and</w:t>
      </w:r>
      <w:r w:rsidRPr="005F3904">
        <w:rPr>
          <w:sz w:val="8"/>
        </w:rPr>
        <w:t xml:space="preserve"> instead to </w:t>
      </w:r>
      <w:r w:rsidRPr="00343E2B">
        <w:rPr>
          <w:rStyle w:val="StyleUnderline"/>
          <w:highlight w:val="cyan"/>
        </w:rPr>
        <w:t>apply Chevron</w:t>
      </w:r>
      <w:r w:rsidRPr="005F3904">
        <w:rPr>
          <w:rStyle w:val="StyleUnderline"/>
        </w:rPr>
        <w:t xml:space="preserve"> deference </w:t>
      </w:r>
      <w:r w:rsidRPr="00343E2B">
        <w:rPr>
          <w:rStyle w:val="Emphasis"/>
          <w:highlight w:val="cyan"/>
        </w:rPr>
        <w:t>preserved important values</w:t>
      </w:r>
      <w:r w:rsidRPr="005F3904">
        <w:rPr>
          <w:rStyle w:val="StyleUnderline"/>
        </w:rPr>
        <w:t xml:space="preserve"> </w:t>
      </w:r>
      <w:r w:rsidRPr="00343E2B">
        <w:rPr>
          <w:rStyle w:val="StyleUnderline"/>
          <w:highlight w:val="cyan"/>
        </w:rPr>
        <w:t>articulated b</w:t>
      </w:r>
      <w:r w:rsidRPr="005F3904">
        <w:rPr>
          <w:rStyle w:val="StyleUnderline"/>
        </w:rPr>
        <w:t xml:space="preserve">y the </w:t>
      </w:r>
      <w:r w:rsidRPr="00343E2B">
        <w:rPr>
          <w:rStyle w:val="StyleUnderline"/>
          <w:highlight w:val="cyan"/>
        </w:rPr>
        <w:t>Chevron</w:t>
      </w:r>
      <w:r w:rsidRPr="005F3904">
        <w:rPr>
          <w:rStyle w:val="StyleUnderline"/>
        </w:rPr>
        <w:t xml:space="preserve"> Court </w:t>
      </w:r>
      <w:r w:rsidRPr="005F3904">
        <w:rPr>
          <w:sz w:val="8"/>
        </w:rPr>
        <w:t xml:space="preserve">itself. When Congress does not speak clearly, controversial cost-benefit decisions will be made by agencies, which are more politically accountable than courts. As the Chevron Court observed, “[w]hile agencies are not directly accountable to the people, the Chief Executive is, and it is entirely appropriate for this political branch of the Government to make . . . policy choices — resolving the competing interests which Congress itself . . . did not resolve.”76 </w:t>
      </w:r>
      <w:r w:rsidRPr="005F3904">
        <w:rPr>
          <w:rStyle w:val="StyleUnderline"/>
        </w:rPr>
        <w:t>The desirability of cost-benefit analysis is exactly the sort of “policy choice” involving “competing interests” that makes resolution by an</w:t>
      </w:r>
      <w:r w:rsidRPr="005F3904">
        <w:rPr>
          <w:sz w:val="8"/>
        </w:rPr>
        <w:t xml:space="preserve"> (at least somewhat) </w:t>
      </w:r>
      <w:r w:rsidRPr="005F3904">
        <w:rPr>
          <w:rStyle w:val="StyleUnderline"/>
        </w:rPr>
        <w:t>accountable agency the preferred choice</w:t>
      </w:r>
      <w:r w:rsidRPr="005F3904">
        <w:rPr>
          <w:sz w:val="8"/>
        </w:rPr>
        <w:t>.</w:t>
      </w:r>
    </w:p>
    <w:p w14:paraId="162B7BB9" w14:textId="77777777" w:rsidR="00CC2CC5" w:rsidRPr="005F3904" w:rsidRDefault="00CC2CC5" w:rsidP="00CC2CC5">
      <w:pPr>
        <w:rPr>
          <w:sz w:val="16"/>
        </w:rPr>
      </w:pPr>
      <w:r w:rsidRPr="005F3904">
        <w:rPr>
          <w:sz w:val="16"/>
        </w:rPr>
        <w:t xml:space="preserve">Moreover, as the Chevron Court also recognized, </w:t>
      </w:r>
      <w:r w:rsidRPr="005F3904">
        <w:rPr>
          <w:rStyle w:val="StyleUnderline"/>
        </w:rPr>
        <w:t>agencies — unlike courts — are not bound to prior interpretations of statutes</w:t>
      </w:r>
      <w:r w:rsidRPr="005F3904">
        <w:rPr>
          <w:sz w:val="16"/>
        </w:rPr>
        <w:t xml:space="preserve">.77 They are therefore more capable of shifting policies in accord with the shifting desires of the polis.78 </w:t>
      </w:r>
      <w:r w:rsidRPr="005F3904">
        <w:rPr>
          <w:rStyle w:val="StyleUnderline"/>
        </w:rPr>
        <w:t>The benefits of this flexibility are particularly visible in the cost-benefit context</w:t>
      </w:r>
      <w:r w:rsidRPr="005F3904">
        <w:rPr>
          <w:sz w:val="16"/>
        </w:rPr>
        <w:t>. The Entergy decision means that as the debate over the desirability of cost-benefit analysis develops, agencies can fine-tune their use of the technique in response to these developments, as long as their statutory interpretations remain reasonable. By contrast, a presumption for or against cost-benefit analysis would have effectively frozen the debate. Agencies would have been able to respond to new developments only in the wake of a new statute, amendment, or Supreme Court opinion.</w:t>
      </w:r>
    </w:p>
    <w:p w14:paraId="1D361CBC" w14:textId="77777777" w:rsidR="00CC2CC5" w:rsidRDefault="00CC2CC5" w:rsidP="00CC2CC5">
      <w:pPr>
        <w:rPr>
          <w:rStyle w:val="StyleUnderline"/>
        </w:rPr>
      </w:pPr>
      <w:r w:rsidRPr="005F3904">
        <w:rPr>
          <w:rStyle w:val="StyleUnderline"/>
        </w:rPr>
        <w:t>The Entergy Court’s opinion</w:t>
      </w:r>
      <w:r w:rsidRPr="005F3904">
        <w:rPr>
          <w:sz w:val="14"/>
        </w:rPr>
        <w:t xml:space="preserve"> may not delight either critics or advocates of cost-benefit analysis. It does not permit either camp to claim that the powerful force of the Supreme Court is on its side. But the opinion </w:t>
      </w:r>
      <w:r w:rsidRPr="005F3904">
        <w:rPr>
          <w:rStyle w:val="StyleUnderline"/>
        </w:rPr>
        <w:t>should delight proponents of the Chevron doctrine</w:t>
      </w:r>
      <w:r w:rsidRPr="005F3904">
        <w:rPr>
          <w:sz w:val="14"/>
        </w:rPr>
        <w:t xml:space="preserve">. In recent years — in cases like FDA v. Brown &amp; Williamson Tobacco Corp.79 — the Court has sometimes hinted that it will not extend Chevron deference to interpretations that permit agencies to decide politically controversial questions such as whether to use cost-benefit analysis.80 But </w:t>
      </w:r>
      <w:r w:rsidRPr="00343E2B">
        <w:rPr>
          <w:rStyle w:val="StyleUnderline"/>
          <w:highlight w:val="cyan"/>
        </w:rPr>
        <w:t>restricting Chevron</w:t>
      </w:r>
      <w:r w:rsidRPr="005F3904">
        <w:rPr>
          <w:sz w:val="14"/>
        </w:rPr>
        <w:t xml:space="preserve"> in this </w:t>
      </w:r>
      <w:r w:rsidRPr="005F3904">
        <w:rPr>
          <w:rStyle w:val="StyleUnderline"/>
        </w:rPr>
        <w:t xml:space="preserve">way </w:t>
      </w:r>
      <w:r w:rsidRPr="00343E2B">
        <w:rPr>
          <w:rStyle w:val="StyleUnderline"/>
          <w:highlight w:val="cyan"/>
        </w:rPr>
        <w:t>ignores an important rationale</w:t>
      </w:r>
      <w:r w:rsidRPr="005F3904">
        <w:rPr>
          <w:rStyle w:val="StyleUnderline"/>
        </w:rPr>
        <w:t xml:space="preserve"> of the original Chevron opinion: because the executive branch is more politically accountable and</w:t>
      </w:r>
      <w:r w:rsidRPr="005F3904">
        <w:rPr>
          <w:sz w:val="14"/>
        </w:rPr>
        <w:t xml:space="preserve"> more </w:t>
      </w:r>
      <w:r w:rsidRPr="005F3904">
        <w:rPr>
          <w:rStyle w:val="StyleUnderline"/>
        </w:rPr>
        <w:t>flexible than the judiciary</w:t>
      </w:r>
      <w:r w:rsidRPr="005F3904">
        <w:rPr>
          <w:sz w:val="14"/>
        </w:rPr>
        <w:t xml:space="preserve">, </w:t>
      </w:r>
      <w:r w:rsidRPr="00343E2B">
        <w:rPr>
          <w:rStyle w:val="StyleUnderline"/>
          <w:highlight w:val="cyan"/>
        </w:rPr>
        <w:t>agencies</w:t>
      </w:r>
      <w:r w:rsidRPr="005F3904">
        <w:rPr>
          <w:rStyle w:val="StyleUnderline"/>
        </w:rPr>
        <w:t xml:space="preserve"> </w:t>
      </w:r>
      <w:r w:rsidRPr="005F3904">
        <w:rPr>
          <w:sz w:val="14"/>
        </w:rPr>
        <w:t xml:space="preserve">— and </w:t>
      </w:r>
      <w:r w:rsidRPr="005F3904">
        <w:rPr>
          <w:rStyle w:val="StyleUnderline"/>
        </w:rPr>
        <w:t xml:space="preserve">not courts — </w:t>
      </w:r>
      <w:r w:rsidRPr="00343E2B">
        <w:rPr>
          <w:rStyle w:val="StyleUnderline"/>
          <w:highlight w:val="cyan"/>
        </w:rPr>
        <w:t>are the proper bodies to make</w:t>
      </w:r>
      <w:r w:rsidRPr="005F3904">
        <w:rPr>
          <w:rStyle w:val="StyleUnderline"/>
        </w:rPr>
        <w:t xml:space="preserve"> the </w:t>
      </w:r>
      <w:r w:rsidRPr="00343E2B">
        <w:rPr>
          <w:rStyle w:val="StyleUnderline"/>
          <w:highlight w:val="cyan"/>
        </w:rPr>
        <w:t>policy decisions</w:t>
      </w:r>
      <w:r w:rsidRPr="005F3904">
        <w:rPr>
          <w:rStyle w:val="StyleUnderline"/>
        </w:rPr>
        <w:t xml:space="preserve"> that Congress has not addressed</w:t>
      </w:r>
      <w:r w:rsidRPr="005F3904">
        <w:rPr>
          <w:sz w:val="14"/>
        </w:rPr>
        <w:t xml:space="preserve">. The </w:t>
      </w:r>
      <w:r w:rsidRPr="00343E2B">
        <w:rPr>
          <w:rStyle w:val="StyleUnderline"/>
          <w:highlight w:val="cyan"/>
        </w:rPr>
        <w:t>Entergy</w:t>
      </w:r>
      <w:r w:rsidRPr="005F3904">
        <w:rPr>
          <w:sz w:val="14"/>
        </w:rPr>
        <w:t xml:space="preserve"> decision reiterates the Court’s commitment to this rationale and </w:t>
      </w:r>
      <w:r w:rsidRPr="00343E2B">
        <w:rPr>
          <w:rStyle w:val="StyleUnderline"/>
          <w:highlight w:val="cyan"/>
        </w:rPr>
        <w:t>suggests</w:t>
      </w:r>
      <w:r w:rsidRPr="005F3904">
        <w:rPr>
          <w:rStyle w:val="StyleUnderline"/>
        </w:rPr>
        <w:t xml:space="preserve"> the Court’s </w:t>
      </w:r>
      <w:r w:rsidRPr="00343E2B">
        <w:rPr>
          <w:rStyle w:val="StyleUnderline"/>
          <w:highlight w:val="cyan"/>
        </w:rPr>
        <w:t>renewed commitment to</w:t>
      </w:r>
      <w:r w:rsidRPr="005F3904">
        <w:rPr>
          <w:rStyle w:val="StyleUnderline"/>
        </w:rPr>
        <w:t xml:space="preserve"> a stronger </w:t>
      </w:r>
      <w:r w:rsidRPr="00343E2B">
        <w:rPr>
          <w:rStyle w:val="StyleUnderline"/>
          <w:highlight w:val="cyan"/>
        </w:rPr>
        <w:t>Chevron</w:t>
      </w:r>
      <w:r w:rsidRPr="005F3904">
        <w:rPr>
          <w:rStyle w:val="StyleUnderline"/>
        </w:rPr>
        <w:t xml:space="preserve"> doctrine</w:t>
      </w:r>
    </w:p>
    <w:p w14:paraId="3FF91870" w14:textId="77777777" w:rsidR="00CC2CC5" w:rsidRDefault="00CC2CC5" w:rsidP="00CC2CC5">
      <w:pPr>
        <w:pStyle w:val="Heading4"/>
      </w:pPr>
      <w:r>
        <w:t>Chevron is necessary to preserve democratic separation of powers – the aff causes judicial lawmaking</w:t>
      </w:r>
    </w:p>
    <w:p w14:paraId="522B46BF" w14:textId="77777777" w:rsidR="00CC2CC5" w:rsidRPr="001D6882" w:rsidRDefault="00CC2CC5" w:rsidP="00CC2CC5">
      <w:pPr>
        <w:rPr>
          <w:rStyle w:val="Style13ptBold"/>
        </w:rPr>
      </w:pPr>
      <w:r>
        <w:rPr>
          <w:rStyle w:val="Style13ptBold"/>
        </w:rPr>
        <w:t xml:space="preserve">Werntz 17 </w:t>
      </w:r>
      <w:r w:rsidRPr="00645963">
        <w:t>(Heidi Marie Werntz, Attorney-Advisor for the Federal Energy Regulatory Commission, “Counting on Chevron?” Energy Law Journal, 11/16/17, https://heinonline.org/HOL/LandingPage?handle=hein.journals/energy38&amp;div=25&amp;id=&amp;page=)//cb</w:t>
      </w:r>
    </w:p>
    <w:p w14:paraId="6145E0DB" w14:textId="77777777" w:rsidR="00CC2CC5" w:rsidRPr="00FA4DD7" w:rsidRDefault="00CC2CC5" w:rsidP="00CC2CC5">
      <w:pPr>
        <w:rPr>
          <w:sz w:val="16"/>
          <w:szCs w:val="16"/>
        </w:rPr>
      </w:pPr>
      <w:r w:rsidRPr="00FA4DD7">
        <w:rPr>
          <w:sz w:val="16"/>
          <w:szCs w:val="16"/>
        </w:rPr>
        <w:t>2. Pro-Chevron</w:t>
      </w:r>
      <w:r>
        <w:rPr>
          <w:sz w:val="16"/>
          <w:szCs w:val="16"/>
        </w:rPr>
        <w:t xml:space="preserve"> </w:t>
      </w:r>
      <w:r w:rsidRPr="00FA4DD7">
        <w:rPr>
          <w:sz w:val="16"/>
        </w:rPr>
        <w:t xml:space="preserve">And now, the case for Chevron. Perhaps ironically, </w:t>
      </w:r>
      <w:r w:rsidRPr="00FA4DD7">
        <w:rPr>
          <w:rStyle w:val="StyleUnderline"/>
        </w:rPr>
        <w:t>the case for Chevron</w:t>
      </w:r>
      <w:r w:rsidRPr="00FA4DD7">
        <w:rPr>
          <w:sz w:val="16"/>
        </w:rPr>
        <w:t xml:space="preserve"> deference </w:t>
      </w:r>
      <w:r w:rsidRPr="00FA4DD7">
        <w:rPr>
          <w:rStyle w:val="StyleUnderline"/>
        </w:rPr>
        <w:t xml:space="preserve">is </w:t>
      </w:r>
      <w:r w:rsidRPr="00FA4DD7">
        <w:rPr>
          <w:sz w:val="16"/>
        </w:rPr>
        <w:t xml:space="preserve">also </w:t>
      </w:r>
      <w:r w:rsidRPr="00FA4DD7">
        <w:rPr>
          <w:rStyle w:val="StyleUnderline"/>
        </w:rPr>
        <w:t>rooted,</w:t>
      </w:r>
      <w:r w:rsidRPr="00FA4DD7">
        <w:rPr>
          <w:sz w:val="16"/>
        </w:rPr>
        <w:t xml:space="preserve"> in part, </w:t>
      </w:r>
      <w:r w:rsidRPr="00FA4DD7">
        <w:rPr>
          <w:rStyle w:val="StyleUnderline"/>
        </w:rPr>
        <w:t>in separation of powers</w:t>
      </w:r>
      <w:r w:rsidRPr="00FA4DD7">
        <w:rPr>
          <w:sz w:val="16"/>
        </w:rPr>
        <w:t xml:space="preserve">.417 </w:t>
      </w:r>
      <w:r w:rsidRPr="00FA4DD7">
        <w:rPr>
          <w:rStyle w:val="StyleUnderline"/>
        </w:rPr>
        <w:t>Statutes inevitably have gaps and ambiguities</w:t>
      </w:r>
      <w:r w:rsidRPr="00FA4DD7">
        <w:rPr>
          <w:sz w:val="16"/>
        </w:rPr>
        <w:t xml:space="preserve"> – intentionally or unintentionally. No one can foresee all possible applications of a statute. For example, when it passed the FPA in 1935, Congress arguably could not have foreseen the advent of centralized markets or demand response.418 Congress delegated authority to the agency to interpret the ambiguity because </w:t>
      </w:r>
      <w:r w:rsidRPr="00FA4DD7">
        <w:rPr>
          <w:rStyle w:val="StyleUnderline"/>
        </w:rPr>
        <w:t>agencies, while not directly accountable to the public, are part of the executive branch, which is</w:t>
      </w:r>
      <w:r w:rsidRPr="00FA4DD7">
        <w:rPr>
          <w:sz w:val="16"/>
        </w:rPr>
        <w:t xml:space="preserve">.419 Congress delegated authority to the agency to interpret statutory ambiguity in recognition of the fact that </w:t>
      </w:r>
      <w:r w:rsidRPr="00FA4DD7">
        <w:rPr>
          <w:rStyle w:val="StyleUnderline"/>
        </w:rPr>
        <w:t>resolving ambiguities means making policy choices, and judges, who are not politically accountable, are constitutionally tasked with interpreting laws, not making them.</w:t>
      </w:r>
      <w:r w:rsidRPr="00FA4DD7">
        <w:rPr>
          <w:sz w:val="16"/>
        </w:rPr>
        <w:t>420</w:t>
      </w:r>
    </w:p>
    <w:p w14:paraId="50D018BC" w14:textId="77777777" w:rsidR="00CC2CC5" w:rsidRPr="00FA4DD7" w:rsidRDefault="00CC2CC5" w:rsidP="00CC2CC5">
      <w:pPr>
        <w:rPr>
          <w:u w:val="single"/>
        </w:rPr>
      </w:pPr>
      <w:r w:rsidRPr="00FA4DD7">
        <w:rPr>
          <w:sz w:val="16"/>
        </w:rPr>
        <w:t xml:space="preserve">Practical considerations also support Chevron deference. </w:t>
      </w:r>
      <w:r w:rsidRPr="00FA4DD7">
        <w:rPr>
          <w:rStyle w:val="StyleUnderline"/>
        </w:rPr>
        <w:t xml:space="preserve">Unlike judges, who tend to be generalists, agencies are specialized experts, entrusted by Congress to fulfill long-term objectives </w:t>
      </w:r>
      <w:r w:rsidRPr="00FA4DD7">
        <w:rPr>
          <w:sz w:val="16"/>
        </w:rPr>
        <w:t xml:space="preserve">established in their respective governing statutes.421 </w:t>
      </w:r>
      <w:r w:rsidRPr="00FA4DD7">
        <w:rPr>
          <w:rStyle w:val="StyleUnderline"/>
        </w:rPr>
        <w:t>Agencies work with their respective core governing statutes on a daily basis</w:t>
      </w:r>
      <w:r w:rsidRPr="00FA4DD7">
        <w:rPr>
          <w:sz w:val="16"/>
        </w:rPr>
        <w:t xml:space="preserve">, and </w:t>
      </w:r>
      <w:r w:rsidRPr="00FA4DD7">
        <w:rPr>
          <w:rStyle w:val="StyleUnderline"/>
        </w:rPr>
        <w:t xml:space="preserve">they have to live with the consequences of their decisions </w:t>
      </w:r>
      <w:r w:rsidRPr="00FA4DD7">
        <w:rPr>
          <w:sz w:val="16"/>
        </w:rPr>
        <w:t xml:space="preserve">– e.g., transmission for renewable resources is built or not, capacity markets provide sufficient compensation for resources to be constructed and remain in the market or not, electricity service is reliable or not, air pollution is harmful or it is not, water is potable or poisonous. At the end of the day, </w:t>
      </w:r>
      <w:r w:rsidRPr="00FA4DD7">
        <w:rPr>
          <w:rStyle w:val="StyleUnderline"/>
        </w:rPr>
        <w:t>when the court has moved on to its next case, the agency will be judged – by the President, Congress</w:t>
      </w:r>
      <w:r w:rsidRPr="00FA4DD7">
        <w:rPr>
          <w:sz w:val="16"/>
        </w:rPr>
        <w:t xml:space="preserve">, the Office of Management and Budget </w:t>
      </w:r>
      <w:r w:rsidRPr="00FA4DD7">
        <w:rPr>
          <w:rStyle w:val="StyleUnderline"/>
        </w:rPr>
        <w:t>or the court of public opinion – on whether it has fulfilled its statutory mission.</w:t>
      </w:r>
    </w:p>
    <w:p w14:paraId="5A51C2B5" w14:textId="77777777" w:rsidR="00CC2CC5" w:rsidRPr="001D6882" w:rsidRDefault="00CC2CC5" w:rsidP="00CC2CC5">
      <w:pPr>
        <w:rPr>
          <w:sz w:val="16"/>
        </w:rPr>
      </w:pPr>
      <w:r w:rsidRPr="001D6882">
        <w:rPr>
          <w:sz w:val="16"/>
        </w:rPr>
        <w:t xml:space="preserve">Second, </w:t>
      </w:r>
      <w:r w:rsidRPr="00FA4DD7">
        <w:rPr>
          <w:rStyle w:val="StyleUnderline"/>
        </w:rPr>
        <w:t>unlike</w:t>
      </w:r>
      <w:r w:rsidRPr="001D6882">
        <w:rPr>
          <w:sz w:val="16"/>
        </w:rPr>
        <w:t xml:space="preserve"> individual </w:t>
      </w:r>
      <w:r w:rsidRPr="00FA4DD7">
        <w:rPr>
          <w:rStyle w:val="StyleUnderline"/>
        </w:rPr>
        <w:t>judges, agency decisions are usually the result of group evaluation and consensus</w:t>
      </w:r>
      <w:r w:rsidRPr="001D6882">
        <w:rPr>
          <w:sz w:val="16"/>
        </w:rPr>
        <w:t xml:space="preserve">. Notwithstanding “groupthink” concerns, </w:t>
      </w:r>
      <w:r w:rsidRPr="00FA4DD7">
        <w:rPr>
          <w:rStyle w:val="StyleUnderline"/>
        </w:rPr>
        <w:t>this approach nevertheless helps preclude any individual perspective or prejudice from skewing the interpretive decision</w:t>
      </w:r>
      <w:r w:rsidRPr="001D6882">
        <w:rPr>
          <w:sz w:val="16"/>
        </w:rPr>
        <w:t xml:space="preserve">.422 At FERC, for example, significant issues are first thoroughly analyzed by teams of experts (lawyers, economists, engineers, accountants, biologists, geologists, archeologists), who work closely with the primary materials.423 Next, </w:t>
      </w:r>
      <w:r w:rsidRPr="001D6882">
        <w:rPr>
          <w:rStyle w:val="StyleUnderline"/>
        </w:rPr>
        <w:t>these issues are reviewed through at least several layers of more experienced experts, discussed in meetings, memorialized in memos, until a recommendation or options are presented</w:t>
      </w:r>
      <w:r w:rsidRPr="001D6882">
        <w:rPr>
          <w:sz w:val="16"/>
        </w:rPr>
        <w:t xml:space="preserve"> to the Commissioners for their consideration.424 Through this process, the agency aims to ensure that it makes the best decision from a technical, legal and policy perspective.425 As the former General Counsel of EPA has pointed out, an important consequence of </w:t>
      </w:r>
      <w:r w:rsidRPr="001D6882">
        <w:rPr>
          <w:rStyle w:val="StyleUnderline"/>
        </w:rPr>
        <w:t>Chevron</w:t>
      </w:r>
      <w:r w:rsidRPr="001D6882">
        <w:rPr>
          <w:sz w:val="16"/>
        </w:rPr>
        <w:t xml:space="preserve"> is that it </w:t>
      </w:r>
      <w:r w:rsidRPr="001D6882">
        <w:rPr>
          <w:rStyle w:val="StyleUnderline"/>
        </w:rPr>
        <w:t xml:space="preserve">enhanced the role of technical experts within the agency to inform, and </w:t>
      </w:r>
      <w:r w:rsidRPr="001D6882">
        <w:rPr>
          <w:sz w:val="16"/>
        </w:rPr>
        <w:t xml:space="preserve">hopefully </w:t>
      </w:r>
      <w:r w:rsidRPr="001D6882">
        <w:rPr>
          <w:rStyle w:val="StyleUnderline"/>
        </w:rPr>
        <w:t>improve, policy decisions</w:t>
      </w:r>
      <w:r w:rsidRPr="001D6882">
        <w:rPr>
          <w:sz w:val="16"/>
        </w:rPr>
        <w:t xml:space="preserve">.426 In stark contrast, </w:t>
      </w:r>
      <w:r w:rsidRPr="001D6882">
        <w:rPr>
          <w:rStyle w:val="StyleUnderline"/>
        </w:rPr>
        <w:t>thirteen different Courts of Appeals “would render the binding effect of agency rules</w:t>
      </w:r>
      <w:r w:rsidRPr="001D6882">
        <w:rPr>
          <w:sz w:val="16"/>
        </w:rPr>
        <w:t xml:space="preserve"> [and adjudicative orders] </w:t>
      </w:r>
      <w:r w:rsidRPr="001D6882">
        <w:rPr>
          <w:rStyle w:val="StyleUnderline"/>
        </w:rPr>
        <w:t>unpredictable,”</w:t>
      </w:r>
      <w:r w:rsidRPr="001D6882">
        <w:rPr>
          <w:sz w:val="16"/>
        </w:rPr>
        <w:t xml:space="preserve"> </w:t>
      </w:r>
      <w:r w:rsidRPr="001D6882">
        <w:rPr>
          <w:rStyle w:val="StyleUnderline"/>
        </w:rPr>
        <w:t>undermining the “stabilizing purpose of Chevron</w:t>
      </w:r>
      <w:r w:rsidRPr="001D6882">
        <w:rPr>
          <w:sz w:val="16"/>
        </w:rPr>
        <w:t xml:space="preserve">.”427 If appellate judges do not adhere to Chevron, </w:t>
      </w:r>
      <w:r w:rsidRPr="001D6882">
        <w:rPr>
          <w:rStyle w:val="StyleUnderline"/>
        </w:rPr>
        <w:t>the excessive agency power Chevron naysayers fear “would be replaced by chaos.</w:t>
      </w:r>
      <w:r w:rsidRPr="001D6882">
        <w:rPr>
          <w:sz w:val="16"/>
        </w:rPr>
        <w:t>”428</w:t>
      </w:r>
    </w:p>
    <w:p w14:paraId="0DA76E80" w14:textId="77777777" w:rsidR="00CC2CC5" w:rsidRPr="001D6882" w:rsidRDefault="00CC2CC5" w:rsidP="00CC2CC5">
      <w:pPr>
        <w:rPr>
          <w:sz w:val="16"/>
        </w:rPr>
      </w:pPr>
      <w:r w:rsidRPr="001D6882">
        <w:rPr>
          <w:sz w:val="16"/>
        </w:rPr>
        <w:t xml:space="preserve">Third, </w:t>
      </w:r>
      <w:r w:rsidRPr="001D6882">
        <w:rPr>
          <w:rStyle w:val="StyleUnderline"/>
        </w:rPr>
        <w:t>even when deference is appropriate, courts do not simply rubber-stamp the agency’s decisions.</w:t>
      </w:r>
      <w:r w:rsidRPr="001D6882">
        <w:rPr>
          <w:sz w:val="16"/>
        </w:rPr>
        <w:t xml:space="preserve"> Rather, </w:t>
      </w:r>
      <w:r w:rsidRPr="001D6882">
        <w:rPr>
          <w:rStyle w:val="StyleUnderline"/>
        </w:rPr>
        <w:t>the court must evaluate the agency’s reasonableness</w:t>
      </w:r>
      <w:r w:rsidRPr="001D6882">
        <w:rPr>
          <w:sz w:val="16"/>
        </w:rPr>
        <w:t xml:space="preserve">. This is a critical step, which Congress requires under the APA.429 When the judge evaluates the reasonableness of the agency’s interpretation, the judge is performing a judicial function at least as important as ferreting out an ambiguous statute’s meaning. In judging the reasonableness of the agency’s decision, </w:t>
      </w:r>
      <w:r w:rsidRPr="001D6882">
        <w:rPr>
          <w:rStyle w:val="StyleUnderline"/>
        </w:rPr>
        <w:t>the judge should not have to “reinvent the wheel” and search for expressly delegated authority</w:t>
      </w:r>
      <w:r w:rsidRPr="001D6882">
        <w:rPr>
          <w:sz w:val="16"/>
        </w:rPr>
        <w:t xml:space="preserve">, however. </w:t>
      </w:r>
      <w:r w:rsidRPr="001D6882">
        <w:rPr>
          <w:rStyle w:val="StyleUnderline"/>
        </w:rPr>
        <w:t>Doing so</w:t>
      </w:r>
      <w:r w:rsidRPr="001D6882">
        <w:rPr>
          <w:sz w:val="16"/>
        </w:rPr>
        <w:t xml:space="preserve"> not only unravels the elegant solution that the Chevron framework provided, but </w:t>
      </w:r>
      <w:r w:rsidRPr="001D6882">
        <w:rPr>
          <w:rStyle w:val="StyleUnderline"/>
        </w:rPr>
        <w:t>invites judges to superimpose their policy opinions – to guess what Congress intended, without</w:t>
      </w:r>
      <w:r w:rsidRPr="001D6882">
        <w:rPr>
          <w:sz w:val="16"/>
        </w:rPr>
        <w:t xml:space="preserve"> the benefit of </w:t>
      </w:r>
      <w:r w:rsidRPr="001D6882">
        <w:rPr>
          <w:rStyle w:val="StyleUnderline"/>
        </w:rPr>
        <w:t>institutional knowledge and expertise</w:t>
      </w:r>
      <w:r w:rsidRPr="001D6882">
        <w:rPr>
          <w:sz w:val="16"/>
        </w:rPr>
        <w:t xml:space="preserve"> that the agency provides.</w:t>
      </w:r>
    </w:p>
    <w:p w14:paraId="6B46E8AF" w14:textId="77777777" w:rsidR="00CC2CC5" w:rsidRPr="001D6882" w:rsidRDefault="00CC2CC5" w:rsidP="00CC2CC5">
      <w:pPr>
        <w:rPr>
          <w:u w:val="single"/>
        </w:rPr>
      </w:pPr>
      <w:r w:rsidRPr="001D6882">
        <w:rPr>
          <w:rStyle w:val="StyleUnderline"/>
        </w:rPr>
        <w:t>Allowing agencies to reinterpret ambiguous statutes</w:t>
      </w:r>
      <w:r w:rsidRPr="001D6882">
        <w:rPr>
          <w:sz w:val="16"/>
        </w:rPr>
        <w:t xml:space="preserve">, provided their interpretations are reasonable, </w:t>
      </w:r>
      <w:r w:rsidRPr="001D6882">
        <w:rPr>
          <w:rStyle w:val="StyleUnderline"/>
        </w:rPr>
        <w:t>enables the agency to remain nimble and adapt the law to changing circumstances</w:t>
      </w:r>
      <w:r w:rsidRPr="001D6882">
        <w:rPr>
          <w:sz w:val="16"/>
        </w:rPr>
        <w:t xml:space="preserve">. Particularly during periods </w:t>
      </w:r>
      <w:r w:rsidRPr="001D6882">
        <w:rPr>
          <w:rStyle w:val="StyleUnderline"/>
        </w:rPr>
        <w:t>when Congress is deadlocked, this flexibility makes it possible for government to continue to function.</w:t>
      </w:r>
    </w:p>
    <w:p w14:paraId="1A5966A8" w14:textId="77777777" w:rsidR="00CC2CC5" w:rsidRPr="001D6882" w:rsidRDefault="00CC2CC5" w:rsidP="00CC2CC5">
      <w:pPr>
        <w:rPr>
          <w:u w:val="single"/>
        </w:rPr>
      </w:pPr>
      <w:r w:rsidRPr="001D6882">
        <w:rPr>
          <w:rStyle w:val="StyleUnderline"/>
        </w:rPr>
        <w:t>The ultimate check is a democratic check</w:t>
      </w:r>
      <w:r w:rsidRPr="001D6882">
        <w:rPr>
          <w:sz w:val="16"/>
        </w:rPr>
        <w:t xml:space="preserve"> (back to separation of powers). </w:t>
      </w:r>
      <w:r w:rsidRPr="001D6882">
        <w:rPr>
          <w:rStyle w:val="StyleUnderline"/>
        </w:rPr>
        <w:t>Congress delegates authority to the agency to interpret ambiguities and Congress provides a check on agency interpretations</w:t>
      </w:r>
      <w:r w:rsidRPr="001D6882">
        <w:rPr>
          <w:sz w:val="16"/>
        </w:rPr>
        <w:t xml:space="preserve">. If Congress disagrees with the agency’s interpretation, Congress can pass a statute changing the law.430 If Congress fails to amend the statute to invalidate the interpretation, or </w:t>
      </w:r>
      <w:r w:rsidRPr="001D6882">
        <w:rPr>
          <w:rStyle w:val="StyleUnderline"/>
        </w:rPr>
        <w:t>if the public does not approve of Congress or the administration’s policies, the public can elect new representatives.</w:t>
      </w:r>
    </w:p>
    <w:p w14:paraId="72C3EFDA" w14:textId="77777777" w:rsidR="00CC2CC5" w:rsidRDefault="00CC2CC5" w:rsidP="00CC2CC5">
      <w:pPr>
        <w:rPr>
          <w:sz w:val="16"/>
        </w:rPr>
      </w:pPr>
      <w:r w:rsidRPr="001D6882">
        <w:rPr>
          <w:sz w:val="16"/>
        </w:rPr>
        <w:t xml:space="preserve">Finally, </w:t>
      </w:r>
      <w:r w:rsidRPr="001D6882">
        <w:rPr>
          <w:rStyle w:val="StyleUnderline"/>
        </w:rPr>
        <w:t>from a pragmatic perspective, Chevron reasonably allocates interpretive responsibility as between the agency and the court in a way that allows each to perform its key function – judge, interpreter, and agency policy-mak</w:t>
      </w:r>
      <w:r w:rsidRPr="001D6882">
        <w:rPr>
          <w:sz w:val="16"/>
        </w:rPr>
        <w:t xml:space="preserve">er – and serve the public. As Justice Scalia mused: I tend to think, however, that in the long run </w:t>
      </w:r>
      <w:r w:rsidRPr="001D6882">
        <w:rPr>
          <w:rStyle w:val="StyleUnderline"/>
        </w:rPr>
        <w:t>Chevron</w:t>
      </w:r>
      <w:r w:rsidRPr="001D6882">
        <w:rPr>
          <w:sz w:val="16"/>
        </w:rPr>
        <w:t xml:space="preserve"> will endure and be given its full scope – not so much because it represents a rule that is easier to follow and thus easier to predict (though that is true enough), but because it </w:t>
      </w:r>
      <w:r w:rsidRPr="001D6882">
        <w:rPr>
          <w:rStyle w:val="StyleUnderline"/>
        </w:rPr>
        <w:t>more accurately reflects the reality of government, and thus more adequately serves its needs</w:t>
      </w:r>
      <w:r w:rsidRPr="001D6882">
        <w:rPr>
          <w:sz w:val="16"/>
        </w:rPr>
        <w:t>. 431</w:t>
      </w:r>
    </w:p>
    <w:p w14:paraId="61D58092" w14:textId="77777777" w:rsidR="00CC2CC5" w:rsidRDefault="00CC2CC5" w:rsidP="00CC2CC5">
      <w:pPr>
        <w:pStyle w:val="Heading4"/>
      </w:pPr>
      <w:r>
        <w:t>&lt;impact&gt;</w:t>
      </w:r>
    </w:p>
    <w:p w14:paraId="56B23CFA" w14:textId="77777777" w:rsidR="00CC2CC5" w:rsidRDefault="00CC2CC5" w:rsidP="00CC2CC5"/>
    <w:p w14:paraId="0EDA17CB" w14:textId="77777777" w:rsidR="00CC2CC5" w:rsidRPr="008834DA" w:rsidRDefault="00CC2CC5" w:rsidP="00CC2CC5">
      <w:pPr>
        <w:pStyle w:val="Heading4"/>
      </w:pPr>
      <w:r w:rsidRPr="008834DA">
        <w:rPr>
          <w:i/>
        </w:rPr>
        <w:t>Chevron’s</w:t>
      </w:r>
      <w:r w:rsidRPr="008834DA">
        <w:t xml:space="preserve"> </w:t>
      </w:r>
      <w:r w:rsidRPr="008834DA">
        <w:rPr>
          <w:u w:val="single"/>
        </w:rPr>
        <w:t>indispensable</w:t>
      </w:r>
      <w:r w:rsidRPr="008834DA">
        <w:t xml:space="preserve"> for solving existential threats.</w:t>
      </w:r>
    </w:p>
    <w:p w14:paraId="5FCF7979" w14:textId="77777777" w:rsidR="00CC2CC5" w:rsidRPr="008834DA" w:rsidRDefault="00CC2CC5" w:rsidP="00CC2CC5">
      <w:r w:rsidRPr="008834DA">
        <w:rPr>
          <w:rStyle w:val="Style13ptBold"/>
        </w:rPr>
        <w:t>Bazelon &amp; Posner 17</w:t>
      </w:r>
      <w:r w:rsidRPr="008834DA">
        <w:t xml:space="preserve"> – Emily Bazelon, staff writer. Eric Posner, Law Professor at the University of Chicago. [The Government Gorsuch Wants to Undo, 4-1-17, https://www.nytimes.com/2017/04/01/sunday-review/the-government-gorsuch-wants-to-undo.html]</w:t>
      </w:r>
    </w:p>
    <w:p w14:paraId="3573EFAC" w14:textId="77777777" w:rsidR="00CC2CC5" w:rsidRPr="008834DA" w:rsidRDefault="00CC2CC5" w:rsidP="00CC2CC5">
      <w:pPr>
        <w:rPr>
          <w:sz w:val="16"/>
        </w:rPr>
      </w:pPr>
      <w:r w:rsidRPr="008834DA">
        <w:rPr>
          <w:sz w:val="16"/>
        </w:rPr>
        <w:t xml:space="preserve">The </w:t>
      </w:r>
      <w:r w:rsidRPr="008834DA">
        <w:rPr>
          <w:rStyle w:val="Emphasis"/>
        </w:rPr>
        <w:t>80 years of law</w:t>
      </w:r>
      <w:r w:rsidRPr="008834DA">
        <w:rPr>
          <w:sz w:val="16"/>
        </w:rPr>
        <w:t xml:space="preserve"> that </w:t>
      </w:r>
      <w:r w:rsidRPr="008834DA">
        <w:rPr>
          <w:rStyle w:val="StyleUnderline"/>
        </w:rPr>
        <w:t xml:space="preserve">are </w:t>
      </w:r>
      <w:r w:rsidRPr="008834DA">
        <w:rPr>
          <w:rStyle w:val="Emphasis"/>
        </w:rPr>
        <w:t>at stake</w:t>
      </w:r>
      <w:r w:rsidRPr="008834DA">
        <w:rPr>
          <w:sz w:val="16"/>
        </w:rPr>
        <w:t xml:space="preserv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w:t>
      </w:r>
    </w:p>
    <w:p w14:paraId="3BBE75B9" w14:textId="77777777" w:rsidR="00CC2CC5" w:rsidRPr="008834DA" w:rsidRDefault="00CC2CC5" w:rsidP="00CC2CC5">
      <w:pPr>
        <w:rPr>
          <w:sz w:val="16"/>
        </w:rPr>
      </w:pPr>
      <w:r w:rsidRPr="008834DA">
        <w:rPr>
          <w:sz w:val="16"/>
        </w:rPr>
        <w:t>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rule-making to the president, the N.I.R.A. violated the Constitution’s separation of powers.</w:t>
      </w:r>
    </w:p>
    <w:p w14:paraId="14B704B0" w14:textId="77777777" w:rsidR="00CC2CC5" w:rsidRPr="008834DA" w:rsidRDefault="00CC2CC5" w:rsidP="00CC2CC5">
      <w:pPr>
        <w:rPr>
          <w:sz w:val="16"/>
        </w:rPr>
      </w:pPr>
      <w:r w:rsidRPr="008834DA">
        <w:rPr>
          <w:sz w:val="16"/>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rule-making proved to be a legal dead end, and for good reason. As the court has recognized over and over, before and since 1935, Congress is a cumbersome body that moves slowly in the best of times, while the economy is an incredibly dynamic system. For the sake of business as well as labor, </w:t>
      </w:r>
      <w:r w:rsidRPr="008834DA">
        <w:rPr>
          <w:rStyle w:val="Emphasis"/>
        </w:rPr>
        <w:t>the updating of regulations</w:t>
      </w:r>
      <w:r w:rsidRPr="008834DA">
        <w:rPr>
          <w:rStyle w:val="StyleUnderline"/>
        </w:rPr>
        <w:t xml:space="preserve"> can’t wait for Congress to give </w:t>
      </w:r>
      <w:r w:rsidRPr="008834DA">
        <w:rPr>
          <w:rStyle w:val="Emphasis"/>
        </w:rPr>
        <w:t>highly specific</w:t>
      </w:r>
      <w:r w:rsidRPr="008834DA">
        <w:rPr>
          <w:rStyle w:val="StyleUnderline"/>
        </w:rPr>
        <w:t xml:space="preserve"> and </w:t>
      </w:r>
      <w:r w:rsidRPr="008834DA">
        <w:rPr>
          <w:rStyle w:val="Emphasis"/>
        </w:rPr>
        <w:t>detailed directions</w:t>
      </w:r>
      <w:r w:rsidRPr="008834DA">
        <w:rPr>
          <w:sz w:val="16"/>
        </w:rPr>
        <w:t>.</w:t>
      </w:r>
    </w:p>
    <w:p w14:paraId="4C3B9C8B" w14:textId="77777777" w:rsidR="00CC2CC5" w:rsidRPr="008834DA" w:rsidRDefault="00CC2CC5" w:rsidP="00CC2CC5">
      <w:pPr>
        <w:rPr>
          <w:sz w:val="16"/>
        </w:rPr>
      </w:pPr>
      <w:r w:rsidRPr="008834DA">
        <w:rPr>
          <w:rStyle w:val="StyleUnderline"/>
        </w:rPr>
        <w:t xml:space="preserve">The New Deal filled the gap by giving </w:t>
      </w:r>
      <w:r w:rsidRPr="008834DA">
        <w:rPr>
          <w:rStyle w:val="Emphasis"/>
        </w:rPr>
        <w:t>policy-making authority</w:t>
      </w:r>
      <w:r w:rsidRPr="008834DA">
        <w:rPr>
          <w:rStyle w:val="StyleUnderline"/>
        </w:rPr>
        <w:t xml:space="preserve"> to agencies, including the </w:t>
      </w:r>
      <w:r w:rsidRPr="008834DA">
        <w:rPr>
          <w:rStyle w:val="Emphasis"/>
        </w:rPr>
        <w:t>S</w:t>
      </w:r>
      <w:r w:rsidRPr="008834DA">
        <w:rPr>
          <w:sz w:val="16"/>
        </w:rPr>
        <w:t xml:space="preserve">ecurities and </w:t>
      </w:r>
      <w:r w:rsidRPr="008834DA">
        <w:rPr>
          <w:rStyle w:val="Emphasis"/>
        </w:rPr>
        <w:t>E</w:t>
      </w:r>
      <w:r w:rsidRPr="008834DA">
        <w:rPr>
          <w:sz w:val="16"/>
        </w:rPr>
        <w:t xml:space="preserve">xchange </w:t>
      </w:r>
      <w:r w:rsidRPr="008834DA">
        <w:rPr>
          <w:rStyle w:val="Emphasis"/>
        </w:rPr>
        <w:t>C</w:t>
      </w:r>
      <w:r w:rsidRPr="008834DA">
        <w:rPr>
          <w:sz w:val="16"/>
        </w:rPr>
        <w:t xml:space="preserve">ommission, which protects investors, and </w:t>
      </w:r>
      <w:r w:rsidRPr="008834DA">
        <w:rPr>
          <w:rStyle w:val="StyleUnderline"/>
        </w:rPr>
        <w:t xml:space="preserve">the </w:t>
      </w:r>
      <w:r w:rsidRPr="008834DA">
        <w:rPr>
          <w:rStyle w:val="Emphasis"/>
        </w:rPr>
        <w:t>N</w:t>
      </w:r>
      <w:r w:rsidRPr="008834DA">
        <w:rPr>
          <w:sz w:val="16"/>
        </w:rPr>
        <w:t xml:space="preserve">ational </w:t>
      </w:r>
      <w:r w:rsidRPr="008834DA">
        <w:rPr>
          <w:rStyle w:val="Emphasis"/>
        </w:rPr>
        <w:t>L</w:t>
      </w:r>
      <w:r w:rsidRPr="008834DA">
        <w:rPr>
          <w:sz w:val="16"/>
        </w:rPr>
        <w:t xml:space="preserve">abor </w:t>
      </w:r>
      <w:r w:rsidRPr="008834DA">
        <w:rPr>
          <w:rStyle w:val="Emphasis"/>
        </w:rPr>
        <w:t>R</w:t>
      </w:r>
      <w:r w:rsidRPr="008834DA">
        <w:rPr>
          <w:sz w:val="16"/>
        </w:rPr>
        <w:t xml:space="preserve">elations </w:t>
      </w:r>
      <w:r w:rsidRPr="008834DA">
        <w:rPr>
          <w:rStyle w:val="Emphasis"/>
        </w:rPr>
        <w:t>B</w:t>
      </w:r>
      <w:r w:rsidRPr="008834DA">
        <w:rPr>
          <w:sz w:val="16"/>
        </w:rPr>
        <w:t xml:space="preserve">oard, which oversees collective bargaining between unions and employers. Later came other agencies, including </w:t>
      </w:r>
      <w:r w:rsidRPr="008834DA">
        <w:rPr>
          <w:rStyle w:val="StyleUnderline"/>
        </w:rPr>
        <w:t xml:space="preserve">the </w:t>
      </w:r>
      <w:r w:rsidRPr="008834DA">
        <w:rPr>
          <w:rStyle w:val="Emphasis"/>
        </w:rPr>
        <w:t>E</w:t>
      </w:r>
      <w:r w:rsidRPr="008834DA">
        <w:rPr>
          <w:sz w:val="16"/>
        </w:rPr>
        <w:t xml:space="preserve">nvironmental </w:t>
      </w:r>
      <w:r w:rsidRPr="008834DA">
        <w:rPr>
          <w:rStyle w:val="Emphasis"/>
        </w:rPr>
        <w:t>P</w:t>
      </w:r>
      <w:r w:rsidRPr="008834DA">
        <w:rPr>
          <w:sz w:val="16"/>
        </w:rPr>
        <w:t xml:space="preserve">rotection </w:t>
      </w:r>
      <w:r w:rsidRPr="008834DA">
        <w:rPr>
          <w:rStyle w:val="Emphasis"/>
        </w:rPr>
        <w:t>A</w:t>
      </w:r>
      <w:r w:rsidRPr="008834DA">
        <w:rPr>
          <w:sz w:val="16"/>
        </w:rPr>
        <w:t xml:space="preserve">gency, the Occupational Safety and Health Administration (which regulates workplace safety) </w:t>
      </w:r>
      <w:r w:rsidRPr="008834DA">
        <w:rPr>
          <w:rStyle w:val="StyleUnderline"/>
        </w:rPr>
        <w:t xml:space="preserve">and the </w:t>
      </w:r>
      <w:r w:rsidRPr="008834DA">
        <w:rPr>
          <w:rStyle w:val="Emphasis"/>
        </w:rPr>
        <w:t>D</w:t>
      </w:r>
      <w:r w:rsidRPr="008834DA">
        <w:rPr>
          <w:sz w:val="16"/>
        </w:rPr>
        <w:t xml:space="preserve">epartment of </w:t>
      </w:r>
      <w:r w:rsidRPr="008834DA">
        <w:rPr>
          <w:rStyle w:val="Emphasis"/>
        </w:rPr>
        <w:t>H</w:t>
      </w:r>
      <w:r w:rsidRPr="008834DA">
        <w:rPr>
          <w:sz w:val="16"/>
        </w:rPr>
        <w:t xml:space="preserve">omeland </w:t>
      </w:r>
      <w:r w:rsidRPr="008834DA">
        <w:rPr>
          <w:rStyle w:val="Emphasis"/>
        </w:rPr>
        <w:t>S</w:t>
      </w:r>
      <w:r w:rsidRPr="008834DA">
        <w:rPr>
          <w:sz w:val="16"/>
        </w:rPr>
        <w:t xml:space="preserve">ecurity. Still other </w:t>
      </w:r>
      <w:r w:rsidRPr="008834DA">
        <w:rPr>
          <w:rStyle w:val="StyleUnderline"/>
        </w:rPr>
        <w:t xml:space="preserve">agencies regulate the </w:t>
      </w:r>
      <w:r w:rsidRPr="008834DA">
        <w:rPr>
          <w:rStyle w:val="Emphasis"/>
        </w:rPr>
        <w:t>broadcast spectrum</w:t>
      </w:r>
      <w:r w:rsidRPr="008834DA">
        <w:rPr>
          <w:sz w:val="16"/>
        </w:rPr>
        <w:t xml:space="preserve">, keep the national parks open, </w:t>
      </w:r>
      <w:r w:rsidRPr="008834DA">
        <w:rPr>
          <w:rStyle w:val="StyleUnderline"/>
        </w:rPr>
        <w:t xml:space="preserve">help </w:t>
      </w:r>
      <w:r w:rsidRPr="008834DA">
        <w:rPr>
          <w:rStyle w:val="Emphasis"/>
        </w:rPr>
        <w:t>farmers</w:t>
      </w:r>
      <w:r w:rsidRPr="008834DA">
        <w:rPr>
          <w:rStyle w:val="StyleUnderline"/>
        </w:rPr>
        <w:t xml:space="preserve"> and assist Americans who are </w:t>
      </w:r>
      <w:r w:rsidRPr="008834DA">
        <w:rPr>
          <w:rStyle w:val="Emphasis"/>
        </w:rPr>
        <w:t>overseas</w:t>
      </w:r>
      <w:r w:rsidRPr="008834DA">
        <w:rPr>
          <w:rStyle w:val="StyleUnderline"/>
        </w:rPr>
        <w:t xml:space="preserve">. Administrative agencies coordinated </w:t>
      </w:r>
      <w:r w:rsidRPr="008834DA">
        <w:rPr>
          <w:rStyle w:val="Emphasis"/>
        </w:rPr>
        <w:t>the response to Sept. 11</w:t>
      </w:r>
      <w:r w:rsidRPr="008834DA">
        <w:rPr>
          <w:rStyle w:val="StyleUnderline"/>
        </w:rPr>
        <w:t xml:space="preserve">, kept </w:t>
      </w:r>
      <w:r w:rsidRPr="008834DA">
        <w:rPr>
          <w:rStyle w:val="Emphasis"/>
        </w:rPr>
        <w:t>the Ebola outbreak</w:t>
      </w:r>
      <w:r w:rsidRPr="008834DA">
        <w:rPr>
          <w:rStyle w:val="StyleUnderline"/>
        </w:rPr>
        <w:t xml:space="preserve"> in check and were </w:t>
      </w:r>
      <w:r w:rsidRPr="008834DA">
        <w:rPr>
          <w:rStyle w:val="Emphasis"/>
        </w:rPr>
        <w:t>instrumental</w:t>
      </w:r>
      <w:r w:rsidRPr="008834DA">
        <w:rPr>
          <w:rStyle w:val="StyleUnderline"/>
        </w:rPr>
        <w:t xml:space="preserve"> to ending </w:t>
      </w:r>
      <w:r w:rsidRPr="008834DA">
        <w:rPr>
          <w:rStyle w:val="Emphasis"/>
        </w:rPr>
        <w:t>the last financial crisis</w:t>
      </w:r>
      <w:r w:rsidRPr="008834DA">
        <w:rPr>
          <w:rStyle w:val="StyleUnderline"/>
        </w:rPr>
        <w:t>. They regulate</w:t>
      </w:r>
      <w:r w:rsidRPr="008834DA">
        <w:rPr>
          <w:sz w:val="16"/>
        </w:rPr>
        <w:t xml:space="preserve"> the safety of </w:t>
      </w:r>
      <w:r w:rsidRPr="008834DA">
        <w:rPr>
          <w:rStyle w:val="Emphasis"/>
        </w:rPr>
        <w:t>food</w:t>
      </w:r>
      <w:r w:rsidRPr="008834DA">
        <w:rPr>
          <w:rStyle w:val="StyleUnderline"/>
        </w:rPr>
        <w:t xml:space="preserve">, </w:t>
      </w:r>
      <w:r w:rsidRPr="008834DA">
        <w:rPr>
          <w:rStyle w:val="Emphasis"/>
        </w:rPr>
        <w:t>drugs</w:t>
      </w:r>
      <w:r w:rsidRPr="008834DA">
        <w:rPr>
          <w:rStyle w:val="StyleUnderline"/>
        </w:rPr>
        <w:t xml:space="preserve">, </w:t>
      </w:r>
      <w:r w:rsidRPr="008834DA">
        <w:rPr>
          <w:rStyle w:val="Emphasis"/>
        </w:rPr>
        <w:t>airplanes</w:t>
      </w:r>
      <w:r w:rsidRPr="008834DA">
        <w:rPr>
          <w:rStyle w:val="StyleUnderline"/>
        </w:rPr>
        <w:t xml:space="preserve"> and </w:t>
      </w:r>
      <w:r w:rsidRPr="008834DA">
        <w:rPr>
          <w:rStyle w:val="Emphasis"/>
        </w:rPr>
        <w:t>nuclear power plants</w:t>
      </w:r>
      <w:r w:rsidRPr="008834DA">
        <w:rPr>
          <w:rStyle w:val="StyleUnderline"/>
        </w:rPr>
        <w:t xml:space="preserve">. The administrative state isn’t </w:t>
      </w:r>
      <w:r w:rsidRPr="008834DA">
        <w:rPr>
          <w:rStyle w:val="Emphasis"/>
        </w:rPr>
        <w:t>optional</w:t>
      </w:r>
      <w:r w:rsidRPr="008834DA">
        <w:rPr>
          <w:rStyle w:val="StyleUnderline"/>
        </w:rPr>
        <w:t xml:space="preserve"> in our complex society. It’s </w:t>
      </w:r>
      <w:r w:rsidRPr="008834DA">
        <w:rPr>
          <w:rStyle w:val="Emphasis"/>
        </w:rPr>
        <w:t>indispensable</w:t>
      </w:r>
      <w:r w:rsidRPr="008834DA">
        <w:rPr>
          <w:sz w:val="16"/>
        </w:rPr>
        <w:t>.</w:t>
      </w:r>
    </w:p>
    <w:p w14:paraId="25F15AB6" w14:textId="77777777" w:rsidR="00CC2CC5" w:rsidRPr="008834DA" w:rsidRDefault="00CC2CC5" w:rsidP="00CC2CC5">
      <w:pPr>
        <w:rPr>
          <w:sz w:val="16"/>
        </w:rPr>
      </w:pPr>
      <w:r w:rsidRPr="008834DA">
        <w:rPr>
          <w:sz w:val="16"/>
        </w:rPr>
        <w:t>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rule-making by agencies.</w:t>
      </w:r>
    </w:p>
    <w:p w14:paraId="3731C645" w14:textId="77777777" w:rsidR="00CC2CC5" w:rsidRPr="008834DA" w:rsidRDefault="00CC2CC5" w:rsidP="00CC2CC5">
      <w:pPr>
        <w:rPr>
          <w:sz w:val="16"/>
        </w:rPr>
      </w:pPr>
      <w:r w:rsidRPr="008834DA">
        <w:rPr>
          <w:sz w:val="16"/>
        </w:rPr>
        <w:t xml:space="preserve">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w:t>
      </w:r>
      <w:r w:rsidRPr="008834DA">
        <w:rPr>
          <w:rStyle w:val="StyleUnderline"/>
        </w:rPr>
        <w:t>The rule came to be known as</w:t>
      </w:r>
      <w:r w:rsidRPr="008834DA">
        <w:rPr>
          <w:sz w:val="16"/>
        </w:rPr>
        <w:t xml:space="preserve"> </w:t>
      </w:r>
      <w:r w:rsidRPr="008834DA">
        <w:rPr>
          <w:rStyle w:val="Emphasis"/>
        </w:rPr>
        <w:t>Chevron deference</w:t>
      </w:r>
      <w:r w:rsidRPr="008834DA">
        <w:rPr>
          <w:sz w:val="16"/>
        </w:rPr>
        <w:t xml:space="preserve">: When Congress uses ambiguous language in a statute, </w:t>
      </w:r>
      <w:r w:rsidRPr="008834DA">
        <w:rPr>
          <w:rStyle w:val="StyleUnderline"/>
        </w:rPr>
        <w:t xml:space="preserve">courts must defer to </w:t>
      </w:r>
      <w:r w:rsidRPr="008834DA">
        <w:rPr>
          <w:rStyle w:val="Emphasis"/>
        </w:rPr>
        <w:t>an agency’s reasonable interpretation</w:t>
      </w:r>
      <w:r w:rsidRPr="008834DA">
        <w:rPr>
          <w:sz w:val="16"/>
        </w:rPr>
        <w:t xml:space="preserve"> of what the words mean.</w:t>
      </w:r>
    </w:p>
    <w:p w14:paraId="0B9009DB" w14:textId="77777777" w:rsidR="00CC2CC5" w:rsidRPr="003E712B" w:rsidRDefault="00CC2CC5" w:rsidP="00CC2CC5">
      <w:pPr>
        <w:rPr>
          <w:b/>
          <w:u w:val="single"/>
        </w:rPr>
      </w:pPr>
      <w:r w:rsidRPr="008834DA">
        <w:rPr>
          <w:rStyle w:val="StyleUnderline"/>
        </w:rPr>
        <w:t xml:space="preserve">Chevron was not viewed as </w:t>
      </w:r>
      <w:r w:rsidRPr="008834DA">
        <w:rPr>
          <w:rStyle w:val="Emphasis"/>
        </w:rPr>
        <w:t>a left-leaning decision</w:t>
      </w:r>
      <w:r w:rsidRPr="008834DA">
        <w:rPr>
          <w:sz w:val="16"/>
        </w:rPr>
        <w:t xml:space="preserve">. The Supreme Court decided in favor of the Reagan administration, after all, voting 6 to 0 (three justices did not take part), and spanning the ideological spectrum. After the conservative icon Justice </w:t>
      </w:r>
      <w:r w:rsidRPr="008834DA">
        <w:rPr>
          <w:rStyle w:val="StyleUnderline"/>
        </w:rPr>
        <w:t>Antonin Scalia</w:t>
      </w:r>
      <w:r w:rsidRPr="008834DA">
        <w:rPr>
          <w:sz w:val="16"/>
        </w:rPr>
        <w:t xml:space="preserve"> reached the Supreme Court, he </w:t>
      </w:r>
      <w:r w:rsidRPr="008834DA">
        <w:rPr>
          <w:rStyle w:val="StyleUnderline"/>
        </w:rPr>
        <w:t xml:space="preserve">declared himself </w:t>
      </w:r>
      <w:r w:rsidRPr="008834DA">
        <w:rPr>
          <w:rStyle w:val="Emphasis"/>
        </w:rPr>
        <w:t>a Chevron fan</w:t>
      </w:r>
      <w:r w:rsidRPr="008834DA">
        <w:rPr>
          <w:rStyle w:val="StyleUnderline"/>
        </w:rPr>
        <w:t xml:space="preserve">. “In </w:t>
      </w:r>
      <w:r w:rsidRPr="008834DA">
        <w:rPr>
          <w:rStyle w:val="Emphasis"/>
        </w:rPr>
        <w:t>the long run</w:t>
      </w:r>
      <w:r w:rsidRPr="008834DA">
        <w:rPr>
          <w:rStyle w:val="StyleUnderline"/>
        </w:rPr>
        <w:t xml:space="preserve"> Chevron will endure,”</w:t>
      </w:r>
      <w:r w:rsidRPr="008834DA">
        <w:rPr>
          <w:sz w:val="16"/>
        </w:rPr>
        <w:t xml:space="preserve"> Justice </w:t>
      </w:r>
      <w:r w:rsidRPr="008834DA">
        <w:rPr>
          <w:rStyle w:val="StyleUnderline"/>
        </w:rPr>
        <w:t>Scalia wrote</w:t>
      </w:r>
      <w:r w:rsidRPr="008834DA">
        <w:rPr>
          <w:sz w:val="16"/>
        </w:rPr>
        <w:t xml:space="preserve"> in a 1989 article, </w:t>
      </w:r>
      <w:r w:rsidRPr="008834DA">
        <w:rPr>
          <w:rStyle w:val="StyleUnderline"/>
        </w:rPr>
        <w:t xml:space="preserve">“because it more accurately reflects </w:t>
      </w:r>
      <w:r w:rsidRPr="008834DA">
        <w:rPr>
          <w:rStyle w:val="Emphasis"/>
        </w:rPr>
        <w:t>the reality of government</w:t>
      </w:r>
      <w:r w:rsidRPr="008834DA">
        <w:rPr>
          <w:rStyle w:val="StyleUnderline"/>
        </w:rPr>
        <w:t>, and</w:t>
      </w:r>
      <w:r w:rsidRPr="008834DA">
        <w:rPr>
          <w:sz w:val="16"/>
        </w:rPr>
        <w:t xml:space="preserve"> thus more </w:t>
      </w:r>
      <w:r w:rsidRPr="008834DA">
        <w:rPr>
          <w:rStyle w:val="StyleUnderline"/>
        </w:rPr>
        <w:t>adequately serves its needs.”</w:t>
      </w:r>
    </w:p>
    <w:p w14:paraId="2FD6C04C" w14:textId="77777777" w:rsidR="00CC2CC5" w:rsidRPr="00F07265" w:rsidRDefault="00CC2CC5" w:rsidP="00CC2CC5">
      <w:pPr>
        <w:pStyle w:val="Heading3"/>
      </w:pPr>
      <w:r>
        <w:t>UQ—2NC</w:t>
      </w:r>
    </w:p>
    <w:p w14:paraId="5C9BDDC1" w14:textId="77777777" w:rsidR="00CC2CC5" w:rsidRDefault="00CC2CC5" w:rsidP="00CC2CC5">
      <w:pPr>
        <w:pStyle w:val="Heading4"/>
      </w:pPr>
      <w:r>
        <w:t>Chevron is strong now—deference is still the norm</w:t>
      </w:r>
    </w:p>
    <w:p w14:paraId="62970D27" w14:textId="77777777" w:rsidR="00CC2CC5" w:rsidRDefault="00CC2CC5" w:rsidP="00CC2CC5">
      <w:r w:rsidRPr="00540DA4">
        <w:rPr>
          <w:rStyle w:val="Style13ptBold"/>
        </w:rPr>
        <w:t>Bressman and Stack 21</w:t>
      </w:r>
      <w:r>
        <w:t xml:space="preserve"> (Lisa Schultz Bressman, </w:t>
      </w:r>
      <w:r w:rsidRPr="00632DF3">
        <w:t>David Daniels Allen Distinguished Professor of Law</w:t>
      </w:r>
      <w:r>
        <w:t xml:space="preserve"> at Vanderbilt University Law School, Kevin M. Stack, </w:t>
      </w:r>
      <w:r w:rsidRPr="00632DF3">
        <w:t>Lee S. and Charles A. Speir Professor of Law</w:t>
      </w:r>
      <w:r>
        <w:t xml:space="preserve"> at </w:t>
      </w:r>
      <w:r w:rsidRPr="00632DF3">
        <w:t>Vanderbilt University Law School</w:t>
      </w:r>
      <w:r>
        <w:t>, “</w:t>
      </w:r>
      <w:r w:rsidRPr="00632DF3">
        <w:t>Chevron Is a Phoenix</w:t>
      </w:r>
      <w:r>
        <w:t xml:space="preserve">,” </w:t>
      </w:r>
      <w:r w:rsidRPr="00632DF3">
        <w:t>Vanderbilt Law Review</w:t>
      </w:r>
      <w:r>
        <w:t xml:space="preserve">, 2021, </w:t>
      </w:r>
      <w:hyperlink r:id="rId29" w:history="1">
        <w:r w:rsidRPr="00DE1B94">
          <w:rPr>
            <w:rStyle w:val="Hyperlink"/>
          </w:rPr>
          <w:t>https://scholarship.law.vanderbilt.edu/faculty-publications/1195/)//cb</w:t>
        </w:r>
      </w:hyperlink>
    </w:p>
    <w:p w14:paraId="57E07B6A" w14:textId="77777777" w:rsidR="00CC2CC5" w:rsidRDefault="00CC2CC5" w:rsidP="00CC2CC5">
      <w:r>
        <w:t>II. CHEVRON'S PREMISE</w:t>
      </w:r>
    </w:p>
    <w:p w14:paraId="59EB8113" w14:textId="77777777" w:rsidR="00CC2CC5" w:rsidRDefault="00CC2CC5" w:rsidP="00CC2CC5">
      <w:pPr>
        <w:rPr>
          <w:rStyle w:val="StyleUnderline"/>
        </w:rPr>
      </w:pPr>
      <w:r w:rsidRPr="00540DA4">
        <w:rPr>
          <w:rStyle w:val="Emphasis"/>
        </w:rPr>
        <w:t>Judicial deference will persist</w:t>
      </w:r>
      <w:r w:rsidRPr="00632DF3">
        <w:rPr>
          <w:rStyle w:val="StyleUnderline"/>
        </w:rPr>
        <w:t xml:space="preserve"> because it is the proper counterpart to congressional delegation and statutory implementation</w:t>
      </w:r>
      <w:r w:rsidRPr="00632DF3">
        <w:rPr>
          <w:sz w:val="16"/>
        </w:rPr>
        <w:t xml:space="preserve"> in our governmental system. At the most basic level, judicial deference allows Congress to delegate implementation of a regulatory scheme to an agency rather than resolving the granular issues itself or leaving them to be sorted out by courts. In this sense, </w:t>
      </w:r>
      <w:r w:rsidRPr="00632DF3">
        <w:rPr>
          <w:rStyle w:val="StyleUnderline"/>
        </w:rPr>
        <w:t>judicial deference is as much a premise of regulatory government as congressional delegation itself</w:t>
      </w:r>
      <w:r w:rsidRPr="00632DF3">
        <w:rPr>
          <w:sz w:val="16"/>
        </w:rPr>
        <w:t xml:space="preserve">. When courts wind up resolving the granular issues that Congress has left to agencies, something is amiss as far as regulatory statutes are concerned and designed. This is not a defense of judicial deference or congressional delegation, but an explanation of the connection. In the administrative state, the connection between deference and delegation is fundamental, which is what the Court recognized when it developed its doctrines of review. </w:t>
      </w:r>
      <w:r w:rsidRPr="00632DF3">
        <w:rPr>
          <w:rStyle w:val="StyleUnderline"/>
        </w:rPr>
        <w:t>If agencies are charged with statutory implementation, then judicial deference to their interpretations is a logical inference</w:t>
      </w:r>
      <w:r>
        <w:rPr>
          <w:rStyle w:val="StyleUnderline"/>
        </w:rPr>
        <w:t>.</w:t>
      </w:r>
    </w:p>
    <w:p w14:paraId="3AC3A180" w14:textId="77777777" w:rsidR="00CC2CC5" w:rsidRDefault="00CC2CC5" w:rsidP="00CC2CC5">
      <w:pPr>
        <w:rPr>
          <w:sz w:val="16"/>
        </w:rPr>
      </w:pPr>
      <w:r w:rsidRPr="00540DA4">
        <w:rPr>
          <w:sz w:val="14"/>
          <w:szCs w:val="14"/>
        </w:rPr>
        <w:t>First consider what we know about Congress. Empirical studies suggest that Chevron likely got the basis for judicial deference right namely, that Congress intends for agencies to resolve interpretive questions and for courts to defer to agency resolutions. A survey of more than one hundred congressional staffers who draft legislation-in both the House and the Senate, across many committees, and from both political parties-shows that Congress likely expects agencies to have interpretive authority and views it as part of what comes with an express delegation of lawmaking power. These staffers indicated that they often draft against Chevron, which they take to mean that agencies will resolve ambiguities in statutes.50 Moreover, the staffers often use ambiguity deliberately, not inadvertently. 5 1 They rely on legislative history to communicate with agencies about implementation, 52 which is important because it suggests that they do not always use the text of the statute to say everything that they mean. And they aim for agencies, not courts, to be the ones to resolve issues in regulatory statutes.5 3 When courts end up resolving ambiguities that arise, something has gone wrong. Another empirical study, this time from the agency side, shows that these messages are not lost on agencies. 54 Agency drafters read statutes as Congress intends them to</w:t>
      </w:r>
      <w:r>
        <w:rPr>
          <w:sz w:val="16"/>
        </w:rPr>
        <w:t>.</w:t>
      </w:r>
    </w:p>
    <w:p w14:paraId="7E177F0B" w14:textId="77777777" w:rsidR="00CC2CC5" w:rsidRDefault="00CC2CC5" w:rsidP="00CC2CC5">
      <w:pPr>
        <w:rPr>
          <w:sz w:val="14"/>
        </w:rPr>
      </w:pPr>
      <w:r w:rsidRPr="00540DA4">
        <w:rPr>
          <w:sz w:val="14"/>
        </w:rPr>
        <w:t xml:space="preserve">Although the studies are not conclusive on the relationship between congressional delegation and judicial deference, what they suggest about that relationship is powerful. Congress seeks to delegate interpretive authority to agencies and expects courts to defer. The Court has been right all along about the connection between congressional delegation and judicial deference. </w:t>
      </w:r>
      <w:r w:rsidRPr="00540DA4">
        <w:rPr>
          <w:rStyle w:val="StyleUnderline"/>
        </w:rPr>
        <w:t>Chevron attempted a clear articulation of the connection, and, ironically, its particular characterization led some to question the validity of its premise</w:t>
      </w:r>
      <w:r w:rsidRPr="00540DA4">
        <w:rPr>
          <w:sz w:val="14"/>
        </w:rPr>
        <w:t xml:space="preserve">. 55 But that is a Chevron problem, not a problem with the premise that undergirds regulatory statutes and prior cases. </w:t>
      </w:r>
      <w:r w:rsidRPr="00540DA4">
        <w:rPr>
          <w:rStyle w:val="StyleUnderline"/>
        </w:rPr>
        <w:t>Judicial deference is the norm, and de novo judicial interpretation is the aberration</w:t>
      </w:r>
      <w:r w:rsidRPr="00540DA4">
        <w:rPr>
          <w:sz w:val="14"/>
        </w:rPr>
        <w:t>.</w:t>
      </w:r>
    </w:p>
    <w:p w14:paraId="6671B724" w14:textId="77777777" w:rsidR="00CC2CC5" w:rsidRDefault="00CC2CC5" w:rsidP="00CC2CC5">
      <w:pPr>
        <w:rPr>
          <w:sz w:val="14"/>
        </w:rPr>
      </w:pPr>
    </w:p>
    <w:p w14:paraId="338BBA85" w14:textId="77777777" w:rsidR="00CC2CC5" w:rsidRPr="000F0C84" w:rsidRDefault="00CC2CC5" w:rsidP="00CC2CC5">
      <w:pPr>
        <w:pStyle w:val="Heading4"/>
      </w:pPr>
      <w:r w:rsidRPr="008B3379">
        <w:rPr>
          <w:u w:val="single"/>
        </w:rPr>
        <w:t>Even w</w:t>
      </w:r>
      <w:r>
        <w:rPr>
          <w:u w:val="single"/>
        </w:rPr>
        <w:t>ith</w:t>
      </w:r>
      <w:r>
        <w:t xml:space="preserve"> the make-up of the Supreme Court, deference </w:t>
      </w:r>
      <w:r w:rsidRPr="00DD6068">
        <w:rPr>
          <w:u w:val="single"/>
        </w:rPr>
        <w:t>won’t</w:t>
      </w:r>
      <w:r>
        <w:t xml:space="preserve"> collapse — there’s a </w:t>
      </w:r>
      <w:r>
        <w:rPr>
          <w:u w:val="single"/>
        </w:rPr>
        <w:t>brink</w:t>
      </w:r>
      <w:r>
        <w:t>.</w:t>
      </w:r>
    </w:p>
    <w:p w14:paraId="127F3D03" w14:textId="77777777" w:rsidR="00CC2CC5" w:rsidRDefault="00CC2CC5" w:rsidP="00CC2CC5">
      <w:r>
        <w:rPr>
          <w:rStyle w:val="Style13ptBold"/>
        </w:rPr>
        <w:t>Guillén and Demko</w:t>
      </w:r>
      <w:r w:rsidRPr="006004CE">
        <w:rPr>
          <w:rStyle w:val="Style13ptBold"/>
        </w:rPr>
        <w:t xml:space="preserve"> </w:t>
      </w:r>
      <w:r>
        <w:rPr>
          <w:rStyle w:val="Style13ptBold"/>
        </w:rPr>
        <w:t>20</w:t>
      </w:r>
      <w:r w:rsidRPr="006004CE">
        <w:rPr>
          <w:rStyle w:val="Style13ptBold"/>
        </w:rPr>
        <w:t xml:space="preserve"> </w:t>
      </w:r>
      <w:r>
        <w:t xml:space="preserve">— </w:t>
      </w:r>
      <w:r w:rsidRPr="0069467D">
        <w:rPr>
          <w:u w:val="single"/>
        </w:rPr>
        <w:t>Alex Guillén</w:t>
      </w:r>
      <w:r>
        <w:t>, E</w:t>
      </w:r>
      <w:r w:rsidRPr="00EC178B">
        <w:t xml:space="preserve">nergy </w:t>
      </w:r>
      <w:r>
        <w:t>R</w:t>
      </w:r>
      <w:r w:rsidRPr="00EC178B">
        <w:t>eporter for POLITICO Pro</w:t>
      </w:r>
      <w:r>
        <w:t xml:space="preserve">, and </w:t>
      </w:r>
      <w:r w:rsidRPr="0069467D">
        <w:rPr>
          <w:u w:val="single"/>
        </w:rPr>
        <w:t>Paul Demko</w:t>
      </w:r>
      <w:r>
        <w:t>, C</w:t>
      </w:r>
      <w:r w:rsidRPr="0013595E">
        <w:t xml:space="preserve">annabis </w:t>
      </w:r>
      <w:r>
        <w:t>E</w:t>
      </w:r>
      <w:r w:rsidRPr="0013595E">
        <w:t>ditor at POLITICO Pro</w:t>
      </w:r>
      <w:r>
        <w:t>, 2020 (“</w:t>
      </w:r>
      <w:r w:rsidRPr="00C21969">
        <w:t>How the new Supreme Court could stymie a Biden presidency</w:t>
      </w:r>
      <w:r>
        <w:t xml:space="preserve">,” </w:t>
      </w:r>
      <w:r>
        <w:rPr>
          <w:i/>
          <w:iCs/>
        </w:rPr>
        <w:t xml:space="preserve">Politico, </w:t>
      </w:r>
      <w:r>
        <w:t>September 25</w:t>
      </w:r>
      <w:r w:rsidRPr="00510AF3">
        <w:rPr>
          <w:vertAlign w:val="superscript"/>
        </w:rPr>
        <w:t>th</w:t>
      </w:r>
      <w:r>
        <w:t xml:space="preserve">, Available Online at </w:t>
      </w:r>
      <w:r w:rsidRPr="008479E6">
        <w:t>https://www.politico.com/news/2020/09/25/supreme-court-regulations-biden-421934</w:t>
      </w:r>
      <w:r>
        <w:t>)</w:t>
      </w:r>
    </w:p>
    <w:p w14:paraId="36545483" w14:textId="77777777" w:rsidR="00CC2CC5" w:rsidRPr="001636DD" w:rsidRDefault="00CC2CC5" w:rsidP="00CC2CC5">
      <w:r w:rsidRPr="001636DD">
        <w:rPr>
          <w:rStyle w:val="StyleUnderline"/>
        </w:rPr>
        <w:t xml:space="preserve">For the moment, Chevron survives, </w:t>
      </w:r>
      <w:r w:rsidRPr="001636DD">
        <w:rPr>
          <w:rStyle w:val="Emphasis"/>
        </w:rPr>
        <w:t>even with</w:t>
      </w:r>
      <w:r w:rsidRPr="001636DD">
        <w:rPr>
          <w:rStyle w:val="StyleUnderline"/>
        </w:rPr>
        <w:t xml:space="preserve"> the Supreme Court’s current conservative majority.</w:t>
      </w:r>
      <w:r w:rsidRPr="001636DD">
        <w:t xml:space="preserve"> Katie Keith, a health law expert at Georgetown University, noted that </w:t>
      </w:r>
      <w:r w:rsidRPr="001636DD">
        <w:rPr>
          <w:rStyle w:val="StyleUnderline"/>
        </w:rPr>
        <w:t xml:space="preserve">federal judges — including recent Trump appointees — have actually shown </w:t>
      </w:r>
      <w:r w:rsidRPr="001636DD">
        <w:rPr>
          <w:rStyle w:val="Emphasis"/>
        </w:rPr>
        <w:t>significant deference</w:t>
      </w:r>
      <w:r w:rsidRPr="001636DD">
        <w:rPr>
          <w:rStyle w:val="StyleUnderline"/>
        </w:rPr>
        <w:t xml:space="preserve"> to agency actions in several high-stakes cases. Those include decisions in which judges rejected attempts to block the Trump administration from increasing hospital pricing transparency and allowing insurance plans that don’t meet Obamacare’s coverage requirements.</w:t>
      </w:r>
    </w:p>
    <w:p w14:paraId="5C3AF6D0" w14:textId="77777777" w:rsidR="00CC2CC5" w:rsidRPr="001636DD" w:rsidRDefault="00CC2CC5" w:rsidP="00CC2CC5"/>
    <w:p w14:paraId="5D1B5F81" w14:textId="77777777" w:rsidR="00CC2CC5" w:rsidRPr="001636DD" w:rsidRDefault="00CC2CC5" w:rsidP="00CC2CC5">
      <w:pPr>
        <w:pStyle w:val="Heading4"/>
      </w:pPr>
      <w:r w:rsidRPr="001636DD">
        <w:t xml:space="preserve">Past decisions restricting deference had </w:t>
      </w:r>
      <w:r w:rsidRPr="001636DD">
        <w:rPr>
          <w:u w:val="single"/>
        </w:rPr>
        <w:t>little impact</w:t>
      </w:r>
      <w:r w:rsidRPr="001636DD">
        <w:t xml:space="preserve">, but a </w:t>
      </w:r>
      <w:r w:rsidRPr="001636DD">
        <w:rPr>
          <w:u w:val="single"/>
        </w:rPr>
        <w:t>new</w:t>
      </w:r>
      <w:r w:rsidRPr="001636DD">
        <w:t xml:space="preserve"> sweeping rule after the plan would be </w:t>
      </w:r>
      <w:r w:rsidRPr="001636DD">
        <w:rPr>
          <w:u w:val="single"/>
        </w:rPr>
        <w:t>significant</w:t>
      </w:r>
      <w:r w:rsidRPr="001636DD">
        <w:t>.</w:t>
      </w:r>
    </w:p>
    <w:p w14:paraId="7E2BBED0" w14:textId="77777777" w:rsidR="00CC2CC5" w:rsidRPr="001636DD" w:rsidRDefault="00CC2CC5" w:rsidP="00CC2CC5">
      <w:r w:rsidRPr="001636DD">
        <w:rPr>
          <w:rStyle w:val="Style13ptBold"/>
        </w:rPr>
        <w:t xml:space="preserve">Raso 19 </w:t>
      </w:r>
      <w:r w:rsidRPr="001636DD">
        <w:t xml:space="preserve">— Connor Raso, Senior Counsel in the Office of General Counsel at U.S. Securities and Exchange Commission, Contributor to the Series on Regulatory Process and Perspective for the Brookings Center on Regulation and Markets, holds a J.D. from Yale Law School, holds a Ph.D. in Political Science from Stanford University, 2019 (“The Supreme Court curtails but retains agency rule deference – How much will it matter?,” </w:t>
      </w:r>
      <w:r w:rsidRPr="001636DD">
        <w:rPr>
          <w:i/>
          <w:iCs/>
        </w:rPr>
        <w:t xml:space="preserve">Brookings Institution, </w:t>
      </w:r>
      <w:r w:rsidRPr="001636DD">
        <w:t>September 24</w:t>
      </w:r>
      <w:r w:rsidRPr="001636DD">
        <w:rPr>
          <w:vertAlign w:val="superscript"/>
        </w:rPr>
        <w:t>th</w:t>
      </w:r>
      <w:r w:rsidRPr="001636DD">
        <w:t>, Available Online at https://www.brookings.edu/research/the-supreme-court-curtails-but-retains-agency-rule-deference-how-much-will-it-matter/)</w:t>
      </w:r>
    </w:p>
    <w:p w14:paraId="6F44216E" w14:textId="77777777" w:rsidR="00CC2CC5" w:rsidRPr="001636DD" w:rsidRDefault="00CC2CC5" w:rsidP="00CC2CC5">
      <w:r w:rsidRPr="001636DD">
        <w:t>CONCLUSIONS</w:t>
      </w:r>
    </w:p>
    <w:p w14:paraId="23C35A25" w14:textId="77777777" w:rsidR="00CC2CC5" w:rsidRPr="001636DD" w:rsidRDefault="00CC2CC5" w:rsidP="00CC2CC5">
      <w:r w:rsidRPr="001636DD">
        <w:rPr>
          <w:rStyle w:val="StyleUnderline"/>
        </w:rPr>
        <w:t xml:space="preserve">On balance, the Supreme Court’s recent decision in Kisor v. Wilkie, which limits the scope for judicial deference to agency rule interpretations, appears </w:t>
      </w:r>
      <w:r w:rsidRPr="001636DD">
        <w:rPr>
          <w:rStyle w:val="Emphasis"/>
        </w:rPr>
        <w:t>unlikely</w:t>
      </w:r>
      <w:r w:rsidRPr="001636DD">
        <w:rPr>
          <w:rStyle w:val="StyleUnderline"/>
        </w:rPr>
        <w:t xml:space="preserve"> to have a major impact on the administrative state.</w:t>
      </w:r>
      <w:r w:rsidRPr="001636DD">
        <w:t xml:space="preserve"> Of course, the ultimate effect will largely be determined by the lower courts and </w:t>
      </w:r>
      <w:r w:rsidRPr="001636DD">
        <w:rPr>
          <w:rStyle w:val="StyleUnderline"/>
        </w:rPr>
        <w:t>nobody knows how expansively they will apply the decision.</w:t>
      </w:r>
      <w:r w:rsidRPr="001636DD">
        <w:t xml:space="preserve"> If they read Kisor broadly, agency rule interpretations may indeed by successfully challenged more frequently. </w:t>
      </w:r>
      <w:r w:rsidRPr="001636DD">
        <w:rPr>
          <w:rStyle w:val="StyleUnderline"/>
        </w:rPr>
        <w:t>If they read it narrowly, the decision will have little practical impact.</w:t>
      </w:r>
    </w:p>
    <w:p w14:paraId="1866078C" w14:textId="77777777" w:rsidR="00CC2CC5" w:rsidRPr="001636DD" w:rsidRDefault="00CC2CC5" w:rsidP="00CC2CC5">
      <w:r w:rsidRPr="001636DD">
        <w:t xml:space="preserve">But </w:t>
      </w:r>
      <w:r w:rsidRPr="001636DD">
        <w:rPr>
          <w:rStyle w:val="StyleUnderline"/>
        </w:rPr>
        <w:t>in any case, it is important to place the Court’s decision in Kisor v. Wilkie into context. It is</w:t>
      </w:r>
      <w:r w:rsidRPr="001636DD">
        <w:t xml:space="preserve"> a continuation of a trend toward restricting agency deference that began in 2006, </w:t>
      </w:r>
      <w:r w:rsidRPr="001636DD">
        <w:rPr>
          <w:rStyle w:val="Emphasis"/>
        </w:rPr>
        <w:t>not</w:t>
      </w:r>
      <w:r w:rsidRPr="001636DD">
        <w:rPr>
          <w:rStyle w:val="StyleUnderline"/>
        </w:rPr>
        <w:t xml:space="preserve"> an abrupt departure from current law.</w:t>
      </w:r>
      <w:r w:rsidRPr="001636DD">
        <w:t xml:space="preserve"> Moreover, agencies face strong incentives not to significantly change how they draft rules as a result of Kisor v. Wilkie. </w:t>
      </w:r>
      <w:r w:rsidRPr="001636DD">
        <w:rPr>
          <w:rStyle w:val="StyleUnderline"/>
        </w:rPr>
        <w:t xml:space="preserve">And, most agency rules are unlikely to be challenged in any case. All of this suggests the decision’s impact is likely to be modest even if the lower courts move to reduce agency deference. This would leave the </w:t>
      </w:r>
      <w:r w:rsidRPr="001636DD">
        <w:rPr>
          <w:rStyle w:val="Emphasis"/>
        </w:rPr>
        <w:t>broader battles</w:t>
      </w:r>
      <w:r w:rsidRPr="001636DD">
        <w:rPr>
          <w:rStyle w:val="StyleUnderline"/>
        </w:rPr>
        <w:t xml:space="preserve"> over the administrative state (including those on other forms of judicial deference to agencies) to </w:t>
      </w:r>
      <w:r w:rsidRPr="001636DD">
        <w:rPr>
          <w:rStyle w:val="Emphasis"/>
        </w:rPr>
        <w:t>future cases</w:t>
      </w:r>
      <w:r w:rsidRPr="001636DD">
        <w:rPr>
          <w:rStyle w:val="StyleUnderline"/>
        </w:rPr>
        <w:t>.</w:t>
      </w:r>
    </w:p>
    <w:p w14:paraId="1D3C51FD" w14:textId="77777777" w:rsidR="00CC2CC5" w:rsidRPr="001636DD" w:rsidRDefault="00CC2CC5" w:rsidP="00CC2CC5"/>
    <w:p w14:paraId="2E221F5E" w14:textId="77777777" w:rsidR="00CC2CC5" w:rsidRPr="001636DD" w:rsidRDefault="00CC2CC5" w:rsidP="00CC2CC5">
      <w:pPr>
        <w:pStyle w:val="Heading4"/>
      </w:pPr>
      <w:r w:rsidRPr="001636DD">
        <w:t xml:space="preserve">Their evidence </w:t>
      </w:r>
      <w:r w:rsidRPr="001636DD">
        <w:rPr>
          <w:u w:val="single"/>
        </w:rPr>
        <w:t>exaggerates</w:t>
      </w:r>
      <w:r w:rsidRPr="001636DD">
        <w:t xml:space="preserve"> — conservative judges won’t overturn agency decisions </w:t>
      </w:r>
      <w:r w:rsidRPr="001636DD">
        <w:rPr>
          <w:u w:val="single"/>
        </w:rPr>
        <w:t>now</w:t>
      </w:r>
      <w:r w:rsidRPr="001636DD">
        <w:t>.</w:t>
      </w:r>
    </w:p>
    <w:p w14:paraId="6E1A256C" w14:textId="77777777" w:rsidR="00CC2CC5" w:rsidRPr="001636DD" w:rsidRDefault="00CC2CC5" w:rsidP="00CC2CC5">
      <w:r w:rsidRPr="001636DD">
        <w:rPr>
          <w:rStyle w:val="Style13ptBold"/>
        </w:rPr>
        <w:t xml:space="preserve">Guillén and Demko 20 </w:t>
      </w:r>
      <w:r w:rsidRPr="001636DD">
        <w:t xml:space="preserve">— </w:t>
      </w:r>
      <w:r w:rsidRPr="001636DD">
        <w:rPr>
          <w:u w:val="single"/>
        </w:rPr>
        <w:t>Alex Guillén</w:t>
      </w:r>
      <w:r w:rsidRPr="001636DD">
        <w:t xml:space="preserve">, Energy Reporter for POLITICO Pro, and </w:t>
      </w:r>
      <w:r w:rsidRPr="001636DD">
        <w:rPr>
          <w:u w:val="single"/>
        </w:rPr>
        <w:t>Paul Demko</w:t>
      </w:r>
      <w:r w:rsidRPr="001636DD">
        <w:t xml:space="preserve">, Cannabis Editor at POLITICO Pro, 2020 (“How the new Supreme Court could stymie a Biden presidency,” </w:t>
      </w:r>
      <w:r w:rsidRPr="001636DD">
        <w:rPr>
          <w:i/>
          <w:iCs/>
        </w:rPr>
        <w:t xml:space="preserve">Politico, </w:t>
      </w:r>
      <w:r w:rsidRPr="001636DD">
        <w:t>September 25</w:t>
      </w:r>
      <w:r w:rsidRPr="001636DD">
        <w:rPr>
          <w:vertAlign w:val="superscript"/>
        </w:rPr>
        <w:t>th</w:t>
      </w:r>
      <w:r w:rsidRPr="001636DD">
        <w:t>, Available Online at https://www.politico.com/news/2020/09/25/supreme-court-regulations-biden-421934)</w:t>
      </w:r>
    </w:p>
    <w:p w14:paraId="7C1A9CFD" w14:textId="77777777" w:rsidR="00CC2CC5" w:rsidRPr="001636DD" w:rsidRDefault="00CC2CC5" w:rsidP="00CC2CC5">
      <w:r w:rsidRPr="001636DD">
        <w:t xml:space="preserve">Conservative legal scholar Jonathan Adler agreed that </w:t>
      </w:r>
      <w:r w:rsidRPr="001636DD">
        <w:rPr>
          <w:rStyle w:val="StyleUnderline"/>
        </w:rPr>
        <w:t>the Supreme Court’s new lineup may soon be willing to place more limits on federal power than has been seen in the recent past. But he said it’s unlikely to bring about one of the worst fears of liberals — a return to the early decades of the 20th century, when the high court repeatedly struck down rules and laws regulating wages, work hours and other labor policies.</w:t>
      </w:r>
    </w:p>
    <w:p w14:paraId="24058063" w14:textId="77777777" w:rsidR="00CC2CC5" w:rsidRPr="001636DD" w:rsidRDefault="00CC2CC5" w:rsidP="00CC2CC5">
      <w:r w:rsidRPr="001636DD">
        <w:t>“</w:t>
      </w:r>
      <w:r w:rsidRPr="001636DD">
        <w:rPr>
          <w:rStyle w:val="StyleUnderline"/>
        </w:rPr>
        <w:t>They’re not going to endorse some kind of broad libertarian theory of the Constitution</w:t>
      </w:r>
      <w:r w:rsidRPr="001636DD">
        <w:t>,” said Adler, a law professor at Case Western Reserve University.</w:t>
      </w:r>
    </w:p>
    <w:p w14:paraId="021B0DCA" w14:textId="77777777" w:rsidR="00CC2CC5" w:rsidRPr="001636DD" w:rsidRDefault="00CC2CC5" w:rsidP="00CC2CC5">
      <w:r w:rsidRPr="001636DD">
        <w:rPr>
          <w:rStyle w:val="StyleUnderline"/>
        </w:rPr>
        <w:t xml:space="preserve">The attacks on the regulatory state could include two major arguments that conservative lawyers and judges have made in recent decades: Courts have given agencies too much leeway to write rules that go beyond what lawmakers have prescribed. But at the same time, they say, a dysfunctional </w:t>
      </w:r>
      <w:r w:rsidRPr="001636DD">
        <w:rPr>
          <w:rStyle w:val="Emphasis"/>
        </w:rPr>
        <w:t>Congress</w:t>
      </w:r>
      <w:r w:rsidRPr="001636DD">
        <w:rPr>
          <w:rStyle w:val="StyleUnderline"/>
        </w:rPr>
        <w:t xml:space="preserve"> too often writes vague laws that leave major policy decisions up to the bureaucracy.</w:t>
      </w:r>
    </w:p>
    <w:p w14:paraId="62ECBE38" w14:textId="77777777" w:rsidR="00CC2CC5" w:rsidRDefault="00CC2CC5" w:rsidP="00CC2CC5">
      <w:pPr>
        <w:pStyle w:val="Heading4"/>
        <w:rPr>
          <w:u w:val="single"/>
        </w:rPr>
      </w:pPr>
      <w:r>
        <w:t xml:space="preserve">Chevron deference is </w:t>
      </w:r>
      <w:r>
        <w:rPr>
          <w:u w:val="single"/>
        </w:rPr>
        <w:t>applied consistently</w:t>
      </w:r>
      <w:r>
        <w:t xml:space="preserve"> – Scalia’s ruling makes it a </w:t>
      </w:r>
      <w:r>
        <w:rPr>
          <w:u w:val="single"/>
        </w:rPr>
        <w:t>precedent</w:t>
      </w:r>
    </w:p>
    <w:p w14:paraId="2F4A6142" w14:textId="77777777" w:rsidR="00CC2CC5" w:rsidRPr="00B44845" w:rsidRDefault="00CC2CC5" w:rsidP="00CC2CC5">
      <w:r w:rsidRPr="00B44845">
        <w:rPr>
          <w:b/>
          <w:bCs/>
          <w:sz w:val="26"/>
          <w:szCs w:val="26"/>
        </w:rPr>
        <w:t>Raso and Eskridge 10</w:t>
      </w:r>
      <w:r>
        <w:t xml:space="preserve"> - </w:t>
      </w:r>
      <w:r w:rsidRPr="00B44845">
        <w:t>J.D., Yale Law School; Ph.D., Stanford University Department of Political Science</w:t>
      </w:r>
      <w:r>
        <w:t xml:space="preserve">, </w:t>
      </w:r>
      <w:r w:rsidRPr="00B44845">
        <w:t>John Garver Professor of Jurisprudence, Yale Law School</w:t>
      </w:r>
      <w:r>
        <w:t xml:space="preserve">, (Connor N., William N., “CHEVRON AS A CANON, NOT A PRECEDENT: AN EMPIRICAL STUDY OF WHAT MOTIVATES JUSTICES IN AGENCY DEFERENCE CASES,” </w:t>
      </w:r>
      <w:r>
        <w:rPr>
          <w:i/>
          <w:iCs/>
        </w:rPr>
        <w:t>Yale Law School</w:t>
      </w:r>
      <w:r>
        <w:t xml:space="preserve">, 2010, </w:t>
      </w:r>
      <w:hyperlink r:id="rId30" w:history="1">
        <w:r w:rsidRPr="00F9106D">
          <w:rPr>
            <w:rStyle w:val="Hyperlink"/>
          </w:rPr>
          <w:t>https://digitalcommons.law.yale.edu/cgi/viewcontent.cgi?article=4771&amp;context=fss_papers</w:t>
        </w:r>
      </w:hyperlink>
      <w:r>
        <w:t>, Accessed 7-31-21, LASA-AH)</w:t>
      </w:r>
    </w:p>
    <w:p w14:paraId="5381F592" w14:textId="77777777" w:rsidR="00CC2CC5" w:rsidRDefault="00CC2CC5" w:rsidP="00CC2CC5">
      <w:r>
        <w:t xml:space="preserve">Decisions such as </w:t>
      </w:r>
      <w:r w:rsidRPr="0002059F">
        <w:rPr>
          <w:u w:val="single"/>
        </w:rPr>
        <w:t>City ofjackson reflect the reality</w:t>
      </w:r>
      <w:r>
        <w:t xml:space="preserve"> that </w:t>
      </w:r>
      <w:r w:rsidRPr="0002059F">
        <w:rPr>
          <w:u w:val="single"/>
        </w:rPr>
        <w:t>statutory interpretation</w:t>
      </w:r>
      <w:r>
        <w:t xml:space="preserve"> </w:t>
      </w:r>
      <w:r w:rsidRPr="0002059F">
        <w:rPr>
          <w:u w:val="single"/>
        </w:rPr>
        <w:t>has</w:t>
      </w:r>
      <w:r>
        <w:t xml:space="preserve"> </w:t>
      </w:r>
      <w:r w:rsidRPr="0002059F">
        <w:rPr>
          <w:rStyle w:val="Emphasis"/>
        </w:rPr>
        <w:t>long been dominated by agencies</w:t>
      </w:r>
      <w:r w:rsidRPr="0002059F">
        <w:rPr>
          <w:u w:val="single"/>
        </w:rPr>
        <w:t xml:space="preserve">. The bulk of our </w:t>
      </w:r>
      <w:r>
        <w:t xml:space="preserve">federal </w:t>
      </w:r>
      <w:r w:rsidRPr="0002059F">
        <w:rPr>
          <w:u w:val="single"/>
        </w:rPr>
        <w:t>law</w:t>
      </w:r>
      <w:r>
        <w:t xml:space="preserve"> now </w:t>
      </w:r>
      <w:r w:rsidRPr="0002059F">
        <w:rPr>
          <w:u w:val="single"/>
        </w:rPr>
        <w:t xml:space="preserve">derives from agency rules, </w:t>
      </w:r>
      <w:r>
        <w:t xml:space="preserve">guidances, opinion letters, manuals, and websites.11 As a result, understanding whether deference regimes constrain Justices helps us better understand the operation of law in the modem administrative state.12 </w:t>
      </w:r>
      <w:r w:rsidRPr="0002059F">
        <w:rPr>
          <w:u w:val="single"/>
        </w:rPr>
        <w:t>The main issue judges confront, then, is how often and how much to defer to agency interpretations</w:t>
      </w:r>
      <w:r>
        <w:t xml:space="preserve">.1 3 </w:t>
      </w:r>
      <w:r w:rsidRPr="0002059F">
        <w:rPr>
          <w:u w:val="single"/>
        </w:rPr>
        <w:t xml:space="preserve">Chevron alone has been cited in </w:t>
      </w:r>
      <w:r w:rsidRPr="0002059F">
        <w:rPr>
          <w:rStyle w:val="Emphasis"/>
        </w:rPr>
        <w:t>over five thousand law review articles</w:t>
      </w:r>
      <w:r>
        <w:t xml:space="preserve">. 14 These </w:t>
      </w:r>
      <w:r w:rsidRPr="0002059F">
        <w:rPr>
          <w:u w:val="single"/>
        </w:rPr>
        <w:t>articles have usually argued the normative merits of different approaches to deference.</w:t>
      </w:r>
      <w:r>
        <w:t xml:space="preserve"> Supporters of broad judicial deference to agency interpretations cite the legitimacy, expertise, and rule of law advantages of following centralized agency rules as presumptive law on any federal statutory topic.1 5 Critics worry that a regime of routine and broad judicial defer10.</w:t>
      </w:r>
    </w:p>
    <w:p w14:paraId="3BB6BEA7" w14:textId="77777777" w:rsidR="00CC2CC5" w:rsidRDefault="00CC2CC5" w:rsidP="00CC2CC5">
      <w:r>
        <w:t xml:space="preserve"> Id. at 262-67 (O'Connor, J., concurring in the judgment). Justice O'Connor's opinion was joined by Justices Kennedy and Thomas. Id. ChiefJustice Rehnquist did not participate in this case.</w:t>
      </w:r>
    </w:p>
    <w:p w14:paraId="6CBCD39F" w14:textId="77777777" w:rsidR="00CC2CC5" w:rsidRDefault="00CC2CC5" w:rsidP="00CC2CC5">
      <w:r>
        <w:t>Begin Footnote</w:t>
      </w:r>
    </w:p>
    <w:p w14:paraId="230F7B7E" w14:textId="77777777" w:rsidR="00CC2CC5" w:rsidRDefault="00CC2CC5" w:rsidP="00CC2CC5">
      <w:r>
        <w:t xml:space="preserve">11. See, e.g., Peter L. Strauss, Comment, The Rulemaking Continuum, 41 Duke L.J. 1463, 1469 (1992) (providing evidence of volume of guidance documents and legislative rules). 12. </w:t>
      </w:r>
      <w:r w:rsidRPr="0002059F">
        <w:rPr>
          <w:u w:val="single"/>
        </w:rPr>
        <w:t xml:space="preserve">A number of empirical studies of deference </w:t>
      </w:r>
      <w:r w:rsidRPr="0002059F">
        <w:rPr>
          <w:rStyle w:val="Emphasis"/>
        </w:rPr>
        <w:t>effectively ignore deference doctrine</w:t>
      </w:r>
      <w:r w:rsidRPr="0002059F">
        <w:rPr>
          <w:u w:val="single"/>
        </w:rPr>
        <w:t xml:space="preserve"> and analyze deference purely in terms of whether agency decisions are upheld or overturned. S</w:t>
      </w:r>
      <w:r>
        <w:t xml:space="preserve">ee, e.g., Linda R. Cohen &amp; Matthew L. Spitzer,Judicial Deference to Agency Action: A Rational Choice Theory and an Empirical Test, 69 S. Cal. L. Rev. 431 (1996); Joseph L. Smith, Presidents,Justices, and Deference to Administrative Action, 23J.L. Econ. &amp; Org. 346 (2007); Matthew C. Stephenson, Mixed Signals: Reconsidering the Political Economy ofJudicial Deference to Administrative Agencies, 56 Admin. L. Rev. 657 (2004) [hereinafter Stephenson, Mixed Signals]. Our paper examines whether such studies analyze the correct dependent variable. 13. See, e.g., John F. Manning, Constitutional Structure and Judicial Deference to Agency Interpretations of Agency Rules, 96 Colum. L. Rev. 612, 614-17 (1996) (discussing unsettled nature of Supreme Court jurisprudence on deference to agency interpretation); Kenneth W. Starr, Judicial Review in the Post-Cheoron Era, 3 YaleJ. on Reg. 283, 283 (1986) (highlighting varying standards of deference federal courts have given agencies' statutory interpretations). 14. Lexis search, August 10, 2008. For prominent exemplars of this literature, see, e.g., Richard J. Pierce, Jr., Political Control Versus Impermissible Bias in Agency Decisionmaking: Lessons from Chevron and Mistretta, 57 U. Chi. L. Rev. 481, 483 (1990) (arguing Chevron demonstrates the proper "understanding of the boundary between appropriate political control and impermissible bias"); Peter H. Schuck &amp; E. Donald Elliot, To the Chevron Station: An Empirical Study of Federal Administrative Law, 1990 Duke LJ. 984, 996-1054 (examining changing nature of administrative law, including impact of Chevron on judicial review). 15. </w:t>
      </w:r>
      <w:r w:rsidRPr="0002059F">
        <w:rPr>
          <w:u w:val="single"/>
        </w:rPr>
        <w:t xml:space="preserve">Chevron itself famously </w:t>
      </w:r>
      <w:r w:rsidRPr="0002059F">
        <w:rPr>
          <w:rStyle w:val="Emphasis"/>
        </w:rPr>
        <w:t>outlines the accountability</w:t>
      </w:r>
      <w:r w:rsidRPr="0002059F">
        <w:rPr>
          <w:u w:val="single"/>
        </w:rPr>
        <w:t xml:space="preserve"> and expertise rationales.</w:t>
      </w:r>
      <w:r>
        <w:t xml:space="preserve"> See Chevron U.S.A. Inc. v. Natural Res. Def. Council, Inc., 467 U.S. 837, 843, 865 (1984) (arguing that because "|j]udges are not experts in the field, and are not part of either political branch of the Government,"judges should defer to reasonable agency rules unless Congress has directly spoken to the issue); see also Antonin Scalia, Judicial Deference to Administrative Interpretations of Law, 1989 Duke L.J. 511, 517 [hereinafter Scalia, Judicial Deference] (arguing Chevron's clear deference rule allows Congress to better anticipate</w:t>
      </w:r>
    </w:p>
    <w:p w14:paraId="240146A6" w14:textId="77777777" w:rsidR="00CC2CC5" w:rsidRDefault="00CC2CC5" w:rsidP="00CC2CC5">
      <w:r>
        <w:t>End Footnote</w:t>
      </w:r>
    </w:p>
    <w:p w14:paraId="600018C8" w14:textId="77777777" w:rsidR="00CC2CC5" w:rsidRDefault="00CC2CC5" w:rsidP="00CC2CC5">
      <w:r>
        <w:t>ence would encourage agency turf grabbing, exacerbate agency capture, and compromise judges' traditional supremacy in declaring the law.1 6</w:t>
      </w:r>
    </w:p>
    <w:p w14:paraId="7EC39F9F" w14:textId="77777777" w:rsidR="00CC2CC5" w:rsidRDefault="00CC2CC5" w:rsidP="00CC2CC5">
      <w:r>
        <w:t xml:space="preserve">The </w:t>
      </w:r>
      <w:r w:rsidRPr="0002059F">
        <w:rPr>
          <w:u w:val="single"/>
        </w:rPr>
        <w:t>contending positions in these normative debates rest upon assumptions that have not been rigorously tested</w:t>
      </w:r>
      <w:r>
        <w:t xml:space="preserve">. Indeed, the intensity of the debate itself rests upon heroic (and substantially untested) assumptions. Thus, </w:t>
      </w:r>
      <w:r w:rsidRPr="0002059F">
        <w:rPr>
          <w:u w:val="single"/>
        </w:rPr>
        <w:t>many advocates of a broad reading of Chevron seem to assume that judges will follow Justice Scalia's concurring opinion in City of Jackson and treat the Chevron regime as a matter of precedent</w:t>
      </w:r>
      <w:r>
        <w:t xml:space="preserve">, </w:t>
      </w:r>
      <w:r w:rsidRPr="0002059F">
        <w:rPr>
          <w:u w:val="single"/>
        </w:rPr>
        <w:t>citing the case when appropriate and then applying its now famous two-step framework</w:t>
      </w:r>
      <w:r>
        <w:t xml:space="preserve">.1 7 Justice </w:t>
      </w:r>
      <w:r w:rsidRPr="0002059F">
        <w:rPr>
          <w:u w:val="single"/>
        </w:rPr>
        <w:t>Scalia's</w:t>
      </w:r>
      <w:r>
        <w:t xml:space="preserve"> concurring </w:t>
      </w:r>
      <w:r w:rsidRPr="0002059F">
        <w:rPr>
          <w:u w:val="single"/>
        </w:rPr>
        <w:t>opinion</w:t>
      </w:r>
      <w:r>
        <w:t xml:space="preserve"> in City ofJackson </w:t>
      </w:r>
      <w:r w:rsidRPr="0002059F">
        <w:rPr>
          <w:rStyle w:val="Emphasis"/>
        </w:rPr>
        <w:t>treats Chevron as a binding precedent</w:t>
      </w:r>
      <w:r>
        <w:t xml:space="preserve"> </w:t>
      </w:r>
      <w:r w:rsidRPr="0002059F">
        <w:rPr>
          <w:u w:val="single"/>
        </w:rPr>
        <w:t>that the Court is required to apply</w:t>
      </w:r>
      <w:r>
        <w:t xml:space="preserve"> and follow as a matter of stare decisis or something akin to it.18 Justice Scalia's position has recently attracted support from some legal scholars.19 In a parallel fashion, some critics assume that judges will follow Justice O'Connor's separate opinion in City ofjackson, and argue that while Chevron is precedent, it does not apply to a case's specific set of facts, which can be distinguished.2 0 Yet others assume judges will followJustice Stevens, and argue it is far from clear that </w:t>
      </w:r>
      <w:r w:rsidRPr="0002059F">
        <w:rPr>
          <w:u w:val="single"/>
        </w:rPr>
        <w:t>Chevron is or should be treated as a precedent entitled to stare decisis effect</w:t>
      </w:r>
      <w:r>
        <w:t xml:space="preserve">.2 1 Indeed, </w:t>
      </w:r>
      <w:r w:rsidRPr="0002059F">
        <w:rPr>
          <w:u w:val="single"/>
        </w:rPr>
        <w:t xml:space="preserve">Justice Stevens's plurality opinion in City of Jackson </w:t>
      </w:r>
      <w:r w:rsidRPr="0002059F">
        <w:rPr>
          <w:rStyle w:val="Emphasis"/>
        </w:rPr>
        <w:t>failed to cite or discuss Chevron</w:t>
      </w:r>
      <w:r>
        <w:t xml:space="preserve"> (an opinion Justice Stevens himself wrote), a move virtually unthinkable if Chevron's holding were binding as a matter of stare decisis.2 2 By failing to cite Chevron and by treating deference as a "plus" factor for the result reached in his opinion, </w:t>
      </w:r>
      <w:r w:rsidRPr="0002059F">
        <w:t>Justice Stevens seemed to treat agency deference doctrine as a canon of statutory construction, rather than as binding precedent.</w:t>
      </w:r>
    </w:p>
    <w:p w14:paraId="31CF9757" w14:textId="77777777" w:rsidR="00CC2CC5" w:rsidRDefault="00CC2CC5" w:rsidP="00CC2CC5">
      <w:pPr>
        <w:pStyle w:val="Heading4"/>
        <w:rPr>
          <w:u w:val="single"/>
        </w:rPr>
      </w:pPr>
      <w:r>
        <w:t xml:space="preserve">Chevron deference </w:t>
      </w:r>
      <w:r>
        <w:rPr>
          <w:u w:val="single"/>
        </w:rPr>
        <w:t>holds strong</w:t>
      </w:r>
      <w:r>
        <w:t xml:space="preserve"> BUT state rulings put it at a </w:t>
      </w:r>
      <w:r>
        <w:rPr>
          <w:u w:val="single"/>
        </w:rPr>
        <w:t>brink</w:t>
      </w:r>
    </w:p>
    <w:p w14:paraId="03EDB2C2" w14:textId="77777777" w:rsidR="00CC2CC5" w:rsidRPr="008E39C1" w:rsidRDefault="00CC2CC5" w:rsidP="00CC2CC5">
      <w:r w:rsidRPr="008E39C1">
        <w:rPr>
          <w:b/>
          <w:bCs/>
          <w:sz w:val="26"/>
          <w:szCs w:val="26"/>
        </w:rPr>
        <w:t>Phillips 20</w:t>
      </w:r>
      <w:r>
        <w:t xml:space="preserve"> - </w:t>
      </w:r>
      <w:r w:rsidRPr="008E39C1">
        <w:t>University of Mississippi, School of Law,</w:t>
      </w:r>
      <w:r>
        <w:t xml:space="preserve"> J.D. Candidate, (Luke, “</w:t>
      </w:r>
      <w:r w:rsidRPr="008E39C1">
        <w:t>Chevron in the States? Not So Much</w:t>
      </w:r>
      <w:r>
        <w:t xml:space="preserve">,” </w:t>
      </w:r>
      <w:r w:rsidRPr="008E39C1">
        <w:rPr>
          <w:i/>
          <w:iCs/>
        </w:rPr>
        <w:t>Mississippi Law Journal, Vol. 89, No. 313, 2020</w:t>
      </w:r>
      <w:r>
        <w:t xml:space="preserve">, 5-1-20, </w:t>
      </w:r>
      <w:hyperlink r:id="rId31" w:history="1">
        <w:r w:rsidRPr="00DC67D3">
          <w:rPr>
            <w:rStyle w:val="Hyperlink"/>
          </w:rPr>
          <w:t>https://papers.ssrn.com/sol3/papers.cfm?abstract_id=3602679</w:t>
        </w:r>
      </w:hyperlink>
      <w:r>
        <w:t>, Accessed 7-31-21, LASA-AH)</w:t>
      </w:r>
    </w:p>
    <w:p w14:paraId="50EF8143" w14:textId="77777777" w:rsidR="00CC2CC5" w:rsidRDefault="00CC2CC5" w:rsidP="00CC2CC5">
      <w:r w:rsidRPr="008E39C1">
        <w:t xml:space="preserve">In the years since the U.S. </w:t>
      </w:r>
      <w:r w:rsidRPr="008E39C1">
        <w:rPr>
          <w:u w:val="single"/>
        </w:rPr>
        <w:t xml:space="preserve">Supreme Court’s decision in Chevron U.S.A. Inc. v. Natural Resources Defense Council, Inc., </w:t>
      </w:r>
      <w:r w:rsidRPr="008E39C1">
        <w:t>many in the judiciary and the academy have questioned its compatibility with our Constitution’s separation of powers and the Administrative Procedure Act. Chief Justice Roberts and Justice Alito have objected to what they see as excessive Chevron deference, relying on Chief Justice Marshall’s axiom that “[i]t is emphatically the province and duty of the judicial department to say what the law is.” Before joining the Supreme Court, then-</w:t>
      </w:r>
      <w:r w:rsidRPr="008E39C1">
        <w:rPr>
          <w:u w:val="single"/>
        </w:rPr>
        <w:t>Judge Gorsuch expressed serious doubts about Chevron deference altogether</w:t>
      </w:r>
      <w:r w:rsidRPr="008E39C1">
        <w:t>.</w:t>
      </w:r>
      <w:r w:rsidRPr="008E39C1">
        <w:rPr>
          <w:u w:val="single"/>
        </w:rPr>
        <w:t xml:space="preserve">Yet, Chevron deference in federal courts </w:t>
      </w:r>
      <w:r w:rsidRPr="008E39C1">
        <w:rPr>
          <w:rStyle w:val="Emphasis"/>
        </w:rPr>
        <w:t>is still alive</w:t>
      </w:r>
      <w:r w:rsidRPr="008E39C1">
        <w:t>, though it is uncertain for how long. Aside from federal law</w:t>
      </w:r>
      <w:r w:rsidRPr="008E39C1">
        <w:rPr>
          <w:u w:val="single"/>
        </w:rPr>
        <w:t>, there has been a recent surge in states abandoning their own standards of judicial deference to administrative agencies’ interpretations of statutes.</w:t>
      </w:r>
      <w:r w:rsidRPr="008E39C1">
        <w:t xml:space="preserve"> In 2018 alone, four states relinquished their past deference doctrines and instituted de novo review in questions of statutory interpretation, even where agencies are involved in cases. </w:t>
      </w:r>
      <w:r w:rsidRPr="008E39C1">
        <w:rPr>
          <w:u w:val="single"/>
        </w:rPr>
        <w:t>The Mississippi Supreme Court unanimously decided to no longer grant agencies any level of deference, turning to review of agency interpretations de novo as a matter of law</w:t>
      </w:r>
      <w:r w:rsidRPr="008E39C1">
        <w:t xml:space="preserve">. Over vigorous dissent, the </w:t>
      </w:r>
      <w:r w:rsidRPr="008E39C1">
        <w:rPr>
          <w:u w:val="single"/>
        </w:rPr>
        <w:t>Wisconsin Supreme Court</w:t>
      </w:r>
      <w:r w:rsidRPr="008E39C1">
        <w:t xml:space="preserve"> </w:t>
      </w:r>
      <w:r w:rsidRPr="008E39C1">
        <w:rPr>
          <w:u w:val="single"/>
        </w:rPr>
        <w:t>ended</w:t>
      </w:r>
      <w:r w:rsidRPr="008E39C1">
        <w:t xml:space="preserve"> its “</w:t>
      </w:r>
      <w:r w:rsidRPr="008E39C1">
        <w:rPr>
          <w:u w:val="single"/>
        </w:rPr>
        <w:t>practice of deferring to administrative agencies’ conclusions of law</w:t>
      </w:r>
      <w:r w:rsidRPr="008E39C1">
        <w:t xml:space="preserve">,” by redefining its doctrine of “due weight” deference and eliminating entirely its “great weight” deference regime. </w:t>
      </w:r>
      <w:r w:rsidRPr="008E39C1">
        <w:rPr>
          <w:u w:val="single"/>
        </w:rPr>
        <w:t>In Florida, voters approved a state constitutional Amendment (“Amendment 6”) which, among other things, eliminated the deference given to administrative agencies in interpreting statutes or rules</w:t>
      </w:r>
      <w:r w:rsidRPr="008E39C1">
        <w:t xml:space="preserve">. Judicial officers in Florida are now required to interpret such statutes and rules de novo. </w:t>
      </w:r>
      <w:r w:rsidRPr="008E39C1">
        <w:rPr>
          <w:u w:val="single"/>
        </w:rPr>
        <w:t>And in Arizona, the legislature enacted a law establishing de novo review of interpretations of state statutes by state agencies</w:t>
      </w:r>
      <w:r w:rsidRPr="008E39C1">
        <w:t>. This Comment surveys all fifty states’ and the District of Columbia’s levels of deference to state administrative agencies’ interpretations of state statutes. In this endeavor, this Comment principally analyzes state appellate court decisions, but also state constitutions and state statutes when they are used to explicate the various doctrines in the states. The goal of this Comment is to provide a total picture of all the levels of deference across the United States.</w:t>
      </w:r>
    </w:p>
    <w:p w14:paraId="0F3EB771" w14:textId="77777777" w:rsidR="00CC2CC5" w:rsidRDefault="00CC2CC5" w:rsidP="00CC2CC5">
      <w:pPr>
        <w:pStyle w:val="Heading4"/>
      </w:pPr>
      <w:r>
        <w:t>Chevron will be upheld now</w:t>
      </w:r>
    </w:p>
    <w:p w14:paraId="74102431" w14:textId="77777777" w:rsidR="00CC2CC5" w:rsidRPr="003A437E" w:rsidRDefault="00CC2CC5" w:rsidP="00CC2CC5">
      <w:r>
        <w:rPr>
          <w:rStyle w:val="Style13ptBold"/>
        </w:rPr>
        <w:t xml:space="preserve">Brannon and Cole 18 </w:t>
      </w:r>
      <w:r w:rsidRPr="00A4280F">
        <w:t>(</w:t>
      </w:r>
      <w:r>
        <w:t xml:space="preserve">Valerie C. Brannon, Legislative attorney, Jared P. Cole, Legislative Attorney, “Deference and its Discontents: Will the Supreme Court Overrule Chevron?” 10/11/18, </w:t>
      </w:r>
      <w:hyperlink r:id="rId32" w:history="1">
        <w:r w:rsidRPr="006014A2">
          <w:rPr>
            <w:rStyle w:val="Hyperlink"/>
          </w:rPr>
          <w:t>https://fas.org/sgp/crs/misc/LSB10204.pdf</w:t>
        </w:r>
      </w:hyperlink>
      <w:r>
        <w:t>)</w:t>
      </w:r>
    </w:p>
    <w:p w14:paraId="2A496A35" w14:textId="77777777" w:rsidR="00CC2CC5" w:rsidRPr="00657164" w:rsidRDefault="00CC2CC5" w:rsidP="00CC2CC5">
      <w:pPr>
        <w:rPr>
          <w:sz w:val="16"/>
        </w:rPr>
      </w:pPr>
      <w:r w:rsidRPr="00657164">
        <w:rPr>
          <w:sz w:val="16"/>
        </w:rPr>
        <w:t xml:space="preserve">Nevertheless, </w:t>
      </w:r>
      <w:r w:rsidRPr="00657164">
        <w:rPr>
          <w:rStyle w:val="StyleUnderline"/>
        </w:rPr>
        <w:t>it is unclear whether there is a majority willing to overturn or expressly limit Chevron</w:t>
      </w:r>
      <w:r w:rsidRPr="00657164">
        <w:rPr>
          <w:sz w:val="16"/>
        </w:rPr>
        <w:t xml:space="preserve">—or even create the four-justice plurality necessary to grant certiorari. As discussed above, Justices Thomas and Gorsuch have expressed broad and seemingly fundamental concerns about the Chevron framework, suggesting they might be willing to overrule the case entirely. Justice </w:t>
      </w:r>
      <w:r w:rsidRPr="00657164">
        <w:rPr>
          <w:rStyle w:val="StyleUnderline"/>
          <w:highlight w:val="cyan"/>
        </w:rPr>
        <w:t>Kavanaugh</w:t>
      </w:r>
      <w:r w:rsidRPr="00657164">
        <w:rPr>
          <w:sz w:val="16"/>
        </w:rPr>
        <w:t xml:space="preserve"> might provide a third vote to sharply limit Chevron—although, as mentioned, he </w:t>
      </w:r>
      <w:r w:rsidRPr="00657164">
        <w:rPr>
          <w:rStyle w:val="StyleUnderline"/>
        </w:rPr>
        <w:t xml:space="preserve">has </w:t>
      </w:r>
      <w:r w:rsidRPr="00657164">
        <w:rPr>
          <w:rStyle w:val="StyleUnderline"/>
          <w:highlight w:val="cyan"/>
        </w:rPr>
        <w:t>stated</w:t>
      </w:r>
      <w:r w:rsidRPr="00657164">
        <w:rPr>
          <w:rStyle w:val="StyleUnderline"/>
        </w:rPr>
        <w:t xml:space="preserve"> that </w:t>
      </w:r>
      <w:r w:rsidRPr="00657164">
        <w:rPr>
          <w:rStyle w:val="StyleUnderline"/>
          <w:highlight w:val="cyan"/>
        </w:rPr>
        <w:t>Chevron</w:t>
      </w:r>
      <w:r w:rsidRPr="00657164">
        <w:rPr>
          <w:rStyle w:val="StyleUnderline"/>
        </w:rPr>
        <w:t xml:space="preserve"> deference “</w:t>
      </w:r>
      <w:r w:rsidRPr="00657164">
        <w:rPr>
          <w:rStyle w:val="StyleUnderline"/>
          <w:highlight w:val="cyan"/>
        </w:rPr>
        <w:t>makes a lot of sense</w:t>
      </w:r>
      <w:r w:rsidRPr="00657164">
        <w:rPr>
          <w:rStyle w:val="StyleUnderline"/>
        </w:rPr>
        <w:t xml:space="preserve"> in certain circumstances,”</w:t>
      </w:r>
      <w:r w:rsidRPr="00657164">
        <w:rPr>
          <w:sz w:val="16"/>
        </w:rPr>
        <w:t xml:space="preserve"> particularly when Congress uses words like “reasonable” that, in his view, more clearly impart policymaking discretion to agencies. Some have speculated that Chief Justice John </w:t>
      </w:r>
      <w:r w:rsidRPr="00657164">
        <w:rPr>
          <w:rStyle w:val="StyleUnderline"/>
        </w:rPr>
        <w:t>Roberts or</w:t>
      </w:r>
      <w:r w:rsidRPr="00657164">
        <w:rPr>
          <w:sz w:val="16"/>
        </w:rPr>
        <w:t xml:space="preserve"> Justice Samuel </w:t>
      </w:r>
      <w:r w:rsidRPr="00657164">
        <w:rPr>
          <w:rStyle w:val="StyleUnderline"/>
        </w:rPr>
        <w:t xml:space="preserve">Alito </w:t>
      </w:r>
      <w:r w:rsidRPr="00657164">
        <w:rPr>
          <w:sz w:val="16"/>
        </w:rPr>
        <w:t xml:space="preserve">might provide additional votes to either strictly limit or overrule Chevron. However, </w:t>
      </w:r>
      <w:r w:rsidRPr="00657164">
        <w:rPr>
          <w:rStyle w:val="StyleUnderline"/>
        </w:rPr>
        <w:t>neither has expressed clear opposition to the Chevron framework as a whole</w:t>
      </w:r>
      <w:r w:rsidRPr="00657164">
        <w:rPr>
          <w:sz w:val="16"/>
        </w:rPr>
        <w:t xml:space="preserve">. Other commentators have argued that, based on their past statements, these two justices may be more willing to narrow than overrule Chevron. Both have, in the past, opposed applying the Chevron framework of review to so-called jurisdictional questions, when an agency is interpreting whether it has authority to regulate. And as noted above, Chief Justice Roberts declined to apply the Chevron framework in King v. Burwell because of the significance of the question presented in the case. Additionally, in a 2017 speech, Justice Alito (seemingly unfavorably) described the result of Chevron deference as “a massive shift of lawmaking from the elected representatives of the people to unelected bureaucrats.” Finally, some have argued that Justice Stephen Breyer might also support narrowing Chevron’s scope— albeit under a distinct theory. Justice </w:t>
      </w:r>
      <w:r w:rsidRPr="00657164">
        <w:rPr>
          <w:rStyle w:val="StyleUnderline"/>
          <w:highlight w:val="cyan"/>
        </w:rPr>
        <w:t>Breyer</w:t>
      </w:r>
      <w:r w:rsidRPr="00657164">
        <w:rPr>
          <w:rStyle w:val="StyleUnderline"/>
        </w:rPr>
        <w:t xml:space="preserve"> has long argued that courts should employ a multifactor inquiry</w:t>
      </w:r>
      <w:r w:rsidRPr="00657164">
        <w:rPr>
          <w:sz w:val="16"/>
        </w:rPr>
        <w:t xml:space="preserve"> when determining whether an agency interpretation is entitled to deference. He seemed to reassert this view of Chevron this past term in a dissenting opinion in SAS Institute v. Iancu. In that dissent, Justice Breyer emphasized that courts should not treat Chevron “like a rigid, black-letter rule of law, instructing them always to allow agencies leeway to fill every gap in every statutory provision.” Instead</w:t>
      </w:r>
      <w:r w:rsidRPr="00657164">
        <w:rPr>
          <w:rStyle w:val="StyleUnderline"/>
        </w:rPr>
        <w:t xml:space="preserve">, he </w:t>
      </w:r>
      <w:r w:rsidRPr="00657164">
        <w:rPr>
          <w:rStyle w:val="StyleUnderline"/>
          <w:highlight w:val="cyan"/>
        </w:rPr>
        <w:t>said, Chevron is “a rule of thumb</w:t>
      </w:r>
      <w:r w:rsidRPr="00657164">
        <w:rPr>
          <w:rStyle w:val="StyleUnderline"/>
        </w:rPr>
        <w:t>, guiding courts in an effort to respect that leeway which Congress intended the agencies to have.</w:t>
      </w:r>
      <w:r w:rsidRPr="00657164">
        <w:rPr>
          <w:sz w:val="16"/>
        </w:rPr>
        <w:t xml:space="preserve">” To determine whether the disputed agency interpretation was entitled to deference under Chevron, he then asked not whether the statute was clear or ambiguous, but instead looked to the “statute’s complexity, the vast number of claims that it engenders, and the consequent need for agency expertise and administrative experience.” At least one law review article has suggested that </w:t>
      </w:r>
      <w:r w:rsidRPr="00657164">
        <w:rPr>
          <w:rStyle w:val="StyleUnderline"/>
        </w:rPr>
        <w:t>the Supreme Court may want to retain Chevron as a doctrine governing the lower courts—even if the High Court does not</w:t>
      </w:r>
      <w:r w:rsidRPr="00657164">
        <w:rPr>
          <w:sz w:val="16"/>
        </w:rPr>
        <w:t xml:space="preserve">, in practice, </w:t>
      </w:r>
      <w:r w:rsidRPr="00657164">
        <w:rPr>
          <w:rStyle w:val="StyleUnderline"/>
        </w:rPr>
        <w:t>strictly follow the doctrine itself.</w:t>
      </w:r>
      <w:r w:rsidRPr="00657164">
        <w:rPr>
          <w:sz w:val="16"/>
        </w:rPr>
        <w:t xml:space="preserve"> This theory, too, suggests that </w:t>
      </w:r>
      <w:r w:rsidRPr="00657164">
        <w:rPr>
          <w:rStyle w:val="StyleUnderline"/>
          <w:highlight w:val="cyan"/>
        </w:rPr>
        <w:t>the Court</w:t>
      </w:r>
      <w:r w:rsidRPr="00657164">
        <w:rPr>
          <w:rStyle w:val="StyleUnderline"/>
        </w:rPr>
        <w:t xml:space="preserve"> </w:t>
      </w:r>
      <w:r w:rsidRPr="00657164">
        <w:rPr>
          <w:rStyle w:val="StyleUnderline"/>
          <w:highlight w:val="cyan"/>
        </w:rPr>
        <w:t>might be unlikely to overrule Chevron</w:t>
      </w:r>
      <w:r w:rsidRPr="00657164">
        <w:rPr>
          <w:sz w:val="16"/>
        </w:rPr>
        <w:t xml:space="preserve">, even if the Court narrows its application. Looking to the current term, which started at the beginning of October 2018, </w:t>
      </w:r>
      <w:r w:rsidRPr="00657164">
        <w:rPr>
          <w:rStyle w:val="StyleUnderline"/>
          <w:highlight w:val="cyan"/>
        </w:rPr>
        <w:t>the</w:t>
      </w:r>
      <w:r w:rsidRPr="00657164">
        <w:rPr>
          <w:rStyle w:val="StyleUnderline"/>
        </w:rPr>
        <w:t xml:space="preserve"> Supreme </w:t>
      </w:r>
      <w:r w:rsidRPr="00657164">
        <w:rPr>
          <w:rStyle w:val="StyleUnderline"/>
          <w:highlight w:val="cyan"/>
        </w:rPr>
        <w:t>Court has yet to</w:t>
      </w:r>
      <w:r w:rsidRPr="00657164">
        <w:rPr>
          <w:rStyle w:val="StyleUnderline"/>
        </w:rPr>
        <w:t xml:space="preserve"> agree to </w:t>
      </w:r>
      <w:r w:rsidRPr="00657164">
        <w:rPr>
          <w:rStyle w:val="StyleUnderline"/>
          <w:highlight w:val="cyan"/>
        </w:rPr>
        <w:t>hear any cases expressly</w:t>
      </w:r>
      <w:r w:rsidRPr="00657164">
        <w:rPr>
          <w:rStyle w:val="StyleUnderline"/>
        </w:rPr>
        <w:t xml:space="preserve"> </w:t>
      </w:r>
      <w:r w:rsidRPr="00657164">
        <w:rPr>
          <w:rStyle w:val="StyleUnderline"/>
          <w:highlight w:val="cyan"/>
        </w:rPr>
        <w:t>challenging Chevron</w:t>
      </w:r>
      <w:r w:rsidRPr="00657164">
        <w:rPr>
          <w:rStyle w:val="StyleUnderline"/>
        </w:rPr>
        <w:t xml:space="preserve"> or other Court rulings governing judicial deference to agency action.</w:t>
      </w:r>
      <w:r w:rsidRPr="00657164">
        <w:rPr>
          <w:sz w:val="16"/>
        </w:rPr>
        <w:t xml:space="preserve"> The Court could, however, still add cases to its docket that present the issue. There are at least two pending petitions for certiorari that may present the Court with the opportunity to further clarify the proper scope of Chevron deference, both of which have been set for consideration at the October 26 conference. Further, as suggested at the outset, the Court has agreed to hear some cases that implicate doctrines of agency deference, even if the parties in those cases do not challenge the general validity of those doctrines. During its October sitting, the Court has heard oral argument on two cases in which the lower court had applied the Chevron framework of review. First, </w:t>
      </w:r>
      <w:r w:rsidRPr="00657164">
        <w:rPr>
          <w:rStyle w:val="StyleUnderline"/>
        </w:rPr>
        <w:t>in Weyerhaeuser Co. v. U.S. Fish and Wildlife Service</w:t>
      </w:r>
      <w:r w:rsidRPr="00657164">
        <w:rPr>
          <w:sz w:val="16"/>
        </w:rPr>
        <w:t xml:space="preserve">, the High Court is asked to review a decision by the U.S. Court of Appeals for the Fifth Circuit, which concluded that it was appropriate to defer to the Fish and Wildlife Service’s interpretation of the Endangered Species Act—an interpretation that allowed the Service to designate a certain area as a critical habitat for the dusky gopher frog. Agency deference concepts, however, did not come up during oral argument, although observers noted that the Court was engaged in significant debate over the proper interpretation of the relevant statutory provision. Second, in </w:t>
      </w:r>
      <w:r w:rsidRPr="00657164">
        <w:rPr>
          <w:rStyle w:val="StyleUnderline"/>
        </w:rPr>
        <w:t>Nielsen v. Preap</w:t>
      </w:r>
      <w:r w:rsidRPr="00657164">
        <w:rPr>
          <w:sz w:val="16"/>
        </w:rPr>
        <w:t xml:space="preserve">, the High Court is reviewing a decision by the U.S. Court of Appeals for the Ninth Circuit on whether to defer under Chevron to the Department of Homeland Security’s interpretation of a provision of the Immigration and Nationality Act. The Ninth Circuit noted that two other federal courts of appeals had deferred under Chevron to the agency’s interpretation, but ultimately concluded that the statute was unambiguous, ending its own Chevron analysis at Step One. </w:t>
      </w:r>
      <w:r w:rsidRPr="00657164">
        <w:rPr>
          <w:rStyle w:val="StyleUnderline"/>
        </w:rPr>
        <w:t>Although the parties’ briefs had discussed Chevron, the case was not mentioned by name</w:t>
      </w:r>
      <w:r w:rsidRPr="00657164">
        <w:rPr>
          <w:sz w:val="16"/>
        </w:rPr>
        <w:t xml:space="preserve"> during oral argument before the Supreme Court. The concept of agency deference came up only in passing, when counsel for the parties challenging the agency’s interpretation mentioned that some courts had deferred to the agency’s reading. While any prediction of the Court’s decisions would be premature at this time, the </w:t>
      </w:r>
      <w:r w:rsidRPr="00657164">
        <w:rPr>
          <w:rStyle w:val="StyleUnderline"/>
        </w:rPr>
        <w:t xml:space="preserve">fact that the Justices used oral argument to explore statutory meaning, absent any discussion of Chevron deference, may suggest that the Court will continue its recent tendency to find clear meaning in statutes </w:t>
      </w:r>
      <w:r w:rsidRPr="00657164">
        <w:rPr>
          <w:sz w:val="16"/>
        </w:rPr>
        <w:t>and resolve cases at Chevron’s first step, rather than deferring to an agency’s interpretation.</w:t>
      </w:r>
    </w:p>
    <w:p w14:paraId="5D7C3736" w14:textId="77777777" w:rsidR="00CC2CC5" w:rsidRDefault="00CC2CC5" w:rsidP="00CC2CC5"/>
    <w:p w14:paraId="015F0928" w14:textId="77777777" w:rsidR="00CC2CC5" w:rsidRPr="008834DA" w:rsidRDefault="00CC2CC5" w:rsidP="00CC2CC5">
      <w:pPr>
        <w:pStyle w:val="Heading4"/>
      </w:pPr>
      <w:r w:rsidRPr="008834DA">
        <w:t>Recent trends against executive interpretation are not because Chevron is dead – Trump was just indefensible</w:t>
      </w:r>
    </w:p>
    <w:p w14:paraId="35EF04A5" w14:textId="77777777" w:rsidR="00CC2CC5" w:rsidRPr="008834DA" w:rsidRDefault="00CC2CC5" w:rsidP="00CC2CC5">
      <w:r w:rsidRPr="008834DA">
        <w:rPr>
          <w:rStyle w:val="Style13ptBold"/>
        </w:rPr>
        <w:t xml:space="preserve">Noll 20 </w:t>
      </w:r>
      <w:r w:rsidRPr="008834DA">
        <w:t>– Bethany A. Davis Noll. Litigation Director, Institute for Policy Integrity. ““Tired of Winning”: Judicial Review of Regulatory Policy in the Trump Era.” Administrative Law Review, Forthcoming. https://policyintegrity.org/documents/Davis_Noll_-_Tired_of_Winning_Oct_28.pdf WMK</w:t>
      </w:r>
    </w:p>
    <w:p w14:paraId="2D9201DD" w14:textId="77777777" w:rsidR="00CC2CC5" w:rsidRPr="003E712B" w:rsidRDefault="00CC2CC5" w:rsidP="00CC2CC5">
      <w:pPr>
        <w:rPr>
          <w:b/>
          <w:u w:val="single"/>
        </w:rPr>
      </w:pPr>
      <w:r w:rsidRPr="008834DA">
        <w:rPr>
          <w:rStyle w:val="StyleUnderline"/>
        </w:rPr>
        <w:t>Another theme that has been floated to explain the Trump</w:t>
      </w:r>
      <w:r w:rsidRPr="008834DA">
        <w:rPr>
          <w:sz w:val="16"/>
        </w:rPr>
        <w:t xml:space="preserve"> administration’s </w:t>
      </w:r>
      <w:r w:rsidRPr="008834DA">
        <w:rPr>
          <w:rStyle w:val="StyleUnderline"/>
        </w:rPr>
        <w:t xml:space="preserve">losses in court has been </w:t>
      </w:r>
      <w:r w:rsidRPr="008834DA">
        <w:rPr>
          <w:sz w:val="16"/>
        </w:rPr>
        <w:t>that “</w:t>
      </w:r>
      <w:r w:rsidRPr="008834DA">
        <w:rPr>
          <w:rStyle w:val="StyleUnderline"/>
        </w:rPr>
        <w:t>liberal activist judges</w:t>
      </w:r>
      <w:r w:rsidRPr="008834DA">
        <w:rPr>
          <w:sz w:val="16"/>
        </w:rPr>
        <w:t xml:space="preserve">” </w:t>
      </w:r>
      <w:r w:rsidRPr="008834DA">
        <w:rPr>
          <w:rStyle w:val="StyleUnderline"/>
        </w:rPr>
        <w:t>are to blame</w:t>
      </w:r>
      <w:r w:rsidRPr="008834DA">
        <w:rPr>
          <w:sz w:val="16"/>
        </w:rPr>
        <w:t xml:space="preserve">.236 Past studies have consistently found that judicial partisan affiliation has a significant impact on case outcomes in judicial review over agency decisions.237 For court of appeals decisions, scholars have also found that voting is significantly affected by the ideology of the other judges on a panel and that “in fact, the party affiliation of the other judges on the panel has a greater bearing on a judge’s vote than his or her own affiliation.”238 Thus, </w:t>
      </w:r>
      <w:r w:rsidRPr="008834DA">
        <w:rPr>
          <w:rStyle w:val="StyleUnderline"/>
        </w:rPr>
        <w:t>the study set out to measure the rates at which Democratic-appointed judges and Republican-appointed judges ruled for the Trump-era agencies.</w:t>
      </w:r>
      <w:r w:rsidRPr="008834DA">
        <w:rPr>
          <w:sz w:val="16"/>
        </w:rPr>
        <w:t xml:space="preserve"> The study uses the affiliation of the President who nominated the judge as a proxy for the ideology of the reviewing judge.239 If the decision was issued by a panel of judges, the study assigns ideology according to the political party affiliation of the nominating president for the majority of the judges on the panel.240 </w:t>
      </w:r>
      <w:r w:rsidRPr="008834DA">
        <w:rPr>
          <w:rStyle w:val="StyleUnderline"/>
        </w:rPr>
        <w:t>The results show that the standard expectation that agencies will win in front of a partisan-affiliated judge</w:t>
      </w:r>
      <w:r w:rsidRPr="008834DA">
        <w:rPr>
          <w:sz w:val="16"/>
        </w:rPr>
        <w:t xml:space="preserve"> </w:t>
      </w:r>
      <w:r w:rsidRPr="008834DA">
        <w:rPr>
          <w:rStyle w:val="Emphasis"/>
        </w:rPr>
        <w:t>has not held</w:t>
      </w:r>
      <w:r w:rsidRPr="008834DA">
        <w:rPr>
          <w:sz w:val="16"/>
        </w:rPr>
        <w:t xml:space="preserve">. Prior studies showed a high agency validation rate when the agency decision matches the judge’s partisan affiliation: more than 70% in one study finding an overall validation rate of 64%,241 more than 80% in another study242 and 68% in yet another study.243 But </w:t>
      </w:r>
      <w:r w:rsidRPr="008834DA">
        <w:rPr>
          <w:rStyle w:val="StyleUnderline"/>
        </w:rPr>
        <w:t>with the Trump administration</w:t>
      </w:r>
      <w:r w:rsidRPr="008834DA">
        <w:rPr>
          <w:sz w:val="16"/>
        </w:rPr>
        <w:t xml:space="preserve">, that </w:t>
      </w:r>
      <w:r w:rsidRPr="008834DA">
        <w:rPr>
          <w:rStyle w:val="Emphasis"/>
        </w:rPr>
        <w:t>validation rate has been much lower:</w:t>
      </w:r>
      <w:r w:rsidRPr="008834DA">
        <w:rPr>
          <w:sz w:val="16"/>
        </w:rPr>
        <w:t xml:space="preserve"> </w:t>
      </w:r>
      <w:r w:rsidRPr="008834DA">
        <w:rPr>
          <w:rStyle w:val="StyleUnderline"/>
        </w:rPr>
        <w:t>36%.</w:t>
      </w:r>
      <w:r w:rsidRPr="008834DA">
        <w:rPr>
          <w:sz w:val="16"/>
        </w:rPr>
        <w:t xml:space="preserve"> </w:t>
      </w:r>
      <w:r w:rsidRPr="008834DA">
        <w:rPr>
          <w:rStyle w:val="Emphasis"/>
        </w:rPr>
        <w:t>No study has ever found that the administration loses at this high of a rate in front of judges that are partisan-aligned with the president.</w:t>
      </w:r>
      <w:r w:rsidRPr="008834DA">
        <w:rPr>
          <w:sz w:val="16"/>
        </w:rPr>
        <w:t xml:space="preserve"> &lt;Figure 5 removed&gt; To be sure, the Trump-era data show that there is a disparity between the win-rate for agencies in front of Democratic-appointed judges and Republicanappointed judges (or majority Democratic appointed and majority Republicanappointed judges when it is a panel decision). The Trump administration has a win rate of 10% in front of Democratic-appointed judges and a win rate of 36% in front of Republican-appointed judges. Other studies have found that a similar difference in win rates in front of Democratic or Republican-appointed judges supports a conclusion that judicial ideology has an impact on the results. For example, a 2004 study found that judges were expected to validate the agency action 68% of the time “when the agency’s policy position is consistent with the judge’s own partisan preferences.”245 In contrast, absent such policy convergence, judicial deference was expected in only 32% of cases.246 In a study looking at the application of Chevron, Miles and Sunstein found that when faced with a “liberal” agency decision, “the validation rates of Democratic appointees [were] almost 23 percentage points higher, and those of Republican appointees [were] more than 10 percentage points lower.”247 But </w:t>
      </w:r>
      <w:r w:rsidRPr="008834DA">
        <w:rPr>
          <w:rStyle w:val="StyleUnderline"/>
        </w:rPr>
        <w:t>none of those studies found such a low win rate for a president’s policies in front of partisan-aligned judges.</w:t>
      </w:r>
      <w:r w:rsidRPr="008834DA">
        <w:rPr>
          <w:sz w:val="16"/>
        </w:rPr>
        <w:t xml:space="preserve"> </w:t>
      </w:r>
      <w:r w:rsidRPr="008834DA">
        <w:rPr>
          <w:rStyle w:val="StyleUnderline"/>
        </w:rPr>
        <w:t>A more granular look at the cases also shows another resul</w:t>
      </w:r>
      <w:r w:rsidRPr="008834DA">
        <w:rPr>
          <w:sz w:val="16"/>
        </w:rPr>
        <w:t>t</w:t>
      </w:r>
      <w:r w:rsidRPr="008834DA">
        <w:rPr>
          <w:rStyle w:val="StyleUnderline"/>
        </w:rPr>
        <w:t>. In cases involving statutory interpretation claims, Republican-appointed judges ruled for the administration</w:t>
      </w:r>
      <w:r w:rsidRPr="008834DA">
        <w:rPr>
          <w:sz w:val="16"/>
        </w:rPr>
        <w:t xml:space="preserve"> </w:t>
      </w:r>
      <w:r w:rsidRPr="008834DA">
        <w:rPr>
          <w:rStyle w:val="Emphasis"/>
        </w:rPr>
        <w:t xml:space="preserve">less than half of the time </w:t>
      </w:r>
      <w:r w:rsidRPr="008834DA">
        <w:rPr>
          <w:sz w:val="16"/>
        </w:rPr>
        <w:t xml:space="preserve">(46%). Democratic-appointed judges ruled for the administration on statutory claims 9% of the time. And in cases involving reasoned explanation claims, Republican-appointed judges ruled for the administration 41% of the time. Democratic-appointed judges ruled for the administration 13.8% of the time. There is still a stark difference on both fronts of course. But </w:t>
      </w:r>
      <w:r w:rsidRPr="008834DA">
        <w:rPr>
          <w:rStyle w:val="StyleUnderline"/>
        </w:rPr>
        <w:t xml:space="preserve">regardless of partisan leaning of the judge, </w:t>
      </w:r>
      <w:r w:rsidRPr="008834DA">
        <w:rPr>
          <w:rStyle w:val="Emphasis"/>
        </w:rPr>
        <w:t>under any of these circumstances, the Trump administration loses at rates far above the traditional average</w:t>
      </w:r>
      <w:r w:rsidRPr="008834DA">
        <w:rPr>
          <w:sz w:val="16"/>
        </w:rPr>
        <w:t xml:space="preserve">. Of course, President </w:t>
      </w:r>
      <w:r w:rsidRPr="008834DA">
        <w:rPr>
          <w:rStyle w:val="StyleUnderline"/>
        </w:rPr>
        <w:t>Trump</w:t>
      </w:r>
      <w:r w:rsidRPr="008834DA">
        <w:rPr>
          <w:sz w:val="16"/>
        </w:rPr>
        <w:t xml:space="preserve"> has </w:t>
      </w:r>
      <w:r w:rsidRPr="008834DA">
        <w:rPr>
          <w:rStyle w:val="StyleUnderline"/>
        </w:rPr>
        <w:t>recently hit a milestone in the appointment of 200 federal judges</w:t>
      </w:r>
      <w:r w:rsidRPr="008834DA">
        <w:rPr>
          <w:sz w:val="16"/>
        </w:rPr>
        <w:t xml:space="preserve">.248 The President filled appellate court vacancies at an unprecedented speed249 and has now filled three Supreme Court seats.250 </w:t>
      </w:r>
      <w:r w:rsidRPr="008834DA">
        <w:rPr>
          <w:rStyle w:val="StyleUnderline"/>
        </w:rPr>
        <w:t>Observers have wondered if all of the Trump-era judicial appointments would make a difference</w:t>
      </w:r>
      <w:r w:rsidRPr="008834DA">
        <w:rPr>
          <w:sz w:val="16"/>
        </w:rPr>
        <w:t xml:space="preserve">, </w:t>
      </w:r>
      <w:r w:rsidRPr="008834DA">
        <w:rPr>
          <w:rStyle w:val="StyleUnderline"/>
        </w:rPr>
        <w:t>theorizing</w:t>
      </w:r>
      <w:r w:rsidRPr="008834DA">
        <w:rPr>
          <w:sz w:val="16"/>
        </w:rPr>
        <w:t xml:space="preserve"> that “</w:t>
      </w:r>
      <w:r w:rsidRPr="008834DA">
        <w:rPr>
          <w:rStyle w:val="StyleUnderline"/>
        </w:rPr>
        <w:t>empowered conservatives could uphold almost anything from a Trump agency as lawful</w:t>
      </w:r>
      <w:r w:rsidRPr="008834DA">
        <w:rPr>
          <w:sz w:val="16"/>
        </w:rPr>
        <w:t xml:space="preserve">.”251 And indeed in filling these vacancies, the Trump administration has continued with some of the trends scholars pointed to as evidence that the rule of law is at risk. For example, President Trump is one of the only presidents since President Eisenhower to exclude the American Bar Association from the selection process (President George W. Bush being the only other one to do so), relying instead on lists of prospective nominees furnished by the Federalist Society and the Heritage Foundation.252 The Senate majority has similarly disregarded traditions of judicial confirmation, deviating from typical procedures in both the “100-yearold practice for blue slips—which permit Judiciary Committee hearings only when senators proffer slips”—and panel hearings.253 For these reasons, scholars believe that the Trump administration has failed to fulfill “the constitutional responsibilities to nominate and confirm excellent jurists.”254 This trend may have serious implications.255 Trump’s nominees are largely chosen based on a “demonstrated commitment to the conservative legal movement,”256 and they “proudly tout their loyalty to the conservative agenda.”257 Scholars have found that President Trump has “implemented only nominal efforts to pursue, identify and seat ethnic minorities or lesbian, gay, bisexual, transgender or queer (LGBTQ) judicial prospects.”258 And have argued that the nominees “demonstrate hostility toward reproductive rights, racial justice, health care, disability rights, immigrant rights, rights of working people, voting rights, LGBTQ equality rights, and environmental protections.”259 </w:t>
      </w:r>
      <w:r w:rsidRPr="008834DA">
        <w:rPr>
          <w:rStyle w:val="StyleUnderline"/>
        </w:rPr>
        <w:t>These judges’ rulings could have a marked impact on the future of these issues.</w:t>
      </w:r>
      <w:r w:rsidRPr="008834DA">
        <w:rPr>
          <w:sz w:val="16"/>
        </w:rPr>
        <w:t xml:space="preserve"> Carl Tobias asserts that ultimately Trump’s efforts to fill the courts with a specific brand of conservative judges could “undermine judicial independence, separation of powers, checks and balances, the rule of law and democracy, make the judiciary appear beholden to, or captured by, one party or another government branch, and “undercut public respect for the judiciary, the President, the Senate, and the selection process.”260 </w:t>
      </w:r>
      <w:r w:rsidRPr="008834DA">
        <w:rPr>
          <w:rStyle w:val="StyleUnderline"/>
        </w:rPr>
        <w:t>But at current count</w:t>
      </w:r>
      <w:r w:rsidRPr="008834DA">
        <w:rPr>
          <w:sz w:val="16"/>
        </w:rPr>
        <w:t xml:space="preserve">, </w:t>
      </w:r>
      <w:r w:rsidRPr="008834DA">
        <w:rPr>
          <w:rStyle w:val="Emphasis"/>
        </w:rPr>
        <w:t xml:space="preserve">agencies are not winning cases even when there are Trump-appointees on the panel or assigned to the case. </w:t>
      </w:r>
      <w:r w:rsidRPr="008834DA">
        <w:rPr>
          <w:rStyle w:val="StyleUnderline"/>
        </w:rPr>
        <w:t xml:space="preserve">Out of all the cases where either the district court judge was appointed by </w:t>
      </w:r>
      <w:r w:rsidRPr="008834DA">
        <w:rPr>
          <w:sz w:val="16"/>
        </w:rPr>
        <w:t xml:space="preserve">President </w:t>
      </w:r>
      <w:r w:rsidRPr="008834DA">
        <w:rPr>
          <w:rStyle w:val="StyleUnderline"/>
        </w:rPr>
        <w:t>Trump or at least one of the panel members</w:t>
      </w:r>
      <w:r w:rsidRPr="008834DA">
        <w:rPr>
          <w:sz w:val="16"/>
        </w:rPr>
        <w:t xml:space="preserve"> on a higher court </w:t>
      </w:r>
      <w:r w:rsidRPr="008834DA">
        <w:rPr>
          <w:rStyle w:val="StyleUnderline"/>
        </w:rPr>
        <w:t>was</w:t>
      </w:r>
      <w:r w:rsidRPr="008834DA">
        <w:rPr>
          <w:sz w:val="16"/>
        </w:rPr>
        <w:t xml:space="preserve"> appointed by Trump, </w:t>
      </w:r>
      <w:r w:rsidRPr="008834DA">
        <w:rPr>
          <w:rStyle w:val="StyleUnderline"/>
        </w:rPr>
        <w:t>agencies</w:t>
      </w:r>
      <w:r w:rsidRPr="008834DA">
        <w:rPr>
          <w:sz w:val="16"/>
        </w:rPr>
        <w:t xml:space="preserve"> </w:t>
      </w:r>
      <w:r w:rsidRPr="008834DA">
        <w:rPr>
          <w:rStyle w:val="StyleUnderline"/>
        </w:rPr>
        <w:t>have won 9 cases but lost 14,</w:t>
      </w:r>
      <w:r w:rsidRPr="008834DA">
        <w:rPr>
          <w:sz w:val="16"/>
        </w:rPr>
        <w:t xml:space="preserve"> </w:t>
      </w:r>
      <w:r w:rsidRPr="008834DA">
        <w:rPr>
          <w:rStyle w:val="Emphasis"/>
        </w:rPr>
        <w:t>a win rate of 36%.</w:t>
      </w:r>
      <w:r w:rsidRPr="008834DA">
        <w:rPr>
          <w:sz w:val="16"/>
        </w:rPr>
        <w:t xml:space="preserve"> But because a Democratic president will likely reverse course on many of the Trump administration’s agency policies,261 thus muting the impact of this shift, any assessment of the shift will have to await more historical data and the results of the 2020 election. And </w:t>
      </w:r>
      <w:r w:rsidRPr="008834DA">
        <w:rPr>
          <w:rStyle w:val="StyleUnderline"/>
        </w:rPr>
        <w:t>regardless of this potential shift, at this time, the data show that the Trump administration cannot place all the blame on “judicial activist judges.”</w:t>
      </w:r>
    </w:p>
    <w:p w14:paraId="555E4B02" w14:textId="77777777" w:rsidR="00CC2CC5" w:rsidRDefault="00CC2CC5" w:rsidP="00CC2CC5">
      <w:pPr>
        <w:pStyle w:val="Heading3"/>
      </w:pPr>
      <w:r>
        <w:t>Link – 2NC</w:t>
      </w:r>
    </w:p>
    <w:p w14:paraId="1D706FC2" w14:textId="77777777" w:rsidR="00CC2CC5" w:rsidRDefault="00CC2CC5" w:rsidP="00CC2CC5">
      <w:pPr>
        <w:pStyle w:val="Heading4"/>
      </w:pPr>
      <w:r>
        <w:t>The aff collapses Chevron deference – Clean Power Plan proves</w:t>
      </w:r>
    </w:p>
    <w:p w14:paraId="7D7C2BC2" w14:textId="77777777" w:rsidR="00CC2CC5" w:rsidRPr="00B425E4" w:rsidRDefault="00CC2CC5" w:rsidP="00CC2CC5">
      <w:r w:rsidRPr="00B425E4">
        <w:rPr>
          <w:b/>
          <w:bCs/>
          <w:sz w:val="26"/>
          <w:szCs w:val="26"/>
        </w:rPr>
        <w:t>Stein 16</w:t>
      </w:r>
      <w:r>
        <w:t xml:space="preserve"> - </w:t>
      </w:r>
      <w:r w:rsidRPr="00B425E4">
        <w:t>Supervising Attorney for the Frank G. Wells Environmental Law Clinic, and Project Director for the Emmett Institute on Climate Change</w:t>
      </w:r>
      <w:r>
        <w:t xml:space="preserve"> (Julia E., “POWERING DOWN CHEVRON? CHEVRON DEFERENCE AND THE CLEAN POWER PLAN LITIGATION,” Fall 2016, Volume 25, Number 2, </w:t>
      </w:r>
      <w:r>
        <w:rPr>
          <w:i/>
          <w:iCs/>
        </w:rPr>
        <w:t>Pillsbury Law</w:t>
      </w:r>
      <w:r>
        <w:t xml:space="preserve">, </w:t>
      </w:r>
      <w:hyperlink r:id="rId33" w:history="1">
        <w:r w:rsidRPr="00D37118">
          <w:rPr>
            <w:rStyle w:val="Hyperlink"/>
          </w:rPr>
          <w:t>https://www.pillsburylaw.com/images/content/1/1/111356.pdf</w:t>
        </w:r>
      </w:hyperlink>
      <w:r>
        <w:t>, Accessed 8-1-21, LASA-AH)</w:t>
      </w:r>
    </w:p>
    <w:p w14:paraId="1FA799DB" w14:textId="77777777" w:rsidR="00CC2CC5" w:rsidRDefault="00CC2CC5" w:rsidP="00CC2CC5">
      <w:pPr>
        <w:rPr>
          <w:u w:val="single"/>
        </w:rPr>
      </w:pPr>
      <w:r>
        <w:t xml:space="preserve">It is in the shadow of King v. Burwell that West Virginia v. Environmental Protection Agency, the multi-state challenge to the Obama Administration’s Clean Power Plan, has arrived for oral argument before the District of Columbia Circuit this fall. </w:t>
      </w:r>
      <w:r w:rsidRPr="00B425E4">
        <w:rPr>
          <w:u w:val="single"/>
        </w:rPr>
        <w:t>The final Clean Power Plan</w:t>
      </w:r>
      <w:r>
        <w:t xml:space="preserve">, which aims to achieve significant greenhouse gas emission reductions from existing sources in the utility power sector by 2030, </w:t>
      </w:r>
      <w:r w:rsidRPr="00B425E4">
        <w:rPr>
          <w:u w:val="single"/>
        </w:rPr>
        <w:t>was</w:t>
      </w:r>
      <w:r>
        <w:rPr>
          <w:u w:val="single"/>
        </w:rPr>
        <w:t xml:space="preserve"> </w:t>
      </w:r>
      <w:r w:rsidRPr="00B425E4">
        <w:rPr>
          <w:u w:val="single"/>
        </w:rPr>
        <w:t>published in the Federal Register on October 23, 2015</w:t>
      </w:r>
      <w:r>
        <w:t xml:space="preserve">.47 </w:t>
      </w:r>
      <w:r w:rsidRPr="00B425E4">
        <w:rPr>
          <w:u w:val="single"/>
        </w:rPr>
        <w:t>Immediately, it was challenged by multiple states and</w:t>
      </w:r>
      <w:r>
        <w:rPr>
          <w:u w:val="single"/>
        </w:rPr>
        <w:t xml:space="preserve"> </w:t>
      </w:r>
      <w:r w:rsidRPr="00B425E4">
        <w:rPr>
          <w:u w:val="single"/>
        </w:rPr>
        <w:t xml:space="preserve">corporations </w:t>
      </w:r>
      <w:r w:rsidRPr="00B425E4">
        <w:rPr>
          <w:b/>
          <w:bCs/>
          <w:u w:val="single"/>
        </w:rPr>
        <w:t>claiming that EPA lacked authority under</w:t>
      </w:r>
      <w:r>
        <w:rPr>
          <w:b/>
          <w:bCs/>
          <w:u w:val="single"/>
        </w:rPr>
        <w:t xml:space="preserve"> </w:t>
      </w:r>
      <w:r w:rsidRPr="00B425E4">
        <w:rPr>
          <w:b/>
          <w:bCs/>
          <w:u w:val="single"/>
        </w:rPr>
        <w:t>the Clean Air Act to implement the rule</w:t>
      </w:r>
      <w:r>
        <w:t xml:space="preserve">.48 The </w:t>
      </w:r>
      <w:r w:rsidRPr="00B425E4">
        <w:rPr>
          <w:u w:val="single"/>
        </w:rPr>
        <w:t>rule itself</w:t>
      </w:r>
      <w:r>
        <w:rPr>
          <w:u w:val="single"/>
        </w:rPr>
        <w:t xml:space="preserve"> </w:t>
      </w:r>
      <w:r w:rsidRPr="00B425E4">
        <w:rPr>
          <w:u w:val="single"/>
        </w:rPr>
        <w:t>establishes emission guidelines for states to follow</w:t>
      </w:r>
      <w:r>
        <w:rPr>
          <w:u w:val="single"/>
        </w:rPr>
        <w:t xml:space="preserve"> </w:t>
      </w:r>
      <w:r w:rsidRPr="00B425E4">
        <w:rPr>
          <w:u w:val="single"/>
        </w:rPr>
        <w:t>as they formulate individual plans to moderate emissions from existing fossil-fuel fired electric generating</w:t>
      </w:r>
      <w:r>
        <w:rPr>
          <w:u w:val="single"/>
        </w:rPr>
        <w:t xml:space="preserve"> </w:t>
      </w:r>
      <w:r w:rsidRPr="00B425E4">
        <w:rPr>
          <w:u w:val="single"/>
        </w:rPr>
        <w:t>units.</w:t>
      </w:r>
      <w:r>
        <w:t xml:space="preserve"> State-specific emission goals, according to EPA, reflect “the degree of emission limitation achievable through the application of the best system of emission reduction” as contemplated under the Clean Air Act, but states need not use any particular configuration of emission reduction measures to arrive at the set targets.49 </w:t>
      </w:r>
      <w:r w:rsidRPr="00B425E4">
        <w:rPr>
          <w:u w:val="single"/>
        </w:rPr>
        <w:t>Challengers of the Clean Power Plan argue that</w:t>
      </w:r>
      <w:r>
        <w:rPr>
          <w:u w:val="single"/>
        </w:rPr>
        <w:t xml:space="preserve"> </w:t>
      </w:r>
      <w:r w:rsidRPr="00B425E4">
        <w:rPr>
          <w:u w:val="single"/>
        </w:rPr>
        <w:t>the Clean Air Act not only fails to grant authority for this</w:t>
      </w:r>
      <w:r>
        <w:rPr>
          <w:u w:val="single"/>
        </w:rPr>
        <w:t xml:space="preserve"> </w:t>
      </w:r>
      <w:r w:rsidRPr="00B425E4">
        <w:rPr>
          <w:u w:val="single"/>
        </w:rPr>
        <w:t>type of rulemaking, but in fact unambiguously prohibits</w:t>
      </w:r>
      <w:r>
        <w:rPr>
          <w:u w:val="single"/>
        </w:rPr>
        <w:t xml:space="preserve"> </w:t>
      </w:r>
      <w:r w:rsidRPr="00B425E4">
        <w:rPr>
          <w:u w:val="single"/>
        </w:rPr>
        <w:t xml:space="preserve">it, and that, further, the Plan </w:t>
      </w:r>
      <w:r w:rsidRPr="00B425E4">
        <w:rPr>
          <w:b/>
          <w:bCs/>
          <w:u w:val="single"/>
        </w:rPr>
        <w:t>unconstitutionally forces</w:t>
      </w:r>
      <w:r>
        <w:rPr>
          <w:b/>
          <w:bCs/>
          <w:u w:val="single"/>
        </w:rPr>
        <w:t xml:space="preserve"> </w:t>
      </w:r>
      <w:r w:rsidRPr="00B425E4">
        <w:rPr>
          <w:b/>
          <w:bCs/>
          <w:u w:val="single"/>
        </w:rPr>
        <w:t>states to carry out federal energy policy.</w:t>
      </w:r>
      <w:r>
        <w:rPr>
          <w:b/>
          <w:bCs/>
          <w:u w:val="single"/>
        </w:rPr>
        <w:t xml:space="preserve"> </w:t>
      </w:r>
      <w:r>
        <w:t xml:space="preserve">The </w:t>
      </w:r>
      <w:r w:rsidRPr="00B425E4">
        <w:rPr>
          <w:u w:val="single"/>
        </w:rPr>
        <w:t>potential impact of the Clean Power Plan is surely</w:t>
      </w:r>
      <w:r>
        <w:rPr>
          <w:u w:val="single"/>
        </w:rPr>
        <w:t xml:space="preserve"> </w:t>
      </w:r>
      <w:r w:rsidRPr="00B425E4">
        <w:rPr>
          <w:u w:val="single"/>
        </w:rPr>
        <w:t>significant</w:t>
      </w:r>
      <w:r>
        <w:t xml:space="preserve">. The existing power plants targeted by the rule, according to the Obama Administration, constitute the “single largest source” of carbon pollution in the United States.50 EPA itself estimated that the Clean Power Plan will result in up to $93 billion in climate and public health benefits.51 In successfully arguing to stay the implementation of the rule until the D.C. Circuit’s final decision on its validity, opponents of the rule claimed that the Clean Power Plan “will impose immense sovereign and financial harms upon the States, on a scale exceeding any environmental regulations the States have ever faced.”52 </w:t>
      </w:r>
      <w:r w:rsidRPr="00B425E4">
        <w:rPr>
          <w:u w:val="single"/>
        </w:rPr>
        <w:t>The stakes are high, not just for the fate of the Clean</w:t>
      </w:r>
      <w:r>
        <w:rPr>
          <w:u w:val="single"/>
        </w:rPr>
        <w:t xml:space="preserve"> </w:t>
      </w:r>
      <w:r w:rsidRPr="00B425E4">
        <w:rPr>
          <w:u w:val="single"/>
        </w:rPr>
        <w:t xml:space="preserve">Power Plan, but </w:t>
      </w:r>
      <w:r w:rsidRPr="00B425E4">
        <w:rPr>
          <w:b/>
          <w:bCs/>
          <w:u w:val="single"/>
        </w:rPr>
        <w:t>for the Chevron doctrine as well</w:t>
      </w:r>
      <w:r w:rsidRPr="00B425E4">
        <w:rPr>
          <w:b/>
          <w:bCs/>
        </w:rPr>
        <w:t>.</w:t>
      </w:r>
      <w:r>
        <w:t xml:space="preserve"> The </w:t>
      </w:r>
      <w:r w:rsidRPr="00B425E4">
        <w:rPr>
          <w:u w:val="single"/>
        </w:rPr>
        <w:t xml:space="preserve">state and industry petitioners and EPA have taken </w:t>
      </w:r>
      <w:r w:rsidRPr="00B425E4">
        <w:rPr>
          <w:b/>
          <w:bCs/>
          <w:u w:val="single"/>
        </w:rPr>
        <w:t>diametrically opposed views of whether Chevron should apply.</w:t>
      </w:r>
      <w:r>
        <w:t xml:space="preserve"> The petitioners have argued that this is precisely the sort of “extraordinary” case the Court was alluding to in its King v. Burwell decision. Citations to the Court’s Chevron-limiting jurisprudence of the past few years abound in the petitioners’ briefing on the matter’s core legal issues—King v. Burwell, Utility Air Regulatory Group, and Michigan v. Environmental Protection Agency receive a total of twenty-four mentions between them— while Chevron itself is only mentioned in passing.53 In the first instance, </w:t>
      </w:r>
      <w:r w:rsidRPr="00B425E4">
        <w:rPr>
          <w:u w:val="single"/>
        </w:rPr>
        <w:t>the petitioners argue, the Clean</w:t>
      </w:r>
      <w:r>
        <w:rPr>
          <w:u w:val="single"/>
        </w:rPr>
        <w:t xml:space="preserve"> </w:t>
      </w:r>
      <w:r w:rsidRPr="00B425E4">
        <w:rPr>
          <w:u w:val="single"/>
        </w:rPr>
        <w:t>Power Plan represents a “‘transformative expansion in</w:t>
      </w:r>
      <w:r>
        <w:rPr>
          <w:u w:val="single"/>
        </w:rPr>
        <w:t xml:space="preserve"> </w:t>
      </w:r>
      <w:r w:rsidRPr="00B425E4">
        <w:rPr>
          <w:u w:val="single"/>
        </w:rPr>
        <w:t>EPA’s regulatory authority’ based on a ‘long-extant statute’ that requires ‘clear congressional authorization</w:t>
      </w:r>
      <w:r>
        <w:t xml:space="preserve">.’”54 The petitioners say that </w:t>
      </w:r>
      <w:r w:rsidRPr="00B425E4">
        <w:rPr>
          <w:u w:val="single"/>
        </w:rPr>
        <w:t>the scope of the rulemaking</w:t>
      </w:r>
      <w:r>
        <w:rPr>
          <w:u w:val="single"/>
        </w:rPr>
        <w:t xml:space="preserve"> </w:t>
      </w:r>
      <w:r w:rsidRPr="00B425E4">
        <w:rPr>
          <w:u w:val="single"/>
        </w:rPr>
        <w:t>implicates precisely the kinds of “decisions of vast</w:t>
      </w:r>
      <w:r>
        <w:rPr>
          <w:u w:val="single"/>
        </w:rPr>
        <w:t xml:space="preserve"> </w:t>
      </w:r>
      <w:r w:rsidRPr="00B425E4">
        <w:rPr>
          <w:u w:val="single"/>
        </w:rPr>
        <w:t>‘economic and political significance’” contemplated in</w:t>
      </w:r>
      <w:r>
        <w:rPr>
          <w:u w:val="single"/>
        </w:rPr>
        <w:t xml:space="preserve"> </w:t>
      </w:r>
      <w:r w:rsidRPr="00B425E4">
        <w:rPr>
          <w:u w:val="single"/>
        </w:rPr>
        <w:t>King v. Burwell.</w:t>
      </w:r>
      <w:r>
        <w:rPr>
          <w:u w:val="single"/>
        </w:rPr>
        <w:t xml:space="preserve"> </w:t>
      </w:r>
      <w:r>
        <w:t xml:space="preserve">55 They contend that </w:t>
      </w:r>
      <w:r w:rsidRPr="00B425E4">
        <w:rPr>
          <w:u w:val="single"/>
        </w:rPr>
        <w:t>while EPA relies</w:t>
      </w:r>
      <w:r>
        <w:rPr>
          <w:u w:val="single"/>
        </w:rPr>
        <w:t xml:space="preserve"> </w:t>
      </w:r>
      <w:r w:rsidRPr="00B425E4">
        <w:rPr>
          <w:u w:val="single"/>
        </w:rPr>
        <w:t>on Chevron deference to defend the rulemaking, when</w:t>
      </w:r>
      <w:r>
        <w:rPr>
          <w:u w:val="single"/>
        </w:rPr>
        <w:t xml:space="preserve"> </w:t>
      </w:r>
      <w:r w:rsidRPr="00B425E4">
        <w:rPr>
          <w:u w:val="single"/>
        </w:rPr>
        <w:t>such impactful decisions are at issue, deference is</w:t>
      </w:r>
      <w:r>
        <w:rPr>
          <w:u w:val="single"/>
        </w:rPr>
        <w:t xml:space="preserve"> </w:t>
      </w:r>
      <w:r w:rsidRPr="00B425E4">
        <w:rPr>
          <w:u w:val="single"/>
        </w:rPr>
        <w:t xml:space="preserve">not warranted </w:t>
      </w:r>
      <w:r w:rsidRPr="00B425E4">
        <w:rPr>
          <w:b/>
          <w:bCs/>
          <w:u w:val="single"/>
        </w:rPr>
        <w:t>unless there is a clear Congressional</w:t>
      </w:r>
      <w:r>
        <w:rPr>
          <w:b/>
          <w:bCs/>
          <w:u w:val="single"/>
        </w:rPr>
        <w:t xml:space="preserve"> </w:t>
      </w:r>
      <w:r w:rsidRPr="00B425E4">
        <w:rPr>
          <w:b/>
          <w:bCs/>
          <w:u w:val="single"/>
        </w:rPr>
        <w:t>delegation of authority</w:t>
      </w:r>
      <w:r w:rsidRPr="00B425E4">
        <w:rPr>
          <w:u w:val="single"/>
        </w:rPr>
        <w:t xml:space="preserve"> for the agency to resolve the</w:t>
      </w:r>
      <w:r>
        <w:rPr>
          <w:u w:val="single"/>
        </w:rPr>
        <w:t xml:space="preserve"> </w:t>
      </w:r>
      <w:r w:rsidRPr="00B425E4">
        <w:rPr>
          <w:u w:val="single"/>
        </w:rPr>
        <w:t>statutory ambiguity in question</w:t>
      </w:r>
      <w:r>
        <w:t xml:space="preserve">. As proof of the Clean Power Plan’s extraordinary significance, the petitioners cite to the 4.3 million comments the rule attracted. The petitioners further assert that “EPA claims the authority to become a central planning authority for the power sector, with unilateral authority to end the use in this country of certain kinds of energy generation.” </w:t>
      </w:r>
      <w:r w:rsidRPr="00B425E4">
        <w:rPr>
          <w:u w:val="single"/>
        </w:rPr>
        <w:t>Despite</w:t>
      </w:r>
      <w:r>
        <w:rPr>
          <w:u w:val="single"/>
        </w:rPr>
        <w:t xml:space="preserve"> </w:t>
      </w:r>
      <w:r w:rsidRPr="00B425E4">
        <w:rPr>
          <w:u w:val="single"/>
        </w:rPr>
        <w:t>that, they argue, the express authorization required by</w:t>
      </w:r>
      <w:r>
        <w:rPr>
          <w:u w:val="single"/>
        </w:rPr>
        <w:t xml:space="preserve"> </w:t>
      </w:r>
      <w:r w:rsidRPr="00B425E4">
        <w:rPr>
          <w:u w:val="single"/>
        </w:rPr>
        <w:t xml:space="preserve">King v. Burwell for such decisionmaking is </w:t>
      </w:r>
      <w:r w:rsidRPr="00B425E4">
        <w:rPr>
          <w:b/>
          <w:bCs/>
          <w:u w:val="single"/>
        </w:rPr>
        <w:t>critically</w:t>
      </w:r>
      <w:r>
        <w:rPr>
          <w:b/>
          <w:bCs/>
          <w:u w:val="single"/>
        </w:rPr>
        <w:t xml:space="preserve"> </w:t>
      </w:r>
      <w:r w:rsidRPr="00B425E4">
        <w:rPr>
          <w:b/>
          <w:bCs/>
          <w:u w:val="single"/>
        </w:rPr>
        <w:t>absent in the context of the Clean Air Act</w:t>
      </w:r>
      <w:r w:rsidRPr="00B425E4">
        <w:rPr>
          <w:b/>
          <w:bCs/>
        </w:rPr>
        <w:t>.</w:t>
      </w:r>
      <w:r>
        <w:t xml:space="preserve">56 Furthermore, the petitioners’ briefing on the core legal issues implies that given the Utility Air Regulatory Group decision, </w:t>
      </w:r>
      <w:r w:rsidRPr="00B425E4">
        <w:rPr>
          <w:u w:val="single"/>
        </w:rPr>
        <w:t>even were Chevron to apply, the scope of the</w:t>
      </w:r>
      <w:r>
        <w:rPr>
          <w:u w:val="single"/>
        </w:rPr>
        <w:t xml:space="preserve"> </w:t>
      </w:r>
      <w:r w:rsidRPr="00B425E4">
        <w:rPr>
          <w:u w:val="single"/>
        </w:rPr>
        <w:t xml:space="preserve">Clean Power Plan </w:t>
      </w:r>
      <w:r w:rsidRPr="00B425E4">
        <w:rPr>
          <w:b/>
          <w:bCs/>
          <w:u w:val="single"/>
        </w:rPr>
        <w:t>expands the Agency’s authority so</w:t>
      </w:r>
      <w:r>
        <w:rPr>
          <w:b/>
          <w:bCs/>
          <w:u w:val="single"/>
        </w:rPr>
        <w:t xml:space="preserve"> </w:t>
      </w:r>
      <w:r w:rsidRPr="00B425E4">
        <w:rPr>
          <w:b/>
          <w:bCs/>
          <w:u w:val="single"/>
        </w:rPr>
        <w:t>far beyond what the Clean Air Act</w:t>
      </w:r>
      <w:r w:rsidRPr="00B425E4">
        <w:rPr>
          <w:u w:val="single"/>
        </w:rPr>
        <w:t xml:space="preserve"> contemplates that the</w:t>
      </w:r>
      <w:r>
        <w:rPr>
          <w:u w:val="single"/>
        </w:rPr>
        <w:t xml:space="preserve"> </w:t>
      </w:r>
      <w:r w:rsidRPr="00B425E4">
        <w:rPr>
          <w:u w:val="single"/>
        </w:rPr>
        <w:t>rulemaking could not be entitled to any deference under</w:t>
      </w:r>
      <w:r>
        <w:rPr>
          <w:u w:val="single"/>
        </w:rPr>
        <w:t xml:space="preserve"> </w:t>
      </w:r>
      <w:r w:rsidRPr="00B425E4">
        <w:rPr>
          <w:u w:val="single"/>
        </w:rPr>
        <w:t>Chevron.</w:t>
      </w:r>
      <w:r>
        <w:rPr>
          <w:u w:val="single"/>
        </w:rPr>
        <w:t xml:space="preserve"> </w:t>
      </w:r>
      <w:r>
        <w:t xml:space="preserve">57 Chevron deference should not be the test here, petitioners say, but Chevron or no Chevron, they argue that the Court’s recent spate of decisions clearly indicate EPA’s rulemaking action is invalid. </w:t>
      </w:r>
      <w:r w:rsidRPr="00B425E4">
        <w:rPr>
          <w:u w:val="single"/>
        </w:rPr>
        <w:t>Unsurprisingly, EPA argues for a strong application</w:t>
      </w:r>
      <w:r>
        <w:rPr>
          <w:u w:val="single"/>
        </w:rPr>
        <w:t xml:space="preserve"> </w:t>
      </w:r>
      <w:r w:rsidRPr="00B425E4">
        <w:rPr>
          <w:u w:val="single"/>
        </w:rPr>
        <w:t>of the Chevron doctrine.</w:t>
      </w:r>
      <w:r>
        <w:t xml:space="preserve"> Its position is clear right out of the gate: the Agency clearly states Chevron is the appropriate standard of review for the rulemaking, and contends that the court “must ‘give an extreme degree of deference to the EPA’s evaluation of scientific data within its technical expertise,’ especially where it reviews ‘EPA’s administration of the complicated provisions of the [CAA].’”58 Petitioners’ arguments go astray, says the Agency, when they misapply King v. Burwell to argue that Chevron deference should not apply in this case; </w:t>
      </w:r>
      <w:r w:rsidRPr="00B425E4">
        <w:rPr>
          <w:u w:val="single"/>
        </w:rPr>
        <w:t>in reality, it argues, the court is obligated to</w:t>
      </w:r>
      <w:r>
        <w:rPr>
          <w:u w:val="single"/>
        </w:rPr>
        <w:t xml:space="preserve"> </w:t>
      </w:r>
      <w:r w:rsidRPr="00B425E4">
        <w:rPr>
          <w:u w:val="single"/>
        </w:rPr>
        <w:t>“uphold an expert agency’s interpretations of a statute</w:t>
      </w:r>
      <w:r>
        <w:rPr>
          <w:u w:val="single"/>
        </w:rPr>
        <w:t xml:space="preserve"> </w:t>
      </w:r>
      <w:r w:rsidRPr="00B425E4">
        <w:rPr>
          <w:u w:val="single"/>
        </w:rPr>
        <w:t>it administers unless those interpretations are either</w:t>
      </w:r>
      <w:r>
        <w:rPr>
          <w:u w:val="single"/>
        </w:rPr>
        <w:t xml:space="preserve"> </w:t>
      </w:r>
      <w:r w:rsidRPr="00B425E4">
        <w:rPr>
          <w:u w:val="single"/>
        </w:rPr>
        <w:t>foreclosed by the text or are an unreasonable reading</w:t>
      </w:r>
      <w:r>
        <w:rPr>
          <w:u w:val="single"/>
        </w:rPr>
        <w:t xml:space="preserve"> </w:t>
      </w:r>
      <w:r w:rsidRPr="00B425E4">
        <w:rPr>
          <w:u w:val="single"/>
        </w:rPr>
        <w:t>of ambiguous language.”59</w:t>
      </w:r>
    </w:p>
    <w:p w14:paraId="7BC61B14" w14:textId="77777777" w:rsidR="00CC2CC5" w:rsidRDefault="00CC2CC5" w:rsidP="00CC2CC5">
      <w:pPr>
        <w:pStyle w:val="Heading4"/>
      </w:pPr>
      <w:r>
        <w:t>Upholding the Second Circuit ruling destroys Chevron – spills over to all of administrative law</w:t>
      </w:r>
    </w:p>
    <w:p w14:paraId="7A09DB21" w14:textId="77777777" w:rsidR="00CC2CC5" w:rsidRDefault="00CC2CC5" w:rsidP="00CC2CC5">
      <w:r w:rsidRPr="00B87F2D">
        <w:rPr>
          <w:rStyle w:val="Style13ptBold"/>
        </w:rPr>
        <w:t>Beaven and Johnson 08</w:t>
      </w:r>
      <w:r>
        <w:t xml:space="preserve"> (Lara Beaven, </w:t>
      </w:r>
      <w:r w:rsidRPr="00B87F2D">
        <w:t>Senior Editor at Inside Washington Publishers</w:t>
      </w:r>
      <w:r>
        <w:t>, Jenny Johnson, “</w:t>
      </w:r>
      <w:r w:rsidRPr="00B87F2D">
        <w:t>EPA EYES HIGH COURT COOLING WATER CASE TO BOLSTER CHEVRON DISCRETION</w:t>
      </w:r>
      <w:r>
        <w:t xml:space="preserve">,” </w:t>
      </w:r>
      <w:r w:rsidRPr="00B87F2D">
        <w:t>Inside EPA's Clean Air Report , Vol. 19</w:t>
      </w:r>
      <w:r>
        <w:t xml:space="preserve">, August 2008, </w:t>
      </w:r>
      <w:hyperlink r:id="rId34" w:anchor="metadata_info_tab_contents)//cb" w:history="1">
        <w:r w:rsidRPr="005A6DCA">
          <w:rPr>
            <w:rStyle w:val="Hyperlink"/>
          </w:rPr>
          <w:t>https://www.jstor.org/stable/48528353?seq=1#metadata_info_tab_contents)//cb</w:t>
        </w:r>
      </w:hyperlink>
    </w:p>
    <w:p w14:paraId="67286D68" w14:textId="77777777" w:rsidR="00CC2CC5" w:rsidRPr="00B87F2D" w:rsidRDefault="00CC2CC5" w:rsidP="00CC2CC5">
      <w:pPr>
        <w:rPr>
          <w:sz w:val="16"/>
        </w:rPr>
      </w:pPr>
      <w:r w:rsidRPr="00B87F2D">
        <w:rPr>
          <w:sz w:val="16"/>
        </w:rPr>
        <w:t xml:space="preserve">In the wake of a series of major court losses, </w:t>
      </w:r>
      <w:r w:rsidRPr="00B87F2D">
        <w:rPr>
          <w:rStyle w:val="StyleUnderline"/>
        </w:rPr>
        <w:t>EPA is using a</w:t>
      </w:r>
      <w:r w:rsidRPr="00B87F2D">
        <w:rPr>
          <w:sz w:val="16"/>
        </w:rPr>
        <w:t xml:space="preserve"> pending </w:t>
      </w:r>
      <w:r w:rsidRPr="00B87F2D">
        <w:rPr>
          <w:rStyle w:val="StyleUnderline"/>
        </w:rPr>
        <w:t>Supreme Court case on the legality of a cooling water intake rules</w:t>
      </w:r>
      <w:r w:rsidRPr="00B87F2D">
        <w:rPr>
          <w:sz w:val="16"/>
        </w:rPr>
        <w:t xml:space="preserve"> for power plants </w:t>
      </w:r>
      <w:r w:rsidRPr="00B87F2D">
        <w:rPr>
          <w:rStyle w:val="StyleUnderline"/>
        </w:rPr>
        <w:t>to highlight the need for the high court to clearly back its discretion in interpreting federal environmental statutes and reiterate the court’s traditional Chevron test</w:t>
      </w:r>
      <w:r w:rsidRPr="00B87F2D">
        <w:rPr>
          <w:sz w:val="16"/>
        </w:rPr>
        <w:t xml:space="preserve"> for granting discretion. At issue in the cooling water case, </w:t>
      </w:r>
      <w:r w:rsidRPr="00B87F2D">
        <w:rPr>
          <w:rStyle w:val="StyleUnderline"/>
        </w:rPr>
        <w:t>Entergy Corp., et al. v. Riverkeeper</w:t>
      </w:r>
      <w:r w:rsidRPr="00B87F2D">
        <w:rPr>
          <w:sz w:val="16"/>
        </w:rPr>
        <w:t xml:space="preserve">, is whether section 316(b) of the Clean Water Act authorizes EPA to compare costs with benefits in determining the “best technology available for minimizing adverse environmental impact” at cooling water intake structures. Last year, the U.S. Court of Appeals for the 2nd Circuit rejected key portions of EPA’s phase II rule regulating cooling water intakes at “existing” power plants, including the agency’s use of cost-benefit analysis to determine best technology available (BTA). </w:t>
      </w:r>
      <w:r w:rsidRPr="00B87F2D">
        <w:rPr>
          <w:rStyle w:val="StyleUnderline"/>
        </w:rPr>
        <w:t>The 2nd Circuit ruled that in setting cooling water intake requirements, the agency may consider costs as part of a cost-effectiveness analysis</w:t>
      </w:r>
      <w:r w:rsidRPr="00B87F2D">
        <w:rPr>
          <w:sz w:val="16"/>
        </w:rPr>
        <w:t xml:space="preserve"> but not a cost-benefit study — </w:t>
      </w:r>
      <w:r w:rsidRPr="00B87F2D">
        <w:rPr>
          <w:rStyle w:val="StyleUnderline"/>
        </w:rPr>
        <w:t>terms that appear nowhere in section 316(b) of the water law</w:t>
      </w:r>
      <w:r w:rsidRPr="00B87F2D">
        <w:rPr>
          <w:sz w:val="16"/>
        </w:rPr>
        <w:t xml:space="preserve">. But in its July brief to the high court, </w:t>
      </w:r>
      <w:r w:rsidRPr="00B87F2D">
        <w:rPr>
          <w:rStyle w:val="StyleUnderline"/>
        </w:rPr>
        <w:t>EPA argues that the 2nd Circuit ruling “</w:t>
      </w:r>
      <w:r w:rsidRPr="00B87F2D">
        <w:rPr>
          <w:rStyle w:val="Emphasis"/>
        </w:rPr>
        <w:t>contravenes the principles of Chevron</w:t>
      </w:r>
      <w:r w:rsidRPr="00B87F2D">
        <w:rPr>
          <w:rStyle w:val="StyleUnderline"/>
        </w:rPr>
        <w:t xml:space="preserve"> by usurping the agency’s role of construing and filling in gaps in an ambiguous statute</w:t>
      </w:r>
      <w:r w:rsidRPr="00B87F2D">
        <w:rPr>
          <w:sz w:val="16"/>
        </w:rPr>
        <w:t xml:space="preserve">,” the agency says. Congress’ silence or ambiguity on an issue — as it was in this case — confers discretion, not limitation, EPA says. The 1984 high court ruling in </w:t>
      </w:r>
      <w:r w:rsidRPr="00B87F2D">
        <w:rPr>
          <w:rStyle w:val="StyleUnderline"/>
        </w:rPr>
        <w:t>Chevron v. N</w:t>
      </w:r>
      <w:r w:rsidRPr="00B87F2D">
        <w:rPr>
          <w:sz w:val="16"/>
        </w:rPr>
        <w:t xml:space="preserve">atural </w:t>
      </w:r>
      <w:r w:rsidRPr="00B87F2D">
        <w:rPr>
          <w:rStyle w:val="StyleUnderline"/>
        </w:rPr>
        <w:t>R</w:t>
      </w:r>
      <w:r w:rsidRPr="00B87F2D">
        <w:rPr>
          <w:sz w:val="16"/>
        </w:rPr>
        <w:t xml:space="preserve">esources </w:t>
      </w:r>
      <w:r w:rsidRPr="00B87F2D">
        <w:rPr>
          <w:rStyle w:val="StyleUnderline"/>
        </w:rPr>
        <w:t>D</w:t>
      </w:r>
      <w:r w:rsidRPr="00B87F2D">
        <w:rPr>
          <w:sz w:val="16"/>
        </w:rPr>
        <w:t xml:space="preserve">efense </w:t>
      </w:r>
      <w:r w:rsidRPr="00B87F2D">
        <w:rPr>
          <w:rStyle w:val="StyleUnderline"/>
        </w:rPr>
        <w:t>C</w:t>
      </w:r>
      <w:r w:rsidRPr="00B87F2D">
        <w:rPr>
          <w:sz w:val="16"/>
        </w:rPr>
        <w:t xml:space="preserve">ouncil </w:t>
      </w:r>
      <w:r w:rsidRPr="00B87F2D">
        <w:rPr>
          <w:rStyle w:val="StyleUnderline"/>
        </w:rPr>
        <w:t xml:space="preserve">found that agencies have broad discretion to interpret statutory mandates when the statute is silent </w:t>
      </w:r>
      <w:r w:rsidRPr="00B87F2D">
        <w:rPr>
          <w:sz w:val="16"/>
        </w:rPr>
        <w:t xml:space="preserve">on specific requirements, and outlined a two-step test for determining whether broad deference is appropriate. Relevant documents are available on InsideEPA.com. See page 2 for details. The agency’s effort to restore its discretion in this case follows a series of agency losses over the past year on water and air regulations in both the Supreme Court and several appellate courts. Legal experts say the losses were a combination of weak agency arguments and, in some cases, an “unholy alliance” between conservative and liberal judges on a key appellate bench who issued rulings that relied on a strict interpretation of federal environmental statutes, limiting EPA’s discretion and thwarting agency rules. For example, the high court last year rejected EPA arguments in Massachusetts, et al. v. EPA, et al. that it lacks the statutory authority to regulate carbon dioxide, a ruling that dismissed agency arguments that it should be granted deference to interpret ambiguous language in the Clean Air Act. Similarly, the the U.S. Court of Appeals for the District of Columbia Circuit — the premiere appellate court reviewing EPA and other agency regulations — has in the past year overturned several key agency air regulations, including rules governing power plants’ mercury and other emissions, rejecting EPA arguments that it enjoyed discretion. In State of New Jersey, et al. v. EPA, et al., for example, the D.C. Circuit vacated EPA’s clean air mercury rule, spurning agency arguments that it enjoyed discretion to delist power plants as sources of hazardous air pollutants under the air law. And in Friends of the Earth v. EPA, the D.C. Circuit in 2006 rejected EPA arguments that it enjoyed discretion to set water pollution load limits known as total maximum daily loads that were seasonal or annual, not daily. “Daily means daily. Nothing else,” the court said in its ruling. Administrative and environmental law experts, including former EPA officials, say these rulings highlight how appellate courts in particular have been less willing in recent years to grant EPA deference. Speaking during a July 23 teleconference sponsored by the American Bar Association, former EPA General Counsel E. Donald Elliott said the courts “have adopted an increasingly literal interpretation” of the Clean Air Act, which sometimes leads to “a nonsensical conclusion.” And if the courts continue to do so, “Congress will need to step in and affirm EPA’s authority” to interpret the statute the way it has. Elliott said </w:t>
      </w:r>
      <w:r w:rsidRPr="00B87F2D">
        <w:rPr>
          <w:rStyle w:val="StyleUnderline"/>
        </w:rPr>
        <w:t xml:space="preserve">in recent years an “unholy alliance” has emerged on the D.C. Circuit between conservatives, who interpret the laws literally, and more liberal judges </w:t>
      </w:r>
      <w:r w:rsidRPr="00B87F2D">
        <w:rPr>
          <w:sz w:val="16"/>
        </w:rPr>
        <w:t xml:space="preserve">who are “hostile to the Bush administration . . . This coalition formed, and </w:t>
      </w:r>
      <w:r w:rsidRPr="00B87F2D">
        <w:rPr>
          <w:rStyle w:val="StyleUnderline"/>
        </w:rPr>
        <w:t>it was difficult for EPA to get the deference it had previously</w:t>
      </w:r>
      <w:r w:rsidRPr="00B87F2D">
        <w:rPr>
          <w:sz w:val="16"/>
        </w:rPr>
        <w:t xml:space="preserve">.” One of EPA’s few deference wins last year was the high court’s ruling in </w:t>
      </w:r>
      <w:r w:rsidRPr="00B87F2D">
        <w:rPr>
          <w:rStyle w:val="StyleUnderline"/>
        </w:rPr>
        <w:t>National Association of Home Builders</w:t>
      </w:r>
      <w:r w:rsidRPr="00B87F2D">
        <w:rPr>
          <w:sz w:val="16"/>
        </w:rPr>
        <w:t xml:space="preserve"> (NAHB), </w:t>
      </w:r>
      <w:r w:rsidRPr="00B87F2D">
        <w:rPr>
          <w:rStyle w:val="StyleUnderline"/>
        </w:rPr>
        <w:t>et al. v. Defenders of Wildlife</w:t>
      </w:r>
      <w:r w:rsidRPr="00B87F2D">
        <w:rPr>
          <w:sz w:val="16"/>
        </w:rPr>
        <w:t xml:space="preserve">, which involved the interaction between the water act and the Endangered Species Act (ESA). </w:t>
      </w:r>
      <w:r w:rsidRPr="00B87F2D">
        <w:rPr>
          <w:rStyle w:val="StyleUnderline"/>
        </w:rPr>
        <w:t>The court found that ESA protections do not apply to actions mandated by the water act</w:t>
      </w:r>
      <w:r w:rsidRPr="00B87F2D">
        <w:rPr>
          <w:sz w:val="16"/>
        </w:rPr>
        <w:t xml:space="preserve">. EPA’s then-General Counsel Roger Martella said last year that Justice Samuel Alito’s discussion of agency deference in the NAHB majority opinion will bolster EPA’s arguments in other cases. The decision is notable, Martella said, because </w:t>
      </w:r>
      <w:r w:rsidRPr="00B87F2D">
        <w:rPr>
          <w:rStyle w:val="StyleUnderline"/>
        </w:rPr>
        <w:t>Alito gives deference to EPA’s interpretation of the interaction between ESA and the water act, even though EPA does not administer the ESA</w:t>
      </w:r>
      <w:r w:rsidRPr="00B87F2D">
        <w:rPr>
          <w:sz w:val="16"/>
        </w:rPr>
        <w:t xml:space="preserve">. An industry attorney says that in cases like NAHB where there is ambiguity over how statutes should be interpreted, courts have more room to consider EPA’s interpretation. The cooling water case may present a good opportunity for the court to consider whether the 2nd Circuit properly applied the so-called Chevron test on deference when examining the agency’s BTA cost-benefit analysis. The case centers on section 316 (b) of the water law, which is silent on the issue of a cost-benefit analysis. The section states: “Any standard established pursuant to section 301 or section 306 of this Act and applicable to a point source shall require that the location, design, construction, and capacity of cooling water intake structures reflect the best technology available for minimizing adverse environmental impact.” The section was inserted into the water act during conference and little legislative history is available, aside from a floor statement by then-Rep. Donald Clausen (R-CA), who said the BTA reference “is intended to be interpreted to mean the best technology available commercially at an economically practicable cost.” </w:t>
      </w:r>
      <w:r w:rsidRPr="00B87F2D">
        <w:rPr>
          <w:rStyle w:val="StyleUnderline"/>
        </w:rPr>
        <w:t xml:space="preserve">EPA says that while the 2nd Circuit’s ruling recited deference principles, “the court </w:t>
      </w:r>
      <w:r w:rsidRPr="00B87F2D">
        <w:rPr>
          <w:rStyle w:val="Emphasis"/>
        </w:rPr>
        <w:t>departed sharply</w:t>
      </w:r>
      <w:r w:rsidRPr="00B87F2D">
        <w:rPr>
          <w:rStyle w:val="StyleUnderline"/>
        </w:rPr>
        <w:t xml:space="preserve"> from those principles.</w:t>
      </w:r>
      <w:r w:rsidRPr="00B87F2D">
        <w:rPr>
          <w:sz w:val="16"/>
        </w:rPr>
        <w:t>” The agency adds, “</w:t>
      </w:r>
      <w:r w:rsidRPr="00B87F2D">
        <w:rPr>
          <w:rStyle w:val="StyleUnderline"/>
        </w:rPr>
        <w:t>The degree of that departure is underscored not only by the implausibility of the court’s contention that Section 316(b) unambiguously precludes consideration of the relationship between costs and benefits, but also by the extent to which the court attempted to micro-manage EPA’s decisionmaking</w:t>
      </w:r>
      <w:r w:rsidRPr="00B87F2D">
        <w:rPr>
          <w:sz w:val="16"/>
        </w:rPr>
        <w:t xml:space="preserve"> by establishing rules that cannot be found anywhere in the Act.” EPA says </w:t>
      </w:r>
      <w:r w:rsidRPr="00B87F2D">
        <w:rPr>
          <w:rStyle w:val="StyleUnderline"/>
        </w:rPr>
        <w:t xml:space="preserve">the 2nd Circuit’s ruling turns the normal rules of statutory construction and agency deference on their head </w:t>
      </w:r>
      <w:r w:rsidRPr="00B87F2D">
        <w:rPr>
          <w:sz w:val="16"/>
        </w:rPr>
        <w:t xml:space="preserve">by asserting that agencies may consider the relationship between costs and benefits only when Congress has clearly authorized them to do so. Industry groups are generally backing EPA’s argument. “At a bare minimum, section 316(b) is at least ambiguous on the question of cost-benefit analysis, and </w:t>
      </w:r>
      <w:r w:rsidRPr="00B87F2D">
        <w:rPr>
          <w:rStyle w:val="StyleUnderline"/>
        </w:rPr>
        <w:t>EPA’s interpretation is reasonable and therefore entitled to deference,”</w:t>
      </w:r>
      <w:r w:rsidRPr="00B87F2D">
        <w:rPr>
          <w:sz w:val="16"/>
        </w:rPr>
        <w:t xml:space="preserve"> Entergy and PSEG Fossil LLC say in their brief. Several groups have filed amicus briefs in the case, including the American Petroleum Institute (API) and a coalition of manufacturing groups who are concerned that if the 2nd Circuit’s decision is not overturned it could harm EPA’s ability to use best professional judgment in setting requirements for cooling water intake structures at offshore oil platforms, onshore oil refinery facilities, and industrial and commercial facilities that are covered under EPA’s phase III rule. </w:t>
      </w:r>
      <w:r w:rsidRPr="00B87F2D">
        <w:rPr>
          <w:rStyle w:val="StyleUnderline"/>
        </w:rPr>
        <w:t xml:space="preserve">Acceptance of the 2nd Circuit’s rationale and interpretation of the water act essentially </w:t>
      </w:r>
      <w:r w:rsidRPr="00B87F2D">
        <w:rPr>
          <w:rStyle w:val="Emphasis"/>
        </w:rPr>
        <w:t>invalidates 30 years of regulatory practice</w:t>
      </w:r>
      <w:r w:rsidRPr="00B87F2D">
        <w:rPr>
          <w:rStyle w:val="StyleUnderline"/>
        </w:rPr>
        <w:t>, leading to massive uncertainty</w:t>
      </w:r>
      <w:r w:rsidRPr="00B87F2D">
        <w:rPr>
          <w:sz w:val="16"/>
        </w:rPr>
        <w:t xml:space="preserve"> not only </w:t>
      </w:r>
      <w:r w:rsidRPr="00B87F2D">
        <w:rPr>
          <w:rStyle w:val="StyleUnderline"/>
        </w:rPr>
        <w:t xml:space="preserve">under the water act but </w:t>
      </w:r>
      <w:r w:rsidRPr="00B87F2D">
        <w:rPr>
          <w:rStyle w:val="Emphasis"/>
        </w:rPr>
        <w:t>every other statute</w:t>
      </w:r>
      <w:r w:rsidRPr="00B87F2D">
        <w:rPr>
          <w:rStyle w:val="StyleUnderline"/>
        </w:rPr>
        <w:t xml:space="preserve"> under which administrative agencies regulate</w:t>
      </w:r>
      <w:r w:rsidRPr="00B87F2D">
        <w:rPr>
          <w:sz w:val="16"/>
        </w:rPr>
        <w:t xml:space="preserve">, API says. The group echoes the arguments that </w:t>
      </w:r>
      <w:r w:rsidRPr="00B87F2D">
        <w:rPr>
          <w:rStyle w:val="StyleUnderline"/>
        </w:rPr>
        <w:t>the 2nd Circuit failed to properly apply the Chevron test</w:t>
      </w:r>
      <w:r w:rsidRPr="00B87F2D">
        <w:rPr>
          <w:sz w:val="16"/>
        </w:rPr>
        <w:t xml:space="preserve">. A coalition of Midwestern states argue </w:t>
      </w:r>
      <w:r w:rsidRPr="00B87F2D">
        <w:rPr>
          <w:rStyle w:val="StyleUnderline"/>
        </w:rPr>
        <w:t xml:space="preserve">the 2nd Circuit’s reasoning “would </w:t>
      </w:r>
      <w:r w:rsidRPr="00B87F2D">
        <w:rPr>
          <w:rStyle w:val="Emphasis"/>
        </w:rPr>
        <w:t>erode the cooperate element of cooperative federalism</w:t>
      </w:r>
      <w:r w:rsidRPr="00B87F2D">
        <w:rPr>
          <w:rStyle w:val="StyleUnderline"/>
        </w:rPr>
        <w:t xml:space="preserve"> and lead inexorably to the conclusion that cooperative federalism is a facade</w:t>
      </w:r>
      <w:r w:rsidRPr="00B87F2D">
        <w:rPr>
          <w:sz w:val="16"/>
        </w:rPr>
        <w:t xml:space="preserve">.” Environmentalists and agency critics are scheduled to file response briefs by Sept. 29. </w:t>
      </w:r>
    </w:p>
    <w:p w14:paraId="14FA28B1" w14:textId="77777777" w:rsidR="00CC2CC5" w:rsidRDefault="00CC2CC5" w:rsidP="00CC2CC5">
      <w:pPr>
        <w:rPr>
          <w:u w:val="single"/>
        </w:rPr>
      </w:pPr>
    </w:p>
    <w:p w14:paraId="5BF7D615" w14:textId="77777777" w:rsidR="00CC2CC5" w:rsidRPr="00B94E91" w:rsidRDefault="00CC2CC5" w:rsidP="00CC2CC5">
      <w:pPr>
        <w:pStyle w:val="Heading4"/>
      </w:pPr>
      <w:r>
        <w:t>Specifically, it’s key to the two-step process.</w:t>
      </w:r>
    </w:p>
    <w:p w14:paraId="4DDCBDEB" w14:textId="77777777" w:rsidR="00CC2CC5" w:rsidRPr="00B94E91" w:rsidRDefault="00CC2CC5" w:rsidP="00CC2CC5">
      <w:r w:rsidRPr="00B94E91">
        <w:rPr>
          <w:rStyle w:val="Style13ptBold"/>
        </w:rPr>
        <w:t>Shanor 09</w:t>
      </w:r>
      <w:r>
        <w:t xml:space="preserve"> — Marianne Shanor, Administrative Attorney at Hathaway &amp; Kunz, 2009 (“ADMINISTRATIVE LAW—The Supreme Court’s Impingement of Chevron’s Two-Step; Entergy Corp. v. Riverkeeper, Inc., 129 S. Ct. 1498 (2009),” </w:t>
      </w:r>
      <w:r>
        <w:rPr>
          <w:i/>
          <w:iCs/>
        </w:rPr>
        <w:t xml:space="preserve">Wyoming Law Review, </w:t>
      </w:r>
      <w:r>
        <w:t xml:space="preserve">Available Online at </w:t>
      </w:r>
      <w:hyperlink r:id="rId35" w:history="1">
        <w:r w:rsidRPr="00781A5D">
          <w:rPr>
            <w:rStyle w:val="Hyperlink"/>
          </w:rPr>
          <w:t>https://www.uwyo.edu/law/_files/docs/wy%20law%20review/v10%20n2/shanor.pdf</w:t>
        </w:r>
      </w:hyperlink>
      <w:r>
        <w:t>, Accessed on 08-03-2021)</w:t>
      </w:r>
    </w:p>
    <w:p w14:paraId="286EB57E" w14:textId="77777777" w:rsidR="00CC2CC5" w:rsidRPr="00B94E91" w:rsidRDefault="00CC2CC5" w:rsidP="00CC2CC5">
      <w:r w:rsidRPr="00B94E91">
        <w:t>Application of step two by courts further demonstrates the superfluity of the two steps.126 In applying step two, the agency’s construction of the statute will be deemed impermissible if it clearly conflicts with the statute that has been determined in step one to be ambiguous on the matter at issue.127 The court will compare the agency’s interpretation with the statutory text to find whether the agency’s interpretation deserves deference.128 As a result, a court only applies step two by employing step one.129 Therefore, Justice Scalia’s footnote correctly noted if the agency’s interpretation conflicts with Congressional intent, it must be deemed unreasonable.130</w:t>
      </w:r>
    </w:p>
    <w:p w14:paraId="3A356370" w14:textId="77777777" w:rsidR="00CC2CC5" w:rsidRDefault="00CC2CC5" w:rsidP="00CC2CC5">
      <w:r w:rsidRPr="00B94E91">
        <w:t>Entergy Corp.</w:t>
      </w:r>
      <w:r>
        <w:t xml:space="preserve"> </w:t>
      </w:r>
      <w:r w:rsidRPr="00B94E91">
        <w:t>exemplifies</w:t>
      </w:r>
      <w:r>
        <w:t xml:space="preserve"> </w:t>
      </w:r>
      <w:r w:rsidRPr="00B94E91">
        <w:t>the</w:t>
      </w:r>
      <w:r>
        <w:t xml:space="preserve"> </w:t>
      </w:r>
      <w:r w:rsidRPr="00B94E91">
        <w:t>fact</w:t>
      </w:r>
      <w:r>
        <w:t xml:space="preserve"> </w:t>
      </w:r>
      <w:r w:rsidRPr="00B94E91">
        <w:t>that applying step</w:t>
      </w:r>
      <w:r>
        <w:t xml:space="preserve"> </w:t>
      </w:r>
      <w:r w:rsidRPr="00B94E91">
        <w:t>two</w:t>
      </w:r>
      <w:r>
        <w:t xml:space="preserve"> </w:t>
      </w:r>
      <w:r w:rsidRPr="00B94E91">
        <w:t>inherently incorporates step one.131 The majority held the EPA’s decision to use a cost-benefit analysis for § 316(b) permissible under step two of the Chevron doctrine.132 However, imagine if the Court found the EPA’s interpretation unreasonable or impermissible. The Court would compare the agency’s interpretation with Congressional intent and find that the agency’s interpretation is excluded by Congressional intent and is therefore impermissible.133 In effect, this finding would show Congress did actually speak to and possess intentions regarding the precise issue at hand.134</w:t>
      </w:r>
    </w:p>
    <w:p w14:paraId="2D349029" w14:textId="77777777" w:rsidR="00CC2CC5" w:rsidRDefault="00CC2CC5" w:rsidP="00CC2CC5"/>
    <w:p w14:paraId="548B51E1" w14:textId="77777777" w:rsidR="00CC2CC5" w:rsidRDefault="00CC2CC5" w:rsidP="00CC2CC5">
      <w:pPr>
        <w:pStyle w:val="Heading4"/>
      </w:pPr>
      <w:r>
        <w:t xml:space="preserve">Permitting Authority — it’s vital to a litany of other important Chevron statutes. </w:t>
      </w:r>
    </w:p>
    <w:p w14:paraId="7FD10E89" w14:textId="77777777" w:rsidR="00CC2CC5" w:rsidRPr="00B94E91" w:rsidRDefault="00CC2CC5" w:rsidP="00CC2CC5">
      <w:r w:rsidRPr="00B94E91">
        <w:rPr>
          <w:rStyle w:val="Style13ptBold"/>
        </w:rPr>
        <w:t>Humes 17</w:t>
      </w:r>
      <w:r>
        <w:t xml:space="preserve"> — Stephen Humes, Professor of Law at Quinnipiac University, J.D. from Quinnipiac University, 2017 (“Second Circuit Court Rules EPA’s Water Transfers Rule Allowed under Chevron,” </w:t>
      </w:r>
      <w:r>
        <w:rPr>
          <w:i/>
          <w:iCs/>
        </w:rPr>
        <w:t xml:space="preserve">Holland &amp; Knight, </w:t>
      </w:r>
      <w:r>
        <w:t>February 6</w:t>
      </w:r>
      <w:r w:rsidRPr="0099244C">
        <w:rPr>
          <w:vertAlign w:val="superscript"/>
        </w:rPr>
        <w:t>th</w:t>
      </w:r>
      <w:r>
        <w:t xml:space="preserve">, Available Online at </w:t>
      </w:r>
      <w:hyperlink r:id="rId36" w:history="1">
        <w:r w:rsidRPr="00781A5D">
          <w:rPr>
            <w:rStyle w:val="Hyperlink"/>
          </w:rPr>
          <w:t>https://www.hklaw.com/en/insights/publications/2017/02/second-circuit-court-rules-epas-water-transfers-ru</w:t>
        </w:r>
      </w:hyperlink>
      <w:r>
        <w:t>, Accessed on 08-03-2021)</w:t>
      </w:r>
    </w:p>
    <w:p w14:paraId="122789E5" w14:textId="77777777" w:rsidR="00CC2CC5" w:rsidRDefault="00CC2CC5" w:rsidP="00CC2CC5">
      <w:r>
        <w:t>In upholding the 2008 Water Transfers Rule, the Second Circuit Court of Appeals held that the U.S. Environmental Protection Agency was entitled to exclude water system transfers from the National Pollutant Discharge Elimination System (NPDES) permitting requirements. The plaintiffs argued that such water transfers could move harmful pollutants from one body of water to another.  Catskill Mountains Chapter of Trout Unlimited, Inc. v. EPA (Catskill III), 14-1823, (2d Cir., 2017).</w:t>
      </w:r>
    </w:p>
    <w:p w14:paraId="11E1CDDE" w14:textId="77777777" w:rsidR="00CC2CC5" w:rsidRDefault="00CC2CC5" w:rsidP="00CC2CC5">
      <w:r>
        <w:t>The dispute bears the hallmark of a case bound for the U.S. Supreme Court, as national environmental organizations, led by Trout Unlimited, Inc., fishermen, sportsmen, Riverkeeper, Inc. and northeastern states, including New York, Connecticut, Delaware, Illinois and Maine, line up against the EPA, western states, and water districts and utilities from San Francisco to New York City and South Florida.</w:t>
      </w:r>
    </w:p>
    <w:p w14:paraId="1EA36F8E" w14:textId="77777777" w:rsidR="00CC2CC5" w:rsidRDefault="00CC2CC5" w:rsidP="00CC2CC5">
      <w:r>
        <w:t>"Because New York City cannot tap the rivers, bays, and ocean that inhabit, surround, or, on occasion, inundate it to slake the thirst of its millions of residents, it must instead draw water primarily from remote areas north of the City, mainly the Catskill Mountain/Delaware River watershed west of the Hudson River, and the Croton Watershed east of the Hudson River and closer to New York City," Judge Sack waxed poetically in a lengthy opinion that even starts out quoting poetry.1</w:t>
      </w:r>
    </w:p>
    <w:p w14:paraId="7EFB4D02" w14:textId="77777777" w:rsidR="00CC2CC5" w:rsidRDefault="00CC2CC5" w:rsidP="00CC2CC5">
      <w:r>
        <w:t>Water transfers, which drinking water systems have been conducting for decades, connect and convey water supplies between two water bodies before any end user, such as an industrial, commercial or municipal consumer, uses the water. While EPA had never required such water transfers to become subject to the NPDES permitting requirements of the Clean Water Act, it ultimately enacted the Water Transfer Rule to respond to a growing chorus from environmental and conservation groups that claimed water transfers can move harmful pollutants from one water body to another.</w:t>
      </w:r>
    </w:p>
    <w:p w14:paraId="09C64F4C" w14:textId="77777777" w:rsidR="00CC2CC5" w:rsidRDefault="00CC2CC5" w:rsidP="00CC2CC5">
      <w:r>
        <w:t>The court analyzed the case using the classic two-step analysis set forth by the U.S. Supreme Court in Chevron v. Natural Resources Defense Council (referred to as "Chevron deference"), pursuant to which the Court first determines if the language of the statute at issue clearly proscribes the matter and, if not, whether the agency's interpretation of the statute is reasonable.  After concluding that the Clean Water Act does not expressly address water transfers and, therefore, inferring that Congress must have decided to defer to the EPA the interpretation of the statute to water transfers, the Court examined the reasonableness of EPA's judgment.  "The agency provided a sufficiently reasoned explanation for its interpretation of the Clean Water Act in the Water Transfers Rule," the Court explained.</w:t>
      </w:r>
    </w:p>
    <w:p w14:paraId="17DCDCF8" w14:textId="77777777" w:rsidR="00CC2CC5" w:rsidRDefault="00CC2CC5" w:rsidP="00CC2CC5">
      <w:r>
        <w:t>Among the justifications for EPA's reasoning, the Court relied on the longstanding practice of and Congress's acquiescence to water transfers, practical concerns regarding compliance costs (the defendants' arguments in the case indicated compliance costs could exceed $4.2 billion), and the existence of alternative means for regulating pollution resulting from water transfers.  New York City argued that it would be required to construct an expensive water treatment plant if an NPDES permit were required for its transfers.  Other federal statutes, including the Safe Drinking Water Act, provided an acceptable alternative to regulation, the Court concluded.</w:t>
      </w:r>
    </w:p>
    <w:p w14:paraId="0F15DF14" w14:textId="77777777" w:rsidR="00CC2CC5" w:rsidRDefault="00CC2CC5" w:rsidP="00CC2CC5"/>
    <w:p w14:paraId="551BB298" w14:textId="77777777" w:rsidR="00CC2CC5" w:rsidRDefault="00CC2CC5" w:rsidP="00CC2CC5">
      <w:pPr>
        <w:pStyle w:val="Heading4"/>
      </w:pPr>
      <w:r>
        <w:t>They underestimate the importance.</w:t>
      </w:r>
    </w:p>
    <w:p w14:paraId="229F5121" w14:textId="77777777" w:rsidR="00CC2CC5" w:rsidRDefault="00CC2CC5" w:rsidP="00CC2CC5">
      <w:pPr>
        <w:rPr>
          <w:rFonts w:asciiTheme="minorHAnsi" w:hAnsiTheme="minorHAnsi" w:cstheme="minorHAnsi"/>
        </w:rPr>
      </w:pPr>
      <w:r>
        <w:rPr>
          <w:rStyle w:val="Style13ptBold"/>
          <w:rFonts w:asciiTheme="minorHAnsi" w:hAnsiTheme="minorHAnsi" w:cstheme="minorHAnsi"/>
        </w:rPr>
        <w:t xml:space="preserve">1AC </w:t>
      </w:r>
      <w:r w:rsidRPr="00273B99">
        <w:rPr>
          <w:rStyle w:val="Style13ptBold"/>
          <w:rFonts w:asciiTheme="minorHAnsi" w:hAnsiTheme="minorHAnsi" w:cstheme="minorHAnsi"/>
        </w:rPr>
        <w:t>Noe and Graham 19</w:t>
      </w:r>
      <w:r w:rsidRPr="00273B99">
        <w:rPr>
          <w:rFonts w:asciiTheme="minorHAnsi" w:hAnsiTheme="minorHAnsi" w:cstheme="minorHAnsi"/>
        </w:rPr>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w:t>
      </w:r>
    </w:p>
    <w:p w14:paraId="54F825A5" w14:textId="77777777" w:rsidR="00CC2CC5" w:rsidRDefault="00CC2CC5" w:rsidP="00CC2CC5">
      <w:r>
        <w:t>While perhaps not appreciated until recently, the Trump Administration has an historic opportunity to dramatically advance the cost-benefit state.1 In 2009, Entergy Corp. v. Riverkeeper, Inc.2 was an inflection point in the Supreme Court’s treatment of the principles of benefit-cost balancing supported by every president since Ronald Reagan. Against the backdrop of this established administrative practice, the Court reversed what some had argued was a judicially-constructed presumption against benefit-cost balancing unless it was clearly permitted in the statute3 to reading statutory silence or ambiguity as allowing this type of rational regulation. The progress toward the cost-benefit state continued through the Court’s 2015 Michigan v. EPA4 decision, which held that EPA’s refusal to consider cost when it had the authority to do so was unreasonable and thus unlawful. The Court now reads “silences or ambiguities in the language of regulatory statutes as permitting, not forbidding, this type of rational regulation.”5 This change makes judicial review on this issue consistent with the Chevron doctrine more generally, under which courts defer to agency readings of ambiguous statutes.6</w:t>
      </w:r>
    </w:p>
    <w:p w14:paraId="4EC90FCB" w14:textId="77777777" w:rsidR="00CC2CC5" w:rsidRDefault="00CC2CC5" w:rsidP="00CC2CC5">
      <w:r>
        <w:t>The importance of clarifying the authority of regulatory agencies to implement statutes through benefit-cost balancing should not be underestimated. Since 1981, every president has required executive agencies to conduct benefit-cost analysis and only regulate if and to the extent it will do more good than harm. The majority of environmental statutes – and to our knowledge, of all regulatory statutes – are silent or ambiguous on benefit-cost balancing, but all too often, agencies have interpreted their statutes to preclude full compliance with the presidential directives. Following Entergy, Michigan and their progeny, all agencies, including independent agencies, should reinterpret their statutes to fully embrace benefit-cost balancing, unless clearly prohibited by statute. While EPA is considering this invitation and other agencies could follow, the Executive Branch as a whole should fully embrace this extraordinary opportunity through three actions: (1) an overarching directive from the President or OMB for agencies to reinterpret their regulatory statutes to do more good than harm; (2) binding agency regulations channeling their discretion to only do more good than harm, unless clearly prohibited by statute; and (3) binding OMB regulations to ensure the quality of the information agencies use for benefit-cost balancing. We agree with the Supreme Court that it is “eminently reasonable” to ensure that regulations do more good than harm.</w:t>
      </w:r>
    </w:p>
    <w:p w14:paraId="126FCB52" w14:textId="77777777" w:rsidR="00CC2CC5" w:rsidRDefault="00CC2CC5" w:rsidP="00CC2CC5">
      <w:r>
        <w:t xml:space="preserve">I. Introduction </w:t>
      </w:r>
    </w:p>
    <w:p w14:paraId="65D7C3D5" w14:textId="77777777" w:rsidR="00CC2CC5" w:rsidRPr="00671735" w:rsidRDefault="00CC2CC5" w:rsidP="00CC2CC5">
      <w:r>
        <w:t>While efforts to promote the use of benefit-cost analysis8 in regulatory decision making have had many setbacks,9 over time a remarkable consensus has emerged. Optimists can argue that all three branches of government, or at least a majority in them, now embrace the central role of benefit-cost analysis in regulatory decision making. In the Executive Branch, there is a striking similarity among the principles for benefit-cost balancing and centralized review of regulation required by every modern president at least since Ronald Reagan, 10 including Bush41, Bill Clinton, Bush43, Barack Obama, and Donald Trump. 11 In Congress, there recently was a renewed interest in requiring benefit-cost analysis by statute. 12 Finally, the Judicial Branch, and the Supreme Court in particular, has endorsed the use of benefit-cost analysis in a host of regulatory programs, and if agencies ignore this invitation, they could undermine the very programs they want to promote.13</w:t>
      </w:r>
    </w:p>
    <w:p w14:paraId="2180A151" w14:textId="77777777" w:rsidR="00CC2CC5" w:rsidRDefault="00CC2CC5" w:rsidP="00CC2CC5">
      <w:r>
        <w:br w:type="page"/>
      </w:r>
    </w:p>
    <w:p w14:paraId="5EB95938" w14:textId="77777777" w:rsidR="00CC2CC5" w:rsidRPr="00FA4DD7" w:rsidRDefault="00CC2CC5" w:rsidP="00CC2CC5">
      <w:pPr>
        <w:pStyle w:val="Heading3"/>
      </w:pPr>
      <w:r>
        <w:t>Internal link – 2NC</w:t>
      </w:r>
    </w:p>
    <w:p w14:paraId="07A0AD69" w14:textId="77777777" w:rsidR="00CC2CC5" w:rsidRDefault="00CC2CC5" w:rsidP="00CC2CC5">
      <w:pPr>
        <w:pStyle w:val="Heading4"/>
      </w:pPr>
      <w:r>
        <w:t>Abandoning Chevron would politicize judging and throw administrative law into chaos</w:t>
      </w:r>
    </w:p>
    <w:p w14:paraId="3A29567C" w14:textId="77777777" w:rsidR="00CC2CC5" w:rsidRDefault="00CC2CC5" w:rsidP="00CC2CC5">
      <w:r w:rsidRPr="00FA4DD7">
        <w:rPr>
          <w:rStyle w:val="Style13ptBold"/>
        </w:rPr>
        <w:t>Sunstein 18</w:t>
      </w:r>
      <w:r>
        <w:t xml:space="preserve"> (Cass R. Sunstein, </w:t>
      </w:r>
      <w:r w:rsidRPr="00FA4DD7">
        <w:t>Robert Walmsley University Professor</w:t>
      </w:r>
      <w:r>
        <w:t xml:space="preserve"> at</w:t>
      </w:r>
      <w:r w:rsidRPr="00FA4DD7">
        <w:t xml:space="preserve"> Harvard University</w:t>
      </w:r>
      <w:r>
        <w:t>, “</w:t>
      </w:r>
      <w:r w:rsidRPr="00FA4DD7">
        <w:t>CHEVRON WITHOUT CHEVRON</w:t>
      </w:r>
      <w:r>
        <w:t xml:space="preserve">,” The Supreme Court Review, 2018, </w:t>
      </w:r>
      <w:hyperlink r:id="rId37" w:history="1">
        <w:r w:rsidRPr="00DE1B94">
          <w:rPr>
            <w:rStyle w:val="Hyperlink"/>
          </w:rPr>
          <w:t>https://www.journals.uchicago.edu/doi/abs/10.1086/701881?journalCode=scr)//cb</w:t>
        </w:r>
      </w:hyperlink>
    </w:p>
    <w:p w14:paraId="5EE79582" w14:textId="77777777" w:rsidR="00CC2CC5" w:rsidRDefault="00CC2CC5" w:rsidP="00CC2CC5">
      <w:pPr>
        <w:rPr>
          <w:sz w:val="16"/>
        </w:rPr>
      </w:pPr>
      <w:r w:rsidRPr="00FA4DD7">
        <w:rPr>
          <w:sz w:val="16"/>
        </w:rPr>
        <w:t xml:space="preserve">It takes some work to imagine what the world of adminis- trative law would have looked like without Chevron, or if Chevron 96 had been abandoned in, say, 1987. The best way to do that is to focus on particular cases, and on that count, Chevron itself is the most obvious candidate. We have seen that both textualism and purpo- sivism lead nowhere, or at least nowhere good, meaning nowhere concrete—a conclusion that holds for many cases decided with ref- 97 erence to Chevron. Something similar can often be said about the use of canons of construction, now available under Step One of Chevron. But I have urged that </w:t>
      </w:r>
      <w:r w:rsidRPr="00FA4DD7">
        <w:rPr>
          <w:rStyle w:val="StyleUnderline"/>
        </w:rPr>
        <w:t>in Chevron itself, a current court might</w:t>
      </w:r>
      <w:r w:rsidRPr="00FA4DD7">
        <w:rPr>
          <w:sz w:val="16"/>
        </w:rPr>
        <w:t xml:space="preserve"> well </w:t>
      </w:r>
      <w:r w:rsidRPr="00FA4DD7">
        <w:rPr>
          <w:rStyle w:val="StyleUnderline"/>
        </w:rPr>
        <w:t xml:space="preserve">invoke a canon in favor of some kind of cost-benefit balancing </w:t>
      </w:r>
      <w:r w:rsidRPr="00FA4DD7">
        <w:rPr>
          <w:sz w:val="16"/>
        </w:rPr>
        <w:t xml:space="preserve">in 98 If Chevron did not exist, or if it were abandoned or scaled back, Skidmore deference might turn out to be far more important than it is today. In principle, it is weaker than Chevron deference, and that appears to be true in practice as well. If Skidmore deference were applied in Chevron, the agency would undoubtedly win, simply be- cause other sources of statutory meaning did not cut against its in- terpretation. We have also seen that without Chevron, a court might well uphold the agency’s interpretation on the ground that it did not violate any provision of law. One of the lessons of this lengthy exercise is that without Chevron, Chevron would almost certainly have come out the same way, though through more complicated routes. Another lesson is that </w:t>
      </w:r>
      <w:r w:rsidRPr="00FA4DD7">
        <w:rPr>
          <w:rStyle w:val="StyleUnderline"/>
        </w:rPr>
        <w:t>the most important resources available for deciding Chevron without Chevron— text, purpose, canons of construction—remain fully available for deciding Chevron with Chevron.</w:t>
      </w:r>
      <w:r w:rsidRPr="00FA4DD7">
        <w:rPr>
          <w:sz w:val="16"/>
        </w:rPr>
        <w:t xml:space="preserve"> In these circumstances, </w:t>
      </w:r>
      <w:r w:rsidRPr="00FA4DD7">
        <w:rPr>
          <w:rStyle w:val="StyleUnderline"/>
        </w:rPr>
        <w:t>the argument</w:t>
      </w:r>
      <w:r w:rsidRPr="00FA4DD7">
        <w:rPr>
          <w:sz w:val="16"/>
        </w:rPr>
        <w:t xml:space="preserve"> 100 </w:t>
      </w:r>
      <w:r w:rsidRPr="00FA4DD7">
        <w:rPr>
          <w:rStyle w:val="StyleUnderline"/>
        </w:rPr>
        <w:t xml:space="preserve">for abandoning Chevron is </w:t>
      </w:r>
      <w:r w:rsidRPr="00FA4DD7">
        <w:rPr>
          <w:rStyle w:val="Emphasis"/>
        </w:rPr>
        <w:t>weaker than it might otherwise seem</w:t>
      </w:r>
      <w:r w:rsidRPr="00FA4DD7">
        <w:rPr>
          <w:sz w:val="16"/>
        </w:rPr>
        <w:t xml:space="preserve">. </w:t>
      </w:r>
      <w:r w:rsidRPr="00FA4DD7">
        <w:rPr>
          <w:rStyle w:val="StyleUnderline"/>
        </w:rPr>
        <w:t xml:space="preserve">Doing so would introduce new levels of uncertainty, even a degree of </w:t>
      </w:r>
      <w:r w:rsidRPr="00FA4DD7">
        <w:rPr>
          <w:rStyle w:val="Emphasis"/>
        </w:rPr>
        <w:t>chaos,</w:t>
      </w:r>
      <w:r w:rsidRPr="00FA4DD7">
        <w:rPr>
          <w:rStyle w:val="StyleUnderline"/>
        </w:rPr>
        <w:t xml:space="preserve"> about </w:t>
      </w:r>
      <w:r w:rsidRPr="00FA4DD7">
        <w:rPr>
          <w:sz w:val="16"/>
        </w:rPr>
        <w:t xml:space="preserve">a recurring issue in </w:t>
      </w:r>
      <w:r w:rsidRPr="00FA4DD7">
        <w:rPr>
          <w:rStyle w:val="StyleUnderline"/>
        </w:rPr>
        <w:t>administrative law.</w:t>
      </w:r>
      <w:r w:rsidRPr="00FA4DD7">
        <w:rPr>
          <w:sz w:val="16"/>
        </w:rPr>
        <w:t xml:space="preserve"> It would alter the background against which Congress has enacted numerous statutes 101 since 1984. </w:t>
      </w:r>
      <w:r w:rsidRPr="00FA4DD7">
        <w:rPr>
          <w:rStyle w:val="StyleUnderline"/>
        </w:rPr>
        <w:t>It would result in far more politicized judging.</w:t>
      </w:r>
      <w:r w:rsidRPr="00FA4DD7">
        <w:rPr>
          <w:sz w:val="16"/>
        </w:rPr>
        <w:t xml:space="preserve"> It would require answers to a host of open questions. In short, </w:t>
      </w:r>
      <w:r w:rsidRPr="00FA4DD7">
        <w:rPr>
          <w:rStyle w:val="StyleUnderline"/>
        </w:rPr>
        <w:t>there would be a lot of dust to clear</w:t>
      </w:r>
      <w:r w:rsidRPr="00FA4DD7">
        <w:rPr>
          <w:sz w:val="16"/>
        </w:rPr>
        <w:t>. The irony is that after a lengthy and difficult cleanup operation, and after adoption of novel formulations, the framework that would ultimately replace Chevron would be likely to operate, in practice, a fair bit like that in Chevron itself.</w:t>
      </w:r>
    </w:p>
    <w:p w14:paraId="755F7A7C" w14:textId="77777777" w:rsidR="00CC2CC5" w:rsidRDefault="00CC2CC5" w:rsidP="00CC2CC5">
      <w:pPr>
        <w:rPr>
          <w:sz w:val="16"/>
        </w:rPr>
      </w:pPr>
    </w:p>
    <w:p w14:paraId="6AEAD437" w14:textId="77777777" w:rsidR="00CC2CC5" w:rsidRDefault="00CC2CC5" w:rsidP="00CC2CC5">
      <w:pPr>
        <w:pStyle w:val="Heading4"/>
      </w:pPr>
      <w:r>
        <w:t xml:space="preserve">Court decisions about agency deference are </w:t>
      </w:r>
      <w:r>
        <w:rPr>
          <w:u w:val="single"/>
        </w:rPr>
        <w:t>far-reaching</w:t>
      </w:r>
      <w:r>
        <w:t xml:space="preserve"> and cause a </w:t>
      </w:r>
      <w:r>
        <w:rPr>
          <w:u w:val="single"/>
        </w:rPr>
        <w:t>ripple effect</w:t>
      </w:r>
      <w:r>
        <w:t xml:space="preserve"> on future rulings.</w:t>
      </w:r>
    </w:p>
    <w:p w14:paraId="4DDC34D8" w14:textId="77777777" w:rsidR="00CC2CC5" w:rsidRPr="00D74858" w:rsidRDefault="00CC2CC5" w:rsidP="00CC2CC5">
      <w:pPr>
        <w:rPr>
          <w:rStyle w:val="StyleUnderline"/>
          <w:b/>
          <w:u w:val="none"/>
        </w:rPr>
      </w:pPr>
      <w:r>
        <w:rPr>
          <w:rStyle w:val="Style13ptBold"/>
        </w:rPr>
        <w:t>Smith</w:t>
      </w:r>
      <w:r w:rsidRPr="006004CE">
        <w:rPr>
          <w:rStyle w:val="Style13ptBold"/>
        </w:rPr>
        <w:t xml:space="preserve"> </w:t>
      </w:r>
      <w:r>
        <w:rPr>
          <w:rStyle w:val="Style13ptBold"/>
        </w:rPr>
        <w:t>7</w:t>
      </w:r>
      <w:r w:rsidRPr="006004CE">
        <w:rPr>
          <w:rStyle w:val="Style13ptBold"/>
        </w:rPr>
        <w:t xml:space="preserve"> </w:t>
      </w:r>
      <w:r>
        <w:t xml:space="preserve">— Joseph L. Smith, </w:t>
      </w:r>
      <w:r w:rsidRPr="004E4B26">
        <w:t>Associate Professor</w:t>
      </w:r>
      <w:r>
        <w:t xml:space="preserve"> of Political Science at the University of Alabama, holds a Ph.D. from the University of Texas at Austin, 2007 (“</w:t>
      </w:r>
      <w:r w:rsidRPr="001A02D2">
        <w:t>Presidents, Justices, and Deference to Administrative Action</w:t>
      </w:r>
      <w:r>
        <w:t xml:space="preserve">,” </w:t>
      </w:r>
      <w:r>
        <w:rPr>
          <w:i/>
          <w:iCs/>
        </w:rPr>
        <w:t xml:space="preserve">The Journal of Law, Economics, &amp; Organization, </w:t>
      </w:r>
      <w:r>
        <w:t>Volume 23, Issue 2, Available Online to Subscribing Institutions via SSRN, p. 347-348)</w:t>
      </w:r>
    </w:p>
    <w:p w14:paraId="13E42DD8" w14:textId="77777777" w:rsidR="00CC2CC5" w:rsidRPr="001636DD" w:rsidRDefault="00CC2CC5" w:rsidP="00CC2CC5">
      <w:r w:rsidRPr="001636DD">
        <w:t>2. The Court’s Administrative Law Decisions</w:t>
      </w:r>
    </w:p>
    <w:p w14:paraId="33BF761C" w14:textId="77777777" w:rsidR="00CC2CC5" w:rsidRPr="001636DD" w:rsidRDefault="00CC2CC5" w:rsidP="00CC2CC5">
      <w:r w:rsidRPr="001636DD">
        <w:rPr>
          <w:rStyle w:val="StyleUnderline"/>
        </w:rPr>
        <w:t>Disputes over the decisions of administrative agencies, in which the Supreme Court must either defer to or overturn the agencies’ decisions, implicate both policy and institutional choices.</w:t>
      </w:r>
      <w:r w:rsidRPr="001636DD">
        <w:t xml:space="preserve"> In policy, or ideological, terms, these disputes usually offer a choice between a liberal and a conservative outcome and there- fore activate the justices’ ideological attitudes. </w:t>
      </w:r>
      <w:r w:rsidRPr="001636DD">
        <w:rPr>
          <w:rStyle w:val="StyleUnderline"/>
        </w:rPr>
        <w:t>In institutional terms, these dis- putes always offer a choice between endorsing the agency’s action and overturning it.</w:t>
      </w:r>
      <w:r w:rsidRPr="001636DD">
        <w:t xml:space="preserve"> The consequences of the ideological choice are clear and lim- ited. The outcome of the case will impose a liberal or conservative result in the particular dispute before the Court.</w:t>
      </w:r>
    </w:p>
    <w:p w14:paraId="5322E451" w14:textId="77777777" w:rsidR="00CC2CC5" w:rsidRPr="001636DD" w:rsidRDefault="00CC2CC5" w:rsidP="00CC2CC5">
      <w:pPr>
        <w:rPr>
          <w:rStyle w:val="StyleUnderline"/>
        </w:rPr>
      </w:pPr>
      <w:r w:rsidRPr="001636DD">
        <w:rPr>
          <w:rStyle w:val="StyleUnderline"/>
        </w:rPr>
        <w:t xml:space="preserve">The consequences of the institutional choice are more complex and poten- tially </w:t>
      </w:r>
      <w:r w:rsidRPr="001636DD">
        <w:rPr>
          <w:rStyle w:val="Emphasis"/>
        </w:rPr>
        <w:t>far-reaching</w:t>
      </w:r>
      <w:r w:rsidRPr="001636DD">
        <w:rPr>
          <w:rStyle w:val="StyleUnderline"/>
        </w:rPr>
        <w:t xml:space="preserve">. A decision endorsing the disputed agency action not only allows the agency decision to stand (with whatever policy consequences that entails) but also signals to the lower courts that agencies should be given lat- itude to take the disputed action. </w:t>
      </w:r>
      <w:r w:rsidRPr="001636DD">
        <w:rPr>
          <w:rStyle w:val="Emphasis"/>
        </w:rPr>
        <w:t>Every decision</w:t>
      </w:r>
      <w:r w:rsidRPr="001636DD">
        <w:rPr>
          <w:rStyle w:val="StyleUnderline"/>
        </w:rPr>
        <w:t xml:space="preserve"> upholding a disputed agency action expands, ever so slightly perhaps, the ability of agencies to implement their agendas. Because lower courts are supposed to implement the legal doc- trines articulated by the Supreme Court, the effects of this institutional choice, whether or not to defer to the agency decision, will </w:t>
      </w:r>
      <w:r w:rsidRPr="001636DD">
        <w:rPr>
          <w:rStyle w:val="Emphasis"/>
        </w:rPr>
        <w:t>ripple throughout</w:t>
      </w:r>
      <w:r w:rsidRPr="001636DD">
        <w:rPr>
          <w:rStyle w:val="StyleUnderline"/>
        </w:rPr>
        <w:t xml:space="preserve"> the lower courts and should affect the decisions in many disputes.</w:t>
      </w:r>
    </w:p>
    <w:p w14:paraId="7C9DD096" w14:textId="77777777" w:rsidR="00CC2CC5" w:rsidRDefault="00CC2CC5" w:rsidP="00CC2CC5">
      <w:r w:rsidRPr="001636DD">
        <w:t xml:space="preserve">This article continues a line of research begun by Linda Cohen and Matt Spitzer in the 1990s. Cohen and Spitzer began with the insight that </w:t>
      </w:r>
      <w:r w:rsidRPr="001636DD">
        <w:rPr>
          <w:rStyle w:val="StyleUnderline"/>
        </w:rPr>
        <w:t xml:space="preserve">Supreme Court decisions evaluating agency actions do more than merely uphold or overturn the action being litigated. These decisions also communicate legal doctrine to the lower courts, sending signals regarding the level of deference they should show to agency decisions. Given the small number of administra- tive law cases the Supreme Court hears each term, they assert that the </w:t>
      </w:r>
      <w:r w:rsidRPr="001636DD">
        <w:rPr>
          <w:rStyle w:val="Emphasis"/>
        </w:rPr>
        <w:t>signal- sending or doctrinal</w:t>
      </w:r>
      <w:r w:rsidRPr="001636DD">
        <w:rPr>
          <w:rStyle w:val="StyleUnderline"/>
        </w:rPr>
        <w:t xml:space="preserve"> element of these decisions will have a larger impact on policy than the direct effects on the litigants.</w:t>
      </w:r>
      <w:r w:rsidRPr="001636DD">
        <w:t xml:space="preserve"> Cohen and Spitzer argue that Supreme Court Justices can best achieve their policy-related goals if they con- sider their ideological relationship with the executive branch and then factor this relationship into their decisions evaluating administrative actions. Their model generally suggests that as the median member of the Court gets ideo- logically closer to the president, the Court should become more deferential to the administrative action.</w:t>
      </w:r>
    </w:p>
    <w:p w14:paraId="4D58108A" w14:textId="77777777" w:rsidR="00CC2CC5" w:rsidRDefault="00CC2CC5" w:rsidP="00CC2CC5"/>
    <w:p w14:paraId="467F5653" w14:textId="77777777" w:rsidR="00CC2CC5" w:rsidRDefault="00CC2CC5" w:rsidP="00CC2CC5">
      <w:pPr>
        <w:pStyle w:val="Heading4"/>
      </w:pPr>
      <w:r>
        <w:t xml:space="preserve">Circuit courts send a </w:t>
      </w:r>
      <w:r w:rsidRPr="00B9197E">
        <w:rPr>
          <w:u w:val="single"/>
        </w:rPr>
        <w:t>large perception</w:t>
      </w:r>
      <w:r>
        <w:t xml:space="preserve"> that influence agency actions.</w:t>
      </w:r>
    </w:p>
    <w:p w14:paraId="1E1F7FFA" w14:textId="77777777" w:rsidR="00CC2CC5" w:rsidRDefault="00CC2CC5" w:rsidP="00CC2CC5">
      <w:r>
        <w:rPr>
          <w:rStyle w:val="Style13ptBold"/>
        </w:rPr>
        <w:t>Smith</w:t>
      </w:r>
      <w:r w:rsidRPr="006004CE">
        <w:rPr>
          <w:rStyle w:val="Style13ptBold"/>
        </w:rPr>
        <w:t xml:space="preserve"> </w:t>
      </w:r>
      <w:r>
        <w:rPr>
          <w:rStyle w:val="Style13ptBold"/>
        </w:rPr>
        <w:t>7</w:t>
      </w:r>
      <w:r w:rsidRPr="006004CE">
        <w:rPr>
          <w:rStyle w:val="Style13ptBold"/>
        </w:rPr>
        <w:t xml:space="preserve"> </w:t>
      </w:r>
      <w:r>
        <w:t xml:space="preserve">— Joseph L. Smith, </w:t>
      </w:r>
      <w:r w:rsidRPr="004E4B26">
        <w:t>Associate Professor</w:t>
      </w:r>
      <w:r>
        <w:t xml:space="preserve"> of Political Science at the University of Alabama, holds a Ph.D. from the University of Texas at Austin, 2007 (“</w:t>
      </w:r>
      <w:r w:rsidRPr="001A02D2">
        <w:t>Presidents, Justices, and Deference to Administrative Action</w:t>
      </w:r>
      <w:r>
        <w:t xml:space="preserve">,” </w:t>
      </w:r>
      <w:r>
        <w:rPr>
          <w:i/>
          <w:iCs/>
        </w:rPr>
        <w:t xml:space="preserve">The Journal of Law, Economics, &amp; Organization, </w:t>
      </w:r>
      <w:r>
        <w:t>Volume 23, Issue 2, Available Online to Subscribing Institutions via SSRN, p. 350-351)</w:t>
      </w:r>
    </w:p>
    <w:p w14:paraId="397D5AC9" w14:textId="77777777" w:rsidR="00CC2CC5" w:rsidRPr="001636DD" w:rsidRDefault="00CC2CC5" w:rsidP="00CC2CC5">
      <w:pPr>
        <w:rPr>
          <w:rStyle w:val="StyleUnderline"/>
        </w:rPr>
      </w:pPr>
      <w:r>
        <w:t>3.</w:t>
      </w:r>
      <w:r w:rsidRPr="001636DD">
        <w:t xml:space="preserve">3.1 </w:t>
      </w:r>
      <w:r w:rsidRPr="001636DD">
        <w:rPr>
          <w:rStyle w:val="StyleUnderline"/>
        </w:rPr>
        <w:t>Presidential Control of the Bureaucracy. Presidents have many tools to control the bureaucracy and employ administrative and regulatory agencies to carry out their policy agendas.</w:t>
      </w:r>
      <w:r w:rsidRPr="001636DD">
        <w:t xml:space="preserve"> Wood and Waterman (1991), McCarty and Raza- ghian (1999), and Moe (2003) describe and analyze the impressive ability of presidents to control administrative policy-making. Kagan (2001) recounts that </w:t>
      </w:r>
      <w:r w:rsidRPr="001636DD">
        <w:rPr>
          <w:rStyle w:val="StyleUnderline"/>
        </w:rPr>
        <w:t>beginning with Ford, every president has required proposed Federal Regulations to be routed through the White House for approval. Kagan cites executive orders, the appointment power, directing administrators to take particular actions, and close monitoring of administrators as tools of presidential control.</w:t>
      </w:r>
    </w:p>
    <w:p w14:paraId="19109701" w14:textId="77777777" w:rsidR="00CC2CC5" w:rsidRPr="001636DD" w:rsidRDefault="00CC2CC5" w:rsidP="00CC2CC5">
      <w:pPr>
        <w:rPr>
          <w:rStyle w:val="StyleUnderline"/>
        </w:rPr>
      </w:pPr>
      <w:r w:rsidRPr="001636DD">
        <w:rPr>
          <w:rStyle w:val="StyleUnderline"/>
        </w:rPr>
        <w:t>The impressive array of presidential tools suggests that policy decisions made by bureaucracies under the president’s control should largely mirror the president’s preferences.</w:t>
      </w:r>
      <w:r w:rsidRPr="001636DD">
        <w:t xml:space="preserve"> The Supreme Court took note of presidential con- trol of the bureaucracy in its 1983 decision Motor Vehicle Manufacturing As- sociation v. State Farm 463 U.S. 29 (1983). Upon assuming office, the Reagan administration had abandoned a regulatory rule developed under the previous administration. Some of the justices recognized that ‘‘[t]he agency’s changed view of the standard seems to be related to the election of a new president of a different political party’’ (463 U.S. 29, 59). </w:t>
      </w:r>
      <w:r w:rsidRPr="001636DD">
        <w:rPr>
          <w:rStyle w:val="StyleUnderline"/>
        </w:rPr>
        <w:t>Justices understand that administrative policy is significantly a reflection of the president’s policy preferences.</w:t>
      </w:r>
    </w:p>
    <w:p w14:paraId="2C7DCDDE" w14:textId="77777777" w:rsidR="00CC2CC5" w:rsidRPr="001636DD" w:rsidRDefault="00CC2CC5" w:rsidP="00CC2CC5">
      <w:r w:rsidRPr="001636DD">
        <w:t xml:space="preserve">3.3.2 </w:t>
      </w:r>
      <w:r w:rsidRPr="001636DD">
        <w:rPr>
          <w:rStyle w:val="StyleUnderline"/>
        </w:rPr>
        <w:t xml:space="preserve">The Role of the Circuit Courts in Administrative Law. In terms of the num- ber of disputes resolved, the circuit courts exercise </w:t>
      </w:r>
      <w:r w:rsidRPr="001636DD">
        <w:rPr>
          <w:rStyle w:val="Emphasis"/>
        </w:rPr>
        <w:t>far more influence</w:t>
      </w:r>
      <w:r w:rsidRPr="001636DD">
        <w:rPr>
          <w:rStyle w:val="StyleUnderline"/>
        </w:rPr>
        <w:t xml:space="preserve"> of ad- ministrative agencies</w:t>
      </w:r>
      <w:r w:rsidRPr="001636DD">
        <w:t xml:space="preserve"> than the Supreme Court. </w:t>
      </w:r>
      <w:r w:rsidRPr="001636DD">
        <w:rPr>
          <w:rStyle w:val="StyleUnderline"/>
        </w:rPr>
        <w:t xml:space="preserve">Circuit Courts decided nearly 10,000 appeals directly from federal administrative agencies in 2003 </w:t>
      </w:r>
      <w:r w:rsidRPr="001636DD">
        <w:t>(Mecham 2003). During the terms from 1978 to 1989, the Supreme Court never accepted more than 40 cases reviewing administrative action (Cohen and Spitzer 1996). This number of disputes is a drop in the ocean of administrative agency deci- sions, so the direct effect of the Supreme Court’s decisions is insignificant in terms of guiding administrative policy.</w:t>
      </w:r>
    </w:p>
    <w:p w14:paraId="714F8294" w14:textId="77777777" w:rsidR="00CC2CC5" w:rsidRPr="001636DD" w:rsidRDefault="00CC2CC5" w:rsidP="00CC2CC5">
      <w:pPr>
        <w:rPr>
          <w:rStyle w:val="StyleUnderline"/>
        </w:rPr>
      </w:pPr>
      <w:r w:rsidRPr="001636DD">
        <w:t xml:space="preserve">However, </w:t>
      </w:r>
      <w:r w:rsidRPr="001636DD">
        <w:rPr>
          <w:rStyle w:val="StyleUnderline"/>
        </w:rPr>
        <w:t xml:space="preserve">the Supreme Court can make use of the lower courts’ vastly su- perior capacity to influence administrative law. The circuit courts influence administrative policy directly through the disputes they resolve and indirectly because agencies </w:t>
      </w:r>
      <w:r w:rsidRPr="001636DD">
        <w:rPr>
          <w:rStyle w:val="Emphasis"/>
        </w:rPr>
        <w:t>anticipate</w:t>
      </w:r>
      <w:r w:rsidRPr="001636DD">
        <w:rPr>
          <w:rStyle w:val="StyleUnderline"/>
        </w:rPr>
        <w:t xml:space="preserve"> how the circuit courts would evaluate their actions. If Supreme Court Justices are interested in influencing administrative policy, they should focus on influencing administrative agencies indirectly through the circuit courts rather than directly.</w:t>
      </w:r>
    </w:p>
    <w:p w14:paraId="12516C2B" w14:textId="77777777" w:rsidR="00CC2CC5" w:rsidRPr="001636DD" w:rsidRDefault="00CC2CC5" w:rsidP="00CC2CC5">
      <w:r w:rsidRPr="001636DD">
        <w:rPr>
          <w:rStyle w:val="StyleUnderline"/>
        </w:rPr>
        <w:t>There is evidence that circuit courts do follow the Supreme Court’s lead in deciding cases.</w:t>
      </w:r>
      <w:r w:rsidRPr="001636DD">
        <w:t xml:space="preserve"> Songer et al. (1994) show that the circuit courts did implement changes in the way the Supreme Court viewed search and seizure cases. </w:t>
      </w:r>
      <w:r w:rsidRPr="001636DD">
        <w:rPr>
          <w:rStyle w:val="StyleUnderline"/>
        </w:rPr>
        <w:t>In the area of administrative law, Schuck and Elliott found that the circuit courts did seem to implement the Supreme Court’s Chevron decision [Chevron v. Natural Resources Defense Council, 467 U.S. 837 (1984)] endorsing a more deferen- tial judicial review of administrative decisions, noting that reversals and remands of agency decisions plunged 40% in the year following Chevron</w:t>
      </w:r>
      <w:r w:rsidRPr="001636DD">
        <w:t xml:space="preserve"> (Schuck and Elliott 1990, 1030).</w:t>
      </w:r>
    </w:p>
    <w:p w14:paraId="58AF5F99" w14:textId="77777777" w:rsidR="00CC2CC5" w:rsidRDefault="00CC2CC5" w:rsidP="00CC2CC5">
      <w:r w:rsidRPr="001636DD">
        <w:rPr>
          <w:rStyle w:val="StyleUnderline"/>
        </w:rPr>
        <w:t>Cohen and Spitzer emphasize the importance of the circuit courts in implementing the Court’s decisions on a broad scale</w:t>
      </w:r>
      <w:r w:rsidRPr="001636DD">
        <w:t xml:space="preserve">, and the decisions of circuit court judges in administrative law are influenced by their ideology (Humphries and Songer 1999). However, the ideology of circuit court judges does not play a role in the theory of Cohen and Spitzer. Whether the circuit courts are dominated by liberal, moderate, or conservative judges, </w:t>
      </w:r>
      <w:r w:rsidRPr="001636DD">
        <w:rPr>
          <w:rStyle w:val="StyleUnderline"/>
        </w:rPr>
        <w:t>the justices’ preferences about defer- ential or aggressive scrutiny of administrative decisions are determined by their ideological relationship with the president.</w:t>
      </w:r>
    </w:p>
    <w:p w14:paraId="5AF35057" w14:textId="77777777" w:rsidR="00CC2CC5" w:rsidRDefault="00CC2CC5" w:rsidP="00CC2CC5"/>
    <w:p w14:paraId="435DF8B1" w14:textId="77777777" w:rsidR="00CC2CC5" w:rsidRPr="00712E5E" w:rsidRDefault="00CC2CC5" w:rsidP="00CC2CC5">
      <w:pPr>
        <w:pStyle w:val="Heading4"/>
      </w:pPr>
      <w:r w:rsidRPr="00712E5E">
        <w:t>The plan’s precedent gets modeled in lower courts — spills over to future reading and agency power.</w:t>
      </w:r>
    </w:p>
    <w:p w14:paraId="071A6509" w14:textId="77777777" w:rsidR="00CC2CC5" w:rsidRPr="00712E5E" w:rsidRDefault="00CC2CC5" w:rsidP="00CC2CC5">
      <w:r w:rsidRPr="00712E5E">
        <w:rPr>
          <w:rStyle w:val="Style13ptBold"/>
        </w:rPr>
        <w:t>Gleeson 20</w:t>
      </w:r>
      <w:r w:rsidRPr="00712E5E">
        <w:t xml:space="preserve"> — John Gleeson, Professor at New York University Law School and Harvard Law School, partner, member of the White Collar &amp; Regulatory Defense Group, and member of the Commercial Litigation Group at Debevoise &amp; Plimpton LLP, for U.S. District Judge, member and Chair of the Defender Services Committee of the Judicial Conference of the U.S., former Assistant United States Attorney serving as Chief of Appeals, Chief of Special Prosecutions, Chief of Organized Crime, and Chief of the Criminal Division, 2020 (“Judicial Scrutiny of DPAs and NPAs,” </w:t>
      </w:r>
      <w:r w:rsidRPr="00712E5E">
        <w:rPr>
          <w:i/>
          <w:iCs/>
        </w:rPr>
        <w:t xml:space="preserve">Global Investigations Review, </w:t>
      </w:r>
      <w:r w:rsidRPr="00712E5E">
        <w:t>May 7</w:t>
      </w:r>
      <w:r w:rsidRPr="00712E5E">
        <w:rPr>
          <w:vertAlign w:val="superscript"/>
        </w:rPr>
        <w:t>th</w:t>
      </w:r>
      <w:r w:rsidRPr="00712E5E">
        <w:t xml:space="preserve">, Available Online at </w:t>
      </w:r>
      <w:hyperlink r:id="rId38" w:history="1">
        <w:r w:rsidRPr="00712E5E">
          <w:rPr>
            <w:rStyle w:val="Hyperlink"/>
          </w:rPr>
          <w:t>https://globalinvestigationsreview.com/guide/the-guide-monitorships/second-edition/article/22-judicial-scrutiny-of-dpas-and-npas</w:t>
        </w:r>
      </w:hyperlink>
      <w:r w:rsidRPr="00712E5E">
        <w:t>)</w:t>
      </w:r>
    </w:p>
    <w:p w14:paraId="1AA2CFBB" w14:textId="77777777" w:rsidR="00CC2CC5" w:rsidRPr="00712E5E" w:rsidRDefault="00CC2CC5" w:rsidP="00CC2CC5">
      <w:r w:rsidRPr="00712E5E">
        <w:t>Prospects for change</w:t>
      </w:r>
    </w:p>
    <w:p w14:paraId="7307FB04" w14:textId="77777777" w:rsidR="00CC2CC5" w:rsidRPr="001636DD" w:rsidRDefault="00CC2CC5" w:rsidP="00CC2CC5">
      <w:r w:rsidRPr="001636DD">
        <w:rPr>
          <w:rStyle w:val="StyleUnderline"/>
        </w:rPr>
        <w:t xml:space="preserve">The tension addressed by HSBC and Fokker arose from the fact that the DOJ, by choosing to resolve investigations of companies through DPAs, deliberately implicated the federal courts by filing criminal charges. When agreed resolutions of criminal investigations contemplate a plea of guilty, judges not only have the power to approve or disapprove the agreement[29] but the duty to ensure that there is a factual basis for the guilty plea before accepting it.[30] The </w:t>
      </w:r>
      <w:r w:rsidRPr="001636DD">
        <w:rPr>
          <w:rStyle w:val="Emphasis"/>
        </w:rPr>
        <w:t>judicial reflexes grounded in that power</w:t>
      </w:r>
      <w:r w:rsidRPr="001636DD">
        <w:rPr>
          <w:rStyle w:val="StyleUnderline"/>
        </w:rPr>
        <w:t xml:space="preserve"> and duty no doubt informed the various examples of district judges stepping in to ensure that the terms of DPAs adequately served the public interest.[31] What the Second Circuit and the DC Circuit made clear, however, is that DPAs, notwithstanding the filing of a criminal charge, </w:t>
      </w:r>
      <w:r w:rsidRPr="001636DD">
        <w:rPr>
          <w:rStyle w:val="Emphasis"/>
        </w:rPr>
        <w:t>are but one manifestation of the power not to prosecute</w:t>
      </w:r>
      <w:r w:rsidRPr="001636DD">
        <w:rPr>
          <w:rStyle w:val="StyleUnderline"/>
        </w:rPr>
        <w:t xml:space="preserve">, a power </w:t>
      </w:r>
      <w:r w:rsidRPr="001636DD">
        <w:rPr>
          <w:rStyle w:val="Emphasis"/>
        </w:rPr>
        <w:t>vested exclusively in the executive branch</w:t>
      </w:r>
      <w:r w:rsidRPr="001636DD">
        <w:t>. In short, judges have neither the power nor the duty to vet the truthfulness, reasonableness or accuracy of the government’s factual allegations, or the charges called for (or foregone) by the DPA.</w:t>
      </w:r>
    </w:p>
    <w:p w14:paraId="1435D09A" w14:textId="77777777" w:rsidR="00CC2CC5" w:rsidRPr="001636DD" w:rsidRDefault="00CC2CC5" w:rsidP="00CC2CC5">
      <w:r w:rsidRPr="001636DD">
        <w:rPr>
          <w:rStyle w:val="StyleUnderline"/>
        </w:rPr>
        <w:t xml:space="preserve">Though the Second Circuit and the DC Circuit are only two of the 12 regional courts of appeals in the United States, they are widely regarded as among the most influential. And their expansive view of executive branch power in this context, which is grounded in both the US Constitution and Supreme Court case law, is not likely to be disturbed by the Supreme Court. As a result, their </w:t>
      </w:r>
      <w:r w:rsidRPr="001636DD">
        <w:rPr>
          <w:rStyle w:val="Emphasis"/>
        </w:rPr>
        <w:t>narrow view of the judicial role with respect to DPAs and monitors has been followed by lower courts</w:t>
      </w:r>
      <w:r w:rsidRPr="001636DD">
        <w:rPr>
          <w:rStyle w:val="StyleUnderline"/>
        </w:rPr>
        <w:t xml:space="preserve"> within and without those circuits[32] and is essentially now the law of the land</w:t>
      </w:r>
      <w:r w:rsidRPr="001636DD">
        <w:t>.</w:t>
      </w:r>
    </w:p>
    <w:p w14:paraId="6F905911" w14:textId="77777777" w:rsidR="00CC2CC5" w:rsidRDefault="00CC2CC5" w:rsidP="00CC2CC5">
      <w:pPr>
        <w:pStyle w:val="Heading3"/>
      </w:pPr>
      <w:r>
        <w:t>I/L – Environment</w:t>
      </w:r>
    </w:p>
    <w:p w14:paraId="0FB5D910" w14:textId="77777777" w:rsidR="00CC2CC5" w:rsidRDefault="00CC2CC5" w:rsidP="00CC2CC5">
      <w:pPr>
        <w:pStyle w:val="Heading4"/>
      </w:pPr>
      <w:r>
        <w:t>Chevron deference is key to environmental regulations – anything else circumvents the aff and allows the worst forms of exploitation</w:t>
      </w:r>
    </w:p>
    <w:p w14:paraId="4E550644" w14:textId="77777777" w:rsidR="00CC2CC5" w:rsidRPr="001B103F" w:rsidRDefault="00CC2CC5" w:rsidP="00CC2CC5">
      <w:r w:rsidRPr="001B103F">
        <w:rPr>
          <w:b/>
          <w:bCs/>
          <w:sz w:val="26"/>
          <w:szCs w:val="26"/>
        </w:rPr>
        <w:t>Goodwin 20</w:t>
      </w:r>
      <w:r>
        <w:t xml:space="preserve"> – Senior Policy Analyst with the Center for Progressive Reform (James, “</w:t>
      </w:r>
      <w:r w:rsidRPr="001B103F">
        <w:t>Will Confirming Judge Barrett be the Death of Chevron Deference?</w:t>
      </w:r>
      <w:r>
        <w:t>,” Union of Concerned Scientists</w:t>
      </w:r>
      <w:r>
        <w:rPr>
          <w:i/>
          <w:iCs/>
        </w:rPr>
        <w:t xml:space="preserve">, </w:t>
      </w:r>
      <w:r>
        <w:t xml:space="preserve">10-15-20, </w:t>
      </w:r>
      <w:hyperlink r:id="rId39" w:history="1">
        <w:r w:rsidRPr="00D37118">
          <w:rPr>
            <w:rStyle w:val="Hyperlink"/>
          </w:rPr>
          <w:t>https://blog.ucsusa.org/guest-commentary/will-confirming-judge-barrett-be-the-death-of-chevron-deference/</w:t>
        </w:r>
      </w:hyperlink>
      <w:r>
        <w:t>, Accessed 8-1-21, LASA-AH)</w:t>
      </w:r>
    </w:p>
    <w:p w14:paraId="2EDE352C" w14:textId="77777777" w:rsidR="00CC2CC5" w:rsidRPr="00D51C93" w:rsidRDefault="00CC2CC5" w:rsidP="00CC2CC5">
      <w:pPr>
        <w:rPr>
          <w:u w:val="single"/>
        </w:rPr>
      </w:pPr>
      <w:r>
        <w:t xml:space="preserve">So, </w:t>
      </w:r>
      <w:r w:rsidRPr="00D51C93">
        <w:rPr>
          <w:u w:val="single"/>
        </w:rPr>
        <w:t>how would eliminating Chevron deference contribute to the goal of kneecapping our system of regulatory safeguards</w:t>
      </w:r>
      <w:r>
        <w:t>? Most immediately</w:t>
      </w:r>
      <w:r w:rsidRPr="00D51C93">
        <w:rPr>
          <w:u w:val="single"/>
        </w:rPr>
        <w:t>, it would erect a major barrier to expertise-based, science-driven implementation of federal regulatory laws like the Clean Air Act.</w:t>
      </w:r>
      <w:r>
        <w:t xml:space="preserve"> It is an inescapable feature of lawmaking that even the best-written laws passed by the most conscientious and virtuous lawmakers could not possibly account for all technical details or possible future contingencies that might arise through sound and faithful implementation. </w:t>
      </w:r>
      <w:r w:rsidRPr="00D51C93">
        <w:rPr>
          <w:u w:val="single"/>
        </w:rPr>
        <w:t>Practical experience of enforcing the law will inevitably uncover gaps and expose ambiguities</w:t>
      </w:r>
      <w:r>
        <w:t xml:space="preserve">. This will especially be the case in regulatory statutes that require the application of cutting-edge science and technology for their effective implementation. </w:t>
      </w:r>
      <w:r w:rsidRPr="00D51C93">
        <w:rPr>
          <w:u w:val="single"/>
        </w:rPr>
        <w:t>What constitutes a “source” of air pollution? Or, how should the EPA go about determining the scope of reductions of air pollution one state should achieve so as not to cause problems for downwind states?</w:t>
      </w:r>
    </w:p>
    <w:p w14:paraId="1DAAA3FD" w14:textId="77777777" w:rsidR="00CC2CC5" w:rsidRDefault="00CC2CC5" w:rsidP="00CC2CC5">
      <w:r>
        <w:t xml:space="preserve">The real question is: Who is in the best position to fill these kinds of gaps and stake out a sensible position amidst these kinds of ambiguities? As both a constitutional and a policy matter, and clearly with respect to technical expertise, we should prefer agencies over the courts, and Chevron deference merely reflects this preference. Constitutionally, this approach is superior because Congress, in authorizing agencies to implement statutes, is also delegating authority to them to resolve these questions – and not to the courts. </w:t>
      </w:r>
      <w:r w:rsidRPr="00D51C93">
        <w:rPr>
          <w:u w:val="single"/>
        </w:rPr>
        <w:t>Thus, intrusion by the courts on these matters would be inconsistent with, if not an open defiance of, the clear instructions that Congress has laid out in the statutes.</w:t>
      </w:r>
      <w:r>
        <w:t xml:space="preserve"> In terms of good policy, agencies – thanks to the vast expertise they have at their disposal (particularly compared to generalist judges) – are better equipped to resolve these details coherently and in a way that best effectuates the laws’ underlying purposes and goals. That is why Congress committed these issues to them in the first place.</w:t>
      </w:r>
    </w:p>
    <w:p w14:paraId="3661F3EE" w14:textId="77777777" w:rsidR="00CC2CC5" w:rsidRDefault="00CC2CC5" w:rsidP="00CC2CC5">
      <w:r>
        <w:t xml:space="preserve">But, </w:t>
      </w:r>
      <w:r w:rsidRPr="00D51C93">
        <w:rPr>
          <w:u w:val="single"/>
        </w:rPr>
        <w:t xml:space="preserve">by repealing Chevron, the Supreme Court would </w:t>
      </w:r>
      <w:r w:rsidRPr="00D51C93">
        <w:rPr>
          <w:b/>
          <w:bCs/>
          <w:u w:val="single"/>
        </w:rPr>
        <w:t>essentially invite judicial policymaking</w:t>
      </w:r>
      <w:r>
        <w:t xml:space="preserve">, as activist judges would have freer rein </w:t>
      </w:r>
      <w:r w:rsidRPr="00D51C93">
        <w:rPr>
          <w:u w:val="single"/>
        </w:rPr>
        <w:t>to exploit unavoidable statutory ambiguities in order to substitute their own policy preferences</w:t>
      </w:r>
      <w:r>
        <w:t>. Or worse, it could halt agency action until Congress could pass legislative changes to resolve all ambiguity. For instance, if construing a term like “source” in a particular way would lead to weaker regulations, then judges might be able to do just that – even if the EPA had sought to adopt a different interpretation that would have promoted stronger public health and environmental safeguards consistent with the Clean Air Act’s protective orientation.</w:t>
      </w:r>
    </w:p>
    <w:p w14:paraId="66D7D530" w14:textId="77777777" w:rsidR="00CC2CC5" w:rsidRDefault="00CC2CC5" w:rsidP="00CC2CC5">
      <w:r>
        <w:t xml:space="preserve">If that’s not bad enough, </w:t>
      </w:r>
      <w:r w:rsidRPr="00D51C93">
        <w:rPr>
          <w:u w:val="single"/>
        </w:rPr>
        <w:t xml:space="preserve">the importance of Chevron has taken on an extra dimension in recent years – </w:t>
      </w:r>
      <w:r w:rsidRPr="00D51C93">
        <w:t>one that not coincidentally traces</w:t>
      </w:r>
      <w:r>
        <w:t xml:space="preserve"> its origins to the paralyzing dysfunction that has come to define Congress: </w:t>
      </w:r>
      <w:r w:rsidRPr="00D51C93">
        <w:rPr>
          <w:u w:val="single"/>
        </w:rPr>
        <w:t>Many agencies’ authorizing statutes have not been updated, to account for changes in technology or emerging threats implicated by the statutes’ objectives</w:t>
      </w:r>
      <w:r>
        <w:t>. The good news, though, is that in many cases, Congress had the foresight to design these statutes in ways that would permit agencies to remain responsive even in the face of inevitable, but always unpredictable, change, as long as deference to agency expertise remains the doctrine.</w:t>
      </w:r>
    </w:p>
    <w:p w14:paraId="011A8994" w14:textId="77777777" w:rsidR="00CC2CC5" w:rsidRDefault="00CC2CC5" w:rsidP="00CC2CC5">
      <w:r>
        <w:t xml:space="preserve">The Clean Air Act offers a good illustration. </w:t>
      </w:r>
      <w:r w:rsidRPr="00D51C93">
        <w:rPr>
          <w:u w:val="single"/>
        </w:rPr>
        <w:t>For years, lawmakers have failed in all efforts at passing legislation to address the climate crisis.</w:t>
      </w:r>
      <w:r>
        <w:t xml:space="preserve"> Consequently, </w:t>
      </w:r>
      <w:r w:rsidRPr="00D51C93">
        <w:rPr>
          <w:u w:val="single"/>
        </w:rPr>
        <w:t>following the Supreme Court’s 2007 Massachusetts v. EPA decision</w:t>
      </w:r>
      <w:r>
        <w:t xml:space="preserve">, which held that the Clean Air Act covered greenhouse gases, </w:t>
      </w:r>
      <w:r w:rsidRPr="00D51C93">
        <w:rPr>
          <w:u w:val="single"/>
        </w:rPr>
        <w:t>the Obama administration set about developing regulations under the statute to address emissions from leading sources</w:t>
      </w:r>
      <w:r>
        <w:t xml:space="preserve">, including automobiles and fossil-fueled power plants. Unsurprisingly, </w:t>
      </w:r>
      <w:r w:rsidRPr="00D51C93">
        <w:rPr>
          <w:u w:val="single"/>
        </w:rPr>
        <w:t xml:space="preserve">the application of the law’s provisions to this novel air pollutant revealed new gaps and ambiguities, which the EPA was required to resolve by </w:t>
      </w:r>
      <w:r w:rsidRPr="00D51C93">
        <w:rPr>
          <w:b/>
          <w:bCs/>
          <w:u w:val="single"/>
        </w:rPr>
        <w:t xml:space="preserve">drawing upon its technical and scientific </w:t>
      </w:r>
      <w:r w:rsidRPr="00D51C93">
        <w:rPr>
          <w:u w:val="single"/>
        </w:rPr>
        <w:t>expertise</w:t>
      </w:r>
      <w:r>
        <w:t>. There was nothing illegitimate or inappropriate about any of this. Rather, the law was working exactly as Congress had intended. Just as importantly, had the Trump administration not repealed those rules, the Chevron deference doctrine still would have provided reviewing courts ample power to police any attempts by the Obama EPA to stray beyond the statute’s boundaries.</w:t>
      </w:r>
    </w:p>
    <w:p w14:paraId="721C9EE5" w14:textId="77777777" w:rsidR="00CC2CC5" w:rsidRDefault="00CC2CC5" w:rsidP="00CC2CC5">
      <w:pPr>
        <w:pStyle w:val="Heading4"/>
      </w:pPr>
      <w:r w:rsidRPr="00AD0E96">
        <w:t>Expansive Chevron</w:t>
      </w:r>
      <w:r>
        <w:t xml:space="preserve"> deference</w:t>
      </w:r>
      <w:r w:rsidRPr="00AD0E96">
        <w:t xml:space="preserve"> is key to EPA rulemaking</w:t>
      </w:r>
      <w:r>
        <w:t xml:space="preserve"> and enforcement</w:t>
      </w:r>
    </w:p>
    <w:p w14:paraId="4F08B6DF" w14:textId="77777777" w:rsidR="00CC2CC5" w:rsidRPr="00793BED" w:rsidRDefault="00CC2CC5" w:rsidP="00CC2CC5">
      <w:r w:rsidRPr="00793BED">
        <w:rPr>
          <w:rStyle w:val="Style13ptBold"/>
        </w:rPr>
        <w:t>Carlson 17</w:t>
      </w:r>
      <w:r>
        <w:t xml:space="preserve"> (Ann, Professor of Environmental Law and the co-Faculty Director of the Emmett Institute on Climate Change and the Environment at UCLA, "Predicting How Neil Gorsuch Would Rule on Environmental Issues", Legal Planet, http://legal-planet.org/2017/01/31/predicting-how-neil-gorsuch-would-rule-on-environmental-issues/)</w:t>
      </w:r>
    </w:p>
    <w:p w14:paraId="1C5C5BCF" w14:textId="77777777" w:rsidR="00CC2CC5" w:rsidRPr="00490E7C" w:rsidRDefault="00CC2CC5" w:rsidP="00CC2CC5">
      <w:pPr>
        <w:rPr>
          <w:sz w:val="12"/>
        </w:rPr>
      </w:pPr>
      <w:r w:rsidRPr="00490E7C">
        <w:rPr>
          <w:sz w:val="12"/>
        </w:rPr>
        <w:t xml:space="preserve">By far the most important is his concurring opinion in Guittierez-Brizuela v. Lynch. The Guittierez-Brizuela case involved how to reconcile two seemingly incompatible statutes regarding the status of an undocumented immigrant. Not only were the two statutory provisions seemingly incompatible but prior to the Guittierez-Brizuela case, a court (Gorsuch’s own 10th Circuit) had reconciled them in one direction and an agency – the Board of Immigration Appeals — had reconciled them in a different direction. In yet another case decided before Guittierez-Brizuela, the 10th Circuit applied the canonical Chevron v. NRDC decision to say that, given the statutory ambiguity and the agency’s interpretation, it would defer to the agency’s “reasonable” interpretation of the statute even though the 10th Circuit had interpreted the statutes differently in an earlier case. The case actually gets even more complicated but </w:t>
      </w:r>
      <w:r w:rsidRPr="00490E7C">
        <w:rPr>
          <w:rStyle w:val="StyleUnderline"/>
        </w:rPr>
        <w:t>the issue of how to apply Chevron</w:t>
      </w:r>
      <w:r w:rsidRPr="00490E7C">
        <w:rPr>
          <w:sz w:val="12"/>
        </w:rPr>
        <w:t xml:space="preserve"> in these circumstances </w:t>
      </w:r>
      <w:r w:rsidRPr="00490E7C">
        <w:rPr>
          <w:rStyle w:val="StyleUnderline"/>
        </w:rPr>
        <w:t>prompted a concurring opinion from Judge Gorsuch.</w:t>
      </w:r>
      <w:r>
        <w:rPr>
          <w:rStyle w:val="StyleUnderline"/>
        </w:rPr>
        <w:t xml:space="preserve"> </w:t>
      </w:r>
      <w:r w:rsidRPr="00490E7C">
        <w:rPr>
          <w:sz w:val="12"/>
        </w:rPr>
        <w:t xml:space="preserve">In the concurring opinion, </w:t>
      </w:r>
      <w:r w:rsidRPr="00490E7C">
        <w:rPr>
          <w:rStyle w:val="StyleUnderline"/>
        </w:rPr>
        <w:t xml:space="preserve">Gorsuch takes on the question of </w:t>
      </w:r>
      <w:r w:rsidRPr="00490E7C">
        <w:rPr>
          <w:rStyle w:val="Emphasis"/>
        </w:rPr>
        <w:t>whether courts should defer</w:t>
      </w:r>
      <w:r w:rsidRPr="00490E7C">
        <w:rPr>
          <w:rStyle w:val="StyleUnderline"/>
        </w:rPr>
        <w:t xml:space="preserve"> to an agency interpretation of an ambiguous</w:t>
      </w:r>
      <w:r w:rsidRPr="00490E7C">
        <w:rPr>
          <w:sz w:val="12"/>
        </w:rPr>
        <w:t xml:space="preserve"> </w:t>
      </w:r>
      <w:r w:rsidRPr="00490E7C">
        <w:rPr>
          <w:rStyle w:val="StyleUnderline"/>
        </w:rPr>
        <w:t>statute</w:t>
      </w:r>
      <w:r w:rsidRPr="00490E7C">
        <w:rPr>
          <w:sz w:val="12"/>
        </w:rPr>
        <w:t xml:space="preserve">. </w:t>
      </w:r>
      <w:r w:rsidRPr="00490E7C">
        <w:rPr>
          <w:rStyle w:val="StyleUnderline"/>
        </w:rPr>
        <w:t>That question is at the heart of the Chevron opinion</w:t>
      </w:r>
      <w:r w:rsidRPr="00490E7C">
        <w:rPr>
          <w:sz w:val="12"/>
        </w:rPr>
        <w:t xml:space="preserve"> and the Supreme Court has, since the issuance of the decision in 1984, said yes, deference is appropriate so long as the agency’s interpretation is “reasonable.” Judge </w:t>
      </w:r>
      <w:r w:rsidRPr="00490E7C">
        <w:rPr>
          <w:rStyle w:val="StyleUnderline"/>
        </w:rPr>
        <w:t>Gorsuch does not believe that such deference should be due</w:t>
      </w:r>
      <w:r w:rsidRPr="00490E7C">
        <w:rPr>
          <w:sz w:val="12"/>
        </w:rPr>
        <w:t xml:space="preserve"> (although as a court of appeals judge must follow Supreme Court doctrine). In his concurring opinion he laid out his view that Chevron is wrong. Here is his central concern: But the fact is Chevron and Brand X [another case involving agency interpretations of statutes] permit executive bureaucracies to swallow huge amounts of core judicial and legislative power and concentrate federal power in a way that seems more than a little difficult to square with the Constitution of the framers’ design. …Chevron seems [to be] a judge-made doctrine for the abdication of the judicial duty. Of course, some role remains for judges even under Chevron. At Chevron step one, judges decide whether the statute is “ambiguous,” and at step two they decide whether the agency’s view is “reasonable.” But where in all this does a court interpret the law and say what it is? When does a court independently decide what the statute means and whether it has or has not vested a legal right in a person? Where Chevron applies that job seems to have gone extinct. Of course </w:t>
      </w:r>
      <w:r w:rsidRPr="002212E8">
        <w:rPr>
          <w:rStyle w:val="Emphasis"/>
          <w:highlight w:val="cyan"/>
        </w:rPr>
        <w:t>environmental law</w:t>
      </w:r>
      <w:r w:rsidRPr="002212E8">
        <w:rPr>
          <w:rStyle w:val="StyleUnderline"/>
          <w:highlight w:val="cyan"/>
        </w:rPr>
        <w:t xml:space="preserve"> is </w:t>
      </w:r>
      <w:r w:rsidRPr="002212E8">
        <w:rPr>
          <w:rStyle w:val="Emphasis"/>
          <w:highlight w:val="cyan"/>
        </w:rPr>
        <w:t>filled with places</w:t>
      </w:r>
      <w:r w:rsidRPr="002212E8">
        <w:rPr>
          <w:rStyle w:val="StyleUnderline"/>
          <w:highlight w:val="cyan"/>
        </w:rPr>
        <w:t xml:space="preserve"> where the implementing agency</w:t>
      </w:r>
      <w:r w:rsidRPr="00490E7C">
        <w:rPr>
          <w:sz w:val="12"/>
        </w:rPr>
        <w:t xml:space="preserve"> — </w:t>
      </w:r>
      <w:r w:rsidRPr="00490E7C">
        <w:rPr>
          <w:rStyle w:val="StyleUnderline"/>
        </w:rPr>
        <w:t>typically the Environmental Protection Agency</w:t>
      </w:r>
      <w:r w:rsidRPr="00490E7C">
        <w:rPr>
          <w:sz w:val="12"/>
        </w:rPr>
        <w:t xml:space="preserve"> but not always — </w:t>
      </w:r>
      <w:r w:rsidRPr="002212E8">
        <w:rPr>
          <w:rStyle w:val="Emphasis"/>
          <w:highlight w:val="cyan"/>
        </w:rPr>
        <w:t>must interpret ambiguous statutory provisions.</w:t>
      </w:r>
      <w:r w:rsidRPr="002212E8">
        <w:rPr>
          <w:sz w:val="12"/>
          <w:highlight w:val="cyan"/>
        </w:rPr>
        <w:t xml:space="preserve"> </w:t>
      </w:r>
      <w:r w:rsidRPr="008D082C">
        <w:rPr>
          <w:sz w:val="12"/>
        </w:rPr>
        <w:t>The</w:t>
      </w:r>
      <w:r w:rsidRPr="00490E7C">
        <w:rPr>
          <w:sz w:val="12"/>
        </w:rPr>
        <w:t xml:space="preserve"> question of whether EPA’s interpretation of the provision under which EPA issued the Clean Power Plan, Section 111d of the Clean Air Act, is reasonable, for example, is at the heart of pending legal challenges to the Clean Power Plan. </w:t>
      </w:r>
      <w:r w:rsidRPr="00490E7C">
        <w:rPr>
          <w:rStyle w:val="StyleUnderline"/>
        </w:rPr>
        <w:t>EPA’s burden is to show that its interpretation is “reasonable.”</w:t>
      </w:r>
      <w:r w:rsidRPr="00490E7C">
        <w:rPr>
          <w:sz w:val="12"/>
        </w:rPr>
        <w:t xml:space="preserve"> The agency need not show that its interpretation is the best one or the only one, only that it is a reasonable one. Thus </w:t>
      </w:r>
      <w:r w:rsidRPr="002212E8">
        <w:rPr>
          <w:rStyle w:val="Emphasis"/>
          <w:highlight w:val="cyan"/>
        </w:rPr>
        <w:t>a repudiation of Chevron deference</w:t>
      </w:r>
      <w:r w:rsidRPr="002212E8">
        <w:rPr>
          <w:sz w:val="12"/>
          <w:highlight w:val="cyan"/>
        </w:rPr>
        <w:t xml:space="preserve"> </w:t>
      </w:r>
      <w:r w:rsidRPr="002212E8">
        <w:rPr>
          <w:rStyle w:val="StyleUnderline"/>
          <w:highlight w:val="cyan"/>
        </w:rPr>
        <w:t xml:space="preserve">would mark a </w:t>
      </w:r>
      <w:r w:rsidRPr="002212E8">
        <w:rPr>
          <w:rStyle w:val="Emphasis"/>
          <w:highlight w:val="cyan"/>
        </w:rPr>
        <w:t>sea change in administrative and environmental law</w:t>
      </w:r>
      <w:r w:rsidRPr="002212E8">
        <w:rPr>
          <w:sz w:val="12"/>
          <w:highlight w:val="cyan"/>
        </w:rPr>
        <w:t xml:space="preserve">, </w:t>
      </w:r>
      <w:r w:rsidRPr="002212E8">
        <w:rPr>
          <w:rStyle w:val="StyleUnderline"/>
          <w:highlight w:val="cyan"/>
        </w:rPr>
        <w:t>a</w:t>
      </w:r>
      <w:r w:rsidRPr="00490E7C">
        <w:rPr>
          <w:rStyle w:val="StyleUnderline"/>
        </w:rPr>
        <w:t xml:space="preserve"> </w:t>
      </w:r>
      <w:r w:rsidRPr="002212E8">
        <w:rPr>
          <w:rStyle w:val="StyleUnderline"/>
          <w:highlight w:val="cyan"/>
        </w:rPr>
        <w:t>sea change that current justices</w:t>
      </w:r>
      <w:r w:rsidRPr="00490E7C">
        <w:rPr>
          <w:rStyle w:val="StyleUnderline"/>
        </w:rPr>
        <w:t xml:space="preserve"> on the Supreme Court </w:t>
      </w:r>
      <w:r w:rsidRPr="002212E8">
        <w:rPr>
          <w:rStyle w:val="StyleUnderline"/>
          <w:highlight w:val="cyan"/>
        </w:rPr>
        <w:t>have not embraced</w:t>
      </w:r>
      <w:r w:rsidRPr="00490E7C">
        <w:rPr>
          <w:sz w:val="12"/>
        </w:rPr>
        <w:t xml:space="preserve">. </w:t>
      </w:r>
      <w:r w:rsidRPr="00490E7C">
        <w:rPr>
          <w:rStyle w:val="StyleUnderline"/>
        </w:rPr>
        <w:t xml:space="preserve">Whether Gorsuch could persuade some of his colleagues to reconsider Chevron is </w:t>
      </w:r>
      <w:r w:rsidRPr="00490E7C">
        <w:rPr>
          <w:rStyle w:val="Emphasis"/>
        </w:rPr>
        <w:t>not at all clear</w:t>
      </w:r>
      <w:r w:rsidRPr="00490E7C">
        <w:rPr>
          <w:rStyle w:val="StyleUnderline"/>
        </w:rPr>
        <w:t>.</w:t>
      </w:r>
      <w:r w:rsidRPr="00490E7C">
        <w:rPr>
          <w:sz w:val="12"/>
        </w:rPr>
        <w:t xml:space="preserve"> But his concurring opinion certainly suggests that he would not defer to agency interpretations even if Chevron remains good law since he could simply stake out his own position on the high Court.</w:t>
      </w:r>
      <w:r w:rsidRPr="00490E7C">
        <w:rPr>
          <w:rStyle w:val="StyleUnderline"/>
        </w:rPr>
        <w:t>It is hard to know what a repudiation would mean for environmental agencies</w:t>
      </w:r>
      <w:r w:rsidRPr="00490E7C">
        <w:rPr>
          <w:sz w:val="12"/>
        </w:rPr>
        <w:t xml:space="preserve"> because we don’t know exactly how a Justice Gorsuch would interpret ambiguous texts. </w:t>
      </w:r>
      <w:r w:rsidRPr="00490E7C">
        <w:rPr>
          <w:rStyle w:val="Emphasis"/>
        </w:rPr>
        <w:t>But</w:t>
      </w:r>
      <w:r w:rsidRPr="00490E7C">
        <w:rPr>
          <w:sz w:val="12"/>
        </w:rPr>
        <w:t xml:space="preserve"> </w:t>
      </w:r>
      <w:r w:rsidRPr="002212E8">
        <w:rPr>
          <w:rStyle w:val="StyleUnderline"/>
          <w:highlight w:val="cyan"/>
        </w:rPr>
        <w:t xml:space="preserve">agencies have an </w:t>
      </w:r>
      <w:r w:rsidRPr="002212E8">
        <w:rPr>
          <w:rStyle w:val="Emphasis"/>
          <w:highlight w:val="cyan"/>
        </w:rPr>
        <w:t>enormously difficult task</w:t>
      </w:r>
      <w:r w:rsidRPr="00490E7C">
        <w:rPr>
          <w:sz w:val="12"/>
        </w:rPr>
        <w:t xml:space="preserve"> </w:t>
      </w:r>
      <w:r w:rsidRPr="002212E8">
        <w:rPr>
          <w:rStyle w:val="StyleUnderline"/>
          <w:highlight w:val="cyan"/>
        </w:rPr>
        <w:t>in trying to figure out what kinds of rules</w:t>
      </w:r>
      <w:r w:rsidRPr="00490E7C">
        <w:rPr>
          <w:rStyle w:val="StyleUnderline"/>
        </w:rPr>
        <w:t xml:space="preserve"> and regulations </w:t>
      </w:r>
      <w:r w:rsidRPr="002212E8">
        <w:rPr>
          <w:rStyle w:val="StyleUnderline"/>
          <w:highlight w:val="cyan"/>
        </w:rPr>
        <w:t>to issue when a statute is ambiguous</w:t>
      </w:r>
      <w:r w:rsidRPr="00490E7C">
        <w:rPr>
          <w:sz w:val="12"/>
        </w:rPr>
        <w:t xml:space="preserve">. </w:t>
      </w:r>
      <w:r w:rsidRPr="002212E8">
        <w:rPr>
          <w:rStyle w:val="StyleUnderline"/>
          <w:highlight w:val="cyan"/>
        </w:rPr>
        <w:t xml:space="preserve">They spend </w:t>
      </w:r>
      <w:r w:rsidRPr="002212E8">
        <w:rPr>
          <w:rStyle w:val="Emphasis"/>
          <w:highlight w:val="cyan"/>
        </w:rPr>
        <w:t>enormous resources</w:t>
      </w:r>
      <w:r w:rsidRPr="00490E7C">
        <w:rPr>
          <w:sz w:val="12"/>
        </w:rPr>
        <w:t xml:space="preserve"> </w:t>
      </w:r>
      <w:r w:rsidRPr="00490E7C">
        <w:rPr>
          <w:rStyle w:val="StyleUnderline"/>
        </w:rPr>
        <w:t xml:space="preserve">engaging in </w:t>
      </w:r>
      <w:r w:rsidRPr="002212E8">
        <w:rPr>
          <w:rStyle w:val="Emphasis"/>
          <w:highlight w:val="cyan"/>
        </w:rPr>
        <w:t>rule making</w:t>
      </w:r>
      <w:r w:rsidRPr="002212E8">
        <w:rPr>
          <w:rStyle w:val="StyleUnderline"/>
          <w:highlight w:val="cyan"/>
        </w:rPr>
        <w:t xml:space="preserve">, soliciting </w:t>
      </w:r>
      <w:r w:rsidRPr="002212E8">
        <w:rPr>
          <w:rStyle w:val="Emphasis"/>
          <w:highlight w:val="cyan"/>
        </w:rPr>
        <w:t>input</w:t>
      </w:r>
      <w:r w:rsidRPr="00490E7C">
        <w:rPr>
          <w:rStyle w:val="Emphasis"/>
        </w:rPr>
        <w:t xml:space="preserve"> from regulated parties</w:t>
      </w:r>
      <w:r w:rsidRPr="00490E7C">
        <w:rPr>
          <w:rStyle w:val="StyleUnderline"/>
        </w:rPr>
        <w:t xml:space="preserve">, public interest organizations and others to try </w:t>
      </w:r>
      <w:r w:rsidRPr="002212E8">
        <w:rPr>
          <w:rStyle w:val="StyleUnderline"/>
          <w:highlight w:val="cyan"/>
        </w:rPr>
        <w:t xml:space="preserve">to enact rules and regulations that can be </w:t>
      </w:r>
      <w:r w:rsidRPr="002212E8">
        <w:rPr>
          <w:rStyle w:val="Emphasis"/>
          <w:highlight w:val="cyan"/>
        </w:rPr>
        <w:t>upheld</w:t>
      </w:r>
      <w:r>
        <w:rPr>
          <w:rStyle w:val="Emphasis"/>
        </w:rPr>
        <w:t xml:space="preserve"> </w:t>
      </w:r>
      <w:r w:rsidRPr="00490E7C">
        <w:rPr>
          <w:rStyle w:val="Emphasis"/>
        </w:rPr>
        <w:t>in court</w:t>
      </w:r>
      <w:r w:rsidRPr="00490E7C">
        <w:rPr>
          <w:sz w:val="12"/>
        </w:rPr>
        <w:t xml:space="preserve">. </w:t>
      </w:r>
      <w:r w:rsidRPr="00490E7C">
        <w:rPr>
          <w:rStyle w:val="StyleUnderline"/>
        </w:rPr>
        <w:t xml:space="preserve">The big fear many observers have </w:t>
      </w:r>
      <w:r w:rsidRPr="002212E8">
        <w:rPr>
          <w:rStyle w:val="Emphasis"/>
          <w:highlight w:val="cyan"/>
        </w:rPr>
        <w:t>if Chevron is overturned is that it would make agency rule making even more difficult, more uncertain and more vulnerable to legal challenge</w:t>
      </w:r>
      <w:r w:rsidRPr="002212E8">
        <w:rPr>
          <w:sz w:val="12"/>
          <w:highlight w:val="cyan"/>
        </w:rPr>
        <w:t xml:space="preserve">. </w:t>
      </w:r>
      <w:r w:rsidRPr="002212E8">
        <w:rPr>
          <w:rStyle w:val="Emphasis"/>
          <w:szCs w:val="26"/>
          <w:highlight w:val="cyan"/>
        </w:rPr>
        <w:t>That would be bad news for environmental protection</w:t>
      </w:r>
      <w:r w:rsidRPr="00490E7C">
        <w:rPr>
          <w:sz w:val="12"/>
        </w:rPr>
        <w:t xml:space="preserve">. I should also add that in my — and many others’ view — </w:t>
      </w:r>
      <w:r w:rsidRPr="00490E7C">
        <w:rPr>
          <w:rStyle w:val="StyleUnderline"/>
        </w:rPr>
        <w:t>the Chevron doctrine makes eminent sense</w:t>
      </w:r>
      <w:r w:rsidRPr="00490E7C">
        <w:rPr>
          <w:sz w:val="12"/>
        </w:rPr>
        <w:t xml:space="preserve">. </w:t>
      </w:r>
      <w:r w:rsidRPr="002212E8">
        <w:rPr>
          <w:rStyle w:val="StyleUnderline"/>
          <w:highlight w:val="cyan"/>
        </w:rPr>
        <w:t xml:space="preserve">Agencies have </w:t>
      </w:r>
      <w:r w:rsidRPr="002212E8">
        <w:rPr>
          <w:rStyle w:val="Emphasis"/>
          <w:highlight w:val="cyan"/>
        </w:rPr>
        <w:t>far more expertise than judges</w:t>
      </w:r>
      <w:r w:rsidRPr="00490E7C">
        <w:rPr>
          <w:sz w:val="12"/>
        </w:rPr>
        <w:t xml:space="preserve"> </w:t>
      </w:r>
      <w:r w:rsidRPr="00490E7C">
        <w:rPr>
          <w:rStyle w:val="StyleUnderline"/>
        </w:rPr>
        <w:t>and have been delegated authority by Congress to use that expertise to implement complex statutes</w:t>
      </w:r>
      <w:r w:rsidRPr="00490E7C">
        <w:rPr>
          <w:sz w:val="12"/>
        </w:rPr>
        <w:t>. But the substantive debate about whether Chevron is good or bad is a debate beyond my scope here.</w:t>
      </w:r>
    </w:p>
    <w:p w14:paraId="1E3AE307" w14:textId="77777777" w:rsidR="00CC2CC5" w:rsidRDefault="00CC2CC5" w:rsidP="00CC2CC5"/>
    <w:p w14:paraId="54243A51" w14:textId="77777777" w:rsidR="00CC2CC5" w:rsidRDefault="00CC2CC5" w:rsidP="00CC2CC5">
      <w:pPr>
        <w:pStyle w:val="Heading3"/>
      </w:pPr>
      <w:r>
        <w:t>Impact – Patent</w:t>
      </w:r>
    </w:p>
    <w:p w14:paraId="0CDE06CD" w14:textId="77777777" w:rsidR="00CC2CC5" w:rsidRDefault="00CC2CC5" w:rsidP="00CC2CC5">
      <w:pPr>
        <w:pStyle w:val="Heading3"/>
      </w:pPr>
      <w:r>
        <w:t>Patent Scenario</w:t>
      </w:r>
    </w:p>
    <w:p w14:paraId="3CB7A3FD" w14:textId="77777777" w:rsidR="00CC2CC5" w:rsidRDefault="00CC2CC5" w:rsidP="00CC2CC5">
      <w:pPr>
        <w:pStyle w:val="Heading4"/>
      </w:pPr>
      <w:r>
        <w:t xml:space="preserve">Removing Chevron deference creates </w:t>
      </w:r>
      <w:r>
        <w:rPr>
          <w:u w:val="single"/>
        </w:rPr>
        <w:t>uncertainty</w:t>
      </w:r>
      <w:r>
        <w:t xml:space="preserve"> within patent proceedings</w:t>
      </w:r>
    </w:p>
    <w:p w14:paraId="6C1AFF9E" w14:textId="77777777" w:rsidR="00CC2CC5" w:rsidRPr="006B15E6" w:rsidRDefault="00CC2CC5" w:rsidP="00CC2CC5">
      <w:r w:rsidRPr="005D1F3D">
        <w:rPr>
          <w:b/>
          <w:bCs/>
          <w:sz w:val="26"/>
          <w:szCs w:val="26"/>
        </w:rPr>
        <w:t>Berkowitz and Colsher 17</w:t>
      </w:r>
      <w:r>
        <w:t xml:space="preserve"> – partner at </w:t>
      </w:r>
      <w:r w:rsidRPr="005D1F3D">
        <w:t>Shearman &amp; Sterling’s Litigation</w:t>
      </w:r>
      <w:r>
        <w:t xml:space="preserve"> and his</w:t>
      </w:r>
      <w:r w:rsidRPr="005D1F3D">
        <w:t xml:space="preserve"> </w:t>
      </w:r>
      <w:r>
        <w:t>p</w:t>
      </w:r>
      <w:r w:rsidRPr="005D1F3D">
        <w:t>ractice focuses on patent litigation in federal district courts and the International Trade Commission (ITC)</w:t>
      </w:r>
      <w:r>
        <w:t xml:space="preserve">, </w:t>
      </w:r>
      <w:r w:rsidRPr="005D1F3D">
        <w:t>a senior associate in the Litigation practice, focusing on intellectual property litigation and counseling</w:t>
      </w:r>
      <w:r>
        <w:t>, (Matthew G. and Patrick, “</w:t>
      </w:r>
      <w:r w:rsidRPr="005D1F3D">
        <w:t>How Eliminating Agency Deference Might Affect PTAB And ITC</w:t>
      </w:r>
      <w:r>
        <w:t xml:space="preserve">,” </w:t>
      </w:r>
      <w:r>
        <w:rPr>
          <w:i/>
          <w:iCs/>
        </w:rPr>
        <w:t>Law 360</w:t>
      </w:r>
      <w:r>
        <w:t xml:space="preserve">, 4-10-17, </w:t>
      </w:r>
      <w:hyperlink r:id="rId40" w:history="1">
        <w:r w:rsidRPr="009C6468">
          <w:rPr>
            <w:rStyle w:val="Hyperlink"/>
          </w:rPr>
          <w:t>https://www.shearman.com/~/media/Files/NewsInsights/Publications/2017/04/How-Eliminating-Agency-Deference-Might-Affect-PTAB-And-ITC.pdf</w:t>
        </w:r>
      </w:hyperlink>
      <w:r>
        <w:t>, Accessed 7-2-20, LASA-AH)</w:t>
      </w:r>
    </w:p>
    <w:p w14:paraId="62CD4104" w14:textId="77777777" w:rsidR="00CC2CC5" w:rsidRDefault="00CC2CC5" w:rsidP="00CC2CC5">
      <w:pPr>
        <w:rPr>
          <w:rStyle w:val="Emphasis"/>
        </w:rPr>
      </w:pPr>
      <w:r w:rsidRPr="006B15E6">
        <w:rPr>
          <w:u w:val="single"/>
        </w:rPr>
        <w:t>Eliminating agency deference</w:t>
      </w:r>
      <w:r>
        <w:t xml:space="preserve"> will, in many respects, </w:t>
      </w:r>
      <w:r w:rsidRPr="006B15E6">
        <w:rPr>
          <w:u w:val="single"/>
        </w:rPr>
        <w:t xml:space="preserve">have profound effects </w:t>
      </w:r>
      <w:r w:rsidRPr="006B15E6">
        <w:rPr>
          <w:rStyle w:val="Emphasis"/>
        </w:rPr>
        <w:t>on patent-related administrative proceedings</w:t>
      </w:r>
      <w:r w:rsidRPr="006B15E6">
        <w:rPr>
          <w:u w:val="single"/>
        </w:rPr>
        <w:t xml:space="preserve">. </w:t>
      </w:r>
      <w:r>
        <w:t xml:space="preserve">It will effectively </w:t>
      </w:r>
      <w:r w:rsidRPr="006B15E6">
        <w:rPr>
          <w:u w:val="single"/>
        </w:rPr>
        <w:t xml:space="preserve">erase decades of jurisprudence and create </w:t>
      </w:r>
      <w:r w:rsidRPr="006B15E6">
        <w:rPr>
          <w:rStyle w:val="Emphasis"/>
        </w:rPr>
        <w:t>substantial uncertainty</w:t>
      </w:r>
      <w:r w:rsidRPr="006B15E6">
        <w:rPr>
          <w:u w:val="single"/>
        </w:rPr>
        <w:t xml:space="preserve"> (at least in the near-term) as what were once well-settled issues are relitigated.</w:t>
      </w:r>
      <w:r>
        <w:t xml:space="preserve"> It will </w:t>
      </w:r>
      <w:r w:rsidRPr="006B15E6">
        <w:rPr>
          <w:u w:val="single"/>
        </w:rPr>
        <w:t>shift the balance of power from the administrative branch to the judicial branch</w:t>
      </w:r>
      <w:r>
        <w:t xml:space="preserve">. No longer will agencies be largely free to interpret the relevant statutes and the regulations which they create. Instead, </w:t>
      </w:r>
      <w:r w:rsidRPr="006B15E6">
        <w:rPr>
          <w:u w:val="single"/>
        </w:rPr>
        <w:t>agency actions will be reviewed de novo with a blank slate</w:t>
      </w:r>
      <w:r>
        <w:t xml:space="preserve">. All in all, just as the </w:t>
      </w:r>
      <w:r w:rsidRPr="006B15E6">
        <w:rPr>
          <w:u w:val="single"/>
        </w:rPr>
        <w:t xml:space="preserve">creation of agency deference significantly altered the course of patent-related proceedings, so too would the </w:t>
      </w:r>
      <w:r w:rsidRPr="006B15E6">
        <w:rPr>
          <w:rStyle w:val="Emphasis"/>
        </w:rPr>
        <w:t>elimination of such deference.</w:t>
      </w:r>
    </w:p>
    <w:p w14:paraId="77441097" w14:textId="77777777" w:rsidR="00CC2CC5" w:rsidRPr="00350147" w:rsidRDefault="00CC2CC5" w:rsidP="00CC2CC5">
      <w:pPr>
        <w:keepNext/>
        <w:keepLines/>
        <w:spacing w:before="200"/>
        <w:outlineLvl w:val="3"/>
        <w:rPr>
          <w:rFonts w:eastAsia="Times New Roman"/>
          <w:b/>
          <w:iCs/>
          <w:sz w:val="24"/>
        </w:rPr>
      </w:pPr>
      <w:r w:rsidRPr="00350147">
        <w:rPr>
          <w:rFonts w:eastAsia="Times New Roman"/>
          <w:b/>
          <w:iCs/>
          <w:sz w:val="24"/>
        </w:rPr>
        <w:t xml:space="preserve">Narrowing Chevron deference collapses the </w:t>
      </w:r>
      <w:r w:rsidRPr="00350147">
        <w:rPr>
          <w:rFonts w:eastAsia="Times New Roman"/>
          <w:b/>
          <w:iCs/>
          <w:sz w:val="24"/>
          <w:u w:val="single"/>
        </w:rPr>
        <w:t>patent system</w:t>
      </w:r>
    </w:p>
    <w:p w14:paraId="093D5E68" w14:textId="77777777" w:rsidR="00CC2CC5" w:rsidRPr="00350147" w:rsidRDefault="00CC2CC5" w:rsidP="00CC2CC5">
      <w:pPr>
        <w:rPr>
          <w:rFonts w:eastAsia="Calibri"/>
        </w:rPr>
      </w:pPr>
      <w:r w:rsidRPr="00350147">
        <w:rPr>
          <w:rFonts w:eastAsia="Calibri"/>
          <w:b/>
          <w:bCs/>
        </w:rPr>
        <w:t>Wasserman 13</w:t>
      </w:r>
      <w:r w:rsidRPr="00350147">
        <w:rPr>
          <w:rFonts w:eastAsia="Calibri"/>
        </w:rPr>
        <w:t xml:space="preserve"> </w:t>
      </w:r>
      <w:r>
        <w:rPr>
          <w:rFonts w:eastAsia="Calibri"/>
        </w:rPr>
        <w:t>(</w:t>
      </w:r>
      <w:r w:rsidRPr="00350147">
        <w:rPr>
          <w:rFonts w:eastAsia="Calibri"/>
        </w:rPr>
        <w:t>Melissa F. Wasserman, B.S. in chemical engineering, Ph.D. in chemical engineering</w:t>
      </w:r>
      <w:r>
        <w:rPr>
          <w:rFonts w:eastAsia="Calibri"/>
        </w:rPr>
        <w:t>,</w:t>
      </w:r>
      <w:r w:rsidRPr="00350147">
        <w:rPr>
          <w:rFonts w:eastAsia="Calibri"/>
        </w:rPr>
        <w:t>“The Changing Guard of Patent Law: Chevron Deference for the PTO”, 54 Wm. &amp; Mary L. Rev. 1959 (2013), http://scholarship.law.wm.edu/wmlr/vol54/iss6/5</w:t>
      </w:r>
      <w:r>
        <w:rPr>
          <w:rFonts w:eastAsia="Calibri"/>
        </w:rPr>
        <w:t>)</w:t>
      </w:r>
    </w:p>
    <w:p w14:paraId="125B5E7A" w14:textId="77777777" w:rsidR="00CC2CC5" w:rsidRPr="00350147" w:rsidRDefault="00CC2CC5" w:rsidP="00CC2CC5">
      <w:pPr>
        <w:rPr>
          <w:rFonts w:eastAsia="Calibri"/>
          <w:sz w:val="16"/>
        </w:rPr>
      </w:pPr>
      <w:r w:rsidRPr="00350147">
        <w:rPr>
          <w:rFonts w:eastAsia="Calibri"/>
          <w:sz w:val="16"/>
        </w:rPr>
        <w:t xml:space="preserve">III. </w:t>
      </w:r>
      <w:r w:rsidRPr="00350147">
        <w:rPr>
          <w:rFonts w:eastAsia="Calibri"/>
          <w:u w:val="single"/>
        </w:rPr>
        <w:t>NORMATIVE CASE FOR DEFERENCE</w:t>
      </w:r>
      <w:r w:rsidRPr="00350147">
        <w:rPr>
          <w:rFonts w:eastAsia="Calibri"/>
          <w:sz w:val="16"/>
        </w:rPr>
        <w:t>: COMPARATIVE INSTITUTIONAL ANALYSIS</w:t>
      </w:r>
      <w:r>
        <w:rPr>
          <w:rFonts w:eastAsia="Calibri"/>
          <w:sz w:val="16"/>
        </w:rPr>
        <w:t xml:space="preserve"> </w:t>
      </w:r>
      <w:r w:rsidRPr="00350147">
        <w:rPr>
          <w:rFonts w:eastAsia="Calibri"/>
          <w:sz w:val="16"/>
          <w:szCs w:val="16"/>
        </w:rPr>
        <w:t>This Article has thus far predominantly focused on the analytical question of how existing administrative law principles should apply to the judicial review of the PTO’s legal interpretations. The previous Part showed first that Congress intended the PTO’s postgrant review proceedings to be effectuated through formal adjudication, and second, that this grant of formal adjudicatory power was accompanied by the ability to speak with the force of law. Although this descriptive and analytical account is sufficient to guide courts, it does not address the normative question of how the institutional relationship between the PTO and the Federal Circuit should be structured. This Part begins this normative inquiry, taking as its baseline the principal goal of the patent system—the promotion of innovation.203 To guide this analysis, I draw on the large and growing body of literature on the topic of comparative institutional analysis.204 This Part does not purport to elucidate the ideal institutional arrangement between courts and agencies. Instead, the following discussion compares the relative strengths and weaknesses of the Federal Circuit and the PTO with respect to the two canonical institutional design considerations: expertise and avoidance of capture or bias.</w:t>
      </w:r>
      <w:r>
        <w:rPr>
          <w:rFonts w:eastAsia="Calibri"/>
          <w:sz w:val="16"/>
          <w:szCs w:val="16"/>
        </w:rPr>
        <w:t xml:space="preserve"> </w:t>
      </w:r>
      <w:r w:rsidRPr="00350147">
        <w:rPr>
          <w:rFonts w:eastAsia="Calibri"/>
          <w:sz w:val="16"/>
          <w:szCs w:val="16"/>
        </w:rPr>
        <w:t>A. Expertise</w:t>
      </w:r>
      <w:r>
        <w:rPr>
          <w:rFonts w:eastAsia="Calibri"/>
          <w:sz w:val="16"/>
          <w:szCs w:val="16"/>
        </w:rPr>
        <w:t xml:space="preserve"> </w:t>
      </w:r>
      <w:r w:rsidRPr="00350147">
        <w:rPr>
          <w:rFonts w:eastAsia="Calibri"/>
          <w:u w:val="single"/>
        </w:rPr>
        <w:t>Scholars</w:t>
      </w:r>
      <w:r w:rsidRPr="00350147">
        <w:rPr>
          <w:rFonts w:eastAsia="Calibri"/>
          <w:sz w:val="16"/>
        </w:rPr>
        <w:t xml:space="preserve"> generally </w:t>
      </w:r>
      <w:r w:rsidRPr="00350147">
        <w:rPr>
          <w:rFonts w:eastAsia="Calibri"/>
          <w:u w:val="single"/>
        </w:rPr>
        <w:t>accept</w:t>
      </w:r>
      <w:r w:rsidRPr="00350147">
        <w:rPr>
          <w:rFonts w:eastAsia="Calibri"/>
          <w:sz w:val="16"/>
        </w:rPr>
        <w:t xml:space="preserve"> that the </w:t>
      </w:r>
      <w:r w:rsidRPr="00350147">
        <w:rPr>
          <w:rFonts w:eastAsia="Calibri"/>
          <w:u w:val="single"/>
        </w:rPr>
        <w:t xml:space="preserve">standards of </w:t>
      </w:r>
      <w:r w:rsidRPr="002212E8">
        <w:rPr>
          <w:rFonts w:eastAsia="Calibri"/>
          <w:highlight w:val="cyan"/>
          <w:u w:val="single"/>
        </w:rPr>
        <w:t>patentability</w:t>
      </w:r>
      <w:r w:rsidRPr="00350147">
        <w:rPr>
          <w:rFonts w:eastAsia="Calibri"/>
          <w:u w:val="single"/>
        </w:rPr>
        <w:t xml:space="preserve"> </w:t>
      </w:r>
      <w:r w:rsidRPr="002212E8">
        <w:rPr>
          <w:rFonts w:eastAsia="Calibri"/>
          <w:highlight w:val="cyan"/>
          <w:u w:val="single"/>
        </w:rPr>
        <w:t>are</w:t>
      </w:r>
      <w:r w:rsidRPr="00350147">
        <w:rPr>
          <w:rFonts w:eastAsia="Calibri"/>
          <w:sz w:val="16"/>
        </w:rPr>
        <w:t xml:space="preserve"> </w:t>
      </w:r>
      <w:r w:rsidRPr="00350147">
        <w:rPr>
          <w:rFonts w:eastAsia="Calibri"/>
          <w:b/>
          <w:iCs/>
          <w:u w:val="single"/>
          <w:bdr w:val="single" w:sz="8" w:space="0" w:color="auto"/>
        </w:rPr>
        <w:t xml:space="preserve">fundamentally </w:t>
      </w:r>
      <w:r w:rsidRPr="002212E8">
        <w:rPr>
          <w:rFonts w:eastAsia="Calibri"/>
          <w:b/>
          <w:iCs/>
          <w:highlight w:val="cyan"/>
          <w:u w:val="single"/>
          <w:bdr w:val="single" w:sz="8" w:space="0" w:color="auto"/>
        </w:rPr>
        <w:t>policy questions</w:t>
      </w:r>
      <w:r w:rsidRPr="00350147">
        <w:rPr>
          <w:rFonts w:eastAsia="Calibri"/>
          <w:sz w:val="16"/>
        </w:rPr>
        <w:t xml:space="preserve"> </w:t>
      </w:r>
      <w:r w:rsidRPr="00350147">
        <w:rPr>
          <w:rFonts w:eastAsia="Calibri"/>
          <w:u w:val="single"/>
        </w:rPr>
        <w:t xml:space="preserve">that </w:t>
      </w:r>
      <w:r w:rsidRPr="002212E8">
        <w:rPr>
          <w:rFonts w:eastAsia="Calibri"/>
          <w:highlight w:val="cyan"/>
          <w:u w:val="single"/>
        </w:rPr>
        <w:t>need</w:t>
      </w:r>
      <w:r w:rsidRPr="00350147">
        <w:rPr>
          <w:rFonts w:eastAsia="Calibri"/>
          <w:u w:val="single"/>
        </w:rPr>
        <w:t xml:space="preserve"> to be decided on the basis of</w:t>
      </w:r>
      <w:r w:rsidRPr="00350147">
        <w:rPr>
          <w:rFonts w:eastAsia="Calibri"/>
          <w:sz w:val="16"/>
        </w:rPr>
        <w:t xml:space="preserve"> </w:t>
      </w:r>
      <w:r w:rsidRPr="002212E8">
        <w:rPr>
          <w:rFonts w:eastAsia="Calibri"/>
          <w:b/>
          <w:iCs/>
          <w:highlight w:val="cyan"/>
          <w:u w:val="single"/>
          <w:bdr w:val="single" w:sz="8" w:space="0" w:color="auto"/>
        </w:rPr>
        <w:t>sound economic</w:t>
      </w:r>
      <w:r w:rsidRPr="002212E8">
        <w:rPr>
          <w:rFonts w:eastAsia="Calibri"/>
          <w:sz w:val="16"/>
          <w:highlight w:val="cyan"/>
        </w:rPr>
        <w:t xml:space="preserve"> </w:t>
      </w:r>
      <w:r w:rsidRPr="002212E8">
        <w:rPr>
          <w:rFonts w:eastAsia="Calibri"/>
          <w:highlight w:val="cyan"/>
          <w:u w:val="single"/>
        </w:rPr>
        <w:t>and</w:t>
      </w:r>
      <w:r w:rsidRPr="002212E8">
        <w:rPr>
          <w:rFonts w:eastAsia="Calibri"/>
          <w:sz w:val="16"/>
          <w:highlight w:val="cyan"/>
        </w:rPr>
        <w:t xml:space="preserve"> </w:t>
      </w:r>
      <w:r w:rsidRPr="002212E8">
        <w:rPr>
          <w:rFonts w:eastAsia="Calibri"/>
          <w:b/>
          <w:iCs/>
          <w:highlight w:val="cyan"/>
          <w:u w:val="single"/>
          <w:bdr w:val="single" w:sz="8" w:space="0" w:color="auto"/>
        </w:rPr>
        <w:t>technological insight</w:t>
      </w:r>
      <w:r w:rsidRPr="00350147">
        <w:rPr>
          <w:rFonts w:eastAsia="Calibri"/>
          <w:sz w:val="16"/>
        </w:rPr>
        <w:t>.205 For example, consider patentable subject matter, which delineates the types of inventions that may be subject to patent protection. Section 101 of the Patent Act is quite broad, setting forth the subject matter that can be patented as “process[es], machine[s], manufacture[s], or composition[s] of matter.”206 Early on, the Supreme Court carved out abstract ideas, natural phenomena, and laws of nature from patent eligible subject matter. As the Supreme Court explained, these principles represent “the basic tools of scientific and technological work,”207 and they are “part of the storehouse of knowledge of all men[,] ... free to all men and reserved exclusively to none.”208 Thus, decisions on whether new inventions, such as genes, which may or may not fall within an exception, should be patent eligible are largely being driven by policy concerns of whether social welfare is enhanced or decreased by extending patents to these inventions.</w:t>
      </w:r>
      <w:r>
        <w:rPr>
          <w:rFonts w:eastAsia="Calibri"/>
          <w:sz w:val="16"/>
        </w:rPr>
        <w:t xml:space="preserve"> </w:t>
      </w:r>
      <w:r w:rsidRPr="00350147">
        <w:rPr>
          <w:rFonts w:eastAsia="Calibri"/>
          <w:sz w:val="16"/>
        </w:rPr>
        <w:t xml:space="preserve">As a result, </w:t>
      </w:r>
      <w:r w:rsidRPr="00350147">
        <w:rPr>
          <w:rFonts w:eastAsia="Calibri"/>
          <w:u w:val="single"/>
        </w:rPr>
        <w:t>there is near-universal agreement</w:t>
      </w:r>
      <w:r w:rsidRPr="00350147">
        <w:rPr>
          <w:rFonts w:eastAsia="Calibri"/>
          <w:sz w:val="16"/>
        </w:rPr>
        <w:t xml:space="preserve"> that </w:t>
      </w:r>
      <w:r w:rsidRPr="00350147">
        <w:rPr>
          <w:rFonts w:eastAsia="Calibri"/>
          <w:u w:val="single"/>
        </w:rPr>
        <w:t>the institution charged with</w:t>
      </w:r>
      <w:r w:rsidRPr="00350147">
        <w:rPr>
          <w:rFonts w:eastAsia="Calibri"/>
          <w:sz w:val="16"/>
        </w:rPr>
        <w:t xml:space="preserve"> </w:t>
      </w:r>
      <w:r w:rsidRPr="00350147">
        <w:rPr>
          <w:rFonts w:eastAsia="Calibri"/>
          <w:u w:val="single"/>
        </w:rPr>
        <w:t>creating</w:t>
      </w:r>
      <w:r w:rsidRPr="00350147">
        <w:rPr>
          <w:rFonts w:eastAsia="Calibri"/>
          <w:sz w:val="16"/>
        </w:rPr>
        <w:t xml:space="preserve"> </w:t>
      </w:r>
      <w:r w:rsidRPr="00350147">
        <w:rPr>
          <w:rFonts w:eastAsia="Calibri"/>
          <w:b/>
          <w:iCs/>
          <w:u w:val="single"/>
          <w:bdr w:val="single" w:sz="8" w:space="0" w:color="auto"/>
        </w:rPr>
        <w:t>sound patent policy</w:t>
      </w:r>
      <w:r w:rsidRPr="00350147">
        <w:rPr>
          <w:rFonts w:eastAsia="Calibri"/>
          <w:sz w:val="16"/>
        </w:rPr>
        <w:t xml:space="preserve"> </w:t>
      </w:r>
      <w:r w:rsidRPr="00350147">
        <w:rPr>
          <w:rFonts w:eastAsia="Calibri"/>
          <w:u w:val="single"/>
        </w:rPr>
        <w:t>needs</w:t>
      </w:r>
      <w:r w:rsidRPr="00350147">
        <w:rPr>
          <w:rFonts w:eastAsia="Calibri"/>
          <w:sz w:val="16"/>
        </w:rPr>
        <w:t xml:space="preserve"> </w:t>
      </w:r>
      <w:r w:rsidRPr="00350147">
        <w:rPr>
          <w:rFonts w:eastAsia="Calibri"/>
          <w:u w:val="single"/>
        </w:rPr>
        <w:t>access</w:t>
      </w:r>
      <w:r w:rsidRPr="00350147">
        <w:rPr>
          <w:rFonts w:eastAsia="Calibri"/>
          <w:sz w:val="16"/>
        </w:rPr>
        <w:t xml:space="preserve"> both </w:t>
      </w:r>
      <w:r w:rsidRPr="00350147">
        <w:rPr>
          <w:rFonts w:eastAsia="Calibri"/>
          <w:u w:val="single"/>
        </w:rPr>
        <w:t>to</w:t>
      </w:r>
      <w:r w:rsidRPr="00350147">
        <w:rPr>
          <w:rFonts w:eastAsia="Calibri"/>
          <w:sz w:val="16"/>
        </w:rPr>
        <w:t xml:space="preserve"> </w:t>
      </w:r>
      <w:r w:rsidRPr="00350147">
        <w:rPr>
          <w:rFonts w:eastAsia="Calibri"/>
          <w:b/>
          <w:iCs/>
          <w:u w:val="single"/>
          <w:bdr w:val="single" w:sz="8" w:space="0" w:color="auto"/>
        </w:rPr>
        <w:t>economic</w:t>
      </w:r>
      <w:r w:rsidRPr="00350147">
        <w:rPr>
          <w:rFonts w:eastAsia="Calibri"/>
          <w:sz w:val="16"/>
        </w:rPr>
        <w:t xml:space="preserve"> </w:t>
      </w:r>
      <w:r w:rsidRPr="00350147">
        <w:rPr>
          <w:rFonts w:eastAsia="Calibri"/>
          <w:u w:val="single"/>
        </w:rPr>
        <w:t>and</w:t>
      </w:r>
      <w:r w:rsidRPr="00350147">
        <w:rPr>
          <w:rFonts w:eastAsia="Calibri"/>
          <w:sz w:val="16"/>
        </w:rPr>
        <w:t xml:space="preserve"> to </w:t>
      </w:r>
      <w:r w:rsidRPr="00350147">
        <w:rPr>
          <w:rFonts w:eastAsia="Calibri"/>
          <w:b/>
          <w:iCs/>
          <w:u w:val="single"/>
          <w:bdr w:val="single" w:sz="8" w:space="0" w:color="auto"/>
        </w:rPr>
        <w:t>technological data</w:t>
      </w:r>
      <w:r w:rsidRPr="00350147">
        <w:rPr>
          <w:rFonts w:eastAsia="Calibri"/>
          <w:sz w:val="16"/>
        </w:rPr>
        <w:t xml:space="preserve">, </w:t>
      </w:r>
      <w:r w:rsidRPr="002212E8">
        <w:rPr>
          <w:rFonts w:eastAsia="Calibri"/>
          <w:highlight w:val="cyan"/>
          <w:u w:val="single"/>
        </w:rPr>
        <w:t>as well as</w:t>
      </w:r>
      <w:r w:rsidRPr="002212E8">
        <w:rPr>
          <w:rFonts w:eastAsia="Calibri"/>
          <w:sz w:val="16"/>
          <w:highlight w:val="cyan"/>
        </w:rPr>
        <w:t xml:space="preserve"> </w:t>
      </w:r>
      <w:r w:rsidRPr="002212E8">
        <w:rPr>
          <w:rFonts w:eastAsia="Calibri"/>
          <w:b/>
          <w:iCs/>
          <w:highlight w:val="cyan"/>
          <w:u w:val="single"/>
          <w:bdr w:val="single" w:sz="8" w:space="0" w:color="auto"/>
        </w:rPr>
        <w:t>sufficient expertise</w:t>
      </w:r>
      <w:r w:rsidRPr="00350147">
        <w:rPr>
          <w:rFonts w:eastAsia="Calibri"/>
          <w:sz w:val="16"/>
        </w:rPr>
        <w:t xml:space="preserve"> </w:t>
      </w:r>
      <w:r w:rsidRPr="00350147">
        <w:rPr>
          <w:rFonts w:eastAsia="Calibri"/>
          <w:u w:val="single"/>
        </w:rPr>
        <w:t>to analyze and interpret this information</w:t>
      </w:r>
      <w:r w:rsidRPr="00350147">
        <w:rPr>
          <w:rFonts w:eastAsia="Calibri"/>
          <w:sz w:val="16"/>
        </w:rPr>
        <w:t xml:space="preserve">.209 Although one of the hallmarks of the comparative institutional literature is that agencies possess superior information-gathering procedures and technical expertise than courts,210 the specialization of the Federal Circuit casts doubt on whether this norm should extend to the patent system. In fact, </w:t>
      </w:r>
      <w:r w:rsidRPr="00350147">
        <w:rPr>
          <w:rFonts w:eastAsia="Calibri"/>
          <w:u w:val="single"/>
        </w:rPr>
        <w:t>a number of scholars</w:t>
      </w:r>
      <w:r w:rsidRPr="00350147">
        <w:rPr>
          <w:rFonts w:eastAsia="Calibri"/>
          <w:sz w:val="16"/>
        </w:rPr>
        <w:t xml:space="preserve"> have </w:t>
      </w:r>
      <w:r w:rsidRPr="00350147">
        <w:rPr>
          <w:rFonts w:eastAsia="Calibri"/>
          <w:u w:val="single"/>
        </w:rPr>
        <w:t>argued</w:t>
      </w:r>
      <w:r w:rsidRPr="00350147">
        <w:rPr>
          <w:rFonts w:eastAsia="Calibri"/>
          <w:sz w:val="16"/>
        </w:rPr>
        <w:t xml:space="preserve"> that </w:t>
      </w:r>
      <w:r w:rsidRPr="00350147">
        <w:rPr>
          <w:rFonts w:eastAsia="Calibri"/>
          <w:u w:val="single"/>
        </w:rPr>
        <w:t>the Federal Circuit is the best institution</w:t>
      </w:r>
      <w:r w:rsidRPr="00350147">
        <w:rPr>
          <w:rFonts w:eastAsia="Calibri"/>
          <w:sz w:val="16"/>
        </w:rPr>
        <w:t xml:space="preserve"> to develop patent policy, in part because of the court’s expertise.211 </w:t>
      </w:r>
      <w:r w:rsidRPr="00350147">
        <w:rPr>
          <w:rFonts w:eastAsia="Calibri"/>
          <w:u w:val="single"/>
        </w:rPr>
        <w:t>Even taking into consideration</w:t>
      </w:r>
      <w:r w:rsidRPr="00350147">
        <w:rPr>
          <w:rFonts w:eastAsia="Calibri"/>
          <w:sz w:val="16"/>
        </w:rPr>
        <w:t xml:space="preserve"> </w:t>
      </w:r>
      <w:r w:rsidRPr="00350147">
        <w:rPr>
          <w:rFonts w:eastAsia="Calibri"/>
          <w:u w:val="single"/>
        </w:rPr>
        <w:t>the Federal Circuit’s specialization</w:t>
      </w:r>
      <w:r w:rsidRPr="00350147">
        <w:rPr>
          <w:rFonts w:eastAsia="Calibri"/>
          <w:sz w:val="16"/>
        </w:rPr>
        <w:t xml:space="preserve">, this Section concludes that </w:t>
      </w:r>
      <w:r w:rsidRPr="002212E8">
        <w:rPr>
          <w:rFonts w:eastAsia="Calibri"/>
          <w:b/>
          <w:iCs/>
          <w:highlight w:val="cyan"/>
          <w:u w:val="single"/>
          <w:bdr w:val="single" w:sz="8" w:space="0" w:color="auto"/>
        </w:rPr>
        <w:t>the PTO is</w:t>
      </w:r>
      <w:r w:rsidRPr="00350147">
        <w:rPr>
          <w:rFonts w:eastAsia="Calibri"/>
          <w:b/>
          <w:iCs/>
          <w:u w:val="single"/>
          <w:bdr w:val="single" w:sz="8" w:space="0" w:color="auto"/>
        </w:rPr>
        <w:t xml:space="preserve"> </w:t>
      </w:r>
      <w:r w:rsidRPr="002212E8">
        <w:rPr>
          <w:rFonts w:eastAsia="Calibri"/>
          <w:b/>
          <w:iCs/>
          <w:highlight w:val="cyan"/>
          <w:u w:val="single"/>
          <w:bdr w:val="single" w:sz="8" w:space="0" w:color="auto"/>
        </w:rPr>
        <w:t>more likely</w:t>
      </w:r>
      <w:r w:rsidRPr="00350147">
        <w:rPr>
          <w:rFonts w:eastAsia="Calibri"/>
          <w:sz w:val="16"/>
        </w:rPr>
        <w:t xml:space="preserve"> than the appellate court </w:t>
      </w:r>
      <w:r w:rsidRPr="00350147">
        <w:rPr>
          <w:rFonts w:eastAsia="Calibri"/>
          <w:b/>
          <w:iCs/>
          <w:u w:val="single"/>
          <w:bdr w:val="single" w:sz="8" w:space="0" w:color="auto"/>
        </w:rPr>
        <w:t>to possess</w:t>
      </w:r>
      <w:r w:rsidRPr="00350147">
        <w:rPr>
          <w:rFonts w:eastAsia="Calibri"/>
          <w:sz w:val="16"/>
        </w:rPr>
        <w:t xml:space="preserve"> </w:t>
      </w:r>
      <w:r w:rsidRPr="00350147">
        <w:rPr>
          <w:rFonts w:eastAsia="Calibri"/>
          <w:u w:val="single"/>
        </w:rPr>
        <w:t xml:space="preserve">the prerequisite characteristics necessary </w:t>
      </w:r>
      <w:r w:rsidRPr="002212E8">
        <w:rPr>
          <w:rFonts w:eastAsia="Calibri"/>
          <w:highlight w:val="cyan"/>
          <w:u w:val="single"/>
        </w:rPr>
        <w:t>to adjust</w:t>
      </w:r>
      <w:r w:rsidRPr="00350147">
        <w:rPr>
          <w:rFonts w:eastAsia="Calibri"/>
          <w:u w:val="single"/>
        </w:rPr>
        <w:t xml:space="preserve"> the </w:t>
      </w:r>
      <w:r w:rsidRPr="002212E8">
        <w:rPr>
          <w:rFonts w:eastAsia="Calibri"/>
          <w:highlight w:val="cyan"/>
          <w:u w:val="single"/>
        </w:rPr>
        <w:t>patentability</w:t>
      </w:r>
      <w:r w:rsidRPr="00350147">
        <w:rPr>
          <w:rFonts w:eastAsia="Calibri"/>
          <w:u w:val="single"/>
        </w:rPr>
        <w:t xml:space="preserve"> standards </w:t>
      </w:r>
      <w:r w:rsidRPr="002212E8">
        <w:rPr>
          <w:rFonts w:eastAsia="Calibri"/>
          <w:highlight w:val="cyan"/>
          <w:u w:val="single"/>
        </w:rPr>
        <w:t>towards</w:t>
      </w:r>
      <w:r w:rsidRPr="00350147">
        <w:rPr>
          <w:rFonts w:eastAsia="Calibri"/>
          <w:u w:val="single"/>
        </w:rPr>
        <w:t xml:space="preserve"> an</w:t>
      </w:r>
      <w:r w:rsidRPr="00350147">
        <w:rPr>
          <w:rFonts w:eastAsia="Calibri"/>
          <w:sz w:val="16"/>
        </w:rPr>
        <w:t xml:space="preserve"> </w:t>
      </w:r>
      <w:r w:rsidRPr="002212E8">
        <w:rPr>
          <w:rFonts w:eastAsia="Calibri"/>
          <w:b/>
          <w:iCs/>
          <w:highlight w:val="cyan"/>
          <w:u w:val="single"/>
          <w:bdr w:val="single" w:sz="8" w:space="0" w:color="auto"/>
        </w:rPr>
        <w:t>optimal innovation</w:t>
      </w:r>
      <w:r w:rsidRPr="00350147">
        <w:rPr>
          <w:rFonts w:eastAsia="Calibri"/>
          <w:b/>
          <w:iCs/>
          <w:u w:val="single"/>
          <w:bdr w:val="single" w:sz="8" w:space="0" w:color="auto"/>
        </w:rPr>
        <w:t xml:space="preserve"> level.</w:t>
      </w:r>
      <w:r>
        <w:rPr>
          <w:rFonts w:eastAsia="Calibri"/>
          <w:b/>
          <w:iCs/>
          <w:u w:val="single"/>
          <w:bdr w:val="single" w:sz="8" w:space="0" w:color="auto"/>
        </w:rPr>
        <w:t xml:space="preserve"> </w:t>
      </w:r>
      <w:r w:rsidRPr="00350147">
        <w:rPr>
          <w:rFonts w:eastAsia="Calibri"/>
          <w:sz w:val="16"/>
        </w:rPr>
        <w:t xml:space="preserve">To begin, the </w:t>
      </w:r>
      <w:r w:rsidRPr="002212E8">
        <w:rPr>
          <w:rFonts w:eastAsia="Calibri"/>
          <w:highlight w:val="cyan"/>
          <w:u w:val="single"/>
        </w:rPr>
        <w:t>PTO</w:t>
      </w:r>
      <w:r w:rsidRPr="00350147">
        <w:rPr>
          <w:rFonts w:eastAsia="Calibri"/>
          <w:sz w:val="16"/>
        </w:rPr>
        <w:t xml:space="preserve">, in general, </w:t>
      </w:r>
      <w:r w:rsidRPr="002212E8">
        <w:rPr>
          <w:rFonts w:eastAsia="Calibri"/>
          <w:highlight w:val="cyan"/>
          <w:u w:val="single"/>
        </w:rPr>
        <w:t>enjoys</w:t>
      </w:r>
      <w:r w:rsidRPr="002212E8">
        <w:rPr>
          <w:rFonts w:eastAsia="Calibri"/>
          <w:sz w:val="16"/>
          <w:highlight w:val="cyan"/>
        </w:rPr>
        <w:t xml:space="preserve"> </w:t>
      </w:r>
      <w:r w:rsidRPr="002212E8">
        <w:rPr>
          <w:rFonts w:eastAsia="Calibri"/>
          <w:b/>
          <w:iCs/>
          <w:highlight w:val="cyan"/>
          <w:u w:val="single"/>
          <w:bdr w:val="single" w:sz="8" w:space="0" w:color="auto"/>
        </w:rPr>
        <w:t>superior</w:t>
      </w:r>
      <w:r w:rsidRPr="002212E8">
        <w:rPr>
          <w:rFonts w:eastAsia="Calibri"/>
          <w:sz w:val="16"/>
          <w:highlight w:val="cyan"/>
        </w:rPr>
        <w:t xml:space="preserve"> </w:t>
      </w:r>
      <w:r w:rsidRPr="002212E8">
        <w:rPr>
          <w:rFonts w:eastAsia="Calibri"/>
          <w:highlight w:val="cyan"/>
          <w:u w:val="single"/>
        </w:rPr>
        <w:t>mechanisms of gathering info</w:t>
      </w:r>
      <w:r w:rsidRPr="00350147">
        <w:rPr>
          <w:rFonts w:eastAsia="Calibri"/>
          <w:u w:val="single"/>
        </w:rPr>
        <w:t>rmation</w:t>
      </w:r>
      <w:r w:rsidRPr="00350147">
        <w:rPr>
          <w:rFonts w:eastAsia="Calibri"/>
          <w:sz w:val="16"/>
        </w:rPr>
        <w:t xml:space="preserve"> necessary </w:t>
      </w:r>
      <w:r w:rsidRPr="00350147">
        <w:rPr>
          <w:rFonts w:eastAsia="Calibri"/>
          <w:u w:val="single"/>
        </w:rPr>
        <w:t>to make informed patent policy decisions</w:t>
      </w:r>
      <w:r w:rsidRPr="00350147">
        <w:rPr>
          <w:rFonts w:eastAsia="Calibri"/>
          <w:sz w:val="16"/>
        </w:rPr>
        <w:t xml:space="preserve">. </w:t>
      </w:r>
      <w:r w:rsidRPr="00350147">
        <w:rPr>
          <w:rFonts w:eastAsia="Calibri"/>
          <w:u w:val="single"/>
        </w:rPr>
        <w:t>The agency conducts hearings</w:t>
      </w:r>
      <w:r w:rsidRPr="00350147">
        <w:rPr>
          <w:rFonts w:eastAsia="Calibri"/>
          <w:sz w:val="16"/>
        </w:rPr>
        <w:t xml:space="preserve">,212 </w:t>
      </w:r>
      <w:r w:rsidRPr="00350147">
        <w:rPr>
          <w:rFonts w:eastAsia="Calibri"/>
          <w:u w:val="single"/>
        </w:rPr>
        <w:t>partakes in research studies</w:t>
      </w:r>
      <w:r w:rsidRPr="00350147">
        <w:rPr>
          <w:rFonts w:eastAsia="Calibri"/>
          <w:sz w:val="16"/>
        </w:rPr>
        <w:t xml:space="preserve">,213 </w:t>
      </w:r>
      <w:r w:rsidRPr="00350147">
        <w:rPr>
          <w:rFonts w:eastAsia="Calibri"/>
          <w:u w:val="single"/>
        </w:rPr>
        <w:t>and works closely with other expert federal agencies</w:t>
      </w:r>
      <w:r w:rsidRPr="00350147">
        <w:rPr>
          <w:rFonts w:eastAsia="Calibri"/>
          <w:sz w:val="16"/>
        </w:rPr>
        <w:t xml:space="preserve">.214 </w:t>
      </w:r>
      <w:r w:rsidRPr="00350147">
        <w:rPr>
          <w:rFonts w:eastAsia="Calibri"/>
          <w:u w:val="single"/>
        </w:rPr>
        <w:t>The PTO</w:t>
      </w:r>
      <w:r w:rsidRPr="00350147">
        <w:rPr>
          <w:rFonts w:eastAsia="Calibri"/>
          <w:sz w:val="16"/>
        </w:rPr>
        <w:t xml:space="preserve"> also engages in </w:t>
      </w:r>
      <w:r w:rsidRPr="00350147">
        <w:rPr>
          <w:rFonts w:eastAsia="Calibri"/>
          <w:u w:val="single"/>
        </w:rPr>
        <w:t>rule-making procedures</w:t>
      </w:r>
      <w:r w:rsidRPr="00350147">
        <w:rPr>
          <w:rFonts w:eastAsia="Calibri"/>
          <w:sz w:val="16"/>
        </w:rPr>
        <w:t xml:space="preserve">, even when it is not legally obligated to do so, that </w:t>
      </w:r>
      <w:r w:rsidRPr="00350147">
        <w:rPr>
          <w:rFonts w:eastAsia="Calibri"/>
          <w:u w:val="single"/>
        </w:rPr>
        <w:t>are specifically designed to encourage</w:t>
      </w:r>
      <w:r w:rsidRPr="00350147">
        <w:rPr>
          <w:rFonts w:eastAsia="Calibri"/>
          <w:sz w:val="16"/>
        </w:rPr>
        <w:t xml:space="preserve"> </w:t>
      </w:r>
      <w:r w:rsidRPr="00350147">
        <w:rPr>
          <w:rFonts w:eastAsia="Calibri"/>
          <w:u w:val="single"/>
        </w:rPr>
        <w:t>interested parties to communicate</w:t>
      </w:r>
      <w:r w:rsidRPr="00350147">
        <w:rPr>
          <w:rFonts w:eastAsia="Calibri"/>
          <w:sz w:val="16"/>
        </w:rPr>
        <w:t xml:space="preserve"> </w:t>
      </w:r>
      <w:r w:rsidRPr="00350147">
        <w:rPr>
          <w:rFonts w:eastAsia="Calibri"/>
          <w:u w:val="single"/>
        </w:rPr>
        <w:t>relevant viewpoints</w:t>
      </w:r>
      <w:r w:rsidRPr="00350147">
        <w:rPr>
          <w:rFonts w:eastAsia="Calibri"/>
          <w:sz w:val="16"/>
        </w:rPr>
        <w:t xml:space="preserve"> and information to the Agency.215 The PTO could expand this host of information-gathering techniques and rely upon them more heavily to collect the technological and economic data necessary to craft substantive patent law standards that promote innovation.</w:t>
      </w:r>
      <w:r>
        <w:rPr>
          <w:rFonts w:eastAsia="Calibri"/>
          <w:sz w:val="16"/>
        </w:rPr>
        <w:t xml:space="preserve"> </w:t>
      </w:r>
      <w:r w:rsidRPr="00350147">
        <w:rPr>
          <w:rFonts w:eastAsia="Calibri"/>
          <w:u w:val="single"/>
        </w:rPr>
        <w:t>By contrast</w:t>
      </w:r>
      <w:r w:rsidRPr="00350147">
        <w:rPr>
          <w:rFonts w:eastAsia="Calibri"/>
          <w:sz w:val="16"/>
        </w:rPr>
        <w:t xml:space="preserve">, like all appellate courts, </w:t>
      </w:r>
      <w:r w:rsidRPr="00350147">
        <w:rPr>
          <w:rFonts w:eastAsia="Calibri"/>
          <w:u w:val="single"/>
        </w:rPr>
        <w:t>the Federal Circuit</w:t>
      </w:r>
      <w:r w:rsidRPr="00350147">
        <w:rPr>
          <w:rFonts w:eastAsia="Calibri"/>
          <w:sz w:val="16"/>
        </w:rPr>
        <w:t xml:space="preserve"> </w:t>
      </w:r>
      <w:r w:rsidRPr="00350147">
        <w:rPr>
          <w:rFonts w:eastAsia="Calibri"/>
          <w:u w:val="single"/>
        </w:rPr>
        <w:t>is</w:t>
      </w:r>
      <w:r w:rsidRPr="00350147">
        <w:rPr>
          <w:rFonts w:eastAsia="Calibri"/>
          <w:sz w:val="16"/>
        </w:rPr>
        <w:t xml:space="preserve"> </w:t>
      </w:r>
      <w:r w:rsidRPr="00350147">
        <w:rPr>
          <w:rFonts w:eastAsia="Calibri"/>
          <w:b/>
          <w:iCs/>
          <w:u w:val="single"/>
          <w:bdr w:val="single" w:sz="8" w:space="0" w:color="auto"/>
        </w:rPr>
        <w:t>largely confined</w:t>
      </w:r>
      <w:r w:rsidRPr="00350147">
        <w:rPr>
          <w:rFonts w:eastAsia="Calibri"/>
          <w:sz w:val="16"/>
        </w:rPr>
        <w:t xml:space="preserve"> </w:t>
      </w:r>
      <w:r w:rsidRPr="00350147">
        <w:rPr>
          <w:rFonts w:eastAsia="Calibri"/>
          <w:u w:val="single"/>
        </w:rPr>
        <w:t>to the record developed by interested parties.</w:t>
      </w:r>
      <w:r w:rsidRPr="00350147">
        <w:rPr>
          <w:rFonts w:eastAsia="Calibri"/>
          <w:sz w:val="16"/>
        </w:rPr>
        <w:t xml:space="preserve">216 </w:t>
      </w:r>
      <w:r w:rsidRPr="00350147">
        <w:rPr>
          <w:rFonts w:eastAsia="Calibri"/>
          <w:u w:val="single"/>
        </w:rPr>
        <w:t>While it is</w:t>
      </w:r>
      <w:r w:rsidRPr="00350147">
        <w:rPr>
          <w:rFonts w:eastAsia="Calibri"/>
          <w:sz w:val="16"/>
        </w:rPr>
        <w:t xml:space="preserve"> </w:t>
      </w:r>
      <w:r w:rsidRPr="00350147">
        <w:rPr>
          <w:rFonts w:eastAsia="Calibri"/>
          <w:u w:val="single"/>
        </w:rPr>
        <w:t>true</w:t>
      </w:r>
      <w:r w:rsidRPr="00350147">
        <w:rPr>
          <w:rFonts w:eastAsia="Calibri"/>
          <w:sz w:val="16"/>
        </w:rPr>
        <w:t xml:space="preserve"> that </w:t>
      </w:r>
      <w:r w:rsidRPr="00350147">
        <w:rPr>
          <w:rFonts w:eastAsia="Calibri"/>
          <w:u w:val="single"/>
        </w:rPr>
        <w:t>litigants</w:t>
      </w:r>
      <w:r w:rsidRPr="00350147">
        <w:rPr>
          <w:rFonts w:eastAsia="Calibri"/>
          <w:sz w:val="16"/>
        </w:rPr>
        <w:t xml:space="preserve"> </w:t>
      </w:r>
      <w:r w:rsidRPr="00350147">
        <w:rPr>
          <w:rFonts w:eastAsia="Calibri"/>
          <w:u w:val="single"/>
        </w:rPr>
        <w:t>present expert witnesses</w:t>
      </w:r>
      <w:r w:rsidRPr="00350147">
        <w:rPr>
          <w:rFonts w:eastAsia="Calibri"/>
          <w:sz w:val="16"/>
        </w:rPr>
        <w:t xml:space="preserve"> that provide courts </w:t>
      </w:r>
      <w:r w:rsidRPr="00350147">
        <w:rPr>
          <w:rFonts w:eastAsia="Calibri"/>
          <w:u w:val="single"/>
        </w:rPr>
        <w:t>with scientific and technical information</w:t>
      </w:r>
      <w:r w:rsidRPr="00350147">
        <w:rPr>
          <w:rFonts w:eastAsia="Calibri"/>
          <w:sz w:val="16"/>
        </w:rPr>
        <w:t xml:space="preserve"> that may be critical to their decisional process, it is generally thought that </w:t>
      </w:r>
      <w:r w:rsidRPr="00350147">
        <w:rPr>
          <w:rFonts w:eastAsia="Calibri"/>
          <w:u w:val="single"/>
        </w:rPr>
        <w:t>these witnesses are</w:t>
      </w:r>
      <w:r w:rsidRPr="00350147">
        <w:rPr>
          <w:rFonts w:eastAsia="Calibri"/>
          <w:sz w:val="16"/>
        </w:rPr>
        <w:t xml:space="preserve"> </w:t>
      </w:r>
      <w:r w:rsidRPr="00350147">
        <w:rPr>
          <w:rFonts w:eastAsia="Calibri"/>
          <w:b/>
          <w:iCs/>
          <w:u w:val="single"/>
          <w:bdr w:val="single" w:sz="8" w:space="0" w:color="auto"/>
        </w:rPr>
        <w:t>biased</w:t>
      </w:r>
      <w:r w:rsidRPr="00350147">
        <w:rPr>
          <w:rFonts w:eastAsia="Calibri"/>
          <w:sz w:val="16"/>
        </w:rPr>
        <w:t xml:space="preserve"> </w:t>
      </w:r>
      <w:r w:rsidRPr="00350147">
        <w:rPr>
          <w:rFonts w:eastAsia="Calibri"/>
          <w:u w:val="single"/>
        </w:rPr>
        <w:t>towards their</w:t>
      </w:r>
      <w:r w:rsidRPr="00350147">
        <w:rPr>
          <w:rFonts w:eastAsia="Calibri"/>
          <w:sz w:val="16"/>
        </w:rPr>
        <w:t xml:space="preserve"> retaining </w:t>
      </w:r>
      <w:r w:rsidRPr="00350147">
        <w:rPr>
          <w:rFonts w:eastAsia="Calibri"/>
          <w:u w:val="single"/>
        </w:rPr>
        <w:t>party</w:t>
      </w:r>
      <w:r w:rsidRPr="00350147">
        <w:rPr>
          <w:rFonts w:eastAsia="Calibri"/>
          <w:sz w:val="16"/>
        </w:rPr>
        <w:t xml:space="preserve">. The result is that </w:t>
      </w:r>
      <w:r w:rsidRPr="00350147">
        <w:rPr>
          <w:rFonts w:eastAsia="Calibri"/>
          <w:u w:val="single"/>
        </w:rPr>
        <w:t>in almost every</w:t>
      </w:r>
      <w:r w:rsidRPr="00350147">
        <w:rPr>
          <w:rFonts w:eastAsia="Calibri"/>
          <w:sz w:val="16"/>
        </w:rPr>
        <w:t xml:space="preserve"> </w:t>
      </w:r>
      <w:r w:rsidRPr="00350147">
        <w:rPr>
          <w:rFonts w:eastAsia="Calibri"/>
          <w:u w:val="single"/>
        </w:rPr>
        <w:t>case</w:t>
      </w:r>
      <w:r w:rsidRPr="00350147">
        <w:rPr>
          <w:rFonts w:eastAsia="Calibri"/>
          <w:sz w:val="16"/>
        </w:rPr>
        <w:t xml:space="preserve">, </w:t>
      </w:r>
      <w:r w:rsidRPr="00350147">
        <w:rPr>
          <w:rFonts w:eastAsia="Calibri"/>
          <w:u w:val="single"/>
        </w:rPr>
        <w:t>the decision maker sees a “battle of the experts,”</w:t>
      </w:r>
      <w:r w:rsidRPr="00350147">
        <w:rPr>
          <w:rFonts w:eastAsia="Calibri"/>
          <w:sz w:val="16"/>
        </w:rPr>
        <w:t xml:space="preserve"> </w:t>
      </w:r>
      <w:r w:rsidRPr="00350147">
        <w:rPr>
          <w:rFonts w:eastAsia="Calibri"/>
          <w:u w:val="single"/>
        </w:rPr>
        <w:t xml:space="preserve">which likely </w:t>
      </w:r>
      <w:r w:rsidRPr="00350147">
        <w:rPr>
          <w:rFonts w:eastAsia="Calibri"/>
          <w:b/>
          <w:iCs/>
          <w:u w:val="single"/>
          <w:bdr w:val="single" w:sz="8" w:space="0" w:color="auto"/>
        </w:rPr>
        <w:t>diminishes the value</w:t>
      </w:r>
      <w:r w:rsidRPr="00350147">
        <w:rPr>
          <w:rFonts w:eastAsia="Calibri"/>
          <w:u w:val="single"/>
        </w:rPr>
        <w:t xml:space="preserve"> of information garnered from such witnesses</w:t>
      </w:r>
      <w:r w:rsidRPr="00350147">
        <w:rPr>
          <w:rFonts w:eastAsia="Calibri"/>
          <w:sz w:val="16"/>
        </w:rPr>
        <w:t xml:space="preserve">.217 Moreover, </w:t>
      </w:r>
      <w:r w:rsidRPr="00350147">
        <w:rPr>
          <w:rFonts w:eastAsia="Calibri"/>
          <w:u w:val="single"/>
        </w:rPr>
        <w:t>it seems unlikely that individual</w:t>
      </w:r>
      <w:r w:rsidRPr="00350147">
        <w:rPr>
          <w:rFonts w:eastAsia="Calibri"/>
          <w:sz w:val="16"/>
        </w:rPr>
        <w:t xml:space="preserve"> </w:t>
      </w:r>
      <w:r w:rsidRPr="00350147">
        <w:rPr>
          <w:rFonts w:eastAsia="Calibri"/>
          <w:u w:val="single"/>
        </w:rPr>
        <w:t>parties</w:t>
      </w:r>
      <w:r w:rsidRPr="00350147">
        <w:rPr>
          <w:rFonts w:eastAsia="Calibri"/>
          <w:sz w:val="16"/>
        </w:rPr>
        <w:t xml:space="preserve">, </w:t>
      </w:r>
      <w:r w:rsidRPr="00350147">
        <w:rPr>
          <w:rFonts w:eastAsia="Calibri"/>
          <w:u w:val="single"/>
        </w:rPr>
        <w:t>with</w:t>
      </w:r>
      <w:r w:rsidRPr="00350147">
        <w:rPr>
          <w:rFonts w:eastAsia="Calibri"/>
          <w:sz w:val="16"/>
        </w:rPr>
        <w:t xml:space="preserve"> arguably </w:t>
      </w:r>
      <w:r w:rsidRPr="00350147">
        <w:rPr>
          <w:rFonts w:eastAsia="Calibri"/>
          <w:u w:val="single"/>
        </w:rPr>
        <w:t>narrow interests</w:t>
      </w:r>
      <w:r w:rsidRPr="00350147">
        <w:rPr>
          <w:rFonts w:eastAsia="Calibri"/>
          <w:sz w:val="16"/>
        </w:rPr>
        <w:t xml:space="preserve"> </w:t>
      </w:r>
      <w:r w:rsidRPr="00350147">
        <w:rPr>
          <w:rFonts w:eastAsia="Calibri"/>
          <w:u w:val="single"/>
        </w:rPr>
        <w:t>in upholding or invalidating a patent</w:t>
      </w:r>
      <w:r w:rsidRPr="00350147">
        <w:rPr>
          <w:rFonts w:eastAsia="Calibri"/>
          <w:sz w:val="16"/>
        </w:rPr>
        <w:t xml:space="preserve">, </w:t>
      </w:r>
      <w:r w:rsidRPr="00350147">
        <w:rPr>
          <w:rFonts w:eastAsia="Calibri"/>
          <w:u w:val="single"/>
        </w:rPr>
        <w:t>will even provide the court with the type of information necessary to make informed policy decisions</w:t>
      </w:r>
      <w:r w:rsidRPr="00350147">
        <w:rPr>
          <w:rFonts w:eastAsia="Calibri"/>
          <w:sz w:val="16"/>
        </w:rPr>
        <w:t xml:space="preserve">, </w:t>
      </w:r>
      <w:r w:rsidRPr="00350147">
        <w:rPr>
          <w:rFonts w:eastAsia="Calibri"/>
          <w:u w:val="single"/>
        </w:rPr>
        <w:t>such as data on how broader or narrower patentability standards affect social welfare</w:t>
      </w:r>
      <w:r w:rsidRPr="00350147">
        <w:rPr>
          <w:rFonts w:eastAsia="Calibri"/>
          <w:sz w:val="16"/>
        </w:rPr>
        <w:t xml:space="preserve">.218 Although courts have some ad hoc mechanisms to increase their access to information, these approaches are poor substitutes for the information-gathering powers of agencies.219 For example, while </w:t>
      </w:r>
      <w:r w:rsidRPr="00350147">
        <w:rPr>
          <w:rFonts w:eastAsia="Calibri"/>
          <w:u w:val="single"/>
        </w:rPr>
        <w:t>the Federal Circuit</w:t>
      </w:r>
      <w:r w:rsidRPr="00350147">
        <w:rPr>
          <w:rFonts w:eastAsia="Calibri"/>
          <w:sz w:val="16"/>
        </w:rPr>
        <w:t xml:space="preserve"> routinely considers amicus curiae briefs, the appellate court </w:t>
      </w:r>
      <w:r w:rsidRPr="00350147">
        <w:rPr>
          <w:rFonts w:eastAsia="Calibri"/>
          <w:u w:val="single"/>
        </w:rPr>
        <w:t>is</w:t>
      </w:r>
      <w:r w:rsidRPr="00350147">
        <w:rPr>
          <w:rFonts w:eastAsia="Calibri"/>
          <w:sz w:val="16"/>
        </w:rPr>
        <w:t xml:space="preserve"> still </w:t>
      </w:r>
      <w:r w:rsidRPr="00350147">
        <w:rPr>
          <w:rFonts w:eastAsia="Calibri"/>
          <w:u w:val="single"/>
        </w:rPr>
        <w:t>dependent on</w:t>
      </w:r>
      <w:r w:rsidRPr="00350147">
        <w:rPr>
          <w:rFonts w:eastAsia="Calibri"/>
          <w:sz w:val="16"/>
        </w:rPr>
        <w:t xml:space="preserve"> the </w:t>
      </w:r>
      <w:r w:rsidRPr="00350147">
        <w:rPr>
          <w:rFonts w:eastAsia="Calibri"/>
          <w:u w:val="single"/>
        </w:rPr>
        <w:t>amici submitting</w:t>
      </w:r>
      <w:r w:rsidRPr="00350147">
        <w:rPr>
          <w:rFonts w:eastAsia="Calibri"/>
          <w:sz w:val="16"/>
        </w:rPr>
        <w:t xml:space="preserve"> the right </w:t>
      </w:r>
      <w:r w:rsidRPr="00350147">
        <w:rPr>
          <w:rFonts w:eastAsia="Calibri"/>
          <w:u w:val="single"/>
        </w:rPr>
        <w:t>information</w:t>
      </w:r>
      <w:r w:rsidRPr="00350147">
        <w:rPr>
          <w:rFonts w:eastAsia="Calibri"/>
          <w:sz w:val="16"/>
        </w:rPr>
        <w:t xml:space="preserve"> necessary to adjust the standards of patentability to promote innovation. If such information is not submitted, </w:t>
      </w:r>
      <w:r w:rsidRPr="00350147">
        <w:rPr>
          <w:rFonts w:eastAsia="Calibri"/>
          <w:u w:val="single"/>
        </w:rPr>
        <w:t>the Federal Circuit cannot</w:t>
      </w:r>
      <w:r w:rsidRPr="00350147">
        <w:rPr>
          <w:rFonts w:eastAsia="Calibri"/>
          <w:sz w:val="16"/>
        </w:rPr>
        <w:t xml:space="preserve">, </w:t>
      </w:r>
      <w:r w:rsidRPr="00350147">
        <w:rPr>
          <w:rFonts w:eastAsia="Calibri"/>
          <w:u w:val="single"/>
        </w:rPr>
        <w:t>unlike the PTO</w:t>
      </w:r>
      <w:r w:rsidRPr="00350147">
        <w:rPr>
          <w:rFonts w:eastAsia="Calibri"/>
          <w:sz w:val="16"/>
        </w:rPr>
        <w:t xml:space="preserve">, </w:t>
      </w:r>
      <w:r w:rsidRPr="00350147">
        <w:rPr>
          <w:rFonts w:eastAsia="Calibri"/>
          <w:u w:val="single"/>
        </w:rPr>
        <w:t>order its own fact findings to make up for the deficiency.</w:t>
      </w:r>
      <w:r w:rsidRPr="00350147">
        <w:rPr>
          <w:rFonts w:eastAsia="Calibri"/>
          <w:sz w:val="16"/>
        </w:rPr>
        <w:t>220</w:t>
      </w:r>
      <w:r>
        <w:rPr>
          <w:rFonts w:eastAsia="Calibri"/>
          <w:sz w:val="16"/>
        </w:rPr>
        <w:t xml:space="preserve"> </w:t>
      </w:r>
      <w:r w:rsidRPr="00350147">
        <w:rPr>
          <w:rFonts w:eastAsia="Calibri"/>
          <w:sz w:val="16"/>
        </w:rPr>
        <w:t xml:space="preserve">However, even assuming that the Federal Circuit had the same access to technological and economic data as the PTO, </w:t>
      </w:r>
      <w:r w:rsidRPr="00350147">
        <w:rPr>
          <w:rFonts w:eastAsia="Calibri"/>
          <w:u w:val="single"/>
        </w:rPr>
        <w:t>little reason exists</w:t>
      </w:r>
      <w:r w:rsidRPr="00350147">
        <w:rPr>
          <w:rFonts w:eastAsia="Calibri"/>
          <w:sz w:val="16"/>
        </w:rPr>
        <w:t xml:space="preserve"> </w:t>
      </w:r>
      <w:r w:rsidRPr="00350147">
        <w:rPr>
          <w:rFonts w:eastAsia="Calibri"/>
          <w:u w:val="single"/>
        </w:rPr>
        <w:t>to believe</w:t>
      </w:r>
      <w:r w:rsidRPr="00350147">
        <w:rPr>
          <w:rFonts w:eastAsia="Calibri"/>
          <w:sz w:val="16"/>
        </w:rPr>
        <w:t xml:space="preserve"> its </w:t>
      </w:r>
      <w:r w:rsidRPr="00350147">
        <w:rPr>
          <w:rFonts w:eastAsia="Calibri"/>
          <w:u w:val="single"/>
        </w:rPr>
        <w:t>ability to analyze</w:t>
      </w:r>
      <w:r w:rsidRPr="00350147">
        <w:rPr>
          <w:rFonts w:eastAsia="Calibri"/>
          <w:sz w:val="16"/>
        </w:rPr>
        <w:t xml:space="preserve"> and understand </w:t>
      </w:r>
      <w:r w:rsidRPr="00350147">
        <w:rPr>
          <w:rFonts w:eastAsia="Calibri"/>
          <w:u w:val="single"/>
        </w:rPr>
        <w:t>this information is superior to that of the PTO</w:t>
      </w:r>
      <w:r w:rsidRPr="00350147">
        <w:rPr>
          <w:rFonts w:eastAsia="Calibri"/>
          <w:sz w:val="16"/>
        </w:rPr>
        <w:t xml:space="preserve">. </w:t>
      </w:r>
      <w:r w:rsidRPr="00350147">
        <w:rPr>
          <w:rFonts w:eastAsia="Calibri"/>
          <w:u w:val="single"/>
        </w:rPr>
        <w:t>Only a handful of the Federal Circuit judges hold scientific degrees</w:t>
      </w:r>
      <w:r w:rsidRPr="00350147">
        <w:rPr>
          <w:rFonts w:eastAsia="Calibri"/>
          <w:sz w:val="16"/>
        </w:rPr>
        <w:t xml:space="preserve">.221 Even considering that the majority of law clerks have a scientific background, </w:t>
      </w:r>
      <w:r w:rsidRPr="00350147">
        <w:rPr>
          <w:rFonts w:eastAsia="Calibri"/>
          <w:u w:val="single"/>
        </w:rPr>
        <w:t>the court’s</w:t>
      </w:r>
      <w:r w:rsidRPr="00350147">
        <w:rPr>
          <w:rFonts w:eastAsia="Calibri"/>
          <w:sz w:val="16"/>
        </w:rPr>
        <w:t xml:space="preserve"> </w:t>
      </w:r>
      <w:r w:rsidRPr="00350147">
        <w:rPr>
          <w:rFonts w:eastAsia="Calibri"/>
          <w:b/>
          <w:iCs/>
          <w:u w:val="single"/>
          <w:bdr w:val="single" w:sz="8" w:space="0" w:color="auto"/>
        </w:rPr>
        <w:t>technical expertise</w:t>
      </w:r>
      <w:r w:rsidRPr="00350147">
        <w:rPr>
          <w:rFonts w:eastAsia="Calibri"/>
          <w:sz w:val="16"/>
        </w:rPr>
        <w:t xml:space="preserve"> </w:t>
      </w:r>
      <w:r w:rsidRPr="00350147">
        <w:rPr>
          <w:rFonts w:eastAsia="Calibri"/>
          <w:u w:val="single"/>
        </w:rPr>
        <w:t>is still quite limited</w:t>
      </w:r>
      <w:r w:rsidRPr="00350147">
        <w:rPr>
          <w:rFonts w:eastAsia="Calibri"/>
          <w:sz w:val="16"/>
        </w:rPr>
        <w:t xml:space="preserve">. By contrast, </w:t>
      </w:r>
      <w:r w:rsidRPr="00350147">
        <w:rPr>
          <w:rFonts w:eastAsia="Calibri"/>
          <w:u w:val="single"/>
        </w:rPr>
        <w:t xml:space="preserve">the </w:t>
      </w:r>
      <w:r w:rsidRPr="002212E8">
        <w:rPr>
          <w:rFonts w:eastAsia="Calibri"/>
          <w:highlight w:val="cyan"/>
          <w:u w:val="single"/>
        </w:rPr>
        <w:t>PTO</w:t>
      </w:r>
      <w:r w:rsidRPr="00350147">
        <w:rPr>
          <w:rFonts w:eastAsia="Calibri"/>
          <w:u w:val="single"/>
        </w:rPr>
        <w:t xml:space="preserve"> employs</w:t>
      </w:r>
      <w:r w:rsidRPr="00350147">
        <w:rPr>
          <w:rFonts w:eastAsia="Calibri"/>
          <w:sz w:val="16"/>
        </w:rPr>
        <w:t xml:space="preserve"> close to </w:t>
      </w:r>
      <w:r w:rsidRPr="00350147">
        <w:rPr>
          <w:rFonts w:eastAsia="Calibri"/>
          <w:u w:val="single"/>
        </w:rPr>
        <w:t xml:space="preserve">7000 </w:t>
      </w:r>
      <w:r w:rsidRPr="002212E8">
        <w:rPr>
          <w:rFonts w:eastAsia="Calibri"/>
          <w:highlight w:val="cyan"/>
          <w:u w:val="single"/>
        </w:rPr>
        <w:t>patent examiners</w:t>
      </w:r>
      <w:r w:rsidRPr="00350147">
        <w:rPr>
          <w:rFonts w:eastAsia="Calibri"/>
          <w:sz w:val="16"/>
        </w:rPr>
        <w:t xml:space="preserve">, all </w:t>
      </w:r>
      <w:r w:rsidRPr="00350147">
        <w:rPr>
          <w:rFonts w:eastAsia="Calibri"/>
          <w:u w:val="single"/>
        </w:rPr>
        <w:t xml:space="preserve">of whom </w:t>
      </w:r>
      <w:r w:rsidRPr="002212E8">
        <w:rPr>
          <w:rFonts w:eastAsia="Calibri"/>
          <w:highlight w:val="cyan"/>
          <w:u w:val="single"/>
        </w:rPr>
        <w:t>have</w:t>
      </w:r>
      <w:r w:rsidRPr="00350147">
        <w:rPr>
          <w:rFonts w:eastAsia="Calibri"/>
          <w:u w:val="single"/>
        </w:rPr>
        <w:t xml:space="preserve"> </w:t>
      </w:r>
      <w:r w:rsidRPr="002212E8">
        <w:rPr>
          <w:rFonts w:eastAsia="Calibri"/>
          <w:highlight w:val="cyan"/>
          <w:u w:val="single"/>
        </w:rPr>
        <w:t>been</w:t>
      </w:r>
      <w:r w:rsidRPr="00350147">
        <w:rPr>
          <w:rFonts w:eastAsia="Calibri"/>
          <w:u w:val="single"/>
        </w:rPr>
        <w:t xml:space="preserve"> </w:t>
      </w:r>
      <w:r w:rsidRPr="002212E8">
        <w:rPr>
          <w:rFonts w:eastAsia="Calibri"/>
          <w:highlight w:val="cyan"/>
          <w:u w:val="single"/>
        </w:rPr>
        <w:t>scientifically trained</w:t>
      </w:r>
      <w:r w:rsidRPr="00350147">
        <w:rPr>
          <w:rFonts w:eastAsia="Calibri"/>
          <w:sz w:val="16"/>
        </w:rPr>
        <w:t xml:space="preserve">.222 In fact, </w:t>
      </w:r>
      <w:r w:rsidRPr="00350147">
        <w:rPr>
          <w:rFonts w:eastAsia="Calibri"/>
          <w:u w:val="single"/>
        </w:rPr>
        <w:t>many</w:t>
      </w:r>
      <w:r w:rsidRPr="00350147">
        <w:rPr>
          <w:rFonts w:eastAsia="Calibri"/>
          <w:sz w:val="16"/>
        </w:rPr>
        <w:t xml:space="preserve"> of the patent examiners </w:t>
      </w:r>
      <w:r w:rsidRPr="00350147">
        <w:rPr>
          <w:rFonts w:eastAsia="Calibri"/>
          <w:u w:val="single"/>
        </w:rPr>
        <w:t>hold</w:t>
      </w:r>
      <w:r w:rsidRPr="00350147">
        <w:rPr>
          <w:rFonts w:eastAsia="Calibri"/>
          <w:sz w:val="16"/>
        </w:rPr>
        <w:t xml:space="preserve"> </w:t>
      </w:r>
      <w:r w:rsidRPr="00350147">
        <w:rPr>
          <w:rFonts w:eastAsia="Calibri"/>
          <w:u w:val="single"/>
        </w:rPr>
        <w:t>advanced scientific degrees</w:t>
      </w:r>
      <w:r w:rsidRPr="00350147">
        <w:rPr>
          <w:rFonts w:eastAsia="Calibri"/>
          <w:sz w:val="16"/>
        </w:rPr>
        <w:t xml:space="preserve"> </w:t>
      </w:r>
      <w:r w:rsidRPr="00350147">
        <w:rPr>
          <w:rFonts w:eastAsia="Calibri"/>
          <w:u w:val="single"/>
        </w:rPr>
        <w:t>in the precise areas in which they work</w:t>
      </w:r>
      <w:r w:rsidRPr="00350147">
        <w:rPr>
          <w:rFonts w:eastAsia="Calibri"/>
          <w:sz w:val="16"/>
        </w:rPr>
        <w:t>.223 Although patent examiners may not on a day-to-day basis partici- pate in the development of guidelines or other documents that represent the PTO’s viewpoint on patent policy, they are at the disposal of the Agency when needed.224</w:t>
      </w:r>
      <w:r>
        <w:rPr>
          <w:rFonts w:eastAsia="Calibri"/>
          <w:sz w:val="16"/>
        </w:rPr>
        <w:t xml:space="preserve"> </w:t>
      </w:r>
      <w:r w:rsidRPr="002212E8">
        <w:rPr>
          <w:rFonts w:eastAsia="Calibri"/>
          <w:highlight w:val="cyan"/>
          <w:u w:val="single"/>
        </w:rPr>
        <w:t>The Fed</w:t>
      </w:r>
      <w:r w:rsidRPr="00350147">
        <w:rPr>
          <w:rFonts w:eastAsia="Calibri"/>
          <w:u w:val="single"/>
        </w:rPr>
        <w:t xml:space="preserve">eral </w:t>
      </w:r>
      <w:r w:rsidRPr="002212E8">
        <w:rPr>
          <w:rFonts w:eastAsia="Calibri"/>
          <w:highlight w:val="cyan"/>
          <w:u w:val="single"/>
        </w:rPr>
        <w:t>Circuit</w:t>
      </w:r>
      <w:r w:rsidRPr="00350147">
        <w:rPr>
          <w:rFonts w:eastAsia="Calibri"/>
          <w:u w:val="single"/>
        </w:rPr>
        <w:t xml:space="preserve"> </w:t>
      </w:r>
      <w:r w:rsidRPr="002212E8">
        <w:rPr>
          <w:rFonts w:eastAsia="Calibri"/>
          <w:highlight w:val="cyan"/>
          <w:u w:val="single"/>
        </w:rPr>
        <w:t>fares even worse</w:t>
      </w:r>
      <w:r w:rsidRPr="00350147">
        <w:rPr>
          <w:rFonts w:eastAsia="Calibri"/>
          <w:u w:val="single"/>
        </w:rPr>
        <w:t xml:space="preserve"> </w:t>
      </w:r>
      <w:r w:rsidRPr="002212E8">
        <w:rPr>
          <w:rFonts w:eastAsia="Calibri"/>
          <w:highlight w:val="cyan"/>
          <w:u w:val="single"/>
        </w:rPr>
        <w:t>when</w:t>
      </w:r>
      <w:r w:rsidRPr="00350147">
        <w:rPr>
          <w:rFonts w:eastAsia="Calibri"/>
          <w:u w:val="single"/>
        </w:rPr>
        <w:t xml:space="preserve"> its </w:t>
      </w:r>
      <w:r w:rsidRPr="002212E8">
        <w:rPr>
          <w:rFonts w:eastAsia="Calibri"/>
          <w:b/>
          <w:iCs/>
          <w:highlight w:val="cyan"/>
          <w:u w:val="single"/>
          <w:bdr w:val="single" w:sz="8" w:space="0" w:color="auto"/>
        </w:rPr>
        <w:t>economic proficiency</w:t>
      </w:r>
      <w:r w:rsidRPr="002212E8">
        <w:rPr>
          <w:rFonts w:eastAsia="Calibri"/>
          <w:sz w:val="16"/>
          <w:highlight w:val="cyan"/>
        </w:rPr>
        <w:t xml:space="preserve"> </w:t>
      </w:r>
      <w:r w:rsidRPr="002212E8">
        <w:rPr>
          <w:rFonts w:eastAsia="Calibri"/>
          <w:highlight w:val="cyan"/>
          <w:u w:val="single"/>
        </w:rPr>
        <w:t>is considered</w:t>
      </w:r>
      <w:r w:rsidRPr="00350147">
        <w:rPr>
          <w:rFonts w:eastAsia="Calibri"/>
          <w:sz w:val="16"/>
        </w:rPr>
        <w:t xml:space="preserve">. </w:t>
      </w:r>
      <w:r w:rsidRPr="00350147">
        <w:rPr>
          <w:rFonts w:eastAsia="Calibri"/>
          <w:u w:val="single"/>
        </w:rPr>
        <w:t>None of the Federal Circuit judges or their technical personnel are trained in economics</w:t>
      </w:r>
      <w:r w:rsidRPr="00350147">
        <w:rPr>
          <w:rFonts w:eastAsia="Calibri"/>
          <w:sz w:val="16"/>
        </w:rPr>
        <w:t xml:space="preserve">.225 Thus, even if economic data was provided to the court through some means, the judges are highly unlikely to be able to evaluate the merits of such studies. They will not, for example, be able to determine methodological shortcomings of the empirical investigations, such as selection effects or data-gathering bias. Nor are they likely to be able to fully appreciate the limitations on the conclusions that can be made from these studies—that is, whether the study demonstrates only a correlation or whether casual inferences may be drawn. Further, even though the court’s jurisprudence has been routinely criticized for being formalistic and failing to consider policy,226 </w:t>
      </w:r>
      <w:r w:rsidRPr="002212E8">
        <w:rPr>
          <w:rFonts w:eastAsia="Calibri"/>
          <w:highlight w:val="cyan"/>
          <w:u w:val="single"/>
        </w:rPr>
        <w:t>the court has shown</w:t>
      </w:r>
      <w:r w:rsidRPr="00350147">
        <w:rPr>
          <w:rFonts w:eastAsia="Calibri"/>
          <w:u w:val="single"/>
        </w:rPr>
        <w:t xml:space="preserve"> </w:t>
      </w:r>
      <w:r w:rsidRPr="002212E8">
        <w:rPr>
          <w:rFonts w:eastAsia="Calibri"/>
          <w:highlight w:val="cyan"/>
          <w:u w:val="single"/>
        </w:rPr>
        <w:t>little interest in</w:t>
      </w:r>
      <w:r w:rsidRPr="00350147">
        <w:rPr>
          <w:rFonts w:eastAsia="Calibri"/>
          <w:u w:val="single"/>
        </w:rPr>
        <w:t xml:space="preserve"> developing an innovation </w:t>
      </w:r>
      <w:r w:rsidRPr="002212E8">
        <w:rPr>
          <w:rFonts w:eastAsia="Calibri"/>
          <w:highlight w:val="cyan"/>
          <w:u w:val="single"/>
        </w:rPr>
        <w:t>policy</w:t>
      </w:r>
      <w:r w:rsidRPr="002212E8">
        <w:rPr>
          <w:rFonts w:eastAsia="Calibri"/>
          <w:sz w:val="16"/>
          <w:highlight w:val="cyan"/>
        </w:rPr>
        <w:t xml:space="preserve"> </w:t>
      </w:r>
      <w:r w:rsidRPr="002212E8">
        <w:rPr>
          <w:rFonts w:eastAsia="Calibri"/>
          <w:highlight w:val="cyan"/>
          <w:u w:val="single"/>
        </w:rPr>
        <w:t>expertise</w:t>
      </w:r>
      <w:r w:rsidRPr="00350147">
        <w:rPr>
          <w:rFonts w:eastAsia="Calibri"/>
          <w:sz w:val="16"/>
        </w:rPr>
        <w:t>.227 The appellate court’s hesitancy to embrace an explicit policy-making function is, in some ways, understandable. Unequivocal policy pronouncements are somewhat antithetical to judicial decision-making norms. Yet, at the same time, it is difficult to understand the court’s role, especially when deciding the meaning of an ambiguous term of the Patent Act, as not involving a policy determination. As noted earlier, the heart of the gene-patent debate is whether society would be better off with or without patents on genes.</w:t>
      </w:r>
      <w:r>
        <w:rPr>
          <w:rFonts w:eastAsia="Calibri"/>
          <w:sz w:val="16"/>
        </w:rPr>
        <w:t xml:space="preserve"> </w:t>
      </w:r>
      <w:r w:rsidRPr="00350147">
        <w:rPr>
          <w:rFonts w:eastAsia="Calibri"/>
          <w:sz w:val="14"/>
        </w:rPr>
        <w:t xml:space="preserve">Notably, in contrast to courts, </w:t>
      </w:r>
      <w:r w:rsidRPr="00350147">
        <w:rPr>
          <w:rFonts w:eastAsia="Calibri"/>
          <w:u w:val="single"/>
        </w:rPr>
        <w:t>agencies are expressly charged with</w:t>
      </w:r>
      <w:r w:rsidRPr="00350147">
        <w:rPr>
          <w:rFonts w:eastAsia="Calibri"/>
          <w:sz w:val="14"/>
        </w:rPr>
        <w:t xml:space="preserve"> making policy and </w:t>
      </w:r>
      <w:r w:rsidRPr="00350147">
        <w:rPr>
          <w:rFonts w:eastAsia="Calibri"/>
          <w:u w:val="single"/>
        </w:rPr>
        <w:t>weighing the costs and benefits</w:t>
      </w:r>
      <w:r w:rsidRPr="00350147">
        <w:rPr>
          <w:rFonts w:eastAsia="Calibri"/>
          <w:sz w:val="14"/>
        </w:rPr>
        <w:t xml:space="preserve"> </w:t>
      </w:r>
      <w:r w:rsidRPr="00350147">
        <w:rPr>
          <w:rFonts w:eastAsia="Calibri"/>
          <w:u w:val="single"/>
        </w:rPr>
        <w:t>of competing outcomes</w:t>
      </w:r>
      <w:r w:rsidRPr="00350147">
        <w:rPr>
          <w:rFonts w:eastAsia="Calibri"/>
          <w:sz w:val="14"/>
        </w:rPr>
        <w:t xml:space="preserve">. </w:t>
      </w:r>
      <w:r w:rsidRPr="00350147">
        <w:rPr>
          <w:rFonts w:eastAsia="Calibri"/>
          <w:u w:val="single"/>
        </w:rPr>
        <w:t xml:space="preserve">Such explicit </w:t>
      </w:r>
      <w:r w:rsidRPr="002212E8">
        <w:rPr>
          <w:rFonts w:eastAsia="Calibri"/>
          <w:highlight w:val="cyan"/>
          <w:u w:val="single"/>
        </w:rPr>
        <w:t>authority</w:t>
      </w:r>
      <w:r w:rsidRPr="00350147">
        <w:rPr>
          <w:rFonts w:eastAsia="Calibri"/>
          <w:u w:val="single"/>
        </w:rPr>
        <w:t xml:space="preserve"> </w:t>
      </w:r>
      <w:r w:rsidRPr="002212E8">
        <w:rPr>
          <w:rFonts w:eastAsia="Calibri"/>
          <w:highlight w:val="cyan"/>
          <w:u w:val="single"/>
        </w:rPr>
        <w:t>enables</w:t>
      </w:r>
      <w:r w:rsidRPr="002212E8">
        <w:rPr>
          <w:rFonts w:eastAsia="Calibri"/>
          <w:sz w:val="14"/>
          <w:highlight w:val="cyan"/>
        </w:rPr>
        <w:t xml:space="preserve"> </w:t>
      </w:r>
      <w:r w:rsidRPr="002212E8">
        <w:rPr>
          <w:rFonts w:eastAsia="Calibri"/>
          <w:highlight w:val="cyan"/>
          <w:u w:val="single"/>
        </w:rPr>
        <w:t>agencies</w:t>
      </w:r>
      <w:r w:rsidRPr="00350147">
        <w:rPr>
          <w:rFonts w:eastAsia="Calibri"/>
          <w:u w:val="single"/>
        </w:rPr>
        <w:t xml:space="preserve"> </w:t>
      </w:r>
      <w:r w:rsidRPr="002212E8">
        <w:rPr>
          <w:rFonts w:eastAsia="Calibri"/>
          <w:highlight w:val="cyan"/>
          <w:u w:val="single"/>
        </w:rPr>
        <w:t>to</w:t>
      </w:r>
      <w:r w:rsidRPr="00350147">
        <w:rPr>
          <w:rFonts w:eastAsia="Calibri"/>
          <w:u w:val="single"/>
        </w:rPr>
        <w:t xml:space="preserve"> </w:t>
      </w:r>
      <w:r w:rsidRPr="002212E8">
        <w:rPr>
          <w:rFonts w:eastAsia="Calibri"/>
          <w:highlight w:val="cyan"/>
          <w:u w:val="single"/>
        </w:rPr>
        <w:t>more fully embrace</w:t>
      </w:r>
      <w:r w:rsidRPr="002212E8">
        <w:rPr>
          <w:rFonts w:eastAsia="Calibri"/>
          <w:sz w:val="14"/>
          <w:highlight w:val="cyan"/>
        </w:rPr>
        <w:t xml:space="preserve"> </w:t>
      </w:r>
      <w:r w:rsidRPr="002212E8">
        <w:rPr>
          <w:rFonts w:eastAsia="Calibri"/>
          <w:b/>
          <w:iCs/>
          <w:highlight w:val="cyan"/>
          <w:u w:val="single"/>
          <w:bdr w:val="single" w:sz="8" w:space="0" w:color="auto"/>
        </w:rPr>
        <w:t>a policy-making role</w:t>
      </w:r>
      <w:r w:rsidRPr="00350147">
        <w:rPr>
          <w:rFonts w:eastAsia="Calibri"/>
          <w:sz w:val="14"/>
        </w:rPr>
        <w:t xml:space="preserve"> of making discretionary judgments based on a range of competing options. Even with such intellectual freedom, the PTO has historically lacked robust economic expertise that is needed to make informed policy decisions.228 Unlike other agencies that specialize in technological innovation, the PTO has never employed a large number of policy-oriented thinkers or economists. Importantly, the Agency has recently made strides to rectify this shortcoming. In 2010 the PTO created an Office of the Chief Economist.229 This Office had an immediate impact on the Agency’s decision making.230 Although ample room still exists to improve the PTO’s personnel and infrastructure so that the Agency can make sound economic judgments, the creation of the Office of the Chief Economist represents an important victory—a recognition by the PTO and the executive branch of the import of expertise in innovation policy in patent law decision making.</w:t>
      </w:r>
      <w:r>
        <w:rPr>
          <w:rFonts w:eastAsia="Calibri"/>
          <w:sz w:val="14"/>
        </w:rPr>
        <w:t xml:space="preserve"> </w:t>
      </w:r>
      <w:r w:rsidRPr="00350147">
        <w:rPr>
          <w:rFonts w:eastAsia="Calibri"/>
          <w:sz w:val="10"/>
          <w:szCs w:val="10"/>
        </w:rPr>
        <w:t>Moreover, the enactment of the AIA makes future reforms to the PTO considerably more likely.231 Perhaps most significantly, the AIA granted the PTO fee-setting authority, which enables the chronically underfunded Agency to raise revenue to support a robust innovation policy group.232 Thus, although the PTO’s current structure is not optimal for promoting innovation policy by tailoring patentability standards, the Agency has the potential to change into one that does. In contrast, little hope exists that the Federal Circuit will ever possess the requisite expertise or institutional design needed to achieve the underlying goals of the patent system.</w:t>
      </w:r>
      <w:r>
        <w:rPr>
          <w:rFonts w:eastAsia="Calibri"/>
          <w:sz w:val="10"/>
          <w:szCs w:val="10"/>
        </w:rPr>
        <w:t xml:space="preserve"> </w:t>
      </w:r>
      <w:r w:rsidRPr="00350147">
        <w:rPr>
          <w:rFonts w:eastAsia="Calibri"/>
          <w:sz w:val="10"/>
          <w:szCs w:val="10"/>
        </w:rPr>
        <w:t>B. Capture and Institutional Bias</w:t>
      </w:r>
      <w:r>
        <w:rPr>
          <w:rFonts w:eastAsia="Calibri"/>
          <w:sz w:val="10"/>
          <w:szCs w:val="10"/>
        </w:rPr>
        <w:t xml:space="preserve"> </w:t>
      </w:r>
      <w:r w:rsidRPr="00350147">
        <w:rPr>
          <w:rFonts w:eastAsia="Calibri"/>
          <w:sz w:val="10"/>
          <w:szCs w:val="10"/>
        </w:rPr>
        <w:t>Even though expertise may give rise to distinctive advantages with respect to institutional competence, specialization has an associated drawback—the potential of “capture.” An institution’s repeated interaction with particular groups holding narrow interests may result in at least two pathologies. First, an institution may develop “tunnel vision,” pursuing its own technocratic worldview without sufficient regard for larger normative concerns.233 Second, a narrow set of rights holders may directly capture an institution’s viewpoints. The latter concern stems from the logic that concentrated, well-financed groups are more likely than diffuse, less organized entities to influence decision makers.234 The result in either situation is that the institution will systematically make decisions that favor the interest of a narrow set of constituencies over those of the general public.</w:t>
      </w:r>
      <w:r>
        <w:rPr>
          <w:rFonts w:eastAsia="Calibri"/>
          <w:sz w:val="10"/>
          <w:szCs w:val="10"/>
        </w:rPr>
        <w:t xml:space="preserve"> </w:t>
      </w:r>
      <w:r w:rsidRPr="00350147">
        <w:rPr>
          <w:rFonts w:eastAsia="Calibri"/>
          <w:sz w:val="10"/>
          <w:szCs w:val="10"/>
        </w:rPr>
        <w:t>The concerns associated with capture theory are most frequently attributed to agencies that have repeated interactions with their regulatory constituents that could lead to distortions in agency decision making. More recently, scholars astutely observed that the adjudicative process is also susceptible to the influence of interest groups and expanded the applications of the theory to the judiciary as well.235 Of course, beyond capture concerns, other institutional structures may exist that also systematically bias the organization’s decision making. Although these influences may not be directly related to expertise, any bias in an institution’s decisional process is concerning—whether the institution is a court or an agency. Like many agencies, the PTO is not immune from charges of capture or institutional bias. The Agency has traditionally been structured to favor patent grants. My previous work has shown that the PTO’s historical fee structure likely biased the PTO towards issuing patents because the Agency garnered over half of its patent operating budget through fees it could collect only if it granted patents.236</w:t>
      </w:r>
      <w:r>
        <w:rPr>
          <w:rFonts w:eastAsia="Calibri"/>
          <w:sz w:val="10"/>
          <w:szCs w:val="10"/>
        </w:rPr>
        <w:t xml:space="preserve"> </w:t>
      </w:r>
      <w:r w:rsidRPr="00350147">
        <w:rPr>
          <w:rFonts w:eastAsia="Calibri"/>
          <w:sz w:val="10"/>
          <w:szCs w:val="10"/>
        </w:rPr>
        <w:t>Moreover, widespread agreement among scholars exists that the historical examiner compensation system favored allowance.237 Notably, all that is being asked of the PTO is to grant patents. The patent prosecution process occurs ex parte; no third party is present to argue that a patent should not be issued. These constant one-way demands to issue patents raise concerns that the Agency may develop tunnel vision. In fact, the Agency’s past rhetoric that its mission includes “help[ing] customers get patents” reveals a culture that appears to be unduly influenced by the interests of patentees.238 However, the PTO has made strides to overcome this pathology. The Agency recently revamped its examiner compensation system, among other things, to diminish incentives to grant patents.239 Recent empirical work by Mark Lemley and Bhaven Sampat finds a correlation between the length of patent examiner experience and an examiner’s propensity to grant a patent, and suggests that the incentives facing examiners are much more complicated than they were typically perceived.240</w:t>
      </w:r>
      <w:r>
        <w:rPr>
          <w:rFonts w:eastAsia="Calibri"/>
          <w:sz w:val="10"/>
          <w:szCs w:val="10"/>
        </w:rPr>
        <w:t xml:space="preserve"> </w:t>
      </w:r>
      <w:r w:rsidRPr="00350147">
        <w:rPr>
          <w:rFonts w:eastAsia="Calibri"/>
          <w:sz w:val="10"/>
          <w:szCs w:val="10"/>
        </w:rPr>
        <w:t>The passage of the AIA should further help alleviate some concerns of capture or bias. Because Congress granted the PTO feesetting authority, the Agency has taken steps, at least to some extent, to decrease its reliance on patent issuance fees.241 The enactment of robust postgrant review proceedings should broaden the Agency’s perspective, as the PTO will now routinely interact with constituents that are arguing to narrow the scope of patent law. Additionally, the low-cost design of the postgrant review proceedings will hopefully enable substantial participation from public interest groups, whose primary focus is the protection of the public domain.242 The result should be increased awareness, promoting innovation not only by granting patent but also by protecting the public domain. Nevertheless, like all agencies, capture remains a point of concern with the PTO.</w:t>
      </w:r>
      <w:r>
        <w:rPr>
          <w:rFonts w:eastAsia="Calibri"/>
          <w:sz w:val="10"/>
          <w:szCs w:val="10"/>
        </w:rPr>
        <w:t xml:space="preserve"> </w:t>
      </w:r>
      <w:r w:rsidRPr="00350147">
        <w:rPr>
          <w:rFonts w:eastAsia="Calibri"/>
          <w:sz w:val="10"/>
          <w:szCs w:val="10"/>
        </w:rPr>
        <w:t>Agency capture, however, represents a substantial objection to extending Chevron deference to the PTO only to the extent that the judicial alternative is superior. The specialization of the Federal Circuit has led some commentators to suggest that the appellate court is prone to the same institutional pathologies of tunnel vision and bias of which they have accused the PTO.243 The Federal Circuit hears disproportionately from the patent bar and has increasingly begun to draw its technical staff—most notably its clerks—from patent law firms.244 Although intellectual property law firms represent both plaintiffs and defendants in patent litigation, they are generally likely to benefit from broad patent rights, especially with respect to patentable subject matter.245 As Arti Rai recently noted, empirical data on amicus briefs supports this contention: patent bar associations file amicus briefs in favor of patentees at a significantly higher rate than the government or high-tech companies.246 More directly, the court’s patent law jurisprudence has exhibited some symptoms that are consistent with bias. Several commentators have noted that Federal Circuit precedent has trended towards strengthening patent rights.247 Empirical evidence also suggests that the Federal Circuit has propatentee tendencies.248 The Supreme Court’s renewed interest in the development of substantive patent law and its repeated reversal of Federal Circuit jurisprudence is also suggestive of tunnel vision.249 Definitively proving capture of an agency or a court is difficult, if not impossible. Some scholars have certainly taken issue with the notion that the patent bar has captured the Federal Circuit.250 Nevertheless, the possibility that the Federal Circuit’s decision-making process is unduly influenced by factions, at the very least, gives pause to dismissing the concept of the PTO playing a larger role in patent policy based on agency capture alone.251</w:t>
      </w:r>
      <w:r>
        <w:rPr>
          <w:rFonts w:eastAsia="Calibri"/>
          <w:sz w:val="10"/>
          <w:szCs w:val="10"/>
        </w:rPr>
        <w:t xml:space="preserve"> </w:t>
      </w:r>
      <w:r w:rsidRPr="00350147">
        <w:rPr>
          <w:rFonts w:eastAsia="Calibri"/>
          <w:sz w:val="10"/>
          <w:szCs w:val="10"/>
        </w:rPr>
        <w:t>Beyond concerns of capture or of an institutional bias to allow patents, granting the PTO primary interpretive authority over the core patentability standards may give rise to a fear that the Agency’s policy decisions will be overly influenced by its production function—that is, its growing backlog of unreviewed patent applications.252 Michael Abramowicz and John Duffy have noted that “PTO officials might become too focused on the agency’s own workload problems” to fully account for the nuances of the policy issues at stake.253 As a result, Abramowicz and Duffy conclude that the Agency may favor bright line rules that can be quickly applied in an effort to speed up the processing of patent applications but may also prevent the fine tuning needed to optimize innovation policy.254 Again, however, a concern that the PTO may be overly concerned with the administration of substantive patent law represents a significant opposition to extending Chevron deference to the Agency only to the extent this pathology is absent in Federal Circuit decision making. The appellate court, however, has also been charged with favoring bright line, formulistic rules that may be oversimplifying the policy interests at stake in the development of substantive patent law. Numerous scholars have noted the Federal Circuit’s penchant for easy-to-apply rules.255 Moreover, the Supreme Court’s pattern of repeatedly overturning the Federal Circuit’s bright line rules, while concurrently emphasizing the need for more flexible standards, provides further evidence that the appellate court may be giving too much weight to the administration of its pronouncements.256 Thus, concerns that the Agency’s substantive law determi nations may be influenced by its production function alone do not appear to represent a significant obstacle to granting the PTO Chevron deference.</w:t>
      </w:r>
      <w:r>
        <w:rPr>
          <w:rFonts w:eastAsia="Calibri"/>
          <w:sz w:val="10"/>
          <w:szCs w:val="10"/>
        </w:rPr>
        <w:t xml:space="preserve"> </w:t>
      </w:r>
      <w:r w:rsidRPr="00350147">
        <w:rPr>
          <w:rFonts w:eastAsia="Calibri"/>
          <w:sz w:val="16"/>
        </w:rPr>
        <w:t xml:space="preserve">In sum, </w:t>
      </w:r>
      <w:r w:rsidRPr="00350147">
        <w:rPr>
          <w:rFonts w:eastAsia="Calibri"/>
          <w:u w:val="single"/>
        </w:rPr>
        <w:t xml:space="preserve">the </w:t>
      </w:r>
      <w:r w:rsidRPr="002212E8">
        <w:rPr>
          <w:rFonts w:eastAsia="Calibri"/>
          <w:highlight w:val="cyan"/>
          <w:u w:val="single"/>
        </w:rPr>
        <w:t>PTO</w:t>
      </w:r>
      <w:r w:rsidRPr="00350147">
        <w:rPr>
          <w:rFonts w:eastAsia="Calibri"/>
          <w:u w:val="single"/>
        </w:rPr>
        <w:t xml:space="preserve"> possesses</w:t>
      </w:r>
      <w:r w:rsidRPr="00350147">
        <w:rPr>
          <w:rFonts w:eastAsia="Calibri"/>
          <w:sz w:val="16"/>
        </w:rPr>
        <w:t xml:space="preserve"> </w:t>
      </w:r>
      <w:r w:rsidRPr="002212E8">
        <w:rPr>
          <w:rFonts w:eastAsia="Calibri"/>
          <w:b/>
          <w:iCs/>
          <w:highlight w:val="cyan"/>
          <w:u w:val="single"/>
          <w:bdr w:val="single" w:sz="8" w:space="0" w:color="auto"/>
        </w:rPr>
        <w:t>superior pathways</w:t>
      </w:r>
      <w:r w:rsidRPr="00350147">
        <w:rPr>
          <w:rFonts w:eastAsia="Calibri"/>
          <w:sz w:val="16"/>
        </w:rPr>
        <w:t xml:space="preserve"> </w:t>
      </w:r>
      <w:r w:rsidRPr="00350147">
        <w:rPr>
          <w:rFonts w:eastAsia="Calibri"/>
          <w:u w:val="single"/>
        </w:rPr>
        <w:t>to acquire</w:t>
      </w:r>
      <w:r w:rsidRPr="00350147">
        <w:rPr>
          <w:rFonts w:eastAsia="Calibri"/>
          <w:sz w:val="16"/>
        </w:rPr>
        <w:t xml:space="preserve"> </w:t>
      </w:r>
      <w:r w:rsidRPr="00350147">
        <w:rPr>
          <w:rFonts w:eastAsia="Calibri"/>
          <w:u w:val="single"/>
        </w:rPr>
        <w:t xml:space="preserve">technological and economic </w:t>
      </w:r>
      <w:r w:rsidRPr="00350147">
        <w:rPr>
          <w:rFonts w:eastAsia="Calibri"/>
          <w:b/>
          <w:iCs/>
          <w:u w:val="single"/>
          <w:bdr w:val="single" w:sz="8" w:space="0" w:color="auto"/>
        </w:rPr>
        <w:t>data</w:t>
      </w:r>
      <w:r w:rsidRPr="00350147">
        <w:rPr>
          <w:rFonts w:eastAsia="Calibri"/>
          <w:sz w:val="16"/>
        </w:rPr>
        <w:t xml:space="preserve">, </w:t>
      </w:r>
      <w:r w:rsidRPr="00350147">
        <w:rPr>
          <w:rFonts w:eastAsia="Calibri"/>
          <w:u w:val="single"/>
        </w:rPr>
        <w:t xml:space="preserve">as well as the </w:t>
      </w:r>
      <w:r w:rsidRPr="00350147">
        <w:rPr>
          <w:rFonts w:eastAsia="Calibri"/>
          <w:b/>
          <w:iCs/>
          <w:u w:val="single"/>
          <w:bdr w:val="single" w:sz="8" w:space="0" w:color="auto"/>
        </w:rPr>
        <w:t>expertise</w:t>
      </w:r>
      <w:r w:rsidRPr="00350147">
        <w:rPr>
          <w:rFonts w:eastAsia="Calibri"/>
          <w:u w:val="single"/>
        </w:rPr>
        <w:t xml:space="preserve"> to</w:t>
      </w:r>
      <w:r w:rsidRPr="00350147">
        <w:rPr>
          <w:rFonts w:eastAsia="Calibri"/>
          <w:sz w:val="16"/>
        </w:rPr>
        <w:t xml:space="preserve"> </w:t>
      </w:r>
      <w:r w:rsidRPr="00350147">
        <w:rPr>
          <w:rFonts w:eastAsia="Calibri"/>
          <w:u w:val="single"/>
        </w:rPr>
        <w:t>evaluate and analyze this information</w:t>
      </w:r>
      <w:r w:rsidRPr="00350147">
        <w:rPr>
          <w:rFonts w:eastAsia="Calibri"/>
          <w:sz w:val="16"/>
        </w:rPr>
        <w:t xml:space="preserve"> </w:t>
      </w:r>
      <w:r w:rsidRPr="00350147">
        <w:rPr>
          <w:rFonts w:eastAsia="Calibri"/>
          <w:u w:val="single"/>
        </w:rPr>
        <w:t>to craft</w:t>
      </w:r>
      <w:r w:rsidRPr="00350147">
        <w:rPr>
          <w:rFonts w:eastAsia="Calibri"/>
          <w:sz w:val="16"/>
        </w:rPr>
        <w:t xml:space="preserve"> substantive </w:t>
      </w:r>
      <w:r w:rsidRPr="00350147">
        <w:rPr>
          <w:rFonts w:eastAsia="Calibri"/>
          <w:u w:val="single"/>
        </w:rPr>
        <w:t>patent law standards</w:t>
      </w:r>
      <w:r w:rsidRPr="00350147">
        <w:rPr>
          <w:rFonts w:eastAsia="Calibri"/>
          <w:sz w:val="16"/>
        </w:rPr>
        <w:t xml:space="preserve"> </w:t>
      </w:r>
      <w:r w:rsidRPr="00350147">
        <w:rPr>
          <w:rFonts w:eastAsia="Calibri"/>
          <w:u w:val="single"/>
        </w:rPr>
        <w:t xml:space="preserve">to </w:t>
      </w:r>
      <w:r w:rsidRPr="002212E8">
        <w:rPr>
          <w:rFonts w:eastAsia="Calibri"/>
          <w:highlight w:val="cyan"/>
          <w:u w:val="single"/>
        </w:rPr>
        <w:t>promote</w:t>
      </w:r>
      <w:r w:rsidRPr="002212E8">
        <w:rPr>
          <w:rFonts w:eastAsia="Calibri"/>
          <w:sz w:val="16"/>
          <w:highlight w:val="cyan"/>
        </w:rPr>
        <w:t xml:space="preserve"> </w:t>
      </w:r>
      <w:r w:rsidRPr="002212E8">
        <w:rPr>
          <w:rFonts w:eastAsia="Calibri"/>
          <w:b/>
          <w:iCs/>
          <w:highlight w:val="cyan"/>
          <w:u w:val="single"/>
          <w:bdr w:val="single" w:sz="8" w:space="0" w:color="auto"/>
        </w:rPr>
        <w:t>innovation</w:t>
      </w:r>
      <w:r w:rsidRPr="00350147">
        <w:rPr>
          <w:rFonts w:eastAsia="Calibri"/>
          <w:sz w:val="16"/>
        </w:rPr>
        <w:t xml:space="preserve">. Even though neither the Federal Circuit nor the PTO has historically shown strength in policy making, </w:t>
      </w:r>
      <w:r w:rsidRPr="00350147">
        <w:rPr>
          <w:rFonts w:eastAsia="Calibri"/>
          <w:u w:val="single"/>
        </w:rPr>
        <w:t>the PTO has</w:t>
      </w:r>
      <w:r w:rsidRPr="00350147">
        <w:rPr>
          <w:rFonts w:eastAsia="Calibri"/>
          <w:sz w:val="16"/>
        </w:rPr>
        <w:t xml:space="preserve"> </w:t>
      </w:r>
      <w:r w:rsidRPr="00350147">
        <w:rPr>
          <w:rFonts w:eastAsia="Calibri"/>
          <w:u w:val="single"/>
        </w:rPr>
        <w:t xml:space="preserve">recently made significant strides </w:t>
      </w:r>
      <w:r w:rsidRPr="00350147">
        <w:rPr>
          <w:rFonts w:eastAsia="Calibri"/>
          <w:sz w:val="16"/>
        </w:rPr>
        <w:t xml:space="preserve">to correct this deficiency. Moreover, although agencies in general are more likely to be captured by organized interests, the fact that </w:t>
      </w:r>
      <w:r w:rsidRPr="00350147">
        <w:rPr>
          <w:rFonts w:eastAsia="Calibri"/>
          <w:u w:val="single"/>
        </w:rPr>
        <w:t>the Federal Circuit</w:t>
      </w:r>
      <w:r w:rsidRPr="00350147">
        <w:rPr>
          <w:rFonts w:eastAsia="Calibri"/>
          <w:sz w:val="16"/>
        </w:rPr>
        <w:t xml:space="preserve"> </w:t>
      </w:r>
      <w:r w:rsidRPr="00350147">
        <w:rPr>
          <w:rFonts w:eastAsia="Calibri"/>
          <w:u w:val="single"/>
        </w:rPr>
        <w:t>has exhibited symptoms consistent with tunnel vision</w:t>
      </w:r>
      <w:r w:rsidRPr="00350147">
        <w:rPr>
          <w:rFonts w:eastAsia="Calibri"/>
          <w:sz w:val="16"/>
        </w:rPr>
        <w:t xml:space="preserve"> at times </w:t>
      </w:r>
      <w:r w:rsidRPr="00350147">
        <w:rPr>
          <w:rFonts w:eastAsia="Calibri"/>
          <w:u w:val="single"/>
        </w:rPr>
        <w:t>suggests</w:t>
      </w:r>
      <w:r w:rsidRPr="00350147">
        <w:rPr>
          <w:rFonts w:eastAsia="Calibri"/>
          <w:sz w:val="16"/>
        </w:rPr>
        <w:t xml:space="preserve"> </w:t>
      </w:r>
      <w:r w:rsidRPr="00350147">
        <w:rPr>
          <w:rFonts w:eastAsia="Calibri"/>
          <w:u w:val="single"/>
        </w:rPr>
        <w:t>that this concern is not significant</w:t>
      </w:r>
      <w:r w:rsidRPr="00350147">
        <w:rPr>
          <w:rFonts w:eastAsia="Calibri"/>
          <w:sz w:val="16"/>
        </w:rPr>
        <w:t xml:space="preserve"> enough </w:t>
      </w:r>
      <w:r w:rsidRPr="00350147">
        <w:rPr>
          <w:rFonts w:eastAsia="Calibri"/>
          <w:u w:val="single"/>
        </w:rPr>
        <w:t>to outweigh the PTO’s associated benefits of expertise</w:t>
      </w:r>
      <w:r w:rsidRPr="00350147">
        <w:rPr>
          <w:rFonts w:eastAsia="Calibri"/>
          <w:sz w:val="16"/>
        </w:rPr>
        <w:t xml:space="preserve">. Thus, this Section ultimately concludes that </w:t>
      </w:r>
      <w:r w:rsidRPr="002212E8">
        <w:rPr>
          <w:rFonts w:eastAsia="Calibri"/>
          <w:highlight w:val="cyan"/>
          <w:u w:val="single"/>
        </w:rPr>
        <w:t>both</w:t>
      </w:r>
      <w:r w:rsidRPr="002212E8">
        <w:rPr>
          <w:rFonts w:eastAsia="Calibri"/>
          <w:sz w:val="16"/>
          <w:highlight w:val="cyan"/>
        </w:rPr>
        <w:t xml:space="preserve"> </w:t>
      </w:r>
      <w:r w:rsidRPr="002212E8">
        <w:rPr>
          <w:rFonts w:eastAsia="Calibri"/>
          <w:b/>
          <w:iCs/>
          <w:highlight w:val="cyan"/>
          <w:u w:val="single"/>
          <w:bdr w:val="single" w:sz="8" w:space="0" w:color="auto"/>
        </w:rPr>
        <w:t>expertise</w:t>
      </w:r>
      <w:r w:rsidRPr="002212E8">
        <w:rPr>
          <w:rFonts w:eastAsia="Calibri"/>
          <w:sz w:val="16"/>
          <w:highlight w:val="cyan"/>
        </w:rPr>
        <w:t xml:space="preserve"> </w:t>
      </w:r>
      <w:r w:rsidRPr="002212E8">
        <w:rPr>
          <w:rFonts w:eastAsia="Calibri"/>
          <w:highlight w:val="cyan"/>
          <w:u w:val="single"/>
        </w:rPr>
        <w:t>and</w:t>
      </w:r>
      <w:r w:rsidRPr="00350147">
        <w:rPr>
          <w:rFonts w:eastAsia="Calibri"/>
          <w:sz w:val="16"/>
        </w:rPr>
        <w:t xml:space="preserve"> the </w:t>
      </w:r>
      <w:r w:rsidRPr="002212E8">
        <w:rPr>
          <w:rFonts w:eastAsia="Calibri"/>
          <w:b/>
          <w:iCs/>
          <w:highlight w:val="cyan"/>
          <w:u w:val="single"/>
          <w:bdr w:val="single" w:sz="8" w:space="0" w:color="auto"/>
        </w:rPr>
        <w:t>avoidance of capture</w:t>
      </w:r>
      <w:r w:rsidRPr="00350147">
        <w:rPr>
          <w:rFonts w:eastAsia="Calibri"/>
          <w:sz w:val="16"/>
        </w:rPr>
        <w:t xml:space="preserve"> </w:t>
      </w:r>
      <w:r w:rsidRPr="002212E8">
        <w:rPr>
          <w:rFonts w:eastAsia="Calibri"/>
          <w:highlight w:val="cyan"/>
          <w:u w:val="single"/>
        </w:rPr>
        <w:t>support</w:t>
      </w:r>
      <w:r w:rsidRPr="00350147">
        <w:rPr>
          <w:rFonts w:eastAsia="Calibri"/>
          <w:u w:val="single"/>
        </w:rPr>
        <w:t xml:space="preserve"> </w:t>
      </w:r>
      <w:r w:rsidRPr="002212E8">
        <w:rPr>
          <w:rFonts w:eastAsia="Calibri"/>
          <w:highlight w:val="cyan"/>
          <w:u w:val="single"/>
        </w:rPr>
        <w:t>the Fed</w:t>
      </w:r>
      <w:r w:rsidRPr="00350147">
        <w:rPr>
          <w:rFonts w:eastAsia="Calibri"/>
          <w:u w:val="single"/>
        </w:rPr>
        <w:t xml:space="preserve">eral </w:t>
      </w:r>
      <w:r w:rsidRPr="002212E8">
        <w:rPr>
          <w:rFonts w:eastAsia="Calibri"/>
          <w:highlight w:val="cyan"/>
          <w:u w:val="single"/>
        </w:rPr>
        <w:t>Circuit granting</w:t>
      </w:r>
      <w:r w:rsidRPr="00350147">
        <w:rPr>
          <w:rFonts w:eastAsia="Calibri"/>
          <w:sz w:val="16"/>
        </w:rPr>
        <w:t xml:space="preserve"> </w:t>
      </w:r>
      <w:r w:rsidRPr="002212E8">
        <w:rPr>
          <w:rFonts w:eastAsia="Calibri"/>
          <w:b/>
          <w:iCs/>
          <w:highlight w:val="cyan"/>
          <w:u w:val="single"/>
          <w:bdr w:val="single" w:sz="8" w:space="0" w:color="auto"/>
        </w:rPr>
        <w:t>Chevron deference</w:t>
      </w:r>
      <w:r w:rsidRPr="00350147">
        <w:rPr>
          <w:rFonts w:eastAsia="Calibri"/>
          <w:sz w:val="16"/>
        </w:rPr>
        <w:t xml:space="preserve"> </w:t>
      </w:r>
      <w:r w:rsidRPr="002212E8">
        <w:rPr>
          <w:rFonts w:eastAsia="Calibri"/>
          <w:highlight w:val="cyan"/>
          <w:u w:val="single"/>
        </w:rPr>
        <w:t>to the PTO</w:t>
      </w:r>
      <w:r w:rsidRPr="00350147">
        <w:rPr>
          <w:rFonts w:eastAsia="Calibri"/>
          <w:sz w:val="16"/>
        </w:rPr>
        <w:t>.</w:t>
      </w:r>
      <w:r>
        <w:rPr>
          <w:rFonts w:eastAsia="Calibri"/>
          <w:sz w:val="16"/>
        </w:rPr>
        <w:t xml:space="preserve"> </w:t>
      </w:r>
      <w:r w:rsidRPr="00350147">
        <w:rPr>
          <w:rFonts w:eastAsia="Calibri"/>
        </w:rPr>
        <w:t>CONCLUSION</w:t>
      </w:r>
      <w:r>
        <w:rPr>
          <w:rFonts w:eastAsia="Calibri"/>
        </w:rPr>
        <w:t xml:space="preserve"> </w:t>
      </w:r>
      <w:r w:rsidRPr="00350147">
        <w:rPr>
          <w:rFonts w:eastAsia="Calibri"/>
          <w:sz w:val="16"/>
        </w:rPr>
        <w:t xml:space="preserve">This Article has argued that the AIA rejects over two hundred years of court dominance in patent policy by granting the PTO, for the first time, the power to interpret the core patentability standards with the force of law. While an application of administrative law principles to the AIA has substantial implications for the roles of patent institutions, it also, as the Article argues, produces a normatively desirable result. </w:t>
      </w:r>
      <w:r w:rsidRPr="00350147">
        <w:rPr>
          <w:rFonts w:eastAsia="Calibri"/>
          <w:u w:val="single"/>
        </w:rPr>
        <w:t xml:space="preserve">Making the </w:t>
      </w:r>
      <w:r w:rsidRPr="002212E8">
        <w:rPr>
          <w:rFonts w:eastAsia="Calibri"/>
          <w:highlight w:val="cyan"/>
          <w:u w:val="single"/>
        </w:rPr>
        <w:t>PTO</w:t>
      </w:r>
      <w:r w:rsidRPr="00350147">
        <w:rPr>
          <w:rFonts w:eastAsia="Calibri"/>
          <w:u w:val="single"/>
        </w:rPr>
        <w:t xml:space="preserve"> the primary interpreter</w:t>
      </w:r>
      <w:r w:rsidRPr="00350147">
        <w:rPr>
          <w:rFonts w:eastAsia="Calibri"/>
          <w:sz w:val="16"/>
        </w:rPr>
        <w:t xml:space="preserve"> </w:t>
      </w:r>
      <w:r w:rsidRPr="00350147">
        <w:rPr>
          <w:rFonts w:eastAsia="Calibri"/>
          <w:u w:val="single"/>
        </w:rPr>
        <w:t>of the</w:t>
      </w:r>
      <w:r w:rsidRPr="00350147">
        <w:rPr>
          <w:rFonts w:eastAsia="Calibri"/>
          <w:sz w:val="16"/>
        </w:rPr>
        <w:t xml:space="preserve"> core </w:t>
      </w:r>
      <w:r w:rsidRPr="002212E8">
        <w:rPr>
          <w:rFonts w:eastAsia="Calibri"/>
          <w:highlight w:val="cyan"/>
          <w:u w:val="single"/>
        </w:rPr>
        <w:t>patentability</w:t>
      </w:r>
      <w:r w:rsidRPr="00350147">
        <w:rPr>
          <w:rFonts w:eastAsia="Calibri"/>
          <w:sz w:val="16"/>
        </w:rPr>
        <w:t xml:space="preserve"> </w:t>
      </w:r>
      <w:r w:rsidRPr="00350147">
        <w:rPr>
          <w:rFonts w:eastAsia="Calibri"/>
          <w:u w:val="single"/>
        </w:rPr>
        <w:t>standards</w:t>
      </w:r>
      <w:r w:rsidRPr="00350147">
        <w:rPr>
          <w:rFonts w:eastAsia="Calibri"/>
          <w:sz w:val="16"/>
        </w:rPr>
        <w:t xml:space="preserve"> </w:t>
      </w:r>
      <w:r w:rsidRPr="002212E8">
        <w:rPr>
          <w:rFonts w:eastAsia="Calibri"/>
          <w:highlight w:val="cyan"/>
          <w:u w:val="single"/>
        </w:rPr>
        <w:t>ushers</w:t>
      </w:r>
      <w:r w:rsidRPr="00350147">
        <w:rPr>
          <w:rFonts w:eastAsia="Calibri"/>
          <w:u w:val="single"/>
        </w:rPr>
        <w:t xml:space="preserve"> the </w:t>
      </w:r>
      <w:r w:rsidRPr="002212E8">
        <w:rPr>
          <w:rFonts w:eastAsia="Calibri"/>
          <w:highlight w:val="cyan"/>
          <w:u w:val="single"/>
        </w:rPr>
        <w:t>patent</w:t>
      </w:r>
      <w:r w:rsidRPr="00350147">
        <w:rPr>
          <w:rFonts w:eastAsia="Calibri"/>
          <w:u w:val="single"/>
        </w:rPr>
        <w:t xml:space="preserve"> </w:t>
      </w:r>
      <w:r w:rsidRPr="002212E8">
        <w:rPr>
          <w:rFonts w:eastAsia="Calibri"/>
          <w:highlight w:val="cyan"/>
          <w:u w:val="single"/>
        </w:rPr>
        <w:t>system</w:t>
      </w:r>
      <w:r w:rsidRPr="00350147">
        <w:rPr>
          <w:rFonts w:eastAsia="Calibri"/>
          <w:u w:val="single"/>
        </w:rPr>
        <w:t xml:space="preserve"> </w:t>
      </w:r>
      <w:r w:rsidRPr="002212E8">
        <w:rPr>
          <w:rFonts w:eastAsia="Calibri"/>
          <w:highlight w:val="cyan"/>
          <w:u w:val="single"/>
        </w:rPr>
        <w:t>into</w:t>
      </w:r>
      <w:r w:rsidRPr="00350147">
        <w:rPr>
          <w:rFonts w:eastAsia="Calibri"/>
          <w:u w:val="single"/>
        </w:rPr>
        <w:t xml:space="preserve"> </w:t>
      </w:r>
      <w:r w:rsidRPr="002212E8">
        <w:rPr>
          <w:rFonts w:eastAsia="Calibri"/>
          <w:highlight w:val="cyan"/>
          <w:u w:val="single"/>
        </w:rPr>
        <w:t>the</w:t>
      </w:r>
      <w:r w:rsidRPr="002212E8">
        <w:rPr>
          <w:rFonts w:eastAsia="Calibri"/>
          <w:sz w:val="16"/>
          <w:highlight w:val="cyan"/>
        </w:rPr>
        <w:t xml:space="preserve"> </w:t>
      </w:r>
      <w:r w:rsidRPr="002212E8">
        <w:rPr>
          <w:rFonts w:eastAsia="Calibri"/>
          <w:b/>
          <w:iCs/>
          <w:highlight w:val="cyan"/>
          <w:u w:val="single"/>
          <w:bdr w:val="single" w:sz="8" w:space="0" w:color="auto"/>
        </w:rPr>
        <w:t>modern</w:t>
      </w:r>
      <w:r w:rsidRPr="00350147">
        <w:rPr>
          <w:rFonts w:eastAsia="Calibri"/>
          <w:sz w:val="16"/>
        </w:rPr>
        <w:t xml:space="preserve"> administrative </w:t>
      </w:r>
      <w:r w:rsidRPr="002212E8">
        <w:rPr>
          <w:rFonts w:eastAsia="Calibri"/>
          <w:b/>
          <w:iCs/>
          <w:highlight w:val="cyan"/>
          <w:u w:val="single"/>
          <w:bdr w:val="single" w:sz="8" w:space="0" w:color="auto"/>
        </w:rPr>
        <w:t>era</w:t>
      </w:r>
      <w:r w:rsidRPr="00350147">
        <w:rPr>
          <w:rFonts w:eastAsia="Calibri"/>
          <w:sz w:val="16"/>
        </w:rPr>
        <w:t xml:space="preserve">, </w:t>
      </w:r>
      <w:r w:rsidRPr="002212E8">
        <w:rPr>
          <w:rFonts w:eastAsia="Calibri"/>
          <w:highlight w:val="cyan"/>
          <w:u w:val="single"/>
        </w:rPr>
        <w:t>which</w:t>
      </w:r>
      <w:r w:rsidRPr="00350147">
        <w:rPr>
          <w:rFonts w:eastAsia="Calibri"/>
          <w:sz w:val="16"/>
        </w:rPr>
        <w:t xml:space="preserve"> has </w:t>
      </w:r>
      <w:r w:rsidRPr="002212E8">
        <w:rPr>
          <w:rFonts w:eastAsia="Calibri"/>
          <w:highlight w:val="cyan"/>
          <w:u w:val="single"/>
        </w:rPr>
        <w:t>long recognized</w:t>
      </w:r>
      <w:r w:rsidRPr="00350147">
        <w:rPr>
          <w:rFonts w:eastAsia="Calibri"/>
          <w:sz w:val="16"/>
        </w:rPr>
        <w:t xml:space="preserve"> the </w:t>
      </w:r>
      <w:r w:rsidRPr="002212E8">
        <w:rPr>
          <w:rFonts w:eastAsia="Calibri"/>
          <w:b/>
          <w:iCs/>
          <w:highlight w:val="cyan"/>
          <w:u w:val="single"/>
          <w:bdr w:val="single" w:sz="8" w:space="0" w:color="auto"/>
        </w:rPr>
        <w:t>deficiencies</w:t>
      </w:r>
      <w:r w:rsidRPr="00350147">
        <w:rPr>
          <w:rFonts w:eastAsia="Calibri"/>
          <w:sz w:val="16"/>
        </w:rPr>
        <w:t xml:space="preserve"> </w:t>
      </w:r>
      <w:r w:rsidRPr="00350147">
        <w:rPr>
          <w:rFonts w:eastAsia="Calibri"/>
          <w:u w:val="single"/>
        </w:rPr>
        <w:t xml:space="preserve">associated </w:t>
      </w:r>
      <w:r w:rsidRPr="002212E8">
        <w:rPr>
          <w:rFonts w:eastAsia="Calibri"/>
          <w:highlight w:val="cyan"/>
          <w:u w:val="single"/>
        </w:rPr>
        <w:t xml:space="preserve">with </w:t>
      </w:r>
      <w:r w:rsidRPr="002212E8">
        <w:rPr>
          <w:rFonts w:eastAsia="Calibri"/>
          <w:b/>
          <w:iCs/>
          <w:highlight w:val="cyan"/>
          <w:u w:val="single"/>
          <w:bdr w:val="single" w:sz="8" w:space="0" w:color="auto"/>
        </w:rPr>
        <w:t>judge-driven policy</w:t>
      </w:r>
      <w:r w:rsidRPr="00350147">
        <w:rPr>
          <w:rFonts w:eastAsia="Calibri"/>
          <w:sz w:val="16"/>
        </w:rPr>
        <w:t xml:space="preserve">. This Article, however, leaves for future research whether enabling the PTO to speak with the force of law only through case-by-case adjudication, rather than by robust substantive rule-making authority, is ideal. </w:t>
      </w:r>
    </w:p>
    <w:p w14:paraId="5644259E" w14:textId="77777777" w:rsidR="00CC2CC5" w:rsidRDefault="00CC2CC5" w:rsidP="00CC2CC5">
      <w:pPr>
        <w:rPr>
          <w:rStyle w:val="Emphasis"/>
        </w:rPr>
      </w:pPr>
    </w:p>
    <w:p w14:paraId="0F63FA30" w14:textId="77777777" w:rsidR="00CC2CC5" w:rsidRDefault="00CC2CC5" w:rsidP="00CC2CC5">
      <w:pPr>
        <w:pStyle w:val="Heading4"/>
        <w:rPr>
          <w:rStyle w:val="Emphasis"/>
          <w:b/>
          <w:iCs w:val="0"/>
          <w:sz w:val="26"/>
          <w:u w:val="none"/>
        </w:rPr>
      </w:pPr>
      <w:r>
        <w:rPr>
          <w:rStyle w:val="Emphasis"/>
          <w:b/>
          <w:sz w:val="26"/>
          <w:u w:val="none"/>
        </w:rPr>
        <w:t xml:space="preserve">Power in the PTO </w:t>
      </w:r>
      <w:r>
        <w:rPr>
          <w:rStyle w:val="Emphasis"/>
          <w:b/>
          <w:sz w:val="26"/>
        </w:rPr>
        <w:t>through</w:t>
      </w:r>
      <w:r>
        <w:rPr>
          <w:rStyle w:val="Emphasis"/>
          <w:b/>
          <w:sz w:val="26"/>
          <w:u w:val="none"/>
        </w:rPr>
        <w:t xml:space="preserve"> Chevron deference is key to </w:t>
      </w:r>
      <w:r>
        <w:rPr>
          <w:rStyle w:val="Emphasis"/>
          <w:b/>
          <w:sz w:val="26"/>
        </w:rPr>
        <w:t>keep up</w:t>
      </w:r>
      <w:r>
        <w:rPr>
          <w:rStyle w:val="Emphasis"/>
          <w:b/>
          <w:sz w:val="26"/>
          <w:u w:val="none"/>
        </w:rPr>
        <w:t xml:space="preserve"> with changing innovations</w:t>
      </w:r>
    </w:p>
    <w:p w14:paraId="0981CA79" w14:textId="77777777" w:rsidR="00CC2CC5" w:rsidRPr="00063017" w:rsidRDefault="00CC2CC5" w:rsidP="00CC2CC5">
      <w:r w:rsidRPr="00063017">
        <w:rPr>
          <w:b/>
          <w:bCs/>
          <w:sz w:val="26"/>
          <w:szCs w:val="26"/>
        </w:rPr>
        <w:t>Masur et al. 10</w:t>
      </w:r>
      <w:r>
        <w:t xml:space="preserve"> - r</w:t>
      </w:r>
      <w:r w:rsidRPr="00063017">
        <w:t>eceived a BS in physics and an AB in political science from Stanford University in 1999 and his JD from Harvard Law School in 2003</w:t>
      </w:r>
      <w:r>
        <w:t xml:space="preserve">, (Jonathon, James B. Speta is a </w:t>
      </w:r>
      <w:r w:rsidRPr="00063017">
        <w:t>Professor</w:t>
      </w:r>
      <w:r>
        <w:t xml:space="preserve"> at</w:t>
      </w:r>
      <w:r w:rsidRPr="00063017">
        <w:t xml:space="preserve"> Northwestern University School of Law</w:t>
      </w:r>
      <w:r>
        <w:t xml:space="preserve">, </w:t>
      </w:r>
      <w:r w:rsidRPr="00063017">
        <w:t>Nicholas M. Zovko</w:t>
      </w:r>
      <w:r>
        <w:t xml:space="preserve"> is </w:t>
      </w:r>
      <w:r w:rsidRPr="00063017">
        <w:t>an attorney at the law firm Knobbe Martens</w:t>
      </w:r>
      <w:r>
        <w:t xml:space="preserve">, </w:t>
      </w:r>
      <w:r w:rsidRPr="00063017">
        <w:t>Donald L. Zuhn, Jr is a partner at McDonnell Boehnen Hulbert &amp; Berghoff LLP, where his practice focuses on biotechnology and pharmaceutical patent</w:t>
      </w:r>
      <w:r>
        <w:t xml:space="preserve"> law, “Who Defines the Law? USPTO Rulemaking Authority,” </w:t>
      </w:r>
      <w:r>
        <w:rPr>
          <w:i/>
          <w:iCs/>
        </w:rPr>
        <w:t>Northwestern Journal of Technology and Intellectual Property, Volume 8 Issue 3</w:t>
      </w:r>
      <w:r>
        <w:t xml:space="preserve">, Summer 2010, </w:t>
      </w:r>
      <w:hyperlink r:id="rId41" w:history="1">
        <w:r w:rsidRPr="00DC67D3">
          <w:rPr>
            <w:rStyle w:val="Hyperlink"/>
          </w:rPr>
          <w:t>https://scholarlycommons.law.northwestern.edu/cgi/viewcontent.cgi?article=1113&amp;context=njtip</w:t>
        </w:r>
      </w:hyperlink>
      <w:r>
        <w:t>, Accessed 7-4-20, LASA-AH)</w:t>
      </w:r>
    </w:p>
    <w:p w14:paraId="53413EED" w14:textId="77777777" w:rsidR="00CC2CC5" w:rsidRPr="00730A14" w:rsidRDefault="00CC2CC5" w:rsidP="00CC2CC5">
      <w:pPr>
        <w:rPr>
          <w:rStyle w:val="Emphasis"/>
          <w:b w:val="0"/>
          <w:bCs/>
          <w:u w:val="none"/>
        </w:rPr>
      </w:pPr>
      <w:r w:rsidRPr="00730A14">
        <w:rPr>
          <w:rStyle w:val="Emphasis"/>
          <w:b w:val="0"/>
          <w:bCs/>
          <w:u w:val="none"/>
        </w:rPr>
        <w:t>I'll just confine myself to one other quick point, also something that Jim raised to</w:t>
      </w:r>
      <w:r>
        <w:rPr>
          <w:rStyle w:val="Emphasis"/>
          <w:b w:val="0"/>
          <w:bCs/>
          <w:u w:val="none"/>
        </w:rPr>
        <w:t xml:space="preserve"> </w:t>
      </w:r>
      <w:r w:rsidRPr="00730A14">
        <w:rPr>
          <w:rStyle w:val="Emphasis"/>
          <w:b w:val="0"/>
          <w:bCs/>
          <w:u w:val="none"/>
        </w:rPr>
        <w:t xml:space="preserve">some degree, and this was about </w:t>
      </w:r>
      <w:r w:rsidRPr="00730A14">
        <w:rPr>
          <w:rStyle w:val="Emphasis"/>
          <w:b w:val="0"/>
          <w:bCs/>
        </w:rPr>
        <w:t>the political economy of Chevron deference in the Federal Circuit and the issue of who the primary rule-maker is in the world of patent law.</w:t>
      </w:r>
      <w:r>
        <w:rPr>
          <w:rStyle w:val="Emphasis"/>
          <w:b w:val="0"/>
          <w:bCs/>
          <w:u w:val="none"/>
        </w:rPr>
        <w:t xml:space="preserve"> </w:t>
      </w:r>
      <w:r w:rsidRPr="00730A14">
        <w:rPr>
          <w:rStyle w:val="Emphasis"/>
          <w:b w:val="0"/>
          <w:bCs/>
          <w:u w:val="none"/>
        </w:rPr>
        <w:t xml:space="preserve">It's really striking that at every juncture, </w:t>
      </w:r>
      <w:r w:rsidRPr="00730A14">
        <w:rPr>
          <w:rStyle w:val="Emphasis"/>
          <w:b w:val="0"/>
          <w:bCs/>
        </w:rPr>
        <w:t xml:space="preserve">the Federal Circuit </w:t>
      </w:r>
      <w:r w:rsidRPr="00730A14">
        <w:rPr>
          <w:rStyle w:val="Emphasis"/>
        </w:rPr>
        <w:t>has opposed the PTO's ability</w:t>
      </w:r>
      <w:r w:rsidRPr="00730A14">
        <w:rPr>
          <w:rStyle w:val="Emphasis"/>
          <w:b w:val="0"/>
          <w:bCs/>
        </w:rPr>
        <w:t xml:space="preserve"> to gain more rulemaking </w:t>
      </w:r>
      <w:r w:rsidRPr="00730A14">
        <w:rPr>
          <w:rStyle w:val="Emphasis"/>
          <w:b w:val="0"/>
          <w:bCs/>
          <w:u w:val="none"/>
        </w:rPr>
        <w:t xml:space="preserve">power. </w:t>
      </w:r>
      <w:r w:rsidRPr="00730A14">
        <w:rPr>
          <w:rStyle w:val="Emphasis"/>
          <w:b w:val="0"/>
          <w:bCs/>
        </w:rPr>
        <w:t>They didn't want to give the PTO deference per the APA, didn't want to give the PTO Chevron deference, and so on and so forth, case after case after case</w:t>
      </w:r>
      <w:r w:rsidRPr="00730A14">
        <w:rPr>
          <w:rStyle w:val="Emphasis"/>
          <w:b w:val="0"/>
          <w:bCs/>
          <w:u w:val="none"/>
        </w:rPr>
        <w:t>. The quick answer, of course, is that the Federal Circuit doesn't want to</w:t>
      </w:r>
      <w:r>
        <w:rPr>
          <w:rStyle w:val="Emphasis"/>
          <w:b w:val="0"/>
          <w:bCs/>
          <w:u w:val="none"/>
        </w:rPr>
        <w:t xml:space="preserve"> </w:t>
      </w:r>
      <w:r w:rsidRPr="00730A14">
        <w:rPr>
          <w:rStyle w:val="Emphasis"/>
          <w:b w:val="0"/>
          <w:bCs/>
          <w:u w:val="none"/>
        </w:rPr>
        <w:t xml:space="preserve">do this because if the PTO doesn't get any deference, </w:t>
      </w:r>
      <w:r w:rsidRPr="00730A14">
        <w:rPr>
          <w:rStyle w:val="Emphasis"/>
          <w:b w:val="0"/>
          <w:bCs/>
        </w:rPr>
        <w:t>if the PTO doesn't really have these powers, then the Federal Circuit gets to make all of the key decisions.</w:t>
      </w:r>
      <w:r w:rsidRPr="00730A14">
        <w:rPr>
          <w:rStyle w:val="Emphasis"/>
          <w:b w:val="0"/>
          <w:bCs/>
          <w:u w:val="none"/>
        </w:rPr>
        <w:t xml:space="preserve"> That's</w:t>
      </w:r>
      <w:r>
        <w:rPr>
          <w:rStyle w:val="Emphasis"/>
          <w:b w:val="0"/>
          <w:bCs/>
          <w:u w:val="none"/>
        </w:rPr>
        <w:t xml:space="preserve"> </w:t>
      </w:r>
      <w:r w:rsidRPr="00730A14">
        <w:rPr>
          <w:rStyle w:val="Emphasis"/>
          <w:b w:val="0"/>
          <w:bCs/>
          <w:u w:val="none"/>
        </w:rPr>
        <w:t>undoubtedly true. You might wonder, then, why do we see Chevron deference in the rest</w:t>
      </w:r>
      <w:r w:rsidRPr="00730A14">
        <w:t xml:space="preserve"> </w:t>
      </w:r>
      <w:r w:rsidRPr="00730A14">
        <w:rPr>
          <w:rStyle w:val="Emphasis"/>
          <w:b w:val="0"/>
          <w:bCs/>
          <w:u w:val="none"/>
        </w:rPr>
        <w:t>of the world at large? Why is it that the Supreme Court and the Circuit Courts have been</w:t>
      </w:r>
      <w:r>
        <w:rPr>
          <w:rStyle w:val="Emphasis"/>
          <w:b w:val="0"/>
          <w:bCs/>
          <w:u w:val="none"/>
        </w:rPr>
        <w:t xml:space="preserve"> </w:t>
      </w:r>
      <w:r w:rsidRPr="00730A14">
        <w:rPr>
          <w:rStyle w:val="Emphasis"/>
          <w:b w:val="0"/>
          <w:bCs/>
          <w:u w:val="none"/>
        </w:rPr>
        <w:t>all too eager to grant Chevron deference left and right to other sorts of administrative</w:t>
      </w:r>
      <w:r>
        <w:rPr>
          <w:rStyle w:val="Emphasis"/>
          <w:b w:val="0"/>
          <w:bCs/>
          <w:u w:val="none"/>
        </w:rPr>
        <w:t xml:space="preserve"> </w:t>
      </w:r>
      <w:r w:rsidRPr="00730A14">
        <w:rPr>
          <w:rStyle w:val="Emphasis"/>
          <w:b w:val="0"/>
          <w:bCs/>
          <w:u w:val="none"/>
        </w:rPr>
        <w:t>agencies when you might think that they would be jealous guardians of their own power,</w:t>
      </w:r>
      <w:r>
        <w:rPr>
          <w:rStyle w:val="Emphasis"/>
          <w:b w:val="0"/>
          <w:bCs/>
          <w:u w:val="none"/>
        </w:rPr>
        <w:t xml:space="preserve"> </w:t>
      </w:r>
      <w:r w:rsidRPr="00730A14">
        <w:rPr>
          <w:rStyle w:val="Emphasis"/>
          <w:b w:val="0"/>
          <w:bCs/>
          <w:u w:val="none"/>
        </w:rPr>
        <w:t>much like the Federal Circuit.</w:t>
      </w:r>
    </w:p>
    <w:p w14:paraId="0917E211" w14:textId="77777777" w:rsidR="00CC2CC5" w:rsidRPr="00730A14" w:rsidRDefault="00CC2CC5" w:rsidP="00CC2CC5">
      <w:pPr>
        <w:rPr>
          <w:rStyle w:val="Emphasis"/>
          <w:b w:val="0"/>
          <w:bCs/>
          <w:u w:val="none"/>
        </w:rPr>
      </w:pPr>
      <w:r w:rsidRPr="00730A14">
        <w:rPr>
          <w:rStyle w:val="Emphasis"/>
          <w:b w:val="0"/>
          <w:bCs/>
          <w:u w:val="none"/>
        </w:rPr>
        <w:t>¶33 The key point is that the Federal Circuit is a specialized court that really does one</w:t>
      </w:r>
      <w:r>
        <w:rPr>
          <w:rStyle w:val="Emphasis"/>
          <w:b w:val="0"/>
          <w:bCs/>
          <w:u w:val="none"/>
        </w:rPr>
        <w:t xml:space="preserve"> </w:t>
      </w:r>
      <w:r w:rsidRPr="00730A14">
        <w:rPr>
          <w:rStyle w:val="Emphasis"/>
          <w:b w:val="0"/>
          <w:bCs/>
          <w:u w:val="none"/>
        </w:rPr>
        <w:t xml:space="preserve">thing and one thing only. Obviously, it has a few other tasks, but </w:t>
      </w:r>
      <w:r w:rsidRPr="00730A14">
        <w:rPr>
          <w:rStyle w:val="Emphasis"/>
          <w:b w:val="0"/>
          <w:bCs/>
        </w:rPr>
        <w:t>the Federal Circuit is</w:t>
      </w:r>
      <w:r w:rsidRPr="00730A14">
        <w:rPr>
          <w:rStyle w:val="Emphasis"/>
          <w:b w:val="0"/>
          <w:bCs/>
          <w:u w:val="none"/>
        </w:rPr>
        <w:t>,</w:t>
      </w:r>
      <w:r>
        <w:rPr>
          <w:rStyle w:val="Emphasis"/>
          <w:b w:val="0"/>
          <w:bCs/>
          <w:u w:val="none"/>
        </w:rPr>
        <w:t xml:space="preserve"> </w:t>
      </w:r>
      <w:r w:rsidRPr="00730A14">
        <w:rPr>
          <w:rStyle w:val="Emphasis"/>
          <w:b w:val="0"/>
          <w:bCs/>
          <w:u w:val="none"/>
        </w:rPr>
        <w:t xml:space="preserve">first and foremost, </w:t>
      </w:r>
      <w:r w:rsidRPr="00730A14">
        <w:rPr>
          <w:rStyle w:val="Emphasis"/>
          <w:b w:val="0"/>
          <w:bCs/>
        </w:rPr>
        <w:t>a patent court, and it thinks of itself as a patent court</w:t>
      </w:r>
      <w:r w:rsidRPr="00730A14">
        <w:rPr>
          <w:rStyle w:val="Emphasis"/>
          <w:b w:val="0"/>
          <w:bCs/>
          <w:u w:val="none"/>
        </w:rPr>
        <w:t>. Whereas the</w:t>
      </w:r>
      <w:r>
        <w:rPr>
          <w:rStyle w:val="Emphasis"/>
          <w:b w:val="0"/>
          <w:bCs/>
          <w:u w:val="none"/>
        </w:rPr>
        <w:t xml:space="preserve"> </w:t>
      </w:r>
      <w:r w:rsidRPr="00730A14">
        <w:rPr>
          <w:rStyle w:val="Emphasis"/>
          <w:b w:val="0"/>
          <w:bCs/>
          <w:u w:val="none"/>
        </w:rPr>
        <w:t>First Circuit, the Seventh Circuit, the Ninth Circuit, they've got a lot going on, and they're</w:t>
      </w:r>
      <w:r>
        <w:rPr>
          <w:rStyle w:val="Emphasis"/>
          <w:b w:val="0"/>
          <w:bCs/>
          <w:u w:val="none"/>
        </w:rPr>
        <w:t xml:space="preserve"> </w:t>
      </w:r>
      <w:r w:rsidRPr="00730A14">
        <w:rPr>
          <w:rStyle w:val="Emphasis"/>
          <w:b w:val="0"/>
          <w:bCs/>
          <w:u w:val="none"/>
        </w:rPr>
        <w:t>more than happy to hand over some of the most technically difficult decisions to</w:t>
      </w:r>
      <w:r>
        <w:rPr>
          <w:rStyle w:val="Emphasis"/>
          <w:b w:val="0"/>
          <w:bCs/>
          <w:u w:val="none"/>
        </w:rPr>
        <w:t xml:space="preserve"> </w:t>
      </w:r>
      <w:r w:rsidRPr="00730A14">
        <w:rPr>
          <w:rStyle w:val="Emphasis"/>
          <w:b w:val="0"/>
          <w:bCs/>
          <w:u w:val="none"/>
        </w:rPr>
        <w:t>administrative agencies when they have the option to. It's not like their dockets are bereft</w:t>
      </w:r>
      <w:r>
        <w:rPr>
          <w:rStyle w:val="Emphasis"/>
          <w:b w:val="0"/>
          <w:bCs/>
          <w:u w:val="none"/>
        </w:rPr>
        <w:t xml:space="preserve"> </w:t>
      </w:r>
      <w:r w:rsidRPr="00730A14">
        <w:rPr>
          <w:rStyle w:val="Emphasis"/>
          <w:b w:val="0"/>
          <w:bCs/>
          <w:u w:val="none"/>
        </w:rPr>
        <w:t>of other interesting cases. So I think that in some sense</w:t>
      </w:r>
      <w:r w:rsidRPr="00730A14">
        <w:rPr>
          <w:rStyle w:val="Emphasis"/>
          <w:b w:val="0"/>
          <w:bCs/>
        </w:rPr>
        <w:t>, by creating the Federal Circuit as this particularized specialized court, Congress has created kind of an institutional rivalry within the patent law for control of the law because it's created this other body that has patent law to its name and not much else</w:t>
      </w:r>
      <w:r w:rsidRPr="00730A14">
        <w:rPr>
          <w:rStyle w:val="Emphasis"/>
          <w:b w:val="0"/>
          <w:bCs/>
          <w:u w:val="none"/>
        </w:rPr>
        <w:t xml:space="preserve">. And that's why </w:t>
      </w:r>
      <w:r w:rsidRPr="00730A14">
        <w:rPr>
          <w:rStyle w:val="Emphasis"/>
          <w:b w:val="0"/>
          <w:bCs/>
        </w:rPr>
        <w:t xml:space="preserve">any movement away from the Federal Circuit </w:t>
      </w:r>
      <w:r w:rsidRPr="00730A14">
        <w:rPr>
          <w:rStyle w:val="Emphasis"/>
          <w:b w:val="0"/>
          <w:bCs/>
          <w:u w:val="none"/>
        </w:rPr>
        <w:t xml:space="preserve">as the prime or even sole expositor of the patent law </w:t>
      </w:r>
      <w:r w:rsidRPr="00730A14">
        <w:rPr>
          <w:rStyle w:val="Emphasis"/>
          <w:b w:val="0"/>
          <w:bCs/>
        </w:rPr>
        <w:t>is going to have to be taken by someone else</w:t>
      </w:r>
      <w:r w:rsidRPr="00730A14">
        <w:rPr>
          <w:rStyle w:val="Emphasis"/>
          <w:b w:val="0"/>
          <w:bCs/>
          <w:u w:val="none"/>
        </w:rPr>
        <w:t>. It's going to have to be done by the Supreme Court or</w:t>
      </w:r>
      <w:r>
        <w:rPr>
          <w:rStyle w:val="Emphasis"/>
          <w:b w:val="0"/>
          <w:bCs/>
          <w:u w:val="none"/>
        </w:rPr>
        <w:t xml:space="preserve"> </w:t>
      </w:r>
      <w:r w:rsidRPr="00730A14">
        <w:rPr>
          <w:rStyle w:val="Emphasis"/>
          <w:b w:val="0"/>
          <w:bCs/>
          <w:u w:val="none"/>
        </w:rPr>
        <w:t xml:space="preserve">Congress. </w:t>
      </w:r>
      <w:r w:rsidRPr="00730A14">
        <w:rPr>
          <w:rStyle w:val="Emphasis"/>
          <w:b w:val="0"/>
          <w:bCs/>
        </w:rPr>
        <w:t>We can never, I think, count on the Federal Circuit to do it itself, and that has been borne out by the pattern of these cases in which the Federal Circuit will deny deference and then the Supreme Court will occasionally correct it</w:t>
      </w:r>
      <w:r w:rsidRPr="00730A14">
        <w:rPr>
          <w:rStyle w:val="Emphasis"/>
          <w:b w:val="0"/>
          <w:bCs/>
          <w:u w:val="none"/>
        </w:rPr>
        <w:t>. So I hope that there is</w:t>
      </w:r>
      <w:r>
        <w:rPr>
          <w:rStyle w:val="Emphasis"/>
          <w:b w:val="0"/>
          <w:bCs/>
          <w:u w:val="none"/>
        </w:rPr>
        <w:t xml:space="preserve"> </w:t>
      </w:r>
      <w:r w:rsidRPr="00730A14">
        <w:rPr>
          <w:rStyle w:val="Emphasis"/>
          <w:b w:val="0"/>
          <w:bCs/>
          <w:u w:val="none"/>
        </w:rPr>
        <w:t xml:space="preserve">movement on this. </w:t>
      </w:r>
      <w:r w:rsidRPr="00730A14">
        <w:rPr>
          <w:rStyle w:val="Emphasis"/>
          <w:b w:val="0"/>
          <w:bCs/>
        </w:rPr>
        <w:t xml:space="preserve">I think that the patent law would benefit </w:t>
      </w:r>
      <w:r w:rsidRPr="00730A14">
        <w:rPr>
          <w:rStyle w:val="Emphasis"/>
        </w:rPr>
        <w:t>from the input of the PTO</w:t>
      </w:r>
      <w:r w:rsidRPr="00730A14">
        <w:rPr>
          <w:rStyle w:val="Emphasis"/>
          <w:b w:val="0"/>
          <w:bCs/>
        </w:rPr>
        <w:t>. I suspect that we're not going to get that movement from the Federal Circuit itself.</w:t>
      </w:r>
      <w:r w:rsidRPr="00730A14">
        <w:rPr>
          <w:rStyle w:val="Emphasis"/>
          <w:b w:val="0"/>
          <w:bCs/>
          <w:u w:val="none"/>
        </w:rPr>
        <w:t xml:space="preserve"> Should</w:t>
      </w:r>
      <w:r>
        <w:rPr>
          <w:rStyle w:val="Emphasis"/>
          <w:b w:val="0"/>
          <w:bCs/>
          <w:u w:val="none"/>
        </w:rPr>
        <w:t xml:space="preserve"> </w:t>
      </w:r>
      <w:r w:rsidRPr="00730A14">
        <w:rPr>
          <w:rStyle w:val="Emphasis"/>
          <w:b w:val="0"/>
          <w:bCs/>
          <w:u w:val="none"/>
        </w:rPr>
        <w:t>we open it up for questions?</w:t>
      </w:r>
    </w:p>
    <w:p w14:paraId="74486317" w14:textId="77777777" w:rsidR="00CC2CC5" w:rsidRDefault="00CC2CC5" w:rsidP="00CC2CC5">
      <w:pPr>
        <w:pStyle w:val="Heading4"/>
      </w:pPr>
      <w:r>
        <w:t xml:space="preserve">Uncertainty in patent law </w:t>
      </w:r>
      <w:r>
        <w:rPr>
          <w:u w:val="single"/>
        </w:rPr>
        <w:t>decks</w:t>
      </w:r>
      <w:r>
        <w:t xml:space="preserve"> investment in R&amp;D and innovation in medicines </w:t>
      </w:r>
    </w:p>
    <w:p w14:paraId="180E5D0C" w14:textId="77777777" w:rsidR="00CC2CC5" w:rsidRPr="00351CA5" w:rsidRDefault="00CC2CC5" w:rsidP="00CC2CC5">
      <w:r w:rsidRPr="00351CA5">
        <w:rPr>
          <w:b/>
          <w:bCs/>
          <w:sz w:val="26"/>
          <w:szCs w:val="26"/>
        </w:rPr>
        <w:t>Michel and Battalgia 20</w:t>
      </w:r>
      <w:r>
        <w:t xml:space="preserve"> – Chief Judge Michel </w:t>
      </w:r>
      <w:r w:rsidRPr="003C2F11">
        <w:t>appointed to the United States Court of Appeals for the Federal Circuit in March of 1988 by President Ronald Reagan</w:t>
      </w:r>
      <w:r>
        <w:t xml:space="preserve">, </w:t>
      </w:r>
      <w:r w:rsidRPr="00351CA5">
        <w:t>an accomplished first-chair trial lawyer, appellate lawyer, and former US Justice Department lawyer who has successfully tried to verdict a broad array of civil and criminal cases</w:t>
      </w:r>
      <w:r>
        <w:t>, (Paul and John, “</w:t>
      </w:r>
      <w:r w:rsidRPr="00351CA5">
        <w:t>Pandemics and the Need for U.S. Patent Laws That ‘Promote … Progress’ and Invention: The Federal Circuit, En Banc, Can Fix This</w:t>
      </w:r>
      <w:r>
        <w:t xml:space="preserve">,” </w:t>
      </w:r>
      <w:r>
        <w:rPr>
          <w:i/>
          <w:iCs/>
        </w:rPr>
        <w:t>IP Watchdog</w:t>
      </w:r>
      <w:r>
        <w:t xml:space="preserve">, 4-12-20, </w:t>
      </w:r>
      <w:hyperlink r:id="rId42" w:history="1">
        <w:r w:rsidRPr="00DC67D3">
          <w:rPr>
            <w:rStyle w:val="Hyperlink"/>
          </w:rPr>
          <w:t>https://www.ipwatchdog.com/2020/04/12/pandemics-need-us-patent-laws-promote-progress-invention-federal-circuit-en-banc-can-fix/id=120575/</w:t>
        </w:r>
      </w:hyperlink>
      <w:r>
        <w:t>, Accessed 7-4-20, LASA-AH)</w:t>
      </w:r>
    </w:p>
    <w:p w14:paraId="7A145A37" w14:textId="77777777" w:rsidR="00CC2CC5" w:rsidRDefault="00CC2CC5" w:rsidP="00CC2CC5">
      <w:r>
        <w:t xml:space="preserve">Needless to say, </w:t>
      </w:r>
      <w:r w:rsidRPr="00351CA5">
        <w:rPr>
          <w:u w:val="single"/>
        </w:rPr>
        <w:t>no one involved in U.S. patent law or policy wants the pandemic or its multi-faceted consequences</w:t>
      </w:r>
      <w:r>
        <w:t xml:space="preserve">. </w:t>
      </w:r>
      <w:r w:rsidRPr="00351CA5">
        <w:rPr>
          <w:u w:val="single"/>
        </w:rPr>
        <w:t>Nor would a contrary ruling in Athena, supra, have meant that an innovator would have had at the ready the desired diagnostic testing for coronaviru</w:t>
      </w:r>
      <w:r>
        <w:t>s. Nor a ready-made or known treatment, cure or vaccine. That said, the famous Burkean wisdom of course applies here. To paraphrase, “evil” or horrendous things can prevail if good people stand by and do nothing—and allowing bad precedents to go uncorrected has consequences.</w:t>
      </w:r>
    </w:p>
    <w:p w14:paraId="79D5ED68" w14:textId="77777777" w:rsidR="00CC2CC5" w:rsidRDefault="00CC2CC5" w:rsidP="00CC2CC5">
      <w:r>
        <w:t xml:space="preserve">Unfortunately, </w:t>
      </w:r>
      <w:r w:rsidRPr="00351CA5">
        <w:rPr>
          <w:u w:val="single"/>
        </w:rPr>
        <w:t xml:space="preserve">we are seeing those consequences play out with U.S. </w:t>
      </w:r>
      <w:r w:rsidRPr="00351CA5">
        <w:rPr>
          <w:rStyle w:val="Emphasis"/>
        </w:rPr>
        <w:t>patent law in real time</w:t>
      </w:r>
      <w:r>
        <w:t xml:space="preserve">. For nearly 15 years, </w:t>
      </w:r>
      <w:r w:rsidRPr="00351CA5">
        <w:rPr>
          <w:u w:val="single"/>
        </w:rPr>
        <w:t>the Supreme Court’s IP opinions that have had the effect of de-valuing U.S. patent rights, making it</w:t>
      </w:r>
      <w:r>
        <w:t xml:space="preserve"> increasingly </w:t>
      </w:r>
      <w:r w:rsidRPr="00351CA5">
        <w:rPr>
          <w:u w:val="single"/>
        </w:rPr>
        <w:t>difficult</w:t>
      </w:r>
      <w:r>
        <w:t xml:space="preserve"> (for example) </w:t>
      </w:r>
      <w:r w:rsidRPr="00351CA5">
        <w:rPr>
          <w:u w:val="single"/>
        </w:rPr>
        <w:t>for U.S. intellectual-property owners to obtain injunctive relief against those who infringe,</w:t>
      </w:r>
      <w:r>
        <w:t xml:space="preserve"> trespass on, </w:t>
      </w:r>
      <w:r w:rsidRPr="00351CA5">
        <w:rPr>
          <w:u w:val="single"/>
        </w:rPr>
        <w:t>or</w:t>
      </w:r>
      <w:r>
        <w:t xml:space="preserve"> otherwise </w:t>
      </w:r>
      <w:r w:rsidRPr="00351CA5">
        <w:rPr>
          <w:u w:val="single"/>
        </w:rPr>
        <w:t xml:space="preserve">steal their patented ideas and property rights. </w:t>
      </w:r>
      <w:r>
        <w:t>See, e.g., eBay Inc. v. MercExchange, LLC, 547 U.S. 388, 391 (2006). (By contrast, the patent laws of China have made such injunctive relief available as a matter of course, with some reporting that prevailing patentees there obtain injunctions for nearly 90% of all requests.) And through the years, whether by Supreme Court precedent or other law-making</w:t>
      </w:r>
      <w:r w:rsidRPr="00351CA5">
        <w:rPr>
          <w:u w:val="single"/>
        </w:rPr>
        <w:t xml:space="preserve">, it has become </w:t>
      </w:r>
      <w:r w:rsidRPr="00351CA5">
        <w:rPr>
          <w:rStyle w:val="Emphasis"/>
        </w:rPr>
        <w:t>increasingly easy to</w:t>
      </w:r>
      <w:r w:rsidRPr="00351CA5">
        <w:rPr>
          <w:u w:val="single"/>
        </w:rPr>
        <w:t xml:space="preserve"> invalidate U.S. patents</w:t>
      </w:r>
      <w:r>
        <w:t xml:space="preserve">, see, e.g., KSR Int’l Co. v. Teleflex, Inc., 550 US 398, 415 (2007), and to render the subject matter of a patent ineligible for protection under §101. (We do not tackle here the separate pitfalls created by the 2011 America Invents Act.) </w:t>
      </w:r>
      <w:r w:rsidRPr="00351CA5">
        <w:rPr>
          <w:u w:val="single"/>
        </w:rPr>
        <w:t>This includes ineligibility not just for diagnostic testing, but for software, business methods, and quite possibly anything else in a patent claim that can be subjectively deemed</w:t>
      </w:r>
      <w:r>
        <w:t xml:space="preserve"> “directed to” </w:t>
      </w:r>
      <w:r w:rsidRPr="00351CA5">
        <w:rPr>
          <w:u w:val="single"/>
        </w:rPr>
        <w:t>an “abstract idea, law of nature, or natural phenomena</w:t>
      </w:r>
      <w:r>
        <w:t>”; and doesn’t reflect an “inventive concept,” per the Supreme Court’s Mayo-Alice “framework” for Section101.</w:t>
      </w:r>
    </w:p>
    <w:p w14:paraId="1F01B1AF" w14:textId="77777777" w:rsidR="00CC2CC5" w:rsidRDefault="00CC2CC5" w:rsidP="00CC2CC5">
      <w:r>
        <w:t xml:space="preserve">To be sure, this is not an article focused on Supreme Court Section101 precedent and the harms to innovation that it has wrought, though that has certainly played a major or even primary role in the harm to U.S. innovation. (And indeed, the proper analysis of that Section 101 precedent is a subject that warrants separate, in-depth treatment.) The larger point here is that, </w:t>
      </w:r>
      <w:r w:rsidRPr="00351CA5">
        <w:rPr>
          <w:u w:val="single"/>
        </w:rPr>
        <w:t>given the expanding uncertainty with the case law on U.S. patents—</w:t>
      </w:r>
      <w:r>
        <w:t>and whether, for example, they’ll protect the subject matter of a million- (or even billion-) dollar investment—</w:t>
      </w:r>
      <w:r w:rsidRPr="00351CA5">
        <w:rPr>
          <w:rStyle w:val="Emphasis"/>
        </w:rPr>
        <w:t>U.S. investment in R&amp;D has dropped</w:t>
      </w:r>
      <w:r w:rsidRPr="00351CA5">
        <w:rPr>
          <w:u w:val="single"/>
        </w:rPr>
        <w:t>.</w:t>
      </w:r>
      <w:r>
        <w:t xml:space="preserve"> And perhaps most notably</w:t>
      </w:r>
      <w:r w:rsidRPr="00351CA5">
        <w:rPr>
          <w:u w:val="single"/>
        </w:rPr>
        <w:t>, it has dropped among innovative bio-pharmaceutical companies</w:t>
      </w:r>
      <w:r>
        <w:t xml:space="preserve">. See, e.g., </w:t>
      </w:r>
      <w:r w:rsidRPr="00351CA5">
        <w:rPr>
          <w:u w:val="single"/>
        </w:rPr>
        <w:t>Unpredictability in Patent Law and Its Effect on Pharmaceutical Innovation,</w:t>
      </w:r>
      <w:r>
        <w:t xml:space="preserve"> by Christopher M. Holman, 76 Mo. L. Rev. 645, 663-64 (summer 2015) (“In recent years, </w:t>
      </w:r>
      <w:r w:rsidRPr="00351CA5">
        <w:rPr>
          <w:u w:val="single"/>
        </w:rPr>
        <w:t>major innovative pharmaceutical companies have experienced two pronounced and significant trends: a decreasing output of innovative new drugs and cutbacks in research and development (R&amp;D) investment”</w:t>
      </w:r>
      <w:r>
        <w:t xml:space="preserve">). And </w:t>
      </w:r>
      <w:r w:rsidRPr="00351CA5">
        <w:rPr>
          <w:u w:val="single"/>
        </w:rPr>
        <w:t>innovation</w:t>
      </w:r>
      <w:r>
        <w:t>—</w:t>
      </w:r>
      <w:r w:rsidRPr="00351CA5">
        <w:rPr>
          <w:u w:val="single"/>
        </w:rPr>
        <w:t>the lifeblood of the American economy—</w:t>
      </w:r>
      <w:r w:rsidRPr="00351CA5">
        <w:rPr>
          <w:rStyle w:val="Emphasis"/>
        </w:rPr>
        <w:t xml:space="preserve">has dropped with </w:t>
      </w:r>
      <w:r w:rsidRPr="00351CA5">
        <w:rPr>
          <w:u w:val="single"/>
        </w:rPr>
        <w:t>it.</w:t>
      </w:r>
      <w:r>
        <w:t xml:space="preserve"> See, e.g., id. (explaining that the “</w:t>
      </w:r>
      <w:r w:rsidRPr="00351CA5">
        <w:rPr>
          <w:u w:val="single"/>
        </w:rPr>
        <w:t>high level of unpredictability</w:t>
      </w:r>
      <w:r>
        <w:t xml:space="preserve"> in today’s patent law </w:t>
      </w:r>
      <w:r w:rsidRPr="00351CA5">
        <w:rPr>
          <w:u w:val="single"/>
        </w:rPr>
        <w:t xml:space="preserve">is a </w:t>
      </w:r>
      <w:r w:rsidRPr="00351CA5">
        <w:rPr>
          <w:rStyle w:val="Emphasis"/>
        </w:rPr>
        <w:t>significant impediment</w:t>
      </w:r>
      <w:r w:rsidRPr="00351CA5">
        <w:rPr>
          <w:u w:val="single"/>
        </w:rPr>
        <w:t xml:space="preserve"> to the development of new medicines</w:t>
      </w:r>
      <w:r>
        <w:t>” and cause of the “R&amp;D crisis”); Bloomberg Innovation Index (2018); The U.S. Drops out of the Top 10 in Innovation Ranking, Bloomberg News (Jan. 22, 2018), by Michelle Jamrisko &amp; Wei Lu, available at (visited March 28, 2020).</w:t>
      </w:r>
    </w:p>
    <w:p w14:paraId="1F0A46A4" w14:textId="77777777" w:rsidR="00CC2CC5" w:rsidRPr="001B103F" w:rsidRDefault="00CC2CC5" w:rsidP="00CC2CC5">
      <w:pPr>
        <w:pStyle w:val="Analytics"/>
        <w:rPr>
          <w:color w:val="FF0000"/>
        </w:rPr>
      </w:pPr>
      <w:r>
        <w:rPr>
          <w:color w:val="FF0000"/>
        </w:rPr>
        <w:t>&lt;INSERT DISEASE !&gt;</w:t>
      </w:r>
    </w:p>
    <w:p w14:paraId="6844C0AA" w14:textId="77777777" w:rsidR="00CC2CC5" w:rsidRDefault="00CC2CC5" w:rsidP="00CC2CC5">
      <w:pPr>
        <w:pStyle w:val="Heading4"/>
      </w:pPr>
      <w:r>
        <w:t xml:space="preserve">Ambiguity in patent law </w:t>
      </w:r>
      <w:r>
        <w:rPr>
          <w:u w:val="single"/>
        </w:rPr>
        <w:t>decks</w:t>
      </w:r>
      <w:r>
        <w:t xml:space="preserve"> technological innovation</w:t>
      </w:r>
    </w:p>
    <w:p w14:paraId="30A037B7" w14:textId="77777777" w:rsidR="00CC2CC5" w:rsidRPr="004435F7" w:rsidRDefault="00CC2CC5" w:rsidP="00CC2CC5">
      <w:r w:rsidRPr="004435F7">
        <w:rPr>
          <w:b/>
          <w:bCs/>
          <w:sz w:val="26"/>
          <w:szCs w:val="26"/>
        </w:rPr>
        <w:t>Lund 16</w:t>
      </w:r>
      <w:r>
        <w:t xml:space="preserve"> - </w:t>
      </w:r>
      <w:r w:rsidRPr="004435F7">
        <w:t>a John Witherspoon Legal Fellow at the Center for the Protection of Intellectual Property (CPIP) at George Mason University’s Antonin Scalia Law School</w:t>
      </w:r>
      <w:r>
        <w:t>, (Dr. David, “</w:t>
      </w:r>
      <w:r w:rsidRPr="004435F7">
        <w:t>Congress Can Save Software Patents by Repeating One of Its Successes</w:t>
      </w:r>
      <w:r>
        <w:t xml:space="preserve">,” </w:t>
      </w:r>
      <w:r>
        <w:rPr>
          <w:i/>
          <w:iCs/>
        </w:rPr>
        <w:t>IP Watchdog</w:t>
      </w:r>
      <w:r>
        <w:t xml:space="preserve">, 12-11-16, </w:t>
      </w:r>
      <w:hyperlink r:id="rId43" w:history="1">
        <w:r w:rsidRPr="00DC67D3">
          <w:rPr>
            <w:rStyle w:val="Hyperlink"/>
          </w:rPr>
          <w:t>https://www.ipwatchdog.com/2016/12/11/congress-can-save-software-patents-by-repeating-one-of-its-successes/id=75390/</w:t>
        </w:r>
      </w:hyperlink>
      <w:r>
        <w:t>, Accessed 7-4-20, LASA-AH)</w:t>
      </w:r>
    </w:p>
    <w:p w14:paraId="0D8627EC" w14:textId="77777777" w:rsidR="00CC2CC5" w:rsidRPr="004435F7" w:rsidRDefault="00CC2CC5" w:rsidP="00CC2CC5">
      <w:pPr>
        <w:rPr>
          <w:u w:val="single"/>
        </w:rPr>
      </w:pPr>
      <w:r w:rsidRPr="004435F7">
        <w:rPr>
          <w:u w:val="single"/>
        </w:rPr>
        <w:t xml:space="preserve">Innovation, just like the businesses that it creates, </w:t>
      </w:r>
      <w:r w:rsidRPr="004435F7">
        <w:rPr>
          <w:rStyle w:val="Emphasis"/>
        </w:rPr>
        <w:t>cannot thrive</w:t>
      </w:r>
      <w:r w:rsidRPr="004435F7">
        <w:rPr>
          <w:u w:val="single"/>
        </w:rPr>
        <w:t xml:space="preserve"> in an </w:t>
      </w:r>
      <w:r w:rsidRPr="004435F7">
        <w:rPr>
          <w:rStyle w:val="Emphasis"/>
        </w:rPr>
        <w:t>environment of uncertainty</w:t>
      </w:r>
      <w:r w:rsidRPr="004435F7">
        <w:rPr>
          <w:u w:val="single"/>
        </w:rPr>
        <w:t>.</w:t>
      </w:r>
      <w:r>
        <w:t xml:space="preserve"> Unfortunately, </w:t>
      </w:r>
      <w:r w:rsidRPr="004435F7">
        <w:rPr>
          <w:u w:val="single"/>
        </w:rPr>
        <w:t>the Patent Office and Federal courts</w:t>
      </w:r>
      <w:r>
        <w:t>—the very legal institutions that are supposed to secure stable and effective intellectual property rights for innovators and their creations—</w:t>
      </w:r>
      <w:r w:rsidRPr="004435F7">
        <w:rPr>
          <w:u w:val="single"/>
        </w:rPr>
        <w:t xml:space="preserve">have created a precarious situation for software patents leading to a </w:t>
      </w:r>
      <w:r w:rsidRPr="004435F7">
        <w:rPr>
          <w:rStyle w:val="Emphasis"/>
        </w:rPr>
        <w:t xml:space="preserve">substantial degree of uncertainty </w:t>
      </w:r>
      <w:r w:rsidRPr="004435F7">
        <w:rPr>
          <w:u w:val="single"/>
        </w:rPr>
        <w:t>for the high-tech industry.</w:t>
      </w:r>
    </w:p>
    <w:p w14:paraId="6EB6444D" w14:textId="77777777" w:rsidR="00CC2CC5" w:rsidRDefault="00CC2CC5" w:rsidP="00CC2CC5">
      <w:r>
        <w:t>On the anniversary of the Computer Software Copyright Act, we should keep in mind that Congress can and should step in to remove the uncertainty and ensure that software innovation is sufficiently well protected.</w:t>
      </w:r>
    </w:p>
    <w:p w14:paraId="61672752" w14:textId="77777777" w:rsidR="00CC2CC5" w:rsidRDefault="00CC2CC5" w:rsidP="00CC2CC5">
      <w:r>
        <w:t xml:space="preserve">As </w:t>
      </w:r>
      <w:r w:rsidRPr="004435F7">
        <w:rPr>
          <w:u w:val="single"/>
        </w:rPr>
        <w:t>the Federal Circuit continues to sow uncertainty about the eligibility of “software patents,</w:t>
      </w:r>
      <w:r>
        <w:t xml:space="preserve">” it is important to remember that </w:t>
      </w:r>
      <w:r w:rsidRPr="004435F7">
        <w:rPr>
          <w:u w:val="single"/>
        </w:rPr>
        <w:t>the current debate about protecting the innovations of computer and software engineers is not new</w:t>
      </w:r>
      <w:r>
        <w:t>. We have been here before. Last time, the debate ended when Congress stepped in to expressly acknowledge copyright protection of software code. It is now long past time Congress to do the same with patents for the functional aspects of software.</w:t>
      </w:r>
    </w:p>
    <w:p w14:paraId="4D5C5D9D" w14:textId="77777777" w:rsidR="00CC2CC5" w:rsidRDefault="00CC2CC5" w:rsidP="00CC2CC5">
      <w:r>
        <w:t xml:space="preserve">Adam Mossoff previously detailed why </w:t>
      </w:r>
      <w:r w:rsidRPr="004435F7">
        <w:rPr>
          <w:u w:val="single"/>
        </w:rPr>
        <w:t>software patents are valid under existing law. To remove any uncertainty over the eligibility of wrongly vilified “software patents,”</w:t>
      </w:r>
      <w:r>
        <w:t xml:space="preserve"> Congress should expressly validate as patentable the inventions in the useful functions of computer programs.</w:t>
      </w:r>
    </w:p>
    <w:p w14:paraId="6B802E4B" w14:textId="77777777" w:rsidR="00CC2CC5" w:rsidRPr="004435F7" w:rsidRDefault="00CC2CC5" w:rsidP="00CC2CC5">
      <w:pPr>
        <w:rPr>
          <w:rStyle w:val="Emphasis"/>
        </w:rPr>
      </w:pPr>
      <w:r>
        <w:t xml:space="preserve">Part of the problem with the debate over “software patents” has been the near complete failure to accurately describe what these patents protect. </w:t>
      </w:r>
      <w:r w:rsidRPr="004435F7">
        <w:rPr>
          <w:u w:val="single"/>
        </w:rPr>
        <w:t>Opponents of software patents frequently describe these patents as protecting nothing more than “mathematics” or logic</w:t>
      </w:r>
      <w:r>
        <w:t xml:space="preserve">. </w:t>
      </w:r>
      <w:r w:rsidRPr="004435F7">
        <w:rPr>
          <w:rStyle w:val="Emphasis"/>
        </w:rPr>
        <w:t>This is plainly false.</w:t>
      </w:r>
    </w:p>
    <w:p w14:paraId="2F7CE06B" w14:textId="77777777" w:rsidR="00CC2CC5" w:rsidRPr="004435F7" w:rsidRDefault="00CC2CC5" w:rsidP="00CC2CC5">
      <w:r w:rsidRPr="004435F7">
        <w:rPr>
          <w:u w:val="single"/>
        </w:rPr>
        <w:t xml:space="preserve">Software is a valuable, </w:t>
      </w:r>
      <w:r w:rsidRPr="004435F7">
        <w:rPr>
          <w:rStyle w:val="Emphasis"/>
        </w:rPr>
        <w:t>real-world, technological innovation</w:t>
      </w:r>
      <w:r w:rsidRPr="004435F7">
        <w:rPr>
          <w:u w:val="single"/>
        </w:rPr>
        <w:t xml:space="preserve"> that is used in everything from vacuums to cars to computers to phones. </w:t>
      </w:r>
      <w:r>
        <w:t>Recent high profile software patent disputes involved a patent improving how computer generated faces are animated when speaking and another improving the functionality of spreadsheets in programs like Excel.</w:t>
      </w:r>
    </w:p>
    <w:p w14:paraId="64BA355F" w14:textId="77777777" w:rsidR="00CC2CC5" w:rsidRPr="004435F7" w:rsidRDefault="00CC2CC5" w:rsidP="00CC2CC5">
      <w:pPr>
        <w:rPr>
          <w:u w:val="single"/>
        </w:rPr>
      </w:pPr>
      <w:r>
        <w:t xml:space="preserve">Not only do </w:t>
      </w:r>
      <w:r w:rsidRPr="004435F7">
        <w:rPr>
          <w:u w:val="single"/>
        </w:rPr>
        <w:t xml:space="preserve">software patents protect important innovations, they are </w:t>
      </w:r>
      <w:r w:rsidRPr="004435F7">
        <w:rPr>
          <w:rStyle w:val="Emphasis"/>
        </w:rPr>
        <w:t>commercially valuable as well</w:t>
      </w:r>
      <w:r>
        <w:t xml:space="preserve">. </w:t>
      </w:r>
      <w:r w:rsidRPr="004435F7">
        <w:rPr>
          <w:u w:val="single"/>
        </w:rPr>
        <w:t>Software patents are often a necessary step for start-ups to obtain venture capital financing.</w:t>
      </w:r>
      <w:r>
        <w:t xml:space="preserve"> Software, like any other technology, </w:t>
      </w:r>
      <w:r w:rsidRPr="004435F7">
        <w:rPr>
          <w:u w:val="single"/>
        </w:rPr>
        <w:t>requires investment in research and development</w:t>
      </w:r>
      <w:r>
        <w:t xml:space="preserve">. Software patents ensure that software innovators can realize the value of their contributions. By </w:t>
      </w:r>
      <w:r w:rsidRPr="004435F7">
        <w:rPr>
          <w:u w:val="single"/>
        </w:rPr>
        <w:t>facilitating and protecting investments in developing a product, software patents promote many of the advancements that we take for granted today.</w:t>
      </w:r>
    </w:p>
    <w:p w14:paraId="569E68CF" w14:textId="77777777" w:rsidR="00CC2CC5" w:rsidRDefault="00CC2CC5" w:rsidP="00CC2CC5">
      <w:r>
        <w:t xml:space="preserve">It is therefore </w:t>
      </w:r>
      <w:r w:rsidRPr="004435F7">
        <w:rPr>
          <w:u w:val="single"/>
        </w:rPr>
        <w:t>important to take the threat to software patents seriously</w:t>
      </w:r>
      <w:r>
        <w:t xml:space="preserve">. The current debate over the eligibility of software patents centers on whether a given patent is directed to an “abstract idea.” </w:t>
      </w:r>
      <w:r w:rsidRPr="004435F7">
        <w:rPr>
          <w:u w:val="single"/>
        </w:rPr>
        <w:t>The Supreme Court has avoided defining what qualifies as an abstract idea</w:t>
      </w:r>
      <w:r>
        <w:t>, limiting itself to saying that hedging risk or intermediated settlement in financial transactions are abstract ideas.</w:t>
      </w:r>
    </w:p>
    <w:p w14:paraId="1627AB3D" w14:textId="77777777" w:rsidR="00CC2CC5" w:rsidRDefault="00CC2CC5" w:rsidP="00CC2CC5">
      <w:pPr>
        <w:rPr>
          <w:rStyle w:val="Emphasis"/>
        </w:rPr>
      </w:pPr>
      <w:r w:rsidRPr="004435F7">
        <w:rPr>
          <w:u w:val="single"/>
        </w:rPr>
        <w:t>The lack of guidance has left the Federal Circuit in a state of disarray</w:t>
      </w:r>
      <w:r>
        <w:t xml:space="preserve">. Commentators have frequently noted the difficulty demonstrated by courts in assessing software patent eligibility. </w:t>
      </w:r>
      <w:r w:rsidRPr="004435F7">
        <w:rPr>
          <w:u w:val="single"/>
        </w:rPr>
        <w:t xml:space="preserve">Contradictory court decisions are a frequent occurrence not just at the Federal Circuit, but in the lower courts as well. The lack of clear legal protection is currently </w:t>
      </w:r>
      <w:r w:rsidRPr="004435F7">
        <w:rPr>
          <w:rStyle w:val="Emphasis"/>
        </w:rPr>
        <w:t>harming software innovation.</w:t>
      </w:r>
    </w:p>
    <w:p w14:paraId="0AE0F511" w14:textId="77777777" w:rsidR="00CC2CC5" w:rsidRDefault="00CC2CC5" w:rsidP="00CC2CC5">
      <w:pPr>
        <w:pStyle w:val="Heading4"/>
        <w:rPr>
          <w:rStyle w:val="Emphasis"/>
          <w:b/>
          <w:iCs w:val="0"/>
          <w:sz w:val="26"/>
          <w:u w:val="none"/>
        </w:rPr>
      </w:pPr>
      <w:r>
        <w:rPr>
          <w:rStyle w:val="Emphasis"/>
          <w:b/>
          <w:sz w:val="26"/>
          <w:u w:val="none"/>
        </w:rPr>
        <w:t xml:space="preserve">Investment in technological innovation is key to </w:t>
      </w:r>
      <w:r>
        <w:rPr>
          <w:rStyle w:val="Emphasis"/>
          <w:b/>
          <w:sz w:val="26"/>
        </w:rPr>
        <w:t>maintain leadership</w:t>
      </w:r>
      <w:r>
        <w:rPr>
          <w:rStyle w:val="Emphasis"/>
          <w:b/>
          <w:sz w:val="26"/>
          <w:u w:val="none"/>
        </w:rPr>
        <w:t xml:space="preserve"> and prevent war </w:t>
      </w:r>
      <w:r w:rsidRPr="004435F7">
        <w:rPr>
          <w:rStyle w:val="Emphasis"/>
          <w:b/>
          <w:sz w:val="26"/>
        </w:rPr>
        <w:t>with both</w:t>
      </w:r>
      <w:r>
        <w:rPr>
          <w:rStyle w:val="Emphasis"/>
          <w:b/>
          <w:sz w:val="26"/>
          <w:u w:val="none"/>
        </w:rPr>
        <w:t xml:space="preserve"> Russia and China</w:t>
      </w:r>
    </w:p>
    <w:p w14:paraId="73263F9A" w14:textId="77777777" w:rsidR="00CC2CC5" w:rsidRPr="004435F7" w:rsidRDefault="00CC2CC5" w:rsidP="00CC2CC5">
      <w:r w:rsidRPr="004435F7">
        <w:rPr>
          <w:b/>
          <w:bCs/>
          <w:sz w:val="26"/>
          <w:szCs w:val="26"/>
        </w:rPr>
        <w:t>The Economist 18</w:t>
      </w:r>
      <w:r>
        <w:t xml:space="preserve"> – (“</w:t>
      </w:r>
      <w:r w:rsidRPr="004435F7">
        <w:t>The growing danger of great-power conflict</w:t>
      </w:r>
      <w:r>
        <w:t xml:space="preserve">,” </w:t>
      </w:r>
      <w:r>
        <w:rPr>
          <w:i/>
          <w:iCs/>
        </w:rPr>
        <w:t>Economist</w:t>
      </w:r>
      <w:r>
        <w:t xml:space="preserve">, 1-26-18, </w:t>
      </w:r>
      <w:hyperlink r:id="rId44" w:history="1">
        <w:r w:rsidRPr="00DC67D3">
          <w:rPr>
            <w:rStyle w:val="Hyperlink"/>
          </w:rPr>
          <w:t>https://www.economist.com/leaders/2018/01/25/the-growing-danger-of-great-power-conflict</w:t>
        </w:r>
      </w:hyperlink>
      <w:r>
        <w:t>, Accessed 7-4-20, LASA-AH)</w:t>
      </w:r>
    </w:p>
    <w:p w14:paraId="1D62DA27" w14:textId="77777777" w:rsidR="00CC2CC5" w:rsidRPr="004435F7" w:rsidRDefault="00CC2CC5" w:rsidP="00CC2CC5">
      <w:pPr>
        <w:rPr>
          <w:rStyle w:val="Emphasis"/>
          <w:b w:val="0"/>
          <w:bCs/>
          <w:u w:val="none"/>
        </w:rPr>
      </w:pPr>
      <w:r w:rsidRPr="004435F7">
        <w:rPr>
          <w:rStyle w:val="Emphasis"/>
          <w:b w:val="0"/>
          <w:bCs/>
        </w:rPr>
        <w:t>Even if China stays out of a second Korean war, both it and Russia are entering into a renewal of great-power competition with the West</w:t>
      </w:r>
      <w:r w:rsidRPr="004435F7">
        <w:rPr>
          <w:rStyle w:val="Emphasis"/>
          <w:b w:val="0"/>
          <w:bCs/>
          <w:u w:val="none"/>
        </w:rPr>
        <w:t xml:space="preserve">. Their ambitions will be even harder to deal with than North Korea’s. </w:t>
      </w:r>
      <w:r w:rsidRPr="004435F7">
        <w:rPr>
          <w:rStyle w:val="Emphasis"/>
          <w:b w:val="0"/>
          <w:bCs/>
        </w:rPr>
        <w:t>Three decades of unprecedented economic growth have provided China with the wealth to transform its armed forces, and given its leaders the sense that their moment has come</w:t>
      </w:r>
      <w:r w:rsidRPr="004435F7">
        <w:rPr>
          <w:rStyle w:val="Emphasis"/>
          <w:b w:val="0"/>
          <w:bCs/>
          <w:u w:val="none"/>
        </w:rPr>
        <w:t xml:space="preserve">. </w:t>
      </w:r>
      <w:r w:rsidRPr="004435F7">
        <w:rPr>
          <w:rStyle w:val="Emphasis"/>
          <w:b w:val="0"/>
          <w:bCs/>
        </w:rPr>
        <w:t>Russia</w:t>
      </w:r>
      <w:r w:rsidRPr="004435F7">
        <w:rPr>
          <w:rStyle w:val="Emphasis"/>
          <w:b w:val="0"/>
          <w:bCs/>
          <w:u w:val="none"/>
        </w:rPr>
        <w:t xml:space="preserve">, paradoxically, </w:t>
      </w:r>
      <w:r w:rsidRPr="004435F7">
        <w:rPr>
          <w:rStyle w:val="Emphasis"/>
          <w:b w:val="0"/>
          <w:bCs/>
        </w:rPr>
        <w:t>needs to assert itself now because it is in long-term decline</w:t>
      </w:r>
      <w:r w:rsidRPr="004435F7">
        <w:rPr>
          <w:rStyle w:val="Emphasis"/>
          <w:b w:val="0"/>
          <w:bCs/>
          <w:u w:val="none"/>
        </w:rPr>
        <w:t>. Its leaders have spent heavily to restore Russia’s hard power, and they are willing to take risks to prove they deserve respect and a seat at the table.</w:t>
      </w:r>
    </w:p>
    <w:p w14:paraId="7457D086" w14:textId="77777777" w:rsidR="00CC2CC5" w:rsidRPr="004435F7" w:rsidRDefault="00CC2CC5" w:rsidP="00CC2CC5">
      <w:pPr>
        <w:rPr>
          <w:rStyle w:val="Emphasis"/>
          <w:b w:val="0"/>
          <w:bCs/>
          <w:u w:val="none"/>
        </w:rPr>
      </w:pPr>
      <w:r w:rsidRPr="004435F7">
        <w:rPr>
          <w:rStyle w:val="Emphasis"/>
          <w:b w:val="0"/>
          <w:bCs/>
        </w:rPr>
        <w:t>Both countries have benefited from the international order that America did most to establish and guarantee. But they see its pillars—universal human rights, democracy and the rule of law</w:t>
      </w:r>
      <w:r w:rsidRPr="004435F7">
        <w:rPr>
          <w:rStyle w:val="Emphasis"/>
          <w:b w:val="0"/>
          <w:bCs/>
          <w:u w:val="none"/>
        </w:rPr>
        <w:t xml:space="preserve">—as an imposition that excuses foreign meddling and undermines their own legitimacy. </w:t>
      </w:r>
      <w:r w:rsidRPr="004435F7">
        <w:rPr>
          <w:rStyle w:val="Emphasis"/>
          <w:b w:val="0"/>
          <w:bCs/>
        </w:rPr>
        <w:t>They are now revisionist states that want to challenge the status quo and look at their regions as spheres of influence to be dominated</w:t>
      </w:r>
      <w:r w:rsidRPr="004435F7">
        <w:rPr>
          <w:rStyle w:val="Emphasis"/>
          <w:b w:val="0"/>
          <w:bCs/>
          <w:u w:val="none"/>
        </w:rPr>
        <w:t>. For China, that means East Asia; for Russia, eastern Europe and Central Asia.</w:t>
      </w:r>
    </w:p>
    <w:p w14:paraId="67E79405" w14:textId="77777777" w:rsidR="00CC2CC5" w:rsidRPr="004435F7" w:rsidRDefault="00CC2CC5" w:rsidP="00CC2CC5">
      <w:pPr>
        <w:rPr>
          <w:rStyle w:val="Emphasis"/>
          <w:b w:val="0"/>
          <w:bCs/>
          <w:u w:val="none"/>
        </w:rPr>
      </w:pPr>
      <w:r w:rsidRPr="004435F7">
        <w:rPr>
          <w:rStyle w:val="Emphasis"/>
          <w:b w:val="0"/>
          <w:bCs/>
          <w:u w:val="none"/>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3A268106" w14:textId="77777777" w:rsidR="00CC2CC5" w:rsidRPr="004435F7" w:rsidRDefault="00CC2CC5" w:rsidP="00CC2CC5">
      <w:pPr>
        <w:rPr>
          <w:rStyle w:val="Emphasis"/>
          <w:b w:val="0"/>
          <w:bCs/>
        </w:rPr>
      </w:pPr>
      <w:r w:rsidRPr="004435F7">
        <w:rPr>
          <w:rStyle w:val="Emphasis"/>
          <w:b w:val="0"/>
          <w:bCs/>
        </w:rPr>
        <w:t>China and Russia have harnessed military technologies invented by America, such as long-range precision-strike and electromagnetic-spectrum warfare, to raise the cost of intervention against them dramatically</w:t>
      </w:r>
      <w:r w:rsidRPr="004435F7">
        <w:rPr>
          <w:rStyle w:val="Emphasis"/>
          <w:b w:val="0"/>
          <w:bCs/>
          <w:u w:val="none"/>
        </w:rPr>
        <w:t xml:space="preserve">. Both have </w:t>
      </w:r>
      <w:r w:rsidRPr="004435F7">
        <w:rPr>
          <w:rStyle w:val="Emphasis"/>
          <w:b w:val="0"/>
          <w:bCs/>
        </w:rPr>
        <w:t>used asymmetric-warfare strategies to create “anti-access/area denial” networks</w:t>
      </w:r>
      <w:r w:rsidRPr="004435F7">
        <w:rPr>
          <w:rStyle w:val="Emphasis"/>
          <w:b w:val="0"/>
          <w:bCs/>
          <w:u w:val="none"/>
        </w:rPr>
        <w:t xml:space="preserve">. China aims to push American naval forces far out into the Pacific where they can no longer safely project power into the East and South China Seas. </w:t>
      </w:r>
      <w:r w:rsidRPr="004435F7">
        <w:rPr>
          <w:rStyle w:val="Emphasis"/>
          <w:b w:val="0"/>
          <w:bCs/>
        </w:rPr>
        <w:t>Russia wants the world to know that, from the Arctic to the Black Sea, it can call on greater firepower than its foes—and that it will not hesitate to do so.</w:t>
      </w:r>
    </w:p>
    <w:p w14:paraId="72308AA9" w14:textId="77777777" w:rsidR="00CC2CC5" w:rsidRPr="004435F7" w:rsidRDefault="00CC2CC5" w:rsidP="00CC2CC5">
      <w:pPr>
        <w:rPr>
          <w:rStyle w:val="Emphasis"/>
          <w:b w:val="0"/>
          <w:bCs/>
          <w:u w:val="none"/>
        </w:rPr>
      </w:pPr>
      <w:r w:rsidRPr="004435F7">
        <w:rPr>
          <w:rStyle w:val="Emphasis"/>
          <w:b w:val="0"/>
          <w:bCs/>
        </w:rPr>
        <w:t>If America allows China and Russia to establish regional hegemonies, either consciously or because its politics are too dysfunctional to muster a response, it will have given them a green light to pursue their interests by brute force</w:t>
      </w:r>
      <w:r w:rsidRPr="004435F7">
        <w:rPr>
          <w:rStyle w:val="Emphasis"/>
          <w:b w:val="0"/>
          <w:bCs/>
          <w:u w:val="none"/>
        </w:rPr>
        <w:t>. When that was last tried, the result was the first world war.</w:t>
      </w:r>
    </w:p>
    <w:p w14:paraId="4B445A2C" w14:textId="77777777" w:rsidR="00CC2CC5" w:rsidRPr="004435F7" w:rsidRDefault="00CC2CC5" w:rsidP="00CC2CC5">
      <w:pPr>
        <w:rPr>
          <w:rStyle w:val="Emphasis"/>
          <w:b w:val="0"/>
          <w:bCs/>
        </w:rPr>
      </w:pPr>
      <w:r w:rsidRPr="004435F7">
        <w:rPr>
          <w:rStyle w:val="Emphasis"/>
          <w:b w:val="0"/>
          <w:bCs/>
        </w:rPr>
        <w:t xml:space="preserve">Nuclear weapons, largely a source of stability since 1945, may </w:t>
      </w:r>
      <w:r w:rsidRPr="004435F7">
        <w:rPr>
          <w:rStyle w:val="Emphasis"/>
        </w:rPr>
        <w:t>add to the danger</w:t>
      </w:r>
      <w:r w:rsidRPr="004435F7">
        <w:rPr>
          <w:rStyle w:val="Emphasis"/>
          <w:b w:val="0"/>
          <w:bCs/>
          <w:u w:val="none"/>
        </w:rPr>
        <w:t xml:space="preserve">. Their command-and-control systems are becoming vulnerable to hacking by new cyber-weapons or “blinding” of the satellites they depend on. </w:t>
      </w:r>
      <w:r w:rsidRPr="004435F7">
        <w:rPr>
          <w:rStyle w:val="Emphasis"/>
          <w:b w:val="0"/>
          <w:bCs/>
        </w:rPr>
        <w:t>A country under such an attack could find itself under pressure to choose between losing control of its nuclear weapons or using them.</w:t>
      </w:r>
    </w:p>
    <w:p w14:paraId="18442FAA" w14:textId="77777777" w:rsidR="00CC2CC5" w:rsidRPr="004435F7" w:rsidRDefault="00CC2CC5" w:rsidP="00CC2CC5">
      <w:pPr>
        <w:rPr>
          <w:rStyle w:val="Emphasis"/>
          <w:b w:val="0"/>
          <w:bCs/>
          <w:u w:val="none"/>
        </w:rPr>
      </w:pPr>
      <w:r w:rsidRPr="004435F7">
        <w:rPr>
          <w:rStyle w:val="Emphasis"/>
          <w:b w:val="0"/>
          <w:bCs/>
          <w:u w:val="none"/>
        </w:rPr>
        <w:t>Vain citadels</w:t>
      </w:r>
    </w:p>
    <w:p w14:paraId="0AE552E5" w14:textId="77777777" w:rsidR="00CC2CC5" w:rsidRPr="004435F7" w:rsidRDefault="00CC2CC5" w:rsidP="00CC2CC5">
      <w:pPr>
        <w:rPr>
          <w:rStyle w:val="Emphasis"/>
          <w:b w:val="0"/>
          <w:bCs/>
          <w:u w:val="none"/>
        </w:rPr>
      </w:pPr>
      <w:r w:rsidRPr="004435F7">
        <w:rPr>
          <w:rStyle w:val="Emphasis"/>
          <w:b w:val="0"/>
          <w:bCs/>
          <w:u w:val="none"/>
        </w:rPr>
        <w:t>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14:paraId="1AA9CF45" w14:textId="77777777" w:rsidR="00CC2CC5" w:rsidRPr="004435F7" w:rsidRDefault="00CC2CC5" w:rsidP="00CC2CC5">
      <w:pPr>
        <w:rPr>
          <w:rStyle w:val="Emphasis"/>
          <w:b w:val="0"/>
          <w:bCs/>
        </w:rPr>
      </w:pPr>
      <w:r w:rsidRPr="004435F7">
        <w:rPr>
          <w:rStyle w:val="Emphasis"/>
          <w:b w:val="0"/>
          <w:bCs/>
        </w:rPr>
        <w:t>America needs to accept that it is a prime beneficiary of the international system and that it is the only power with the ability and the resources to protect it from sustained attack</w:t>
      </w:r>
      <w:r w:rsidRPr="004435F7">
        <w:rPr>
          <w:rStyle w:val="Emphasis"/>
          <w:b w:val="0"/>
          <w:bCs/>
          <w:u w:val="none"/>
        </w:rPr>
        <w:t xml:space="preserve">. The soft power of patient and consistent diplomacy is vital, </w:t>
      </w:r>
      <w:r w:rsidRPr="004435F7">
        <w:rPr>
          <w:rStyle w:val="Emphasis"/>
          <w:b w:val="0"/>
          <w:bCs/>
        </w:rPr>
        <w:t xml:space="preserve">but must be backed by the hard power that China and Russia respect. </w:t>
      </w:r>
      <w:r w:rsidRPr="004435F7">
        <w:rPr>
          <w:rStyle w:val="Emphasis"/>
          <w:b w:val="0"/>
          <w:bCs/>
          <w:u w:val="none"/>
        </w:rPr>
        <w:t>America retains plenty of that hard power</w:t>
      </w:r>
      <w:r w:rsidRPr="004435F7">
        <w:rPr>
          <w:rStyle w:val="Emphasis"/>
          <w:b w:val="0"/>
          <w:bCs/>
        </w:rPr>
        <w:t xml:space="preserve">, but it is </w:t>
      </w:r>
      <w:r w:rsidRPr="004435F7">
        <w:rPr>
          <w:rStyle w:val="Emphasis"/>
        </w:rPr>
        <w:t>fast losing the edge in military technology</w:t>
      </w:r>
      <w:r w:rsidRPr="004435F7">
        <w:rPr>
          <w:rStyle w:val="Emphasis"/>
          <w:b w:val="0"/>
          <w:bCs/>
        </w:rPr>
        <w:t xml:space="preserve"> that inspired confidence in its allies and fear in its foes.</w:t>
      </w:r>
    </w:p>
    <w:p w14:paraId="7F8146C1" w14:textId="77777777" w:rsidR="00CC2CC5" w:rsidRPr="004435F7" w:rsidRDefault="00CC2CC5" w:rsidP="00CC2CC5">
      <w:pPr>
        <w:rPr>
          <w:rStyle w:val="Emphasis"/>
          <w:b w:val="0"/>
          <w:bCs/>
        </w:rPr>
      </w:pPr>
      <w:r w:rsidRPr="004435F7">
        <w:rPr>
          <w:rStyle w:val="Emphasis"/>
          <w:b w:val="0"/>
          <w:bCs/>
          <w:u w:val="none"/>
        </w:rPr>
        <w:t xml:space="preserve">To match its diplomacy, </w:t>
      </w:r>
      <w:r w:rsidRPr="004435F7">
        <w:rPr>
          <w:rStyle w:val="Emphasis"/>
          <w:b w:val="0"/>
          <w:bCs/>
        </w:rPr>
        <w:t>America needs to invest in new systems based on robotics, artificial intelligence, big data and directed-energy weapons.</w:t>
      </w:r>
      <w:r w:rsidRPr="004435F7">
        <w:rPr>
          <w:rStyle w:val="Emphasis"/>
          <w:b w:val="0"/>
          <w:bCs/>
          <w:u w:val="none"/>
        </w:rPr>
        <w:t xml:space="preserve"> Belatedly, </w:t>
      </w:r>
      <w:r w:rsidRPr="004435F7">
        <w:rPr>
          <w:rStyle w:val="Emphasis"/>
          <w:b w:val="0"/>
          <w:bCs/>
        </w:rPr>
        <w:t>Mr Obama realised that America required a concerted effort to regain its technological lead, yet there is no guarantee that it will be the first to innovate</w:t>
      </w:r>
      <w:r w:rsidRPr="004435F7">
        <w:rPr>
          <w:rStyle w:val="Emphasis"/>
          <w:b w:val="0"/>
          <w:bCs/>
          <w:u w:val="none"/>
        </w:rPr>
        <w:t xml:space="preserve">. Mr </w:t>
      </w:r>
      <w:r w:rsidRPr="004435F7">
        <w:rPr>
          <w:rStyle w:val="Emphasis"/>
          <w:b w:val="0"/>
          <w:bCs/>
        </w:rPr>
        <w:t>Trump</w:t>
      </w:r>
      <w:r w:rsidRPr="004435F7">
        <w:rPr>
          <w:rStyle w:val="Emphasis"/>
          <w:b w:val="0"/>
          <w:bCs/>
          <w:u w:val="none"/>
        </w:rPr>
        <w:t xml:space="preserve"> and his successors </w:t>
      </w:r>
      <w:r w:rsidRPr="004435F7">
        <w:rPr>
          <w:rStyle w:val="Emphasis"/>
          <w:b w:val="0"/>
          <w:bCs/>
        </w:rPr>
        <w:t>need to redouble the effort.</w:t>
      </w:r>
    </w:p>
    <w:p w14:paraId="1D845F43" w14:textId="77777777" w:rsidR="00CC2CC5" w:rsidRPr="004435F7" w:rsidRDefault="00CC2CC5" w:rsidP="00CC2CC5">
      <w:pPr>
        <w:rPr>
          <w:rStyle w:val="Emphasis"/>
          <w:b w:val="0"/>
          <w:bCs/>
        </w:rPr>
      </w:pPr>
      <w:r w:rsidRPr="004435F7">
        <w:rPr>
          <w:rStyle w:val="Emphasis"/>
          <w:b w:val="0"/>
          <w:bCs/>
          <w:u w:val="none"/>
        </w:rPr>
        <w:t xml:space="preserve">The best guarantor of world peace is a strong </w:t>
      </w:r>
      <w:r w:rsidRPr="004435F7">
        <w:rPr>
          <w:rStyle w:val="Emphasis"/>
          <w:b w:val="0"/>
          <w:bCs/>
        </w:rPr>
        <w:t>America</w:t>
      </w:r>
      <w:r w:rsidRPr="004435F7">
        <w:rPr>
          <w:rStyle w:val="Emphasis"/>
          <w:b w:val="0"/>
          <w:bCs/>
          <w:u w:val="none"/>
        </w:rPr>
        <w:t xml:space="preserve">. Fortunately, it </w:t>
      </w:r>
      <w:r w:rsidRPr="004435F7">
        <w:rPr>
          <w:rStyle w:val="Emphasis"/>
          <w:b w:val="0"/>
          <w:bCs/>
        </w:rPr>
        <w:t>still enjoys advantages. It has rich and capable allies</w:t>
      </w:r>
      <w:r w:rsidRPr="004435F7">
        <w:rPr>
          <w:rStyle w:val="Emphasis"/>
          <w:b w:val="0"/>
          <w:bCs/>
          <w:u w:val="none"/>
        </w:rPr>
        <w:t xml:space="preserve">, still by far the world’s most powerful armed forces, unrivalled war-fighting experience, the best systems engineers and the world’s leading tech firms. </w:t>
      </w:r>
      <w:r w:rsidRPr="004435F7">
        <w:rPr>
          <w:rStyle w:val="Emphasis"/>
          <w:b w:val="0"/>
          <w:bCs/>
        </w:rPr>
        <w:t xml:space="preserve">Yet those advantages could all too easily be squandered. Without America’s commitment to the international order and the hard power to defend it against determined and able challengers, the dangers will grow. If they do, the future of war </w:t>
      </w:r>
      <w:r w:rsidRPr="004435F7">
        <w:rPr>
          <w:rStyle w:val="Emphasis"/>
        </w:rPr>
        <w:t>could be closer than you think.</w:t>
      </w:r>
    </w:p>
    <w:p w14:paraId="7A475EA2" w14:textId="77777777" w:rsidR="00CC2CC5" w:rsidRPr="001B103F" w:rsidRDefault="00CC2CC5" w:rsidP="00CC2CC5"/>
    <w:p w14:paraId="1F067021" w14:textId="77777777" w:rsidR="00CC2CC5" w:rsidRPr="00E62961" w:rsidRDefault="00CC2CC5" w:rsidP="00CC2CC5"/>
    <w:p w14:paraId="55085E74" w14:textId="77777777" w:rsidR="00CC2CC5" w:rsidRPr="00F07265" w:rsidRDefault="00CC2CC5" w:rsidP="00CC2CC5">
      <w:pPr>
        <w:pStyle w:val="Heading3"/>
      </w:pPr>
      <w:r>
        <w:t>AT: No spillover—2NC</w:t>
      </w:r>
    </w:p>
    <w:p w14:paraId="3D1C7862" w14:textId="77777777" w:rsidR="00CC2CC5" w:rsidRDefault="00CC2CC5" w:rsidP="00CC2CC5">
      <w:pPr>
        <w:pStyle w:val="Heading4"/>
      </w:pPr>
      <w:r>
        <w:t xml:space="preserve">Limiting Chevron deference in one area </w:t>
      </w:r>
      <w:r>
        <w:rPr>
          <w:u w:val="single"/>
        </w:rPr>
        <w:t>spills over</w:t>
      </w:r>
      <w:r>
        <w:t xml:space="preserve"> broadly</w:t>
      </w:r>
    </w:p>
    <w:p w14:paraId="08432531" w14:textId="77777777" w:rsidR="00CC2CC5" w:rsidRPr="00335C3C" w:rsidRDefault="00CC2CC5" w:rsidP="00CC2CC5">
      <w:r w:rsidRPr="005C0316">
        <w:rPr>
          <w:b/>
          <w:bCs/>
          <w:sz w:val="26"/>
          <w:szCs w:val="26"/>
        </w:rPr>
        <w:t>Sapper and Nightengale 19</w:t>
      </w:r>
      <w:r>
        <w:t xml:space="preserve"> - </w:t>
      </w:r>
      <w:r w:rsidRPr="005C0316">
        <w:t>Senior Counsel in the Washington, D.C. office of Ogletree Deakins, where he practices administrative and regulatory la</w:t>
      </w:r>
      <w:r>
        <w:t xml:space="preserve">w, </w:t>
      </w:r>
      <w:r w:rsidRPr="005C0316">
        <w:t>advises and represents management on workplace safety and health issues before federal enforcement agencies</w:t>
      </w:r>
      <w:r>
        <w:t>, (Arthur G., Gwendolyn K., “</w:t>
      </w:r>
      <w:r w:rsidRPr="005C0316">
        <w:t>Supreme Court Places Another Limitation on Chevron Deference</w:t>
      </w:r>
      <w:r>
        <w:t xml:space="preserve">,” </w:t>
      </w:r>
      <w:r>
        <w:rPr>
          <w:i/>
          <w:iCs/>
        </w:rPr>
        <w:t>The National Law Review</w:t>
      </w:r>
      <w:r>
        <w:t xml:space="preserve">, 5-31-19, </w:t>
      </w:r>
      <w:hyperlink r:id="rId45" w:history="1">
        <w:r w:rsidRPr="00DC67D3">
          <w:rPr>
            <w:rStyle w:val="Hyperlink"/>
          </w:rPr>
          <w:t>https://www.natlawreview.com/article/supreme-court-places-another-limitation-chevron-deference</w:t>
        </w:r>
      </w:hyperlink>
      <w:r>
        <w:t>, Accessed 7-31-21, LASA-AH)</w:t>
      </w:r>
    </w:p>
    <w:p w14:paraId="12F67742" w14:textId="77777777" w:rsidR="00CC2CC5" w:rsidRPr="005C0316" w:rsidRDefault="00CC2CC5" w:rsidP="00CC2CC5">
      <w:pPr>
        <w:rPr>
          <w:u w:val="single"/>
        </w:rPr>
      </w:pPr>
      <w:r w:rsidRPr="005C0316">
        <w:rPr>
          <w:u w:val="single"/>
        </w:rPr>
        <w:t>Wider Implications?</w:t>
      </w:r>
    </w:p>
    <w:p w14:paraId="1449EA22" w14:textId="77777777" w:rsidR="00CC2CC5" w:rsidRPr="005C0316" w:rsidRDefault="00CC2CC5" w:rsidP="00CC2CC5">
      <w:pPr>
        <w:rPr>
          <w:u w:val="single"/>
        </w:rPr>
      </w:pPr>
      <w:r w:rsidRPr="005C0316">
        <w:rPr>
          <w:u w:val="single"/>
        </w:rPr>
        <w:t xml:space="preserve">The Court’s holding and its use of Adams Fruit </w:t>
      </w:r>
      <w:r w:rsidRPr="005C0316">
        <w:rPr>
          <w:rStyle w:val="Emphasis"/>
        </w:rPr>
        <w:t>might extend to other questions</w:t>
      </w:r>
      <w:r>
        <w:t xml:space="preserve">. One example is a statute of limitations. Although usually nonjurisdictional, </w:t>
      </w:r>
      <w:r w:rsidRPr="005C0316">
        <w:rPr>
          <w:u w:val="single"/>
        </w:rPr>
        <w:t>statutes of limitations are often intended to cabin an agency’s prosecution authority. In AKM LLC v. Secretary of Labor, 675 F.3d 752 (D.C. Cir. 2012), Judge Brown stated in a concurring opinion:</w:t>
      </w:r>
    </w:p>
    <w:p w14:paraId="72A7D4F1" w14:textId="77777777" w:rsidR="00CC2CC5" w:rsidRDefault="00CC2CC5" w:rsidP="00CC2CC5">
      <w:r w:rsidRPr="005C0316">
        <w:rPr>
          <w:u w:val="single"/>
        </w:rPr>
        <w:t>Agency interpretations of statutes of limitations . . . are . . . poor candidates for deferenc</w:t>
      </w:r>
      <w:r>
        <w:t xml:space="preserve">e. In general, </w:t>
      </w:r>
      <w:r w:rsidRPr="005C0316">
        <w:rPr>
          <w:u w:val="single"/>
        </w:rPr>
        <w:t>statutes of limitations are not the sort of technical provisions requiring or even benefiting from an agency’s special expertise.</w:t>
      </w:r>
      <w:r>
        <w:t xml:space="preserve"> Rather, much like many jurisdictional provisions, these are texts with which courts are intimately familiar, as we interpret and apply them every day.</w:t>
      </w:r>
    </w:p>
    <w:p w14:paraId="2BA12367" w14:textId="77777777" w:rsidR="00CC2CC5" w:rsidRPr="005C0316" w:rsidRDefault="00CC2CC5" w:rsidP="00CC2CC5">
      <w:pPr>
        <w:rPr>
          <w:rStyle w:val="Emphasis"/>
        </w:rPr>
      </w:pPr>
      <w:r>
        <w:t xml:space="preserve">Finally, and perhaps most compellingly, </w:t>
      </w:r>
      <w:r w:rsidRPr="005C0316">
        <w:rPr>
          <w:u w:val="single"/>
        </w:rPr>
        <w:t xml:space="preserve">statutes of limitations are designed to </w:t>
      </w:r>
      <w:r w:rsidRPr="005C0316">
        <w:rPr>
          <w:rStyle w:val="Emphasis"/>
        </w:rPr>
        <w:t>constrain the government’s enforcement authority.</w:t>
      </w:r>
    </w:p>
    <w:p w14:paraId="5FD7F803" w14:textId="77777777" w:rsidR="00CC2CC5" w:rsidRDefault="00CC2CC5" w:rsidP="00CC2CC5">
      <w:r>
        <w:t>Counsel might do well to keep this example in mind in the wake of Smith v. Berryhill.</w:t>
      </w:r>
    </w:p>
    <w:p w14:paraId="7B5283DF" w14:textId="77777777" w:rsidR="00CC2CC5" w:rsidRDefault="00CC2CC5" w:rsidP="00CC2CC5">
      <w:pPr>
        <w:pStyle w:val="Heading4"/>
      </w:pPr>
      <w:r>
        <w:t xml:space="preserve">Refraining from using Chevron deference in one instance determines </w:t>
      </w:r>
      <w:r>
        <w:rPr>
          <w:u w:val="single"/>
        </w:rPr>
        <w:t>future</w:t>
      </w:r>
      <w:r>
        <w:t xml:space="preserve"> applications of Chevron</w:t>
      </w:r>
    </w:p>
    <w:p w14:paraId="2799FAB9" w14:textId="77777777" w:rsidR="00CC2CC5" w:rsidRPr="00B425E4" w:rsidRDefault="00CC2CC5" w:rsidP="00CC2CC5">
      <w:r w:rsidRPr="00D51C93">
        <w:rPr>
          <w:b/>
          <w:bCs/>
          <w:sz w:val="26"/>
          <w:szCs w:val="26"/>
        </w:rPr>
        <w:t>Crocker 18</w:t>
      </w:r>
      <w:r>
        <w:t xml:space="preserve"> – Boston College Law School (Christopher, “Muddying the Chevron Waters: The D.C. Circuit Lacks Doctrinal Clarity in Waterkeeper Alliance v. EPA,” Boston College Law Review, Volume 59 Issue 9, 4-11-18, </w:t>
      </w:r>
      <w:hyperlink r:id="rId46" w:history="1">
        <w:r w:rsidRPr="00D37118">
          <w:rPr>
            <w:rStyle w:val="Hyperlink"/>
          </w:rPr>
          <w:t>https://lawdigitalcommons.bc.edu/cgi/viewcontent.cgi?article=3656&amp;context=bclr</w:t>
        </w:r>
      </w:hyperlink>
      <w:r>
        <w:t>, Accessed 8-1-21, LASA-AH)</w:t>
      </w:r>
    </w:p>
    <w:p w14:paraId="593456A9" w14:textId="77777777" w:rsidR="00CC2CC5" w:rsidRDefault="00CC2CC5" w:rsidP="00CC2CC5">
      <w:r>
        <w:t xml:space="preserve">The </w:t>
      </w:r>
      <w:r w:rsidRPr="00B425E4">
        <w:rPr>
          <w:u w:val="single"/>
        </w:rPr>
        <w:t>U.S. Court of Appeals for the D.C. Circuit correctly ruled in Waterkeeper Alliance v. EPA that the EPA did not have the authority to pass the Final Rule</w:t>
      </w:r>
      <w:r>
        <w:t xml:space="preserve">.94 The </w:t>
      </w:r>
      <w:r w:rsidRPr="00B425E4">
        <w:rPr>
          <w:u w:val="single"/>
        </w:rPr>
        <w:t>EPA did not identify any specific statutory ambiguity that would suffice to trigger Chevron deference</w:t>
      </w:r>
      <w:r>
        <w:t xml:space="preserve">, and its attempt to point to unrelated provisions that combine to “collectively” raise ambiguity was not a sufficient basis either.95 </w:t>
      </w:r>
      <w:r w:rsidRPr="00B425E4">
        <w:rPr>
          <w:u w:val="single"/>
        </w:rPr>
        <w:t>Although the court came to the correct conclusion in the case, and did decide the essential ambiguity question, it did so in an imprecise manner that introduced further confusion into the Chevron analysis and continued on a path towards collapsing Chevron’s two-step inquiry into just a one-step reasonableness analysis</w:t>
      </w:r>
      <w:r>
        <w:t xml:space="preserve">.96 The majority’s analysis did not proceed through the sequential Chevron framework.97 This is evidenced by the court spending significantly more time on the issue of “collective” ambiguity than the argument deserves.98 </w:t>
      </w:r>
      <w:r w:rsidRPr="00B425E4">
        <w:rPr>
          <w:u w:val="single"/>
        </w:rPr>
        <w:t>If the Chevron analysis had been laid out in its proper sequential form, it would have been readily evident that the notion of “collective” ambiguity</w:t>
      </w:r>
      <w:r>
        <w:t xml:space="preserve"> arising from unrelated statutory provisions provided no basis for agency interpretation that would warrant deference.99 </w:t>
      </w:r>
      <w:r w:rsidRPr="00B425E4">
        <w:rPr>
          <w:u w:val="single"/>
        </w:rPr>
        <w:t xml:space="preserve">The agency could not point to any specific ambiguity within the text, and according to Justice Stevens’s formulation in Chevron, that </w:t>
      </w:r>
      <w:r w:rsidRPr="00B425E4">
        <w:rPr>
          <w:b/>
          <w:bCs/>
          <w:u w:val="single"/>
        </w:rPr>
        <w:t>should have ended the inquiry</w:t>
      </w:r>
      <w:r>
        <w:t>.100</w:t>
      </w:r>
    </w:p>
    <w:p w14:paraId="47ED67DD" w14:textId="77777777" w:rsidR="00CC2CC5" w:rsidRDefault="00CC2CC5" w:rsidP="00CC2CC5">
      <w:r w:rsidRPr="00B425E4">
        <w:rPr>
          <w:u w:val="single"/>
        </w:rPr>
        <w:t>The problem with allowing Chevron to collapse</w:t>
      </w:r>
      <w:r>
        <w:t xml:space="preserve">, as the concurrence recognized, </w:t>
      </w:r>
      <w:r w:rsidRPr="00B425E4">
        <w:rPr>
          <w:u w:val="single"/>
        </w:rPr>
        <w:t>is</w:t>
      </w:r>
      <w:r>
        <w:t xml:space="preserve"> that </w:t>
      </w:r>
      <w:r w:rsidRPr="00B425E4">
        <w:rPr>
          <w:u w:val="single"/>
        </w:rPr>
        <w:t>a simple reasonableness inquiry allows courts to avoid making a determination on whether a statute contains ambiguity</w:t>
      </w:r>
      <w:r>
        <w:t xml:space="preserve"> or is susceptible to multiple meanings.101 Not only is this a departure from the judiciary’s duty to “say what the law is,” </w:t>
      </w:r>
      <w:r w:rsidRPr="00B425E4">
        <w:rPr>
          <w:u w:val="single"/>
        </w:rPr>
        <w:t xml:space="preserve">it </w:t>
      </w:r>
      <w:r w:rsidRPr="00B425E4">
        <w:rPr>
          <w:b/>
          <w:bCs/>
          <w:u w:val="single"/>
        </w:rPr>
        <w:t>also has potential consequences for later actions and proceedings that involve the statute,</w:t>
      </w:r>
      <w:r w:rsidRPr="00B425E4">
        <w:rPr>
          <w:u w:val="single"/>
        </w:rPr>
        <w:t xml:space="preserve"> due to the Supreme Court’s decision in Brand</w:t>
      </w:r>
      <w:r>
        <w:t xml:space="preserve"> X. 102 Brand X held </w:t>
      </w:r>
      <w:r w:rsidRPr="00B425E4">
        <w:rPr>
          <w:u w:val="single"/>
        </w:rPr>
        <w:t xml:space="preserve">that if a statute is found to be ambiguous, then </w:t>
      </w:r>
      <w:r w:rsidRPr="00B425E4">
        <w:rPr>
          <w:b/>
          <w:bCs/>
          <w:u w:val="single"/>
        </w:rPr>
        <w:t>an agency’s interpretation can trump a court’s prior interpretation</w:t>
      </w:r>
      <w:r w:rsidRPr="00B425E4">
        <w:rPr>
          <w:u w:val="single"/>
        </w:rPr>
        <w:t xml:space="preserve"> of that statute</w:t>
      </w:r>
      <w:r>
        <w:t xml:space="preserve">.103 This means that </w:t>
      </w:r>
      <w:r w:rsidRPr="00B425E4">
        <w:rPr>
          <w:u w:val="single"/>
        </w:rPr>
        <w:t xml:space="preserve">the decision to find the statute ambiguous or not is what </w:t>
      </w:r>
      <w:r w:rsidRPr="00B425E4">
        <w:rPr>
          <w:b/>
          <w:bCs/>
          <w:u w:val="single"/>
        </w:rPr>
        <w:t>determines whether the court has the power to reject the agency’s decision</w:t>
      </w:r>
      <w:r w:rsidRPr="00B425E4">
        <w:rPr>
          <w:u w:val="single"/>
        </w:rPr>
        <w:t>.</w:t>
      </w:r>
      <w:r>
        <w:t xml:space="preserve">104 If the statute is ambiguous, then the agency’s interpretation will stand, unless it is found to be unreasonable.105 </w:t>
      </w:r>
      <w:r w:rsidRPr="00B425E4">
        <w:rPr>
          <w:u w:val="single"/>
        </w:rPr>
        <w:t>Thus courts should be clear on whether they are rejecting an agency’s interpretation because the statute is already unambiguous, or because the statute is ambiguous but the proffered interpretation is unreasonable.106</w:t>
      </w:r>
      <w:r>
        <w:t xml:space="preserve">CONCLUSION The battle over when courts are obligated to grant deference to agency interpretation of law continues on and figures to move to the forefront, as one of the Chevron doctrine’s most prominent critics, Neil Gorsuch, has ascended to the Supreme Court. In 2017, in Waterkeeper Alliance v. EPA, the U.S. Court of Appeals for the D.C. Circuit waded in again, correctly determining that the EPA had exceeded its authority when it passed the Final Rule. In doing so, however, </w:t>
      </w:r>
      <w:r w:rsidRPr="00B425E4">
        <w:rPr>
          <w:u w:val="single"/>
        </w:rPr>
        <w:t>the court moved further towards collapsing the two-step Chevron formula, thereby potentially eroding Congress’s control over agency action</w:t>
      </w:r>
      <w:r>
        <w:t>, encompassing a large swath of American law. Future decisions should follow the two-step process laid out in the original decision, ensuring that the doctrine is only applied in cases where agencies were intended to have authority to act from Congress. Doing so would also guarantee that all branches of government maintain their proper roles, with the legislature making the law, the judiciary interpreting it, and the executive carrying it out.</w:t>
      </w:r>
    </w:p>
    <w:p w14:paraId="79B65449" w14:textId="77777777" w:rsidR="00CC2CC5" w:rsidRDefault="00CC2CC5" w:rsidP="00CC2CC5">
      <w:pPr>
        <w:pStyle w:val="Heading3"/>
      </w:pPr>
      <w:r>
        <w:t>AT: Chevron bad—2NC</w:t>
      </w:r>
    </w:p>
    <w:p w14:paraId="62CC6DE7" w14:textId="77777777" w:rsidR="00CC2CC5" w:rsidRDefault="00CC2CC5" w:rsidP="00CC2CC5">
      <w:pPr>
        <w:pStyle w:val="Heading4"/>
      </w:pPr>
      <w:r>
        <w:t>Chevron’s two-step structure ensures judicial authority without overstepping</w:t>
      </w:r>
    </w:p>
    <w:p w14:paraId="57A11AA5" w14:textId="77777777" w:rsidR="00CC2CC5" w:rsidRPr="00645963" w:rsidRDefault="00CC2CC5" w:rsidP="00CC2CC5">
      <w:pPr>
        <w:rPr>
          <w:b/>
          <w:sz w:val="26"/>
        </w:rPr>
      </w:pPr>
      <w:r>
        <w:rPr>
          <w:rStyle w:val="Style13ptBold"/>
        </w:rPr>
        <w:t xml:space="preserve">Werntz 17 </w:t>
      </w:r>
      <w:r w:rsidRPr="00645963">
        <w:t>(Heidi Marie Werntz, Attorney-Advisor for the Federal Energy Regulatory Commission, “Counting on Chevron?” Energy Law Journal, 11/16/17, https://heinonline.org/HOL/LandingPage?handle=hein.journals/energy38&amp;div=25&amp;id=&amp;page=)//cb</w:t>
      </w:r>
    </w:p>
    <w:p w14:paraId="5A882313" w14:textId="77777777" w:rsidR="00CC2CC5" w:rsidRPr="00561CC9" w:rsidRDefault="00CC2CC5" w:rsidP="00CC2CC5">
      <w:pPr>
        <w:rPr>
          <w:sz w:val="16"/>
        </w:rPr>
      </w:pPr>
      <w:r w:rsidRPr="00561CC9">
        <w:rPr>
          <w:sz w:val="16"/>
        </w:rPr>
        <w:t xml:space="preserve">3. Winning the Chevron Debate </w:t>
      </w:r>
      <w:r w:rsidRPr="00561CC9">
        <w:rPr>
          <w:rStyle w:val="StyleUnderline"/>
        </w:rPr>
        <w:t xml:space="preserve">Contrary to rising sentiment, Chevron deference </w:t>
      </w:r>
      <w:r w:rsidRPr="00561CC9">
        <w:rPr>
          <w:rStyle w:val="Emphasis"/>
        </w:rPr>
        <w:t>does not abrogate</w:t>
      </w:r>
      <w:r w:rsidRPr="00561CC9">
        <w:rPr>
          <w:rStyle w:val="StyleUnderline"/>
        </w:rPr>
        <w:t xml:space="preserve"> the judicial branch’s authority to interpret the law</w:t>
      </w:r>
      <w:r w:rsidRPr="00561CC9">
        <w:rPr>
          <w:sz w:val="16"/>
        </w:rPr>
        <w:t xml:space="preserve">. </w:t>
      </w:r>
      <w:r w:rsidRPr="00561CC9">
        <w:rPr>
          <w:rStyle w:val="StyleUnderline"/>
        </w:rPr>
        <w:t>At</w:t>
      </w:r>
      <w:r w:rsidRPr="00561CC9">
        <w:rPr>
          <w:sz w:val="16"/>
        </w:rPr>
        <w:t xml:space="preserve"> Chevron </w:t>
      </w:r>
      <w:r w:rsidRPr="00561CC9">
        <w:rPr>
          <w:rStyle w:val="StyleUnderline"/>
        </w:rPr>
        <w:t xml:space="preserve">step 1, the </w:t>
      </w:r>
      <w:r w:rsidRPr="00561CC9">
        <w:rPr>
          <w:sz w:val="16"/>
        </w:rPr>
        <w:t xml:space="preserve">reviewing </w:t>
      </w:r>
      <w:r w:rsidRPr="00561CC9">
        <w:rPr>
          <w:rStyle w:val="StyleUnderline"/>
        </w:rPr>
        <w:t>court determines whether the statute is</w:t>
      </w:r>
      <w:r w:rsidRPr="00561CC9">
        <w:rPr>
          <w:sz w:val="16"/>
        </w:rPr>
        <w:t xml:space="preserve"> clear or </w:t>
      </w:r>
      <w:r w:rsidRPr="00561CC9">
        <w:rPr>
          <w:rStyle w:val="StyleUnderline"/>
        </w:rPr>
        <w:t xml:space="preserve">ambiguous </w:t>
      </w:r>
      <w:r w:rsidRPr="00561CC9">
        <w:rPr>
          <w:sz w:val="16"/>
        </w:rPr>
        <w:t xml:space="preserve">and establishes the range of possible interpretations when it is ambiguous.432 </w:t>
      </w:r>
      <w:r w:rsidRPr="00561CC9">
        <w:rPr>
          <w:rStyle w:val="StyleUnderline"/>
        </w:rPr>
        <w:t>At</w:t>
      </w:r>
      <w:r w:rsidRPr="00561CC9">
        <w:rPr>
          <w:sz w:val="16"/>
        </w:rPr>
        <w:t xml:space="preserve"> Chevron </w:t>
      </w:r>
      <w:r w:rsidRPr="00561CC9">
        <w:rPr>
          <w:rStyle w:val="StyleUnderline"/>
        </w:rPr>
        <w:t>step 2, the court evaluates whether the agency’s interpretation is reasonable</w:t>
      </w:r>
      <w:r w:rsidRPr="00561CC9">
        <w:rPr>
          <w:sz w:val="16"/>
        </w:rPr>
        <w:t xml:space="preserve">.433 The court examines whether the agency’s interpretation is supported by the text, context and purpose of the statute, and whether, in accordance with APA section 706(2)(A), it has justified its interpretation as reasonable.434 From a statutory perspective, the APA supports the position that judicial review need not be de novo in all circumstances.435 The APA requires the court to interpret the law “to the extent necessary,” which qualifies the breadth of review.436 </w:t>
      </w:r>
      <w:r w:rsidRPr="00561CC9">
        <w:rPr>
          <w:rStyle w:val="StyleUnderline"/>
        </w:rPr>
        <w:t xml:space="preserve">Because Congress has delegated authority to the agency to execute and therefore also interpret the statute, “to the extent necessary” encompasses allowing the court to defer to the agency’s reasonable interpretation </w:t>
      </w:r>
      <w:r w:rsidRPr="00561CC9">
        <w:rPr>
          <w:sz w:val="16"/>
        </w:rPr>
        <w:t xml:space="preserve">of an ambiguous statute, without violating the APA.437 </w:t>
      </w:r>
      <w:r w:rsidRPr="00561CC9">
        <w:rPr>
          <w:rStyle w:val="StyleUnderline"/>
        </w:rPr>
        <w:t>Marbury v. Madison</w:t>
      </w:r>
      <w:r w:rsidRPr="00561CC9">
        <w:rPr>
          <w:sz w:val="16"/>
        </w:rPr>
        <w:t xml:space="preserve">, the case that established that courts are to interpret the law, </w:t>
      </w:r>
      <w:r w:rsidRPr="00561CC9">
        <w:rPr>
          <w:rStyle w:val="StyleUnderline"/>
        </w:rPr>
        <w:t>also recognized that the judiciary should exercise restraint</w:t>
      </w:r>
      <w:r w:rsidRPr="00561CC9">
        <w:rPr>
          <w:sz w:val="16"/>
        </w:rPr>
        <w:t xml:space="preserve"> when it comes to political questions that have been vested in the political branches.438 The Supreme Court has repeatedly (if not perfectly consistently) honored this political question exception to review.439 </w:t>
      </w:r>
      <w:r w:rsidRPr="00561CC9">
        <w:rPr>
          <w:rStyle w:val="StyleUnderline"/>
        </w:rPr>
        <w:t>Deference to the agency</w:t>
      </w:r>
      <w:r w:rsidRPr="00561CC9">
        <w:rPr>
          <w:sz w:val="16"/>
        </w:rPr>
        <w:t xml:space="preserve">’s reasonable interpretation of a statutory ambiguity </w:t>
      </w:r>
      <w:r w:rsidRPr="00561CC9">
        <w:rPr>
          <w:rStyle w:val="StyleUnderline"/>
        </w:rPr>
        <w:t xml:space="preserve">is simply another context in which it is advisable that the court exercise </w:t>
      </w:r>
      <w:r w:rsidRPr="00561CC9">
        <w:rPr>
          <w:rStyle w:val="Emphasis"/>
        </w:rPr>
        <w:t>judicial restraint</w:t>
      </w:r>
      <w:r w:rsidRPr="00561CC9">
        <w:rPr>
          <w:rStyle w:val="StyleUnderline"/>
        </w:rPr>
        <w:t xml:space="preserve"> – because Congress has delegated </w:t>
      </w:r>
      <w:r w:rsidRPr="00561CC9">
        <w:rPr>
          <w:sz w:val="16"/>
        </w:rPr>
        <w:t>the legislative function of</w:t>
      </w:r>
      <w:r w:rsidRPr="00561CC9">
        <w:rPr>
          <w:rStyle w:val="StyleUnderline"/>
        </w:rPr>
        <w:t xml:space="preserve"> making policy choices and resolving ambiguities to agencies, not courts</w:t>
      </w:r>
      <w:r w:rsidRPr="00561CC9">
        <w:rPr>
          <w:sz w:val="16"/>
        </w:rPr>
        <w:t>.440</w:t>
      </w:r>
    </w:p>
    <w:p w14:paraId="33B688C3" w14:textId="77777777" w:rsidR="00CC2CC5" w:rsidRPr="00561CC9" w:rsidRDefault="00CC2CC5" w:rsidP="00CC2CC5">
      <w:pPr>
        <w:rPr>
          <w:rStyle w:val="StyleUnderline"/>
        </w:rPr>
      </w:pPr>
      <w:r w:rsidRPr="00561CC9">
        <w:rPr>
          <w:sz w:val="16"/>
        </w:rPr>
        <w:t xml:space="preserve">Next, </w:t>
      </w:r>
      <w:r w:rsidRPr="00561CC9">
        <w:rPr>
          <w:rStyle w:val="StyleUnderline"/>
        </w:rPr>
        <w:t>Chevron is practical. It provides a relatively straightforward rule of thumb</w:t>
      </w:r>
      <w:r w:rsidRPr="00561CC9">
        <w:rPr>
          <w:sz w:val="16"/>
        </w:rPr>
        <w:t xml:space="preserve">.441 Even though, as we have seen, reasonable judges can differ over whether a statute is clear or ambiguous, in either case, </w:t>
      </w:r>
      <w:r w:rsidRPr="00561CC9">
        <w:rPr>
          <w:rStyle w:val="StyleUnderline"/>
        </w:rPr>
        <w:t>the court must still justify its opinion</w:t>
      </w:r>
      <w:r w:rsidRPr="00561CC9">
        <w:rPr>
          <w:sz w:val="16"/>
        </w:rPr>
        <w:t xml:space="preserve">. Chevron also recognizes the value that the agency’s quotidian familiarity with the statutes it administers can bring to bear on the interpretation of statutory ambiguities. Given the plethora of agencies and statutes, de novo review in all circumstances would present an enormous burden to judges. Not every proceeding is a Supreme Court case, with the luxury of amici and experts filing briefs and weighing in on complicated technical matters. It is perhaps not too farfetched to imagine that </w:t>
      </w:r>
      <w:r w:rsidRPr="00561CC9">
        <w:rPr>
          <w:rStyle w:val="StyleUnderline"/>
        </w:rPr>
        <w:t>without Chevron deference, courts would need to hire a fleet of clerks who are experienced subject matter experts, ballooning into mini-agencies.</w:t>
      </w:r>
    </w:p>
    <w:p w14:paraId="7CA97A27" w14:textId="77777777" w:rsidR="00CC2CC5" w:rsidRPr="00561CC9" w:rsidRDefault="00CC2CC5" w:rsidP="00CC2CC5">
      <w:pPr>
        <w:rPr>
          <w:sz w:val="16"/>
        </w:rPr>
      </w:pPr>
      <w:r w:rsidRPr="00561CC9">
        <w:rPr>
          <w:sz w:val="16"/>
        </w:rPr>
        <w:t xml:space="preserve">Finally, </w:t>
      </w:r>
      <w:r w:rsidRPr="00561CC9">
        <w:rPr>
          <w:rStyle w:val="StyleUnderline"/>
        </w:rPr>
        <w:t>the beauty of Chevron is its flexibility</w:t>
      </w:r>
      <w:r w:rsidRPr="00561CC9">
        <w:rPr>
          <w:sz w:val="16"/>
        </w:rPr>
        <w:t xml:space="preserve">. When a statutory ambiguity qualifies for Chevron deference, it can be reinterpreted (reasonably) to suit societal preferences and technical advances. This is “Chevron’s very point.”442 </w:t>
      </w:r>
      <w:r w:rsidRPr="00561CC9">
        <w:rPr>
          <w:rStyle w:val="StyleUnderline"/>
        </w:rPr>
        <w:t>Flexibility is also linked to political accountability</w:t>
      </w:r>
      <w:r w:rsidRPr="00561CC9">
        <w:rPr>
          <w:sz w:val="16"/>
        </w:rPr>
        <w:t xml:space="preserve">. Contrary to naysayers, </w:t>
      </w:r>
      <w:r w:rsidRPr="00561CC9">
        <w:rPr>
          <w:rStyle w:val="StyleUnderline"/>
        </w:rPr>
        <w:t>Chevron does not permit the agency to change policy direction, willy-nilly, based on the “agency’s mood at the moment,</w:t>
      </w:r>
      <w:r w:rsidRPr="00561CC9">
        <w:rPr>
          <w:sz w:val="16"/>
        </w:rPr>
        <w:t xml:space="preserve">” upsetting “settled expectations.”443 </w:t>
      </w:r>
      <w:r w:rsidRPr="00561CC9">
        <w:rPr>
          <w:rStyle w:val="StyleUnderline"/>
        </w:rPr>
        <w:t>The agency’s shifts are shaped by the elected officials who set policy</w:t>
      </w:r>
      <w:r w:rsidRPr="00561CC9">
        <w:rPr>
          <w:sz w:val="16"/>
        </w:rPr>
        <w:t xml:space="preserve"> and choose the agency’s leaders to execute that policy, even if it means choosing among competing policy choices when interpreting the law. Granted, Chevron deference can be less appealing when deference supports an unpopular (or personally repugnant) interpretation/policy choice. But </w:t>
      </w:r>
      <w:r w:rsidRPr="00561CC9">
        <w:rPr>
          <w:rStyle w:val="StyleUnderline"/>
        </w:rPr>
        <w:t>Chevron is no less predictable</w:t>
      </w:r>
      <w:r w:rsidRPr="00561CC9">
        <w:rPr>
          <w:sz w:val="16"/>
        </w:rPr>
        <w:t xml:space="preserve">. And, </w:t>
      </w:r>
      <w:r w:rsidRPr="00561CC9">
        <w:rPr>
          <w:rStyle w:val="StyleUnderline"/>
        </w:rPr>
        <w:t>the alternative would be transferring archetypal Chevron questions to judges who are “to refrain from substituting their own interstitial</w:t>
      </w:r>
      <w:r w:rsidRPr="00561CC9">
        <w:rPr>
          <w:sz w:val="16"/>
        </w:rPr>
        <w:t xml:space="preserve"> [policymaking or] </w:t>
      </w:r>
      <w:r w:rsidRPr="00561CC9">
        <w:rPr>
          <w:rStyle w:val="StyleUnderline"/>
        </w:rPr>
        <w:t>lawmaking” for that of Congress</w:t>
      </w:r>
      <w:r w:rsidRPr="00561CC9">
        <w:rPr>
          <w:sz w:val="16"/>
        </w:rPr>
        <w:t xml:space="preserve">.444 </w:t>
      </w:r>
      <w:r w:rsidRPr="00561CC9">
        <w:rPr>
          <w:rStyle w:val="StyleUnderline"/>
        </w:rPr>
        <w:t>Would that be constitutional?</w:t>
      </w:r>
      <w:r w:rsidRPr="00561CC9">
        <w:rPr>
          <w:sz w:val="16"/>
        </w:rPr>
        <w:t>445</w:t>
      </w:r>
    </w:p>
    <w:p w14:paraId="0CC017CB" w14:textId="77777777" w:rsidR="00CC2CC5" w:rsidRDefault="00CC2CC5" w:rsidP="00CC2CC5"/>
    <w:p w14:paraId="405D7055" w14:textId="77777777" w:rsidR="00CC2CC5" w:rsidRDefault="00CC2CC5" w:rsidP="00CC2CC5">
      <w:pPr>
        <w:pStyle w:val="Heading3"/>
      </w:pPr>
      <w:r>
        <w:t>AT: Warming Turn</w:t>
      </w:r>
    </w:p>
    <w:p w14:paraId="5BAB3F73" w14:textId="77777777" w:rsidR="00CC2CC5" w:rsidRPr="008834DA" w:rsidRDefault="00CC2CC5" w:rsidP="00CC2CC5">
      <w:pPr>
        <w:pStyle w:val="Heading4"/>
      </w:pPr>
      <w:r w:rsidRPr="008834DA">
        <w:rPr>
          <w:i/>
        </w:rPr>
        <w:t>Chevron</w:t>
      </w:r>
      <w:r w:rsidRPr="008834DA">
        <w:t xml:space="preserve"> underpins warming regulations.</w:t>
      </w:r>
    </w:p>
    <w:p w14:paraId="53ADFF0F" w14:textId="77777777" w:rsidR="00CC2CC5" w:rsidRPr="008834DA" w:rsidRDefault="00CC2CC5" w:rsidP="00CC2CC5">
      <w:r w:rsidRPr="008834DA">
        <w:rPr>
          <w:rStyle w:val="Heading4Char"/>
        </w:rPr>
        <w:t>Lorenzen &amp; Das 15</w:t>
      </w:r>
      <w:r w:rsidRPr="008834DA">
        <w:t xml:space="preserve"> – (Thomas A. Lorenzen, partner at Crowell &amp; Moring, LLP; Sharmistha Das is an associate at Crowell &amp; Moring, LLP; “The decline of deference: Is the Supreme Court pruning back the Chevron doctrine?”; American Bar Association; D.A. June 30</w:t>
      </w:r>
      <w:r w:rsidRPr="008834DA">
        <w:rPr>
          <w:vertAlign w:val="superscript"/>
        </w:rPr>
        <w:t>th</w:t>
      </w:r>
      <w:r w:rsidRPr="008834DA">
        <w:t xml:space="preserve"> 2020, [Published September 01</w:t>
      </w:r>
      <w:r w:rsidRPr="008834DA">
        <w:rPr>
          <w:vertAlign w:val="superscript"/>
        </w:rPr>
        <w:t>st</w:t>
      </w:r>
      <w:r w:rsidRPr="008834DA">
        <w:t xml:space="preserve"> 2015]; </w:t>
      </w:r>
      <w:hyperlink r:id="rId47" w:history="1">
        <w:r w:rsidRPr="008834DA">
          <w:rPr>
            <w:rStyle w:val="Hyperlink"/>
          </w:rPr>
          <w:t>https://www.americanbar.org/groups/environment_energy_resources/publications/trends/2015-2016/september-october-2015/the_decline_deference_the_supreme_court_pruning_back_chevron_doctrine/</w:t>
        </w:r>
      </w:hyperlink>
      <w:r w:rsidRPr="008834DA">
        <w:t xml:space="preserve">) </w:t>
      </w:r>
    </w:p>
    <w:p w14:paraId="551ECBF3" w14:textId="77777777" w:rsidR="00CC2CC5" w:rsidRPr="008834DA" w:rsidRDefault="00CC2CC5" w:rsidP="00CC2CC5">
      <w:pPr>
        <w:rPr>
          <w:sz w:val="16"/>
        </w:rPr>
      </w:pPr>
      <w:r w:rsidRPr="008834DA">
        <w:rPr>
          <w:rStyle w:val="StyleUnderline"/>
        </w:rPr>
        <w:t xml:space="preserve">Judicial </w:t>
      </w:r>
      <w:r w:rsidRPr="008834DA">
        <w:rPr>
          <w:rStyle w:val="Emphasis"/>
        </w:rPr>
        <w:t>deference to agency interpretations</w:t>
      </w:r>
      <w:r w:rsidRPr="008834DA">
        <w:rPr>
          <w:rStyle w:val="StyleUnderline"/>
        </w:rPr>
        <w:t xml:space="preserve"> of ambiguous statutory terms</w:t>
      </w:r>
      <w:r w:rsidRPr="008834DA">
        <w:rPr>
          <w:sz w:val="16"/>
        </w:rPr>
        <w:t xml:space="preserve">—a doctrine </w:t>
      </w:r>
      <w:r w:rsidRPr="008834DA">
        <w:rPr>
          <w:rStyle w:val="StyleUnderline"/>
        </w:rPr>
        <w:t>established in </w:t>
      </w:r>
      <w:r w:rsidRPr="008834DA">
        <w:rPr>
          <w:rStyle w:val="Emphasis"/>
        </w:rPr>
        <w:t>Chevron</w:t>
      </w:r>
      <w:r w:rsidRPr="008834DA">
        <w:rPr>
          <w:sz w:val="16"/>
        </w:rPr>
        <w:t xml:space="preserve"> U.S.A., Inc. v. Natural Resources Defense Council, Inc., 467 U.S. 837 (1984)—</w:t>
      </w:r>
      <w:r w:rsidRPr="008834DA">
        <w:rPr>
          <w:rStyle w:val="StyleUnderline"/>
        </w:rPr>
        <w:t xml:space="preserve">is one of the fundamental </w:t>
      </w:r>
      <w:r w:rsidRPr="008834DA">
        <w:rPr>
          <w:rStyle w:val="Emphasis"/>
        </w:rPr>
        <w:t>underpinnings of</w:t>
      </w:r>
      <w:r w:rsidRPr="008834DA">
        <w:rPr>
          <w:rStyle w:val="StyleUnderline"/>
        </w:rPr>
        <w:t xml:space="preserve"> the</w:t>
      </w:r>
      <w:r w:rsidRPr="008834DA">
        <w:rPr>
          <w:sz w:val="16"/>
        </w:rPr>
        <w:t xml:space="preserve"> modern </w:t>
      </w:r>
      <w:r w:rsidRPr="008834DA">
        <w:rPr>
          <w:rStyle w:val="StyleUnderline"/>
        </w:rPr>
        <w:t>admin</w:t>
      </w:r>
      <w:r w:rsidRPr="008834DA">
        <w:rPr>
          <w:sz w:val="16"/>
        </w:rPr>
        <w:t xml:space="preserve">istrative </w:t>
      </w:r>
      <w:r w:rsidRPr="008834DA">
        <w:rPr>
          <w:rStyle w:val="StyleUnderline"/>
        </w:rPr>
        <w:t>state</w:t>
      </w:r>
      <w:r w:rsidRPr="008834DA">
        <w:rPr>
          <w:sz w:val="16"/>
        </w:rPr>
        <w:t xml:space="preserve">. </w:t>
      </w:r>
      <w:r w:rsidRPr="008834DA">
        <w:rPr>
          <w:rStyle w:val="StyleUnderline"/>
        </w:rPr>
        <w:t>It has been</w:t>
      </w:r>
      <w:r w:rsidRPr="008834DA">
        <w:rPr>
          <w:sz w:val="16"/>
        </w:rPr>
        <w:t xml:space="preserve"> particularly </w:t>
      </w:r>
      <w:r w:rsidRPr="008834DA">
        <w:rPr>
          <w:rStyle w:val="Emphasis"/>
        </w:rPr>
        <w:t>critical to</w:t>
      </w:r>
      <w:r w:rsidRPr="008834DA">
        <w:rPr>
          <w:sz w:val="16"/>
        </w:rPr>
        <w:t xml:space="preserve"> the development of </w:t>
      </w:r>
      <w:r w:rsidRPr="008834DA">
        <w:rPr>
          <w:rStyle w:val="Emphasis"/>
        </w:rPr>
        <w:t>environmental regulations</w:t>
      </w:r>
      <w:r w:rsidRPr="008834DA">
        <w:rPr>
          <w:sz w:val="16"/>
        </w:rPr>
        <w:t>. </w:t>
      </w:r>
      <w:r w:rsidRPr="008834DA">
        <w:rPr>
          <w:rStyle w:val="StyleUnderline"/>
        </w:rPr>
        <w:t>Chevron deference has allowed Congress to paint its environmental goals</w:t>
      </w:r>
      <w:r w:rsidRPr="008834DA">
        <w:rPr>
          <w:sz w:val="16"/>
        </w:rPr>
        <w:t xml:space="preserve"> in broad terms, </w:t>
      </w:r>
      <w:r w:rsidRPr="008834DA">
        <w:rPr>
          <w:rStyle w:val="StyleUnderline"/>
        </w:rPr>
        <w:t xml:space="preserve">in statutes like the </w:t>
      </w:r>
      <w:r w:rsidRPr="008834DA">
        <w:rPr>
          <w:rStyle w:val="Emphasis"/>
        </w:rPr>
        <w:t>Clean Air Act</w:t>
      </w:r>
      <w:r w:rsidRPr="008834DA">
        <w:rPr>
          <w:rStyle w:val="StyleUnderline"/>
        </w:rPr>
        <w:t xml:space="preserve"> and the </w:t>
      </w:r>
      <w:r w:rsidRPr="008834DA">
        <w:rPr>
          <w:rStyle w:val="Emphasis"/>
        </w:rPr>
        <w:t>Clean Water Act</w:t>
      </w:r>
      <w:r w:rsidRPr="008834DA">
        <w:rPr>
          <w:sz w:val="16"/>
        </w:rPr>
        <w:t xml:space="preserve">, </w:t>
      </w:r>
      <w:r w:rsidRPr="008834DA">
        <w:rPr>
          <w:rStyle w:val="StyleUnderline"/>
        </w:rPr>
        <w:t>while leaving to the</w:t>
      </w:r>
      <w:r w:rsidRPr="008834DA">
        <w:rPr>
          <w:sz w:val="16"/>
        </w:rPr>
        <w:t xml:space="preserve"> U.S. Environmental Protection Agency (</w:t>
      </w:r>
      <w:r w:rsidRPr="008834DA">
        <w:rPr>
          <w:rStyle w:val="Emphasis"/>
        </w:rPr>
        <w:t>EPA</w:t>
      </w:r>
      <w:r w:rsidRPr="008834DA">
        <w:rPr>
          <w:sz w:val="16"/>
        </w:rPr>
        <w:t xml:space="preserve">) </w:t>
      </w:r>
      <w:r w:rsidRPr="008834DA">
        <w:rPr>
          <w:rStyle w:val="StyleUnderline"/>
        </w:rPr>
        <w:t xml:space="preserve">the task of </w:t>
      </w:r>
      <w:r w:rsidRPr="008834DA">
        <w:rPr>
          <w:sz w:val="16"/>
        </w:rPr>
        <w:t xml:space="preserve">both </w:t>
      </w:r>
      <w:r w:rsidRPr="008834DA">
        <w:rPr>
          <w:rStyle w:val="StyleUnderline"/>
        </w:rPr>
        <w:t>determining what</w:t>
      </w:r>
      <w:r w:rsidRPr="008834DA">
        <w:rPr>
          <w:sz w:val="16"/>
        </w:rPr>
        <w:t xml:space="preserve"> precisely </w:t>
      </w:r>
      <w:r w:rsidRPr="008834DA">
        <w:rPr>
          <w:rStyle w:val="Emphasis"/>
        </w:rPr>
        <w:t>Congress intended</w:t>
      </w:r>
      <w:r w:rsidRPr="008834DA">
        <w:rPr>
          <w:sz w:val="16"/>
        </w:rPr>
        <w:t xml:space="preserve"> in those statutes </w:t>
      </w:r>
      <w:r w:rsidRPr="008834DA">
        <w:rPr>
          <w:rStyle w:val="StyleUnderline"/>
        </w:rPr>
        <w:t>and how</w:t>
      </w:r>
      <w:r w:rsidRPr="008834DA">
        <w:rPr>
          <w:sz w:val="16"/>
        </w:rPr>
        <w:t xml:space="preserve"> exactly </w:t>
      </w:r>
      <w:r w:rsidRPr="008834DA">
        <w:rPr>
          <w:rStyle w:val="StyleUnderline"/>
        </w:rPr>
        <w:t xml:space="preserve">to </w:t>
      </w:r>
      <w:r w:rsidRPr="008834DA">
        <w:rPr>
          <w:rStyle w:val="Emphasis"/>
        </w:rPr>
        <w:t>achieve what the agency</w:t>
      </w:r>
      <w:r w:rsidRPr="008834DA">
        <w:rPr>
          <w:rStyle w:val="StyleUnderline"/>
        </w:rPr>
        <w:t xml:space="preserve"> perceives to have been Congress’s </w:t>
      </w:r>
      <w:r w:rsidRPr="008834DA">
        <w:rPr>
          <w:rStyle w:val="Emphasis"/>
        </w:rPr>
        <w:t>goals</w:t>
      </w:r>
      <w:r w:rsidRPr="008834DA">
        <w:rPr>
          <w:sz w:val="16"/>
        </w:rPr>
        <w:t>. It has also allowed successive administrations considerable leeway to change course in environmental policy, simply by proffering and rationally explaining new interpretations of ambiguous statutory provisions.</w:t>
      </w:r>
    </w:p>
    <w:p w14:paraId="1982F987" w14:textId="77777777" w:rsidR="00CC2CC5" w:rsidRPr="008834DA" w:rsidRDefault="00CC2CC5" w:rsidP="00CC2CC5">
      <w:pPr>
        <w:keepNext/>
        <w:keepLines/>
        <w:spacing w:before="40" w:after="0"/>
        <w:outlineLvl w:val="3"/>
        <w:rPr>
          <w:rStyle w:val="Style13ptBold"/>
          <w:rFonts w:asciiTheme="minorHAnsi" w:hAnsiTheme="minorHAnsi" w:cstheme="minorHAnsi"/>
          <w:i/>
        </w:rPr>
      </w:pPr>
      <w:r w:rsidRPr="008834DA">
        <w:rPr>
          <w:rStyle w:val="Style13ptBold"/>
          <w:rFonts w:asciiTheme="minorHAnsi" w:hAnsiTheme="minorHAnsi" w:cstheme="minorHAnsi"/>
        </w:rPr>
        <w:t xml:space="preserve">Eroding Chevron deference prevents future emissions restrictions---Democratic environmental protections won’t be afforded deference from a </w:t>
      </w:r>
      <w:r w:rsidRPr="008834DA">
        <w:rPr>
          <w:rStyle w:val="Style13ptBold"/>
          <w:rFonts w:asciiTheme="minorHAnsi" w:hAnsiTheme="minorHAnsi" w:cstheme="minorHAnsi"/>
          <w:i/>
        </w:rPr>
        <w:t>conservative court</w:t>
      </w:r>
    </w:p>
    <w:p w14:paraId="50AB7820" w14:textId="77777777" w:rsidR="00CC2CC5" w:rsidRPr="008834DA" w:rsidRDefault="00CC2CC5" w:rsidP="00CC2CC5">
      <w:pPr>
        <w:rPr>
          <w:rFonts w:asciiTheme="minorHAnsi" w:hAnsiTheme="minorHAnsi" w:cstheme="minorHAnsi"/>
        </w:rPr>
      </w:pPr>
      <w:r w:rsidRPr="008834DA">
        <w:rPr>
          <w:rStyle w:val="Style13ptBold"/>
          <w:rFonts w:asciiTheme="minorHAnsi" w:hAnsiTheme="minorHAnsi" w:cstheme="minorHAnsi"/>
        </w:rPr>
        <w:t>Feldman, 18</w:t>
      </w:r>
      <w:r w:rsidRPr="008834DA">
        <w:rPr>
          <w:rFonts w:asciiTheme="minorHAnsi" w:hAnsiTheme="minorHAnsi" w:cstheme="minorHAnsi"/>
        </w:rPr>
        <w:t xml:space="preserve">—Noah; J.D. from Yale Law School, Professor at Law at Harvard Law School, Ph.D. in Oriental Studies from Oxford University, 7-19-2018, "Tipping the Scales," </w:t>
      </w:r>
      <w:hyperlink r:id="rId48" w:history="1">
        <w:r w:rsidRPr="008834DA">
          <w:rPr>
            <w:rStyle w:val="Hyperlink"/>
            <w:rFonts w:asciiTheme="minorHAnsi" w:hAnsiTheme="minorHAnsi" w:cstheme="minorHAnsi"/>
          </w:rPr>
          <w:t>https://www.nybooks.com/articles/2018/07/19/supreme-court-tipping-scales/</w:t>
        </w:r>
      </w:hyperlink>
    </w:p>
    <w:p w14:paraId="5D2C336C"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 xml:space="preserve">Environmental regulation is the final area in which an activist conservative Court could have a substantial effect. The source of the Court’s power here lies in the relationship between environmental legislation and regulation. </w:t>
      </w:r>
      <w:r w:rsidRPr="008834DA">
        <w:rPr>
          <w:rFonts w:asciiTheme="minorHAnsi" w:hAnsiTheme="minorHAnsi" w:cstheme="minorHAnsi"/>
          <w:u w:val="single"/>
        </w:rPr>
        <w:t xml:space="preserve">In general, Congress has chosen to deal with the environment by passing very </w:t>
      </w:r>
      <w:r w:rsidRPr="008834DA">
        <w:rPr>
          <w:rFonts w:asciiTheme="minorHAnsi" w:hAnsiTheme="minorHAnsi" w:cstheme="minorHAnsi"/>
          <w:b/>
          <w:iCs/>
          <w:u w:val="single"/>
          <w:bdr w:val="single" w:sz="8" w:space="0" w:color="auto"/>
        </w:rPr>
        <w:t>general laws</w:t>
      </w:r>
      <w:r w:rsidRPr="008834DA">
        <w:rPr>
          <w:rFonts w:asciiTheme="minorHAnsi" w:hAnsiTheme="minorHAnsi" w:cstheme="minorHAnsi"/>
          <w:sz w:val="16"/>
        </w:rPr>
        <w:t xml:space="preserve"> </w:t>
      </w:r>
      <w:r w:rsidRPr="008834DA">
        <w:rPr>
          <w:rFonts w:asciiTheme="minorHAnsi" w:hAnsiTheme="minorHAnsi" w:cstheme="minorHAnsi"/>
          <w:u w:val="single"/>
        </w:rPr>
        <w:t xml:space="preserve">and </w:t>
      </w:r>
      <w:r w:rsidRPr="008834DA">
        <w:rPr>
          <w:rFonts w:asciiTheme="minorHAnsi" w:hAnsiTheme="minorHAnsi" w:cstheme="minorHAnsi"/>
          <w:b/>
          <w:iCs/>
          <w:u w:val="single"/>
          <w:bdr w:val="single" w:sz="8" w:space="0" w:color="auto"/>
        </w:rPr>
        <w:t>delegating the authority to implement them to regulatory agencies</w:t>
      </w:r>
      <w:r w:rsidRPr="008834DA">
        <w:rPr>
          <w:rFonts w:asciiTheme="minorHAnsi" w:hAnsiTheme="minorHAnsi" w:cstheme="minorHAnsi"/>
          <w:sz w:val="16"/>
        </w:rPr>
        <w:t xml:space="preserve"> </w:t>
      </w:r>
      <w:r w:rsidRPr="008834DA">
        <w:rPr>
          <w:rFonts w:asciiTheme="minorHAnsi" w:hAnsiTheme="minorHAnsi" w:cstheme="minorHAnsi"/>
          <w:u w:val="single"/>
        </w:rPr>
        <w:t xml:space="preserve">like the </w:t>
      </w:r>
      <w:r w:rsidRPr="008834DA">
        <w:rPr>
          <w:rFonts w:asciiTheme="minorHAnsi" w:hAnsiTheme="minorHAnsi" w:cstheme="minorHAnsi"/>
          <w:b/>
          <w:iCs/>
          <w:u w:val="single"/>
          <w:bdr w:val="single" w:sz="8" w:space="0" w:color="auto"/>
        </w:rPr>
        <w:t>E</w:t>
      </w:r>
      <w:r w:rsidRPr="008834DA">
        <w:rPr>
          <w:rFonts w:asciiTheme="minorHAnsi" w:hAnsiTheme="minorHAnsi" w:cstheme="minorHAnsi"/>
          <w:u w:val="single"/>
        </w:rPr>
        <w:t xml:space="preserve">nvironmental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rotection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gency</w:t>
      </w:r>
      <w:r w:rsidRPr="008834DA">
        <w:rPr>
          <w:rFonts w:asciiTheme="minorHAnsi" w:hAnsiTheme="minorHAnsi" w:cstheme="minorHAnsi"/>
          <w:sz w:val="16"/>
        </w:rPr>
        <w:t>.</w:t>
      </w:r>
    </w:p>
    <w:p w14:paraId="03BDA13C"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 xml:space="preserve">An activist conservative Court could make life difficult for a </w:t>
      </w:r>
      <w:r w:rsidRPr="008834DA">
        <w:rPr>
          <w:rFonts w:asciiTheme="minorHAnsi" w:hAnsiTheme="minorHAnsi" w:cstheme="minorHAnsi"/>
          <w:b/>
          <w:iCs/>
          <w:u w:val="single"/>
          <w:bdr w:val="single" w:sz="8" w:space="0" w:color="auto"/>
        </w:rPr>
        <w:t>Democratic EPA</w:t>
      </w:r>
      <w:r w:rsidRPr="008834DA">
        <w:rPr>
          <w:rFonts w:asciiTheme="minorHAnsi" w:hAnsiTheme="minorHAnsi" w:cstheme="minorHAnsi"/>
          <w:sz w:val="16"/>
        </w:rPr>
        <w:t xml:space="preserve"> </w:t>
      </w:r>
      <w:r w:rsidRPr="008834DA">
        <w:rPr>
          <w:rFonts w:asciiTheme="minorHAnsi" w:hAnsiTheme="minorHAnsi" w:cstheme="minorHAnsi"/>
          <w:u w:val="single"/>
        </w:rPr>
        <w:t xml:space="preserve">by blocking regulation directly, declaring it “arbitrary and capricious” under the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dministrative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rocedure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The courts are only supposed to use this tool to block actions that are genuinely irrational or that exceed the agency’s legal authority; but the Court could deploy it much more aggressively than has been done in the past</w:t>
      </w:r>
      <w:r w:rsidRPr="008834DA">
        <w:rPr>
          <w:rFonts w:asciiTheme="minorHAnsi" w:hAnsiTheme="minorHAnsi" w:cstheme="minorHAnsi"/>
          <w:sz w:val="16"/>
        </w:rPr>
        <w:t>.</w:t>
      </w:r>
    </w:p>
    <w:p w14:paraId="1CDF3CF6"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In practice, environmentalists could try to get around such a judicial barrier by lobbying Congress to pass laws directing that a specific regulation be adopted, rather than delegating so much authority to the EPA. If public opinion were strongly enough in favor of increased environmental protection, a Democratic Congress and president could probably get some regulation adopted despite judicial resistance.</w:t>
      </w:r>
    </w:p>
    <w:p w14:paraId="3B326BC1" w14:textId="77777777" w:rsidR="00CC2CC5" w:rsidRPr="008834DA" w:rsidRDefault="00CC2CC5" w:rsidP="00CC2CC5">
      <w:pPr>
        <w:rPr>
          <w:rFonts w:asciiTheme="minorHAnsi" w:hAnsiTheme="minorHAnsi" w:cstheme="minorHAnsi"/>
          <w:u w:val="single"/>
        </w:rPr>
      </w:pPr>
      <w:r w:rsidRPr="008834DA">
        <w:rPr>
          <w:rFonts w:asciiTheme="minorHAnsi" w:hAnsiTheme="minorHAnsi" w:cstheme="minorHAnsi"/>
          <w:u w:val="single"/>
        </w:rPr>
        <w:t>A conservative Court could</w:t>
      </w:r>
      <w:r w:rsidRPr="008834DA">
        <w:rPr>
          <w:rFonts w:asciiTheme="minorHAnsi" w:hAnsiTheme="minorHAnsi" w:cstheme="minorHAnsi"/>
          <w:sz w:val="16"/>
        </w:rPr>
        <w:t xml:space="preserve"> also </w:t>
      </w:r>
      <w:r w:rsidRPr="008834DA">
        <w:rPr>
          <w:rFonts w:asciiTheme="minorHAnsi" w:hAnsiTheme="minorHAnsi" w:cstheme="minorHAnsi"/>
          <w:u w:val="single"/>
        </w:rPr>
        <w:t>impede environmental reform by second-guessing agencies’ interpretations of federal law. According to what is known as the “Chevron doctrine,” when federal law is ambiguous, the Court will defer to an agency’s interpretation of the law provided it is reasonable</w:t>
      </w:r>
      <w:r w:rsidRPr="008834DA">
        <w:rPr>
          <w:rFonts w:asciiTheme="minorHAnsi" w:hAnsiTheme="minorHAnsi" w:cstheme="minorHAnsi"/>
          <w:sz w:val="16"/>
        </w:rPr>
        <w:t xml:space="preserve">. </w:t>
      </w:r>
      <w:r w:rsidRPr="008834DA">
        <w:rPr>
          <w:rFonts w:asciiTheme="minorHAnsi" w:hAnsiTheme="minorHAnsi" w:cstheme="minorHAnsi"/>
          <w:u w:val="single"/>
        </w:rPr>
        <w:t xml:space="preserve">This doctrine is intended to give </w:t>
      </w:r>
      <w:r w:rsidRPr="008834DA">
        <w:rPr>
          <w:rFonts w:asciiTheme="minorHAnsi" w:hAnsiTheme="minorHAnsi" w:cstheme="minorHAnsi"/>
          <w:b/>
          <w:iCs/>
          <w:u w:val="single"/>
          <w:bdr w:val="single" w:sz="8" w:space="0" w:color="auto"/>
        </w:rPr>
        <w:t>substantial power to agencies</w:t>
      </w:r>
      <w:r w:rsidRPr="008834DA">
        <w:rPr>
          <w:rFonts w:asciiTheme="minorHAnsi" w:hAnsiTheme="minorHAnsi" w:cstheme="minorHAnsi"/>
          <w:u w:val="single"/>
        </w:rPr>
        <w:t>, binding the hands of judges who might otherwise disagree with the agencies’ policies.</w:t>
      </w:r>
    </w:p>
    <w:p w14:paraId="185CA268"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 xml:space="preserve">Today </w:t>
      </w:r>
      <w:r w:rsidRPr="008834DA">
        <w:rPr>
          <w:rFonts w:asciiTheme="minorHAnsi" w:hAnsiTheme="minorHAnsi" w:cstheme="minorHAnsi"/>
          <w:b/>
          <w:iCs/>
          <w:u w:val="single"/>
          <w:bdr w:val="single" w:sz="8" w:space="0" w:color="auto"/>
        </w:rPr>
        <w:t>Chevron is under attack</w:t>
      </w:r>
      <w:r w:rsidRPr="008834DA">
        <w:rPr>
          <w:rFonts w:asciiTheme="minorHAnsi" w:hAnsiTheme="minorHAnsi" w:cstheme="minorHAnsi"/>
          <w:sz w:val="16"/>
        </w:rPr>
        <w:t xml:space="preserve">, most prominently from Gorsuch, who has written disparagingly of the idea that courts would have anything less than full control over the meaning of federal statutes. </w:t>
      </w:r>
      <w:r w:rsidRPr="008834DA">
        <w:rPr>
          <w:rFonts w:asciiTheme="minorHAnsi" w:hAnsiTheme="minorHAnsi" w:cstheme="minorHAnsi"/>
          <w:u w:val="single"/>
        </w:rPr>
        <w:t>This is bad news for environmental regulation</w:t>
      </w:r>
      <w:r w:rsidRPr="008834DA">
        <w:rPr>
          <w:rFonts w:asciiTheme="minorHAnsi" w:hAnsiTheme="minorHAnsi" w:cstheme="minorHAnsi"/>
          <w:sz w:val="16"/>
        </w:rPr>
        <w:t>—</w:t>
      </w:r>
      <w:r w:rsidRPr="008834DA">
        <w:rPr>
          <w:rFonts w:asciiTheme="minorHAnsi" w:hAnsiTheme="minorHAnsi" w:cstheme="minorHAnsi"/>
          <w:u w:val="single"/>
        </w:rPr>
        <w:t>and that is almost certainly part of the point. A Court that does not defer to an agency’s interpretation of federal law can substitute its own policy judgment for that of the agency. If that agency is the EPA, and its judgment is being used to expand environmental protection, then a conservative Court that overturned Chevron or weakened its rule of deference would stand ready to reverse the agency’s course.</w:t>
      </w:r>
    </w:p>
    <w:p w14:paraId="34CF3AB6"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The only solution for environmentalists would be to pass new laws that would expressly enact regulation</w:t>
      </w:r>
      <w:r w:rsidRPr="008834DA">
        <w:rPr>
          <w:rFonts w:asciiTheme="minorHAnsi" w:hAnsiTheme="minorHAnsi" w:cstheme="minorHAnsi"/>
          <w:sz w:val="16"/>
        </w:rPr>
        <w:t xml:space="preserve">, </w:t>
      </w:r>
      <w:r w:rsidRPr="008834DA">
        <w:rPr>
          <w:rFonts w:asciiTheme="minorHAnsi" w:hAnsiTheme="minorHAnsi" w:cstheme="minorHAnsi"/>
          <w:u w:val="single"/>
        </w:rPr>
        <w:t xml:space="preserve">rather than delegating regulatory authority to the agencies. That would be </w:t>
      </w:r>
      <w:r w:rsidRPr="008834DA">
        <w:rPr>
          <w:rFonts w:asciiTheme="minorHAnsi" w:hAnsiTheme="minorHAnsi" w:cstheme="minorHAnsi"/>
          <w:b/>
          <w:iCs/>
          <w:u w:val="single"/>
          <w:bdr w:val="single" w:sz="8" w:space="0" w:color="auto"/>
        </w:rPr>
        <w:t>hard to do</w:t>
      </w:r>
      <w:r w:rsidRPr="008834DA">
        <w:rPr>
          <w:rFonts w:asciiTheme="minorHAnsi" w:hAnsiTheme="minorHAnsi" w:cstheme="minorHAnsi"/>
          <w:sz w:val="16"/>
        </w:rPr>
        <w:t xml:space="preserve">, </w:t>
      </w:r>
      <w:r w:rsidRPr="008834DA">
        <w:rPr>
          <w:rFonts w:asciiTheme="minorHAnsi" w:hAnsiTheme="minorHAnsi" w:cstheme="minorHAnsi"/>
          <w:u w:val="single"/>
        </w:rPr>
        <w:t>especially given the established norm that agencies rather than Congress do most environmental regulating.</w:t>
      </w:r>
      <w:r w:rsidRPr="008834DA">
        <w:rPr>
          <w:rFonts w:asciiTheme="minorHAnsi" w:hAnsiTheme="minorHAnsi" w:cstheme="minorHAnsi"/>
          <w:sz w:val="16"/>
        </w:rPr>
        <w:t xml:space="preserve"> But </w:t>
      </w:r>
      <w:r w:rsidRPr="008834DA">
        <w:rPr>
          <w:rFonts w:asciiTheme="minorHAnsi" w:hAnsiTheme="minorHAnsi" w:cstheme="minorHAnsi"/>
          <w:u w:val="single"/>
        </w:rPr>
        <w:t>if a conservative Court systematically uses statutory interpretation to block environmental regulation, that division of labor may have to change</w:t>
      </w:r>
      <w:r w:rsidRPr="008834DA">
        <w:rPr>
          <w:rFonts w:asciiTheme="minorHAnsi" w:hAnsiTheme="minorHAnsi" w:cstheme="minorHAnsi"/>
          <w:sz w:val="16"/>
        </w:rPr>
        <w:t xml:space="preserve">. </w:t>
      </w:r>
      <w:r w:rsidRPr="008834DA">
        <w:rPr>
          <w:rFonts w:asciiTheme="minorHAnsi" w:hAnsiTheme="minorHAnsi" w:cstheme="minorHAnsi"/>
          <w:u w:val="single"/>
        </w:rPr>
        <w:t>Instead of making arguments to the EPA or other agencies, environmentalists would have to direct their efforts more directly toward Congress itself.</w:t>
      </w:r>
    </w:p>
    <w:p w14:paraId="0D0C242C"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 xml:space="preserve">A </w:t>
      </w:r>
      <w:r w:rsidRPr="008834DA">
        <w:rPr>
          <w:rFonts w:asciiTheme="minorHAnsi" w:hAnsiTheme="minorHAnsi" w:cstheme="minorHAnsi"/>
          <w:b/>
          <w:iCs/>
          <w:u w:val="single"/>
          <w:bdr w:val="single" w:sz="8" w:space="0" w:color="auto"/>
        </w:rPr>
        <w:t>durable conservative majority</w:t>
      </w:r>
      <w:r w:rsidRPr="008834DA">
        <w:rPr>
          <w:rFonts w:asciiTheme="minorHAnsi" w:hAnsiTheme="minorHAnsi" w:cstheme="minorHAnsi"/>
          <w:u w:val="single"/>
        </w:rPr>
        <w:t xml:space="preserve"> on the Supreme Court could, then, impose substantial changes in American rights and law, especially in areas where liberals have in recent decades relied on courts and administrative agencies rather than Congress or state legislatures to implement progressive policies</w:t>
      </w:r>
      <w:r w:rsidRPr="008834DA">
        <w:rPr>
          <w:rFonts w:asciiTheme="minorHAnsi" w:hAnsiTheme="minorHAnsi" w:cstheme="minorHAnsi"/>
          <w:sz w:val="16"/>
        </w:rPr>
        <w:t>. Those who oppose such changes should begin considering the appropriate political responses, such as choosing which issues should be targeted for grassroots organizing and lobbying state legislatures and Congress. Ultimately, Democrats cannot rely on judges for social progress. A functioning liberal democracy requires a liberal populace that is prepared to vote for the policies it wants.</w:t>
      </w:r>
    </w:p>
    <w:p w14:paraId="25D46D79" w14:textId="77777777" w:rsidR="00CC2CC5" w:rsidRPr="008834DA" w:rsidRDefault="00CC2CC5" w:rsidP="00CC2CC5">
      <w:pPr>
        <w:rPr>
          <w:rFonts w:asciiTheme="minorHAnsi" w:hAnsiTheme="minorHAnsi" w:cstheme="minorHAnsi"/>
        </w:rPr>
      </w:pPr>
    </w:p>
    <w:p w14:paraId="61788B5A" w14:textId="77777777" w:rsidR="00CC2CC5" w:rsidRPr="008834DA" w:rsidRDefault="00CC2CC5" w:rsidP="00CC2CC5">
      <w:pPr>
        <w:pStyle w:val="Heading4"/>
        <w:rPr>
          <w:rFonts w:asciiTheme="minorHAnsi" w:hAnsiTheme="minorHAnsi" w:cstheme="minorHAnsi"/>
        </w:rPr>
      </w:pPr>
      <w:r w:rsidRPr="008834DA">
        <w:rPr>
          <w:rFonts w:asciiTheme="minorHAnsi" w:hAnsiTheme="minorHAnsi" w:cstheme="minorHAnsi"/>
        </w:rPr>
        <w:t xml:space="preserve">Dismantling Chevron </w:t>
      </w:r>
      <w:r w:rsidRPr="008834DA">
        <w:rPr>
          <w:rFonts w:asciiTheme="minorHAnsi" w:hAnsiTheme="minorHAnsi" w:cstheme="minorHAnsi"/>
          <w:i/>
          <w:u w:val="single"/>
        </w:rPr>
        <w:t>universally</w:t>
      </w:r>
      <w:r w:rsidRPr="008834DA">
        <w:rPr>
          <w:rFonts w:asciiTheme="minorHAnsi" w:hAnsiTheme="minorHAnsi" w:cstheme="minorHAnsi"/>
        </w:rPr>
        <w:t xml:space="preserve"> destroys the EPA’s ability to </w:t>
      </w:r>
      <w:r w:rsidRPr="008834DA">
        <w:rPr>
          <w:rFonts w:asciiTheme="minorHAnsi" w:hAnsiTheme="minorHAnsi" w:cstheme="minorHAnsi"/>
          <w:u w:val="single"/>
        </w:rPr>
        <w:t>decarbonize</w:t>
      </w:r>
      <w:r w:rsidRPr="008834DA">
        <w:rPr>
          <w:rFonts w:asciiTheme="minorHAnsi" w:hAnsiTheme="minorHAnsi" w:cstheme="minorHAnsi"/>
        </w:rPr>
        <w:t xml:space="preserve">---Congressional gridlock means clarity from Congress is </w:t>
      </w:r>
      <w:r w:rsidRPr="008834DA">
        <w:rPr>
          <w:rFonts w:asciiTheme="minorHAnsi" w:hAnsiTheme="minorHAnsi" w:cstheme="minorHAnsi"/>
          <w:u w:val="single"/>
        </w:rPr>
        <w:t>unlikely</w:t>
      </w:r>
      <w:r w:rsidRPr="008834DA">
        <w:rPr>
          <w:rFonts w:asciiTheme="minorHAnsi" w:hAnsiTheme="minorHAnsi" w:cstheme="minorHAnsi"/>
        </w:rPr>
        <w:t xml:space="preserve">, which means future Paris implementations get </w:t>
      </w:r>
      <w:r w:rsidRPr="008834DA">
        <w:rPr>
          <w:rFonts w:asciiTheme="minorHAnsi" w:hAnsiTheme="minorHAnsi" w:cstheme="minorHAnsi"/>
          <w:u w:val="single"/>
        </w:rPr>
        <w:t>struck down</w:t>
      </w:r>
      <w:r w:rsidRPr="008834DA">
        <w:rPr>
          <w:rFonts w:asciiTheme="minorHAnsi" w:hAnsiTheme="minorHAnsi" w:cstheme="minorHAnsi"/>
        </w:rPr>
        <w:t xml:space="preserve"> by a </w:t>
      </w:r>
      <w:r w:rsidRPr="008834DA">
        <w:rPr>
          <w:rFonts w:asciiTheme="minorHAnsi" w:hAnsiTheme="minorHAnsi" w:cstheme="minorHAnsi"/>
          <w:u w:val="single"/>
        </w:rPr>
        <w:t>climate denialist Court</w:t>
      </w:r>
      <w:r w:rsidRPr="008834DA">
        <w:rPr>
          <w:rFonts w:asciiTheme="minorHAnsi" w:hAnsiTheme="minorHAnsi" w:cstheme="minorHAnsi"/>
        </w:rPr>
        <w:t xml:space="preserve">. </w:t>
      </w:r>
    </w:p>
    <w:p w14:paraId="6886F813" w14:textId="77777777" w:rsidR="00CC2CC5" w:rsidRPr="008834DA" w:rsidRDefault="00CC2CC5" w:rsidP="00CC2CC5">
      <w:pPr>
        <w:rPr>
          <w:rFonts w:asciiTheme="minorHAnsi" w:hAnsiTheme="minorHAnsi" w:cstheme="minorHAnsi"/>
        </w:rPr>
      </w:pPr>
      <w:r w:rsidRPr="008834DA">
        <w:rPr>
          <w:rFonts w:asciiTheme="minorHAnsi" w:hAnsiTheme="minorHAnsi" w:cstheme="minorHAnsi"/>
        </w:rPr>
        <w:t>--Empowers juridical conservatives on the long run---Chevron bad turns don’t assume new Congressional arrangements or future presidents</w:t>
      </w:r>
    </w:p>
    <w:p w14:paraId="1CE7DED3" w14:textId="77777777" w:rsidR="00CC2CC5" w:rsidRPr="008834DA" w:rsidRDefault="00CC2CC5" w:rsidP="00CC2CC5">
      <w:pPr>
        <w:rPr>
          <w:rFonts w:asciiTheme="minorHAnsi" w:hAnsiTheme="minorHAnsi" w:cstheme="minorHAnsi"/>
        </w:rPr>
      </w:pPr>
      <w:r w:rsidRPr="008834DA">
        <w:rPr>
          <w:rStyle w:val="Style13ptBold"/>
          <w:rFonts w:asciiTheme="minorHAnsi" w:hAnsiTheme="minorHAnsi" w:cstheme="minorHAnsi"/>
        </w:rPr>
        <w:t>Light, 17</w:t>
      </w:r>
      <w:r w:rsidRPr="008834DA">
        <w:rPr>
          <w:rFonts w:asciiTheme="minorHAnsi" w:hAnsiTheme="minorHAnsi" w:cstheme="minorHAnsi"/>
        </w:rPr>
        <w:t>—John; reporter and digital producer for the Bill Moyers team, contributor to The Atlantic, Grist, Mother Jones, Salon, Slate, Vx and Al Jazeera, 2-8-2017, "The GOP Plan to Prevent a Repeat of Obama’s Climate Action," https://www.commondreams.org/views/2017/02/08/gop-plan-prevent-repeat-obamas-climate-action</w:t>
      </w:r>
    </w:p>
    <w:p w14:paraId="065C0A0A"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 xml:space="preserve">Donald Trump’s Supreme Court nominee, Neil </w:t>
      </w:r>
      <w:r w:rsidRPr="008834DA">
        <w:rPr>
          <w:rFonts w:asciiTheme="minorHAnsi" w:hAnsiTheme="minorHAnsi" w:cstheme="minorHAnsi"/>
          <w:u w:val="single"/>
        </w:rPr>
        <w:t>Gorsuch, attracted</w:t>
      </w:r>
      <w:r w:rsidRPr="008834DA">
        <w:rPr>
          <w:rFonts w:asciiTheme="minorHAnsi" w:hAnsiTheme="minorHAnsi" w:cstheme="minorHAnsi"/>
          <w:sz w:val="16"/>
        </w:rPr>
        <w:t xml:space="preserve"> some </w:t>
      </w:r>
      <w:r w:rsidRPr="008834DA">
        <w:rPr>
          <w:rFonts w:asciiTheme="minorHAnsi" w:hAnsiTheme="minorHAnsi" w:cstheme="minorHAnsi"/>
          <w:u w:val="single"/>
        </w:rPr>
        <w:t>attention</w:t>
      </w:r>
      <w:r w:rsidRPr="008834DA">
        <w:rPr>
          <w:rFonts w:asciiTheme="minorHAnsi" w:hAnsiTheme="minorHAnsi" w:cstheme="minorHAnsi"/>
          <w:sz w:val="16"/>
        </w:rPr>
        <w:t xml:space="preserve"> last week </w:t>
      </w:r>
      <w:r w:rsidRPr="008834DA">
        <w:rPr>
          <w:rFonts w:asciiTheme="minorHAnsi" w:hAnsiTheme="minorHAnsi" w:cstheme="minorHAnsi"/>
          <w:u w:val="single"/>
        </w:rPr>
        <w:t xml:space="preserve">for his opposition to a Supreme Court precedent that undergirds many of the regulations put forth by federal agencies, such as the </w:t>
      </w:r>
      <w:r w:rsidRPr="008834DA">
        <w:rPr>
          <w:rFonts w:asciiTheme="minorHAnsi" w:hAnsiTheme="minorHAnsi" w:cstheme="minorHAnsi"/>
          <w:b/>
          <w:iCs/>
          <w:u w:val="single"/>
          <w:bdr w:val="single" w:sz="8" w:space="0" w:color="auto"/>
        </w:rPr>
        <w:t>E</w:t>
      </w:r>
      <w:r w:rsidRPr="008834DA">
        <w:rPr>
          <w:rFonts w:asciiTheme="minorHAnsi" w:hAnsiTheme="minorHAnsi" w:cstheme="minorHAnsi"/>
          <w:u w:val="single"/>
        </w:rPr>
        <w:t xml:space="preserve">nvironmental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rotection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gency</w:t>
      </w:r>
      <w:r w:rsidRPr="008834DA">
        <w:rPr>
          <w:rFonts w:asciiTheme="minorHAnsi" w:hAnsiTheme="minorHAnsi" w:cstheme="minorHAnsi"/>
          <w:sz w:val="16"/>
        </w:rPr>
        <w:t xml:space="preserve"> and the Federal Communications Commission.</w:t>
      </w:r>
    </w:p>
    <w:p w14:paraId="13F9DCC1"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Congress has also taken up the cause, pushing new legislation that would undo this precedent. And if Gorsuch would like to pare back agencies’ power using a scalpel, Congress intends to go about the job using a sledgehammer, environmental advocates say.</w:t>
      </w:r>
    </w:p>
    <w:p w14:paraId="739697A6"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At issue is Chevron deference, also called the Chevron doctrine</w:t>
      </w:r>
      <w:r w:rsidRPr="008834DA">
        <w:rPr>
          <w:rFonts w:asciiTheme="minorHAnsi" w:hAnsiTheme="minorHAnsi" w:cstheme="minorHAnsi"/>
          <w:sz w:val="16"/>
        </w:rPr>
        <w:t xml:space="preserve">. Stemming from a 1984 Supreme Court case, Chevron deference is the concept that if Congress makes a vague law, a regulatory agency can fill in the blanks — within reason. </w:t>
      </w:r>
      <w:r w:rsidRPr="008834DA">
        <w:rPr>
          <w:rFonts w:asciiTheme="minorHAnsi" w:hAnsiTheme="minorHAnsi" w:cstheme="minorHAnsi"/>
          <w:u w:val="single"/>
        </w:rPr>
        <w:t xml:space="preserve">A lot of the EPA’s work during the Obama era involved filling in blanks in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which gives the agency the authority to regulate pollutants but doesn’t always indicate which pollutants can be regulated or how that regulation should work</w:t>
      </w:r>
      <w:r w:rsidRPr="008834DA">
        <w:rPr>
          <w:rFonts w:asciiTheme="minorHAnsi" w:hAnsiTheme="minorHAnsi" w:cstheme="minorHAnsi"/>
          <w:sz w:val="16"/>
        </w:rPr>
        <w:t>. The legislation to repeal Chevron grows out of Republican ire with those Obama regulations, which were aimed at addressing climate change.</w:t>
      </w:r>
    </w:p>
    <w:p w14:paraId="7344BCB4"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Judge Gorsuch has said he feels Chevron gives agencies too much wiggle room, and Republicans in Congress want to entirely get rid of the Chevron doctrine, the legal precedent that allows that wiggle room. The push is part of a larger package of laws that passed the House earlier this month called the Regulatory Accountability Act of 2017. The bill will now have to pass the Senate before heading to President Trump’s desk.</w:t>
      </w:r>
    </w:p>
    <w:p w14:paraId="2F0839E8"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“It would be a pretty radical change in administrative law,” says Sean Donahue, an attorney who represents the Environmental Defense Fund and has successfully argued on behalf of environmental advocates before the Supreme Court. “It’s obvious that it’s not sort of a housekeeping, neutral, wonkish improvement. It’s an ideological attack on regulation and on the use of government to try to control the side effects of business activity.”</w:t>
      </w:r>
    </w:p>
    <w:p w14:paraId="69A23E23"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If a judge such as Gorsuch were to undo Chevron, he “would preserve some concept of deference,” says Donahue. “They might call it something else, they might scale it back. But where the legislation goes, it’s so extreme it’s unworkable.”</w:t>
      </w:r>
    </w:p>
    <w:p w14:paraId="1036C226"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Overturning Chevron would have implications across the government</w:t>
      </w:r>
      <w:r w:rsidRPr="008834DA">
        <w:rPr>
          <w:rFonts w:asciiTheme="minorHAnsi" w:hAnsiTheme="minorHAnsi" w:cstheme="minorHAnsi"/>
          <w:sz w:val="16"/>
        </w:rPr>
        <w:t xml:space="preserve">, including issues such as internet regulation and immigration, as Timothy Lee explains for Vox. </w:t>
      </w:r>
      <w:r w:rsidRPr="008834DA">
        <w:rPr>
          <w:rFonts w:asciiTheme="minorHAnsi" w:hAnsiTheme="minorHAnsi" w:cstheme="minorHAnsi"/>
          <w:u w:val="single"/>
        </w:rPr>
        <w:t xml:space="preserve">But it’s the EPA’s efforts to regulate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reen</w:t>
      </w:r>
      <w:r w:rsidRPr="008834DA">
        <w:rPr>
          <w:rFonts w:asciiTheme="minorHAnsi" w:hAnsiTheme="minorHAnsi" w:cstheme="minorHAnsi"/>
          <w:b/>
          <w:iCs/>
          <w:u w:val="single"/>
          <w:bdr w:val="single" w:sz="8" w:space="0" w:color="auto"/>
        </w:rPr>
        <w:t>h</w:t>
      </w:r>
      <w:r w:rsidRPr="008834DA">
        <w:rPr>
          <w:rFonts w:asciiTheme="minorHAnsi" w:hAnsiTheme="minorHAnsi" w:cstheme="minorHAnsi"/>
          <w:u w:val="single"/>
        </w:rPr>
        <w:t xml:space="preserve">ouse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ase</w:t>
      </w:r>
      <w:r w:rsidRPr="008834DA">
        <w:rPr>
          <w:rFonts w:asciiTheme="minorHAnsi" w:hAnsiTheme="minorHAnsi" w:cstheme="minorHAnsi"/>
          <w:b/>
          <w:iCs/>
          <w:u w:val="single"/>
          <w:bdr w:val="single" w:sz="8" w:space="0" w:color="auto"/>
        </w:rPr>
        <w:t>s</w:t>
      </w:r>
      <w:r w:rsidRPr="008834DA">
        <w:rPr>
          <w:rFonts w:asciiTheme="minorHAnsi" w:hAnsiTheme="minorHAnsi" w:cstheme="minorHAnsi"/>
          <w:u w:val="single"/>
        </w:rPr>
        <w:t xml:space="preserve"> where the effects would perhaps be </w:t>
      </w:r>
      <w:r w:rsidRPr="008834DA">
        <w:rPr>
          <w:rFonts w:asciiTheme="minorHAnsi" w:hAnsiTheme="minorHAnsi" w:cstheme="minorHAnsi"/>
          <w:b/>
          <w:iCs/>
          <w:u w:val="single"/>
          <w:bdr w:val="single" w:sz="8" w:space="0" w:color="auto"/>
        </w:rPr>
        <w:t>most wide-reaching</w:t>
      </w:r>
      <w:r w:rsidRPr="008834DA">
        <w:rPr>
          <w:rFonts w:asciiTheme="minorHAnsi" w:hAnsiTheme="minorHAnsi" w:cstheme="minorHAnsi"/>
          <w:sz w:val="16"/>
        </w:rPr>
        <w:t>.</w:t>
      </w:r>
    </w:p>
    <w:p w14:paraId="1FC2E1D5"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EPA’s authority to regulate climate change</w:t>
      </w:r>
      <w:r w:rsidRPr="008834DA">
        <w:rPr>
          <w:rFonts w:asciiTheme="minorHAnsi" w:hAnsiTheme="minorHAnsi" w:cstheme="minorHAnsi"/>
          <w:sz w:val="16"/>
        </w:rPr>
        <w:t>-</w:t>
      </w:r>
      <w:r w:rsidRPr="008834DA">
        <w:rPr>
          <w:rFonts w:asciiTheme="minorHAnsi" w:hAnsiTheme="minorHAnsi" w:cstheme="minorHAnsi"/>
          <w:u w:val="single"/>
        </w:rPr>
        <w:t xml:space="preserve">causing pollutants such as methane and carbon dioxide under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ct has been upheld by the Supreme Court, but without the Chevron doctrine, that could change. By offering a different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than the one the EPA has relied on, the judiciary could take away from the executive branch</w:t>
      </w:r>
      <w:r w:rsidRPr="008834DA">
        <w:rPr>
          <w:rFonts w:asciiTheme="minorHAnsi" w:hAnsiTheme="minorHAnsi" w:cstheme="minorHAnsi"/>
          <w:sz w:val="16"/>
        </w:rPr>
        <w:t xml:space="preserve"> — </w:t>
      </w:r>
      <w:r w:rsidRPr="008834DA">
        <w:rPr>
          <w:rFonts w:asciiTheme="minorHAnsi" w:hAnsiTheme="minorHAnsi" w:cstheme="minorHAnsi"/>
          <w:u w:val="single"/>
        </w:rPr>
        <w:t>which includes both the president and the EPA</w:t>
      </w:r>
      <w:r w:rsidRPr="008834DA">
        <w:rPr>
          <w:rFonts w:asciiTheme="minorHAnsi" w:hAnsiTheme="minorHAnsi" w:cstheme="minorHAnsi"/>
          <w:sz w:val="16"/>
        </w:rPr>
        <w:t xml:space="preserve"> — </w:t>
      </w:r>
      <w:r w:rsidRPr="008834DA">
        <w:rPr>
          <w:rFonts w:asciiTheme="minorHAnsi" w:hAnsiTheme="minorHAnsi" w:cstheme="minorHAnsi"/>
          <w:u w:val="single"/>
        </w:rPr>
        <w:t>the power to address climate change.</w:t>
      </w:r>
      <w:r w:rsidRPr="008834DA">
        <w:rPr>
          <w:rFonts w:asciiTheme="minorHAnsi" w:hAnsiTheme="minorHAnsi" w:cstheme="minorHAnsi"/>
          <w:sz w:val="16"/>
        </w:rPr>
        <w:t xml:space="preserve"> </w:t>
      </w:r>
      <w:r w:rsidRPr="008834DA">
        <w:rPr>
          <w:rFonts w:asciiTheme="minorHAnsi" w:hAnsiTheme="minorHAnsi" w:cstheme="minorHAnsi"/>
          <w:b/>
          <w:iCs/>
          <w:u w:val="single"/>
          <w:bdr w:val="single" w:sz="8" w:space="0" w:color="auto"/>
        </w:rPr>
        <w:t>A future president would not be able to use the EPA to take emissions-reducing steps similar to those taken by President Obama</w:t>
      </w:r>
      <w:r w:rsidRPr="008834DA">
        <w:rPr>
          <w:rFonts w:asciiTheme="minorHAnsi" w:hAnsiTheme="minorHAnsi" w:cstheme="minorHAnsi"/>
          <w:sz w:val="16"/>
        </w:rPr>
        <w:t xml:space="preserve">, </w:t>
      </w:r>
      <w:r w:rsidRPr="008834DA">
        <w:rPr>
          <w:rFonts w:asciiTheme="minorHAnsi" w:hAnsiTheme="minorHAnsi" w:cstheme="minorHAnsi"/>
          <w:u w:val="single"/>
        </w:rPr>
        <w:t>steps that Trump has now started to undo</w:t>
      </w:r>
      <w:r w:rsidRPr="008834DA">
        <w:rPr>
          <w:rFonts w:asciiTheme="minorHAnsi" w:hAnsiTheme="minorHAnsi" w:cstheme="minorHAnsi"/>
          <w:sz w:val="16"/>
        </w:rPr>
        <w:t>.</w:t>
      </w:r>
    </w:p>
    <w:p w14:paraId="125E5A6F"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 xml:space="preserve">A hypothetical future president who wanted to take action to cut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reen</w:t>
      </w:r>
      <w:r w:rsidRPr="008834DA">
        <w:rPr>
          <w:rFonts w:asciiTheme="minorHAnsi" w:hAnsiTheme="minorHAnsi" w:cstheme="minorHAnsi"/>
          <w:b/>
          <w:iCs/>
          <w:u w:val="single"/>
          <w:bdr w:val="single" w:sz="8" w:space="0" w:color="auto"/>
        </w:rPr>
        <w:t>h</w:t>
      </w:r>
      <w:r w:rsidRPr="008834DA">
        <w:rPr>
          <w:rFonts w:asciiTheme="minorHAnsi" w:hAnsiTheme="minorHAnsi" w:cstheme="minorHAnsi"/>
          <w:u w:val="single"/>
        </w:rPr>
        <w:t xml:space="preserve">ouse </w:t>
      </w:r>
      <w:r w:rsidRPr="008834DA">
        <w:rPr>
          <w:rFonts w:asciiTheme="minorHAnsi" w:hAnsiTheme="minorHAnsi" w:cstheme="minorHAnsi"/>
          <w:b/>
          <w:iCs/>
          <w:u w:val="single"/>
          <w:bdr w:val="single" w:sz="8" w:space="0" w:color="auto"/>
        </w:rPr>
        <w:t>g</w:t>
      </w:r>
      <w:r w:rsidRPr="008834DA">
        <w:rPr>
          <w:rFonts w:asciiTheme="minorHAnsi" w:hAnsiTheme="minorHAnsi" w:cstheme="minorHAnsi"/>
          <w:u w:val="single"/>
        </w:rPr>
        <w:t>a</w:t>
      </w:r>
      <w:r w:rsidRPr="008834DA">
        <w:rPr>
          <w:rFonts w:asciiTheme="minorHAnsi" w:hAnsiTheme="minorHAnsi" w:cstheme="minorHAnsi"/>
          <w:b/>
          <w:iCs/>
          <w:u w:val="single"/>
          <w:bdr w:val="single" w:sz="8" w:space="0" w:color="auto"/>
        </w:rPr>
        <w:t>s</w:t>
      </w:r>
      <w:r w:rsidRPr="008834DA">
        <w:rPr>
          <w:rFonts w:asciiTheme="minorHAnsi" w:hAnsiTheme="minorHAnsi" w:cstheme="minorHAnsi"/>
          <w:u w:val="single"/>
        </w:rPr>
        <w:t xml:space="preserve"> emissions would then be dependent on</w:t>
      </w:r>
      <w:r w:rsidRPr="008834DA">
        <w:rPr>
          <w:rFonts w:asciiTheme="minorHAnsi" w:hAnsiTheme="minorHAnsi" w:cstheme="minorHAnsi"/>
          <w:sz w:val="16"/>
        </w:rPr>
        <w:t xml:space="preserve"> either Congress to pass legislation authorizing him to do so, or on </w:t>
      </w:r>
      <w:r w:rsidRPr="008834DA">
        <w:rPr>
          <w:rFonts w:asciiTheme="minorHAnsi" w:hAnsiTheme="minorHAnsi" w:cstheme="minorHAnsi"/>
          <w:u w:val="single"/>
        </w:rPr>
        <w:t xml:space="preserve">the court to again reinterpret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w:t>
      </w:r>
      <w:r w:rsidRPr="008834DA">
        <w:rPr>
          <w:rFonts w:asciiTheme="minorHAnsi" w:hAnsiTheme="minorHAnsi" w:cstheme="minorHAnsi"/>
          <w:sz w:val="16"/>
        </w:rPr>
        <w:t>.</w:t>
      </w:r>
    </w:p>
    <w:p w14:paraId="48C014B0"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w:t>
      </w:r>
      <w:r w:rsidRPr="008834DA">
        <w:rPr>
          <w:rFonts w:asciiTheme="minorHAnsi" w:hAnsiTheme="minorHAnsi" w:cstheme="minorHAnsi"/>
          <w:u w:val="single"/>
        </w:rPr>
        <w:t>Rather than having these agencies, and their scientists and their economists make these decisions, you would basically have judges make these decisions,”</w:t>
      </w:r>
      <w:r w:rsidRPr="008834DA">
        <w:rPr>
          <w:rFonts w:asciiTheme="minorHAnsi" w:hAnsiTheme="minorHAnsi" w:cstheme="minorHAnsi"/>
          <w:sz w:val="16"/>
        </w:rPr>
        <w:t xml:space="preserve"> says Ken Kimmell, president of the Union of Concerned Scientists and the former head of Massachusetts’ Department of Environmental Protection. “So it’s really a transfer of power away from the experts to the judiciary.”</w:t>
      </w:r>
    </w:p>
    <w:p w14:paraId="0BE67EE7"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The Chevron doctrine was originally based on the idea that agencies and their staff have the expertise to interpret laws in a way that both Congress and the judiciary do not</w:t>
      </w:r>
      <w:r w:rsidRPr="008834DA">
        <w:rPr>
          <w:rFonts w:asciiTheme="minorHAnsi" w:hAnsiTheme="minorHAnsi" w:cstheme="minorHAnsi"/>
          <w:sz w:val="16"/>
        </w:rPr>
        <w:t>. In 1984, the Natural Resources Defense Council and Chevron brought a case before the Supreme Court — Chevron vs. Natural Resources Defense Council — asking the court to clarify what the EPA was allowed to do under the Clean Air Act. This suit gave birth to the concept of Chevron deference, outlined in an opinion written by Supreme Court Justice John Paul Stevens.</w:t>
      </w:r>
    </w:p>
    <w:p w14:paraId="249F2B07"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“First, always, is the question whether Congress has directly spoken to the precise question at issue. If the intent of Congress is clear, that is the end of the matter,” Stevens wrote. But if Congress’ laws are “silent or ambiguous with respect to the specific issue, the question for the court is whether the agency’s answer is based on a permissible construction of the statute.” In other words, if an agency — like the EPA — doesn’t fill in vagaries in a way that obviously goes against Congress’ intentions, the agency has some leeway in making rules and regulations.</w:t>
      </w:r>
    </w:p>
    <w:p w14:paraId="09426D7C"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The opinion did not originally have a partisan bent. It was issued unanimously, and authored by a Republican-appointed justice</w:t>
      </w:r>
      <w:r w:rsidRPr="008834DA">
        <w:rPr>
          <w:rFonts w:asciiTheme="minorHAnsi" w:hAnsiTheme="minorHAnsi" w:cstheme="minorHAnsi"/>
          <w:sz w:val="16"/>
        </w:rPr>
        <w:t>. “It used to be that conservatives like Justice Scalia made that point: ‘Who are unelected judges to decide what an ambiguous statute means in the Clean Air Act?’” says Donahue. “Shouldn’t the EPA administrator, who is chosen by the president, who is ultimately responsible to the people and who has some expertise — shouldn’t that person get the first crack at interpreting?”</w:t>
      </w:r>
    </w:p>
    <w:p w14:paraId="546EDB87" w14:textId="77777777" w:rsidR="00CC2CC5" w:rsidRPr="008834DA" w:rsidRDefault="00CC2CC5" w:rsidP="00CC2CC5">
      <w:pPr>
        <w:rPr>
          <w:rFonts w:asciiTheme="minorHAnsi" w:hAnsiTheme="minorHAnsi" w:cstheme="minorHAnsi"/>
          <w:b/>
          <w:iCs/>
          <w:u w:val="single"/>
          <w:bdr w:val="single" w:sz="8" w:space="0" w:color="auto"/>
        </w:rPr>
      </w:pPr>
      <w:r w:rsidRPr="008834DA">
        <w:rPr>
          <w:rFonts w:asciiTheme="minorHAnsi" w:hAnsiTheme="minorHAnsi" w:cstheme="minorHAnsi"/>
          <w:u w:val="single"/>
        </w:rPr>
        <w:t xml:space="preserve">Back in 1984, when Justice Stevens first spelled out the idea of Chevron deference, climate change was only beginning to appear on some policymakers’ radars. But the principle he outlined would prove </w:t>
      </w:r>
      <w:r w:rsidRPr="008834DA">
        <w:rPr>
          <w:rFonts w:asciiTheme="minorHAnsi" w:hAnsiTheme="minorHAnsi" w:cstheme="minorHAnsi"/>
          <w:b/>
          <w:iCs/>
          <w:u w:val="single"/>
          <w:bdr w:val="single" w:sz="8" w:space="0" w:color="auto"/>
        </w:rPr>
        <w:t>crucial to the EPA’s efforts to combat climate change.</w:t>
      </w:r>
    </w:p>
    <w:p w14:paraId="3BE8ADB3" w14:textId="77777777" w:rsidR="00CC2CC5" w:rsidRPr="008834DA" w:rsidRDefault="00CC2CC5" w:rsidP="00CC2CC5">
      <w:pPr>
        <w:rPr>
          <w:rFonts w:asciiTheme="minorHAnsi" w:hAnsiTheme="minorHAnsi" w:cstheme="minorHAnsi"/>
          <w:u w:val="single"/>
        </w:rPr>
      </w:pPr>
      <w:r w:rsidRPr="008834DA">
        <w:rPr>
          <w:rFonts w:asciiTheme="minorHAnsi" w:hAnsiTheme="minorHAnsi" w:cstheme="minorHAnsi"/>
          <w:u w:val="single"/>
        </w:rPr>
        <w:t>Congress has been reluctant to pass any legislation dealing with climate change, even as the science has become increasingly clear and dire. The Republican Party and some Democrats have maintained that efforts to stave off climate catastrophe would inflict too much damage on the economy, ignoring the future blows that climate change will deal to the economic system</w:t>
      </w:r>
      <w:r w:rsidRPr="008834DA">
        <w:rPr>
          <w:rFonts w:asciiTheme="minorHAnsi" w:hAnsiTheme="minorHAnsi" w:cstheme="minorHAnsi"/>
          <w:sz w:val="16"/>
        </w:rPr>
        <w:t xml:space="preserve">. </w:t>
      </w:r>
      <w:r w:rsidRPr="008834DA">
        <w:rPr>
          <w:rFonts w:asciiTheme="minorHAnsi" w:hAnsiTheme="minorHAnsi" w:cstheme="minorHAnsi"/>
          <w:u w:val="single"/>
        </w:rPr>
        <w:t xml:space="preserve">But </w:t>
      </w:r>
      <w:r w:rsidRPr="008834DA">
        <w:rPr>
          <w:rFonts w:asciiTheme="minorHAnsi" w:hAnsiTheme="minorHAnsi" w:cstheme="minorHAnsi"/>
          <w:b/>
          <w:iCs/>
          <w:u w:val="single"/>
          <w:bdr w:val="single" w:sz="8" w:space="0" w:color="auto"/>
        </w:rPr>
        <w:t>because of Chevron deference, the EPA has been able to move forward</w:t>
      </w:r>
      <w:r w:rsidRPr="008834DA">
        <w:rPr>
          <w:rFonts w:asciiTheme="minorHAnsi" w:hAnsiTheme="minorHAnsi" w:cstheme="minorHAnsi"/>
          <w:sz w:val="16"/>
        </w:rPr>
        <w:t xml:space="preserve"> </w:t>
      </w:r>
      <w:r w:rsidRPr="008834DA">
        <w:rPr>
          <w:rFonts w:asciiTheme="minorHAnsi" w:hAnsiTheme="minorHAnsi" w:cstheme="minorHAnsi"/>
          <w:u w:val="single"/>
        </w:rPr>
        <w:t>with some necessary regulation to address climate change, even without action from Congress.</w:t>
      </w:r>
    </w:p>
    <w:p w14:paraId="685C75D4"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sz w:val="16"/>
        </w:rPr>
        <w:t xml:space="preserve">After efforts to put a cap-and-trade program in place collapsed in Congress in 2010, President </w:t>
      </w:r>
      <w:r w:rsidRPr="008834DA">
        <w:rPr>
          <w:rFonts w:asciiTheme="minorHAnsi" w:hAnsiTheme="minorHAnsi" w:cstheme="minorHAnsi"/>
          <w:u w:val="single"/>
        </w:rPr>
        <w:t xml:space="preserve">Obama instructed the EPA to ramp up its efforts to regulate the pollutants that cause climate change. This led to such efforts as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ower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lan, which reduced power plant emissions, and laws dealing with emissions from vehicles. Under the EPA’s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this was all allowed</w:t>
      </w:r>
      <w:r w:rsidRPr="008834DA">
        <w:rPr>
          <w:rFonts w:asciiTheme="minorHAnsi" w:hAnsiTheme="minorHAnsi" w:cstheme="minorHAnsi"/>
          <w:sz w:val="16"/>
        </w:rPr>
        <w:t>.</w:t>
      </w:r>
    </w:p>
    <w:p w14:paraId="3E2142FF" w14:textId="77777777" w:rsidR="00CC2CC5" w:rsidRPr="008834DA" w:rsidRDefault="00CC2CC5" w:rsidP="00CC2CC5">
      <w:pPr>
        <w:rPr>
          <w:rFonts w:asciiTheme="minorHAnsi" w:hAnsiTheme="minorHAnsi" w:cstheme="minorHAnsi"/>
          <w:u w:val="single"/>
        </w:rPr>
      </w:pPr>
      <w:r w:rsidRPr="008834DA">
        <w:rPr>
          <w:rFonts w:asciiTheme="minorHAnsi" w:hAnsiTheme="minorHAnsi" w:cstheme="minorHAnsi"/>
          <w:sz w:val="16"/>
        </w:rPr>
        <w:t xml:space="preserve">The world was paying attention. </w:t>
      </w:r>
      <w:r w:rsidRPr="008834DA">
        <w:rPr>
          <w:rFonts w:asciiTheme="minorHAnsi" w:hAnsiTheme="minorHAnsi" w:cstheme="minorHAnsi"/>
          <w:u w:val="single"/>
        </w:rPr>
        <w:t xml:space="preserve">Regulations such as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 xml:space="preserve">ower </w:t>
      </w:r>
      <w:r w:rsidRPr="008834DA">
        <w:rPr>
          <w:rFonts w:asciiTheme="minorHAnsi" w:hAnsiTheme="minorHAnsi" w:cstheme="minorHAnsi"/>
          <w:b/>
          <w:iCs/>
          <w:u w:val="single"/>
          <w:bdr w:val="single" w:sz="8" w:space="0" w:color="auto"/>
        </w:rPr>
        <w:t>P</w:t>
      </w:r>
      <w:r w:rsidRPr="008834DA">
        <w:rPr>
          <w:rFonts w:asciiTheme="minorHAnsi" w:hAnsiTheme="minorHAnsi" w:cstheme="minorHAnsi"/>
          <w:u w:val="single"/>
        </w:rPr>
        <w:t>lan enabled the US to credibly commit to cutting climate change-causing emissions by at least 26 percent from 2005 levels; China also promised to confront climate change by letting its emissions peak and then fall, and these two commitments, by the world’s first and second largest polluters, paved the way for the Paris Climate Agreement.</w:t>
      </w:r>
    </w:p>
    <w:p w14:paraId="1D140994"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 xml:space="preserve">Republicans, however, wanted courts to stop deferring to this EPA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ct and to issue rulings that clamped down on the agency’s efforts to deal with climate change</w:t>
      </w:r>
      <w:r w:rsidRPr="008834DA">
        <w:rPr>
          <w:rFonts w:asciiTheme="minorHAnsi" w:hAnsiTheme="minorHAnsi" w:cstheme="minorHAnsi"/>
          <w:sz w:val="16"/>
        </w:rPr>
        <w:t>. This latest bill to get rid of Chevron deference is not the first to pass the House — it’s just the first to pass the House with the likely chance of also passing the Senate and being signed by the president.</w:t>
      </w:r>
    </w:p>
    <w:p w14:paraId="24C03D8C"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Of course, a decision to get rid of Chevron deference won’t matter much in the next few years</w:t>
      </w:r>
      <w:r w:rsidRPr="008834DA">
        <w:rPr>
          <w:rFonts w:asciiTheme="minorHAnsi" w:hAnsiTheme="minorHAnsi" w:cstheme="minorHAnsi"/>
          <w:sz w:val="16"/>
        </w:rPr>
        <w:t>. The Trump administration has already begun to gut the EPA, ensuring the agency won’t be doing much as the White House and its allies in Congress try to reinvigorate the ailing coal industry and build a more fossil fuel-dependent nation.</w:t>
      </w:r>
    </w:p>
    <w:p w14:paraId="7E05E1F9" w14:textId="77777777" w:rsidR="00CC2CC5" w:rsidRPr="008834DA" w:rsidRDefault="00CC2CC5" w:rsidP="00CC2CC5">
      <w:pPr>
        <w:rPr>
          <w:rFonts w:asciiTheme="minorHAnsi" w:hAnsiTheme="minorHAnsi" w:cstheme="minorHAnsi"/>
          <w:sz w:val="16"/>
        </w:rPr>
      </w:pPr>
      <w:r w:rsidRPr="008834DA">
        <w:rPr>
          <w:rFonts w:asciiTheme="minorHAnsi" w:hAnsiTheme="minorHAnsi" w:cstheme="minorHAnsi"/>
          <w:u w:val="single"/>
        </w:rPr>
        <w:t xml:space="preserve">But Chevron deference will be missed during a </w:t>
      </w:r>
      <w:r w:rsidRPr="008834DA">
        <w:rPr>
          <w:rFonts w:asciiTheme="minorHAnsi" w:hAnsiTheme="minorHAnsi" w:cstheme="minorHAnsi"/>
          <w:b/>
          <w:iCs/>
          <w:u w:val="single"/>
          <w:bdr w:val="single" w:sz="8" w:space="0" w:color="auto"/>
        </w:rPr>
        <w:t>potential future administration</w:t>
      </w:r>
      <w:r w:rsidRPr="008834DA">
        <w:rPr>
          <w:rFonts w:asciiTheme="minorHAnsi" w:hAnsiTheme="minorHAnsi" w:cstheme="minorHAnsi"/>
          <w:sz w:val="16"/>
        </w:rPr>
        <w:t xml:space="preserve"> </w:t>
      </w:r>
      <w:r w:rsidRPr="008834DA">
        <w:rPr>
          <w:rFonts w:asciiTheme="minorHAnsi" w:hAnsiTheme="minorHAnsi" w:cstheme="minorHAnsi"/>
          <w:u w:val="single"/>
        </w:rPr>
        <w:t>that values climate action again.</w:t>
      </w:r>
      <w:r w:rsidRPr="008834DA">
        <w:rPr>
          <w:rFonts w:asciiTheme="minorHAnsi" w:hAnsiTheme="minorHAnsi" w:cstheme="minorHAnsi"/>
          <w:sz w:val="16"/>
        </w:rPr>
        <w:t xml:space="preserve"> </w:t>
      </w:r>
      <w:r w:rsidRPr="008834DA">
        <w:rPr>
          <w:rFonts w:asciiTheme="minorHAnsi" w:hAnsiTheme="minorHAnsi" w:cstheme="minorHAnsi"/>
          <w:u w:val="single"/>
        </w:rPr>
        <w:t xml:space="preserve">Without it, courts will be able to disagree with the EPA’s interpretation of the </w:t>
      </w:r>
      <w:r w:rsidRPr="008834DA">
        <w:rPr>
          <w:rFonts w:asciiTheme="minorHAnsi" w:hAnsiTheme="minorHAnsi" w:cstheme="minorHAnsi"/>
          <w:b/>
          <w:iCs/>
          <w:u w:val="single"/>
          <w:bdr w:val="single" w:sz="8" w:space="0" w:color="auto"/>
        </w:rPr>
        <w:t>C</w:t>
      </w:r>
      <w:r w:rsidRPr="008834DA">
        <w:rPr>
          <w:rFonts w:asciiTheme="minorHAnsi" w:hAnsiTheme="minorHAnsi" w:cstheme="minorHAnsi"/>
          <w:u w:val="single"/>
        </w:rPr>
        <w:t xml:space="preserve">lean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ir </w:t>
      </w:r>
      <w:r w:rsidRPr="008834DA">
        <w:rPr>
          <w:rFonts w:asciiTheme="minorHAnsi" w:hAnsiTheme="minorHAnsi" w:cstheme="minorHAnsi"/>
          <w:b/>
          <w:iCs/>
          <w:u w:val="single"/>
          <w:bdr w:val="single" w:sz="8" w:space="0" w:color="auto"/>
        </w:rPr>
        <w:t>A</w:t>
      </w:r>
      <w:r w:rsidRPr="008834DA">
        <w:rPr>
          <w:rFonts w:asciiTheme="minorHAnsi" w:hAnsiTheme="minorHAnsi" w:cstheme="minorHAnsi"/>
          <w:u w:val="single"/>
        </w:rPr>
        <w:t xml:space="preserve">ct, and </w:t>
      </w:r>
      <w:r w:rsidRPr="008834DA">
        <w:rPr>
          <w:rFonts w:asciiTheme="minorHAnsi" w:hAnsiTheme="minorHAnsi" w:cstheme="minorHAnsi"/>
          <w:b/>
          <w:iCs/>
          <w:u w:val="single"/>
          <w:bdr w:val="single" w:sz="8" w:space="0" w:color="auto"/>
        </w:rPr>
        <w:t>stymie its ability to regulate</w:t>
      </w:r>
      <w:r w:rsidRPr="008834DA">
        <w:rPr>
          <w:rFonts w:asciiTheme="minorHAnsi" w:hAnsiTheme="minorHAnsi" w:cstheme="minorHAnsi"/>
          <w:sz w:val="16"/>
        </w:rPr>
        <w:t xml:space="preserve">. It’s not a guarantee that every court will disagree with the EPA’s interpretation, but some will, and </w:t>
      </w:r>
      <w:r w:rsidRPr="008834DA">
        <w:rPr>
          <w:rFonts w:asciiTheme="minorHAnsi" w:hAnsiTheme="minorHAnsi" w:cstheme="minorHAnsi"/>
          <w:u w:val="single"/>
        </w:rPr>
        <w:t>it seems likely that a Supreme Court with a deciding vote cast by a Trump-appointed justice will</w:t>
      </w:r>
      <w:r w:rsidRPr="008834DA">
        <w:rPr>
          <w:rFonts w:asciiTheme="minorHAnsi" w:hAnsiTheme="minorHAnsi" w:cstheme="minorHAnsi"/>
          <w:sz w:val="16"/>
        </w:rPr>
        <w:t>, too.</w:t>
      </w:r>
    </w:p>
    <w:p w14:paraId="42BAFD8D" w14:textId="77777777" w:rsidR="00CC2CC5" w:rsidRDefault="00CC2CC5" w:rsidP="00CC2CC5">
      <w:pPr>
        <w:rPr>
          <w:rFonts w:asciiTheme="minorHAnsi" w:hAnsiTheme="minorHAnsi" w:cstheme="minorHAnsi"/>
          <w:sz w:val="16"/>
        </w:rPr>
      </w:pPr>
      <w:r w:rsidRPr="008834DA">
        <w:rPr>
          <w:rFonts w:asciiTheme="minorHAnsi" w:hAnsiTheme="minorHAnsi" w:cstheme="minorHAnsi"/>
          <w:u w:val="single"/>
        </w:rPr>
        <w:t>Progress on climate change would be even more halting and hung up in legal challenges than it already is until a time when Congress is ready to pass legislation clearly addressing climate change</w:t>
      </w:r>
      <w:r w:rsidRPr="008834DA">
        <w:rPr>
          <w:rFonts w:asciiTheme="minorHAnsi" w:hAnsiTheme="minorHAnsi" w:cstheme="minorHAnsi"/>
          <w:sz w:val="16"/>
        </w:rPr>
        <w:t xml:space="preserve"> — </w:t>
      </w:r>
      <w:r w:rsidRPr="008834DA">
        <w:rPr>
          <w:rFonts w:asciiTheme="minorHAnsi" w:hAnsiTheme="minorHAnsi" w:cstheme="minorHAnsi"/>
          <w:u w:val="single"/>
        </w:rPr>
        <w:t>an eventuality that at the moment</w:t>
      </w:r>
      <w:r w:rsidRPr="008834DA">
        <w:rPr>
          <w:rFonts w:asciiTheme="minorHAnsi" w:hAnsiTheme="minorHAnsi" w:cstheme="minorHAnsi"/>
          <w:sz w:val="16"/>
        </w:rPr>
        <w:t xml:space="preserve">, with desire for climate action divided starkly along party lines, </w:t>
      </w:r>
      <w:r w:rsidRPr="008834DA">
        <w:rPr>
          <w:rFonts w:asciiTheme="minorHAnsi" w:hAnsiTheme="minorHAnsi" w:cstheme="minorHAnsi"/>
          <w:u w:val="single"/>
        </w:rPr>
        <w:t xml:space="preserve">seems very difficult to imagine arriving </w:t>
      </w:r>
      <w:r w:rsidRPr="008834DA">
        <w:rPr>
          <w:rFonts w:asciiTheme="minorHAnsi" w:hAnsiTheme="minorHAnsi" w:cstheme="minorHAnsi"/>
          <w:b/>
          <w:iCs/>
          <w:u w:val="single"/>
          <w:bdr w:val="single" w:sz="8" w:space="0" w:color="auto"/>
        </w:rPr>
        <w:t>during the limited window remaining to confront the threat</w:t>
      </w:r>
      <w:r w:rsidRPr="008834DA">
        <w:rPr>
          <w:rFonts w:asciiTheme="minorHAnsi" w:hAnsiTheme="minorHAnsi" w:cstheme="minorHAnsi"/>
          <w:sz w:val="16"/>
        </w:rPr>
        <w:t>.</w:t>
      </w:r>
    </w:p>
    <w:p w14:paraId="1A9DD9E0" w14:textId="77777777" w:rsidR="00CC2CC5" w:rsidRPr="008834DA" w:rsidRDefault="00CC2CC5" w:rsidP="00CC2CC5">
      <w:pPr>
        <w:pStyle w:val="Heading3"/>
      </w:pPr>
      <w:r>
        <w:t>AT: SOP Turn</w:t>
      </w:r>
    </w:p>
    <w:p w14:paraId="34BC1D13" w14:textId="77777777" w:rsidR="00CC2CC5" w:rsidRPr="008834DA" w:rsidRDefault="00CC2CC5" w:rsidP="00CC2CC5">
      <w:pPr>
        <w:pStyle w:val="Heading4"/>
      </w:pPr>
      <w:r w:rsidRPr="008834DA">
        <w:t xml:space="preserve">Without </w:t>
      </w:r>
      <w:r w:rsidRPr="008834DA">
        <w:rPr>
          <w:i/>
        </w:rPr>
        <w:t>Chevron</w:t>
      </w:r>
      <w:r w:rsidRPr="008834DA">
        <w:t xml:space="preserve">, SOP </w:t>
      </w:r>
      <w:r w:rsidRPr="008834DA">
        <w:rPr>
          <w:u w:val="single"/>
        </w:rPr>
        <w:t>collapses</w:t>
      </w:r>
      <w:r w:rsidRPr="008834DA">
        <w:t>.</w:t>
      </w:r>
    </w:p>
    <w:p w14:paraId="2FB42C4F" w14:textId="77777777" w:rsidR="00CC2CC5" w:rsidRPr="008834DA" w:rsidRDefault="00CC2CC5" w:rsidP="00CC2CC5">
      <w:r w:rsidRPr="008834DA">
        <w:rPr>
          <w:rStyle w:val="Heading4Char"/>
        </w:rPr>
        <w:t>Herz 15</w:t>
      </w:r>
      <w:r w:rsidRPr="008834DA">
        <w:t xml:space="preserve"> – (Michael Herz, Arthur Kaplan Professor of Law, Cardozo School of Law, Yeshiva University; “CHEVRON IS DEAD; LONG LIVE CHEVRON”; Columbia Law Review; D.A. June 26</w:t>
      </w:r>
      <w:r w:rsidRPr="008834DA">
        <w:rPr>
          <w:vertAlign w:val="superscript"/>
        </w:rPr>
        <w:t>th</w:t>
      </w:r>
      <w:r w:rsidRPr="008834DA">
        <w:t xml:space="preserve"> 2020, [Published 2015]; pg. 1909; </w:t>
      </w:r>
      <w:hyperlink r:id="rId49" w:history="1">
        <w:r w:rsidRPr="008834DA">
          <w:rPr>
            <w:rStyle w:val="Hyperlink"/>
          </w:rPr>
          <w:t>https://columbialawreview.org/wp-content/uploads/2016/03/November-2015-13-Herz.pdf</w:t>
        </w:r>
      </w:hyperlink>
      <w:r w:rsidRPr="008834DA">
        <w:t>)</w:t>
      </w:r>
    </w:p>
    <w:p w14:paraId="2E149456" w14:textId="77777777" w:rsidR="00CC2CC5" w:rsidRPr="008834DA" w:rsidRDefault="00CC2CC5" w:rsidP="00CC2CC5">
      <w:pPr>
        <w:rPr>
          <w:rStyle w:val="StyleUnderline"/>
        </w:rPr>
      </w:pPr>
      <w:r w:rsidRPr="008834DA">
        <w:rPr>
          <w:sz w:val="16"/>
        </w:rPr>
        <w:t xml:space="preserve">The argument here is for a reading of Chevron that is both weaker and stronger than that often proposed. On the one hand, </w:t>
      </w:r>
      <w:r w:rsidRPr="008834DA">
        <w:rPr>
          <w:rStyle w:val="Emphasis"/>
        </w:rPr>
        <w:t>courts retain</w:t>
      </w:r>
      <w:r w:rsidRPr="008834DA">
        <w:rPr>
          <w:rStyle w:val="StyleUnderline"/>
        </w:rPr>
        <w:t xml:space="preserve"> an </w:t>
      </w:r>
      <w:r w:rsidRPr="008834DA">
        <w:rPr>
          <w:rStyle w:val="Emphasis"/>
        </w:rPr>
        <w:t>essential</w:t>
      </w:r>
      <w:r w:rsidRPr="008834DA">
        <w:rPr>
          <w:rStyle w:val="StyleUnderline"/>
        </w:rPr>
        <w:t xml:space="preserve"> and meaningful </w:t>
      </w:r>
      <w:r w:rsidRPr="008834DA">
        <w:rPr>
          <w:rStyle w:val="Emphasis"/>
        </w:rPr>
        <w:t>role</w:t>
      </w:r>
      <w:r w:rsidRPr="008834DA">
        <w:rPr>
          <w:rStyle w:val="StyleUnderline"/>
        </w:rPr>
        <w:t xml:space="preserve"> in </w:t>
      </w:r>
      <w:r w:rsidRPr="008834DA">
        <w:rPr>
          <w:rStyle w:val="Emphasis"/>
        </w:rPr>
        <w:t>determining</w:t>
      </w:r>
      <w:r w:rsidRPr="008834DA">
        <w:rPr>
          <w:rStyle w:val="StyleUnderline"/>
        </w:rPr>
        <w:t xml:space="preserve"> the boundaries of </w:t>
      </w:r>
      <w:r w:rsidRPr="008834DA">
        <w:rPr>
          <w:rStyle w:val="Emphasis"/>
        </w:rPr>
        <w:t>Chevron</w:t>
      </w:r>
      <w:r w:rsidRPr="008834DA">
        <w:rPr>
          <w:sz w:val="16"/>
        </w:rPr>
        <w:t xml:space="preserve"> space; they have real work to do. On the other hand, </w:t>
      </w:r>
      <w:r w:rsidRPr="008834DA">
        <w:rPr>
          <w:rStyle w:val="StyleUnderline"/>
        </w:rPr>
        <w:t xml:space="preserve">in doing that work, the </w:t>
      </w:r>
      <w:r w:rsidRPr="008834DA">
        <w:rPr>
          <w:rStyle w:val="Emphasis"/>
        </w:rPr>
        <w:t>views</w:t>
      </w:r>
      <w:r w:rsidRPr="008834DA">
        <w:rPr>
          <w:rStyle w:val="StyleUnderline"/>
        </w:rPr>
        <w:t xml:space="preserve"> of the </w:t>
      </w:r>
      <w:r w:rsidRPr="008834DA">
        <w:rPr>
          <w:rStyle w:val="Emphasis"/>
        </w:rPr>
        <w:t>agency can never be ignored</w:t>
      </w:r>
      <w:r w:rsidRPr="008834DA">
        <w:rPr>
          <w:sz w:val="16"/>
        </w:rPr>
        <w:t xml:space="preserve">. Accordingly, </w:t>
      </w:r>
      <w:r w:rsidRPr="008834DA">
        <w:rPr>
          <w:rStyle w:val="StyleUnderline"/>
        </w:rPr>
        <w:t>there is no agency-free space within which courts interpret statutes.</w:t>
      </w:r>
    </w:p>
    <w:p w14:paraId="668B8593" w14:textId="77777777" w:rsidR="00CC2CC5" w:rsidRPr="008834DA" w:rsidRDefault="00CC2CC5" w:rsidP="00CC2CC5">
      <w:pPr>
        <w:rPr>
          <w:sz w:val="16"/>
        </w:rPr>
      </w:pPr>
      <w:r w:rsidRPr="008834DA">
        <w:rPr>
          <w:rStyle w:val="StyleUnderline"/>
        </w:rPr>
        <w:t>The</w:t>
      </w:r>
      <w:r w:rsidRPr="008834DA">
        <w:rPr>
          <w:sz w:val="16"/>
        </w:rPr>
        <w:t xml:space="preserve"> familiar and </w:t>
      </w:r>
      <w:r w:rsidRPr="008834DA">
        <w:rPr>
          <w:rStyle w:val="Emphasis"/>
        </w:rPr>
        <w:t>oft-told narrative</w:t>
      </w:r>
      <w:r w:rsidRPr="008834DA">
        <w:rPr>
          <w:rStyle w:val="StyleUnderline"/>
        </w:rPr>
        <w:t xml:space="preserve"> is that </w:t>
      </w:r>
      <w:r w:rsidRPr="008834DA">
        <w:rPr>
          <w:rStyle w:val="Emphasis"/>
        </w:rPr>
        <w:t>Congress retreats</w:t>
      </w:r>
      <w:r w:rsidRPr="008834DA">
        <w:rPr>
          <w:rStyle w:val="StyleUnderline"/>
        </w:rPr>
        <w:t xml:space="preserve"> to vague </w:t>
      </w:r>
      <w:r w:rsidRPr="008834DA">
        <w:rPr>
          <w:rStyle w:val="Emphasis"/>
        </w:rPr>
        <w:t>generalities</w:t>
      </w:r>
      <w:r w:rsidRPr="008834DA">
        <w:rPr>
          <w:sz w:val="16"/>
        </w:rPr>
        <w:t xml:space="preserve"> in order to achieve agreement and, in an effort to take credit and avoid blame, leaves the hard issues to others to decide. </w:t>
      </w:r>
      <w:r w:rsidRPr="008834DA">
        <w:rPr>
          <w:rStyle w:val="Emphasis"/>
        </w:rPr>
        <w:t>Chevron’s</w:t>
      </w:r>
      <w:r w:rsidRPr="008834DA">
        <w:rPr>
          <w:rStyle w:val="StyleUnderline"/>
        </w:rPr>
        <w:t xml:space="preserve"> great </w:t>
      </w:r>
      <w:r w:rsidRPr="008834DA">
        <w:rPr>
          <w:rStyle w:val="Emphasis"/>
        </w:rPr>
        <w:t>strength</w:t>
      </w:r>
      <w:r w:rsidRPr="008834DA">
        <w:rPr>
          <w:rStyle w:val="StyleUnderline"/>
        </w:rPr>
        <w:t xml:space="preserve"> is that it </w:t>
      </w:r>
      <w:r w:rsidRPr="008834DA">
        <w:rPr>
          <w:rStyle w:val="Emphasis"/>
        </w:rPr>
        <w:t>recognizes this narrative is</w:t>
      </w:r>
      <w:r w:rsidRPr="008834DA">
        <w:rPr>
          <w:rStyle w:val="StyleUnderline"/>
        </w:rPr>
        <w:t xml:space="preserve"> sometimes </w:t>
      </w:r>
      <w:r w:rsidRPr="008834DA">
        <w:rPr>
          <w:rStyle w:val="Emphasis"/>
        </w:rPr>
        <w:t>accurate</w:t>
      </w:r>
      <w:r w:rsidRPr="008834DA">
        <w:rPr>
          <w:sz w:val="16"/>
        </w:rPr>
        <w:t xml:space="preserve"> </w:t>
      </w:r>
      <w:r w:rsidRPr="008834DA">
        <w:rPr>
          <w:rStyle w:val="StyleUnderline"/>
        </w:rPr>
        <w:t xml:space="preserve">and admonishes that when it is judges should yield to agencies </w:t>
      </w:r>
      <w:r w:rsidRPr="008834DA">
        <w:rPr>
          <w:sz w:val="16"/>
        </w:rPr>
        <w:t xml:space="preserve">because of their comparative advantage in policymaking. But </w:t>
      </w:r>
      <w:r w:rsidRPr="008834DA">
        <w:rPr>
          <w:rStyle w:val="StyleUnderline"/>
        </w:rPr>
        <w:t>this narrative is not always accurate</w:t>
      </w:r>
      <w:r w:rsidRPr="008834DA">
        <w:rPr>
          <w:sz w:val="16"/>
        </w:rPr>
        <w:t xml:space="preserve">. </w:t>
      </w:r>
      <w:r w:rsidRPr="008834DA">
        <w:rPr>
          <w:rStyle w:val="StyleUnderline"/>
        </w:rPr>
        <w:t>Sometimes Congress does make a decision</w:t>
      </w:r>
      <w:r w:rsidRPr="008834DA">
        <w:rPr>
          <w:sz w:val="16"/>
        </w:rPr>
        <w:t xml:space="preserve">. Chevron’s great risk is that it invites judges and agencies to ignore what Congress has decided, discovering uncertainty and discretion where they do not exist.216 </w:t>
      </w:r>
      <w:r w:rsidRPr="008834DA">
        <w:rPr>
          <w:rStyle w:val="StyleUnderline"/>
        </w:rPr>
        <w:t xml:space="preserve">Some </w:t>
      </w:r>
      <w:r w:rsidRPr="008834DA">
        <w:rPr>
          <w:rStyle w:val="Emphasis"/>
        </w:rPr>
        <w:t>scholars</w:t>
      </w:r>
      <w:r w:rsidRPr="008834DA">
        <w:rPr>
          <w:rStyle w:val="StyleUnderline"/>
        </w:rPr>
        <w:t xml:space="preserve"> would essentially </w:t>
      </w:r>
      <w:r w:rsidRPr="008834DA">
        <w:rPr>
          <w:rStyle w:val="Emphasis"/>
        </w:rPr>
        <w:t>write courts out of the picture</w:t>
      </w:r>
      <w:r w:rsidRPr="008834DA">
        <w:rPr>
          <w:rStyle w:val="StyleUnderline"/>
        </w:rPr>
        <w:t xml:space="preserve"> in statutory cases, concluding that agencies </w:t>
      </w:r>
      <w:r w:rsidRPr="008834DA">
        <w:rPr>
          <w:sz w:val="16"/>
        </w:rPr>
        <w:t xml:space="preserve">always </w:t>
      </w:r>
      <w:r w:rsidRPr="008834DA">
        <w:rPr>
          <w:rStyle w:val="StyleUnderline"/>
        </w:rPr>
        <w:t>have a comparative advantage</w:t>
      </w:r>
      <w:r w:rsidRPr="008834DA">
        <w:rPr>
          <w:sz w:val="16"/>
        </w:rPr>
        <w:t xml:space="preserve">.217 Peter Strauss wisely warns against such an abandonment of the judicial role, </w:t>
      </w:r>
      <w:r w:rsidRPr="008834DA">
        <w:rPr>
          <w:rStyle w:val="StyleUnderline"/>
        </w:rPr>
        <w:t>while still granting due weight to agency interpretation and</w:t>
      </w:r>
      <w:r w:rsidRPr="008834DA">
        <w:rPr>
          <w:sz w:val="16"/>
        </w:rPr>
        <w:t xml:space="preserve">, </w:t>
      </w:r>
      <w:r w:rsidRPr="008834DA">
        <w:rPr>
          <w:rStyle w:val="StyleUnderline"/>
        </w:rPr>
        <w:t>within the congressionally established and judicially policed Chevron space, respecting agency construction</w:t>
      </w:r>
      <w:r w:rsidRPr="008834DA">
        <w:rPr>
          <w:sz w:val="16"/>
        </w:rPr>
        <w:t xml:space="preserve">. </w:t>
      </w:r>
      <w:r w:rsidRPr="008834DA">
        <w:rPr>
          <w:rStyle w:val="StyleUnderline"/>
        </w:rPr>
        <w:t>So understood, Chevron is not a revolutionary shift of authority from the judiciary to the executive</w:t>
      </w:r>
      <w:r w:rsidRPr="008834DA">
        <w:rPr>
          <w:sz w:val="16"/>
        </w:rPr>
        <w:t xml:space="preserve">. </w:t>
      </w:r>
      <w:r w:rsidRPr="008834DA">
        <w:rPr>
          <w:rStyle w:val="StyleUnderline"/>
        </w:rPr>
        <w:t>That Chevron is dead</w:t>
      </w:r>
      <w:r w:rsidRPr="008834DA">
        <w:rPr>
          <w:sz w:val="16"/>
        </w:rPr>
        <w:t xml:space="preserve">. Rather, </w:t>
      </w:r>
      <w:r w:rsidRPr="008834DA">
        <w:rPr>
          <w:rStyle w:val="Emphasis"/>
        </w:rPr>
        <w:t>Chevron is an appropriate allocation of decisionmaking responsibility among the three branches</w:t>
      </w:r>
      <w:r w:rsidRPr="008834DA">
        <w:rPr>
          <w:sz w:val="16"/>
        </w:rPr>
        <w:t xml:space="preserve">, relying on the judiciary to enforce congressional decisions, but </w:t>
      </w:r>
      <w:r w:rsidRPr="008834DA">
        <w:rPr>
          <w:rStyle w:val="StyleUnderline"/>
        </w:rPr>
        <w:t>protecting agency authority and discretion where Congress has left the decision to the executive</w:t>
      </w:r>
      <w:r w:rsidRPr="008834DA">
        <w:rPr>
          <w:sz w:val="16"/>
        </w:rPr>
        <w:t xml:space="preserve">. </w:t>
      </w:r>
      <w:r w:rsidRPr="008834DA">
        <w:rPr>
          <w:rStyle w:val="StyleUnderline"/>
        </w:rPr>
        <w:t>Long may it reign</w:t>
      </w:r>
      <w:r w:rsidRPr="008834DA">
        <w:rPr>
          <w:sz w:val="16"/>
        </w:rPr>
        <w:t>.</w:t>
      </w:r>
    </w:p>
    <w:p w14:paraId="11904C8B" w14:textId="77777777" w:rsidR="00CC2CC5" w:rsidRPr="008834DA" w:rsidRDefault="00CC2CC5" w:rsidP="00CC2CC5">
      <w:pPr>
        <w:pStyle w:val="Heading4"/>
      </w:pPr>
      <w:r w:rsidRPr="008834DA">
        <w:t>Chevron is key to solve separation of powers – it’s the biggest internal link</w:t>
      </w:r>
    </w:p>
    <w:p w14:paraId="67D538CD" w14:textId="77777777" w:rsidR="00CC2CC5" w:rsidRPr="008834DA" w:rsidRDefault="00CC2CC5" w:rsidP="00CC2CC5">
      <w:r w:rsidRPr="008834DA">
        <w:rPr>
          <w:rStyle w:val="Style13ptBold"/>
        </w:rPr>
        <w:t>Baldwin 18</w:t>
      </w:r>
      <w:r w:rsidRPr="008834DA">
        <w:t xml:space="preserve"> – Kathryn M. Baldwin is Associate Managing Editor, St. John’s Law Review; J.D., 2018, St. John’s University School of Law; B.A., Xavier University. ("Endangered Deference: Separation of Powers and Judicial Review of Agency Interpretation." St. John's Law Review, vol. 92, no. 1, Spring 2018, p. 91-120. HeinOnline.)</w:t>
      </w:r>
    </w:p>
    <w:p w14:paraId="79F0F52C" w14:textId="77777777" w:rsidR="00CC2CC5" w:rsidRPr="008834DA" w:rsidRDefault="00CC2CC5" w:rsidP="00CC2CC5">
      <w:pPr>
        <w:rPr>
          <w:sz w:val="16"/>
        </w:rPr>
      </w:pPr>
      <w:r w:rsidRPr="008834DA">
        <w:rPr>
          <w:sz w:val="16"/>
        </w:rPr>
        <w:t xml:space="preserve">While many commentators have called for Chevron's death at the hands of the United States Supreme Court,' agencies, lower courts, and Congress assume that deference applies to agency decisions and act accordingly. </w:t>
      </w:r>
      <w:r w:rsidRPr="008834DA">
        <w:rPr>
          <w:rStyle w:val="StyleUnderline"/>
        </w:rPr>
        <w:t>The reliance on Chevron extending across</w:t>
      </w:r>
      <w:r w:rsidRPr="008834DA">
        <w:rPr>
          <w:sz w:val="16"/>
        </w:rPr>
        <w:t xml:space="preserve"> </w:t>
      </w:r>
      <w:r w:rsidRPr="008834DA">
        <w:rPr>
          <w:rStyle w:val="Emphasis"/>
        </w:rPr>
        <w:t>all branches of the federal government</w:t>
      </w:r>
      <w:r w:rsidRPr="008834DA">
        <w:rPr>
          <w:sz w:val="16"/>
        </w:rPr>
        <w:t xml:space="preserve"> </w:t>
      </w:r>
      <w:r w:rsidRPr="008834DA">
        <w:rPr>
          <w:rStyle w:val="StyleUnderline"/>
        </w:rPr>
        <w:t>should give the Court pause when it considers overruling the doctrine</w:t>
      </w:r>
      <w:r w:rsidRPr="008834DA">
        <w:rPr>
          <w:sz w:val="16"/>
        </w:rPr>
        <w:t xml:space="preserve">. First, </w:t>
      </w:r>
      <w:r w:rsidRPr="008834DA">
        <w:rPr>
          <w:rStyle w:val="Emphasis"/>
        </w:rPr>
        <w:t>agencies depend on the stability of the Chevron regime to guide their interpretations.</w:t>
      </w:r>
      <w:r w:rsidRPr="008834DA">
        <w:rPr>
          <w:sz w:val="16"/>
        </w:rPr>
        <w:t xml:space="preserve"> </w:t>
      </w:r>
      <w:r w:rsidRPr="008834DA">
        <w:rPr>
          <w:rStyle w:val="StyleUnderline"/>
        </w:rPr>
        <w:t>Agency rulemakers are aware of Chevron and consider its use more than any other tool in drafting</w:t>
      </w:r>
      <w:r w:rsidRPr="008834DA">
        <w:rPr>
          <w:sz w:val="16"/>
        </w:rPr>
        <w:t xml:space="preserve">." 2 </w:t>
      </w:r>
      <w:r w:rsidRPr="008834DA">
        <w:rPr>
          <w:rStyle w:val="StyleUnderline"/>
        </w:rPr>
        <w:t>De novo review would result in "delay, complexity, and uncertainty in the administrative proces</w:t>
      </w:r>
      <w:r w:rsidRPr="008834DA">
        <w:rPr>
          <w:sz w:val="16"/>
        </w:rPr>
        <w:t xml:space="preserve">s."1 a Second, </w:t>
      </w:r>
      <w:r w:rsidRPr="008834DA">
        <w:rPr>
          <w:rStyle w:val="Emphasis"/>
        </w:rPr>
        <w:t>lower courts consistently and successfully rely on the doctrine</w:t>
      </w:r>
      <w:r w:rsidRPr="008834DA">
        <w:rPr>
          <w:sz w:val="16"/>
        </w:rPr>
        <w:t xml:space="preserve">. While the Supreme Court applies Chevron to roughly 25% of the relevant cases, </w:t>
      </w:r>
      <w:r w:rsidRPr="008834DA">
        <w:rPr>
          <w:rStyle w:val="StyleUnderline"/>
        </w:rPr>
        <w:t>circuit courts apply Chevron to 74.8% of interpretations.</w:t>
      </w:r>
      <w:r w:rsidRPr="008834DA">
        <w:rPr>
          <w:sz w:val="16"/>
        </w:rPr>
        <w:t xml:space="preserve">11 4 At the Supreme Court level, "the Court's choice to apply Chevron deference, as opposed to a lessdeferential doctrine or no deference at all, does not seem to affect the outcome of the case."11 5 By contrast, at the circuit court level, "[t]he </w:t>
      </w:r>
      <w:r w:rsidRPr="008834DA">
        <w:rPr>
          <w:rStyle w:val="StyleUnderline"/>
        </w:rPr>
        <w:t>agency was twice as likely ... to prevail ... as opposed to reviewing the interpretation de nov</w:t>
      </w:r>
      <w:r w:rsidRPr="008834DA">
        <w:rPr>
          <w:sz w:val="16"/>
        </w:rPr>
        <w:t xml:space="preserve">o... ." Perhaps de novo review would not increase the arbitrariness of Supreme Court decisions, where the application of a deference standard does not seem to affect the outcome of the case. However, </w:t>
      </w:r>
      <w:r w:rsidRPr="008834DA">
        <w:rPr>
          <w:rStyle w:val="StyleUnderline"/>
        </w:rPr>
        <w:t xml:space="preserve">deference matters in lower courts, and contributes to the </w:t>
      </w:r>
      <w:r w:rsidRPr="008834DA">
        <w:rPr>
          <w:rStyle w:val="Emphasis"/>
        </w:rPr>
        <w:t>predictability</w:t>
      </w:r>
      <w:r w:rsidRPr="008834DA">
        <w:rPr>
          <w:rStyle w:val="StyleUnderline"/>
        </w:rPr>
        <w:t xml:space="preserve"> and </w:t>
      </w:r>
      <w:r w:rsidRPr="008834DA">
        <w:rPr>
          <w:rStyle w:val="Emphasis"/>
        </w:rPr>
        <w:t>consistency</w:t>
      </w:r>
      <w:r w:rsidRPr="008834DA">
        <w:rPr>
          <w:rStyle w:val="StyleUnderline"/>
        </w:rPr>
        <w:t xml:space="preserve"> of decisions</w:t>
      </w:r>
      <w:r w:rsidRPr="008834DA">
        <w:rPr>
          <w:sz w:val="16"/>
        </w:rPr>
        <w:t xml:space="preserve">. Some </w:t>
      </w:r>
      <w:r w:rsidRPr="008834DA">
        <w:rPr>
          <w:rStyle w:val="StyleUnderline"/>
        </w:rPr>
        <w:t>scholars have questioned whether it is necessary for the Supreme Court to be uniform in its own application of Chevron and the instructions it provides to lower courts</w:t>
      </w:r>
      <w:r w:rsidRPr="008834DA">
        <w:rPr>
          <w:sz w:val="16"/>
        </w:rPr>
        <w:t xml:space="preserve">.11 7 </w:t>
      </w:r>
      <w:r w:rsidRPr="008834DA">
        <w:rPr>
          <w:rStyle w:val="StyleUnderline"/>
        </w:rPr>
        <w:t>The Supreme Court's exceptions and inconsistent applications trickle down to circuit courts,</w:t>
      </w:r>
      <w:r w:rsidRPr="008834DA">
        <w:rPr>
          <w:sz w:val="16"/>
        </w:rPr>
        <w:t xml:space="preserve"> 1 8 and a doctrinal schism would give the Supreme Court a license to arbitrarily decide if and how Chevron applies to the few cases where it does grant certiorai. </w:t>
      </w:r>
      <w:r w:rsidRPr="008834DA">
        <w:rPr>
          <w:rStyle w:val="StyleUnderline"/>
        </w:rPr>
        <w:t>Imposing de novo review at all levels of the judiciary would gut lower courts of a predictable and reliable tool, and "fix" a problem that does not exist outside of the Supreme Court.</w:t>
      </w:r>
      <w:r w:rsidRPr="008834DA">
        <w:rPr>
          <w:sz w:val="16"/>
        </w:rPr>
        <w:t xml:space="preserve"> Third, </w:t>
      </w:r>
      <w:r w:rsidRPr="008834DA">
        <w:rPr>
          <w:rStyle w:val="StyleUnderline"/>
        </w:rPr>
        <w:t xml:space="preserve">congressional drafting depends, in part, upon legislators </w:t>
      </w:r>
      <w:r w:rsidRPr="008834DA">
        <w:rPr>
          <w:rStyle w:val="Emphasis"/>
        </w:rPr>
        <w:t>relying on deference doctrines as a backdrop.</w:t>
      </w:r>
      <w:r w:rsidRPr="008834DA">
        <w:rPr>
          <w:sz w:val="16"/>
        </w:rPr>
        <w:t xml:space="preserve"> Unique among interpretive canons, Congress "consider[s] Chevron ... when drafting precisely because [it] understand[s] that courts use [it].""9 Unifying the approximately 12,000 congressional staffers to conform with the Supreme Court's notion of grammar canons would prove difficult. 12 0 Congress exemplified its understanding of Chevron when it codified deference standards in the Dodd-Frank Wall Street Reform and Consumer Protection Act ("Dodd-Frank").12 1 Congress set a Skidmore-level standard for courts reviewing preemption decisions from the Office of Comptroller of the Currency, and maintained a Chevron "savings clause," indicating Congress acted in reliance on its assumption that courts will apply Chevron by structuring legislation around it. 122 De novo review would reorder the logic of actors across the entire federal government, removing a cornerstone of administrative law that, with the exception of its use by the Supreme Court, functions as intended. </w:t>
      </w:r>
      <w:r w:rsidRPr="008834DA">
        <w:rPr>
          <w:rStyle w:val="StyleUnderline"/>
        </w:rPr>
        <w:t>The solution to the</w:t>
      </w:r>
      <w:r w:rsidRPr="008834DA">
        <w:rPr>
          <w:sz w:val="16"/>
        </w:rPr>
        <w:t xml:space="preserve"> perceived </w:t>
      </w:r>
      <w:r w:rsidRPr="008834DA">
        <w:rPr>
          <w:rStyle w:val="Emphasis"/>
        </w:rPr>
        <w:t>separation of powers problem, then, is not to reject deference, but to embrace it</w:t>
      </w:r>
      <w:r w:rsidRPr="008834DA">
        <w:rPr>
          <w:sz w:val="16"/>
        </w:rPr>
        <w:t>. If the Court shifts interpretations towards a more nuanced understanding of the dynamic Congress agency relationship, drafters would be better able to predict how legislation and interpretation might fare in judicial review. 123</w:t>
      </w:r>
    </w:p>
    <w:p w14:paraId="2BFA9DFC" w14:textId="77777777" w:rsidR="00CC2CC5" w:rsidRPr="008834DA" w:rsidRDefault="00CC2CC5" w:rsidP="00CC2CC5">
      <w:pPr>
        <w:pStyle w:val="Heading3"/>
      </w:pPr>
      <w:r>
        <w:t>AT: Tech Turn</w:t>
      </w:r>
    </w:p>
    <w:p w14:paraId="488B8FE8" w14:textId="77777777" w:rsidR="00CC2CC5" w:rsidRPr="008834DA" w:rsidRDefault="00CC2CC5" w:rsidP="00CC2CC5">
      <w:pPr>
        <w:pStyle w:val="Heading4"/>
      </w:pPr>
      <w:r w:rsidRPr="008834DA">
        <w:t xml:space="preserve">Ambiguity in patent law </w:t>
      </w:r>
      <w:r w:rsidRPr="008834DA">
        <w:rPr>
          <w:u w:val="single"/>
        </w:rPr>
        <w:t>decks</w:t>
      </w:r>
      <w:r w:rsidRPr="008834DA">
        <w:t xml:space="preserve"> technological innovation.</w:t>
      </w:r>
    </w:p>
    <w:p w14:paraId="2D1C9C70" w14:textId="77777777" w:rsidR="00CC2CC5" w:rsidRPr="008834DA" w:rsidRDefault="00CC2CC5" w:rsidP="00CC2CC5">
      <w:r w:rsidRPr="008834DA">
        <w:rPr>
          <w:b/>
          <w:bCs/>
          <w:sz w:val="26"/>
          <w:szCs w:val="26"/>
        </w:rPr>
        <w:t>Lund 16</w:t>
      </w:r>
      <w:r w:rsidRPr="008834DA">
        <w:t xml:space="preserve"> - a John Witherspoon Legal Fellow at the Center for the Protection of Intellectual Property (CPIP) at George Mason University’s Antonin Scalia Law School, (Dr. David, “Congress Can Save Software Patents by Repeating One of Its Successes,” </w:t>
      </w:r>
      <w:r w:rsidRPr="008834DA">
        <w:rPr>
          <w:i/>
          <w:iCs/>
        </w:rPr>
        <w:t>IP Watchdog</w:t>
      </w:r>
      <w:r w:rsidRPr="008834DA">
        <w:t xml:space="preserve">, 12-11-16, </w:t>
      </w:r>
      <w:hyperlink r:id="rId50" w:history="1">
        <w:r w:rsidRPr="008834DA">
          <w:rPr>
            <w:rStyle w:val="Hyperlink"/>
          </w:rPr>
          <w:t>https://www.ipwatchdog.com/2016/12/11/congress-can-save-software-patents-by-repeating-one-of-its-successes/id=75390/</w:t>
        </w:r>
      </w:hyperlink>
      <w:r w:rsidRPr="008834DA">
        <w:t>, Accessed 7-4-20, LASA-AH)</w:t>
      </w:r>
    </w:p>
    <w:p w14:paraId="3DAA3068" w14:textId="77777777" w:rsidR="00CC2CC5" w:rsidRPr="008834DA" w:rsidRDefault="00CC2CC5" w:rsidP="00CC2CC5">
      <w:pPr>
        <w:rPr>
          <w:u w:val="single"/>
        </w:rPr>
      </w:pPr>
      <w:r w:rsidRPr="008834DA">
        <w:rPr>
          <w:u w:val="single"/>
        </w:rPr>
        <w:t xml:space="preserve">Innovation, just like the businesses that it creates, </w:t>
      </w:r>
      <w:r w:rsidRPr="008834DA">
        <w:rPr>
          <w:rStyle w:val="Emphasis"/>
        </w:rPr>
        <w:t>cannot thrive</w:t>
      </w:r>
      <w:r w:rsidRPr="008834DA">
        <w:rPr>
          <w:u w:val="single"/>
        </w:rPr>
        <w:t xml:space="preserve"> in an </w:t>
      </w:r>
      <w:r w:rsidRPr="008834DA">
        <w:rPr>
          <w:rStyle w:val="Emphasis"/>
        </w:rPr>
        <w:t>environment of uncertainty</w:t>
      </w:r>
      <w:r w:rsidRPr="008834DA">
        <w:rPr>
          <w:u w:val="single"/>
        </w:rPr>
        <w:t>.</w:t>
      </w:r>
      <w:r w:rsidRPr="008834DA">
        <w:t xml:space="preserve"> Unfortunately, </w:t>
      </w:r>
      <w:r w:rsidRPr="008834DA">
        <w:rPr>
          <w:u w:val="single"/>
        </w:rPr>
        <w:t>the Patent Office and Federal courts</w:t>
      </w:r>
      <w:r w:rsidRPr="008834DA">
        <w:t>—the very legal institutions that are supposed to secure stable and effective intellectual property rights for innovators and their creations—</w:t>
      </w:r>
      <w:r w:rsidRPr="008834DA">
        <w:rPr>
          <w:u w:val="single"/>
        </w:rPr>
        <w:t xml:space="preserve">have created a precarious situation for software patents leading to a </w:t>
      </w:r>
      <w:r w:rsidRPr="008834DA">
        <w:rPr>
          <w:rStyle w:val="Emphasis"/>
        </w:rPr>
        <w:t xml:space="preserve">substantial degree of uncertainty </w:t>
      </w:r>
      <w:r w:rsidRPr="008834DA">
        <w:rPr>
          <w:u w:val="single"/>
        </w:rPr>
        <w:t>for the high-tech industry.</w:t>
      </w:r>
    </w:p>
    <w:p w14:paraId="450FD6B4" w14:textId="77777777" w:rsidR="00CC2CC5" w:rsidRPr="008834DA" w:rsidRDefault="00CC2CC5" w:rsidP="00CC2CC5">
      <w:r w:rsidRPr="008834DA">
        <w:t>On the anniversary of the Computer Software Copyright Act, we should keep in mind that Congress can and should step in to remove the uncertainty and ensure that software innovation is sufficiently well protected.</w:t>
      </w:r>
    </w:p>
    <w:p w14:paraId="0BAC97D4" w14:textId="77777777" w:rsidR="00CC2CC5" w:rsidRPr="008834DA" w:rsidRDefault="00CC2CC5" w:rsidP="00CC2CC5">
      <w:r w:rsidRPr="008834DA">
        <w:t xml:space="preserve">As </w:t>
      </w:r>
      <w:r w:rsidRPr="008834DA">
        <w:rPr>
          <w:u w:val="single"/>
        </w:rPr>
        <w:t>the Federal Circuit continues to sow uncertainty about the eligibility of “software patents,</w:t>
      </w:r>
      <w:r w:rsidRPr="008834DA">
        <w:t xml:space="preserve">” it is important to remember that </w:t>
      </w:r>
      <w:r w:rsidRPr="008834DA">
        <w:rPr>
          <w:u w:val="single"/>
        </w:rPr>
        <w:t>the current debate about protecting the innovations of computer and software engineers is not new</w:t>
      </w:r>
      <w:r w:rsidRPr="008834DA">
        <w:t>. We have been here before. Last time, the debate ended when Congress stepped in to expressly acknowledge copyright protection of software code. It is now long past time Congress to do the same with patents for the functional aspects of software.</w:t>
      </w:r>
    </w:p>
    <w:p w14:paraId="77494AB9" w14:textId="77777777" w:rsidR="00CC2CC5" w:rsidRPr="008834DA" w:rsidRDefault="00CC2CC5" w:rsidP="00CC2CC5">
      <w:r w:rsidRPr="008834DA">
        <w:t xml:space="preserve">Adam Mossoff previously detailed why </w:t>
      </w:r>
      <w:r w:rsidRPr="008834DA">
        <w:rPr>
          <w:u w:val="single"/>
        </w:rPr>
        <w:t>software patents are valid under existing law. To remove any uncertainty over the eligibility of wrongly vilified “software patents,”</w:t>
      </w:r>
      <w:r w:rsidRPr="008834DA">
        <w:t xml:space="preserve"> Congress should expressly validate as patentable the inventions in the useful functions of computer programs.</w:t>
      </w:r>
    </w:p>
    <w:p w14:paraId="51C48993" w14:textId="77777777" w:rsidR="00CC2CC5" w:rsidRPr="008834DA" w:rsidRDefault="00CC2CC5" w:rsidP="00CC2CC5">
      <w:pPr>
        <w:rPr>
          <w:rStyle w:val="Emphasis"/>
        </w:rPr>
      </w:pPr>
      <w:r w:rsidRPr="008834DA">
        <w:t xml:space="preserve">Part of the problem with the debate over “software patents” has been the near complete failure to accurately describe what these patents protect. </w:t>
      </w:r>
      <w:r w:rsidRPr="008834DA">
        <w:rPr>
          <w:u w:val="single"/>
        </w:rPr>
        <w:t>Opponents of software patents frequently describe these patents as protecting nothing more than “mathematics” or logic</w:t>
      </w:r>
      <w:r w:rsidRPr="008834DA">
        <w:t xml:space="preserve">. </w:t>
      </w:r>
      <w:r w:rsidRPr="008834DA">
        <w:rPr>
          <w:rStyle w:val="Emphasis"/>
        </w:rPr>
        <w:t>This is plainly false.</w:t>
      </w:r>
    </w:p>
    <w:p w14:paraId="7BDEBBAB" w14:textId="77777777" w:rsidR="00CC2CC5" w:rsidRPr="008834DA" w:rsidRDefault="00CC2CC5" w:rsidP="00CC2CC5">
      <w:r w:rsidRPr="008834DA">
        <w:rPr>
          <w:u w:val="single"/>
        </w:rPr>
        <w:t xml:space="preserve">Software is a valuable, </w:t>
      </w:r>
      <w:r w:rsidRPr="008834DA">
        <w:rPr>
          <w:rStyle w:val="Emphasis"/>
        </w:rPr>
        <w:t>real-world, technological innovation</w:t>
      </w:r>
      <w:r w:rsidRPr="008834DA">
        <w:rPr>
          <w:u w:val="single"/>
        </w:rPr>
        <w:t xml:space="preserve"> that is used in everything from vacuums to cars to computers to phones. </w:t>
      </w:r>
      <w:r w:rsidRPr="008834DA">
        <w:t>Recent high profile software patent disputes involved a patent improving how computer generated faces are animated when speaking and another improving the functionality of spreadsheets in programs like Excel.</w:t>
      </w:r>
    </w:p>
    <w:p w14:paraId="2AD28536" w14:textId="77777777" w:rsidR="00CC2CC5" w:rsidRPr="008834DA" w:rsidRDefault="00CC2CC5" w:rsidP="00CC2CC5">
      <w:pPr>
        <w:rPr>
          <w:u w:val="single"/>
        </w:rPr>
      </w:pPr>
      <w:r w:rsidRPr="008834DA">
        <w:t xml:space="preserve">Not only do </w:t>
      </w:r>
      <w:r w:rsidRPr="008834DA">
        <w:rPr>
          <w:u w:val="single"/>
        </w:rPr>
        <w:t xml:space="preserve">software patents protect important innovations, they are </w:t>
      </w:r>
      <w:r w:rsidRPr="008834DA">
        <w:rPr>
          <w:rStyle w:val="Emphasis"/>
        </w:rPr>
        <w:t>commercially valuable as well</w:t>
      </w:r>
      <w:r w:rsidRPr="008834DA">
        <w:t xml:space="preserve">. </w:t>
      </w:r>
      <w:r w:rsidRPr="008834DA">
        <w:rPr>
          <w:u w:val="single"/>
        </w:rPr>
        <w:t>Software patents are often a necessary step for start-ups to obtain venture capital financing.</w:t>
      </w:r>
      <w:r w:rsidRPr="008834DA">
        <w:t xml:space="preserve"> Software, like any other technology, </w:t>
      </w:r>
      <w:r w:rsidRPr="008834DA">
        <w:rPr>
          <w:u w:val="single"/>
        </w:rPr>
        <w:t>requires investment in research and development</w:t>
      </w:r>
      <w:r w:rsidRPr="008834DA">
        <w:t xml:space="preserve">. Software patents ensure that software innovators can realize the value of their contributions. By </w:t>
      </w:r>
      <w:r w:rsidRPr="008834DA">
        <w:rPr>
          <w:u w:val="single"/>
        </w:rPr>
        <w:t>facilitating and protecting investments in developing a product, software patents promote many of the advancements that we take for granted today.</w:t>
      </w:r>
    </w:p>
    <w:p w14:paraId="694D2648" w14:textId="77777777" w:rsidR="00CC2CC5" w:rsidRPr="008834DA" w:rsidRDefault="00CC2CC5" w:rsidP="00CC2CC5">
      <w:r w:rsidRPr="008834DA">
        <w:t xml:space="preserve">It is therefore </w:t>
      </w:r>
      <w:r w:rsidRPr="008834DA">
        <w:rPr>
          <w:u w:val="single"/>
        </w:rPr>
        <w:t>important to take the threat to software patents seriously</w:t>
      </w:r>
      <w:r w:rsidRPr="008834DA">
        <w:t xml:space="preserve">. The current debate over the eligibility of software patents centers on whether a given patent is directed to an “abstract idea.” </w:t>
      </w:r>
      <w:r w:rsidRPr="008834DA">
        <w:rPr>
          <w:u w:val="single"/>
        </w:rPr>
        <w:t>The Supreme Court has avoided defining what qualifies as an abstract idea</w:t>
      </w:r>
      <w:r w:rsidRPr="008834DA">
        <w:t>, limiting itself to saying that hedging risk or intermediated settlement in financial transactions are abstract ideas.</w:t>
      </w:r>
    </w:p>
    <w:p w14:paraId="4FC284CD" w14:textId="77777777" w:rsidR="00CC2CC5" w:rsidRPr="008834DA" w:rsidRDefault="00CC2CC5" w:rsidP="00CC2CC5">
      <w:pPr>
        <w:rPr>
          <w:rStyle w:val="Emphasis"/>
        </w:rPr>
      </w:pPr>
      <w:r w:rsidRPr="008834DA">
        <w:rPr>
          <w:u w:val="single"/>
        </w:rPr>
        <w:t>The lack of guidance has left the Federal Circuit in a state of disarray</w:t>
      </w:r>
      <w:r w:rsidRPr="008834DA">
        <w:t xml:space="preserve">. Commentators have frequently noted the difficulty demonstrated by courts in assessing software patent eligibility. </w:t>
      </w:r>
      <w:r w:rsidRPr="008834DA">
        <w:rPr>
          <w:u w:val="single"/>
        </w:rPr>
        <w:t xml:space="preserve">Contradictory court decisions are a frequent occurrence not just at the Federal Circuit, but in the lower courts as well. The lack of clear legal protection is currently </w:t>
      </w:r>
      <w:r w:rsidRPr="008834DA">
        <w:rPr>
          <w:rStyle w:val="Emphasis"/>
        </w:rPr>
        <w:t>harming software innovation.</w:t>
      </w:r>
    </w:p>
    <w:p w14:paraId="746D94D8" w14:textId="77777777" w:rsidR="00CC2CC5" w:rsidRPr="008834DA" w:rsidRDefault="00CC2CC5" w:rsidP="00CC2CC5">
      <w:pPr>
        <w:pStyle w:val="Heading4"/>
      </w:pPr>
      <w:r w:rsidRPr="008834DA">
        <w:t xml:space="preserve">China’s </w:t>
      </w:r>
      <w:r w:rsidRPr="008834DA">
        <w:rPr>
          <w:u w:val="single"/>
        </w:rPr>
        <w:t>still behind</w:t>
      </w:r>
      <w:r w:rsidRPr="008834DA">
        <w:t xml:space="preserve"> the US, but they’re catching up.</w:t>
      </w:r>
    </w:p>
    <w:p w14:paraId="2AF423A6" w14:textId="77777777" w:rsidR="00CC2CC5" w:rsidRPr="008834DA" w:rsidRDefault="00CC2CC5" w:rsidP="00CC2CC5">
      <w:r w:rsidRPr="008834DA">
        <w:rPr>
          <w:b/>
          <w:bCs/>
          <w:sz w:val="26"/>
          <w:szCs w:val="26"/>
        </w:rPr>
        <w:t>Zhen 19</w:t>
      </w:r>
      <w:r w:rsidRPr="008834DA">
        <w:t xml:space="preserve"> - joined the Post in 2015 as a reporter on the China desk, (Liu, “US still out front in tech race, China experts say in response to Pentagon claim,” </w:t>
      </w:r>
      <w:r w:rsidRPr="008834DA">
        <w:rPr>
          <w:i/>
          <w:iCs/>
        </w:rPr>
        <w:t>South China Morning Post</w:t>
      </w:r>
      <w:r w:rsidRPr="008834DA">
        <w:t xml:space="preserve">, November 3, </w:t>
      </w:r>
      <w:hyperlink r:id="rId51" w:history="1">
        <w:r w:rsidRPr="008834DA">
          <w:rPr>
            <w:rStyle w:val="Hyperlink"/>
          </w:rPr>
          <w:t>https://www.scmp.com/news/china/diplomacy/article/3036053/us-still-out-front-tech-race-china-experts-say-response</w:t>
        </w:r>
      </w:hyperlink>
      <w:r w:rsidRPr="008834DA">
        <w:t>, Accessed 7-4-20, LASA-AH)</w:t>
      </w:r>
    </w:p>
    <w:p w14:paraId="73085079" w14:textId="77777777" w:rsidR="00CC2CC5" w:rsidRPr="008834DA" w:rsidRDefault="00CC2CC5" w:rsidP="00CC2CC5">
      <w:pPr>
        <w:rPr>
          <w:u w:val="single"/>
        </w:rPr>
      </w:pPr>
      <w:r w:rsidRPr="008834DA">
        <w:rPr>
          <w:u w:val="single"/>
        </w:rPr>
        <w:t>Chinese experts have rejected the claim by a senior Pentagon official that the US is lagging behind China in some key dual-use technologies.</w:t>
      </w:r>
    </w:p>
    <w:p w14:paraId="21042280" w14:textId="77777777" w:rsidR="00CC2CC5" w:rsidRPr="008834DA" w:rsidRDefault="00CC2CC5" w:rsidP="00CC2CC5">
      <w:pPr>
        <w:rPr>
          <w:u w:val="single"/>
        </w:rPr>
      </w:pPr>
      <w:r w:rsidRPr="008834DA">
        <w:rPr>
          <w:u w:val="single"/>
        </w:rPr>
        <w:t xml:space="preserve"> Michael Brown, </w:t>
      </w:r>
      <w:r w:rsidRPr="008834DA">
        <w:t xml:space="preserve">director of the US Department of Defence’s innovation unit, </w:t>
      </w:r>
      <w:r w:rsidRPr="008834DA">
        <w:rPr>
          <w:u w:val="single"/>
        </w:rPr>
        <w:t xml:space="preserve">said at a seminar earlier this week that China was either competitive or catching up in the areas of hypersonics, artificial intelligence, quantum sciences, 5G mobile networks, genetic engineering, and space. </w:t>
      </w:r>
    </w:p>
    <w:p w14:paraId="36AC5BBF" w14:textId="77777777" w:rsidR="00CC2CC5" w:rsidRPr="008834DA" w:rsidRDefault="00CC2CC5" w:rsidP="00CC2CC5">
      <w:pPr>
        <w:rPr>
          <w:u w:val="single"/>
        </w:rPr>
      </w:pPr>
      <w:r w:rsidRPr="008834DA">
        <w:t xml:space="preserve">With the exception of hypersonics, </w:t>
      </w:r>
      <w:r w:rsidRPr="008834DA">
        <w:rPr>
          <w:u w:val="single"/>
        </w:rPr>
        <w:t xml:space="preserve">these technologies had not only military applications but were also critical for long-term economic prosperity, making them important to the future of US-China competition, he said. </w:t>
      </w:r>
    </w:p>
    <w:p w14:paraId="0D4880A9" w14:textId="77777777" w:rsidR="00CC2CC5" w:rsidRPr="008834DA" w:rsidRDefault="00CC2CC5" w:rsidP="00CC2CC5">
      <w:r w:rsidRPr="008834DA">
        <w:t xml:space="preserve">“I believe that national security and economic security are inextricably linked,” Brown told the think tank Centre for Strategic and International Studies in Washington. Technology is true target of US attack on China, says diplomat 29 May 2019 </w:t>
      </w:r>
    </w:p>
    <w:p w14:paraId="317C97CE" w14:textId="77777777" w:rsidR="00CC2CC5" w:rsidRPr="008834DA" w:rsidRDefault="00CC2CC5" w:rsidP="00CC2CC5">
      <w:pPr>
        <w:rPr>
          <w:u w:val="single"/>
        </w:rPr>
      </w:pPr>
      <w:r w:rsidRPr="008834DA">
        <w:t xml:space="preserve">But </w:t>
      </w:r>
      <w:r w:rsidRPr="008834DA">
        <w:rPr>
          <w:u w:val="single"/>
        </w:rPr>
        <w:t xml:space="preserve">Chinese experts said China’s progress had been exaggerated and many of its achievements were only partial successes so far. </w:t>
      </w:r>
      <w:r w:rsidRPr="008834DA">
        <w:t xml:space="preserve">Hong Kong-based military commentator </w:t>
      </w:r>
      <w:r w:rsidRPr="008834DA">
        <w:rPr>
          <w:u w:val="single"/>
        </w:rPr>
        <w:t xml:space="preserve">Song Zhongping said the US had been “unarguably more successful and experienced, far ahead of anyone” in space technology. “Look at Project Apollo and the Space Shuttle programme – decades later no other country has ever matched those achievements,” he said. </w:t>
      </w:r>
    </w:p>
    <w:p w14:paraId="13D88D75" w14:textId="77777777" w:rsidR="00CC2CC5" w:rsidRPr="008834DA" w:rsidRDefault="00CC2CC5" w:rsidP="00CC2CC5">
      <w:r w:rsidRPr="008834DA">
        <w:t xml:space="preserve">Despite breakthroughs in certain fields like 5G, there was more generally a clear gap between China’s digital information and electronics technologies and the world’s technological leaders, according to Beijing-based naval expert Li Jie. </w:t>
      </w:r>
    </w:p>
    <w:p w14:paraId="75B79040" w14:textId="77777777" w:rsidR="00CC2CC5" w:rsidRPr="008834DA" w:rsidRDefault="00CC2CC5" w:rsidP="00CC2CC5">
      <w:r w:rsidRPr="008834DA">
        <w:t xml:space="preserve">In the field of hypersonics, </w:t>
      </w:r>
      <w:r w:rsidRPr="008834DA">
        <w:rPr>
          <w:u w:val="single"/>
        </w:rPr>
        <w:t xml:space="preserve">China may have achieved milestones in glider vehicles, but </w:t>
      </w:r>
      <w:r w:rsidRPr="008834DA">
        <w:rPr>
          <w:b/>
          <w:bCs/>
          <w:u w:val="single"/>
        </w:rPr>
        <w:t>in another important technology</w:t>
      </w:r>
      <w:r w:rsidRPr="008834DA">
        <w:rPr>
          <w:u w:val="single"/>
        </w:rPr>
        <w:t xml:space="preserve"> – ramjet engines – there was no evidence of any major breakthroughs, </w:t>
      </w:r>
      <w:r w:rsidRPr="008834DA">
        <w:t>and the US was still far more experienced in the field, said Zhao Tong, senior fellow at the Carnegie-Tsinghua Centre for Global Policy.</w:t>
      </w:r>
    </w:p>
    <w:p w14:paraId="1E25E3C9" w14:textId="77777777" w:rsidR="00CC2CC5" w:rsidRPr="008834DA" w:rsidRDefault="00CC2CC5" w:rsidP="00CC2CC5">
      <w:pPr>
        <w:rPr>
          <w:u w:val="single"/>
        </w:rPr>
      </w:pPr>
      <w:r w:rsidRPr="008834DA">
        <w:t xml:space="preserve"> </w:t>
      </w:r>
      <w:r w:rsidRPr="008834DA">
        <w:rPr>
          <w:u w:val="single"/>
        </w:rPr>
        <w:t xml:space="preserve">China exhibited hypersonic missiles and drones at last month’s National Day parade, and has just launched a commercial 5G – fifth generation mobile network – service on Friday, which is the biggest in the world. </w:t>
      </w:r>
    </w:p>
    <w:p w14:paraId="2EA0454D" w14:textId="77777777" w:rsidR="00CC2CC5" w:rsidRPr="008834DA" w:rsidRDefault="00CC2CC5" w:rsidP="00CC2CC5">
      <w:r w:rsidRPr="008834DA">
        <w:t xml:space="preserve">Huawei, China’s telecommunication giant has won contracts to construct the 5G infrastructures for many countries, despite the US campaign to ban Huawei equipment over security concerns. </w:t>
      </w:r>
    </w:p>
    <w:p w14:paraId="558F660D" w14:textId="77777777" w:rsidR="00CC2CC5" w:rsidRPr="008834DA" w:rsidRDefault="00CC2CC5" w:rsidP="00CC2CC5">
      <w:pPr>
        <w:rPr>
          <w:u w:val="single"/>
        </w:rPr>
      </w:pPr>
      <w:r w:rsidRPr="008834DA">
        <w:t xml:space="preserve">Brown said </w:t>
      </w:r>
      <w:r w:rsidRPr="008834DA">
        <w:rPr>
          <w:u w:val="single"/>
        </w:rPr>
        <w:t>China was “already ahead of the US in quantum sciences”</w:t>
      </w:r>
      <w:r w:rsidRPr="008834DA">
        <w:t xml:space="preserve"> – citing the Chinese launch in 2016 of Micius, the world’s first quantum communications satellite. China had also made more launches into space than the US in 2018 as it speeded up its space programme, he said. Brown added the US had used Chinese equipment for genome sequencing, which meant </w:t>
      </w:r>
      <w:r w:rsidRPr="008834DA">
        <w:rPr>
          <w:u w:val="single"/>
        </w:rPr>
        <w:t xml:space="preserve">China had more data on the genetic sequencing of the US population than the US itself, he said, and the US was also playing “a catch up game” with China in AI-based facial recognition. </w:t>
      </w:r>
    </w:p>
    <w:p w14:paraId="794ADAB5" w14:textId="77777777" w:rsidR="00CC2CC5" w:rsidRPr="008834DA" w:rsidRDefault="00CC2CC5" w:rsidP="00CC2CC5">
      <w:pPr>
        <w:rPr>
          <w:u w:val="single"/>
        </w:rPr>
      </w:pPr>
      <w:r w:rsidRPr="008834DA">
        <w:rPr>
          <w:u w:val="single"/>
        </w:rPr>
        <w:t xml:space="preserve">For the past 50 to 80 years, the US had led the way and set the standards in almost all important technologies and industries, he said. In doing so, the US had been able to build and shape a global ecosystem and enjoy its advantages since the end of World War II. </w:t>
      </w:r>
    </w:p>
    <w:p w14:paraId="47B557BA" w14:textId="77777777" w:rsidR="00CC2CC5" w:rsidRPr="008834DA" w:rsidRDefault="00CC2CC5" w:rsidP="00CC2CC5">
      <w:pPr>
        <w:rPr>
          <w:b/>
          <w:bCs/>
          <w:u w:val="single"/>
        </w:rPr>
      </w:pPr>
      <w:r w:rsidRPr="008834DA">
        <w:rPr>
          <w:b/>
          <w:bCs/>
          <w:u w:val="single"/>
        </w:rPr>
        <w:t xml:space="preserve">But, Brown warned, for China to set the pace for these technologies would be “game-changing”. </w:t>
      </w:r>
    </w:p>
    <w:p w14:paraId="12F34BB9" w14:textId="77777777" w:rsidR="00CC2CC5" w:rsidRPr="008834DA" w:rsidRDefault="00CC2CC5" w:rsidP="00CC2CC5">
      <w:pPr>
        <w:rPr>
          <w:u w:val="single"/>
        </w:rPr>
      </w:pPr>
      <w:r w:rsidRPr="008834DA">
        <w:t>“Imagine what the world would look like if China was setting standards,” he said. “</w:t>
      </w:r>
      <w:r w:rsidRPr="008834DA">
        <w:rPr>
          <w:u w:val="single"/>
        </w:rPr>
        <w:t xml:space="preserve">Over time, that means we </w:t>
      </w:r>
      <w:r w:rsidRPr="008834DA">
        <w:rPr>
          <w:b/>
          <w:bCs/>
          <w:u w:val="single"/>
        </w:rPr>
        <w:t>have fewer levers to shape what the US wants to do</w:t>
      </w:r>
      <w:r w:rsidRPr="008834DA">
        <w:rPr>
          <w:u w:val="single"/>
        </w:rPr>
        <w:t xml:space="preserve">, both from a global technology standpoint and also what are the values that are highlighted around the world as ones to be looked up to.” </w:t>
      </w:r>
    </w:p>
    <w:p w14:paraId="1AACA0D2" w14:textId="77777777" w:rsidR="00CC2CC5" w:rsidRPr="008834DA" w:rsidRDefault="00CC2CC5" w:rsidP="00CC2CC5">
      <w:r w:rsidRPr="008834DA">
        <w:t>Ni Lexiong, a Shanghai-based military commentator, said Brown had his own agenda in making his comments. “</w:t>
      </w:r>
      <w:r w:rsidRPr="008834DA">
        <w:rPr>
          <w:u w:val="single"/>
        </w:rPr>
        <w:t>The US military wants more budget, more new equipment, more new R&amp;D projects.</w:t>
      </w:r>
      <w:r w:rsidRPr="008834DA">
        <w:t xml:space="preserve"> And the theory of a China threat is, of course, a handy excuse,” Ni said. </w:t>
      </w:r>
    </w:p>
    <w:p w14:paraId="6BA25CFF" w14:textId="77777777" w:rsidR="00CC2CC5" w:rsidRPr="008834DA" w:rsidRDefault="00CC2CC5" w:rsidP="00CC2CC5">
      <w:pPr>
        <w:pStyle w:val="Heading4"/>
      </w:pPr>
      <w:r w:rsidRPr="008834DA">
        <w:t>Extinction.</w:t>
      </w:r>
    </w:p>
    <w:p w14:paraId="4ED69221" w14:textId="77777777" w:rsidR="00CC2CC5" w:rsidRPr="008834DA" w:rsidRDefault="00CC2CC5" w:rsidP="00CC2CC5">
      <w:r w:rsidRPr="008834DA">
        <w:rPr>
          <w:b/>
          <w:bCs/>
          <w:sz w:val="26"/>
          <w:szCs w:val="26"/>
        </w:rPr>
        <w:t>The Economist 18</w:t>
      </w:r>
      <w:r w:rsidRPr="008834DA">
        <w:t xml:space="preserve"> – (“The growing danger of great-power conflict,” </w:t>
      </w:r>
      <w:r w:rsidRPr="008834DA">
        <w:rPr>
          <w:i/>
          <w:iCs/>
        </w:rPr>
        <w:t>Economist</w:t>
      </w:r>
      <w:r w:rsidRPr="008834DA">
        <w:t xml:space="preserve">, 1-26-18, </w:t>
      </w:r>
      <w:hyperlink r:id="rId52" w:history="1">
        <w:r w:rsidRPr="008834DA">
          <w:rPr>
            <w:rStyle w:val="Hyperlink"/>
          </w:rPr>
          <w:t>https://www.economist.com/leaders/2018/01/25/the-growing-danger-of-great-power-conflict</w:t>
        </w:r>
      </w:hyperlink>
      <w:r w:rsidRPr="008834DA">
        <w:t>, Accessed 7-4-20, LASA-AH)</w:t>
      </w:r>
    </w:p>
    <w:p w14:paraId="18B0E09F" w14:textId="77777777" w:rsidR="00CC2CC5" w:rsidRPr="008834DA" w:rsidRDefault="00CC2CC5" w:rsidP="00CC2CC5">
      <w:r w:rsidRPr="008834DA">
        <w:rPr>
          <w:u w:val="single"/>
        </w:rPr>
        <w:t>Even if China stays out of a second Korean war, both it and Russia are entering into a renewal of great-power competition with the West.</w:t>
      </w:r>
      <w:r w:rsidRPr="008834DA">
        <w:t xml:space="preserve"> Their ambitions will be even harder to deal with than North Korea’s. </w:t>
      </w:r>
      <w:r w:rsidRPr="008834DA">
        <w:rPr>
          <w:u w:val="single"/>
        </w:rPr>
        <w:t>Three decades of unprecedented economic growth have provided China with the wealth to transform its armed forces, and given its leaders the sense that their moment has come. Russia</w:t>
      </w:r>
      <w:r w:rsidRPr="008834DA">
        <w:t xml:space="preserve">, paradoxically, </w:t>
      </w:r>
      <w:r w:rsidRPr="008834DA">
        <w:rPr>
          <w:u w:val="single"/>
        </w:rPr>
        <w:t>needs to assert itself now because it is in long-term decline</w:t>
      </w:r>
      <w:r w:rsidRPr="008834DA">
        <w:t>. Its leaders have spent heavily to restore Russia’s hard power, and they are willing to take risks to prove they deserve respect and a seat at the table.</w:t>
      </w:r>
    </w:p>
    <w:p w14:paraId="54A5E510" w14:textId="77777777" w:rsidR="00CC2CC5" w:rsidRPr="008834DA" w:rsidRDefault="00CC2CC5" w:rsidP="00CC2CC5">
      <w:r w:rsidRPr="008834DA">
        <w:rPr>
          <w:u w:val="single"/>
        </w:rPr>
        <w:t>Both countries have benefited from the international order that America did most to establish and guarantee. But they see its pillars—universal human rights, democracy and the rule of law</w:t>
      </w:r>
      <w:r w:rsidRPr="008834DA">
        <w:t xml:space="preserve">—as an imposition that excuses foreign meddling and undermines their own legitimacy. </w:t>
      </w:r>
      <w:r w:rsidRPr="008834DA">
        <w:rPr>
          <w:u w:val="single"/>
        </w:rPr>
        <w:t>They are now revisionist states that want to challenge the status quo and look at their regions as spheres of influence to be dominated</w:t>
      </w:r>
      <w:r w:rsidRPr="008834DA">
        <w:t>. For China, that means East Asia; for Russia, eastern Europe and Central Asia.</w:t>
      </w:r>
    </w:p>
    <w:p w14:paraId="7B518494" w14:textId="77777777" w:rsidR="00CC2CC5" w:rsidRPr="008834DA" w:rsidRDefault="00CC2CC5" w:rsidP="00CC2CC5">
      <w:r w:rsidRPr="008834DA">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015825F1" w14:textId="77777777" w:rsidR="00CC2CC5" w:rsidRPr="008834DA" w:rsidRDefault="00CC2CC5" w:rsidP="00CC2CC5">
      <w:r w:rsidRPr="008834DA">
        <w:rPr>
          <w:u w:val="single"/>
        </w:rPr>
        <w:t>China and Russia have harnessed military technologies invented by America, such as long-range precision-strike and electromagnetic-spectrum warfare, to raise the cost of intervention against them dramatically</w:t>
      </w:r>
      <w:r w:rsidRPr="008834DA">
        <w:t xml:space="preserve">. Both have </w:t>
      </w:r>
      <w:r w:rsidRPr="008834DA">
        <w:rPr>
          <w:u w:val="single"/>
        </w:rPr>
        <w:t>used asymmetric-warfare strategies to create “anti-access/area denial” networks.</w:t>
      </w:r>
      <w:r w:rsidRPr="008834DA">
        <w:t xml:space="preserve"> China aims to push American naval forces far out into the Pacific where they can no longer safely project power into the East and South China Seas. </w:t>
      </w:r>
      <w:r w:rsidRPr="008834DA">
        <w:rPr>
          <w:u w:val="single"/>
        </w:rPr>
        <w:t>Russia wants the world to know that, from the Arctic to the Black Sea, it can call on greater firepower than its foes—and that it will not hesitate to do so.</w:t>
      </w:r>
    </w:p>
    <w:p w14:paraId="2DB451EA" w14:textId="77777777" w:rsidR="00CC2CC5" w:rsidRPr="008834DA" w:rsidRDefault="00CC2CC5" w:rsidP="00CC2CC5">
      <w:r w:rsidRPr="008834DA">
        <w:rPr>
          <w:u w:val="single"/>
        </w:rPr>
        <w:t>If America allows China and Russia to establish regional hegemonies, either consciously or because its politics are too dysfunctional to muster a response, it will have given them a green light to pursue their interests by brute force</w:t>
      </w:r>
      <w:r w:rsidRPr="008834DA">
        <w:t>. When that was last tried, the result was the first world war.</w:t>
      </w:r>
    </w:p>
    <w:p w14:paraId="79B73CCC" w14:textId="77777777" w:rsidR="00CC2CC5" w:rsidRPr="008834DA" w:rsidRDefault="00CC2CC5" w:rsidP="00CC2CC5">
      <w:r w:rsidRPr="008834DA">
        <w:rPr>
          <w:u w:val="single"/>
        </w:rPr>
        <w:t xml:space="preserve">Nuclear weapons, largely a source of stability since 1945, may </w:t>
      </w:r>
      <w:r w:rsidRPr="008834DA">
        <w:rPr>
          <w:rStyle w:val="Emphasis"/>
        </w:rPr>
        <w:t>add to the danger.</w:t>
      </w:r>
      <w:r w:rsidRPr="008834DA">
        <w:t xml:space="preserve"> Their command-and-control systems are becoming vulnerable to hacking by new cyber-weapons or “blinding” of the satellites they depend on. </w:t>
      </w:r>
      <w:r w:rsidRPr="008834DA">
        <w:rPr>
          <w:u w:val="single"/>
        </w:rPr>
        <w:t>A country under such an attack could find itself under pressure to choose between losing control of its nuclear weapons or using them.</w:t>
      </w:r>
    </w:p>
    <w:p w14:paraId="05A44BB2" w14:textId="77777777" w:rsidR="00CC2CC5" w:rsidRPr="008834DA" w:rsidRDefault="00CC2CC5" w:rsidP="00CC2CC5">
      <w:r w:rsidRPr="008834DA">
        <w:t>Vain citadels</w:t>
      </w:r>
    </w:p>
    <w:p w14:paraId="0AF8A4FD" w14:textId="77777777" w:rsidR="00CC2CC5" w:rsidRPr="008834DA" w:rsidRDefault="00CC2CC5" w:rsidP="00CC2CC5">
      <w:r w:rsidRPr="008834DA">
        <w:t>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14:paraId="7FDE2FA9" w14:textId="77777777" w:rsidR="00CC2CC5" w:rsidRPr="008834DA" w:rsidRDefault="00CC2CC5" w:rsidP="00CC2CC5">
      <w:pPr>
        <w:rPr>
          <w:u w:val="single"/>
        </w:rPr>
      </w:pPr>
      <w:r w:rsidRPr="008834DA">
        <w:rPr>
          <w:u w:val="single"/>
        </w:rPr>
        <w:t>America needs to accept that it is a prime beneficiary of the international system and that it is the only power with the ability and the resources to protect it from sustained attack</w:t>
      </w:r>
      <w:r w:rsidRPr="008834DA">
        <w:t xml:space="preserve">. The soft power of patient and consistent diplomacy is vital, </w:t>
      </w:r>
      <w:r w:rsidRPr="008834DA">
        <w:rPr>
          <w:u w:val="single"/>
        </w:rPr>
        <w:t>but must be backed by the hard power that China and Russia respect</w:t>
      </w:r>
      <w:r w:rsidRPr="008834DA">
        <w:t xml:space="preserve">. America retains plenty of that hard power, </w:t>
      </w:r>
      <w:r w:rsidRPr="008834DA">
        <w:rPr>
          <w:u w:val="single"/>
        </w:rPr>
        <w:t xml:space="preserve">but it is fast </w:t>
      </w:r>
      <w:r w:rsidRPr="008834DA">
        <w:rPr>
          <w:rStyle w:val="Emphasis"/>
        </w:rPr>
        <w:t>losing the edge</w:t>
      </w:r>
      <w:r w:rsidRPr="008834DA">
        <w:rPr>
          <w:u w:val="single"/>
        </w:rPr>
        <w:t xml:space="preserve"> in </w:t>
      </w:r>
      <w:r w:rsidRPr="008834DA">
        <w:rPr>
          <w:rStyle w:val="Emphasis"/>
        </w:rPr>
        <w:t>military technology</w:t>
      </w:r>
      <w:r w:rsidRPr="008834DA">
        <w:rPr>
          <w:u w:val="single"/>
        </w:rPr>
        <w:t xml:space="preserve"> that inspired confidence in its allies and fear in its foes.</w:t>
      </w:r>
    </w:p>
    <w:p w14:paraId="09D7579D" w14:textId="77777777" w:rsidR="00CC2CC5" w:rsidRPr="008834DA" w:rsidRDefault="00CC2CC5" w:rsidP="00CC2CC5">
      <w:pPr>
        <w:rPr>
          <w:u w:val="single"/>
        </w:rPr>
      </w:pPr>
      <w:r w:rsidRPr="008834DA">
        <w:t xml:space="preserve">To match its diplomacy, </w:t>
      </w:r>
      <w:r w:rsidRPr="008834DA">
        <w:rPr>
          <w:u w:val="single"/>
        </w:rPr>
        <w:t>America needs to invest in new systems based on robotics, artificial intelligence, big data and directed-energy weapons.</w:t>
      </w:r>
      <w:r w:rsidRPr="008834DA">
        <w:t xml:space="preserve"> Belatedly, Mr </w:t>
      </w:r>
      <w:r w:rsidRPr="008834DA">
        <w:rPr>
          <w:u w:val="single"/>
        </w:rPr>
        <w:t>Obama realised that America required a concerted effort to regain its technological lead, yet there is no guarantee that it will be the first to innovate.</w:t>
      </w:r>
      <w:r w:rsidRPr="008834DA">
        <w:t xml:space="preserve"> Mr </w:t>
      </w:r>
      <w:r w:rsidRPr="008834DA">
        <w:rPr>
          <w:u w:val="single"/>
        </w:rPr>
        <w:t>Trump</w:t>
      </w:r>
      <w:r w:rsidRPr="008834DA">
        <w:t xml:space="preserve"> and his successors </w:t>
      </w:r>
      <w:r w:rsidRPr="008834DA">
        <w:rPr>
          <w:u w:val="single"/>
        </w:rPr>
        <w:t>need to redouble the effort.</w:t>
      </w:r>
    </w:p>
    <w:p w14:paraId="2548E732" w14:textId="77777777" w:rsidR="00CC2CC5" w:rsidRPr="003E712B" w:rsidRDefault="00CC2CC5" w:rsidP="00CC2CC5">
      <w:pPr>
        <w:rPr>
          <w:b/>
          <w:iCs/>
          <w:sz w:val="24"/>
          <w:u w:val="single"/>
          <w:bdr w:val="single" w:sz="8" w:space="0" w:color="auto"/>
        </w:rPr>
      </w:pPr>
      <w:r w:rsidRPr="008834DA">
        <w:t xml:space="preserve">The best guarantor of world peace is a strong </w:t>
      </w:r>
      <w:r w:rsidRPr="008834DA">
        <w:rPr>
          <w:u w:val="single"/>
        </w:rPr>
        <w:t>America</w:t>
      </w:r>
      <w:r w:rsidRPr="008834DA">
        <w:t xml:space="preserve">. Fortunately, it </w:t>
      </w:r>
      <w:r w:rsidRPr="008834DA">
        <w:rPr>
          <w:u w:val="single"/>
        </w:rPr>
        <w:t xml:space="preserve">still enjoys advantages. It has rich and capable allies, </w:t>
      </w:r>
      <w:r w:rsidRPr="008834DA">
        <w:t>still by far the world’s most powerful armed forces, unrivalled war-fighting experience, the best systems engineers and the world’s leading tech firms</w:t>
      </w:r>
      <w:r w:rsidRPr="008834DA">
        <w:rPr>
          <w:u w:val="single"/>
        </w:rPr>
        <w:t xml:space="preserve">. Yet those advantages could all too easily be squandered. Without America’s commitment to the international order and the hard power to defend it against determined and able challengers, the dangers will grow. If they do, the future of war could be </w:t>
      </w:r>
      <w:r w:rsidRPr="008834DA">
        <w:rPr>
          <w:rStyle w:val="Emphasis"/>
        </w:rPr>
        <w:t>closer than you think.</w:t>
      </w:r>
    </w:p>
    <w:p w14:paraId="78DA35BD" w14:textId="77777777" w:rsidR="00CC2CC5" w:rsidRDefault="00CC2CC5" w:rsidP="00CC2CC5">
      <w:pPr>
        <w:pStyle w:val="Heading3"/>
      </w:pPr>
      <w:r>
        <w:t>AT: Democracy Turn</w:t>
      </w:r>
    </w:p>
    <w:p w14:paraId="664C85EC" w14:textId="77777777" w:rsidR="00CC2CC5" w:rsidRDefault="00CC2CC5" w:rsidP="00CC2CC5">
      <w:pPr>
        <w:pStyle w:val="Heading4"/>
      </w:pPr>
      <w:r>
        <w:t>Chevron isn’t bad for democracy – Congress has the ability to delegate authority to the courts</w:t>
      </w:r>
    </w:p>
    <w:p w14:paraId="20BAAF17" w14:textId="77777777" w:rsidR="00CC2CC5" w:rsidRPr="00574CCC" w:rsidRDefault="00CC2CC5" w:rsidP="00CC2CC5">
      <w:pPr>
        <w:rPr>
          <w:rStyle w:val="Style13ptBold"/>
        </w:rPr>
      </w:pPr>
      <w:r>
        <w:rPr>
          <w:rStyle w:val="Style13ptBold"/>
        </w:rPr>
        <w:t xml:space="preserve">Mullor 10 </w:t>
      </w:r>
      <w:r w:rsidRPr="00574CCC">
        <w:t xml:space="preserve">– Facultad de Derecho Universitat Pompeu Fabra. Mullor, Joan Solanes. “Why Independent Agencies Deserve Chevron Deference” InDret. April 2010. </w:t>
      </w:r>
    </w:p>
    <w:p w14:paraId="34DBBE9A" w14:textId="77777777" w:rsidR="00CC2CC5" w:rsidRPr="003D23D2" w:rsidRDefault="00CC2CC5" w:rsidP="00CC2CC5">
      <w:pPr>
        <w:rPr>
          <w:sz w:val="16"/>
        </w:rPr>
      </w:pPr>
      <w:r w:rsidRPr="00574CCC">
        <w:rPr>
          <w:rStyle w:val="StyleUnderline"/>
        </w:rPr>
        <w:t xml:space="preserve">Do the institutional features of independent agencies make these forms of organization less meritorious for the application of Chevron </w:t>
      </w:r>
      <w:r w:rsidRPr="003D23D2">
        <w:rPr>
          <w:sz w:val="16"/>
        </w:rPr>
        <w:t xml:space="preserve">deference? </w:t>
      </w:r>
      <w:r w:rsidRPr="00A44C06">
        <w:rPr>
          <w:rStyle w:val="StyleUnderline"/>
        </w:rPr>
        <w:t xml:space="preserve">Some scholars have answered affirmatively </w:t>
      </w:r>
      <w:r w:rsidRPr="003D23D2">
        <w:rPr>
          <w:sz w:val="16"/>
        </w:rPr>
        <w:t xml:space="preserve">this question, arguing that independent agencies are less political accountable because presidential and congressional checks are diminished. They blame specifically the removal of President and Congress oversight because the secure tenure of the heads of independent agencies.94 The argument is undoubtedly simple. The “transmission belt model” popularized time ago by Jerry L. Mashaw would collapse.95 Expressed concisely, the democratic legitimacy of administrative agencies comes through “transmission” from entities that are directly elected by citizens, like Congress and the President. The oversight and the directive power of these elected bodies over the administrative agencies make it possible for the administrative apparatus to develop functions that obligate citizens, given that the latter retain the power of removal via voting for the electorally responsible bodies that are at the top of the bureaucracy. In this regard, independent agencies would be isolated from any type of political responsibility by removing control over them through the elected bodies, especially that of the President. </w:t>
      </w:r>
      <w:r w:rsidRPr="00A44C06">
        <w:rPr>
          <w:rStyle w:val="Emphasis"/>
        </w:rPr>
        <w:t>This argument,</w:t>
      </w:r>
      <w:r w:rsidRPr="003D23D2">
        <w:rPr>
          <w:sz w:val="16"/>
        </w:rPr>
        <w:t xml:space="preserve"> based on an electoral understanding of democracy, </w:t>
      </w:r>
      <w:r w:rsidRPr="00574CCC">
        <w:rPr>
          <w:rStyle w:val="Emphasis"/>
        </w:rPr>
        <w:t xml:space="preserve">has significant weaknesses </w:t>
      </w:r>
      <w:r w:rsidRPr="00A44C06">
        <w:rPr>
          <w:rStyle w:val="StyleUnderline"/>
        </w:rPr>
        <w:t>with respect to the Chevron framework.</w:t>
      </w:r>
      <w:r w:rsidRPr="003D23D2">
        <w:rPr>
          <w:sz w:val="16"/>
        </w:rPr>
        <w:t xml:space="preserve"> In Post-Chevron cases the Supreme Court has specified that the theory of congressional delegation is the main rationale for applying Chevron deference. </w:t>
      </w:r>
      <w:r w:rsidRPr="00A44C06">
        <w:rPr>
          <w:rStyle w:val="StyleUnderline"/>
        </w:rPr>
        <w:t xml:space="preserve">Congress </w:t>
      </w:r>
      <w:r w:rsidRPr="003D23D2">
        <w:rPr>
          <w:sz w:val="16"/>
        </w:rPr>
        <w:t>is the body that</w:t>
      </w:r>
      <w:r w:rsidRPr="00574CCC">
        <w:rPr>
          <w:rStyle w:val="Emphasis"/>
        </w:rPr>
        <w:t xml:space="preserve"> </w:t>
      </w:r>
      <w:r w:rsidRPr="00A44C06">
        <w:rPr>
          <w:rStyle w:val="StyleUnderline"/>
        </w:rPr>
        <w:t>decides how to distribute statutory interpretation tasks between agencies and courts</w:t>
      </w:r>
      <w:r w:rsidRPr="003D23D2">
        <w:rPr>
          <w:sz w:val="16"/>
        </w:rPr>
        <w:t xml:space="preserve">. </w:t>
      </w:r>
      <w:r w:rsidRPr="00A44C06">
        <w:rPr>
          <w:rStyle w:val="StyleUnderline"/>
        </w:rPr>
        <w:t>The allocation</w:t>
      </w:r>
      <w:r w:rsidRPr="003D23D2">
        <w:rPr>
          <w:sz w:val="16"/>
        </w:rPr>
        <w:t xml:space="preserve"> of tasks, therefore, </w:t>
      </w:r>
      <w:r w:rsidRPr="00677380">
        <w:rPr>
          <w:rStyle w:val="Emphasis"/>
        </w:rPr>
        <w:t xml:space="preserve">does not rest automatically with democratically-elected bodies </w:t>
      </w:r>
      <w:r w:rsidRPr="003D23D2">
        <w:rPr>
          <w:sz w:val="16"/>
        </w:rPr>
        <w:t xml:space="preserve">according to the mere fact of them being electoral responsible. </w:t>
      </w:r>
      <w:r w:rsidRPr="00677380">
        <w:rPr>
          <w:rStyle w:val="StyleUnderline"/>
        </w:rPr>
        <w:t>Congress can decide,</w:t>
      </w:r>
      <w:r w:rsidRPr="003D23D2">
        <w:rPr>
          <w:sz w:val="16"/>
        </w:rPr>
        <w:t xml:space="preserve"> through the determination of judicial review standards, </w:t>
      </w:r>
      <w:r w:rsidRPr="003D23D2">
        <w:rPr>
          <w:rStyle w:val="StyleUnderline"/>
        </w:rPr>
        <w:t>to delegate the statutory interpretation task to courts,</w:t>
      </w:r>
      <w:r w:rsidRPr="003D23D2">
        <w:rPr>
          <w:sz w:val="16"/>
        </w:rPr>
        <w:t xml:space="preserve"> non-elected bodies without electoral responsibility. The formulation of policies by courts is a constant in the common law system.96 Thus,</w:t>
      </w:r>
      <w:r w:rsidRPr="00677380">
        <w:rPr>
          <w:rStyle w:val="StyleUnderline"/>
        </w:rPr>
        <w:t xml:space="preserve"> the decision to give statutory interpretation power to elected bodies</w:t>
      </w:r>
      <w:r w:rsidRPr="003D23D2">
        <w:rPr>
          <w:sz w:val="16"/>
        </w:rPr>
        <w:t xml:space="preserve"> (the President and the administrative agencies under his supervision) </w:t>
      </w:r>
      <w:r w:rsidRPr="00677380">
        <w:rPr>
          <w:rStyle w:val="StyleUnderline"/>
        </w:rPr>
        <w:t>or non-elected bodies</w:t>
      </w:r>
      <w:r w:rsidRPr="003D23D2">
        <w:rPr>
          <w:sz w:val="16"/>
        </w:rPr>
        <w:t xml:space="preserve"> (courts) </w:t>
      </w:r>
      <w:r w:rsidRPr="00677380">
        <w:rPr>
          <w:rStyle w:val="StyleUnderline"/>
        </w:rPr>
        <w:t>belongs to Congress</w:t>
      </w:r>
      <w:r w:rsidRPr="003D23D2">
        <w:rPr>
          <w:sz w:val="16"/>
        </w:rPr>
        <w:t xml:space="preserve">. </w:t>
      </w:r>
      <w:r w:rsidRPr="00677380">
        <w:rPr>
          <w:rStyle w:val="StyleUnderline"/>
        </w:rPr>
        <w:t xml:space="preserve">Even if </w:t>
      </w:r>
      <w:r w:rsidRPr="003D23D2">
        <w:rPr>
          <w:rStyle w:val="Emphasis"/>
        </w:rPr>
        <w:t>political accountability</w:t>
      </w:r>
      <w:r w:rsidRPr="00677380">
        <w:rPr>
          <w:rStyle w:val="StyleUnderline"/>
        </w:rPr>
        <w:t xml:space="preserve"> is not the main rationale of Chevron</w:t>
      </w:r>
      <w:r w:rsidRPr="00677380">
        <w:rPr>
          <w:rStyle w:val="Emphasis"/>
        </w:rPr>
        <w:t xml:space="preserve">, </w:t>
      </w:r>
      <w:r w:rsidRPr="003D23D2">
        <w:rPr>
          <w:sz w:val="16"/>
        </w:rPr>
        <w:t>it still</w:t>
      </w:r>
      <w:r w:rsidRPr="00677380">
        <w:rPr>
          <w:rStyle w:val="Emphasis"/>
        </w:rPr>
        <w:t xml:space="preserve"> plays a role in its framework</w:t>
      </w:r>
      <w:r w:rsidRPr="003D23D2">
        <w:rPr>
          <w:sz w:val="16"/>
        </w:rPr>
        <w:t xml:space="preserve">. </w:t>
      </w:r>
      <w:r w:rsidRPr="00677380">
        <w:rPr>
          <w:rStyle w:val="StyleUnderline"/>
        </w:rPr>
        <w:t xml:space="preserve">In determining whether congressional delegation of interpretive statutory powers in favor of the administration have been granted or not, the political accountability rationale can serve </w:t>
      </w:r>
      <w:r w:rsidRPr="003D23D2">
        <w:rPr>
          <w:sz w:val="16"/>
        </w:rPr>
        <w:t>as a good indicator for reconstructing the intention of the legislator in the best way possible</w:t>
      </w:r>
      <w:r w:rsidRPr="00677380">
        <w:rPr>
          <w:rStyle w:val="StyleUnderline"/>
        </w:rPr>
        <w:t>.</w:t>
      </w:r>
      <w:r w:rsidRPr="003D23D2">
        <w:rPr>
          <w:sz w:val="16"/>
        </w:rPr>
        <w:t xml:space="preserve"> </w:t>
      </w:r>
      <w:r w:rsidRPr="00677380">
        <w:rPr>
          <w:rStyle w:val="StyleUnderline"/>
        </w:rPr>
        <w:t xml:space="preserve">It is on this point that an additional weakness of arguments based on a </w:t>
      </w:r>
      <w:r w:rsidRPr="00677380">
        <w:rPr>
          <w:rStyle w:val="Emphasis"/>
        </w:rPr>
        <w:t>merely-electoral understanding of democracy</w:t>
      </w:r>
      <w:r w:rsidRPr="003D23D2">
        <w:rPr>
          <w:sz w:val="16"/>
        </w:rPr>
        <w:t xml:space="preserve"> and political accountability </w:t>
      </w:r>
      <w:r w:rsidRPr="00677380">
        <w:rPr>
          <w:rStyle w:val="Emphasis"/>
        </w:rPr>
        <w:t>appear</w:t>
      </w:r>
      <w:r w:rsidRPr="003D23D2">
        <w:rPr>
          <w:sz w:val="16"/>
        </w:rPr>
        <w:t xml:space="preserve">. Since Mead, </w:t>
      </w:r>
      <w:r w:rsidRPr="00677380">
        <w:rPr>
          <w:rStyle w:val="StyleUnderline"/>
        </w:rPr>
        <w:t>the Supreme Court has opted to link the existence of delegation with procedural values</w:t>
      </w:r>
      <w:r w:rsidRPr="003D23D2">
        <w:rPr>
          <w:sz w:val="16"/>
        </w:rPr>
        <w:t xml:space="preserve">. It leans towards inferring the existence of congressional delegation when there are procedures that let citizens participate in decision-making. This approach assures results wherever all the interests and rights of citizens are thoroughly analyzed on their own merits. </w:t>
      </w:r>
      <w:r w:rsidRPr="00677380">
        <w:rPr>
          <w:u w:val="single"/>
        </w:rPr>
        <w:t>The electoral angle of political responsibility</w:t>
      </w:r>
      <w:r w:rsidRPr="003D23D2">
        <w:rPr>
          <w:sz w:val="16"/>
        </w:rPr>
        <w:t xml:space="preserve"> -directly in the case of the President or indirectly via “transmission” in the case of administrative agencies- </w:t>
      </w:r>
      <w:r w:rsidRPr="00677380">
        <w:rPr>
          <w:rStyle w:val="Emphasis"/>
        </w:rPr>
        <w:t xml:space="preserve">is not the best way to determine </w:t>
      </w:r>
      <w:r w:rsidRPr="003D23D2">
        <w:rPr>
          <w:sz w:val="16"/>
        </w:rPr>
        <w:t>whether the legislator wanted</w:t>
      </w:r>
      <w:r w:rsidRPr="00677380">
        <w:rPr>
          <w:rStyle w:val="Emphasis"/>
        </w:rPr>
        <w:t xml:space="preserve"> to delegate statutory interpretation authority to an agency.</w:t>
      </w:r>
      <w:r w:rsidRPr="003D23D2">
        <w:rPr>
          <w:sz w:val="16"/>
        </w:rPr>
        <w:t xml:space="preserve"> </w:t>
      </w:r>
      <w:r w:rsidRPr="00677380">
        <w:rPr>
          <w:rStyle w:val="StyleUnderline"/>
        </w:rPr>
        <w:t>An executive agency can indeed fulfill the requirement of being politically responsible</w:t>
      </w:r>
      <w:r w:rsidRPr="003D23D2">
        <w:rPr>
          <w:sz w:val="16"/>
        </w:rPr>
        <w:t xml:space="preserve"> from the electoral modality standpoint </w:t>
      </w:r>
      <w:r w:rsidRPr="00677380">
        <w:rPr>
          <w:rStyle w:val="StyleUnderline"/>
        </w:rPr>
        <w:t>due to the supervision and control of its action by the President</w:t>
      </w:r>
      <w:r w:rsidRPr="003D23D2">
        <w:rPr>
          <w:sz w:val="16"/>
        </w:rPr>
        <w:t xml:space="preserve">. At the same time, however, under the Chevron framework the same executive agency might not easily be a candidate for the application of deference because the lack of the procedural guarantees announced in Mead in the decision making process. It is necessary to reformulate the questions to address in our debate. </w:t>
      </w:r>
      <w:r w:rsidRPr="00677380">
        <w:rPr>
          <w:rStyle w:val="StyleUnderline"/>
        </w:rPr>
        <w:t>Under the Chevron framework, the question whether independent agencies deserve judicial deference in the interpretation of the statutes they administer must not be answered in light of whether the President or Congress are capable of managing or controlling this interpretation.</w:t>
      </w:r>
      <w:r w:rsidRPr="003D23D2">
        <w:rPr>
          <w:sz w:val="16"/>
        </w:rPr>
        <w:t xml:space="preserve"> </w:t>
      </w:r>
      <w:r w:rsidRPr="00677380">
        <w:rPr>
          <w:rStyle w:val="StyleUnderline"/>
        </w:rPr>
        <w:t>The question</w:t>
      </w:r>
      <w:r w:rsidRPr="003D23D2">
        <w:rPr>
          <w:sz w:val="16"/>
        </w:rPr>
        <w:t xml:space="preserve"> to answer </w:t>
      </w:r>
      <w:r w:rsidRPr="00677380">
        <w:rPr>
          <w:rStyle w:val="StyleUnderline"/>
        </w:rPr>
        <w:t xml:space="preserve">is </w:t>
      </w:r>
      <w:r w:rsidRPr="003D23D2">
        <w:rPr>
          <w:rStyle w:val="Emphasis"/>
        </w:rPr>
        <w:t>whether independent agencies fulfill</w:t>
      </w:r>
      <w:r w:rsidRPr="00677380">
        <w:rPr>
          <w:rStyle w:val="StyleUnderline"/>
        </w:rPr>
        <w:t xml:space="preserve"> the procedural </w:t>
      </w:r>
      <w:r w:rsidRPr="003D23D2">
        <w:rPr>
          <w:rStyle w:val="Emphasis"/>
        </w:rPr>
        <w:t>requirements that the Supreme Court has required</w:t>
      </w:r>
      <w:r w:rsidRPr="00677380">
        <w:rPr>
          <w:rStyle w:val="StyleUnderline"/>
        </w:rPr>
        <w:t xml:space="preserve"> </w:t>
      </w:r>
      <w:r w:rsidRPr="003D23D2">
        <w:rPr>
          <w:sz w:val="16"/>
        </w:rPr>
        <w:t xml:space="preserve">since Mead to conclude that </w:t>
      </w:r>
      <w:r w:rsidRPr="00677380">
        <w:rPr>
          <w:rStyle w:val="StyleUnderline"/>
        </w:rPr>
        <w:t>they are authorized to resolve ambiguities in the text of the statutes that they administer</w:t>
      </w:r>
      <w:r w:rsidRPr="003D23D2">
        <w:rPr>
          <w:sz w:val="16"/>
        </w:rPr>
        <w:t xml:space="preserve">: citizens should be able to participate in the decision making process, the decision maker has to conduct a reflexive analysis of all the interests and arguments, taking into account them by their own merits, and </w:t>
      </w:r>
      <w:r w:rsidRPr="00677380">
        <w:rPr>
          <w:rStyle w:val="Emphasis"/>
        </w:rPr>
        <w:t>expertise has a place in the debate.</w:t>
      </w:r>
    </w:p>
    <w:p w14:paraId="6D2BEB17" w14:textId="77777777" w:rsidR="00CC2CC5" w:rsidRDefault="00CC2CC5" w:rsidP="00CC2CC5">
      <w:pPr>
        <w:pStyle w:val="Heading3"/>
      </w:pPr>
      <w:r>
        <w:t>Ag Impact</w:t>
      </w:r>
    </w:p>
    <w:p w14:paraId="48E6C6B1" w14:textId="77777777" w:rsidR="00CC2CC5" w:rsidRPr="008834DA" w:rsidRDefault="00CC2CC5" w:rsidP="00CC2CC5">
      <w:pPr>
        <w:pStyle w:val="Heading4"/>
        <w:rPr>
          <w:rFonts w:asciiTheme="minorHAnsi" w:hAnsiTheme="minorHAnsi" w:cstheme="minorHAnsi"/>
          <w:u w:val="single"/>
        </w:rPr>
      </w:pPr>
      <w:r w:rsidRPr="008834DA">
        <w:rPr>
          <w:rFonts w:asciiTheme="minorHAnsi" w:hAnsiTheme="minorHAnsi" w:cstheme="minorHAnsi"/>
        </w:rPr>
        <w:t xml:space="preserve">broad non-delegation </w:t>
      </w:r>
      <w:r w:rsidRPr="008834DA">
        <w:rPr>
          <w:rFonts w:asciiTheme="minorHAnsi" w:hAnsiTheme="minorHAnsi" w:cstheme="minorHAnsi"/>
          <w:u w:val="single"/>
        </w:rPr>
        <w:t>destroys flexibility</w:t>
      </w:r>
      <w:r w:rsidRPr="008834DA">
        <w:rPr>
          <w:rFonts w:asciiTheme="minorHAnsi" w:hAnsiTheme="minorHAnsi" w:cstheme="minorHAnsi"/>
        </w:rPr>
        <w:t xml:space="preserve"> and  </w:t>
      </w:r>
      <w:r w:rsidRPr="008834DA">
        <w:rPr>
          <w:rFonts w:asciiTheme="minorHAnsi" w:hAnsiTheme="minorHAnsi" w:cstheme="minorHAnsi"/>
          <w:u w:val="single"/>
        </w:rPr>
        <w:t>undermines proper regulation</w:t>
      </w:r>
      <w:r w:rsidRPr="008834DA">
        <w:rPr>
          <w:rFonts w:asciiTheme="minorHAnsi" w:hAnsiTheme="minorHAnsi" w:cstheme="minorHAnsi"/>
        </w:rPr>
        <w:t xml:space="preserve"> of the FDA</w:t>
      </w:r>
    </w:p>
    <w:p w14:paraId="58615F86" w14:textId="77777777" w:rsidR="00CC2CC5" w:rsidRPr="008834DA" w:rsidRDefault="00CC2CC5" w:rsidP="00CC2CC5">
      <w:pPr>
        <w:rPr>
          <w:rFonts w:asciiTheme="minorHAnsi" w:hAnsiTheme="minorHAnsi" w:cstheme="minorHAnsi"/>
        </w:rPr>
      </w:pPr>
      <w:r w:rsidRPr="008834DA">
        <w:rPr>
          <w:rStyle w:val="Style13ptBold"/>
          <w:rFonts w:asciiTheme="minorHAnsi" w:hAnsiTheme="minorHAnsi" w:cstheme="minorHAnsi"/>
        </w:rPr>
        <w:t>Leavenworth, 18</w:t>
      </w:r>
      <w:r w:rsidRPr="008834DA">
        <w:rPr>
          <w:rFonts w:asciiTheme="minorHAnsi" w:hAnsiTheme="minorHAnsi" w:cstheme="minorHAnsi"/>
        </w:rPr>
        <w:t xml:space="preserve"> Stuart; 7-9-2018, McClatchey Bureau contributor citing different law professers (Sean Hecth @ UCLA is one) "Supreme Court case could trim authority of EPA, other agencies", mcclatchydc, https://www.mcclatchydc.com/news/nation-world/article214765185.html </w:t>
      </w:r>
    </w:p>
    <w:p w14:paraId="2A9A6EBF" w14:textId="77777777" w:rsidR="00CC2CC5" w:rsidRPr="008834DA" w:rsidRDefault="00CC2CC5" w:rsidP="00CC2CC5">
      <w:pPr>
        <w:rPr>
          <w:rFonts w:asciiTheme="minorHAnsi" w:hAnsiTheme="minorHAnsi" w:cstheme="minorHAnsi"/>
        </w:rPr>
      </w:pPr>
      <w:r w:rsidRPr="008834DA">
        <w:rPr>
          <w:rFonts w:asciiTheme="minorHAnsi" w:hAnsiTheme="minorHAnsi" w:cstheme="minorHAnsi"/>
          <w:sz w:val="10"/>
        </w:rPr>
        <w:t xml:space="preserve">WASHINGTON  </w:t>
      </w:r>
      <w:r w:rsidRPr="008834DA">
        <w:rPr>
          <w:rStyle w:val="StyleUnderline"/>
          <w:rFonts w:asciiTheme="minorHAnsi" w:hAnsiTheme="minorHAnsi" w:cstheme="minorHAnsi"/>
        </w:rPr>
        <w:t xml:space="preserve">Conservative groups and jurists, including </w:t>
      </w:r>
      <w:r w:rsidRPr="008834DA">
        <w:rPr>
          <w:rFonts w:asciiTheme="minorHAnsi" w:hAnsiTheme="minorHAnsi" w:cstheme="minorHAnsi"/>
          <w:sz w:val="10"/>
        </w:rPr>
        <w:t xml:space="preserve">U.S. Supreme Court nominee Brett </w:t>
      </w:r>
      <w:r w:rsidRPr="008834DA">
        <w:rPr>
          <w:rStyle w:val="StyleUnderline"/>
          <w:rFonts w:asciiTheme="minorHAnsi" w:hAnsiTheme="minorHAnsi" w:cstheme="minorHAnsi"/>
        </w:rPr>
        <w:t>Kavanaugh</w:t>
      </w:r>
      <w:r w:rsidRPr="008834DA">
        <w:rPr>
          <w:rFonts w:asciiTheme="minorHAnsi" w:hAnsiTheme="minorHAnsi" w:cstheme="minorHAnsi"/>
          <w:sz w:val="10"/>
        </w:rPr>
        <w:t xml:space="preserve">, </w:t>
      </w:r>
      <w:r w:rsidRPr="008834DA">
        <w:rPr>
          <w:rStyle w:val="StyleUnderline"/>
          <w:rFonts w:asciiTheme="minorHAnsi" w:hAnsiTheme="minorHAnsi" w:cstheme="minorHAnsi"/>
        </w:rPr>
        <w:t>have</w:t>
      </w:r>
      <w:r w:rsidRPr="008834DA">
        <w:rPr>
          <w:rFonts w:asciiTheme="minorHAnsi" w:hAnsiTheme="minorHAnsi" w:cstheme="minorHAnsi"/>
          <w:sz w:val="10"/>
        </w:rPr>
        <w:t xml:space="preserve"> long </w:t>
      </w:r>
      <w:r w:rsidRPr="008834DA">
        <w:rPr>
          <w:rStyle w:val="Emphasis"/>
          <w:rFonts w:asciiTheme="minorHAnsi" w:hAnsiTheme="minorHAnsi" w:cstheme="minorHAnsi"/>
        </w:rPr>
        <w:t>advocate</w:t>
      </w:r>
      <w:r w:rsidRPr="008834DA">
        <w:rPr>
          <w:rStyle w:val="StyleUnderline"/>
          <w:rFonts w:asciiTheme="minorHAnsi" w:hAnsiTheme="minorHAnsi" w:cstheme="minorHAnsi"/>
        </w:rPr>
        <w:t xml:space="preserve">d </w:t>
      </w:r>
      <w:r w:rsidRPr="008834DA">
        <w:rPr>
          <w:rStyle w:val="Emphasis"/>
          <w:rFonts w:asciiTheme="minorHAnsi" w:hAnsiTheme="minorHAnsi" w:cstheme="minorHAnsi"/>
        </w:rPr>
        <w:t>restricting the latitude</w:t>
      </w:r>
      <w:r w:rsidRPr="008834DA">
        <w:rPr>
          <w:rFonts w:asciiTheme="minorHAnsi" w:hAnsiTheme="minorHAnsi" w:cstheme="minorHAnsi"/>
          <w:sz w:val="10"/>
        </w:rPr>
        <w:t xml:space="preserve"> </w:t>
      </w:r>
      <w:r w:rsidRPr="008834DA">
        <w:rPr>
          <w:rStyle w:val="StyleUnderline"/>
          <w:rFonts w:asciiTheme="minorHAnsi" w:hAnsiTheme="minorHAnsi" w:cstheme="minorHAnsi"/>
        </w:rPr>
        <w:t>of the</w:t>
      </w:r>
      <w:r w:rsidRPr="008834DA">
        <w:rPr>
          <w:rFonts w:asciiTheme="minorHAnsi" w:hAnsiTheme="minorHAnsi" w:cstheme="minorHAnsi"/>
          <w:sz w:val="10"/>
        </w:rPr>
        <w:t xml:space="preserve"> </w:t>
      </w:r>
      <w:r w:rsidRPr="008834DA">
        <w:rPr>
          <w:rStyle w:val="Emphasis"/>
          <w:rFonts w:asciiTheme="minorHAnsi" w:hAnsiTheme="minorHAnsi" w:cstheme="minorHAnsi"/>
        </w:rPr>
        <w:t>E</w:t>
      </w:r>
      <w:r w:rsidRPr="008834DA">
        <w:rPr>
          <w:rFonts w:asciiTheme="minorHAnsi" w:hAnsiTheme="minorHAnsi" w:cstheme="minorHAnsi"/>
          <w:sz w:val="10"/>
        </w:rPr>
        <w:t xml:space="preserve">nvironmental </w:t>
      </w:r>
      <w:r w:rsidRPr="008834DA">
        <w:rPr>
          <w:rStyle w:val="Emphasis"/>
          <w:rFonts w:asciiTheme="minorHAnsi" w:hAnsiTheme="minorHAnsi" w:cstheme="minorHAnsi"/>
        </w:rPr>
        <w:t>P</w:t>
      </w:r>
      <w:r w:rsidRPr="008834DA">
        <w:rPr>
          <w:rFonts w:asciiTheme="minorHAnsi" w:hAnsiTheme="minorHAnsi" w:cstheme="minorHAnsi"/>
          <w:sz w:val="10"/>
        </w:rPr>
        <w:t xml:space="preserve">rotection </w:t>
      </w:r>
      <w:r w:rsidRPr="008834DA">
        <w:rPr>
          <w:rStyle w:val="Emphasis"/>
          <w:rFonts w:asciiTheme="minorHAnsi" w:hAnsiTheme="minorHAnsi" w:cstheme="minorHAnsi"/>
        </w:rPr>
        <w:t>A</w:t>
      </w:r>
      <w:r w:rsidRPr="008834DA">
        <w:rPr>
          <w:rFonts w:asciiTheme="minorHAnsi" w:hAnsiTheme="minorHAnsi" w:cstheme="minorHAnsi"/>
          <w:sz w:val="10"/>
        </w:rPr>
        <w:t xml:space="preserve">gency </w:t>
      </w:r>
      <w:r w:rsidRPr="008834DA">
        <w:rPr>
          <w:rStyle w:val="StyleUnderline"/>
          <w:rFonts w:asciiTheme="minorHAnsi" w:hAnsiTheme="minorHAnsi" w:cstheme="minorHAnsi"/>
        </w:rPr>
        <w:t xml:space="preserve">and other federal agencies to set rules and regulations, beyond what Congress has specifically authorized. </w:t>
      </w:r>
      <w:r w:rsidRPr="008834DA">
        <w:rPr>
          <w:rStyle w:val="Emphasis"/>
          <w:rFonts w:asciiTheme="minorHAnsi" w:hAnsiTheme="minorHAnsi" w:cstheme="minorHAnsi"/>
        </w:rPr>
        <w:t>They may have that chance this fall</w:t>
      </w:r>
      <w:r w:rsidRPr="008834DA">
        <w:rPr>
          <w:rFonts w:asciiTheme="minorHAnsi" w:hAnsiTheme="minorHAnsi" w:cstheme="minorHAnsi"/>
          <w:sz w:val="10"/>
        </w:rPr>
        <w:t xml:space="preserve">. </w:t>
      </w:r>
      <w:r w:rsidRPr="008834DA">
        <w:rPr>
          <w:rStyle w:val="StyleUnderline"/>
          <w:rFonts w:asciiTheme="minorHAnsi" w:hAnsiTheme="minorHAnsi" w:cstheme="minorHAnsi"/>
        </w:rPr>
        <w:t>The Supreme Court</w:t>
      </w:r>
      <w:r w:rsidRPr="008834DA">
        <w:rPr>
          <w:rFonts w:asciiTheme="minorHAnsi" w:hAnsiTheme="minorHAnsi" w:cstheme="minorHAnsi"/>
          <w:sz w:val="10"/>
        </w:rPr>
        <w:t xml:space="preserve"> has </w:t>
      </w:r>
      <w:r w:rsidRPr="008834DA">
        <w:rPr>
          <w:rStyle w:val="StyleUnderline"/>
          <w:rFonts w:asciiTheme="minorHAnsi" w:hAnsiTheme="minorHAnsi" w:cstheme="minorHAnsi"/>
        </w:rPr>
        <w:t>agreed to hear an obscure case, Gundy v. United States</w:t>
      </w:r>
      <w:r w:rsidRPr="008834DA">
        <w:rPr>
          <w:rFonts w:asciiTheme="minorHAnsi" w:hAnsiTheme="minorHAnsi" w:cstheme="minorHAnsi"/>
          <w:sz w:val="10"/>
        </w:rPr>
        <w:t xml:space="preserve">, </w:t>
      </w:r>
      <w:r w:rsidRPr="008834DA">
        <w:rPr>
          <w:rStyle w:val="Emphasis"/>
          <w:rFonts w:asciiTheme="minorHAnsi" w:hAnsiTheme="minorHAnsi" w:cstheme="minorHAnsi"/>
        </w:rPr>
        <w:t>with implications for the federal bureaucracy</w:t>
      </w:r>
      <w:r w:rsidRPr="008834DA">
        <w:rPr>
          <w:rFonts w:asciiTheme="minorHAnsi" w:hAnsiTheme="minorHAnsi" w:cstheme="minorHAnsi"/>
          <w:sz w:val="10"/>
        </w:rPr>
        <w:t xml:space="preserve">, </w:t>
      </w:r>
      <w:r w:rsidRPr="008834DA">
        <w:rPr>
          <w:rStyle w:val="StyleUnderline"/>
          <w:rFonts w:asciiTheme="minorHAnsi" w:hAnsiTheme="minorHAnsi" w:cstheme="minorHAnsi"/>
        </w:rPr>
        <w:t>including agencies that set rules for pollution, wildlife protection and food safety. Numerous business-backed groups</w:t>
      </w:r>
      <w:r w:rsidRPr="008834DA">
        <w:rPr>
          <w:rFonts w:asciiTheme="minorHAnsi" w:hAnsiTheme="minorHAnsi" w:cstheme="minorHAnsi"/>
          <w:sz w:val="10"/>
        </w:rPr>
        <w:t xml:space="preserve"> — including the Cato Institute, Competitive Enterprise Institute and Pacific Legal Foundation — have </w:t>
      </w:r>
      <w:r w:rsidRPr="008834DA">
        <w:rPr>
          <w:rStyle w:val="StyleUnderline"/>
          <w:rFonts w:asciiTheme="minorHAnsi" w:hAnsiTheme="minorHAnsi" w:cstheme="minorHAnsi"/>
        </w:rPr>
        <w:t>filed briefs</w:t>
      </w:r>
      <w:r w:rsidRPr="008834DA">
        <w:rPr>
          <w:rFonts w:asciiTheme="minorHAnsi" w:hAnsiTheme="minorHAnsi" w:cstheme="minorHAnsi"/>
          <w:sz w:val="10"/>
        </w:rPr>
        <w:t xml:space="preserve"> in the case, </w:t>
      </w:r>
      <w:r w:rsidRPr="008834DA">
        <w:rPr>
          <w:rStyle w:val="StyleUnderline"/>
          <w:rFonts w:asciiTheme="minorHAnsi" w:hAnsiTheme="minorHAnsi" w:cstheme="minorHAnsi"/>
        </w:rPr>
        <w:t xml:space="preserve">hoping it will help advance their goal of “shrinking the administrative state.” Kavanaugh, if confirmed to the court before its next term starts, could cast a decisive vote. </w:t>
      </w:r>
      <w:r w:rsidRPr="008834DA">
        <w:rPr>
          <w:rFonts w:asciiTheme="minorHAnsi" w:hAnsiTheme="minorHAnsi" w:cstheme="minorHAnsi"/>
          <w:sz w:val="10"/>
        </w:rPr>
        <w:t>“</w:t>
      </w:r>
      <w:r w:rsidRPr="008834DA">
        <w:rPr>
          <w:rStyle w:val="Emphasis"/>
          <w:rFonts w:asciiTheme="minorHAnsi" w:hAnsiTheme="minorHAnsi" w:cstheme="minorHAnsi"/>
        </w:rPr>
        <w:t>This is a really important sleeper case,”</w:t>
      </w:r>
      <w:r w:rsidRPr="008834DA">
        <w:rPr>
          <w:rFonts w:asciiTheme="minorHAnsi" w:hAnsiTheme="minorHAnsi" w:cstheme="minorHAnsi"/>
          <w:sz w:val="10"/>
        </w:rPr>
        <w:t xml:space="preserve"> </w:t>
      </w:r>
      <w:r w:rsidRPr="008834DA">
        <w:rPr>
          <w:rStyle w:val="StyleUnderline"/>
          <w:rFonts w:asciiTheme="minorHAnsi" w:hAnsiTheme="minorHAnsi" w:cstheme="minorHAnsi"/>
        </w:rPr>
        <w:t>said</w:t>
      </w:r>
      <w:r w:rsidRPr="008834DA">
        <w:rPr>
          <w:rFonts w:asciiTheme="minorHAnsi" w:hAnsiTheme="minorHAnsi" w:cstheme="minorHAnsi"/>
          <w:sz w:val="10"/>
        </w:rPr>
        <w:t xml:space="preserve"> Sean </w:t>
      </w:r>
      <w:r w:rsidRPr="008834DA">
        <w:rPr>
          <w:rStyle w:val="StyleUnderline"/>
          <w:rFonts w:asciiTheme="minorHAnsi" w:hAnsiTheme="minorHAnsi" w:cstheme="minorHAnsi"/>
        </w:rPr>
        <w:t>Hecht, a law professor at University of California, Los Angeles who has been tracking the Gundy proceedings. If the court rules very broadly, the</w:t>
      </w:r>
      <w:r w:rsidRPr="008834DA">
        <w:rPr>
          <w:rFonts w:asciiTheme="minorHAnsi" w:hAnsiTheme="minorHAnsi" w:cstheme="minorHAnsi"/>
          <w:sz w:val="10"/>
        </w:rPr>
        <w:t xml:space="preserve"> </w:t>
      </w:r>
      <w:r w:rsidRPr="008834DA">
        <w:rPr>
          <w:rStyle w:val="StyleUnderline"/>
          <w:rFonts w:asciiTheme="minorHAnsi" w:hAnsiTheme="minorHAnsi" w:cstheme="minorHAnsi"/>
        </w:rPr>
        <w:t>justices could throw into</w:t>
      </w:r>
      <w:r w:rsidRPr="008834DA">
        <w:rPr>
          <w:rFonts w:asciiTheme="minorHAnsi" w:hAnsiTheme="minorHAnsi" w:cstheme="minorHAnsi"/>
          <w:sz w:val="10"/>
        </w:rPr>
        <w:t xml:space="preserve"> </w:t>
      </w:r>
      <w:r w:rsidRPr="008834DA">
        <w:rPr>
          <w:rStyle w:val="StyleUnderline"/>
          <w:rFonts w:asciiTheme="minorHAnsi" w:hAnsiTheme="minorHAnsi" w:cstheme="minorHAnsi"/>
        </w:rPr>
        <w:t>question</w:t>
      </w:r>
      <w:r w:rsidRPr="008834DA">
        <w:rPr>
          <w:rFonts w:asciiTheme="minorHAnsi" w:hAnsiTheme="minorHAnsi" w:cstheme="minorHAnsi"/>
          <w:sz w:val="10"/>
        </w:rPr>
        <w:t xml:space="preserve"> </w:t>
      </w:r>
      <w:r w:rsidRPr="008834DA">
        <w:rPr>
          <w:rStyle w:val="Emphasis"/>
          <w:rFonts w:asciiTheme="minorHAnsi" w:hAnsiTheme="minorHAnsi" w:cstheme="minorHAnsi"/>
        </w:rPr>
        <w:t>numerous legal provisions</w:t>
      </w:r>
      <w:r w:rsidRPr="008834DA">
        <w:rPr>
          <w:rFonts w:asciiTheme="minorHAnsi" w:hAnsiTheme="minorHAnsi" w:cstheme="minorHAnsi"/>
          <w:sz w:val="10"/>
        </w:rPr>
        <w:t xml:space="preserve"> </w:t>
      </w:r>
      <w:r w:rsidRPr="008834DA">
        <w:rPr>
          <w:rStyle w:val="StyleUnderline"/>
          <w:rFonts w:asciiTheme="minorHAnsi" w:hAnsiTheme="minorHAnsi" w:cstheme="minorHAnsi"/>
        </w:rPr>
        <w:t>that</w:t>
      </w:r>
      <w:r w:rsidRPr="008834DA">
        <w:rPr>
          <w:rFonts w:asciiTheme="minorHAnsi" w:hAnsiTheme="minorHAnsi" w:cstheme="minorHAnsi"/>
          <w:sz w:val="10"/>
        </w:rPr>
        <w:t xml:space="preserve"> currently </w:t>
      </w:r>
      <w:r w:rsidRPr="008834DA">
        <w:rPr>
          <w:rStyle w:val="Emphasis"/>
          <w:rFonts w:asciiTheme="minorHAnsi" w:hAnsiTheme="minorHAnsi" w:cstheme="minorHAnsi"/>
        </w:rPr>
        <w:t>give the EPA and other agencies latitude to set policy</w:t>
      </w:r>
      <w:r w:rsidRPr="008834DA">
        <w:rPr>
          <w:rFonts w:asciiTheme="minorHAnsi" w:hAnsiTheme="minorHAnsi" w:cstheme="minorHAnsi"/>
          <w:sz w:val="10"/>
        </w:rPr>
        <w:t xml:space="preserve">, he said. President Trump and his advisers have made clear that downsizing the government, both in size and legal authority, is a top priority. Former Trump strategist Steve Bannon pledged “deconstruction of the administrative state.” Speaking to the Conservative Political Action Conference in February, White House Counsel Don McGahn has said Trump vets potential judges in part on their opinions about the federal bureaucracy. “It’s kind of its own branch of government now, and those decisions tend to trend to the left,” McGahn told CPAC. </w:t>
      </w:r>
      <w:r w:rsidRPr="008834DA">
        <w:rPr>
          <w:rStyle w:val="StyleUnderline"/>
          <w:rFonts w:asciiTheme="minorHAnsi" w:hAnsiTheme="minorHAnsi" w:cstheme="minorHAnsi"/>
        </w:rPr>
        <w:t>Kavanaugh</w:t>
      </w:r>
      <w:r w:rsidRPr="008834DA">
        <w:rPr>
          <w:rFonts w:asciiTheme="minorHAnsi" w:hAnsiTheme="minorHAnsi" w:cstheme="minorHAnsi"/>
          <w:sz w:val="10"/>
        </w:rPr>
        <w:t xml:space="preserve"> apparently passed Trump’s test, </w:t>
      </w:r>
      <w:r w:rsidRPr="008834DA">
        <w:rPr>
          <w:rStyle w:val="StyleUnderline"/>
          <w:rFonts w:asciiTheme="minorHAnsi" w:hAnsiTheme="minorHAnsi" w:cstheme="minorHAnsi"/>
        </w:rPr>
        <w:t>as did</w:t>
      </w:r>
      <w:r w:rsidRPr="008834DA">
        <w:rPr>
          <w:rFonts w:asciiTheme="minorHAnsi" w:hAnsiTheme="minorHAnsi" w:cstheme="minorHAnsi"/>
          <w:sz w:val="10"/>
        </w:rPr>
        <w:t xml:space="preserve"> Neil </w:t>
      </w:r>
      <w:r w:rsidRPr="008834DA">
        <w:rPr>
          <w:rStyle w:val="StyleUnderline"/>
          <w:rFonts w:asciiTheme="minorHAnsi" w:hAnsiTheme="minorHAnsi" w:cstheme="minorHAnsi"/>
        </w:rPr>
        <w:t>Gorsuch</w:t>
      </w:r>
      <w:r w:rsidRPr="008834DA">
        <w:rPr>
          <w:rFonts w:asciiTheme="minorHAnsi" w:hAnsiTheme="minorHAnsi" w:cstheme="minorHAnsi"/>
          <w:sz w:val="10"/>
        </w:rPr>
        <w:t xml:space="preserve">, confirmed to the high court last year. Both </w:t>
      </w:r>
      <w:r w:rsidRPr="008834DA">
        <w:rPr>
          <w:rStyle w:val="StyleUnderline"/>
          <w:rFonts w:asciiTheme="minorHAnsi" w:hAnsiTheme="minorHAnsi" w:cstheme="minorHAnsi"/>
        </w:rPr>
        <w:t>have criticized</w:t>
      </w:r>
      <w:r w:rsidRPr="008834DA">
        <w:rPr>
          <w:rFonts w:asciiTheme="minorHAnsi" w:hAnsiTheme="minorHAnsi" w:cstheme="minorHAnsi"/>
          <w:sz w:val="10"/>
        </w:rPr>
        <w:t xml:space="preserve"> past </w:t>
      </w:r>
      <w:r w:rsidRPr="008834DA">
        <w:rPr>
          <w:rStyle w:val="StyleUnderline"/>
          <w:rFonts w:asciiTheme="minorHAnsi" w:hAnsiTheme="minorHAnsi" w:cstheme="minorHAnsi"/>
        </w:rPr>
        <w:t>Supreme Court decisions that,</w:t>
      </w:r>
      <w:r w:rsidRPr="008834DA">
        <w:rPr>
          <w:rFonts w:asciiTheme="minorHAnsi" w:hAnsiTheme="minorHAnsi" w:cstheme="minorHAnsi"/>
          <w:sz w:val="10"/>
        </w:rPr>
        <w:t xml:space="preserve"> in their view, </w:t>
      </w:r>
      <w:r w:rsidRPr="008834DA">
        <w:rPr>
          <w:rStyle w:val="StyleUnderline"/>
          <w:rFonts w:asciiTheme="minorHAnsi" w:hAnsiTheme="minorHAnsi" w:cstheme="minorHAnsi"/>
        </w:rPr>
        <w:t xml:space="preserve">provided the executive branch and federal agencies with </w:t>
      </w:r>
      <w:r w:rsidRPr="008834DA">
        <w:rPr>
          <w:rStyle w:val="Emphasis"/>
          <w:rFonts w:asciiTheme="minorHAnsi" w:hAnsiTheme="minorHAnsi" w:cstheme="minorHAnsi"/>
        </w:rPr>
        <w:t>excessive authority</w:t>
      </w:r>
      <w:r w:rsidRPr="008834DA">
        <w:rPr>
          <w:rStyle w:val="StyleUnderline"/>
          <w:rFonts w:asciiTheme="minorHAnsi" w:hAnsiTheme="minorHAnsi" w:cstheme="minorHAnsi"/>
        </w:rPr>
        <w:t xml:space="preserve">, </w:t>
      </w:r>
      <w:r w:rsidRPr="008834DA">
        <w:rPr>
          <w:rStyle w:val="Emphasis"/>
          <w:rFonts w:asciiTheme="minorHAnsi" w:hAnsiTheme="minorHAnsi" w:cstheme="minorHAnsi"/>
        </w:rPr>
        <w:t>unchecked by Congress</w:t>
      </w:r>
      <w:r w:rsidRPr="008834DA">
        <w:rPr>
          <w:rStyle w:val="StyleUnderline"/>
          <w:rFonts w:asciiTheme="minorHAnsi" w:hAnsiTheme="minorHAnsi" w:cstheme="minorHAnsi"/>
        </w:rPr>
        <w:t xml:space="preserve">. Kavanaugh once called it an inevitable outgrowth of legislative gridlock. </w:t>
      </w:r>
      <w:r w:rsidRPr="008834DA">
        <w:rPr>
          <w:rFonts w:asciiTheme="minorHAnsi" w:hAnsiTheme="minorHAnsi" w:cstheme="minorHAnsi"/>
          <w:sz w:val="10"/>
        </w:rPr>
        <w:t xml:space="preserve">“Presidents run for office on policy agendas and it is often difficult to get those agendas through Congress,” Kavanaugh wrote in 2016 in the Harvard Law Review. “So it is no surprise that presidents and agencies often will do whatever they can within existing statutes.” President Barack Obama, in particular, was unable to pass many of his legislative priorities through a Republican-led Congress, prompting him to rely on executive orders and federal rule-making. The Gundy case is an unusual one for conservative groups to rally behind. The case involves a convicted sex offender, Herman Avery Gundy, who ran afoul of the 2006 Sex Offender Registration and Notification Act (SORNA). Gundy, who committed his offense before the sex-offender law was enacted, went to court claiming that Congress had unconstitutionally delegated to the Justice Department how to apply the law retroactively. </w:t>
      </w:r>
      <w:r w:rsidRPr="008834DA">
        <w:rPr>
          <w:rStyle w:val="StyleUnderline"/>
          <w:rFonts w:asciiTheme="minorHAnsi" w:hAnsiTheme="minorHAnsi" w:cstheme="minorHAnsi"/>
        </w:rPr>
        <w:t>In taking the case, the Supreme Court</w:t>
      </w:r>
      <w:r w:rsidRPr="008834DA">
        <w:rPr>
          <w:rFonts w:asciiTheme="minorHAnsi" w:hAnsiTheme="minorHAnsi" w:cstheme="minorHAnsi"/>
          <w:sz w:val="10"/>
        </w:rPr>
        <w:t xml:space="preserve"> rejected some of Gundy’s claims, but it </w:t>
      </w:r>
      <w:r w:rsidRPr="008834DA">
        <w:rPr>
          <w:rStyle w:val="StyleUnderline"/>
          <w:rFonts w:asciiTheme="minorHAnsi" w:hAnsiTheme="minorHAnsi" w:cstheme="minorHAnsi"/>
        </w:rPr>
        <w:t>agreed to examine if the law violated the “non-delegation doctrine”</w:t>
      </w:r>
      <w:r w:rsidRPr="008834DA">
        <w:rPr>
          <w:rFonts w:asciiTheme="minorHAnsi" w:hAnsiTheme="minorHAnsi" w:cstheme="minorHAnsi"/>
          <w:sz w:val="10"/>
        </w:rPr>
        <w:t xml:space="preserve"> — a legal principle that the court hasn’t used to strike down a law for eight decades. The non-delegation doctrine sprung from the Constitution’s requirement that Congress not delegate the legislating of laws to any agency of government. The high court used the doctrine to strike down two New Deal laws in 1935. Since then, it has effectively abandoned the doctrine, ruling that agencies can formulate regulations and policies, as long as they are acting on direct guidance — known as an “intelligible principle” — from Congress. </w:t>
      </w:r>
      <w:r w:rsidRPr="008834DA">
        <w:rPr>
          <w:rStyle w:val="StyleUnderline"/>
          <w:rFonts w:asciiTheme="minorHAnsi" w:hAnsiTheme="minorHAnsi" w:cstheme="minorHAnsi"/>
        </w:rPr>
        <w:t>For example, Congress has granted the</w:t>
      </w:r>
      <w:r w:rsidRPr="008834DA">
        <w:rPr>
          <w:rFonts w:asciiTheme="minorHAnsi" w:hAnsiTheme="minorHAnsi" w:cstheme="minorHAnsi"/>
          <w:sz w:val="10"/>
        </w:rPr>
        <w:t xml:space="preserve"> </w:t>
      </w:r>
      <w:r w:rsidRPr="008834DA">
        <w:rPr>
          <w:rStyle w:val="Emphasis"/>
          <w:rFonts w:asciiTheme="minorHAnsi" w:hAnsiTheme="minorHAnsi" w:cstheme="minorHAnsi"/>
        </w:rPr>
        <w:t>F</w:t>
      </w:r>
      <w:r w:rsidRPr="008834DA">
        <w:rPr>
          <w:rFonts w:asciiTheme="minorHAnsi" w:hAnsiTheme="minorHAnsi" w:cstheme="minorHAnsi"/>
          <w:sz w:val="10"/>
        </w:rPr>
        <w:t xml:space="preserve">ood and </w:t>
      </w:r>
      <w:r w:rsidRPr="008834DA">
        <w:rPr>
          <w:rStyle w:val="Emphasis"/>
          <w:rFonts w:asciiTheme="minorHAnsi" w:hAnsiTheme="minorHAnsi" w:cstheme="minorHAnsi"/>
        </w:rPr>
        <w:t>D</w:t>
      </w:r>
      <w:r w:rsidRPr="008834DA">
        <w:rPr>
          <w:rFonts w:asciiTheme="minorHAnsi" w:hAnsiTheme="minorHAnsi" w:cstheme="minorHAnsi"/>
          <w:sz w:val="10"/>
        </w:rPr>
        <w:t xml:space="preserve">rug </w:t>
      </w:r>
      <w:r w:rsidRPr="008834DA">
        <w:rPr>
          <w:rStyle w:val="Emphasis"/>
          <w:rFonts w:asciiTheme="minorHAnsi" w:hAnsiTheme="minorHAnsi" w:cstheme="minorHAnsi"/>
        </w:rPr>
        <w:t>A</w:t>
      </w:r>
      <w:r w:rsidRPr="008834DA">
        <w:rPr>
          <w:rFonts w:asciiTheme="minorHAnsi" w:hAnsiTheme="minorHAnsi" w:cstheme="minorHAnsi"/>
          <w:sz w:val="10"/>
        </w:rPr>
        <w:t xml:space="preserve">dministration </w:t>
      </w:r>
      <w:r w:rsidRPr="008834DA">
        <w:rPr>
          <w:rStyle w:val="StyleUnderline"/>
          <w:rFonts w:asciiTheme="minorHAnsi" w:hAnsiTheme="minorHAnsi" w:cstheme="minorHAnsi"/>
        </w:rPr>
        <w:t>a broad mandate to protect public safety</w:t>
      </w:r>
      <w:r w:rsidRPr="008834DA">
        <w:rPr>
          <w:rFonts w:asciiTheme="minorHAnsi" w:hAnsiTheme="minorHAnsi" w:cstheme="minorHAnsi"/>
          <w:sz w:val="10"/>
        </w:rPr>
        <w:t xml:space="preserve">, </w:t>
      </w:r>
      <w:r w:rsidRPr="008834DA">
        <w:rPr>
          <w:rStyle w:val="StyleUnderline"/>
          <w:rFonts w:asciiTheme="minorHAnsi" w:hAnsiTheme="minorHAnsi" w:cstheme="minorHAnsi"/>
        </w:rPr>
        <w:t>but it leaves it up to the FDA to determine which drugs should be licensed, and which foods should be recalled</w:t>
      </w:r>
      <w:r w:rsidRPr="008834DA">
        <w:rPr>
          <w:rFonts w:asciiTheme="minorHAnsi" w:hAnsiTheme="minorHAnsi" w:cstheme="minorHAnsi"/>
          <w:sz w:val="10"/>
        </w:rPr>
        <w:t xml:space="preserve">. </w:t>
      </w:r>
      <w:r w:rsidRPr="008834DA">
        <w:rPr>
          <w:rStyle w:val="StyleUnderline"/>
          <w:rFonts w:asciiTheme="minorHAnsi" w:hAnsiTheme="minorHAnsi" w:cstheme="minorHAnsi"/>
        </w:rPr>
        <w:t>Conservative groups say agencies such as the EPA and FDA have abused this broad mandate</w:t>
      </w:r>
      <w:r w:rsidRPr="008834DA">
        <w:rPr>
          <w:rFonts w:asciiTheme="minorHAnsi" w:hAnsiTheme="minorHAnsi" w:cstheme="minorHAnsi"/>
          <w:sz w:val="10"/>
        </w:rPr>
        <w:t xml:space="preserve">, </w:t>
      </w:r>
      <w:r w:rsidRPr="008834DA">
        <w:rPr>
          <w:rStyle w:val="Emphasis"/>
          <w:rFonts w:asciiTheme="minorHAnsi" w:hAnsiTheme="minorHAnsi" w:cstheme="minorHAnsi"/>
        </w:rPr>
        <w:t>and engaged in “mission creep</w:t>
      </w:r>
      <w:r w:rsidRPr="008834DA">
        <w:rPr>
          <w:rFonts w:asciiTheme="minorHAnsi" w:hAnsiTheme="minorHAnsi" w:cstheme="minorHAnsi"/>
          <w:sz w:val="10"/>
        </w:rPr>
        <w:t xml:space="preserve">” </w:t>
      </w:r>
      <w:r w:rsidRPr="008834DA">
        <w:rPr>
          <w:rStyle w:val="StyleUnderline"/>
          <w:rFonts w:asciiTheme="minorHAnsi" w:hAnsiTheme="minorHAnsi" w:cstheme="minorHAnsi"/>
        </w:rPr>
        <w:t>to gradually expand their regulatory reach</w:t>
      </w:r>
      <w:r w:rsidRPr="008834DA">
        <w:rPr>
          <w:rFonts w:asciiTheme="minorHAnsi" w:hAnsiTheme="minorHAnsi" w:cstheme="minorHAnsi"/>
          <w:sz w:val="10"/>
        </w:rPr>
        <w:t>. Some of them have filed briefs in the Gundy case criticizing the Supreme Court for abandoning the non-delegation doctrine and have urged the court to revive it. “Unfortunately, this Court has not enforced this principle in the last 83 years,” the Pacific Legal Foundation said in a brief. Based in California, the legal foundation regularly challenges environmental laws and regulations that affect property owners and corporations. Hecht, the UCLA law professor, said a broad high court ruling in favor of Gundy would give small-government groups new legal avenues to target environmental and other laws. “At a minimum</w:t>
      </w:r>
      <w:r w:rsidRPr="008834DA">
        <w:rPr>
          <w:rStyle w:val="StyleUnderline"/>
          <w:rFonts w:asciiTheme="minorHAnsi" w:hAnsiTheme="minorHAnsi" w:cstheme="minorHAnsi"/>
        </w:rPr>
        <w:t>, a Supreme Court decision that was very broad would create the conditions for more legal challenges</w:t>
      </w:r>
      <w:r w:rsidRPr="008834DA">
        <w:rPr>
          <w:rFonts w:asciiTheme="minorHAnsi" w:hAnsiTheme="minorHAnsi" w:cstheme="minorHAnsi"/>
          <w:sz w:val="10"/>
        </w:rPr>
        <w:t>,” Hecht said. “</w:t>
      </w:r>
      <w:r w:rsidRPr="008834DA">
        <w:rPr>
          <w:rStyle w:val="StyleUnderline"/>
          <w:rFonts w:asciiTheme="minorHAnsi" w:hAnsiTheme="minorHAnsi" w:cstheme="minorHAnsi"/>
        </w:rPr>
        <w:t xml:space="preserve">Parties would </w:t>
      </w:r>
      <w:r w:rsidRPr="008834DA">
        <w:rPr>
          <w:rStyle w:val="Emphasis"/>
          <w:rFonts w:asciiTheme="minorHAnsi" w:hAnsiTheme="minorHAnsi" w:cstheme="minorHAnsi"/>
        </w:rPr>
        <w:t>feel emboldened</w:t>
      </w:r>
      <w:r w:rsidRPr="008834DA">
        <w:rPr>
          <w:rFonts w:asciiTheme="minorHAnsi" w:hAnsiTheme="minorHAnsi" w:cstheme="minorHAnsi"/>
          <w:sz w:val="10"/>
        </w:rPr>
        <w:t xml:space="preserve"> </w:t>
      </w:r>
      <w:r w:rsidRPr="008834DA">
        <w:rPr>
          <w:rStyle w:val="StyleUnderline"/>
          <w:rFonts w:asciiTheme="minorHAnsi" w:hAnsiTheme="minorHAnsi" w:cstheme="minorHAnsi"/>
        </w:rPr>
        <w:t xml:space="preserve">to say, you can’t make us do this under the Clean Air Act, or Clean Water Act, or the Endangered Species Act, because Congress wasn’t precise enough in the policy guidance it gave the agency. </w:t>
      </w:r>
      <w:r w:rsidRPr="008834DA">
        <w:rPr>
          <w:rStyle w:val="Emphasis"/>
          <w:rFonts w:asciiTheme="minorHAnsi" w:hAnsiTheme="minorHAnsi" w:cstheme="minorHAnsi"/>
        </w:rPr>
        <w:t>But</w:t>
      </w:r>
      <w:r w:rsidRPr="008834DA">
        <w:rPr>
          <w:rFonts w:asciiTheme="minorHAnsi" w:hAnsiTheme="minorHAnsi" w:cstheme="minorHAnsi"/>
          <w:sz w:val="10"/>
        </w:rPr>
        <w:t xml:space="preserve"> Hecht said </w:t>
      </w:r>
      <w:r w:rsidRPr="008834DA">
        <w:rPr>
          <w:rStyle w:val="Emphasis"/>
          <w:rFonts w:asciiTheme="minorHAnsi" w:hAnsiTheme="minorHAnsi" w:cstheme="minorHAnsi"/>
        </w:rPr>
        <w:t>it’s possible the court will rule against Gundy,</w:t>
      </w:r>
      <w:r w:rsidRPr="008834DA">
        <w:rPr>
          <w:rFonts w:asciiTheme="minorHAnsi" w:hAnsiTheme="minorHAnsi" w:cstheme="minorHAnsi"/>
          <w:sz w:val="10"/>
        </w:rPr>
        <w:t xml:space="preserve"> or rule narrowly in his favor. Other law professors agree, </w:t>
      </w:r>
      <w:r w:rsidRPr="008834DA">
        <w:rPr>
          <w:rStyle w:val="StyleUnderline"/>
          <w:rFonts w:asciiTheme="minorHAnsi" w:hAnsiTheme="minorHAnsi" w:cstheme="minorHAnsi"/>
        </w:rPr>
        <w:t>given</w:t>
      </w:r>
      <w:r w:rsidRPr="008834DA">
        <w:rPr>
          <w:rFonts w:asciiTheme="minorHAnsi" w:hAnsiTheme="minorHAnsi" w:cstheme="minorHAnsi"/>
          <w:sz w:val="10"/>
        </w:rPr>
        <w:t xml:space="preserve"> the Supreme Court’s recent </w:t>
      </w:r>
      <w:r w:rsidRPr="008834DA">
        <w:rPr>
          <w:rStyle w:val="StyleUnderline"/>
          <w:rFonts w:asciiTheme="minorHAnsi" w:hAnsiTheme="minorHAnsi" w:cstheme="minorHAnsi"/>
        </w:rPr>
        <w:t>history of declining to revive the non-delegation doctrine</w:t>
      </w:r>
      <w:r w:rsidRPr="008834DA">
        <w:rPr>
          <w:rFonts w:asciiTheme="minorHAnsi" w:hAnsiTheme="minorHAnsi" w:cstheme="minorHAnsi"/>
          <w:sz w:val="10"/>
        </w:rPr>
        <w:t xml:space="preserve">. Ronald Levin, an administrative law expert at Washington University in St. Louis, said the court seems aware that a broad ruling in Gundy “would expose every statute to litigation and potential invalidation,” on the grounds that Congress should have been more prescriptive. “It is wildly unrealistic to think Congress would not delegate authority to administrative agencies,” Levin said. “This country has 300-plus million people. A Congress of 535 people cannot make all the decisions that need to be made for a country of this size.” Levin said he suspects the Supreme Court accepted the case because of Gorsuch’s past criticism of the Sex Offender Registration and Notification Act. While a judge on the 10th Circuit Court of Appeals, Gorsuch wrote that the law “invests in the nation’s chief prosecutor the authority to devise a criminal code governing a half-million people.” </w:t>
      </w:r>
      <w:r w:rsidRPr="008834DA">
        <w:rPr>
          <w:rStyle w:val="StyleUnderline"/>
          <w:rFonts w:asciiTheme="minorHAnsi" w:hAnsiTheme="minorHAnsi" w:cstheme="minorHAnsi"/>
        </w:rPr>
        <w:t>Groups</w:t>
      </w:r>
      <w:r w:rsidRPr="008834DA">
        <w:rPr>
          <w:rFonts w:asciiTheme="minorHAnsi" w:hAnsiTheme="minorHAnsi" w:cstheme="minorHAnsi"/>
          <w:sz w:val="10"/>
        </w:rPr>
        <w:t xml:space="preserve"> such the Heritage Foundation </w:t>
      </w:r>
      <w:r w:rsidRPr="008834DA">
        <w:rPr>
          <w:rStyle w:val="StyleUnderline"/>
          <w:rFonts w:asciiTheme="minorHAnsi" w:hAnsiTheme="minorHAnsi" w:cstheme="minorHAnsi"/>
        </w:rPr>
        <w:t xml:space="preserve">hope that </w:t>
      </w:r>
      <w:r w:rsidRPr="008834DA">
        <w:rPr>
          <w:rStyle w:val="Emphasis"/>
          <w:rFonts w:asciiTheme="minorHAnsi" w:hAnsiTheme="minorHAnsi" w:cstheme="minorHAnsi"/>
        </w:rPr>
        <w:t>Gorsuch</w:t>
      </w:r>
      <w:r w:rsidRPr="008834DA">
        <w:rPr>
          <w:rFonts w:asciiTheme="minorHAnsi" w:hAnsiTheme="minorHAnsi" w:cstheme="minorHAnsi"/>
          <w:sz w:val="10"/>
        </w:rPr>
        <w:t xml:space="preserve"> </w:t>
      </w:r>
      <w:r w:rsidRPr="008834DA">
        <w:rPr>
          <w:rStyle w:val="StyleUnderline"/>
          <w:rFonts w:asciiTheme="minorHAnsi" w:hAnsiTheme="minorHAnsi" w:cstheme="minorHAnsi"/>
        </w:rPr>
        <w:t>will join with conservative</w:t>
      </w:r>
      <w:r w:rsidRPr="008834DA">
        <w:rPr>
          <w:rFonts w:asciiTheme="minorHAnsi" w:hAnsiTheme="minorHAnsi" w:cstheme="minorHAnsi"/>
          <w:sz w:val="10"/>
        </w:rPr>
        <w:t xml:space="preserve"> </w:t>
      </w:r>
      <w:r w:rsidRPr="008834DA">
        <w:rPr>
          <w:rStyle w:val="StyleUnderline"/>
          <w:rFonts w:asciiTheme="minorHAnsi" w:hAnsiTheme="minorHAnsi" w:cstheme="minorHAnsi"/>
        </w:rPr>
        <w:t>justices</w:t>
      </w:r>
      <w:r w:rsidRPr="008834DA">
        <w:rPr>
          <w:rFonts w:asciiTheme="minorHAnsi" w:hAnsiTheme="minorHAnsi" w:cstheme="minorHAnsi"/>
          <w:sz w:val="10"/>
        </w:rPr>
        <w:t xml:space="preserve"> Clarence </w:t>
      </w:r>
      <w:r w:rsidRPr="008834DA">
        <w:rPr>
          <w:rStyle w:val="Emphasis"/>
          <w:rFonts w:asciiTheme="minorHAnsi" w:hAnsiTheme="minorHAnsi" w:cstheme="minorHAnsi"/>
        </w:rPr>
        <w:t>Thomas</w:t>
      </w:r>
      <w:r w:rsidRPr="008834DA">
        <w:rPr>
          <w:rFonts w:asciiTheme="minorHAnsi" w:hAnsiTheme="minorHAnsi" w:cstheme="minorHAnsi"/>
          <w:sz w:val="10"/>
        </w:rPr>
        <w:t xml:space="preserve"> </w:t>
      </w:r>
      <w:r w:rsidRPr="008834DA">
        <w:rPr>
          <w:rStyle w:val="StyleUnderline"/>
          <w:rFonts w:asciiTheme="minorHAnsi" w:hAnsiTheme="minorHAnsi" w:cstheme="minorHAnsi"/>
        </w:rPr>
        <w:t>and</w:t>
      </w:r>
      <w:r w:rsidRPr="008834DA">
        <w:rPr>
          <w:rFonts w:asciiTheme="minorHAnsi" w:hAnsiTheme="minorHAnsi" w:cstheme="minorHAnsi"/>
          <w:sz w:val="10"/>
        </w:rPr>
        <w:t xml:space="preserve"> Samuel </w:t>
      </w:r>
      <w:r w:rsidRPr="008834DA">
        <w:rPr>
          <w:rStyle w:val="Emphasis"/>
          <w:rFonts w:asciiTheme="minorHAnsi" w:hAnsiTheme="minorHAnsi" w:cstheme="minorHAnsi"/>
        </w:rPr>
        <w:t>Alito</w:t>
      </w:r>
      <w:r w:rsidRPr="008834DA">
        <w:rPr>
          <w:rFonts w:asciiTheme="minorHAnsi" w:hAnsiTheme="minorHAnsi" w:cstheme="minorHAnsi"/>
          <w:sz w:val="10"/>
        </w:rPr>
        <w:t xml:space="preserve"> </w:t>
      </w:r>
      <w:r w:rsidRPr="008834DA">
        <w:rPr>
          <w:rStyle w:val="StyleUnderline"/>
          <w:rFonts w:asciiTheme="minorHAnsi" w:hAnsiTheme="minorHAnsi" w:cstheme="minorHAnsi"/>
        </w:rPr>
        <w:t>in using Gundy to prevent Congress from “outsourcing its power.”</w:t>
      </w:r>
      <w:r w:rsidRPr="008834DA">
        <w:rPr>
          <w:rFonts w:asciiTheme="minorHAnsi" w:hAnsiTheme="minorHAnsi" w:cstheme="minorHAnsi"/>
          <w:sz w:val="10"/>
        </w:rPr>
        <w:t xml:space="preserve"> </w:t>
      </w:r>
      <w:r w:rsidRPr="008834DA">
        <w:rPr>
          <w:rStyle w:val="Emphasis"/>
          <w:rFonts w:asciiTheme="minorHAnsi" w:hAnsiTheme="minorHAnsi" w:cstheme="minorHAnsi"/>
        </w:rPr>
        <w:t>Kavanaugh, if confirmed, would likely join in that cause.</w:t>
      </w:r>
      <w:r w:rsidRPr="008834DA">
        <w:rPr>
          <w:rFonts w:asciiTheme="minorHAnsi" w:hAnsiTheme="minorHAnsi" w:cstheme="minorHAnsi"/>
        </w:rPr>
        <w:t xml:space="preserve"> </w:t>
      </w:r>
    </w:p>
    <w:p w14:paraId="019771C7" w14:textId="77777777" w:rsidR="00CC2CC5" w:rsidRPr="008834DA" w:rsidRDefault="00CC2CC5" w:rsidP="00CC2CC5">
      <w:pPr>
        <w:pStyle w:val="Heading4"/>
        <w:rPr>
          <w:rFonts w:asciiTheme="minorHAnsi" w:hAnsiTheme="minorHAnsi" w:cstheme="minorHAnsi"/>
          <w:i/>
          <w:u w:val="single"/>
        </w:rPr>
      </w:pPr>
      <w:r w:rsidRPr="008834DA">
        <w:rPr>
          <w:rFonts w:asciiTheme="minorHAnsi" w:hAnsiTheme="minorHAnsi" w:cstheme="minorHAnsi"/>
        </w:rPr>
        <w:t xml:space="preserve">FDA </w:t>
      </w:r>
      <w:r w:rsidRPr="008834DA">
        <w:rPr>
          <w:rFonts w:asciiTheme="minorHAnsi" w:hAnsiTheme="minorHAnsi" w:cstheme="minorHAnsi"/>
          <w:u w:val="single"/>
        </w:rPr>
        <w:t>authority</w:t>
      </w:r>
      <w:r w:rsidRPr="008834DA">
        <w:rPr>
          <w:rFonts w:asciiTheme="minorHAnsi" w:hAnsiTheme="minorHAnsi" w:cstheme="minorHAnsi"/>
        </w:rPr>
        <w:t xml:space="preserve"> and </w:t>
      </w:r>
      <w:r w:rsidRPr="008834DA">
        <w:rPr>
          <w:rFonts w:asciiTheme="minorHAnsi" w:hAnsiTheme="minorHAnsi" w:cstheme="minorHAnsi"/>
          <w:u w:val="single"/>
        </w:rPr>
        <w:t>flex</w:t>
      </w:r>
      <w:r w:rsidRPr="008834DA">
        <w:rPr>
          <w:rFonts w:asciiTheme="minorHAnsi" w:hAnsiTheme="minorHAnsi" w:cstheme="minorHAnsi"/>
        </w:rPr>
        <w:t xml:space="preserve"> solves </w:t>
      </w:r>
      <w:r w:rsidRPr="008834DA">
        <w:rPr>
          <w:rFonts w:asciiTheme="minorHAnsi" w:hAnsiTheme="minorHAnsi" w:cstheme="minorHAnsi"/>
          <w:i/>
          <w:u w:val="single"/>
        </w:rPr>
        <w:t>agro-terrorism</w:t>
      </w:r>
    </w:p>
    <w:p w14:paraId="29F49159" w14:textId="77777777" w:rsidR="00CC2CC5" w:rsidRPr="008834DA" w:rsidRDefault="00CC2CC5" w:rsidP="00CC2CC5">
      <w:pPr>
        <w:rPr>
          <w:rFonts w:asciiTheme="minorHAnsi" w:hAnsiTheme="minorHAnsi" w:cstheme="minorHAnsi"/>
        </w:rPr>
      </w:pPr>
      <w:r w:rsidRPr="008834DA">
        <w:rPr>
          <w:rStyle w:val="Style13ptBold"/>
          <w:rFonts w:asciiTheme="minorHAnsi" w:hAnsiTheme="minorHAnsi" w:cstheme="minorHAnsi"/>
        </w:rPr>
        <w:t>Wallace 10</w:t>
      </w:r>
      <w:r w:rsidRPr="008834DA">
        <w:rPr>
          <w:rFonts w:asciiTheme="minorHAnsi" w:hAnsiTheme="minorHAnsi" w:cstheme="minorHAnsi"/>
        </w:rPr>
        <w:t>—Robert B.; MD, MPH Associate Editor, American Journal of Preventive Medicine Madison. Professor of epidemiology at the University of Iowa. With Maria Oria. 2010. “Enhancing Food Safety:</w:t>
      </w:r>
    </w:p>
    <w:p w14:paraId="2678C3B3" w14:textId="77777777" w:rsidR="00CC2CC5" w:rsidRPr="008834DA" w:rsidRDefault="00CC2CC5" w:rsidP="00CC2CC5">
      <w:pPr>
        <w:rPr>
          <w:rFonts w:asciiTheme="minorHAnsi" w:hAnsiTheme="minorHAnsi" w:cstheme="minorHAnsi"/>
        </w:rPr>
      </w:pPr>
      <w:r w:rsidRPr="008834DA">
        <w:rPr>
          <w:rFonts w:asciiTheme="minorHAnsi" w:hAnsiTheme="minorHAnsi" w:cstheme="minorHAnsi"/>
        </w:rPr>
        <w:t>The Role of the Food and Drug Administration” https://www.ncbi.nlm.nih.gov/books/NBK220402/</w:t>
      </w:r>
    </w:p>
    <w:p w14:paraId="01F86A22" w14:textId="77777777" w:rsidR="00CC2CC5" w:rsidRPr="008834DA" w:rsidRDefault="00CC2CC5" w:rsidP="00CC2CC5">
      <w:pPr>
        <w:rPr>
          <w:rFonts w:asciiTheme="minorHAnsi" w:hAnsiTheme="minorHAnsi" w:cstheme="minorHAnsi"/>
          <w:sz w:val="12"/>
        </w:rPr>
      </w:pPr>
      <w:r w:rsidRPr="008834DA">
        <w:rPr>
          <w:rFonts w:asciiTheme="minorHAnsi" w:hAnsiTheme="minorHAnsi" w:cstheme="minorHAnsi"/>
          <w:sz w:val="12"/>
        </w:rPr>
        <w:t xml:space="preserve">INFRASTUCTURE FOR FOOD DEFENSE </w:t>
      </w:r>
      <w:r w:rsidRPr="008834DA">
        <w:rPr>
          <w:rStyle w:val="StyleUnderline"/>
          <w:rFonts w:asciiTheme="minorHAnsi" w:hAnsiTheme="minorHAnsi" w:cstheme="minorHAnsi"/>
        </w:rPr>
        <w:t>The FDA has probably undergone its greatest transformation in the area of food defense–related scientific testing and investigation. A significant number of changes focused on facility and personnel safety were required for proper handling of bioterrorism and other selected agents</w:t>
      </w:r>
      <w:r w:rsidRPr="008834DA">
        <w:rPr>
          <w:rFonts w:asciiTheme="minorHAnsi" w:hAnsiTheme="minorHAnsi" w:cstheme="minorHAnsi"/>
          <w:sz w:val="12"/>
        </w:rPr>
        <w:t xml:space="preserve">. Laboratory space had to be isolated so that high-dose or large amounts of chemicals/bacteria/toxins would not infiltrate other laboratory areas when sensitive testing was conducted on contaminants. Research on these agents posed a safety risk requiring special clothing, air/hood systems, and storage and disposal procedures. </w:t>
      </w:r>
      <w:r w:rsidRPr="008834DA">
        <w:rPr>
          <w:rStyle w:val="StyleUnderline"/>
          <w:rFonts w:asciiTheme="minorHAnsi" w:hAnsiTheme="minorHAnsi" w:cstheme="minorHAnsi"/>
        </w:rPr>
        <w:t xml:space="preserve">The FDA established new procedures and conducted training and performance testing to ensure that its laboratories, and the broader Food Emergency Response Network (FERN), would be able to detect potential threat agents in a </w:t>
      </w:r>
      <w:r w:rsidRPr="008834DA">
        <w:rPr>
          <w:rStyle w:val="Emphasis"/>
          <w:rFonts w:asciiTheme="minorHAnsi" w:hAnsiTheme="minorHAnsi" w:cstheme="minorHAnsi"/>
        </w:rPr>
        <w:t>wide variety of foods</w:t>
      </w:r>
      <w:r w:rsidRPr="008834DA">
        <w:rPr>
          <w:rFonts w:asciiTheme="minorHAnsi" w:hAnsiTheme="minorHAnsi" w:cstheme="minorHAnsi"/>
          <w:sz w:val="12"/>
        </w:rPr>
        <w:t xml:space="preserve">. It was not a trivial matter to determine the adequacy of test methods when new foods were involved. Many of the chemicals and microbial agents of interest had not been investigated in FDA laboratory environments because natural barriers usually precluded their occurrence as contaminants in foods. Often adjustments of existing methods were sufficient, but at times whole new methods of extraction and detection were needed. </w:t>
      </w:r>
      <w:r w:rsidRPr="008834DA">
        <w:rPr>
          <w:rStyle w:val="StyleUnderline"/>
          <w:rFonts w:asciiTheme="minorHAnsi" w:hAnsiTheme="minorHAnsi" w:cstheme="minorHAnsi"/>
        </w:rPr>
        <w:t>The FDA also undertook an extensive quality assurance program to ensure consistent application of microbial and chemical test methods and the accuracy of results across of all of its laboratories</w:t>
      </w:r>
      <w:r w:rsidRPr="008834DA">
        <w:rPr>
          <w:rFonts w:asciiTheme="minorHAnsi" w:hAnsiTheme="minorHAnsi" w:cstheme="minorHAnsi"/>
          <w:sz w:val="12"/>
        </w:rPr>
        <w:t xml:space="preserve">. Upon the formation of FERN, the quality assurance function was augmented, and state-of-the-art equipment for the laboratories was needed. Currently there are 157 FERN laboratories: 35 federal, 111 state, and 11 local. These laboratories are staffed with 120 microbiological, 105 chemical, and 35 radiological scientists and staff. They carry out method development/validation; proficiency testing (in radiology, chemistry, and microbiology); surveillance testing; and electronic communications and collaboration. The FDA has mobilized the FERN laboratories to deal with a number of recent outbreaks, such as E. coli O157:H7 in spinach (2006), Salmonella in peppers (summer 2008), melamine in plant protein (2007), Salmonella in peanut butter (2009), and melamine in milk products (2008–2009). </w:t>
      </w:r>
      <w:r w:rsidRPr="008834DA">
        <w:rPr>
          <w:rStyle w:val="StyleUnderline"/>
          <w:rFonts w:asciiTheme="minorHAnsi" w:hAnsiTheme="minorHAnsi" w:cstheme="minorHAnsi"/>
        </w:rPr>
        <w:t xml:space="preserve">This new capacity, developed with food defense funds, has been a </w:t>
      </w:r>
      <w:r w:rsidRPr="008834DA">
        <w:rPr>
          <w:rStyle w:val="Emphasis"/>
          <w:rFonts w:asciiTheme="minorHAnsi" w:hAnsiTheme="minorHAnsi" w:cstheme="minorHAnsi"/>
        </w:rPr>
        <w:t>true asset</w:t>
      </w:r>
      <w:r w:rsidRPr="008834DA">
        <w:rPr>
          <w:rStyle w:val="StyleUnderline"/>
          <w:rFonts w:asciiTheme="minorHAnsi" w:hAnsiTheme="minorHAnsi" w:cstheme="minorHAnsi"/>
        </w:rPr>
        <w:t xml:space="preserve"> in responding to public health emergencies, and reflects the assimilation of food defense and safety into the FDA’s FPP</w:t>
      </w:r>
      <w:r w:rsidRPr="008834DA">
        <w:rPr>
          <w:rFonts w:asciiTheme="minorHAnsi" w:hAnsiTheme="minorHAnsi" w:cstheme="minorHAnsi"/>
          <w:sz w:val="12"/>
        </w:rPr>
        <w:t xml:space="preserve">. An episode in 2005 tested the FDA’s risk assessment and research capacity and demonstrated that the FDA, the milk industry, and the states were prepared to act quickly and effectively. All gained a better appreciation of the time and effort required to address potential food defense threats and the essential role of the new food defense capabilities as well as existing food safety systems. An article was published in a scientific journal that had the potential to frighten U.S. consumers, rather than depicting the scientific and technical challenges of protecting the U.S. food supply, in this case milk. This article described a mathematical model for the farm-to-table milk production system wherein a single milk-processing facility was the victim of a deliberate release of botulinum toxin into milk (Wein and Liu, 2005). The article suggested that if a terrorist could obtain enough toxin and introduce it into milk, rapid distribution and consumption could cause hundreds of thousands of poisonings. </w:t>
      </w:r>
      <w:r w:rsidRPr="008834DA">
        <w:rPr>
          <w:rStyle w:val="StyleUnderline"/>
          <w:rFonts w:asciiTheme="minorHAnsi" w:hAnsiTheme="minorHAnsi" w:cstheme="minorHAnsi"/>
        </w:rPr>
        <w:t xml:space="preserve">The FDA and the industry were worried that the release of information on the effect of pasteurization on a terrorism hazard would cause a panic among U.S. consumers and </w:t>
      </w:r>
      <w:r w:rsidRPr="008834DA">
        <w:rPr>
          <w:rStyle w:val="Emphasis"/>
          <w:rFonts w:asciiTheme="minorHAnsi" w:hAnsiTheme="minorHAnsi" w:cstheme="minorHAnsi"/>
        </w:rPr>
        <w:t>provide a road map for a terrorist</w:t>
      </w:r>
      <w:r w:rsidRPr="008834DA">
        <w:rPr>
          <w:rFonts w:asciiTheme="minorHAnsi" w:hAnsiTheme="minorHAnsi" w:cstheme="minorHAnsi"/>
          <w:sz w:val="12"/>
        </w:rPr>
        <w:t xml:space="preserve">. The FDA and milk industry and state officials focused efforts on reducing the vulnerability of, and risk to, the milk supply by modifying the pasteurization parameters. Following these efforts, the FDA, using state milk inspectors, conducted surveys in 2006 and 2008–2009 to assess industry’s voluntary compliance with the new parameters. Both surveys showed that better than 75 percent of milk processors had complied, thus reducing the risk to the milk supply from such an intentional contamination. </w:t>
      </w:r>
      <w:r w:rsidRPr="008834DA">
        <w:rPr>
          <w:rStyle w:val="StyleUnderline"/>
          <w:rFonts w:asciiTheme="minorHAnsi" w:hAnsiTheme="minorHAnsi" w:cstheme="minorHAnsi"/>
        </w:rPr>
        <w:t xml:space="preserve">This response by the FDA, the milk industry, and the state governments demonstrated their capacity to react quickly to a necessary technological change. </w:t>
      </w:r>
      <w:r w:rsidRPr="008834DA">
        <w:rPr>
          <w:rFonts w:asciiTheme="minorHAnsi" w:hAnsiTheme="minorHAnsi" w:cstheme="minorHAnsi"/>
          <w:sz w:val="12"/>
        </w:rPr>
        <w:t xml:space="preserve">Preceding sections of this appendix have detailed </w:t>
      </w:r>
      <w:r w:rsidRPr="008834DA">
        <w:rPr>
          <w:rStyle w:val="StyleUnderline"/>
          <w:rFonts w:asciiTheme="minorHAnsi" w:hAnsiTheme="minorHAnsi" w:cstheme="minorHAnsi"/>
        </w:rPr>
        <w:t>FDA efforts</w:t>
      </w:r>
      <w:r w:rsidRPr="008834DA">
        <w:rPr>
          <w:rFonts w:asciiTheme="minorHAnsi" w:hAnsiTheme="minorHAnsi" w:cstheme="minorHAnsi"/>
          <w:sz w:val="12"/>
        </w:rPr>
        <w:t xml:space="preserve"> to </w:t>
      </w:r>
      <w:r w:rsidRPr="008834DA">
        <w:rPr>
          <w:rStyle w:val="Emphasis"/>
          <w:rFonts w:asciiTheme="minorHAnsi" w:hAnsiTheme="minorHAnsi" w:cstheme="minorHAnsi"/>
        </w:rPr>
        <w:t>prevent an attack on the nation’s food supply</w:t>
      </w:r>
      <w:r w:rsidRPr="008834DA">
        <w:rPr>
          <w:rStyle w:val="StyleUnderline"/>
          <w:rFonts w:asciiTheme="minorHAnsi" w:hAnsiTheme="minorHAnsi" w:cstheme="minorHAnsi"/>
        </w:rPr>
        <w:t>. Should such an attack occur</w:t>
      </w:r>
      <w:r w:rsidRPr="008834DA">
        <w:rPr>
          <w:rFonts w:asciiTheme="minorHAnsi" w:hAnsiTheme="minorHAnsi" w:cstheme="minorHAnsi"/>
          <w:sz w:val="12"/>
        </w:rPr>
        <w:t xml:space="preserve">, however, </w:t>
      </w:r>
      <w:r w:rsidRPr="008834DA">
        <w:rPr>
          <w:rStyle w:val="StyleUnderline"/>
          <w:rFonts w:asciiTheme="minorHAnsi" w:hAnsiTheme="minorHAnsi" w:cstheme="minorHAnsi"/>
        </w:rPr>
        <w:t>the FDA</w:t>
      </w:r>
      <w:r w:rsidRPr="008834DA">
        <w:rPr>
          <w:rFonts w:asciiTheme="minorHAnsi" w:hAnsiTheme="minorHAnsi" w:cstheme="minorHAnsi"/>
          <w:sz w:val="12"/>
        </w:rPr>
        <w:t xml:space="preserve"> and the administration, through the leadership of DHS, </w:t>
      </w:r>
      <w:r w:rsidRPr="008834DA">
        <w:rPr>
          <w:rStyle w:val="StyleUnderline"/>
          <w:rFonts w:asciiTheme="minorHAnsi" w:hAnsiTheme="minorHAnsi" w:cstheme="minorHAnsi"/>
        </w:rPr>
        <w:t>have procedures</w:t>
      </w:r>
      <w:r w:rsidRPr="008834DA">
        <w:rPr>
          <w:rFonts w:asciiTheme="minorHAnsi" w:hAnsiTheme="minorHAnsi" w:cstheme="minorHAnsi"/>
          <w:sz w:val="12"/>
        </w:rPr>
        <w:t xml:space="preserve">, networks, and capabilities </w:t>
      </w:r>
      <w:r w:rsidRPr="008834DA">
        <w:rPr>
          <w:rStyle w:val="StyleUnderline"/>
          <w:rFonts w:asciiTheme="minorHAnsi" w:hAnsiTheme="minorHAnsi" w:cstheme="minorHAnsi"/>
        </w:rPr>
        <w:t>in place to respond</w:t>
      </w:r>
      <w:r w:rsidRPr="008834DA">
        <w:rPr>
          <w:rFonts w:asciiTheme="minorHAnsi" w:hAnsiTheme="minorHAnsi" w:cstheme="minorHAnsi"/>
          <w:sz w:val="12"/>
        </w:rPr>
        <w:t xml:space="preserve">. From the outset of the HHS bioterrorism efforts and the DHS/FDA/USDA food defense initiative, emergency response has been a key component. HHS’s Office of Public Health Emergency Preparedness, as well as the FDA’s OCM, Office of Emergency Operations, and center counterparts, developed all-hazard emergency response procedures to deal with a contaminated FDA-regulated product. In accordance with the relevant HSPD to employ the National Incident Management System (NIMS) in support of the NRP, the FDA adopted NIMS. OCM also instituted continuity-of-operations planning, whereby the FDA and its suborganizations have an alternative site for operations should an attack or threat occur. Each suborganization had to identify essential personnel who would move to this alternative site to maintain operations, while others would be instructed to stay home and seek safety. The FDA has conducted exercises and participated in HHS and DHS/administration training efforts to improve its preparedness, fill gaps in, or correct procedures and capacities as needed. The FDA also participated in the administration effort to review and update the NRP. As mentioned earlier, if intelligence or FDA surveillance indicated a threat to an FDA-regulated product, this information would be communicated directly to OCM. OCM would in turn trigger its emergency response procedures, including notifying all relevant federal, state, and industry counterparts. Prior to 2007, food defense and food safety program resources were usually separate in budgeting, program planning, and program goals and objectives. In 2007, the FDA combined the two under the FPP. In the context of its oversight of ever-increasing imported food shipments, a spate of domestic and imported food outbreaks, and numerous other factors, the FDA has proposed the FPP as its strategic plan for marshaling all of its expertise, systems, capabilities, and capacities to prevent, intervene in, and respond to food-related threats. The FY 2010 FPP budget projects total full-time equivalents (FTEs) at 3,288 and funding of $8,455.8 million. This represents an increase of nearly 500 FTEs, but no increase in funding. Total FTEs for the animal drugs and feeds program are projected at 767, an increase of 105 FTEs, with funding of $171 million. The FTEs and funding are distributed among CFSAN, Center for Veterinary Medicine (CVM) headquarters, and ORA field operations for research scientists, regulatory review, program analysts, investigators, compliance, laboratory operations, etc. The food defense components of the plan are as follows: </w:t>
      </w:r>
      <w:r w:rsidRPr="008834DA">
        <w:rPr>
          <w:rStyle w:val="StyleUnderline"/>
          <w:rFonts w:asciiTheme="minorHAnsi" w:hAnsiTheme="minorHAnsi" w:cstheme="minorHAnsi"/>
        </w:rPr>
        <w:t>The FDA will improve its ability to protect American consumers and strengthen the safety and security of the food supply chain by working with domestic and foreign industry to develop new control measures for all levels of food production and processing. The FDA will also verify that these control measures are effective when implemented. The FDA will strengthen food safety by improving the science on which regulatory decisions and enforcement rely. The agency will conduct risk analysis, modeling, and evaluation to improve risk-based decision making so it can better target resources to high-risk foods</w:t>
      </w:r>
      <w:r w:rsidRPr="008834DA">
        <w:rPr>
          <w:rFonts w:asciiTheme="minorHAnsi" w:hAnsiTheme="minorHAnsi" w:cstheme="minorHAnsi"/>
          <w:sz w:val="12"/>
        </w:rPr>
        <w:t>. This work will also include improving the FDA’s ability to attribute contamination to specific foods and thereby promote faster response and better resource targeting.</w:t>
      </w:r>
    </w:p>
    <w:p w14:paraId="320C49BF" w14:textId="77777777" w:rsidR="00CC2CC5" w:rsidRPr="008834DA" w:rsidRDefault="00CC2CC5" w:rsidP="00CC2CC5">
      <w:pPr>
        <w:pStyle w:val="Heading4"/>
        <w:rPr>
          <w:rFonts w:asciiTheme="minorHAnsi" w:hAnsiTheme="minorHAnsi" w:cstheme="minorHAnsi"/>
        </w:rPr>
      </w:pPr>
      <w:r w:rsidRPr="008834DA">
        <w:rPr>
          <w:rFonts w:asciiTheme="minorHAnsi" w:hAnsiTheme="minorHAnsi" w:cstheme="minorHAnsi"/>
        </w:rPr>
        <w:t xml:space="preserve">Agro-terror causes </w:t>
      </w:r>
      <w:r w:rsidRPr="008834DA">
        <w:rPr>
          <w:rFonts w:asciiTheme="minorHAnsi" w:hAnsiTheme="minorHAnsi" w:cstheme="minorHAnsi"/>
          <w:u w:val="single"/>
        </w:rPr>
        <w:t>resource wars</w:t>
      </w:r>
      <w:r w:rsidRPr="008834DA">
        <w:rPr>
          <w:rFonts w:asciiTheme="minorHAnsi" w:hAnsiTheme="minorHAnsi" w:cstheme="minorHAnsi"/>
        </w:rPr>
        <w:t xml:space="preserve">, </w:t>
      </w:r>
      <w:r w:rsidRPr="008834DA">
        <w:rPr>
          <w:rFonts w:asciiTheme="minorHAnsi" w:hAnsiTheme="minorHAnsi" w:cstheme="minorHAnsi"/>
          <w:u w:val="single"/>
        </w:rPr>
        <w:t>pandemics</w:t>
      </w:r>
      <w:r w:rsidRPr="008834DA">
        <w:rPr>
          <w:rFonts w:asciiTheme="minorHAnsi" w:hAnsiTheme="minorHAnsi" w:cstheme="minorHAnsi"/>
        </w:rPr>
        <w:t xml:space="preserve">, and </w:t>
      </w:r>
      <w:r w:rsidRPr="008834DA">
        <w:rPr>
          <w:rFonts w:asciiTheme="minorHAnsi" w:hAnsiTheme="minorHAnsi" w:cstheme="minorHAnsi"/>
          <w:u w:val="single"/>
        </w:rPr>
        <w:t>miscalc</w:t>
      </w:r>
      <w:r w:rsidRPr="008834DA">
        <w:rPr>
          <w:rFonts w:asciiTheme="minorHAnsi" w:hAnsiTheme="minorHAnsi" w:cstheme="minorHAnsi"/>
        </w:rPr>
        <w:t>---</w:t>
      </w:r>
      <w:r w:rsidRPr="008834DA">
        <w:rPr>
          <w:rFonts w:asciiTheme="minorHAnsi" w:hAnsiTheme="minorHAnsi" w:cstheme="minorHAnsi"/>
          <w:i/>
          <w:u w:val="single"/>
        </w:rPr>
        <w:t>extinction</w:t>
      </w:r>
      <w:r w:rsidRPr="008834DA">
        <w:rPr>
          <w:rFonts w:asciiTheme="minorHAnsi" w:hAnsiTheme="minorHAnsi" w:cstheme="minorHAnsi"/>
        </w:rPr>
        <w:t xml:space="preserve">. </w:t>
      </w:r>
    </w:p>
    <w:p w14:paraId="1C75E6BE" w14:textId="77777777" w:rsidR="00CC2CC5" w:rsidRPr="008834DA" w:rsidRDefault="00CC2CC5" w:rsidP="00CC2CC5">
      <w:pPr>
        <w:rPr>
          <w:rFonts w:asciiTheme="minorHAnsi" w:hAnsiTheme="minorHAnsi" w:cstheme="minorHAnsi"/>
        </w:rPr>
      </w:pPr>
      <w:r w:rsidRPr="008834DA">
        <w:rPr>
          <w:rStyle w:val="Style13ptBold"/>
          <w:rFonts w:asciiTheme="minorHAnsi" w:hAnsiTheme="minorHAnsi" w:cstheme="minorHAnsi"/>
        </w:rPr>
        <w:t>Zamora, 17</w:t>
      </w:r>
      <w:r w:rsidRPr="008834DA">
        <w:rPr>
          <w:rFonts w:asciiTheme="minorHAnsi" w:hAnsiTheme="minorHAnsi" w:cstheme="minorHAnsi"/>
        </w:rPr>
        <w:t>—Manuel F.; PhD, assistant Prof of Security Studies at Angelo State University. 6/6/17, “Agro Terrorism: A Global Perspective” https://www.omicsonline.org/open-access/agro-terrorism-a-global-perspective-2332-0761-1000262.php?aid=89996&amp;view=mobile</w:t>
      </w:r>
    </w:p>
    <w:p w14:paraId="7221B849" w14:textId="77777777" w:rsidR="00CC2CC5" w:rsidRPr="003E712B" w:rsidRDefault="00CC2CC5" w:rsidP="00CC2CC5">
      <w:pPr>
        <w:rPr>
          <w:rFonts w:asciiTheme="minorHAnsi" w:hAnsiTheme="minorHAnsi" w:cstheme="minorHAnsi"/>
          <w:sz w:val="12"/>
        </w:rPr>
      </w:pPr>
      <w:r w:rsidRPr="008834DA">
        <w:rPr>
          <w:rFonts w:asciiTheme="minorHAnsi" w:hAnsiTheme="minorHAnsi" w:cstheme="minorHAnsi"/>
          <w:sz w:val="12"/>
        </w:rPr>
        <w:t xml:space="preserve">The Global Terrorism Database provides detailed information on documented terrorist attacks, and includes biological, chemical, and many other weapons types, but it includes only 22 categorical descriptions for targets/victims, and food and water supply comprise one of the categories (http://www.start.umd.edu/gtd/). There is no category for livestock, so a reasonable conclusion can be reached that the GTD does not capture attacks on this part of agriculture. The only category which may capture the information is a Business target with “Farm/Ranch” as a subcategory, but still livestock are not listed as targets. In the GTD database, between 2012-2015, 3 biological and 31 chemical attacks were documented to involve poisoning in 7 specific cases involving attacks to food. The cases include poisonings of schoolaged children attending schools in Afghanistan. On May 7th and 15th, 2012, over 250 Afghan students were hospitalized for poisoning. Schoolgirls in Afghanistan were poisoned on April 22, 2013, reportedly because they wanted to learn. Thirty-one police officers, including one who was fatally injured, were fed contaminated meat in the Faryab province, Afghanistan (November 20, 2012), while an assailant sold rat poison-laced meat to soldiers in Arauca, Colombia. Six were hospitalized, and one died of the meat poisoning. Between March of 2012, and April of 2013, as many as 53 police personnel were killed by Islamic terrorists, while 40 were injured with the serving of rat poison in food at police stations and academies. “Because no anti-crop agroterrorist act involving plant pathogens (excluding de facto human food poisoning) has ever been demonstrated, a prediction of the nature, the target crop, the pathogen introduced, and the perpetrator of ‘the most likely act’ targeting crops, is impossible” [8]. However, the effect of diseases on animals and livestock is well-documented and clearly observed and </w:t>
      </w:r>
      <w:r w:rsidRPr="008834DA">
        <w:rPr>
          <w:rStyle w:val="StyleUnderline"/>
          <w:rFonts w:asciiTheme="minorHAnsi" w:hAnsiTheme="minorHAnsi" w:cstheme="minorHAnsi"/>
        </w:rPr>
        <w:t xml:space="preserve">a security protocol would be remiss if it did not acknowledge the potential for an agroterrorist event. </w:t>
      </w:r>
      <w:r w:rsidRPr="008834DA">
        <w:rPr>
          <w:rStyle w:val="Emphasis"/>
          <w:rFonts w:asciiTheme="minorHAnsi" w:hAnsiTheme="minorHAnsi" w:cstheme="minorHAnsi"/>
        </w:rPr>
        <w:t>Crop diseases have been deemed to rival military action</w:t>
      </w:r>
      <w:r w:rsidRPr="008834DA">
        <w:rPr>
          <w:rFonts w:asciiTheme="minorHAnsi" w:hAnsiTheme="minorHAnsi" w:cstheme="minorHAnsi"/>
          <w:sz w:val="12"/>
        </w:rPr>
        <w:t xml:space="preserve">, and the example of Bengal brown spot </w:t>
      </w:r>
      <w:r w:rsidRPr="008834DA">
        <w:rPr>
          <w:rStyle w:val="StyleUnderline"/>
          <w:rFonts w:asciiTheme="minorHAnsi" w:hAnsiTheme="minorHAnsi" w:cstheme="minorHAnsi"/>
        </w:rPr>
        <w:t>disease of rice in India, in 1942-1943, serves as an illustration of how the crop disease led to the starvation of 2.0 million people. The significance of this threat is that “the ongoing revolution in biotechnology and genetic engineering can extend the technical capabilities of anyone interested in developing biological weaponry, thereby increasing the threat</w:t>
      </w:r>
      <w:r w:rsidRPr="008834DA">
        <w:rPr>
          <w:rFonts w:asciiTheme="minorHAnsi" w:hAnsiTheme="minorHAnsi" w:cstheme="minorHAnsi"/>
          <w:sz w:val="12"/>
        </w:rPr>
        <w:t xml:space="preserve">. The genetic alteration of DNA compositions to create disease resistant and stronger, more resilient plants is an example of this view, and the previous research on deploying crop threats through balloons, feathers, spray aerosols, or even bombs, has greatly evolved into something more sinister [76]. Given the literature and case review of natural and human motivated outbreaks, it is sound to assume that the surveillance systems, the network of collaborations, and the knowledge of virulent pathogens gleaned through on-going scientific research, the greatest threat is not posed by potential agro terrorism targets, but by the aerial, waterborne, and the zoonotic effect of naturally-occurring and new genetic strains of evolving pathogens. The smuggling of wildlife and goods is also an issue because of the possibility of infectious disease that can spread and decimate livestock and plants. An outbreak of Exotic Newcastle Disease among poultry in the U.S. reportedly stemmed from smuggled game birds from Mexico. The disease resulted in eradication costs of approximately $168 million [77]. </w:t>
      </w:r>
      <w:r w:rsidRPr="008834DA">
        <w:rPr>
          <w:rStyle w:val="Emphasis"/>
          <w:rFonts w:asciiTheme="minorHAnsi" w:hAnsiTheme="minorHAnsi" w:cstheme="minorHAnsi"/>
        </w:rPr>
        <w:t>Double agents</w:t>
      </w:r>
      <w:r w:rsidRPr="008834DA">
        <w:rPr>
          <w:rStyle w:val="StyleUnderline"/>
          <w:rFonts w:asciiTheme="minorHAnsi" w:hAnsiTheme="minorHAnsi" w:cstheme="minorHAnsi"/>
        </w:rPr>
        <w:t xml:space="preserve">, pathogens capable of inflicting death in both animals and humans, are of </w:t>
      </w:r>
      <w:r w:rsidRPr="008834DA">
        <w:rPr>
          <w:rStyle w:val="Emphasis"/>
          <w:rFonts w:asciiTheme="minorHAnsi" w:hAnsiTheme="minorHAnsi" w:cstheme="minorHAnsi"/>
        </w:rPr>
        <w:t>significant terrorist concern</w:t>
      </w:r>
      <w:r w:rsidRPr="008834DA">
        <w:rPr>
          <w:rStyle w:val="StyleUnderline"/>
          <w:rFonts w:asciiTheme="minorHAnsi" w:hAnsiTheme="minorHAnsi" w:cstheme="minorHAnsi"/>
        </w:rPr>
        <w:t>.</w:t>
      </w:r>
      <w:r w:rsidRPr="008834DA">
        <w:rPr>
          <w:rFonts w:asciiTheme="minorHAnsi" w:hAnsiTheme="minorHAnsi" w:cstheme="minorHAnsi"/>
          <w:sz w:val="12"/>
        </w:rPr>
        <w:t xml:space="preserve"> In 1979, an accidental release of anthrax spores from a research laboratory in the Soviet Union resulted in the deaths of 66 people and the infection of 77 others. The infected and deceased resided within 4 kilometers and downwind from the release site. Livestock also died, and the final death toll is estimated to have been between 200 and 1,000 people [78]. The many multinational efforts and conventions that exist between countries have led to increased international surveillance, better control measures, closer collaboration, additional research, and sharing of information and intelligence. However, new parasites and infectious diseases continue to emerge, or recur, and outbreaks continue despite prior effective control measures. The only two globally-eradicated viruses are smallpox and rinderpest [79]. The Disease Outbreaks Map and many state government health organizations, such as the United Nations, the World Health Organization, country specific organizations, and non-government organizations report public health outbreaks, many of which occur naturally, or through mishandling of plants and animals. During the month of February, 2017, for example, real-time outbreaks in humans have included H1N1 (India), American Swine Fever (Ukraine; Russia), Hantavirus (Texas, USA), Cholera (Zambia; Sudan), Lassa fever (Nigeria) [80]. The surveillance and reporting structure of effective programs can also be illustrated in the infrastructure of the United Nations. The Food and Agriculture Organization of the United Nations, in its Global Animal Disease Intelligence Report (2015), highlights livestock and zoonotic disease occurrences. Foot and Mouth Disease (FMD) remained a significant threat to many countries: Northern Africa (Algeria), East Asia (Republic of Korea), South Africa, and sub- Saharan Africa. “In Kazakhstan, a mass die-off of 152,336 Saiga antelopes… occurred over a two-week period in May 2015” [81]. As with a previous fatality of 12,000 Saiga in 2010, the Kazakhstan authorities reported to the OIE, that the causes are unknown, but may be due to Haemorrhagic septicaemia. </w:t>
      </w:r>
      <w:r w:rsidRPr="008834DA">
        <w:rPr>
          <w:rStyle w:val="StyleUnderline"/>
          <w:rFonts w:asciiTheme="minorHAnsi" w:hAnsiTheme="minorHAnsi" w:cstheme="minorHAnsi"/>
        </w:rPr>
        <w:t>The U.S. Department of Agriculture National Agricultural Library provides detailed information on many of the agents, including the microbes described by Kazakhstan.</w:t>
      </w:r>
      <w:r w:rsidRPr="008834DA">
        <w:rPr>
          <w:rFonts w:asciiTheme="minorHAnsi" w:hAnsiTheme="minorHAnsi" w:cstheme="minorHAnsi"/>
          <w:sz w:val="12"/>
        </w:rPr>
        <w:t xml:space="preserve"> This virus is believed to have been introduced to the U.S. in 2002, and it affect aquatic life (fish) [82]. The OIE is the organization referenced by the World Trade Organization to develop standards relating to animal health and zoonosis. The OIE publishes the Terrestrial Animal Health Code and the Aquatic Animal Health Code as well as the Manual of Diagnostic Tests and Vaccines for Terrestrial Animals and the Manual of Diagnostic Tests for Aquatic Animals as international standards to improve worldwide animal health and ensure the sanitary safety of trades in terrestrial animals and aquatic animals and their products [83]. The World Organization for Animal Health has succeeded the Office International des Epizooties (OIE). Currently, the OIE is comprised of 180 member countries, many who joined after the acute and viral disease known as Rinderpest, became epidemic within their region or food supply system. The disease affected ruminants, mostly zebu in Belgium, France, and Antwerp in 1924. The disease was eradicated from the world in 2011, but strains remain in research and science laboratories in several countries. Historically, Rinderpest was an economic scourge that affected Africa Asia, and Europe and it took the effort of the OIE and World Organization of Animal Health to eradicate it globally in 2011. Rinderpest is closely related to the viruses causing peste des petits in ruminants, canine distemper, and measles. It is shed in nasal and ocular secretions and may be transmitted during incubation. Close or direct contact between animals may result in transmission, but the virus is fragile, inactivating within 12 hours of exposure to heat and light. The incubation period is 3-15 days. Morbidity is about 100 percent, and mortality up to 90 percent. Rinderpest is not zoonosis. The worldwide eradication of Foot and Mouth Disease is the next aim of the OIE [79,80]. While Avian Influenza (H5N1; HPAI) are characterized as medium risk, zoonotic avian influenza outbreaks were reported in Africa and Asia, with new incursions into Africa, the Near East and Eastern Europe to Central Asia (Russian Federation, Kazakhstan, Turkey, Gaza Strip, Israel, and the Islamic Republic of Iran). The outbreaks were reportedly of East Asia origin. In Western Africa, outbreaks occurred in Cote d’Ivoire, Ghana and Niger. Nigeria reported new outbreaks affecting poultry, and as a result, it exterminated 1.4 million birds. Egypt reported increases in H1N1/H5N1 in poultry and humans, resulting in the deaths of 27 people during the first six months of 2015. Other countries experiencing outbreaks include Israel, Islamic Republic of Iran, and Eastern-South Eastern Asia (Bhutan, China, India, Indonesia, and Viet Nam). Other Avian Influenza outbreaks were reported during 2015 in China (H7N9; LPAI; n=32), the United States (H5N8/HPAI; n=21-), Canada (n=3), Mexico (n=3), and Egypt [84,85]. </w:t>
      </w:r>
      <w:r w:rsidRPr="008834DA">
        <w:rPr>
          <w:rStyle w:val="StyleUnderline"/>
          <w:rFonts w:asciiTheme="minorHAnsi" w:hAnsiTheme="minorHAnsi" w:cstheme="minorHAnsi"/>
        </w:rPr>
        <w:t>Plant pathogens continue to be sources of concern because weather disperses them through natural aerial means. “Some of the most striking and extreme consequences of rapid, long-distance aerial dispersal involve pathogens of crop plants, such as long-distance dispersal of fungal spores by</w:t>
      </w:r>
      <w:r w:rsidRPr="008834DA">
        <w:rPr>
          <w:rFonts w:asciiTheme="minorHAnsi" w:hAnsiTheme="minorHAnsi" w:cstheme="minorHAnsi"/>
          <w:sz w:val="12"/>
        </w:rPr>
        <w:t xml:space="preserve">… (wind, </w:t>
      </w:r>
      <w:r w:rsidRPr="008834DA">
        <w:rPr>
          <w:rStyle w:val="StyleUnderline"/>
          <w:rFonts w:asciiTheme="minorHAnsi" w:hAnsiTheme="minorHAnsi" w:cstheme="minorHAnsi"/>
        </w:rPr>
        <w:t>spreading</w:t>
      </w:r>
      <w:r w:rsidRPr="008834DA">
        <w:rPr>
          <w:rFonts w:asciiTheme="minorHAnsi" w:hAnsiTheme="minorHAnsi" w:cstheme="minorHAnsi"/>
          <w:sz w:val="12"/>
        </w:rPr>
        <w:t xml:space="preserve">) </w:t>
      </w:r>
      <w:r w:rsidRPr="008834DA">
        <w:rPr>
          <w:rStyle w:val="StyleUnderline"/>
          <w:rFonts w:asciiTheme="minorHAnsi" w:hAnsiTheme="minorHAnsi" w:cstheme="minorHAnsi"/>
        </w:rPr>
        <w:t>plant diseases across and even between continents and reestablishing diseases in areas where host plants are seasonally absent</w:t>
      </w:r>
      <w:r w:rsidRPr="008834DA">
        <w:rPr>
          <w:rFonts w:asciiTheme="minorHAnsi" w:hAnsiTheme="minorHAnsi" w:cstheme="minorHAnsi"/>
          <w:sz w:val="12"/>
        </w:rPr>
        <w:t xml:space="preserve">” [86]. While some of these </w:t>
      </w:r>
      <w:r w:rsidRPr="008834DA">
        <w:rPr>
          <w:rStyle w:val="Emphasis"/>
          <w:rFonts w:asciiTheme="minorHAnsi" w:hAnsiTheme="minorHAnsi" w:cstheme="minorHAnsi"/>
        </w:rPr>
        <w:t>aerial dispersals may cause extreme consequences</w:t>
      </w:r>
      <w:r w:rsidRPr="008834DA">
        <w:rPr>
          <w:rFonts w:asciiTheme="minorHAnsi" w:hAnsiTheme="minorHAnsi" w:cstheme="minorHAnsi"/>
          <w:sz w:val="12"/>
        </w:rPr>
        <w:t xml:space="preserve">, a lower probability exists that plants, viruses and fungal pathogens may also infect humans. The aerial dispersal cases include spores carried on clothing, causing yellow wheat rust in Australia around 1979, originating in Europe, and later spreading to New Zealand in 1980 by wind dispersal of uredospores from Eastern Australia. The map includes references to </w:t>
      </w:r>
      <w:r w:rsidRPr="008834DA">
        <w:rPr>
          <w:rStyle w:val="Emphasis"/>
          <w:rFonts w:asciiTheme="minorHAnsi" w:hAnsiTheme="minorHAnsi" w:cstheme="minorHAnsi"/>
        </w:rPr>
        <w:t>extinction</w:t>
      </w:r>
      <w:r w:rsidRPr="008834DA">
        <w:rPr>
          <w:rFonts w:asciiTheme="minorHAnsi" w:hAnsiTheme="minorHAnsi" w:cstheme="minorHAnsi"/>
          <w:sz w:val="12"/>
        </w:rPr>
        <w:t xml:space="preserve">-recolonization </w:t>
      </w:r>
      <w:r w:rsidRPr="008834DA">
        <w:rPr>
          <w:rStyle w:val="StyleUnderline"/>
          <w:rFonts w:asciiTheme="minorHAnsi" w:hAnsiTheme="minorHAnsi" w:cstheme="minorHAnsi"/>
        </w:rPr>
        <w:t>cycles of airborne spores</w:t>
      </w:r>
      <w:r w:rsidRPr="008834DA">
        <w:rPr>
          <w:rFonts w:asciiTheme="minorHAnsi" w:hAnsiTheme="minorHAnsi" w:cstheme="minorHAnsi"/>
          <w:sz w:val="12"/>
        </w:rPr>
        <w:t xml:space="preserve">, some of which </w:t>
      </w:r>
      <w:r w:rsidRPr="008834DA">
        <w:rPr>
          <w:rStyle w:val="StyleUnderline"/>
          <w:rFonts w:asciiTheme="minorHAnsi" w:hAnsiTheme="minorHAnsi" w:cstheme="minorHAnsi"/>
        </w:rPr>
        <w:t>may be carried by travelers on their clothing</w:t>
      </w:r>
      <w:r w:rsidRPr="008834DA">
        <w:rPr>
          <w:rFonts w:asciiTheme="minorHAnsi" w:hAnsiTheme="minorHAnsi" w:cstheme="minorHAnsi"/>
          <w:sz w:val="12"/>
        </w:rPr>
        <w:t xml:space="preserve"> [87]. Conclusion </w:t>
      </w:r>
      <w:r w:rsidRPr="008834DA">
        <w:rPr>
          <w:rStyle w:val="StyleUnderline"/>
          <w:rFonts w:asciiTheme="minorHAnsi" w:hAnsiTheme="minorHAnsi" w:cstheme="minorHAnsi"/>
        </w:rPr>
        <w:t xml:space="preserve">Attacks against people and the infrastructure of their societies through the release of pathogens directed at food and agriculture are a compelling threat because food products are </w:t>
      </w:r>
      <w:r w:rsidRPr="008834DA">
        <w:rPr>
          <w:rStyle w:val="Emphasis"/>
          <w:rFonts w:asciiTheme="minorHAnsi" w:hAnsiTheme="minorHAnsi" w:cstheme="minorHAnsi"/>
        </w:rPr>
        <w:t>essential to sustain life</w:t>
      </w:r>
      <w:r w:rsidRPr="008834DA">
        <w:rPr>
          <w:rFonts w:asciiTheme="minorHAnsi" w:hAnsiTheme="minorHAnsi" w:cstheme="minorHAnsi"/>
          <w:sz w:val="12"/>
        </w:rPr>
        <w:t xml:space="preserve">. The nature of the pathogens, the manner of dissemination, the efficacy of surveillance systems, and the competency of first responders serve as critical indicators to the lethality of the attacks. </w:t>
      </w:r>
      <w:r w:rsidRPr="008834DA">
        <w:rPr>
          <w:rFonts w:asciiTheme="minorHAnsi" w:hAnsiTheme="minorHAnsi" w:cstheme="minorHAnsi"/>
          <w:sz w:val="12"/>
          <w:szCs w:val="16"/>
        </w:rPr>
        <w:t>Some actions may inflict mass effect, and not necessarily mass casualties. Therefore, “the key to the effective defense against an attack using biological agents is to have in place highly functioning public health surveillance and education systems and an appropriate healthcare infrastructure to mitigate the consequences in the event that an attack takes place” [88]. The global food supply chain inherently possesses substantial concerns. Several include the effect of global warming and inclement weather, water conditions, aquaculture, and its effect on food and livestock production, population growth and a demand for more</w:t>
      </w:r>
      <w:r w:rsidRPr="008834DA">
        <w:rPr>
          <w:rFonts w:asciiTheme="minorHAnsi" w:hAnsiTheme="minorHAnsi" w:cstheme="minorHAnsi"/>
          <w:sz w:val="12"/>
        </w:rPr>
        <w:t xml:space="preserve"> food and animal products. Also, renewable agriculture and food systems, increasing homogeneity of world food supplies, fertilizer efficacy, increasing rural development, greenhouse gas emissions, and the protection of valuable ecosystems represent some of the greatest challenges. To compound this complex system, </w:t>
      </w:r>
      <w:r w:rsidRPr="008834DA">
        <w:rPr>
          <w:rStyle w:val="StyleUnderline"/>
          <w:rFonts w:asciiTheme="minorHAnsi" w:hAnsiTheme="minorHAnsi" w:cstheme="minorHAnsi"/>
        </w:rPr>
        <w:t xml:space="preserve">there is a growing threat of unorthodox terrorist acts and disrupting any part of the food supply chain may bring a </w:t>
      </w:r>
      <w:r w:rsidRPr="008834DA">
        <w:rPr>
          <w:rStyle w:val="Emphasis"/>
          <w:rFonts w:asciiTheme="minorHAnsi" w:hAnsiTheme="minorHAnsi" w:cstheme="minorHAnsi"/>
        </w:rPr>
        <w:t>devastating economic problem</w:t>
      </w:r>
      <w:r w:rsidRPr="008834DA">
        <w:rPr>
          <w:rStyle w:val="StyleUnderline"/>
          <w:rFonts w:asciiTheme="minorHAnsi" w:hAnsiTheme="minorHAnsi" w:cstheme="minorHAnsi"/>
        </w:rPr>
        <w:t xml:space="preserve"> to a global region</w:t>
      </w:r>
      <w:r w:rsidRPr="008834DA">
        <w:rPr>
          <w:rFonts w:asciiTheme="minorHAnsi" w:hAnsiTheme="minorHAnsi" w:cstheme="minorHAnsi"/>
          <w:sz w:val="12"/>
        </w:rPr>
        <w:t xml:space="preserve">. </w:t>
      </w:r>
      <w:r w:rsidRPr="008834DA">
        <w:rPr>
          <w:rStyle w:val="StyleUnderline"/>
          <w:rFonts w:asciiTheme="minorHAnsi" w:hAnsiTheme="minorHAnsi" w:cstheme="minorHAnsi"/>
        </w:rPr>
        <w:t>With the growth in global population and the significance of food and agricultural needs, greater attention must be placed on the threats to crops, livestock, and their byproducts within our food supply chain.</w:t>
      </w:r>
      <w:r w:rsidRPr="008834DA">
        <w:rPr>
          <w:rFonts w:asciiTheme="minorHAnsi" w:hAnsiTheme="minorHAnsi" w:cstheme="minorHAnsi"/>
          <w:sz w:val="12"/>
        </w:rPr>
        <w:t xml:space="preserve"> Thus, effective surveillance systems, improved knowledge of pathogens, and efficient responses are needed to protect the food sources which sustain our lives.</w:t>
      </w:r>
    </w:p>
    <w:p w14:paraId="12A7C5FD" w14:textId="77777777" w:rsidR="00CC2CC5" w:rsidRPr="008834DA" w:rsidRDefault="00CC2CC5" w:rsidP="00CC2CC5">
      <w:pPr>
        <w:pStyle w:val="Heading3"/>
      </w:pPr>
      <w:r w:rsidRPr="008834DA">
        <w:t>BioD</w:t>
      </w:r>
      <w:r>
        <w:t xml:space="preserve"> Impact</w:t>
      </w:r>
    </w:p>
    <w:p w14:paraId="496347B6" w14:textId="77777777" w:rsidR="00CC2CC5" w:rsidRPr="008834DA" w:rsidRDefault="00CC2CC5" w:rsidP="00CC2CC5">
      <w:pPr>
        <w:pStyle w:val="Heading4"/>
      </w:pPr>
      <w:r w:rsidRPr="008834DA">
        <w:rPr>
          <w:i/>
        </w:rPr>
        <w:t>Chevron</w:t>
      </w:r>
      <w:r w:rsidRPr="008834DA">
        <w:t xml:space="preserve"> protects environmental </w:t>
      </w:r>
      <w:r w:rsidRPr="008834DA">
        <w:rPr>
          <w:u w:val="single"/>
        </w:rPr>
        <w:t>hotspots</w:t>
      </w:r>
      <w:r w:rsidRPr="008834DA">
        <w:t>.</w:t>
      </w:r>
    </w:p>
    <w:p w14:paraId="00C2F1EE" w14:textId="77777777" w:rsidR="00CC2CC5" w:rsidRPr="008834DA" w:rsidRDefault="00CC2CC5" w:rsidP="00CC2CC5">
      <w:r w:rsidRPr="008834DA">
        <w:rPr>
          <w:rStyle w:val="Heading4Char"/>
        </w:rPr>
        <w:t>Shogren 17</w:t>
      </w:r>
      <w:r w:rsidRPr="008834DA">
        <w:t xml:space="preserve"> – (Elizabeth Shogren, writes HCN’s DC Dispatches from Washington; “Should courts defer to the expertise of agencies?”; High Country News; D.A. June 30</w:t>
      </w:r>
      <w:r w:rsidRPr="008834DA">
        <w:rPr>
          <w:vertAlign w:val="superscript"/>
        </w:rPr>
        <w:t>th</w:t>
      </w:r>
      <w:r w:rsidRPr="008834DA">
        <w:t xml:space="preserve"> 2020, [Published April 17</w:t>
      </w:r>
      <w:r w:rsidRPr="008834DA">
        <w:rPr>
          <w:vertAlign w:val="superscript"/>
        </w:rPr>
        <w:t>th</w:t>
      </w:r>
      <w:r w:rsidRPr="008834DA">
        <w:t xml:space="preserve"> 2017]; </w:t>
      </w:r>
      <w:hyperlink r:id="rId53" w:history="1">
        <w:r w:rsidRPr="008834DA">
          <w:rPr>
            <w:rStyle w:val="Hyperlink"/>
          </w:rPr>
          <w:t>https://www.hcn.org/issues/49.7/dc-dispatch-should-courts-defer-to-federal-agencies-our-new-supreme-court-justice-doesnt-think-so</w:t>
        </w:r>
      </w:hyperlink>
      <w:r w:rsidRPr="008834DA">
        <w:t>)</w:t>
      </w:r>
    </w:p>
    <w:p w14:paraId="51C7DEA6" w14:textId="77777777" w:rsidR="00CC2CC5" w:rsidRPr="008834DA" w:rsidRDefault="00CC2CC5" w:rsidP="00CC2CC5">
      <w:pPr>
        <w:rPr>
          <w:sz w:val="16"/>
        </w:rPr>
      </w:pPr>
      <w:r w:rsidRPr="008834DA">
        <w:rPr>
          <w:rStyle w:val="Emphasis"/>
        </w:rPr>
        <w:t>Chevron</w:t>
      </w:r>
      <w:r w:rsidRPr="008834DA">
        <w:rPr>
          <w:rStyle w:val="StyleUnderline"/>
        </w:rPr>
        <w:t xml:space="preserve"> has been </w:t>
      </w:r>
      <w:r w:rsidRPr="008834DA">
        <w:rPr>
          <w:rStyle w:val="Emphasis"/>
        </w:rPr>
        <w:t>pivotal in upholding</w:t>
      </w:r>
      <w:r w:rsidRPr="008834DA">
        <w:rPr>
          <w:rStyle w:val="StyleUnderline"/>
        </w:rPr>
        <w:t xml:space="preserve"> key </w:t>
      </w:r>
      <w:r w:rsidRPr="008834DA">
        <w:rPr>
          <w:rStyle w:val="Emphasis"/>
        </w:rPr>
        <w:t>environment</w:t>
      </w:r>
      <w:r w:rsidRPr="008834DA">
        <w:rPr>
          <w:rStyle w:val="StyleUnderline"/>
        </w:rPr>
        <w:t xml:space="preserve">al </w:t>
      </w:r>
      <w:r w:rsidRPr="008834DA">
        <w:rPr>
          <w:rStyle w:val="Emphasis"/>
        </w:rPr>
        <w:t>regulations</w:t>
      </w:r>
      <w:r w:rsidRPr="008834DA">
        <w:rPr>
          <w:sz w:val="16"/>
        </w:rPr>
        <w:t xml:space="preserve">, from </w:t>
      </w:r>
      <w:r w:rsidRPr="008834DA">
        <w:rPr>
          <w:rStyle w:val="Emphasis"/>
        </w:rPr>
        <w:t>protecting habitat</w:t>
      </w:r>
      <w:r w:rsidRPr="008834DA">
        <w:rPr>
          <w:rStyle w:val="StyleUnderline"/>
        </w:rPr>
        <w:t xml:space="preserve"> for endangered species to </w:t>
      </w:r>
      <w:r w:rsidRPr="008834DA">
        <w:rPr>
          <w:rStyle w:val="Emphasis"/>
        </w:rPr>
        <w:t>regulating pollution</w:t>
      </w:r>
      <w:r w:rsidRPr="008834DA">
        <w:rPr>
          <w:sz w:val="16"/>
        </w:rPr>
        <w:t xml:space="preserve">. </w:t>
      </w:r>
      <w:r w:rsidRPr="008834DA">
        <w:rPr>
          <w:rStyle w:val="Emphasis"/>
        </w:rPr>
        <w:t>Gorsuch’s aversion</w:t>
      </w:r>
      <w:r w:rsidRPr="008834DA">
        <w:rPr>
          <w:sz w:val="16"/>
        </w:rPr>
        <w:t xml:space="preserve"> to it </w:t>
      </w:r>
      <w:r w:rsidRPr="008834DA">
        <w:rPr>
          <w:rStyle w:val="StyleUnderline"/>
        </w:rPr>
        <w:t>worries</w:t>
      </w:r>
      <w:r w:rsidRPr="008834DA">
        <w:rPr>
          <w:sz w:val="16"/>
        </w:rPr>
        <w:t xml:space="preserve"> some Western </w:t>
      </w:r>
      <w:r w:rsidRPr="008834DA">
        <w:rPr>
          <w:rStyle w:val="StyleUnderline"/>
        </w:rPr>
        <w:t>legal experts</w:t>
      </w:r>
      <w:r w:rsidRPr="008834DA">
        <w:rPr>
          <w:sz w:val="16"/>
        </w:rPr>
        <w:t xml:space="preserve">, who fear that </w:t>
      </w:r>
      <w:r w:rsidRPr="008834DA">
        <w:rPr>
          <w:rStyle w:val="StyleUnderline"/>
        </w:rPr>
        <w:t xml:space="preserve">the nation’s </w:t>
      </w:r>
      <w:r w:rsidRPr="008834DA">
        <w:rPr>
          <w:rStyle w:val="Emphasis"/>
        </w:rPr>
        <w:t xml:space="preserve">highest court </w:t>
      </w:r>
      <w:r w:rsidRPr="008834DA">
        <w:rPr>
          <w:rStyle w:val="StyleUnderline"/>
        </w:rPr>
        <w:t xml:space="preserve">will </w:t>
      </w:r>
      <w:r w:rsidRPr="008834DA">
        <w:rPr>
          <w:rStyle w:val="Emphasis"/>
        </w:rPr>
        <w:t>no longer permit</w:t>
      </w:r>
      <w:r w:rsidRPr="008834DA">
        <w:rPr>
          <w:sz w:val="16"/>
        </w:rPr>
        <w:t xml:space="preserve"> federal </w:t>
      </w:r>
      <w:r w:rsidRPr="008834DA">
        <w:rPr>
          <w:rStyle w:val="Emphasis"/>
        </w:rPr>
        <w:t xml:space="preserve">agencies to create safeguards for </w:t>
      </w:r>
      <w:r w:rsidRPr="008834DA">
        <w:rPr>
          <w:rStyle w:val="StyleUnderline"/>
        </w:rPr>
        <w:t xml:space="preserve">the West’s </w:t>
      </w:r>
      <w:r w:rsidRPr="008834DA">
        <w:rPr>
          <w:rStyle w:val="Emphasis"/>
        </w:rPr>
        <w:t>lands, waters, air and wildlife</w:t>
      </w:r>
      <w:r w:rsidRPr="008834DA">
        <w:rPr>
          <w:sz w:val="16"/>
        </w:rPr>
        <w:t xml:space="preserve"> that are not explicitly required by Congress. “The statutory mandate of </w:t>
      </w:r>
      <w:r w:rsidRPr="008834DA">
        <w:rPr>
          <w:rStyle w:val="Emphasis"/>
        </w:rPr>
        <w:t>land-management agencies</w:t>
      </w:r>
      <w:r w:rsidRPr="008834DA">
        <w:rPr>
          <w:rStyle w:val="StyleUnderline"/>
        </w:rPr>
        <w:t xml:space="preserve"> like the </w:t>
      </w:r>
      <w:r w:rsidRPr="008834DA">
        <w:rPr>
          <w:rStyle w:val="Emphasis"/>
        </w:rPr>
        <w:t>Forest Service, Bureau of Land Management</w:t>
      </w:r>
      <w:r w:rsidRPr="008834DA">
        <w:rPr>
          <w:rStyle w:val="StyleUnderline"/>
        </w:rPr>
        <w:t xml:space="preserve"> and Park Service is old</w:t>
      </w:r>
      <w:r w:rsidRPr="008834DA">
        <w:rPr>
          <w:sz w:val="16"/>
        </w:rPr>
        <w:t xml:space="preserve"> and creaky,” said </w:t>
      </w:r>
      <w:hyperlink r:id="rId54" w:tgtFrame="_blank" w:history="1">
        <w:r w:rsidRPr="008834DA">
          <w:rPr>
            <w:rStyle w:val="Hyperlink"/>
            <w:sz w:val="16"/>
          </w:rPr>
          <w:t>Fred Cheever</w:t>
        </w:r>
      </w:hyperlink>
      <w:r w:rsidRPr="008834DA">
        <w:rPr>
          <w:sz w:val="16"/>
        </w:rPr>
        <w:t xml:space="preserve">, a professor of natural resources and environmental law at the University of Denver Law School. “The combination of </w:t>
      </w:r>
      <w:r w:rsidRPr="008834DA">
        <w:rPr>
          <w:rStyle w:val="StyleUnderline"/>
        </w:rPr>
        <w:t xml:space="preserve">lack of </w:t>
      </w:r>
      <w:r w:rsidRPr="008834DA">
        <w:rPr>
          <w:rStyle w:val="Emphasis"/>
        </w:rPr>
        <w:t>deference</w:t>
      </w:r>
      <w:r w:rsidRPr="008834DA">
        <w:rPr>
          <w:sz w:val="16"/>
        </w:rPr>
        <w:t xml:space="preserve"> and antiquated laws </w:t>
      </w:r>
      <w:r w:rsidRPr="008834DA">
        <w:rPr>
          <w:rStyle w:val="Emphasis"/>
        </w:rPr>
        <w:t>creates a potential conflict</w:t>
      </w:r>
      <w:r w:rsidRPr="008834DA">
        <w:rPr>
          <w:rStyle w:val="StyleUnderline"/>
        </w:rPr>
        <w:t xml:space="preserve"> that may </w:t>
      </w:r>
      <w:r w:rsidRPr="008834DA">
        <w:rPr>
          <w:rStyle w:val="Emphasis"/>
        </w:rPr>
        <w:t>dramatically impact</w:t>
      </w:r>
      <w:r w:rsidRPr="008834DA">
        <w:rPr>
          <w:rStyle w:val="StyleUnderline"/>
        </w:rPr>
        <w:t xml:space="preserve"> the West</w:t>
      </w:r>
      <w:r w:rsidRPr="008834DA">
        <w:rPr>
          <w:sz w:val="16"/>
        </w:rPr>
        <w:t>.”</w:t>
      </w:r>
    </w:p>
    <w:p w14:paraId="7BB56011" w14:textId="77777777" w:rsidR="00CC2CC5" w:rsidRPr="008834DA" w:rsidRDefault="00CC2CC5" w:rsidP="00CC2CC5">
      <w:pPr>
        <w:pStyle w:val="Heading4"/>
      </w:pPr>
      <w:r w:rsidRPr="008834DA">
        <w:t xml:space="preserve">Loss of biodiversity causes </w:t>
      </w:r>
      <w:r w:rsidRPr="008834DA">
        <w:rPr>
          <w:u w:val="single"/>
        </w:rPr>
        <w:t>extinction</w:t>
      </w:r>
      <w:r w:rsidRPr="008834DA">
        <w:t>.</w:t>
      </w:r>
    </w:p>
    <w:p w14:paraId="783368B4" w14:textId="77777777" w:rsidR="00CC2CC5" w:rsidRPr="008834DA" w:rsidRDefault="00CC2CC5" w:rsidP="00CC2CC5">
      <w:r w:rsidRPr="008834DA">
        <w:rPr>
          <w:rStyle w:val="Style13ptBold"/>
        </w:rPr>
        <w:t>Gingerich 20</w:t>
      </w:r>
      <w:r w:rsidRPr="008834DA">
        <w:t xml:space="preserve"> – Elizabeth Gingerich , Professor of Business Law at Valparaiso University and J.D. from Indiana University, January ("Leadership in the Sixth Mass Extinction," The Journal of Values Based Leadership, vol. 13, iss. 1, article 16, available online at https://scholar.valpo.edu/cgi/viewcontent.cgi?article=1308&amp;context=jvbl, accessed 7-7-2020) </w:t>
      </w:r>
    </w:p>
    <w:p w14:paraId="6744BD65" w14:textId="77777777" w:rsidR="00CC2CC5" w:rsidRPr="008834DA" w:rsidRDefault="00CC2CC5" w:rsidP="00CC2CC5">
      <w:pPr>
        <w:rPr>
          <w:sz w:val="16"/>
        </w:rPr>
      </w:pPr>
      <w:r w:rsidRPr="008834DA">
        <w:rPr>
          <w:sz w:val="16"/>
        </w:rPr>
        <w:t>An “</w:t>
      </w:r>
      <w:r w:rsidRPr="008834DA">
        <w:rPr>
          <w:rStyle w:val="Emphasis"/>
        </w:rPr>
        <w:t>extinction event</w:t>
      </w:r>
      <w:r w:rsidRPr="008834DA">
        <w:rPr>
          <w:sz w:val="16"/>
        </w:rPr>
        <w:t xml:space="preserve">” is scientifically defined as a </w:t>
      </w:r>
      <w:r w:rsidRPr="008834DA">
        <w:rPr>
          <w:rStyle w:val="StyleUnderline"/>
        </w:rPr>
        <w:t xml:space="preserve">widespread and rapid </w:t>
      </w:r>
      <w:r w:rsidRPr="008834DA">
        <w:rPr>
          <w:rStyle w:val="Emphasis"/>
        </w:rPr>
        <w:t>decrease in Earth’s biodiversity</w:t>
      </w:r>
      <w:r w:rsidRPr="008834DA">
        <w:rPr>
          <w:rStyle w:val="StyleUnderline"/>
        </w:rPr>
        <w:t>.</w:t>
      </w:r>
      <w:r w:rsidRPr="008834DA">
        <w:rPr>
          <w:sz w:val="16"/>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w:t>
      </w:r>
    </w:p>
    <w:p w14:paraId="5322BD35" w14:textId="77777777" w:rsidR="00CC2CC5" w:rsidRPr="008834DA" w:rsidRDefault="00CC2CC5" w:rsidP="00CC2CC5">
      <w:pPr>
        <w:rPr>
          <w:sz w:val="16"/>
        </w:rPr>
      </w:pPr>
      <w:r w:rsidRPr="008834DA">
        <w:rPr>
          <w:sz w:val="16"/>
        </w:rPr>
        <w:t xml:space="preserve">For millions of years, life on earth has been altered as a result of these five distinct mass extinction periods. Currently, </w:t>
      </w:r>
      <w:r w:rsidRPr="008834DA">
        <w:rPr>
          <w:rStyle w:val="StyleUnderline"/>
        </w:rPr>
        <w:t>the planet is entering the sixth mass extinction</w:t>
      </w:r>
      <w:r w:rsidRPr="008834DA">
        <w:rPr>
          <w:sz w:val="16"/>
        </w:rPr>
        <w:t xml:space="preserve">, leaving the Quaternary Period of the Cenozoic Era (which began at the fifth mass extinction) while unofficially shifting from the Holocene to the Anthropocene epoch (Zimmerman, 2016). This is </w:t>
      </w:r>
      <w:r w:rsidRPr="008834DA">
        <w:rPr>
          <w:rStyle w:val="StyleUnderline"/>
        </w:rPr>
        <w:t>an era of ongoing change</w:t>
      </w:r>
      <w:r w:rsidRPr="008834DA">
        <w:rPr>
          <w:sz w:val="16"/>
        </w:rPr>
        <w:t xml:space="preserve"> – all </w:t>
      </w:r>
      <w:r w:rsidRPr="008834DA">
        <w:rPr>
          <w:rStyle w:val="StyleUnderline"/>
        </w:rPr>
        <w:t xml:space="preserve">fueled by </w:t>
      </w:r>
      <w:r w:rsidRPr="008834DA">
        <w:rPr>
          <w:rStyle w:val="Emphasis"/>
        </w:rPr>
        <w:t>human activity</w:t>
      </w:r>
      <w:r w:rsidRPr="008834DA">
        <w:rPr>
          <w:sz w:val="16"/>
        </w:rPr>
        <w:t xml:space="preserve"> – and broadly </w:t>
      </w:r>
      <w:r w:rsidRPr="008834DA">
        <w:rPr>
          <w:rStyle w:val="StyleUnderline"/>
        </w:rPr>
        <w:t>characterized with the extinction of plants and animals and</w:t>
      </w:r>
      <w:r w:rsidRPr="008834DA">
        <w:rPr>
          <w:sz w:val="16"/>
        </w:rPr>
        <w:t xml:space="preserve"> the </w:t>
      </w:r>
      <w:r w:rsidRPr="008834DA">
        <w:rPr>
          <w:rStyle w:val="StyleUnderline"/>
        </w:rPr>
        <w:t xml:space="preserve">degradation of biodiverse habitats </w:t>
      </w:r>
      <w:r w:rsidRPr="008834DA">
        <w:rPr>
          <w:sz w:val="16"/>
        </w:rPr>
        <w:t xml:space="preserve">such as rainforests and coral reefs as previously described – all driven by manmade climate change and the overhunting of species. </w:t>
      </w:r>
      <w:r w:rsidRPr="008834DA">
        <w:rPr>
          <w:rStyle w:val="StyleUnderline"/>
        </w:rPr>
        <w:t xml:space="preserve">There is no land mass today nor ocean immune from serious </w:t>
      </w:r>
      <w:r w:rsidRPr="008834DA">
        <w:rPr>
          <w:rStyle w:val="Emphasis"/>
        </w:rPr>
        <w:t>loss of biodiversity</w:t>
      </w:r>
      <w:r w:rsidRPr="008834DA">
        <w:rPr>
          <w:rStyle w:val="StyleUnderline"/>
        </w:rPr>
        <w:t>. Such widespread loss</w:t>
      </w:r>
      <w:r w:rsidRPr="008834DA">
        <w:rPr>
          <w:sz w:val="16"/>
        </w:rPr>
        <w:t xml:space="preserve"> of habitat </w:t>
      </w:r>
      <w:r w:rsidRPr="008834DA">
        <w:rPr>
          <w:rStyle w:val="StyleUnderline"/>
        </w:rPr>
        <w:t xml:space="preserve">is also </w:t>
      </w:r>
      <w:r w:rsidRPr="008834DA">
        <w:rPr>
          <w:rStyle w:val="Emphasis"/>
        </w:rPr>
        <w:t>threatening human existence</w:t>
      </w:r>
      <w:r w:rsidRPr="008834DA">
        <w:rPr>
          <w:rStyle w:val="StyleUnderline"/>
        </w:rPr>
        <w:t xml:space="preserve"> as agricultural practices</w:t>
      </w:r>
      <w:r w:rsidRPr="008834DA">
        <w:rPr>
          <w:sz w:val="16"/>
        </w:rPr>
        <w:t xml:space="preserve"> continue to </w:t>
      </w:r>
      <w:r w:rsidRPr="008834DA">
        <w:rPr>
          <w:rStyle w:val="StyleUnderline"/>
        </w:rPr>
        <w:t>strip aquifers of their normal flow and inject pesticide residues into the soil compromising otherwise potable water.</w:t>
      </w:r>
      <w:r w:rsidRPr="008834DA">
        <w:rPr>
          <w:sz w:val="16"/>
        </w:rPr>
        <w:t xml:space="preserve"> “Food production accounts for one-third of greenhouse gas emissions and roughly for 70% of worldwide water use” (Razis, 2010). Although extreme </w:t>
      </w:r>
      <w:r w:rsidRPr="008834DA">
        <w:rPr>
          <w:rStyle w:val="Emphasis"/>
        </w:rPr>
        <w:t>conservation efforts are required</w:t>
      </w:r>
      <w:r w:rsidRPr="008834DA">
        <w:rPr>
          <w:rStyle w:val="StyleUnderline"/>
        </w:rPr>
        <w:t xml:space="preserve"> to curb this decline</w:t>
      </w:r>
      <w:r w:rsidRPr="008834DA">
        <w:rPr>
          <w:sz w:val="16"/>
        </w:rPr>
        <w:t xml:space="preserve"> in resources, the window of time within which to act has substantially narrowed and future palliative efforts may prove ineffectual (Ceballos et al., 2019).</w:t>
      </w:r>
    </w:p>
    <w:p w14:paraId="76C17B35" w14:textId="77777777" w:rsidR="00CC2CC5" w:rsidRPr="003E712B" w:rsidRDefault="00CC2CC5" w:rsidP="00CC2CC5">
      <w:pPr>
        <w:rPr>
          <w:rFonts w:asciiTheme="minorHAnsi" w:hAnsiTheme="minorHAnsi" w:cstheme="minorHAnsi"/>
          <w:sz w:val="16"/>
        </w:rPr>
      </w:pPr>
    </w:p>
    <w:p w14:paraId="77A0A21A" w14:textId="77777777" w:rsidR="00CC2CC5" w:rsidRDefault="00CC2CC5" w:rsidP="00CC2CC5">
      <w:pPr>
        <w:pStyle w:val="Heading2"/>
      </w:pPr>
      <w:r>
        <w:t>Industry DA</w:t>
      </w:r>
    </w:p>
    <w:p w14:paraId="6877B767" w14:textId="77777777" w:rsidR="00CC2CC5" w:rsidRDefault="00CC2CC5" w:rsidP="00CC2CC5">
      <w:pPr>
        <w:pStyle w:val="Heading3"/>
      </w:pPr>
      <w:r>
        <w:t>Link – 2nc</w:t>
      </w:r>
    </w:p>
    <w:p w14:paraId="53C3E347" w14:textId="77777777" w:rsidR="00CC2CC5" w:rsidRPr="005F3904" w:rsidRDefault="00CC2CC5" w:rsidP="00CC2CC5">
      <w:pPr>
        <w:pStyle w:val="Heading4"/>
        <w:rPr>
          <w:rFonts w:cs="Calibri"/>
        </w:rPr>
      </w:pPr>
      <w:r w:rsidRPr="005F3904">
        <w:rPr>
          <w:rFonts w:cs="Calibri"/>
        </w:rPr>
        <w:t>Retrofitting existing cooling systems alone would cost over 100 billion</w:t>
      </w:r>
    </w:p>
    <w:p w14:paraId="1CF2F41C" w14:textId="77777777" w:rsidR="00CC2CC5" w:rsidRPr="005F3904" w:rsidRDefault="00CC2CC5" w:rsidP="00CC2CC5">
      <w:r w:rsidRPr="005F3904">
        <w:rPr>
          <w:rStyle w:val="Style13ptBold"/>
        </w:rPr>
        <w:t>EPRI 12</w:t>
      </w:r>
      <w:r w:rsidRPr="005F3904">
        <w:t xml:space="preserve"> (Electric Power Research Institute, nonprofit organization for public interest energy and environmental research, “Potential Impacts of Closed-Cycle Cooling Retrofits at U.S. Power Plants,” 4/19/12, </w:t>
      </w:r>
      <w:hyperlink r:id="rId55" w:history="1">
        <w:r w:rsidRPr="005F3904">
          <w:rPr>
            <w:rStyle w:val="Hyperlink"/>
          </w:rPr>
          <w:t>https://www.epri.com/research/products/000000000001025097</w:t>
        </w:r>
      </w:hyperlink>
      <w:r w:rsidRPr="005F3904">
        <w:t>)//cb</w:t>
      </w:r>
    </w:p>
    <w:p w14:paraId="2F8B9D6E" w14:textId="77777777" w:rsidR="00CC2CC5" w:rsidRPr="005F3904" w:rsidRDefault="00CC2CC5" w:rsidP="00CC2CC5">
      <w:pPr>
        <w:rPr>
          <w:sz w:val="14"/>
        </w:rPr>
      </w:pPr>
      <w:r w:rsidRPr="005F3904">
        <w:rPr>
          <w:sz w:val="14"/>
        </w:rPr>
        <w:t xml:space="preserve">Results </w:t>
      </w:r>
      <w:r w:rsidRPr="005F3904">
        <w:rPr>
          <w:rStyle w:val="StyleUnderline"/>
        </w:rPr>
        <w:t>EPRI identified 428 facilities</w:t>
      </w:r>
      <w:r w:rsidRPr="005F3904">
        <w:rPr>
          <w:sz w:val="14"/>
        </w:rPr>
        <w:t xml:space="preserve"> (39 nuclear and 389 fossil) </w:t>
      </w:r>
      <w:r w:rsidRPr="005F3904">
        <w:rPr>
          <w:rStyle w:val="StyleUnderline"/>
        </w:rPr>
        <w:t>that use greater than 50 million gallons per day (MGD) of once-through cooling water generating</w:t>
      </w:r>
      <w:r w:rsidRPr="005F3904">
        <w:rPr>
          <w:sz w:val="14"/>
        </w:rPr>
        <w:t xml:space="preserve"> approximately </w:t>
      </w:r>
      <w:r w:rsidRPr="005F3904">
        <w:rPr>
          <w:rStyle w:val="StyleUnderline"/>
        </w:rPr>
        <w:t>312,000 MW of electricity</w:t>
      </w:r>
      <w:r w:rsidRPr="005F3904">
        <w:rPr>
          <w:sz w:val="14"/>
        </w:rPr>
        <w:t xml:space="preserve"> including 60,000 MW from the 39 nuclear facilities and 252,000 MW from the 389 fossil facilities. </w:t>
      </w:r>
      <w:r w:rsidRPr="005F3904">
        <w:rPr>
          <w:rStyle w:val="StyleUnderline"/>
        </w:rPr>
        <w:t xml:space="preserve">While closed-cycle cooling is commonly employed for new generating facilities, the </w:t>
      </w:r>
      <w:r w:rsidRPr="005F3904">
        <w:rPr>
          <w:rStyle w:val="Emphasis"/>
        </w:rPr>
        <w:t>cost of retrofitting existing facilities can be significantly higher</w:t>
      </w:r>
      <w:r w:rsidRPr="005F3904">
        <w:rPr>
          <w:sz w:val="14"/>
        </w:rPr>
        <w:t xml:space="preserve"> </w:t>
      </w:r>
      <w:r w:rsidRPr="005F3904">
        <w:rPr>
          <w:rStyle w:val="StyleUnderline"/>
        </w:rPr>
        <w:t>due to</w:t>
      </w:r>
      <w:r w:rsidRPr="005F3904">
        <w:rPr>
          <w:sz w:val="14"/>
        </w:rPr>
        <w:t xml:space="preserve"> 11 factors including: </w:t>
      </w:r>
      <w:r w:rsidRPr="005F3904">
        <w:rPr>
          <w:rStyle w:val="StyleUnderline"/>
        </w:rPr>
        <w:t>1. Availability of suitable on-site tower location 2. Distance from turbine/condenser to tower location 3. Site geological conditions</w:t>
      </w:r>
      <w:r w:rsidRPr="005F3904">
        <w:rPr>
          <w:sz w:val="14"/>
        </w:rPr>
        <w:t xml:space="preserve"> (rock? soft sand? wet?) </w:t>
      </w:r>
      <w:r w:rsidRPr="005F3904">
        <w:rPr>
          <w:rStyle w:val="StyleUnderline"/>
        </w:rPr>
        <w:t>4. Existing</w:t>
      </w:r>
      <w:r w:rsidRPr="005F3904">
        <w:rPr>
          <w:sz w:val="14"/>
        </w:rPr>
        <w:t xml:space="preserve"> above or underground </w:t>
      </w:r>
      <w:r w:rsidRPr="005F3904">
        <w:rPr>
          <w:rStyle w:val="StyleUnderline"/>
        </w:rPr>
        <w:t>infrastructure 5.</w:t>
      </w:r>
      <w:r w:rsidRPr="005F3904">
        <w:rPr>
          <w:sz w:val="14"/>
        </w:rPr>
        <w:t xml:space="preserve"> </w:t>
      </w:r>
      <w:r w:rsidRPr="005F3904">
        <w:rPr>
          <w:rStyle w:val="StyleUnderline"/>
        </w:rPr>
        <w:t>Need to reinforce existing condenser and water tunnels</w:t>
      </w:r>
      <w:r w:rsidRPr="005F3904">
        <w:rPr>
          <w:sz w:val="14"/>
        </w:rPr>
        <w:t xml:space="preserve"> </w:t>
      </w:r>
      <w:r w:rsidRPr="005F3904">
        <w:rPr>
          <w:rStyle w:val="StyleUnderline"/>
        </w:rPr>
        <w:t>6. Need for plume abatement 7. Presence of</w:t>
      </w:r>
      <w:r w:rsidRPr="005F3904">
        <w:rPr>
          <w:sz w:val="14"/>
        </w:rPr>
        <w:t xml:space="preserve"> on or off-site </w:t>
      </w:r>
      <w:r w:rsidRPr="005F3904">
        <w:rPr>
          <w:rStyle w:val="StyleUnderline"/>
        </w:rPr>
        <w:t xml:space="preserve">deposition constraints 8. </w:t>
      </w:r>
      <w:r w:rsidRPr="005F3904">
        <w:rPr>
          <w:sz w:val="14"/>
        </w:rPr>
        <w:t>Need for</w:t>
      </w:r>
      <w:r w:rsidRPr="005F3904">
        <w:rPr>
          <w:rStyle w:val="StyleUnderline"/>
        </w:rPr>
        <w:t xml:space="preserve"> noise reduction</w:t>
      </w:r>
      <w:r w:rsidRPr="005F3904">
        <w:rPr>
          <w:sz w:val="14"/>
        </w:rPr>
        <w:t xml:space="preserve"> </w:t>
      </w:r>
      <w:r w:rsidRPr="005F3904">
        <w:rPr>
          <w:rStyle w:val="StyleUnderline"/>
        </w:rPr>
        <w:t>measures 9.</w:t>
      </w:r>
      <w:r w:rsidRPr="005F3904">
        <w:rPr>
          <w:sz w:val="14"/>
        </w:rPr>
        <w:t xml:space="preserve"> </w:t>
      </w:r>
      <w:r w:rsidRPr="005F3904">
        <w:rPr>
          <w:rStyle w:val="StyleUnderline"/>
        </w:rPr>
        <w:t>Use of alternate sources of cooling tower make-up water</w:t>
      </w:r>
      <w:r w:rsidRPr="005F3904">
        <w:rPr>
          <w:sz w:val="14"/>
        </w:rPr>
        <w:t xml:space="preserve"> 10.</w:t>
      </w:r>
      <w:r w:rsidRPr="005F3904">
        <w:rPr>
          <w:rStyle w:val="StyleUnderline"/>
        </w:rPr>
        <w:t>Modifications to plant equipment</w:t>
      </w:r>
      <w:r w:rsidRPr="005F3904">
        <w:rPr>
          <w:sz w:val="14"/>
        </w:rPr>
        <w:t xml:space="preserve"> (e.g. aux cooling systems) 11.</w:t>
      </w:r>
      <w:r w:rsidRPr="005F3904">
        <w:rPr>
          <w:rStyle w:val="StyleUnderline"/>
        </w:rPr>
        <w:t>Condenser re-optimization</w:t>
      </w:r>
      <w:r w:rsidRPr="005F3904">
        <w:rPr>
          <w:sz w:val="14"/>
        </w:rPr>
        <w:t xml:space="preserve"> </w:t>
      </w:r>
      <w:r w:rsidRPr="005F3904">
        <w:rPr>
          <w:rStyle w:val="StyleUnderline"/>
        </w:rPr>
        <w:t>The study estimated</w:t>
      </w:r>
      <w:r w:rsidRPr="005F3904">
        <w:rPr>
          <w:sz w:val="14"/>
        </w:rPr>
        <w:t xml:space="preserve"> </w:t>
      </w:r>
      <w:r w:rsidRPr="005F3904">
        <w:rPr>
          <w:rStyle w:val="StyleUnderline"/>
        </w:rPr>
        <w:t>the cost to retrofit all 428 facilities</w:t>
      </w:r>
      <w:r w:rsidRPr="005F3904">
        <w:rPr>
          <w:rStyle w:val="Emphasis"/>
        </w:rPr>
        <w:t xml:space="preserve"> exceeds $100 billion </w:t>
      </w:r>
      <w:r w:rsidRPr="005F3904">
        <w:rPr>
          <w:sz w:val="14"/>
        </w:rPr>
        <w:t xml:space="preserve">(net present value) or an annualized cost of over $7 billion. </w:t>
      </w:r>
      <w:r w:rsidRPr="005F3904">
        <w:rPr>
          <w:rStyle w:val="StyleUnderline"/>
        </w:rPr>
        <w:t>This estimate does not include the cost of upgrades to the electric system</w:t>
      </w:r>
      <w:r w:rsidRPr="005F3904">
        <w:rPr>
          <w:sz w:val="14"/>
        </w:rPr>
        <w:t xml:space="preserve"> to avoid localized voltage or security violations. The </w:t>
      </w:r>
      <w:r w:rsidRPr="005F3904">
        <w:rPr>
          <w:rStyle w:val="StyleUnderline"/>
        </w:rPr>
        <w:t xml:space="preserve">high capital cost that would be incurred for most facilities, combined with reduced generation output </w:t>
      </w:r>
      <w:r w:rsidRPr="005F3904">
        <w:rPr>
          <w:sz w:val="14"/>
        </w:rPr>
        <w:t xml:space="preserve">as a result of the energy and heat rate penalties associated with closed-cycle cooling </w:t>
      </w:r>
      <w:r w:rsidRPr="005F3904">
        <w:rPr>
          <w:rStyle w:val="StyleUnderline"/>
        </w:rPr>
        <w:t xml:space="preserve">can make retrofitting </w:t>
      </w:r>
      <w:r w:rsidRPr="005F3904">
        <w:rPr>
          <w:rStyle w:val="Emphasis"/>
        </w:rPr>
        <w:t>economically impractical.</w:t>
      </w:r>
      <w:r w:rsidRPr="005F3904">
        <w:rPr>
          <w:sz w:val="14"/>
        </w:rPr>
        <w:t xml:space="preserve"> This is particularly true for older facilities with low capacity utilization. The study determined this would not likely be the case for baseload nuclear plants, however, </w:t>
      </w:r>
      <w:r w:rsidRPr="005F3904">
        <w:rPr>
          <w:rStyle w:val="StyleUnderline"/>
        </w:rPr>
        <w:t xml:space="preserve">an estimated 26,000 MW of fossil generation is potentially at risk of pre-mature retirement </w:t>
      </w:r>
      <w:r w:rsidRPr="005F3904">
        <w:rPr>
          <w:sz w:val="14"/>
        </w:rPr>
        <w:t xml:space="preserve">due to the economic considerations. Additionally, </w:t>
      </w:r>
      <w:r w:rsidRPr="005F3904">
        <w:rPr>
          <w:rStyle w:val="StyleUnderline"/>
        </w:rPr>
        <w:t>an estimated five percent of affected facilities would not be able to retrofit either due to lack of existing space or environmental permitting issues</w:t>
      </w:r>
      <w:r w:rsidRPr="005F3904">
        <w:rPr>
          <w:sz w:val="14"/>
        </w:rPr>
        <w:t xml:space="preserve">. Based on an analysis of five North American Electric Reliability Corporation (NERC) Regions it is estimated </w:t>
      </w:r>
      <w:r w:rsidRPr="005F3904">
        <w:rPr>
          <w:rStyle w:val="StyleUnderline"/>
        </w:rPr>
        <w:t>a potential $7 billion could be required for replacement power to maintain an adequate reserve margin in three of the five regions</w:t>
      </w:r>
      <w:r w:rsidRPr="005F3904">
        <w:rPr>
          <w:sz w:val="14"/>
        </w:rPr>
        <w:t xml:space="preserve"> </w:t>
      </w:r>
      <w:r w:rsidRPr="005F3904">
        <w:rPr>
          <w:rStyle w:val="StyleUnderline"/>
        </w:rPr>
        <w:t>and additional costs will potentially be incurred to maintain electric system security to avoid localized thermal overloads or voltage violations</w:t>
      </w:r>
      <w:r w:rsidRPr="005F3904">
        <w:rPr>
          <w:sz w:val="14"/>
        </w:rPr>
        <w:t>. The “willingness to pay” to avoid adverse environmental and social impacts (primarily increased greenhouse gas emissions, and impacts on human health, terrestrial resources, viewshed, and public safety) associated with retrofits is estimated to be $35 million annually while the monetized economic benefit to commercial and recreational fisheries is estimated to be in the range of $14 million to $23 million annually. However, considerable uncertainty remains for both monetized impacts and benefits, and methods are currently unavailable for monetization of some benefits as well as a number of impacts associated with closed-cycle cooling.</w:t>
      </w:r>
    </w:p>
    <w:p w14:paraId="1A2354D6" w14:textId="77777777" w:rsidR="00CC2CC5" w:rsidRPr="0076566C" w:rsidRDefault="00CC2CC5" w:rsidP="00CC2CC5"/>
    <w:p w14:paraId="587A6158" w14:textId="77777777" w:rsidR="00CC2CC5" w:rsidRDefault="00CC2CC5" w:rsidP="00CC2CC5">
      <w:pPr>
        <w:pStyle w:val="Heading2"/>
      </w:pPr>
      <w:r>
        <w:t>Politics DA - links</w:t>
      </w:r>
    </w:p>
    <w:p w14:paraId="69F5515F" w14:textId="77777777" w:rsidR="00CC2CC5" w:rsidRDefault="00CC2CC5" w:rsidP="00CC2CC5">
      <w:pPr>
        <w:pStyle w:val="Heading4"/>
      </w:pPr>
      <w:r>
        <w:t>Court disagreements are affected by heightened political division – that spills over to congress</w:t>
      </w:r>
    </w:p>
    <w:p w14:paraId="033F92A4" w14:textId="77777777" w:rsidR="00CC2CC5" w:rsidRPr="00861A88" w:rsidRDefault="00CC2CC5" w:rsidP="00CC2CC5">
      <w:r w:rsidRPr="00861A88">
        <w:rPr>
          <w:rStyle w:val="Style13ptBold"/>
        </w:rPr>
        <w:t>Biskupic 5/21</w:t>
      </w:r>
      <w:r>
        <w:t xml:space="preserve">, </w:t>
      </w:r>
      <w:r w:rsidRPr="00861A88">
        <w:t>Joan Biskupic, CNN legal analyst &amp; Supreme Court biographe</w:t>
      </w:r>
      <w:r>
        <w:t>r, “</w:t>
      </w:r>
      <w:r w:rsidRPr="00861A88">
        <w:t>Supreme Court enters a new era of personal accusation and finger-pointing</w:t>
      </w:r>
      <w:r>
        <w:t xml:space="preserve">”, CNN, </w:t>
      </w:r>
      <w:hyperlink r:id="rId56" w:history="1">
        <w:r w:rsidRPr="004A6607">
          <w:rPr>
            <w:rStyle w:val="Hyperlink"/>
          </w:rPr>
          <w:t>https://www.cnn.com/2021/05/21/politics/supreme-court-finger-pointing-kavanaugh-kagan-gorsuch/index.html</w:t>
        </w:r>
      </w:hyperlink>
      <w:r>
        <w:t xml:space="preserve"> //JK</w:t>
      </w:r>
    </w:p>
    <w:p w14:paraId="38E94AFC" w14:textId="77777777" w:rsidR="00CC2CC5" w:rsidRPr="00861A88" w:rsidRDefault="00CC2CC5" w:rsidP="00CC2CC5">
      <w:pPr>
        <w:rPr>
          <w:u w:val="single"/>
        </w:rPr>
      </w:pPr>
      <w:r w:rsidRPr="00861A88">
        <w:rPr>
          <w:rStyle w:val="StyleUnderline"/>
        </w:rPr>
        <w:t>Supreme Court justices have</w:t>
      </w:r>
      <w:r w:rsidRPr="00861A88">
        <w:rPr>
          <w:sz w:val="14"/>
        </w:rPr>
        <w:t xml:space="preserve"> long </w:t>
      </w:r>
      <w:r w:rsidRPr="00861A88">
        <w:rPr>
          <w:rStyle w:val="StyleUnderline"/>
        </w:rPr>
        <w:t>criticized each other's legal reasoning</w:t>
      </w:r>
      <w:r w:rsidRPr="00861A88">
        <w:rPr>
          <w:sz w:val="14"/>
        </w:rPr>
        <w:t xml:space="preserve">, but they are increasingly impugning their colleagues' motives and sincerity, </w:t>
      </w:r>
      <w:r w:rsidRPr="00861A88">
        <w:rPr>
          <w:rStyle w:val="StyleUnderline"/>
        </w:rPr>
        <w:t xml:space="preserve">in a way that </w:t>
      </w:r>
      <w:r w:rsidRPr="00861A88">
        <w:rPr>
          <w:rStyle w:val="Emphasis"/>
        </w:rPr>
        <w:t>matches the current political climate</w:t>
      </w:r>
      <w:r w:rsidRPr="00861A88">
        <w:rPr>
          <w:rStyle w:val="StyleUnderline"/>
        </w:rPr>
        <w:t>.</w:t>
      </w:r>
    </w:p>
    <w:p w14:paraId="68EE823C" w14:textId="77777777" w:rsidR="00CC2CC5" w:rsidRPr="00861A88" w:rsidRDefault="00CC2CC5" w:rsidP="00CC2CC5">
      <w:pPr>
        <w:rPr>
          <w:sz w:val="14"/>
          <w:szCs w:val="14"/>
        </w:rPr>
      </w:pPr>
      <w:r w:rsidRPr="00861A88">
        <w:rPr>
          <w:sz w:val="14"/>
          <w:szCs w:val="14"/>
        </w:rPr>
        <w:t>The Roberts Court, with three appointees of former President Donald Trump now in place, appears to be entering a new era of personal accusation and finger-pointing.</w:t>
      </w:r>
    </w:p>
    <w:p w14:paraId="21071CBA" w14:textId="77777777" w:rsidR="00CC2CC5" w:rsidRPr="00861A88" w:rsidRDefault="00CC2CC5" w:rsidP="00CC2CC5">
      <w:pPr>
        <w:rPr>
          <w:sz w:val="14"/>
        </w:rPr>
      </w:pPr>
      <w:r w:rsidRPr="00861A88">
        <w:rPr>
          <w:sz w:val="14"/>
        </w:rPr>
        <w:t xml:space="preserve">In the past, a single justice such as Antonin Scalia could be conspicuous for his short-fuse rhetoric, or a single controversy, for example, involving race, could stand out for provoking cross-charges. </w:t>
      </w:r>
      <w:r w:rsidRPr="00861A88">
        <w:rPr>
          <w:rStyle w:val="StyleUnderline"/>
        </w:rPr>
        <w:t>The current pattern may be a sign of deeper fractures on cases</w:t>
      </w:r>
      <w:r w:rsidRPr="00861A88">
        <w:rPr>
          <w:sz w:val="14"/>
        </w:rPr>
        <w:t xml:space="preserve"> as the nine finish their annual term over the next month.</w:t>
      </w:r>
    </w:p>
    <w:p w14:paraId="28E5D8C0" w14:textId="77777777" w:rsidR="00CC2CC5" w:rsidRPr="00861A88" w:rsidRDefault="00CC2CC5" w:rsidP="00CC2CC5">
      <w:pPr>
        <w:rPr>
          <w:sz w:val="14"/>
          <w:szCs w:val="14"/>
        </w:rPr>
      </w:pPr>
      <w:r w:rsidRPr="00861A88">
        <w:rPr>
          <w:sz w:val="14"/>
          <w:szCs w:val="14"/>
        </w:rPr>
        <w:t>The trend belies the justices' public assertions that they all get along and believe each operates in good faith. It's not simply that they are swapping invective. As they speak of dealing in "good faith," some appear to doubt it.</w:t>
      </w:r>
    </w:p>
    <w:p w14:paraId="14B8F4AD" w14:textId="77777777" w:rsidR="00CC2CC5" w:rsidRPr="00861A88" w:rsidRDefault="00CC2CC5" w:rsidP="00CC2CC5">
      <w:pPr>
        <w:rPr>
          <w:sz w:val="14"/>
          <w:szCs w:val="14"/>
        </w:rPr>
      </w:pPr>
      <w:r w:rsidRPr="00861A88">
        <w:rPr>
          <w:sz w:val="14"/>
          <w:szCs w:val="14"/>
        </w:rPr>
        <w:t>Liberal Justice Sonia Sotomayor declared that a recent majority opinion authored by Justice Brett Kavanaugh was "fooling no one" with what she characterized as an "egregious" and "twist[ed]" interpretation of past relevant cases.</w:t>
      </w:r>
    </w:p>
    <w:p w14:paraId="168F49CC" w14:textId="77777777" w:rsidR="00CC2CC5" w:rsidRPr="00861A88" w:rsidRDefault="00CC2CC5" w:rsidP="00CC2CC5">
      <w:pPr>
        <w:rPr>
          <w:sz w:val="14"/>
        </w:rPr>
      </w:pPr>
      <w:r w:rsidRPr="00861A88">
        <w:rPr>
          <w:sz w:val="14"/>
        </w:rPr>
        <w:t xml:space="preserve">In a separate new case, liberal Justice Elena Kagan claimed </w:t>
      </w:r>
      <w:r w:rsidRPr="00861A88">
        <w:rPr>
          <w:rStyle w:val="StyleUnderline"/>
        </w:rPr>
        <w:t xml:space="preserve">Kavanaugh was engaging in </w:t>
      </w:r>
      <w:r w:rsidRPr="00861A88">
        <w:rPr>
          <w:rStyle w:val="Emphasis"/>
        </w:rPr>
        <w:t>judicial "scorekeeping</w:t>
      </w:r>
      <w:r w:rsidRPr="00861A88">
        <w:rPr>
          <w:sz w:val="14"/>
        </w:rPr>
        <w:t>" as he tried to turn one of her earlier opinions against her.</w:t>
      </w:r>
    </w:p>
    <w:p w14:paraId="120ECC63" w14:textId="77777777" w:rsidR="00CC2CC5" w:rsidRPr="00861A88" w:rsidRDefault="00CC2CC5" w:rsidP="00CC2CC5">
      <w:pPr>
        <w:rPr>
          <w:sz w:val="14"/>
          <w:szCs w:val="14"/>
        </w:rPr>
      </w:pPr>
      <w:r w:rsidRPr="00861A88">
        <w:rPr>
          <w:sz w:val="14"/>
          <w:szCs w:val="14"/>
        </w:rPr>
        <w:t>In that case, Kavanaugh protested he and other justices were acting in "good faith."</w:t>
      </w:r>
    </w:p>
    <w:p w14:paraId="5CC3AB0F" w14:textId="77777777" w:rsidR="00CC2CC5" w:rsidRPr="00861A88" w:rsidRDefault="00CC2CC5" w:rsidP="00CC2CC5">
      <w:pPr>
        <w:rPr>
          <w:sz w:val="14"/>
        </w:rPr>
      </w:pPr>
      <w:r w:rsidRPr="00861A88">
        <w:rPr>
          <w:sz w:val="14"/>
        </w:rPr>
        <w:t xml:space="preserve">In March, </w:t>
      </w:r>
      <w:r w:rsidRPr="00861A88">
        <w:rPr>
          <w:rStyle w:val="StyleUnderline"/>
        </w:rPr>
        <w:t>Justice</w:t>
      </w:r>
      <w:r w:rsidRPr="00861A88">
        <w:rPr>
          <w:sz w:val="14"/>
        </w:rPr>
        <w:t xml:space="preserve"> Neil Gorsuch challenged his colleagues' motives in a </w:t>
      </w:r>
      <w:r w:rsidRPr="00861A88">
        <w:rPr>
          <w:rStyle w:val="StyleUnderline"/>
        </w:rPr>
        <w:t>controversy</w:t>
      </w:r>
      <w:r w:rsidRPr="00861A88">
        <w:rPr>
          <w:sz w:val="14"/>
        </w:rPr>
        <w:t xml:space="preserve"> that </w:t>
      </w:r>
      <w:r w:rsidRPr="00861A88">
        <w:rPr>
          <w:rStyle w:val="StyleUnderline"/>
        </w:rPr>
        <w:t xml:space="preserve">touched on today's </w:t>
      </w:r>
      <w:r w:rsidRPr="00861A88">
        <w:rPr>
          <w:sz w:val="14"/>
        </w:rPr>
        <w:t>policing</w:t>
      </w:r>
      <w:r w:rsidRPr="00861A88">
        <w:rPr>
          <w:rStyle w:val="StyleUnderline"/>
        </w:rPr>
        <w:t xml:space="preserve"> concerns</w:t>
      </w:r>
      <w:r w:rsidRPr="00861A88">
        <w:rPr>
          <w:sz w:val="14"/>
        </w:rPr>
        <w:t xml:space="preserve"> and the Black Lives Matter movement. He said justices in the majority had brushed away court principles to side with a New Mexico woman shot by police while fleeing the scene, because of "new policing realities" and an "impulse" to offer some remedy in these times.</w:t>
      </w:r>
    </w:p>
    <w:p w14:paraId="59864806" w14:textId="77777777" w:rsidR="00CC2CC5" w:rsidRPr="00861A88" w:rsidRDefault="00CC2CC5" w:rsidP="00CC2CC5">
      <w:pPr>
        <w:rPr>
          <w:sz w:val="14"/>
          <w:szCs w:val="14"/>
        </w:rPr>
      </w:pPr>
      <w:r w:rsidRPr="00861A88">
        <w:rPr>
          <w:sz w:val="14"/>
          <w:szCs w:val="14"/>
        </w:rPr>
        <w:t>Chief Justice John Roberts dismissed Gorsuch's suggestions, writing, "the dissent speculates that the real reason for today's decision is an 'impulse' to provide relief ... or maybe a desire 'to make life easier for ourselves.' ... There is no call for such surmise."</w:t>
      </w:r>
    </w:p>
    <w:p w14:paraId="0F85E566" w14:textId="77777777" w:rsidR="00CC2CC5" w:rsidRPr="00861A88" w:rsidRDefault="00CC2CC5" w:rsidP="00CC2CC5">
      <w:pPr>
        <w:rPr>
          <w:sz w:val="14"/>
        </w:rPr>
      </w:pPr>
      <w:r w:rsidRPr="00861A88">
        <w:rPr>
          <w:rStyle w:val="StyleUnderline"/>
        </w:rPr>
        <w:t xml:space="preserve">The pattern reveals more than </w:t>
      </w:r>
      <w:r w:rsidRPr="00861A88">
        <w:rPr>
          <w:rStyle w:val="Emphasis"/>
        </w:rPr>
        <w:t>internal squabbling</w:t>
      </w:r>
      <w:r w:rsidRPr="00861A88">
        <w:rPr>
          <w:sz w:val="14"/>
        </w:rPr>
        <w:t>. The public knows the court through its written opinions, and individual justices appear to be warning that some among them cannot be trusted to tell the truth or that they hold ulterior motives.</w:t>
      </w:r>
    </w:p>
    <w:p w14:paraId="1EBE3E04" w14:textId="77777777" w:rsidR="00CC2CC5" w:rsidRDefault="00CC2CC5" w:rsidP="00CC2CC5">
      <w:pPr>
        <w:rPr>
          <w:sz w:val="14"/>
        </w:rPr>
      </w:pPr>
      <w:r w:rsidRPr="00861A88">
        <w:rPr>
          <w:rStyle w:val="StyleUnderline"/>
        </w:rPr>
        <w:t xml:space="preserve">The </w:t>
      </w:r>
      <w:r w:rsidRPr="00861A88">
        <w:rPr>
          <w:rStyle w:val="Emphasis"/>
        </w:rPr>
        <w:t>recriminations mirror the discord in the two other branches</w:t>
      </w:r>
      <w:r w:rsidRPr="00861A88">
        <w:rPr>
          <w:rStyle w:val="StyleUnderline"/>
        </w:rPr>
        <w:t xml:space="preserve"> of government</w:t>
      </w:r>
      <w:r w:rsidRPr="00861A88">
        <w:rPr>
          <w:sz w:val="14"/>
        </w:rPr>
        <w:t>, even as the justices protest that they are above it all.</w:t>
      </w:r>
    </w:p>
    <w:p w14:paraId="035DEFA1" w14:textId="77777777" w:rsidR="00CC2CC5" w:rsidRDefault="00CC2CC5" w:rsidP="00CC2CC5">
      <w:pPr>
        <w:rPr>
          <w:sz w:val="14"/>
        </w:rPr>
      </w:pPr>
    </w:p>
    <w:p w14:paraId="45BEB49A" w14:textId="77777777" w:rsidR="00CC2CC5" w:rsidRDefault="00CC2CC5" w:rsidP="00CC2CC5">
      <w:pPr>
        <w:pStyle w:val="Heading4"/>
      </w:pPr>
      <w:r>
        <w:t>Division over supreme court justice picks proves congress fights over court outcomes</w:t>
      </w:r>
    </w:p>
    <w:p w14:paraId="40234BDE" w14:textId="77777777" w:rsidR="00CC2CC5" w:rsidRPr="00832924" w:rsidRDefault="00CC2CC5" w:rsidP="00CC2CC5">
      <w:r w:rsidRPr="00832924">
        <w:rPr>
          <w:rStyle w:val="Style13ptBold"/>
        </w:rPr>
        <w:t>Reiger 20</w:t>
      </w:r>
      <w:r>
        <w:t xml:space="preserve">, </w:t>
      </w:r>
      <w:r w:rsidRPr="00832924">
        <w:t xml:space="preserve">JM Rieger is the video editor for The Fix, covering national politics. He joined The Washington Post in 2018. Previously, Rieger worked as a video producer covering national politics for HuffPost. </w:t>
      </w:r>
      <w:r>
        <w:t>“</w:t>
      </w:r>
      <w:r w:rsidRPr="00832924">
        <w:t>How three decades of partisan fighting and hypocrisy enabled Trump to reshape the federal judiciary</w:t>
      </w:r>
      <w:r>
        <w:t xml:space="preserve">”, Washington Post, </w:t>
      </w:r>
      <w:hyperlink r:id="rId57" w:history="1">
        <w:r w:rsidRPr="004A6607">
          <w:rPr>
            <w:rStyle w:val="Hyperlink"/>
          </w:rPr>
          <w:t>https://www.washingtonpost.com/politics/2020/09/25/how-three-decades-partisan-fighting-hypocrisy-enabled-trump-reshape-federal-judiciary/</w:t>
        </w:r>
      </w:hyperlink>
      <w:r>
        <w:t xml:space="preserve"> //JK</w:t>
      </w:r>
    </w:p>
    <w:p w14:paraId="252247E9" w14:textId="77777777" w:rsidR="00CC2CC5" w:rsidRPr="00832924" w:rsidRDefault="00CC2CC5" w:rsidP="00CC2CC5">
      <w:r w:rsidRPr="00832924">
        <w:rPr>
          <w:rStyle w:val="StyleUnderline"/>
        </w:rPr>
        <w:t>When</w:t>
      </w:r>
      <w:r w:rsidRPr="00832924">
        <w:t xml:space="preserve"> President </w:t>
      </w:r>
      <w:r w:rsidRPr="00832924">
        <w:rPr>
          <w:rStyle w:val="StyleUnderline"/>
        </w:rPr>
        <w:t>Trump announces his third pick to the Supreme Court</w:t>
      </w:r>
      <w:r w:rsidRPr="00832924">
        <w:t xml:space="preserve"> on Saturday, </w:t>
      </w:r>
      <w:r w:rsidRPr="00832924">
        <w:rPr>
          <w:rStyle w:val="StyleUnderline"/>
        </w:rPr>
        <w:t>it will solidify the contours of the partisan fight over who will fill Ruth Bader Ginsburg’s seat</w:t>
      </w:r>
      <w:r w:rsidRPr="00832924">
        <w:t xml:space="preserve">. </w:t>
      </w:r>
      <w:r w:rsidRPr="00832924">
        <w:rPr>
          <w:rStyle w:val="StyleUnderline"/>
        </w:rPr>
        <w:t>The current battle is just the latest</w:t>
      </w:r>
      <w:r w:rsidRPr="00832924">
        <w:t xml:space="preserve"> salvo </w:t>
      </w:r>
      <w:r w:rsidRPr="00832924">
        <w:rPr>
          <w:rStyle w:val="StyleUnderline"/>
        </w:rPr>
        <w:t xml:space="preserve">in more than </w:t>
      </w:r>
      <w:r w:rsidRPr="00832924">
        <w:rPr>
          <w:rStyle w:val="Emphasis"/>
        </w:rPr>
        <w:t>three decades of partisan fighting</w:t>
      </w:r>
      <w:r w:rsidRPr="00832924">
        <w:rPr>
          <w:rStyle w:val="StyleUnderline"/>
        </w:rPr>
        <w:t xml:space="preserve"> and hypocrisy over federal judicial nominees</w:t>
      </w:r>
      <w:r w:rsidRPr="00832924">
        <w:t>.</w:t>
      </w:r>
    </w:p>
    <w:p w14:paraId="2F2D7B54" w14:textId="77777777" w:rsidR="00CC2CC5" w:rsidRPr="00832924" w:rsidRDefault="00CC2CC5" w:rsidP="00CC2CC5">
      <w:pPr>
        <w:rPr>
          <w:sz w:val="14"/>
          <w:szCs w:val="14"/>
        </w:rPr>
      </w:pPr>
      <w:r w:rsidRPr="00832924">
        <w:rPr>
          <w:sz w:val="14"/>
          <w:szCs w:val="14"/>
        </w:rPr>
        <w:t>The nomination of Judge Robert Bork to the Supreme Court in 1987 and the fight that followed laid the groundwork for curtailing, and ultimately eliminating, the filibuster rights of the minority party on all judicial nominations. It led, in part, to the first successful circuit court filibuster in 2003, the slowest rate of judicial confirmations in more than 60 years during the Obama administration and the longest Supreme Court vacancy in the nine-justice era in 2016.</w:t>
      </w:r>
    </w:p>
    <w:p w14:paraId="7EE11C81" w14:textId="77777777" w:rsidR="00CC2CC5" w:rsidRPr="00832924" w:rsidRDefault="00CC2CC5" w:rsidP="00CC2CC5">
      <w:pPr>
        <w:rPr>
          <w:sz w:val="14"/>
          <w:szCs w:val="14"/>
        </w:rPr>
      </w:pPr>
      <w:r w:rsidRPr="00832924">
        <w:rPr>
          <w:sz w:val="14"/>
          <w:szCs w:val="14"/>
        </w:rPr>
        <w:t>Over the past three years, the Senate has confirmed more than 200 Trump judicial nominees. One in every four circuit court judges is now a Trump appointee. Each of Trump’s Supreme Court nominees have been confirmed with only a simple majority needed to end any potential filibuster.</w:t>
      </w:r>
    </w:p>
    <w:p w14:paraId="1D0F7CA6" w14:textId="77777777" w:rsidR="00CC2CC5" w:rsidRPr="00832924" w:rsidRDefault="00CC2CC5" w:rsidP="00CC2CC5">
      <w:pPr>
        <w:rPr>
          <w:sz w:val="14"/>
        </w:rPr>
      </w:pPr>
      <w:r w:rsidRPr="00832924">
        <w:rPr>
          <w:sz w:val="14"/>
        </w:rPr>
        <w:t xml:space="preserve">Now, </w:t>
      </w:r>
      <w:r w:rsidRPr="00832924">
        <w:rPr>
          <w:rStyle w:val="Emphasis"/>
        </w:rPr>
        <w:t>Republicans and Democrats are accusing each other of hypocrisy</w:t>
      </w:r>
      <w:r w:rsidRPr="00832924">
        <w:rPr>
          <w:sz w:val="14"/>
        </w:rPr>
        <w:t>. Democrats who called for filling the vacancy created by the death of Justice Antonin Scalia in 2016 are now calling for it to be held open, and Republicans who called for holding open the vacancy in 2016 are now calling for it to be filled.</w:t>
      </w:r>
    </w:p>
    <w:p w14:paraId="762DA27A" w14:textId="77777777" w:rsidR="00CC2CC5" w:rsidRPr="0076566C" w:rsidRDefault="00CC2CC5" w:rsidP="00CC2CC5"/>
    <w:p w14:paraId="4FBF08AC" w14:textId="77777777" w:rsidR="00CC2CC5" w:rsidRDefault="00CC2CC5" w:rsidP="00CC2CC5">
      <w:pPr>
        <w:pStyle w:val="Heading2"/>
      </w:pPr>
      <w:r>
        <w:t>Case—Defense</w:t>
      </w:r>
    </w:p>
    <w:p w14:paraId="6EBC8D1E" w14:textId="77777777" w:rsidR="00CC2CC5" w:rsidRDefault="00CC2CC5" w:rsidP="00CC2CC5">
      <w:pPr>
        <w:pStyle w:val="Heading3"/>
      </w:pPr>
      <w:r>
        <w:t xml:space="preserve">AT: K of DA impacts </w:t>
      </w:r>
    </w:p>
    <w:p w14:paraId="527EA18C" w14:textId="77777777" w:rsidR="00CC2CC5" w:rsidRDefault="00CC2CC5" w:rsidP="00CC2CC5">
      <w:pPr>
        <w:pStyle w:val="Heading4"/>
      </w:pPr>
      <w:r>
        <w:t>Reject the aff’s monolithic critiques of CBA -- comparing the DA vs case in this debate is distinct from formal CBA</w:t>
      </w:r>
    </w:p>
    <w:p w14:paraId="5F085631" w14:textId="77777777" w:rsidR="00CC2CC5" w:rsidRDefault="00CC2CC5" w:rsidP="00CC2CC5">
      <w:r w:rsidRPr="008C06C9">
        <w:rPr>
          <w:rStyle w:val="Style13ptBold"/>
        </w:rPr>
        <w:t>Sinden 15</w:t>
      </w:r>
      <w:r>
        <w:t xml:space="preserve"> (Amy Sinden, </w:t>
      </w:r>
      <w:r w:rsidRPr="008C06C9">
        <w:t>James E. Beasley Professor of Law</w:t>
      </w:r>
      <w:r>
        <w:t xml:space="preserve"> at </w:t>
      </w:r>
      <w:r w:rsidRPr="008C06C9">
        <w:t>Temple University</w:t>
      </w:r>
      <w:r>
        <w:t>, “</w:t>
      </w:r>
      <w:r w:rsidRPr="008C06C9">
        <w:t>Formality and Informality in Cost-Benefit Analysis</w:t>
      </w:r>
      <w:r>
        <w:t xml:space="preserve">,” Utah Law Review, </w:t>
      </w:r>
      <w:hyperlink r:id="rId58" w:history="1">
        <w:r w:rsidRPr="005A6DCA">
          <w:rPr>
            <w:rStyle w:val="Hyperlink"/>
          </w:rPr>
          <w:t>https://dc.law.utah.edu/cgi/viewcontent.cgi?article=1086&amp;context=ulr)//cb</w:t>
        </w:r>
      </w:hyperlink>
    </w:p>
    <w:p w14:paraId="5DDF89F0" w14:textId="77777777" w:rsidR="00CC2CC5" w:rsidRPr="00482A3D" w:rsidRDefault="00CC2CC5" w:rsidP="00CC2CC5">
      <w:pPr>
        <w:rPr>
          <w:sz w:val="14"/>
        </w:rPr>
      </w:pPr>
      <w:r w:rsidRPr="008C06C9">
        <w:rPr>
          <w:rStyle w:val="StyleUnderline"/>
        </w:rPr>
        <w:t>A debate has been raging for decades over whether to use cost-benefit analysis (</w:t>
      </w:r>
      <w:r w:rsidRPr="0024134B">
        <w:rPr>
          <w:rStyle w:val="StyleUnderline"/>
          <w:highlight w:val="cyan"/>
        </w:rPr>
        <w:t>CBA) in</w:t>
      </w:r>
      <w:r w:rsidRPr="008C06C9">
        <w:rPr>
          <w:rStyle w:val="StyleUnderline"/>
        </w:rPr>
        <w:t xml:space="preserve"> evaluating </w:t>
      </w:r>
      <w:r w:rsidRPr="0024134B">
        <w:rPr>
          <w:rStyle w:val="StyleUnderline"/>
          <w:highlight w:val="cyan"/>
        </w:rPr>
        <w:t>government regulation</w:t>
      </w:r>
      <w:r w:rsidRPr="00482A3D">
        <w:rPr>
          <w:sz w:val="14"/>
        </w:rPr>
        <w:t xml:space="preserve">.2 But the participants in this debate have not always been careful about defining terms. What, after all, do we mean by “costbenefit analysis”? The term can be used to describe a broad range of practices. </w:t>
      </w:r>
      <w:r w:rsidRPr="008C06C9">
        <w:rPr>
          <w:rStyle w:val="StyleUnderline"/>
        </w:rPr>
        <w:t>On one end of the spectrum is a</w:t>
      </w:r>
      <w:r w:rsidRPr="00482A3D">
        <w:rPr>
          <w:sz w:val="14"/>
        </w:rPr>
        <w:t xml:space="preserve"> Ben Franklin-style </w:t>
      </w:r>
      <w:r w:rsidRPr="008C06C9">
        <w:rPr>
          <w:rStyle w:val="StyleUnderline"/>
        </w:rPr>
        <w:t>listing of qualitatively described pros and cons</w:t>
      </w:r>
      <w:r w:rsidRPr="00482A3D">
        <w:rPr>
          <w:sz w:val="14"/>
        </w:rPr>
        <w:t xml:space="preserve">. </w:t>
      </w:r>
      <w:r w:rsidRPr="008C06C9">
        <w:rPr>
          <w:rStyle w:val="StyleUnderline"/>
        </w:rPr>
        <w:t>On the other end is a highly technical and formal analytic method grounded in economic theory</w:t>
      </w:r>
      <w:r w:rsidRPr="00482A3D">
        <w:rPr>
          <w:sz w:val="14"/>
        </w:rPr>
        <w:t xml:space="preserve"> that attempts to fully quantify and monetize all of the social costs and benefits of a whole range of regulatory options and then, by calculating the point at which the marginal benefits curve intersects the marginal costs curve, identify the economically efficient level of regulation. And between these two extremes lie yet more varieties of CBA.</w:t>
      </w:r>
    </w:p>
    <w:p w14:paraId="63BBAADB" w14:textId="77777777" w:rsidR="00CC2CC5" w:rsidRPr="00482A3D" w:rsidRDefault="00CC2CC5" w:rsidP="00CC2CC5">
      <w:pPr>
        <w:rPr>
          <w:sz w:val="14"/>
        </w:rPr>
      </w:pPr>
      <w:r w:rsidRPr="008C06C9">
        <w:rPr>
          <w:rStyle w:val="StyleUnderline"/>
        </w:rPr>
        <w:t>The two ends of this spectrum actually have very little in common</w:t>
      </w:r>
      <w:r w:rsidRPr="00482A3D">
        <w:rPr>
          <w:sz w:val="14"/>
        </w:rPr>
        <w:t>, other than the general approach of juxtaposing positive and negative impacts</w:t>
      </w:r>
      <w:r w:rsidRPr="008C06C9">
        <w:rPr>
          <w:rStyle w:val="StyleUnderline"/>
        </w:rPr>
        <w:t xml:space="preserve">. </w:t>
      </w:r>
      <w:r w:rsidRPr="0024134B">
        <w:rPr>
          <w:rStyle w:val="StyleUnderline"/>
          <w:highlight w:val="cyan"/>
        </w:rPr>
        <w:t>Informal CBA relies on</w:t>
      </w:r>
      <w:r w:rsidRPr="008C06C9">
        <w:rPr>
          <w:rStyle w:val="StyleUnderline"/>
        </w:rPr>
        <w:t xml:space="preserve"> qualitative </w:t>
      </w:r>
      <w:r w:rsidRPr="0024134B">
        <w:rPr>
          <w:rStyle w:val="StyleUnderline"/>
          <w:highlight w:val="cyan"/>
        </w:rPr>
        <w:t>descriptions intuitively compared</w:t>
      </w:r>
      <w:r w:rsidRPr="0024134B">
        <w:rPr>
          <w:sz w:val="14"/>
          <w:highlight w:val="cyan"/>
        </w:rPr>
        <w:t xml:space="preserve"> </w:t>
      </w:r>
      <w:r w:rsidRPr="0024134B">
        <w:rPr>
          <w:sz w:val="14"/>
        </w:rPr>
        <w:t xml:space="preserve">and gives no more than general guidance. The most </w:t>
      </w:r>
      <w:r w:rsidRPr="0024134B">
        <w:rPr>
          <w:rStyle w:val="StyleUnderline"/>
          <w:highlight w:val="cyan"/>
        </w:rPr>
        <w:t>formal</w:t>
      </w:r>
      <w:r w:rsidRPr="0024134B">
        <w:rPr>
          <w:rStyle w:val="StyleUnderline"/>
        </w:rPr>
        <w:t xml:space="preserve"> </w:t>
      </w:r>
      <w:r w:rsidRPr="0024134B">
        <w:rPr>
          <w:sz w:val="14"/>
        </w:rPr>
        <w:t xml:space="preserve">varieties of </w:t>
      </w:r>
      <w:r w:rsidRPr="0024134B">
        <w:rPr>
          <w:rStyle w:val="StyleUnderline"/>
          <w:highlight w:val="cyan"/>
        </w:rPr>
        <w:t>CBA</w:t>
      </w:r>
      <w:r w:rsidRPr="0024134B">
        <w:rPr>
          <w:sz w:val="14"/>
        </w:rPr>
        <w:t xml:space="preserve">, on the other hand, </w:t>
      </w:r>
      <w:r w:rsidRPr="0024134B">
        <w:rPr>
          <w:rStyle w:val="StyleUnderline"/>
        </w:rPr>
        <w:t>rely on numbers and mathematics and purport</w:t>
      </w:r>
      <w:r w:rsidRPr="0024134B">
        <w:rPr>
          <w:sz w:val="14"/>
        </w:rPr>
        <w:t>, at least, to provide precise</w:t>
      </w:r>
      <w:r w:rsidRPr="00482A3D">
        <w:rPr>
          <w:sz w:val="14"/>
        </w:rPr>
        <w:t xml:space="preserve"> answers. Moreover, the two techniques play entirely different roles in the decisionmaking process. Informal CBA provides no more than a secondary check on a decision that has been made by other means, while formal CBA provides, at least in theory, a standard-setting tool for identifying the optimal choice from among a whole range of regulatory alternatives.</w:t>
      </w:r>
    </w:p>
    <w:p w14:paraId="31967843" w14:textId="77777777" w:rsidR="00CC2CC5" w:rsidRPr="00482A3D" w:rsidRDefault="00CC2CC5" w:rsidP="00CC2CC5">
      <w:pPr>
        <w:rPr>
          <w:sz w:val="12"/>
        </w:rPr>
      </w:pPr>
      <w:r w:rsidRPr="00482A3D">
        <w:rPr>
          <w:sz w:val="12"/>
        </w:rPr>
        <w:t xml:space="preserve">Despite this broad range of meanings, </w:t>
      </w:r>
      <w:r w:rsidRPr="00482A3D">
        <w:rPr>
          <w:rStyle w:val="StyleUnderline"/>
        </w:rPr>
        <w:t>scholars and policymakers often use the term “cost-benefit analysis</w:t>
      </w:r>
      <w:r w:rsidRPr="00482A3D">
        <w:rPr>
          <w:sz w:val="12"/>
        </w:rPr>
        <w:t xml:space="preserve">” (or “benefit-cost analysis”), 3 </w:t>
      </w:r>
      <w:r w:rsidRPr="00482A3D">
        <w:rPr>
          <w:rStyle w:val="StyleUnderline"/>
        </w:rPr>
        <w:t>without adjectives or qualifiers, as though it were a monolithic concept</w:t>
      </w:r>
      <w:r w:rsidRPr="00482A3D">
        <w:rPr>
          <w:sz w:val="12"/>
        </w:rPr>
        <w:t xml:space="preserve">. This </w:t>
      </w:r>
      <w:r w:rsidRPr="0024134B">
        <w:rPr>
          <w:rStyle w:val="StyleUnderline"/>
          <w:highlight w:val="cyan"/>
        </w:rPr>
        <w:t>failure to distinguish</w:t>
      </w:r>
      <w:r w:rsidRPr="00482A3D">
        <w:rPr>
          <w:rStyle w:val="StyleUnderline"/>
        </w:rPr>
        <w:t xml:space="preserve"> </w:t>
      </w:r>
      <w:r w:rsidRPr="0024134B">
        <w:rPr>
          <w:rStyle w:val="StyleUnderline"/>
          <w:highlight w:val="cyan"/>
        </w:rPr>
        <w:t>between the</w:t>
      </w:r>
      <w:r w:rsidRPr="00482A3D">
        <w:rPr>
          <w:rStyle w:val="StyleUnderline"/>
        </w:rPr>
        <w:t xml:space="preserve"> many </w:t>
      </w:r>
      <w:r w:rsidRPr="0024134B">
        <w:rPr>
          <w:rStyle w:val="StyleUnderline"/>
          <w:highlight w:val="cyan"/>
        </w:rPr>
        <w:t>varieties of CBA</w:t>
      </w:r>
      <w:r w:rsidRPr="00482A3D">
        <w:rPr>
          <w:sz w:val="12"/>
        </w:rPr>
        <w:t xml:space="preserve"> muddies the debate and </w:t>
      </w:r>
      <w:r w:rsidRPr="0024134B">
        <w:rPr>
          <w:rStyle w:val="StyleUnderline"/>
          <w:highlight w:val="cyan"/>
        </w:rPr>
        <w:t>can lead to irrational results</w:t>
      </w:r>
      <w:r w:rsidRPr="00482A3D">
        <w:rPr>
          <w:rStyle w:val="StyleUnderline"/>
        </w:rPr>
        <w:t xml:space="preserve"> that are</w:t>
      </w:r>
      <w:r w:rsidRPr="00482A3D">
        <w:rPr>
          <w:sz w:val="12"/>
        </w:rPr>
        <w:t xml:space="preserve">, ironically, </w:t>
      </w:r>
      <w:r w:rsidRPr="00482A3D">
        <w:rPr>
          <w:rStyle w:val="StyleUnderline"/>
        </w:rPr>
        <w:t>completely at odds with the common sense and reasonableness</w:t>
      </w:r>
      <w:r w:rsidRPr="00482A3D">
        <w:rPr>
          <w:sz w:val="12"/>
        </w:rPr>
        <w:t xml:space="preserve"> we ascribe to Ben Franklin</w:t>
      </w:r>
    </w:p>
    <w:p w14:paraId="749080F9" w14:textId="77777777" w:rsidR="00CC2CC5" w:rsidRPr="00482A3D" w:rsidRDefault="00CC2CC5" w:rsidP="00CC2CC5">
      <w:pPr>
        <w:rPr>
          <w:sz w:val="12"/>
          <w:szCs w:val="12"/>
        </w:rPr>
      </w:pPr>
      <w:r w:rsidRPr="00482A3D">
        <w:rPr>
          <w:sz w:val="12"/>
          <w:szCs w:val="12"/>
        </w:rPr>
        <w:t>Once we approach the debate with an ear tuned to this divergent range of meanings, a peculiar pattern emerges. Scholars and commentators largely ignore these distinctions, but to the extent they do take note of CBA’s formal or informal characteristics, CBA skeptics tend to portray it as highly formalized, rigid, and technical. Indeed, their objections relate almost exclusively to problems specific to the formal versions of CBA: the conceptual difficulties that arise from trying to measure things like human lives and ecosystems in monetary terms, the controversies surrounding discount rates, the problem of wealth effects, the lack of scientific data precise enough to allow for meaningful quantification, and so on. Meanwhile, proponents of CBA are far more likely to paint it in Ben Franklin terms: as a simple, commonsense, rational weighing of pros and cons. Indeed, from this vantage point, it can often seem as though the two sides are talking past each other.</w:t>
      </w:r>
    </w:p>
    <w:p w14:paraId="66B0BA1B" w14:textId="77777777" w:rsidR="00CC2CC5" w:rsidRPr="00482A3D" w:rsidRDefault="00CC2CC5" w:rsidP="00CC2CC5">
      <w:pPr>
        <w:rPr>
          <w:sz w:val="12"/>
        </w:rPr>
      </w:pPr>
      <w:r w:rsidRPr="00482A3D">
        <w:rPr>
          <w:sz w:val="12"/>
        </w:rPr>
        <w:t xml:space="preserve">Still, this pattern suggests that </w:t>
      </w:r>
      <w:r w:rsidRPr="0024134B">
        <w:rPr>
          <w:rStyle w:val="StyleUnderline"/>
          <w:highlight w:val="cyan"/>
        </w:rPr>
        <w:t>there is</w:t>
      </w:r>
      <w:r w:rsidRPr="00482A3D">
        <w:rPr>
          <w:rStyle w:val="StyleUnderline"/>
        </w:rPr>
        <w:t xml:space="preserve"> far more potential for </w:t>
      </w:r>
      <w:r w:rsidRPr="0024134B">
        <w:rPr>
          <w:rStyle w:val="StyleUnderline"/>
          <w:highlight w:val="cyan"/>
        </w:rPr>
        <w:t>broad consensus to support less formal</w:t>
      </w:r>
      <w:r w:rsidRPr="00482A3D">
        <w:rPr>
          <w:rStyle w:val="StyleUnderline"/>
        </w:rPr>
        <w:t xml:space="preserve"> versions of </w:t>
      </w:r>
      <w:r w:rsidRPr="0024134B">
        <w:rPr>
          <w:rStyle w:val="StyleUnderline"/>
          <w:highlight w:val="cyan"/>
        </w:rPr>
        <w:t>CBA</w:t>
      </w:r>
      <w:r w:rsidRPr="00482A3D">
        <w:rPr>
          <w:sz w:val="12"/>
        </w:rPr>
        <w:t>. We might, then, expect to see agencies— which tend to be averse to controversy—gravitating toward the informal end of the spectrum, at least to the extent that the law permits them to do so. But the actual trend appears to be in precisely the opposite direction. Despite the fact that both the federal courts and Congress seem to favor less formality in CBA,4 the executive branch appears to pull in the direction of increased formality. Executive orders and guidance documents direct agencies to conduct a fairly formal brand of CBA.5 And anecdotal evidence suggests that agencies sometimes go to great lengths to give their CBAs the trappings of formality in efforts that ultimately prove futile, or even irrational. Indeed, this is happening even in the face of a recent Supreme Court case, Entergy Corp. v. Riverkeeper, Inc., 6 in which the Court expressed a clear preference for informal over formal modes of CBA.7</w:t>
      </w:r>
    </w:p>
    <w:p w14:paraId="24E07C25" w14:textId="77777777" w:rsidR="00CC2CC5" w:rsidRPr="00482A3D" w:rsidRDefault="00CC2CC5" w:rsidP="00CC2CC5">
      <w:pPr>
        <w:rPr>
          <w:sz w:val="12"/>
        </w:rPr>
      </w:pPr>
      <w:r w:rsidRPr="00482A3D">
        <w:rPr>
          <w:sz w:val="12"/>
        </w:rPr>
        <w:t xml:space="preserve">Thus, this pull toward formality in the executive branch sparks controversy in policy and academic circles and is out of step with Congress and the courts. Moreover, it may be counterproductive, where, for example, it leads to what I call “false formality.” This is a corruption of CBA that can occur when agencies fail to clearly define where on the formality-informality spectrum a particular CBA falls, and is one example of the kind of </w:t>
      </w:r>
      <w:r w:rsidRPr="00482A3D">
        <w:rPr>
          <w:rStyle w:val="StyleUnderline"/>
        </w:rPr>
        <w:t>analytic sloppiness and muddled thinking</w:t>
      </w:r>
      <w:r w:rsidRPr="00482A3D">
        <w:rPr>
          <w:sz w:val="12"/>
        </w:rPr>
        <w:t xml:space="preserve"> that </w:t>
      </w:r>
      <w:r w:rsidRPr="00482A3D">
        <w:rPr>
          <w:rStyle w:val="StyleUnderline"/>
        </w:rPr>
        <w:t>results from a failure to clearly distinguish among different forms of CBA</w:t>
      </w:r>
      <w:r w:rsidRPr="00482A3D">
        <w:rPr>
          <w:sz w:val="12"/>
        </w:rPr>
        <w:t>.</w:t>
      </w:r>
    </w:p>
    <w:p w14:paraId="53076537" w14:textId="77777777" w:rsidR="00CC2CC5" w:rsidRPr="0024134B" w:rsidRDefault="00CC2CC5" w:rsidP="00CC2CC5"/>
    <w:p w14:paraId="5DC2DDA6" w14:textId="77777777" w:rsidR="00CC2CC5" w:rsidRDefault="00CC2CC5" w:rsidP="00CC2CC5">
      <w:pPr>
        <w:pStyle w:val="Heading3"/>
      </w:pPr>
      <w:r>
        <w:t>At: discounting</w:t>
      </w:r>
    </w:p>
    <w:p w14:paraId="17BE0E03" w14:textId="77777777" w:rsidR="00CC2CC5" w:rsidRPr="009A44A8" w:rsidRDefault="00CC2CC5" w:rsidP="00CC2CC5">
      <w:pPr>
        <w:pStyle w:val="Heading4"/>
      </w:pPr>
      <w:r>
        <w:t xml:space="preserve">Discounting is good in the context of environmental harms – placing high costs on current generations actually </w:t>
      </w:r>
      <w:r w:rsidRPr="0076566C">
        <w:rPr>
          <w:u w:val="single"/>
        </w:rPr>
        <w:t xml:space="preserve">hurts </w:t>
      </w:r>
      <w:r>
        <w:t>future generations</w:t>
      </w:r>
    </w:p>
    <w:p w14:paraId="712C415C"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59" w:history="1">
        <w:r w:rsidRPr="005F3904">
          <w:rPr>
            <w:rStyle w:val="Hyperlink"/>
          </w:rPr>
          <w:t>https://doi.org/10.1086/426308)//cb</w:t>
        </w:r>
      </w:hyperlink>
    </w:p>
    <w:p w14:paraId="49D45012" w14:textId="77777777" w:rsidR="00CC2CC5" w:rsidRPr="00287079" w:rsidRDefault="00CC2CC5" w:rsidP="00CC2CC5">
      <w:pPr>
        <w:rPr>
          <w:rStyle w:val="Hyperlink"/>
          <w:sz w:val="14"/>
        </w:rPr>
      </w:pPr>
      <w:r w:rsidRPr="00287079">
        <w:rPr>
          <w:rStyle w:val="Hyperlink"/>
          <w:sz w:val="14"/>
        </w:rPr>
        <w:t xml:space="preserve">Ackerman and Heinzerling also object, plausibly, to the application of the standard discount rate for money to the valuation of future gains in terms of both mortality and morbidity.61 But </w:t>
      </w:r>
      <w:r w:rsidRPr="009A44A8">
        <w:rPr>
          <w:rStyle w:val="StyleUnderline"/>
        </w:rPr>
        <w:t>suppose that no discount rate is appropriate—that deaths in 2050 should be valued the same way as deaths in 2010</w:t>
      </w:r>
      <w:r w:rsidRPr="00287079">
        <w:rPr>
          <w:rStyle w:val="Hyperlink"/>
          <w:sz w:val="14"/>
        </w:rPr>
        <w:t xml:space="preserve">. If so, the analysis of costs and benefits would not be the same; but </w:t>
      </w:r>
      <w:r w:rsidRPr="009A44A8">
        <w:rPr>
          <w:rStyle w:val="StyleUnderline"/>
        </w:rPr>
        <w:t>it would remain possible to calculate both costs and benefits</w:t>
      </w:r>
      <w:r w:rsidRPr="00287079">
        <w:rPr>
          <w:rStyle w:val="Hyperlink"/>
          <w:sz w:val="14"/>
        </w:rPr>
        <w:t xml:space="preserve">. In any case, the analysis of discounting must make a distinction to which Ackerman and Heinzerling devote insufficient attention.62 </w:t>
      </w:r>
      <w:r w:rsidRPr="009A44A8">
        <w:rPr>
          <w:rStyle w:val="StyleUnderline"/>
        </w:rPr>
        <w:t>Sometimes environmental regulation protects living people from latent harms</w:t>
      </w:r>
      <w:r w:rsidRPr="00287079">
        <w:rPr>
          <w:rStyle w:val="Hyperlink"/>
          <w:sz w:val="14"/>
        </w:rPr>
        <w:t xml:space="preserve">—risks that will come to fruition not now, but ten, twenty, or thirty years from now. </w:t>
      </w:r>
      <w:r w:rsidRPr="009A44A8">
        <w:rPr>
          <w:rStyle w:val="StyleUnderline"/>
        </w:rPr>
        <w:t xml:space="preserve">It seems clear that some </w:t>
      </w:r>
      <w:r w:rsidRPr="00287079">
        <w:rPr>
          <w:rStyle w:val="Emphasis"/>
        </w:rPr>
        <w:t>discount rate should be applied to latent harms</w:t>
      </w:r>
      <w:r w:rsidRPr="00287079">
        <w:rPr>
          <w:rStyle w:val="Hyperlink"/>
          <w:sz w:val="14"/>
        </w:rPr>
        <w:t xml:space="preserve">. Most people, intuitively and on reflection, would much prefer to face a harm in the future rather than immediately.63 Hence </w:t>
      </w:r>
      <w:r w:rsidRPr="00287079">
        <w:rPr>
          <w:rStyle w:val="StyleUnderline"/>
        </w:rPr>
        <w:t>some kind of discount rate makes a great deal of sense for harms that will not come to fruition for a long time</w:t>
      </w:r>
      <w:r w:rsidRPr="00287079">
        <w:rPr>
          <w:rStyle w:val="Hyperlink"/>
          <w:sz w:val="14"/>
        </w:rPr>
        <w:t xml:space="preserve"> (even if the discount rate for such harms does not turn out to be the same as the discount rate for money). But sometimes environmental regulation protects members of future generations; and this is a quite different problem. If a program would save one hundred people born in 2020, it is not clear that it deserves less enthusiasm than a program that would save one hundred people born in 2002.</w:t>
      </w:r>
    </w:p>
    <w:p w14:paraId="7110A0DF" w14:textId="77777777" w:rsidR="00CC2CC5" w:rsidRDefault="00CC2CC5" w:rsidP="00CC2CC5">
      <w:pPr>
        <w:rPr>
          <w:rStyle w:val="Hyperlink"/>
          <w:sz w:val="14"/>
        </w:rPr>
      </w:pPr>
      <w:r w:rsidRPr="00287079">
        <w:rPr>
          <w:rStyle w:val="Hyperlink"/>
          <w:sz w:val="14"/>
        </w:rPr>
        <w:t xml:space="preserve">At the same time, </w:t>
      </w:r>
      <w:r w:rsidRPr="00287079">
        <w:rPr>
          <w:rStyle w:val="StyleUnderline"/>
        </w:rPr>
        <w:t>a refusal to use a discount rate creates a number of logical and practical conundrums</w:t>
      </w:r>
      <w:r w:rsidRPr="00287079">
        <w:rPr>
          <w:rStyle w:val="Hyperlink"/>
          <w:sz w:val="14"/>
        </w:rPr>
        <w:t xml:space="preserve">, especially if </w:t>
      </w:r>
      <w:r w:rsidRPr="00287079">
        <w:rPr>
          <w:rStyle w:val="StyleUnderline"/>
        </w:rPr>
        <w:t>it would impose high costs on current generations</w:t>
      </w:r>
      <w:r w:rsidRPr="00287079">
        <w:rPr>
          <w:rStyle w:val="Hyperlink"/>
          <w:sz w:val="14"/>
        </w:rPr>
        <w:t xml:space="preserve">—a particular problem in light of the fact that </w:t>
      </w:r>
      <w:r w:rsidRPr="00287079">
        <w:rPr>
          <w:rStyle w:val="StyleUnderline"/>
        </w:rPr>
        <w:t xml:space="preserve">if current generations face high costs, </w:t>
      </w:r>
      <w:r w:rsidRPr="00287079">
        <w:rPr>
          <w:rStyle w:val="Emphasis"/>
        </w:rPr>
        <w:t>posterity is likely to be hurt</w:t>
      </w:r>
      <w:r w:rsidRPr="00287079">
        <w:rPr>
          <w:rStyle w:val="StyleUnderline"/>
        </w:rPr>
        <w:t xml:space="preserve"> too</w:t>
      </w:r>
      <w:r w:rsidRPr="00287079">
        <w:rPr>
          <w:rStyle w:val="Hyperlink"/>
          <w:sz w:val="14"/>
        </w:rPr>
        <w:t xml:space="preserve">. Hence </w:t>
      </w:r>
      <w:r w:rsidRPr="00287079">
        <w:rPr>
          <w:rStyle w:val="StyleUnderline"/>
        </w:rPr>
        <w:t xml:space="preserve">aggressive regulation, at least if it is extremely costly, </w:t>
      </w:r>
      <w:r w:rsidRPr="00287079">
        <w:rPr>
          <w:rStyle w:val="Emphasis"/>
        </w:rPr>
        <w:t>may not help future generations at all</w:t>
      </w:r>
      <w:r w:rsidRPr="00287079">
        <w:rPr>
          <w:rStyle w:val="StyleUnderline"/>
        </w:rPr>
        <w:t>.</w:t>
      </w:r>
      <w:r w:rsidRPr="00287079">
        <w:rPr>
          <w:rStyle w:val="Hyperlink"/>
          <w:sz w:val="14"/>
        </w:rPr>
        <w:t xml:space="preserve"> In any case, </w:t>
      </w:r>
      <w:r w:rsidRPr="00287079">
        <w:rPr>
          <w:rStyle w:val="StyleUnderline"/>
        </w:rPr>
        <w:t>future generations are almost inevitably going to be wealthier</w:t>
      </w:r>
      <w:r w:rsidRPr="00287079">
        <w:rPr>
          <w:rStyle w:val="Hyperlink"/>
          <w:sz w:val="14"/>
        </w:rPr>
        <w:t xml:space="preserve"> than our own; </w:t>
      </w:r>
      <w:r w:rsidRPr="00287079">
        <w:rPr>
          <w:rStyle w:val="StyleUnderline"/>
        </w:rPr>
        <w:t>should the relatively poor present redistribute resources to the relatively rich future?</w:t>
      </w:r>
      <w:r w:rsidRPr="00287079">
        <w:rPr>
          <w:rStyle w:val="Hyperlink"/>
          <w:sz w:val="14"/>
        </w:rPr>
        <w:t xml:space="preserve"> It has also been argued that if regulators are indifferent as to lives saved now or in the future, but discount costs at some positive rate, then it makes sense for them to delay life-saving expenditures indefinitely.64 In any case, it has been suggested that instead of discounting lives, regulators might simply use the future discounted (monetary) cost of saving lives at the time when lives are saved—an approach that is mathematically identical and hence produces the same analysis.65</w:t>
      </w:r>
    </w:p>
    <w:p w14:paraId="25F87F27" w14:textId="77777777" w:rsidR="00CC2CC5" w:rsidRPr="00287079" w:rsidRDefault="00CC2CC5" w:rsidP="00CC2CC5">
      <w:pPr>
        <w:rPr>
          <w:rStyle w:val="Hyperlink"/>
          <w:sz w:val="12"/>
        </w:rPr>
      </w:pPr>
      <w:r w:rsidRPr="00287079">
        <w:rPr>
          <w:rStyle w:val="Hyperlink"/>
          <w:sz w:val="12"/>
        </w:rPr>
        <w:t xml:space="preserve">I cannot resolve here the complex questions raised by individuation of WTP and by discount rates.66 Ackerman and Heinzerling are right to raise questions about existing practice.67 It seems clear that greater individuation is justified for statistically equivalent risks that people consider to be qualitatively different; it also seems clear that </w:t>
      </w:r>
      <w:r w:rsidRPr="00287079">
        <w:rPr>
          <w:rStyle w:val="StyleUnderline"/>
        </w:rPr>
        <w:t>a discount rate should be used for latent harms</w:t>
      </w:r>
      <w:r w:rsidRPr="00287079">
        <w:rPr>
          <w:rStyle w:val="Hyperlink"/>
          <w:sz w:val="12"/>
        </w:rPr>
        <w:t xml:space="preserve">. The appropriate approach to risks faced by future generations remains unsettled. The simplest point is that </w:t>
      </w:r>
      <w:r w:rsidRPr="00287079">
        <w:rPr>
          <w:rStyle w:val="StyleUnderline"/>
        </w:rPr>
        <w:t>if these questions are properly answered, CBA will be mended, not ended</w:t>
      </w:r>
      <w:r w:rsidRPr="00287079">
        <w:rPr>
          <w:rStyle w:val="Hyperlink"/>
          <w:sz w:val="12"/>
        </w:rPr>
        <w:t>.</w:t>
      </w:r>
    </w:p>
    <w:p w14:paraId="4932C3A0" w14:textId="77777777" w:rsidR="00CC2CC5" w:rsidRPr="00247CA7" w:rsidRDefault="00CC2CC5" w:rsidP="00CC2CC5"/>
    <w:p w14:paraId="3B879D67" w14:textId="77777777" w:rsidR="00CC2CC5" w:rsidRPr="0076566C" w:rsidRDefault="00CC2CC5" w:rsidP="00CC2CC5">
      <w:pPr>
        <w:pStyle w:val="Heading3"/>
      </w:pPr>
      <w:r>
        <w:t>Cba good--general</w:t>
      </w:r>
    </w:p>
    <w:p w14:paraId="5CAE4ECF" w14:textId="77777777" w:rsidR="00CC2CC5" w:rsidRPr="005F3904" w:rsidRDefault="00CC2CC5" w:rsidP="00CC2CC5">
      <w:pPr>
        <w:pStyle w:val="Heading4"/>
        <w:rPr>
          <w:rFonts w:cs="Calibri"/>
        </w:rPr>
      </w:pPr>
      <w:r>
        <w:rPr>
          <w:rFonts w:cs="Calibri"/>
        </w:rPr>
        <w:t xml:space="preserve">Cost-benefit analysis is necessary to prevent overly emotional decision-making </w:t>
      </w:r>
    </w:p>
    <w:p w14:paraId="26124599" w14:textId="77777777" w:rsidR="00CC2CC5" w:rsidRPr="005F3904" w:rsidRDefault="00CC2CC5" w:rsidP="00CC2CC5">
      <w:r w:rsidRPr="005F3904">
        <w:rPr>
          <w:rStyle w:val="Style13ptBold"/>
        </w:rPr>
        <w:t>Sunstein 21</w:t>
      </w:r>
      <w:r w:rsidRPr="005F3904">
        <w:t xml:space="preserve"> (Cass R. Sunstein, Robert Walmsley University Professor at Harvard University, former Administrator of the White House Office of Information and Regulatory Affairs, “Some Benefits and Costs of Cost-Benefit Analysis,” Daedalus (forthcoming), 4/15/21, https://papers.ssrn.com/sol3/papers.cfm?abstract_id=3825061)//cb</w:t>
      </w:r>
    </w:p>
    <w:p w14:paraId="2604D5BA" w14:textId="77777777" w:rsidR="00CC2CC5" w:rsidRPr="005F3904" w:rsidRDefault="00CC2CC5" w:rsidP="00CC2CC5">
      <w:pPr>
        <w:rPr>
          <w:sz w:val="16"/>
        </w:rPr>
      </w:pPr>
      <w:r w:rsidRPr="005F3904">
        <w:rPr>
          <w:rStyle w:val="StyleUnderline"/>
        </w:rPr>
        <w:t>Despite</w:t>
      </w:r>
      <w:r w:rsidRPr="005F3904">
        <w:rPr>
          <w:sz w:val="16"/>
        </w:rPr>
        <w:t xml:space="preserve"> the </w:t>
      </w:r>
      <w:r w:rsidRPr="005F3904">
        <w:rPr>
          <w:rStyle w:val="StyleUnderline"/>
        </w:rPr>
        <w:t>continuing challenges, the emergence of the cost-benefit state is a remarkable achievement</w:t>
      </w:r>
      <w:r w:rsidRPr="005F3904">
        <w:rPr>
          <w:sz w:val="16"/>
        </w:rPr>
        <w:t xml:space="preserve">. It means that </w:t>
      </w:r>
      <w:r w:rsidRPr="005F3904">
        <w:rPr>
          <w:rStyle w:val="StyleUnderline"/>
        </w:rPr>
        <w:t>the role of dogmas, intuitions, and interest groups has diminished</w:t>
      </w:r>
      <w:r w:rsidRPr="005F3904">
        <w:rPr>
          <w:sz w:val="16"/>
        </w:rPr>
        <w:t xml:space="preserve"> and that within the executive branch, at least, regulators have often focused insistently on the human consequences of what they are proposing to do. </w:t>
      </w:r>
      <w:r w:rsidRPr="005F3904">
        <w:rPr>
          <w:rStyle w:val="StyleUnderline"/>
        </w:rPr>
        <w:t>To a significant extent, the</w:t>
      </w:r>
      <w:r w:rsidRPr="005F3904">
        <w:rPr>
          <w:rStyle w:val="Emphasis"/>
        </w:rPr>
        <w:t xml:space="preserve"> cost-benefit state has been a check on “expressivism</w:t>
      </w:r>
      <w:r w:rsidRPr="005F3904">
        <w:rPr>
          <w:rStyle w:val="StyleUnderline"/>
        </w:rPr>
        <w:t>,” in which public officials,</w:t>
      </w:r>
      <w:r w:rsidRPr="005F3904">
        <w:rPr>
          <w:sz w:val="16"/>
        </w:rPr>
        <w:t xml:space="preserve"> on either the left or the right, </w:t>
      </w:r>
      <w:r w:rsidRPr="005F3904">
        <w:rPr>
          <w:rStyle w:val="StyleUnderline"/>
        </w:rPr>
        <w:t>act to express abstract values, without exploring</w:t>
      </w:r>
      <w:r w:rsidRPr="005F3904">
        <w:rPr>
          <w:sz w:val="16"/>
        </w:rPr>
        <w:t xml:space="preserve"> whether particular initiatives would actually have good or bad </w:t>
      </w:r>
      <w:r w:rsidRPr="005F3904">
        <w:rPr>
          <w:rStyle w:val="StyleUnderline"/>
        </w:rPr>
        <w:t>consequences.</w:t>
      </w:r>
      <w:r w:rsidRPr="005F3904">
        <w:rPr>
          <w:sz w:val="16"/>
        </w:rPr>
        <w:t xml:space="preserve"> To the extent that the consequences of regulations are genuinely good (because, for example, they prevent hundreds or thousands of deaths), the rise of the cost-benefit state casts a new light on some prominent and high-minded critiques of modern administration -- for example, that it is a product of unelected bureaucrats, a tribute to the power of well-organized private groups, a reflection of monied interests, an unacceptable abdication of legislative authority, or a product of government’s efforts to expand its own power.</w:t>
      </w:r>
    </w:p>
    <w:p w14:paraId="2287FD90" w14:textId="77777777" w:rsidR="00CC2CC5" w:rsidRPr="005F3904" w:rsidRDefault="00CC2CC5" w:rsidP="00CC2CC5">
      <w:pPr>
        <w:rPr>
          <w:sz w:val="16"/>
          <w:szCs w:val="16"/>
        </w:rPr>
      </w:pPr>
      <w:r w:rsidRPr="005F3904">
        <w:rPr>
          <w:sz w:val="16"/>
          <w:szCs w:val="16"/>
        </w:rPr>
        <w:t>To be sure, each of these critiques must be met on its own terms. But if (for example) a motor vehicle safety regulation from the Department of Transportation, authorized by Congress, is preventing three hundred deaths annually and costing just $40 million, it would not seem that there is good reason for complaint, and the same is true if the Environmental Protection Agency is finding ways to reduce greenhouse gases significantly and at modest cost. And indeed, many regulations, under both Republican and Democratic administrations, have delivered massive net benefits (understood as benefits minus costs). It is not unusual to find that in a given year, the monetized benefits of regulations (including the benefits in terms of preventing illnesses, accidents, and premature deaths) exceed the monetized costs by many billions of dollars. (The Trump Administration was an outlier; because it issued so few regulations, the annual costs of what it did were very low, and so were the annual benefits.)</w:t>
      </w:r>
    </w:p>
    <w:p w14:paraId="5617519B" w14:textId="77777777" w:rsidR="00CC2CC5" w:rsidRDefault="00CC2CC5" w:rsidP="00CC2CC5">
      <w:pPr>
        <w:rPr>
          <w:sz w:val="16"/>
        </w:rPr>
      </w:pPr>
      <w:r w:rsidRPr="005F3904">
        <w:rPr>
          <w:sz w:val="16"/>
        </w:rPr>
        <w:t xml:space="preserve">Under favorable conditions, the </w:t>
      </w:r>
      <w:r w:rsidRPr="005F3904">
        <w:rPr>
          <w:rStyle w:val="StyleUnderline"/>
        </w:rPr>
        <w:t xml:space="preserve">use of cost-benefit analysis can provide </w:t>
      </w:r>
      <w:r w:rsidRPr="005F3904">
        <w:rPr>
          <w:rStyle w:val="Emphasis"/>
        </w:rPr>
        <w:t>safeguards</w:t>
      </w:r>
      <w:r w:rsidRPr="005F3904">
        <w:rPr>
          <w:rStyle w:val="StyleUnderline"/>
        </w:rPr>
        <w:t xml:space="preserve"> against decisions based on feelings, hopes, presumptions, perceived political pressures, appealing but evidence-free compromises, broad aspirations, guesses, or the wishes of the strongest people in the room</w:t>
      </w:r>
      <w:r w:rsidRPr="005F3904">
        <w:rPr>
          <w:sz w:val="16"/>
        </w:rPr>
        <w:t xml:space="preserve">. But </w:t>
      </w:r>
      <w:r w:rsidRPr="005F3904">
        <w:rPr>
          <w:rStyle w:val="StyleUnderline"/>
        </w:rPr>
        <w:t>the administrative state</w:t>
      </w:r>
      <w:r w:rsidRPr="005F3904">
        <w:rPr>
          <w:sz w:val="16"/>
        </w:rPr>
        <w:t xml:space="preserve"> should do better still. It </w:t>
      </w:r>
      <w:r w:rsidRPr="005F3904">
        <w:rPr>
          <w:rStyle w:val="StyleUnderline"/>
        </w:rPr>
        <w:t>needs to focus directly on human welfare</w:t>
      </w:r>
      <w:r w:rsidRPr="005F3904">
        <w:rPr>
          <w:sz w:val="16"/>
        </w:rPr>
        <w:t xml:space="preserve">. It should see cost-benefit analysis as a mere proxy for welfare, and an imperfect one to boot. It needs to investigate welfare itself, and to explore what that idea is best understood to mean. </w:t>
      </w:r>
      <w:r w:rsidRPr="005F3904">
        <w:rPr>
          <w:rStyle w:val="StyleUnderline"/>
        </w:rPr>
        <w:t>It needs as well to focus on distributional considerations</w:t>
      </w:r>
      <w:r w:rsidRPr="005F3904">
        <w:rPr>
          <w:sz w:val="16"/>
        </w:rPr>
        <w:t xml:space="preserve"> – on who is helped and who is hurt.</w:t>
      </w:r>
    </w:p>
    <w:p w14:paraId="57A28E69" w14:textId="77777777" w:rsidR="00CC2CC5" w:rsidRPr="005F3904" w:rsidRDefault="00CC2CC5" w:rsidP="00CC2CC5">
      <w:pPr>
        <w:pStyle w:val="Heading4"/>
      </w:pPr>
      <w:r>
        <w:t>CBA can and should be applied to environmental protection—the Precautionary Principle is a net worse model</w:t>
      </w:r>
    </w:p>
    <w:p w14:paraId="123E2997"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60" w:history="1">
        <w:r w:rsidRPr="005F3904">
          <w:rPr>
            <w:rStyle w:val="Hyperlink"/>
          </w:rPr>
          <w:t>https://doi.org/10.1086/426308)//cb</w:t>
        </w:r>
      </w:hyperlink>
    </w:p>
    <w:p w14:paraId="75CE385B" w14:textId="77777777" w:rsidR="00CC2CC5" w:rsidRPr="000F493F" w:rsidRDefault="00CC2CC5" w:rsidP="00CC2CC5">
      <w:pPr>
        <w:rPr>
          <w:rStyle w:val="Hyperlink"/>
          <w:sz w:val="16"/>
          <w:szCs w:val="16"/>
        </w:rPr>
      </w:pPr>
      <w:r w:rsidRPr="000F493F">
        <w:rPr>
          <w:rStyle w:val="Hyperlink"/>
          <w:sz w:val="16"/>
          <w:szCs w:val="16"/>
        </w:rPr>
        <w:t>III. CATASTROPHE, COSTS, AND BENEFITS</w:t>
      </w:r>
    </w:p>
    <w:p w14:paraId="0354E53C" w14:textId="77777777" w:rsidR="00CC2CC5" w:rsidRDefault="00CC2CC5" w:rsidP="00CC2CC5">
      <w:pPr>
        <w:rPr>
          <w:rStyle w:val="Hyperlink"/>
          <w:sz w:val="16"/>
        </w:rPr>
      </w:pPr>
      <w:r w:rsidRPr="00980860">
        <w:rPr>
          <w:rStyle w:val="Hyperlink"/>
          <w:sz w:val="16"/>
        </w:rPr>
        <w:t xml:space="preserve">Richard </w:t>
      </w:r>
      <w:r w:rsidRPr="00980860">
        <w:rPr>
          <w:rStyle w:val="StyleUnderline"/>
        </w:rPr>
        <w:t>Posner is one of the founders of the economic analysis of law</w:t>
      </w:r>
      <w:r w:rsidRPr="00980860">
        <w:rPr>
          <w:rStyle w:val="Hyperlink"/>
          <w:sz w:val="16"/>
        </w:rPr>
        <w:t xml:space="preserve">, and he should be expected to be enthusiastic about CBA. In Catastrophe: Risk and Response, he does not disappoint that expectation. What makes the book noteworthy is its </w:t>
      </w:r>
      <w:r w:rsidRPr="00980860">
        <w:rPr>
          <w:rStyle w:val="StyleUnderline"/>
        </w:rPr>
        <w:t>focus on the application of CBA to truly catastrophic risks</w:t>
      </w:r>
      <w:r w:rsidRPr="00980860">
        <w:rPr>
          <w:rStyle w:val="Hyperlink"/>
          <w:sz w:val="16"/>
        </w:rPr>
        <w:t xml:space="preserve">—those that might threaten the survival of the human race. </w:t>
      </w:r>
      <w:r w:rsidRPr="00980860">
        <w:rPr>
          <w:rStyle w:val="StyleUnderline"/>
        </w:rPr>
        <w:t>Posner covers</w:t>
      </w:r>
      <w:r w:rsidRPr="00980860">
        <w:rPr>
          <w:rStyle w:val="Hyperlink"/>
          <w:sz w:val="16"/>
        </w:rPr>
        <w:t xml:space="preserve"> an extraordinarily wide range of hazards, including genetically modified crops, robotics, and nanotechnology, but he focuses in particular on four: </w:t>
      </w:r>
      <w:r w:rsidRPr="00980860">
        <w:rPr>
          <w:rStyle w:val="StyleUnderline"/>
        </w:rPr>
        <w:t>asteroid collisions, particle-accelerator disasters, global warming, and bioterrorism</w:t>
      </w:r>
      <w:r w:rsidRPr="00980860">
        <w:rPr>
          <w:rStyle w:val="Hyperlink"/>
          <w:sz w:val="16"/>
        </w:rPr>
        <w:t xml:space="preserve">. Posner believes that none of these risks can be dismissed, and he thinks that </w:t>
      </w:r>
      <w:r w:rsidRPr="00980860">
        <w:rPr>
          <w:rStyle w:val="StyleUnderline"/>
        </w:rPr>
        <w:t>cost-benefit analysis should be applied to each of them</w:t>
      </w:r>
      <w:r w:rsidRPr="00980860">
        <w:rPr>
          <w:rStyle w:val="Hyperlink"/>
          <w:sz w:val="16"/>
        </w:rPr>
        <w:t>.</w:t>
      </w:r>
    </w:p>
    <w:p w14:paraId="6AEAF11B" w14:textId="77777777" w:rsidR="00CC2CC5" w:rsidRPr="00C61587" w:rsidRDefault="00CC2CC5" w:rsidP="00CC2CC5">
      <w:pPr>
        <w:rPr>
          <w:rStyle w:val="Hyperlink"/>
          <w:sz w:val="12"/>
          <w:szCs w:val="12"/>
        </w:rPr>
      </w:pPr>
      <w:r w:rsidRPr="00C61587">
        <w:rPr>
          <w:rStyle w:val="Hyperlink"/>
          <w:sz w:val="12"/>
          <w:szCs w:val="12"/>
        </w:rPr>
        <w:t>Consider, for example, the dangers associated with very powerful particle accelerators. It is extremely unlikely, but not impossible, that such accelerators will produce a highly compressed object called a “strangelet,” which has the ability to convert whatever it encounters into a new form of matter. Posner quotes Martin Rees, professor of physics at the University of Cambridge, who writes, “A hypothetical strangelet disaster could transform the entire plant Earth into an inert hyperdense sphere about one hundred meters across.”22 Posner accepts the widely held view that a strangelet disaster is exceedingly improbable, but he insists that it cannot be ruled out. As a result, he thinks that nations should at least be willing to ask whether the benefits of very powerful particle accelerators justify incurring the risk. On that question, he is quite doubtful.</w:t>
      </w:r>
    </w:p>
    <w:p w14:paraId="52308F7F" w14:textId="77777777" w:rsidR="00CC2CC5" w:rsidRDefault="00CC2CC5" w:rsidP="00CC2CC5">
      <w:pPr>
        <w:rPr>
          <w:rStyle w:val="Hyperlink"/>
          <w:sz w:val="14"/>
        </w:rPr>
      </w:pPr>
      <w:r w:rsidRPr="00980860">
        <w:rPr>
          <w:rStyle w:val="Hyperlink"/>
          <w:sz w:val="14"/>
        </w:rPr>
        <w:t xml:space="preserve">Posner’s discussion extends over a wide range. Because my topic is environmental protection, I shall focus on his treatment of global warming.23 </w:t>
      </w:r>
      <w:r w:rsidRPr="00980860">
        <w:rPr>
          <w:rStyle w:val="StyleUnderline"/>
        </w:rPr>
        <w:t>Posner believes</w:t>
      </w:r>
      <w:r w:rsidRPr="00980860">
        <w:rPr>
          <w:rStyle w:val="Hyperlink"/>
          <w:sz w:val="14"/>
        </w:rPr>
        <w:t xml:space="preserve"> that </w:t>
      </w:r>
      <w:r w:rsidRPr="00980860">
        <w:rPr>
          <w:rStyle w:val="StyleUnderline"/>
        </w:rPr>
        <w:t>the associated risks should be taken seriously</w:t>
      </w:r>
      <w:r w:rsidRPr="00980860">
        <w:rPr>
          <w:rStyle w:val="Hyperlink"/>
          <w:sz w:val="14"/>
        </w:rPr>
        <w:t xml:space="preserve">, above all </w:t>
      </w:r>
      <w:r w:rsidRPr="00980860">
        <w:rPr>
          <w:rStyle w:val="StyleUnderline"/>
        </w:rPr>
        <w:t>because of the possibility of truly catastrophic harm</w:t>
      </w:r>
      <w:r w:rsidRPr="00980860">
        <w:rPr>
          <w:rStyle w:val="Hyperlink"/>
          <w:sz w:val="14"/>
        </w:rPr>
        <w:t>. He acknowledges that the leading economic expert on global warming, William Nordhaus, estimates its total cost at $4 trillion—a high figure, to be sure, but hardly astronomical, and one that allows cost-benefit analysis to get off the ground.24 (The United States has an annual GDP of $10 trillion, and as Posner points out, $4 trillion represents present value, which might be compared with the present economic value of the United States, which is roughly $100 trillion.) Nordhaus produces his $4 trillion figure essentially through the methods that Ackerman and Heinzerling deplore, namely, using WTP and discounting the future.</w:t>
      </w:r>
    </w:p>
    <w:p w14:paraId="2BFDE144" w14:textId="77777777" w:rsidR="00CC2CC5" w:rsidRDefault="00CC2CC5" w:rsidP="00CC2CC5">
      <w:pPr>
        <w:rPr>
          <w:rStyle w:val="Hyperlink"/>
          <w:sz w:val="12"/>
        </w:rPr>
      </w:pPr>
      <w:r w:rsidRPr="00980860">
        <w:rPr>
          <w:rStyle w:val="Hyperlink"/>
          <w:sz w:val="12"/>
        </w:rPr>
        <w:t xml:space="preserve">Posner is concerned not with the objections made by Ackerman and Heinzerling, which he implicitly rejects, but with the possibility that Nordhaus’s estimate greatly understates the problem, above all because of </w:t>
      </w:r>
      <w:r w:rsidRPr="00980860">
        <w:rPr>
          <w:rStyle w:val="StyleUnderline"/>
        </w:rPr>
        <w:t>the dangers of abrupt warming</w:t>
      </w:r>
      <w:r w:rsidRPr="00980860">
        <w:rPr>
          <w:rStyle w:val="Hyperlink"/>
          <w:sz w:val="12"/>
        </w:rPr>
        <w:t xml:space="preserve">, which </w:t>
      </w:r>
      <w:r w:rsidRPr="00980860">
        <w:rPr>
          <w:rStyle w:val="StyleUnderline"/>
        </w:rPr>
        <w:t>would be especially destructive</w:t>
      </w:r>
      <w:r w:rsidRPr="00980860">
        <w:rPr>
          <w:rStyle w:val="Hyperlink"/>
          <w:sz w:val="12"/>
        </w:rPr>
        <w:t xml:space="preserve">. Thus Posner thinks that </w:t>
      </w:r>
      <w:r w:rsidRPr="00980860">
        <w:rPr>
          <w:rStyle w:val="StyleUnderline"/>
        </w:rPr>
        <w:t>existing models do not rule out the possibility of</w:t>
      </w:r>
      <w:r w:rsidRPr="00980860">
        <w:rPr>
          <w:rStyle w:val="Hyperlink"/>
          <w:sz w:val="12"/>
        </w:rPr>
        <w:t xml:space="preserve"> (for example) </w:t>
      </w:r>
      <w:r w:rsidRPr="00980860">
        <w:rPr>
          <w:rStyle w:val="StyleUnderline"/>
        </w:rPr>
        <w:t>very rapid changes in both temperature and sea levels, the evolution and migration of deadly pests, and</w:t>
      </w:r>
      <w:r w:rsidRPr="00980860">
        <w:rPr>
          <w:rStyle w:val="Hyperlink"/>
          <w:sz w:val="12"/>
        </w:rPr>
        <w:t xml:space="preserve"> even </w:t>
      </w:r>
      <w:r w:rsidRPr="00980860">
        <w:rPr>
          <w:rStyle w:val="StyleUnderline"/>
        </w:rPr>
        <w:t>a runaway greenhouse effect</w:t>
      </w:r>
      <w:r w:rsidRPr="00980860">
        <w:rPr>
          <w:rStyle w:val="Hyperlink"/>
          <w:sz w:val="12"/>
        </w:rPr>
        <w:t xml:space="preserve">, produced by melting of tundras, thus releasing large quantities of additional greenhouse gases. One worst-case scenario is “snowball earth,” covering the world with a layer of ice several kilometers thick, a result of massive increases in cloud cover, preventing sunlight from reaching the earth. Sounding very much like Ackerman and Heinzerling, </w:t>
      </w:r>
      <w:r w:rsidRPr="00980860">
        <w:rPr>
          <w:rStyle w:val="StyleUnderline"/>
        </w:rPr>
        <w:t>Posner seeks to draw attention to the worst that might happen</w:t>
      </w:r>
      <w:r w:rsidRPr="00980860">
        <w:rPr>
          <w:rStyle w:val="Hyperlink"/>
          <w:sz w:val="12"/>
        </w:rPr>
        <w:t>.</w:t>
      </w:r>
    </w:p>
    <w:p w14:paraId="45B7B748" w14:textId="77777777" w:rsidR="00CC2CC5" w:rsidRDefault="00CC2CC5" w:rsidP="00CC2CC5">
      <w:pPr>
        <w:rPr>
          <w:rStyle w:val="Hyperlink"/>
          <w:sz w:val="10"/>
        </w:rPr>
      </w:pPr>
      <w:r w:rsidRPr="00980860">
        <w:rPr>
          <w:rStyle w:val="StyleUnderline"/>
        </w:rPr>
        <w:t>Many scientists and economists</w:t>
      </w:r>
      <w:r w:rsidRPr="00980860">
        <w:rPr>
          <w:rStyle w:val="Hyperlink"/>
          <w:sz w:val="10"/>
        </w:rPr>
        <w:t xml:space="preserve">, including Nordhaus, </w:t>
      </w:r>
      <w:r w:rsidRPr="00980860">
        <w:rPr>
          <w:rStyle w:val="StyleUnderline"/>
        </w:rPr>
        <w:t>believe that global warming is not likely to create catastrophic harm</w:t>
      </w:r>
      <w:r w:rsidRPr="00980860">
        <w:rPr>
          <w:rStyle w:val="Hyperlink"/>
          <w:sz w:val="10"/>
        </w:rPr>
        <w:t xml:space="preserve"> and that the real costs, human and economic, will be high but not intolerable. In their view, the worst-case scenarios can be responsibly described as improbable.25 </w:t>
      </w:r>
      <w:r w:rsidRPr="00980860">
        <w:rPr>
          <w:rStyle w:val="StyleUnderline"/>
        </w:rPr>
        <w:t>Posner disagrees</w:t>
      </w:r>
      <w:r w:rsidRPr="00980860">
        <w:rPr>
          <w:rStyle w:val="Hyperlink"/>
          <w:sz w:val="10"/>
        </w:rPr>
        <w:t xml:space="preserve">. He believes that “no probabilities can be attached to the catastrophic global-warming scenarios, and without an estimate of probabilities an expected cost cannot be calculated.” In the terms of decision theory, Posner contends that </w:t>
      </w:r>
      <w:r w:rsidRPr="00980860">
        <w:rPr>
          <w:rStyle w:val="StyleUnderline"/>
        </w:rPr>
        <w:t>global warming presents a situation of uncertainty, where probabilities cannot be assigned to outcomes, rather than risk</w:t>
      </w:r>
      <w:r w:rsidRPr="00980860">
        <w:rPr>
          <w:rStyle w:val="Hyperlink"/>
          <w:sz w:val="10"/>
        </w:rPr>
        <w:t xml:space="preserve">, where such probabilities can be assigned.26 In this way, global </w:t>
      </w:r>
      <w:r w:rsidRPr="00980860">
        <w:rPr>
          <w:rStyle w:val="StyleUnderline"/>
        </w:rPr>
        <w:t>warming differs from other potentially catastrophic risks</w:t>
      </w:r>
      <w:r w:rsidRPr="00980860">
        <w:rPr>
          <w:rStyle w:val="Hyperlink"/>
          <w:sz w:val="10"/>
        </w:rPr>
        <w:t xml:space="preserve"> that Posner explores, such as the strangelet disaster, which everyone characterizes as exceedingly unlikely</w:t>
      </w:r>
      <w:r>
        <w:rPr>
          <w:rStyle w:val="Hyperlink"/>
          <w:sz w:val="10"/>
        </w:rPr>
        <w:t>.</w:t>
      </w:r>
    </w:p>
    <w:p w14:paraId="33FF2D3C" w14:textId="77777777" w:rsidR="00CC2CC5" w:rsidRDefault="00CC2CC5" w:rsidP="00CC2CC5">
      <w:pPr>
        <w:rPr>
          <w:rStyle w:val="Hyperlink"/>
          <w:sz w:val="8"/>
        </w:rPr>
      </w:pPr>
      <w:r w:rsidRPr="00980860">
        <w:rPr>
          <w:rStyle w:val="Hyperlink"/>
          <w:sz w:val="8"/>
        </w:rPr>
        <w:t xml:space="preserve">Posner does not claim that responses to catastrophic risks should be chosen solely by reference to CBA. But he proposes that </w:t>
      </w:r>
      <w:r w:rsidRPr="00980860">
        <w:rPr>
          <w:rStyle w:val="StyleUnderline"/>
        </w:rPr>
        <w:t>CBA “is an indispensable step in rational decision making in this</w:t>
      </w:r>
      <w:r w:rsidRPr="00980860">
        <w:rPr>
          <w:rStyle w:val="Hyperlink"/>
          <w:sz w:val="8"/>
        </w:rPr>
        <w:t xml:space="preserve"> as in other </w:t>
      </w:r>
      <w:r w:rsidRPr="00980860">
        <w:rPr>
          <w:rStyle w:val="StyleUnderline"/>
        </w:rPr>
        <w:t>area</w:t>
      </w:r>
      <w:r w:rsidRPr="00980860">
        <w:rPr>
          <w:rStyle w:val="Hyperlink"/>
          <w:sz w:val="8"/>
        </w:rPr>
        <w:t xml:space="preserve">s of government regulation. Effective responses to most catastrophic risks are likely to be extremely costly, and it would be mad to adopt such responses without an effort to estimate the costs and benefits” (p. 139). While favoring CBA, </w:t>
      </w:r>
      <w:r w:rsidRPr="00980860">
        <w:rPr>
          <w:rStyle w:val="StyleUnderline"/>
        </w:rPr>
        <w:t>Posner rejects the Precautionary Principle because of its “sponginess</w:t>
      </w:r>
      <w:r w:rsidRPr="00980860">
        <w:rPr>
          <w:rStyle w:val="Hyperlink"/>
          <w:sz w:val="8"/>
        </w:rPr>
        <w:t xml:space="preserve">” (p. 140). He contends that </w:t>
      </w:r>
      <w:r w:rsidRPr="00980860">
        <w:rPr>
          <w:rStyle w:val="StyleUnderline"/>
        </w:rPr>
        <w:t>once that principle becomes sensibly tempered, it turns into a form of CBA with risk aversion</w:t>
      </w:r>
      <w:r w:rsidRPr="00980860">
        <w:rPr>
          <w:rStyle w:val="Hyperlink"/>
          <w:sz w:val="8"/>
        </w:rPr>
        <w:t>, that is, a form of CBA that creates a margin of safety to protect against those dangers that produce special concern. This understanding of the Precautionary Principle, he believes, is perfectly reasonable, but it turns the principle into a version of CBA, not a rival (as Ackerman and Heinzerling claim).</w:t>
      </w:r>
    </w:p>
    <w:p w14:paraId="5F7715BC" w14:textId="77777777" w:rsidR="00CC2CC5" w:rsidRPr="00980860" w:rsidRDefault="00CC2CC5" w:rsidP="00CC2CC5">
      <w:pPr>
        <w:rPr>
          <w:rStyle w:val="Hyperlink"/>
          <w:sz w:val="10"/>
          <w:szCs w:val="10"/>
        </w:rPr>
      </w:pPr>
      <w:r w:rsidRPr="00980860">
        <w:rPr>
          <w:rStyle w:val="Hyperlink"/>
          <w:sz w:val="10"/>
          <w:szCs w:val="10"/>
        </w:rPr>
        <w:t>Posner emphasizes that any effort to apply CBA to catastrophic risks requires a great deal of guesswork. Consider the proposal to build a new and very powerful particle accelerator, Brookhaven’s Relativistic Heavy Ion Collider. Posner is concerned about the remote possibility that the Brookhaven collider will destroy the earth; he wants to evaluate the proposal by reference to CBA. He notes that no effort has been made to monetize its benefits, but he ventures a “wild guess” (p. 140) that they amount to $250 million per year. (It is extremely hard to produce a figure, monetized or nonmonetized, to capture the benefits of basic research; for this reason, Posner’s guess is indeed wild.) With that amount, the collider would have a net present value of $400 million: $21.1 billion in benefits, assuming a 3 percent discount rate, over a projected ten-year span, minus the accelerator’s construction and operating costs, which are $1.1 billion. But what is the monetized value of the extinction risk? To answer that question, Posner needs to estimate both the probability of extinction and its monetized cost if it comes to fruition. For probability, he ventures a figure of 1 in 10 million, a figure that he also deems “arbitrary,” though it is in line with several estimates by expert risk assessors. For monetized cost, based on WTP to reduce statistical risks and a 3 percent discount rate, he values the loss of the human race at $600 trillion.27 Doing the arithmetic, Posner believes that the net benefits of the Brookhaven collider are negative: $100 million. Thus he concludes that the collider should not be built.</w:t>
      </w:r>
    </w:p>
    <w:p w14:paraId="7689BD50" w14:textId="77777777" w:rsidR="00CC2CC5" w:rsidRDefault="00CC2CC5" w:rsidP="00CC2CC5">
      <w:pPr>
        <w:rPr>
          <w:sz w:val="16"/>
        </w:rPr>
      </w:pPr>
      <w:r w:rsidRPr="00980860">
        <w:rPr>
          <w:sz w:val="16"/>
        </w:rPr>
        <w:t xml:space="preserve">Posner acknowledges that “global warming is the poster child for the limitations of cost-benefit analysis” (p. 155). But even here, he thinks that </w:t>
      </w:r>
      <w:r w:rsidRPr="00980860">
        <w:rPr>
          <w:rStyle w:val="StyleUnderline"/>
        </w:rPr>
        <w:t>it is possible to make progress by attempting to be as quantitative</w:t>
      </w:r>
      <w:r>
        <w:rPr>
          <w:rStyle w:val="StyleUnderline"/>
        </w:rPr>
        <w:t xml:space="preserve"> </w:t>
      </w:r>
      <w:r w:rsidRPr="00980860">
        <w:rPr>
          <w:rStyle w:val="StyleUnderline"/>
        </w:rPr>
        <w:t>as possible</w:t>
      </w:r>
      <w:r w:rsidRPr="00980860">
        <w:rPr>
          <w:sz w:val="16"/>
        </w:rPr>
        <w:t xml:space="preserve">. Most economists, armed with CBA, oppose the Kyoto Protocol, arguing that its monetized costs probably would exceed its monetized benefits. Recall that the monetized costs of global warming are estimated at around $4 trillion. For the world as a whole, </w:t>
      </w:r>
      <w:r w:rsidRPr="00980860">
        <w:rPr>
          <w:rStyle w:val="StyleUnderline"/>
        </w:rPr>
        <w:t>the monetized</w:t>
      </w:r>
      <w:r>
        <w:rPr>
          <w:rStyle w:val="StyleUnderline"/>
        </w:rPr>
        <w:t xml:space="preserve"> </w:t>
      </w:r>
      <w:r w:rsidRPr="00980860">
        <w:rPr>
          <w:rStyle w:val="StyleUnderline"/>
        </w:rPr>
        <w:t>benefits of the Kyoto Protocol are estimated at far less than those costs:</w:t>
      </w:r>
      <w:r>
        <w:rPr>
          <w:rStyle w:val="StyleUnderline"/>
        </w:rPr>
        <w:t xml:space="preserve"> </w:t>
      </w:r>
      <w:r w:rsidRPr="00980860">
        <w:rPr>
          <w:rStyle w:val="StyleUnderline"/>
        </w:rPr>
        <w:t>only $108 billion</w:t>
      </w:r>
      <w:r w:rsidRPr="00980860">
        <w:rPr>
          <w:sz w:val="16"/>
        </w:rPr>
        <w:t xml:space="preserve">.28 </w:t>
      </w:r>
      <w:r w:rsidRPr="00980860">
        <w:rPr>
          <w:rStyle w:val="StyleUnderline"/>
        </w:rPr>
        <w:t>The reason is that the protocol would do relatively</w:t>
      </w:r>
      <w:r>
        <w:rPr>
          <w:rStyle w:val="StyleUnderline"/>
        </w:rPr>
        <w:t xml:space="preserve"> </w:t>
      </w:r>
      <w:r w:rsidRPr="00980860">
        <w:rPr>
          <w:rStyle w:val="StyleUnderline"/>
        </w:rPr>
        <w:t xml:space="preserve">little </w:t>
      </w:r>
      <w:r w:rsidRPr="00980860">
        <w:rPr>
          <w:sz w:val="16"/>
        </w:rPr>
        <w:t xml:space="preserve">about the problem of global warming. Greenhouse gases stay in the atmosphere for a long time, and </w:t>
      </w:r>
      <w:r w:rsidRPr="00980860">
        <w:rPr>
          <w:rStyle w:val="StyleUnderline"/>
        </w:rPr>
        <w:t>the Kyoto Protocol would not, of</w:t>
      </w:r>
      <w:r>
        <w:rPr>
          <w:rStyle w:val="StyleUnderline"/>
        </w:rPr>
        <w:t xml:space="preserve"> </w:t>
      </w:r>
      <w:r w:rsidRPr="00980860">
        <w:rPr>
          <w:rStyle w:val="StyleUnderline"/>
        </w:rPr>
        <w:t>course, affect</w:t>
      </w:r>
      <w:r w:rsidRPr="00980860">
        <w:rPr>
          <w:sz w:val="16"/>
        </w:rPr>
        <w:t xml:space="preserve"> those </w:t>
      </w:r>
      <w:r w:rsidRPr="00980860">
        <w:rPr>
          <w:rStyle w:val="StyleUnderline"/>
        </w:rPr>
        <w:t>emissions that have already occurred</w:t>
      </w:r>
      <w:r w:rsidRPr="00980860">
        <w:rPr>
          <w:sz w:val="16"/>
        </w:rPr>
        <w:t xml:space="preserve">. In addition, its provisions do not limit developing nations, which will soon be large sources of greenhouse gases, at all (a primary complaint of the Bush administration); and for the industrialized world, </w:t>
      </w:r>
      <w:r w:rsidRPr="00980860">
        <w:rPr>
          <w:rStyle w:val="StyleUnderline"/>
        </w:rPr>
        <w:t>it would merely stabilize emissions modestly below 1990 levels</w:t>
      </w:r>
      <w:r w:rsidRPr="00980860">
        <w:rPr>
          <w:sz w:val="16"/>
        </w:rPr>
        <w:t>. Hence the benefits of the Kyoto Protocol would be modest, consisting as they would of a mere reduction in the increase of global warming emissions. At the same time, the Kyoto Protocol would impose significant costs on those subject to it, producing a total global cost ranging from $59 billion to $884 billion.29 A standard view is that the Kyoto Protocol fails CBA, because it is likely, in its implementation, to inflict costs in excess of the $108 billion gains.</w:t>
      </w:r>
    </w:p>
    <w:p w14:paraId="1D30951C" w14:textId="77777777" w:rsidR="00CC2CC5" w:rsidRDefault="00CC2CC5" w:rsidP="00CC2CC5">
      <w:pPr>
        <w:rPr>
          <w:sz w:val="14"/>
        </w:rPr>
      </w:pPr>
      <w:r w:rsidRPr="00C61587">
        <w:rPr>
          <w:sz w:val="14"/>
        </w:rPr>
        <w:t xml:space="preserve">Posner thinks </w:t>
      </w:r>
      <w:r w:rsidRPr="00C61587">
        <w:rPr>
          <w:rStyle w:val="StyleUnderline"/>
        </w:rPr>
        <w:t>this analysis is badly incomplete, because it ignores</w:t>
      </w:r>
      <w:r>
        <w:rPr>
          <w:rStyle w:val="StyleUnderline"/>
        </w:rPr>
        <w:t xml:space="preserve"> </w:t>
      </w:r>
      <w:r w:rsidRPr="00C61587">
        <w:rPr>
          <w:rStyle w:val="StyleUnderline"/>
        </w:rPr>
        <w:t>the possibility that government regulation will force technological innovation</w:t>
      </w:r>
      <w:r w:rsidRPr="00C61587">
        <w:rPr>
          <w:sz w:val="14"/>
        </w:rPr>
        <w:t xml:space="preserve">, thus producing dramatic decreases in greenhouse gas emissions; and dramatic decreases are necessary to reduce the risk of catastrophe. Posner is particularly interested in the potentially desirable effects of </w:t>
      </w:r>
      <w:r w:rsidRPr="00C61587">
        <w:rPr>
          <w:rStyle w:val="StyleUnderline"/>
        </w:rPr>
        <w:t>significant taxes on carbon emissions</w:t>
      </w:r>
      <w:r w:rsidRPr="00C61587">
        <w:rPr>
          <w:sz w:val="14"/>
        </w:rPr>
        <w:t xml:space="preserve">. Such taxes </w:t>
      </w:r>
      <w:r w:rsidRPr="00C61587">
        <w:rPr>
          <w:rStyle w:val="StyleUnderline"/>
        </w:rPr>
        <w:t>would create</w:t>
      </w:r>
      <w:r>
        <w:rPr>
          <w:rStyle w:val="StyleUnderline"/>
        </w:rPr>
        <w:t xml:space="preserve"> </w:t>
      </w:r>
      <w:r w:rsidRPr="00C61587">
        <w:rPr>
          <w:rStyle w:val="StyleUnderline"/>
        </w:rPr>
        <w:t>economic incentives to develop clean fuels and better methods of carbon sequestration</w:t>
      </w:r>
      <w:r w:rsidRPr="00C61587">
        <w:rPr>
          <w:sz w:val="14"/>
        </w:rPr>
        <w:t xml:space="preserve">. Posner acknowledges that in view of existing uncertainty and the high costs of emissions controls, it is tempting simply to wait for more scientific information (as the Bush administration has argued). One problem with this approach is that of irreversibility: once greenhouse gases are in the atmosphere, they stay there for a long time. In a key passage, he argues that </w:t>
      </w:r>
      <w:r w:rsidRPr="00C61587">
        <w:rPr>
          <w:rStyle w:val="StyleUnderline"/>
        </w:rPr>
        <w:t>making “shallower cuts now can be</w:t>
      </w:r>
      <w:r>
        <w:rPr>
          <w:rStyle w:val="StyleUnderline"/>
        </w:rPr>
        <w:t xml:space="preserve"> </w:t>
      </w:r>
      <w:r w:rsidRPr="00C61587">
        <w:rPr>
          <w:rStyle w:val="StyleUnderline"/>
        </w:rPr>
        <w:t>thought of as purchasing an option to enable global warming to be</w:t>
      </w:r>
      <w:r>
        <w:rPr>
          <w:rStyle w:val="StyleUnderline"/>
        </w:rPr>
        <w:t xml:space="preserve"> </w:t>
      </w:r>
      <w:r w:rsidRPr="00C61587">
        <w:rPr>
          <w:rStyle w:val="StyleUnderline"/>
        </w:rPr>
        <w:t>stopped or slowed at some future time at a lower cost</w:t>
      </w:r>
      <w:r w:rsidRPr="00C61587">
        <w:rPr>
          <w:sz w:val="14"/>
        </w:rPr>
        <w:t>” (p. 112).</w:t>
      </w:r>
    </w:p>
    <w:p w14:paraId="6BD50E23" w14:textId="77777777" w:rsidR="00CC2CC5" w:rsidRDefault="00CC2CC5" w:rsidP="00CC2CC5">
      <w:pPr>
        <w:rPr>
          <w:sz w:val="12"/>
        </w:rPr>
      </w:pPr>
      <w:r w:rsidRPr="000F493F">
        <w:rPr>
          <w:sz w:val="12"/>
        </w:rPr>
        <w:t xml:space="preserve">Posner does not offer a formal CBA for various approaches to the global warming problem. The reason is that his fundamental concern is abrupt warming, to which he believes that no probability can be assigned. In contrast to his quantitative analysis of particle accelerators, his analysis of global warming does not offer many numbers. Indeed, his own form of balancing does not have a transparent structure; his major argument involves the option analysis just described, with the suggestion that current cuts give us the flexibility to reduce warming in the future if that is what we choose to do. </w:t>
      </w:r>
      <w:r w:rsidRPr="000F493F">
        <w:rPr>
          <w:rStyle w:val="StyleUnderline"/>
        </w:rPr>
        <w:t>He thus argues in favor of</w:t>
      </w:r>
      <w:r>
        <w:rPr>
          <w:rStyle w:val="StyleUnderline"/>
        </w:rPr>
        <w:t xml:space="preserve"> </w:t>
      </w:r>
      <w:r w:rsidRPr="000F493F">
        <w:rPr>
          <w:rStyle w:val="StyleUnderline"/>
        </w:rPr>
        <w:t>aggressive technology-forcing emissions taxes on greenhouse gases</w:t>
      </w:r>
      <w:r w:rsidRPr="000F493F">
        <w:rPr>
          <w:sz w:val="12"/>
        </w:rPr>
        <w:t xml:space="preserve">, above all </w:t>
      </w:r>
      <w:r w:rsidRPr="000F493F">
        <w:rPr>
          <w:rStyle w:val="StyleUnderline"/>
        </w:rPr>
        <w:t>to reduce the possibility of catastrophic risk</w:t>
      </w:r>
      <w:r w:rsidRPr="000F493F">
        <w:rPr>
          <w:sz w:val="12"/>
        </w:rPr>
        <w:t>.</w:t>
      </w:r>
    </w:p>
    <w:p w14:paraId="678C530B" w14:textId="77777777" w:rsidR="00CC2CC5" w:rsidRDefault="00CC2CC5" w:rsidP="00CC2CC5">
      <w:pPr>
        <w:pStyle w:val="Heading4"/>
      </w:pPr>
      <w:r>
        <w:t>key to Innovation – enables carbon capture and utilization</w:t>
      </w:r>
    </w:p>
    <w:p w14:paraId="0D5AB06E" w14:textId="77777777" w:rsidR="00CC2CC5" w:rsidRPr="00EB6B16" w:rsidRDefault="00CC2CC5" w:rsidP="00CC2CC5">
      <w:pPr>
        <w:rPr>
          <w:rStyle w:val="Style13ptBold"/>
        </w:rPr>
      </w:pPr>
      <w:r w:rsidRPr="00EB6B16">
        <w:rPr>
          <w:rStyle w:val="Style13ptBold"/>
        </w:rPr>
        <w:t>Nekeman ‘20</w:t>
      </w:r>
    </w:p>
    <w:p w14:paraId="6B2F20DC" w14:textId="77777777" w:rsidR="00CC2CC5" w:rsidRPr="00C659C8" w:rsidRDefault="00CC2CC5" w:rsidP="00CC2CC5">
      <w:pPr>
        <w:rPr>
          <w:sz w:val="16"/>
          <w:szCs w:val="16"/>
        </w:rPr>
      </w:pPr>
      <w:r w:rsidRPr="00C659C8">
        <w:rPr>
          <w:sz w:val="16"/>
          <w:szCs w:val="16"/>
        </w:rPr>
        <w:t xml:space="preserve">(Roy Nekeman, Masters at Delft University of Technology in the Netherlands. “Social cost-benefit analysis of carbon capture and utilization at biomass plants,” Master thesis submitted to Delft University of Technology, pdf available for download, 11/16/20, </w:t>
      </w:r>
      <w:hyperlink r:id="rId61" w:history="1">
        <w:r w:rsidRPr="00C659C8">
          <w:rPr>
            <w:rStyle w:val="Hyperlink"/>
            <w:sz w:val="16"/>
            <w:szCs w:val="16"/>
          </w:rPr>
          <w:t>http://resolver.tudelft.nl/uuid:d8ec6fc2-b417-4a38-a716-abff2e43c6b4</w:t>
        </w:r>
      </w:hyperlink>
      <w:r w:rsidRPr="00C659C8">
        <w:rPr>
          <w:sz w:val="16"/>
          <w:szCs w:val="16"/>
        </w:rPr>
        <w:t>, JB)</w:t>
      </w:r>
    </w:p>
    <w:p w14:paraId="0A0C7AE8" w14:textId="77777777" w:rsidR="00CC2CC5" w:rsidRPr="00D24D56" w:rsidRDefault="00CC2CC5" w:rsidP="00CC2CC5">
      <w:pPr>
        <w:rPr>
          <w:sz w:val="16"/>
        </w:rPr>
      </w:pPr>
      <w:r w:rsidRPr="00114B39">
        <w:rPr>
          <w:u w:val="single"/>
        </w:rPr>
        <w:t xml:space="preserve">This chapter has presented the results of the social </w:t>
      </w:r>
      <w:r w:rsidRPr="00712EA7">
        <w:rPr>
          <w:u w:val="single"/>
        </w:rPr>
        <w:t>cost-benefit analysis of</w:t>
      </w:r>
      <w:r w:rsidRPr="00D24D56">
        <w:rPr>
          <w:sz w:val="16"/>
        </w:rPr>
        <w:t xml:space="preserve"> both project alternatives, </w:t>
      </w:r>
      <w:r w:rsidRPr="00886B79">
        <w:rPr>
          <w:highlight w:val="green"/>
          <w:u w:val="single"/>
        </w:rPr>
        <w:t>Compensatiesteen, and formic acid</w:t>
      </w:r>
      <w:r w:rsidRPr="00D24D56">
        <w:rPr>
          <w:sz w:val="16"/>
        </w:rPr>
        <w:t xml:space="preserve">. </w:t>
      </w:r>
      <w:r w:rsidRPr="00114B39">
        <w:rPr>
          <w:u w:val="single"/>
        </w:rPr>
        <w:t xml:space="preserve">The compensatiesteen alternative </w:t>
      </w:r>
      <w:r w:rsidRPr="00886B79">
        <w:rPr>
          <w:highlight w:val="green"/>
          <w:u w:val="single"/>
        </w:rPr>
        <w:t>has a positive SCBA</w:t>
      </w:r>
      <w:r w:rsidRPr="00D24D56">
        <w:rPr>
          <w:sz w:val="16"/>
        </w:rPr>
        <w:t xml:space="preserve"> under the standard scenario. With the made assumptions and estimations, </w:t>
      </w:r>
      <w:r w:rsidRPr="00886B79">
        <w:rPr>
          <w:highlight w:val="green"/>
          <w:u w:val="single"/>
        </w:rPr>
        <w:t>the project should contribute to social welfare and</w:t>
      </w:r>
      <w:r w:rsidRPr="00241B0C">
        <w:rPr>
          <w:u w:val="single"/>
        </w:rPr>
        <w:t xml:space="preserve"> therefore </w:t>
      </w:r>
      <w:r w:rsidRPr="00886B79">
        <w:rPr>
          <w:highlight w:val="green"/>
          <w:u w:val="single"/>
        </w:rPr>
        <w:t>be implemented</w:t>
      </w:r>
      <w:r w:rsidRPr="00D24D56">
        <w:rPr>
          <w:sz w:val="16"/>
        </w:rPr>
        <w:t xml:space="preserve">. The formic acid alternative does not have a positive SCBA. The project should therefore not be implemented. This chapter also discussed the results of different tests to examine the robustness/sensitivity of the CBA results. A variant in which the formic acid will be used by Meerlanden with the purchase of 14 heavy vehicles for garbage collection will not ensure a positive net present value. The positive environmental effects can not compensate for the large difference between the reference price of formic acid and the operating costs. </w:t>
      </w:r>
      <w:r w:rsidRPr="00CC02BA">
        <w:rPr>
          <w:u w:val="single"/>
        </w:rPr>
        <w:t xml:space="preserve">A </w:t>
      </w:r>
      <w:r w:rsidRPr="00886B79">
        <w:rPr>
          <w:highlight w:val="green"/>
          <w:u w:val="single"/>
        </w:rPr>
        <w:t>higher CO2 price will make</w:t>
      </w:r>
      <w:r w:rsidRPr="00CC02BA">
        <w:rPr>
          <w:u w:val="single"/>
        </w:rPr>
        <w:t xml:space="preserve"> both </w:t>
      </w:r>
      <w:r w:rsidRPr="00886B79">
        <w:rPr>
          <w:highlight w:val="green"/>
          <w:u w:val="single"/>
        </w:rPr>
        <w:t>alternatives</w:t>
      </w:r>
      <w:r w:rsidRPr="00CC02BA">
        <w:rPr>
          <w:u w:val="single"/>
        </w:rPr>
        <w:t xml:space="preserve"> more </w:t>
      </w:r>
      <w:r w:rsidRPr="00886B79">
        <w:rPr>
          <w:highlight w:val="green"/>
          <w:u w:val="single"/>
        </w:rPr>
        <w:t>attractive</w:t>
      </w:r>
      <w:r w:rsidRPr="00CC02BA">
        <w:rPr>
          <w:u w:val="single"/>
        </w:rPr>
        <w:t xml:space="preserve"> but won’t ensure a positive net present value for the formic acid alternative.</w:t>
      </w:r>
      <w:r w:rsidRPr="00D24D56">
        <w:rPr>
          <w:sz w:val="16"/>
        </w:rPr>
        <w:t xml:space="preserve"> </w:t>
      </w:r>
      <w:r w:rsidRPr="0039046F">
        <w:rPr>
          <w:u w:val="single"/>
        </w:rPr>
        <w:t>A CO2 price of 470€/ton will be required to give a positive net present value to the formic acid alternative.</w:t>
      </w:r>
      <w:r w:rsidRPr="00D24D56">
        <w:rPr>
          <w:sz w:val="16"/>
        </w:rPr>
        <w:t xml:space="preserve"> </w:t>
      </w:r>
      <w:r w:rsidRPr="0039046F">
        <w:rPr>
          <w:u w:val="single"/>
        </w:rPr>
        <w:t>High raw material costs will give the Compensatiesteen alternative a negative net present value</w:t>
      </w:r>
      <w:r w:rsidRPr="00D24D56">
        <w:rPr>
          <w:sz w:val="16"/>
        </w:rPr>
        <w:t xml:space="preserve">. </w:t>
      </w:r>
      <w:r w:rsidRPr="00886B79">
        <w:rPr>
          <w:highlight w:val="green"/>
          <w:u w:val="single"/>
        </w:rPr>
        <w:t>Ensuring the exact ratio and prices</w:t>
      </w:r>
      <w:r w:rsidRPr="00E458CB">
        <w:rPr>
          <w:u w:val="single"/>
        </w:rPr>
        <w:t xml:space="preserve"> of raw materials </w:t>
      </w:r>
      <w:r w:rsidRPr="00886B79">
        <w:rPr>
          <w:highlight w:val="green"/>
          <w:u w:val="single"/>
        </w:rPr>
        <w:t>will be important</w:t>
      </w:r>
      <w:r w:rsidRPr="00E458CB">
        <w:rPr>
          <w:u w:val="single"/>
        </w:rPr>
        <w:t xml:space="preserve"> before investments are made</w:t>
      </w:r>
      <w:r w:rsidRPr="00D24D56">
        <w:rPr>
          <w:sz w:val="16"/>
        </w:rPr>
        <w:t xml:space="preserve">. The used binding agent has a significant role in the advice to implement the Compensatiesteen alternative. This means that a further increase in price for the binding agent will lead to a negative net present value and thereby a negative implementation advise. </w:t>
      </w:r>
      <w:r w:rsidRPr="0023767E">
        <w:rPr>
          <w:u w:val="single"/>
        </w:rPr>
        <w:t>Electricity costs are</w:t>
      </w:r>
      <w:r w:rsidRPr="00D24D56">
        <w:rPr>
          <w:sz w:val="16"/>
        </w:rPr>
        <w:t xml:space="preserve"> of </w:t>
      </w:r>
      <w:r w:rsidRPr="0023767E">
        <w:rPr>
          <w:u w:val="single"/>
        </w:rPr>
        <w:t>significant</w:t>
      </w:r>
      <w:r w:rsidRPr="00D24D56">
        <w:rPr>
          <w:sz w:val="16"/>
        </w:rPr>
        <w:t xml:space="preserve"> influence on the formic acid alternative but even free electricity can not guarantee a positive net present value. The other costs involved in the process are currently simply too high to ensure positive outcomes. 60 8. Conclusions and recommendations In this chapter, the conclusions of the research and recommendations will be presented. The results that can answer the main and sub research questions will be included in section 7.1. Based on these conclusions, recommendations will be given to Meerlanden in section 7.2. The main research question that will be answered is: To what extent will the implementation of carbon capture and utilization at small biomass plants be beneficial from the business perspective and the perspective of society? 8.1 Conclusions </w:t>
      </w:r>
      <w:r w:rsidRPr="00B60F4F">
        <w:rPr>
          <w:u w:val="single"/>
        </w:rPr>
        <w:t xml:space="preserve">The objective of the </w:t>
      </w:r>
      <w:r w:rsidRPr="00886B79">
        <w:rPr>
          <w:highlight w:val="green"/>
          <w:u w:val="single"/>
        </w:rPr>
        <w:t>research</w:t>
      </w:r>
      <w:r w:rsidRPr="00B60F4F">
        <w:rPr>
          <w:u w:val="single"/>
        </w:rPr>
        <w:t xml:space="preserve"> was </w:t>
      </w:r>
      <w:r w:rsidRPr="00886B79">
        <w:rPr>
          <w:highlight w:val="green"/>
          <w:u w:val="single"/>
        </w:rPr>
        <w:t>to identify</w:t>
      </w:r>
      <w:r w:rsidRPr="00B60F4F">
        <w:rPr>
          <w:u w:val="single"/>
        </w:rPr>
        <w:t xml:space="preserve"> the </w:t>
      </w:r>
      <w:r w:rsidRPr="00886B79">
        <w:rPr>
          <w:highlight w:val="green"/>
          <w:u w:val="single"/>
        </w:rPr>
        <w:t xml:space="preserve">cost and benefits </w:t>
      </w:r>
      <w:r w:rsidRPr="00712EA7">
        <w:rPr>
          <w:u w:val="single"/>
        </w:rPr>
        <w:t>associated with carbon capture and utilization at</w:t>
      </w:r>
      <w:r w:rsidRPr="00B60F4F">
        <w:rPr>
          <w:u w:val="single"/>
        </w:rPr>
        <w:t xml:space="preserve"> small </w:t>
      </w:r>
      <w:r w:rsidRPr="00712EA7">
        <w:rPr>
          <w:u w:val="single"/>
        </w:rPr>
        <w:t>biomass plants</w:t>
      </w:r>
      <w:r w:rsidRPr="005B4BCD">
        <w:rPr>
          <w:u w:val="single"/>
        </w:rPr>
        <w:t xml:space="preserve">. These results </w:t>
      </w:r>
      <w:r w:rsidRPr="00886B79">
        <w:rPr>
          <w:highlight w:val="green"/>
          <w:u w:val="single"/>
        </w:rPr>
        <w:t>are used to make recommendations</w:t>
      </w:r>
      <w:r w:rsidRPr="005B4BCD">
        <w:rPr>
          <w:u w:val="single"/>
        </w:rPr>
        <w:t xml:space="preserve"> for Meerlanden and the possibilities </w:t>
      </w:r>
      <w:r w:rsidRPr="00886B79">
        <w:rPr>
          <w:highlight w:val="green"/>
          <w:u w:val="single"/>
        </w:rPr>
        <w:t>for carbon capture and utilization at</w:t>
      </w:r>
      <w:r w:rsidRPr="005B4BCD">
        <w:rPr>
          <w:u w:val="single"/>
        </w:rPr>
        <w:t xml:space="preserve"> their </w:t>
      </w:r>
      <w:r w:rsidRPr="00886B79">
        <w:rPr>
          <w:highlight w:val="green"/>
          <w:u w:val="single"/>
        </w:rPr>
        <w:t>biomass plants</w:t>
      </w:r>
      <w:r w:rsidRPr="00D24D56">
        <w:rPr>
          <w:sz w:val="16"/>
        </w:rPr>
        <w:t xml:space="preserve">. Besides the direct recommendations for Meerlanden, the research will give more insight into the opportunities for small scale carbon capture and utilization. As the research is partly based on estimations, assumptions, and involve uncertainties, the results should be used as a basis for further in-depth research. Additional information, that is currently not public, should be used to get results with more certainty. The first sub-question as a start for the research was as follows: </w:t>
      </w:r>
      <w:r w:rsidRPr="00B5764D">
        <w:rPr>
          <w:u w:val="single"/>
        </w:rPr>
        <w:t xml:space="preserve">What are the potential alternatives of carbon utilization for Meerlanden? As carbon capture and utilization is a broad term, </w:t>
      </w:r>
      <w:r w:rsidRPr="00886B79">
        <w:rPr>
          <w:highlight w:val="green"/>
          <w:u w:val="single"/>
        </w:rPr>
        <w:t>specific technologies have advantages and disadvantages</w:t>
      </w:r>
      <w:r w:rsidRPr="00B5764D">
        <w:rPr>
          <w:u w:val="single"/>
        </w:rPr>
        <w:t xml:space="preserve"> depending on the characteristics of the stakeholder</w:t>
      </w:r>
      <w:r w:rsidRPr="00D24D56">
        <w:rPr>
          <w:sz w:val="16"/>
        </w:rPr>
        <w:t xml:space="preserve">. The research did not go further into the carbon capture aspect of the proposed facilities. Frames B.V. provided a suitable technology based on the characteristics of the biomass plant as set by Meerlanden. Along with this technology, they provided information about the investment and operating costs of such a carbon capture installation. A selection of potential carbon utilization technologies was created based on a literature review. All these </w:t>
      </w:r>
      <w:r w:rsidRPr="00F30CAE">
        <w:rPr>
          <w:u w:val="single"/>
        </w:rPr>
        <w:t>carbon utilization alternatives could be viable for small or large scale biomass plants</w:t>
      </w:r>
      <w:r w:rsidRPr="00D24D56">
        <w:rPr>
          <w:sz w:val="16"/>
        </w:rPr>
        <w:t xml:space="preserve">, especially in combination with the carbon capture technology from Frames B.V. With the use of the AHP for the criteria, this selection of carbon utilization has been weighted in an MCA. </w:t>
      </w:r>
      <w:r w:rsidRPr="00886B79">
        <w:rPr>
          <w:highlight w:val="green"/>
          <w:u w:val="single"/>
        </w:rPr>
        <w:t>The best scoring project alternatives were the Compensatiesteen and formic acid</w:t>
      </w:r>
      <w:r w:rsidRPr="00E56CE5">
        <w:rPr>
          <w:u w:val="single"/>
        </w:rPr>
        <w:t xml:space="preserve"> project alternatives</w:t>
      </w:r>
      <w:r w:rsidRPr="00D24D56">
        <w:rPr>
          <w:sz w:val="16"/>
        </w:rPr>
        <w:t xml:space="preserve">. The Compensatiesteen alternative is the only project alternative with long-term carbon storage potential. </w:t>
      </w:r>
      <w:r w:rsidRPr="00E56CE5">
        <w:rPr>
          <w:u w:val="single"/>
        </w:rPr>
        <w:t>As the production process stores 250 kg CO2 per ton of Compensatiesteen, all the captured CO2 from the biomass plant can be stored.</w:t>
      </w:r>
      <w:r w:rsidRPr="00D24D56">
        <w:rPr>
          <w:sz w:val="16"/>
        </w:rPr>
        <w:t xml:space="preserve"> In comparison, </w:t>
      </w:r>
      <w:r w:rsidRPr="00841F2C">
        <w:rPr>
          <w:u w:val="single"/>
        </w:rPr>
        <w:t xml:space="preserve">the </w:t>
      </w:r>
      <w:r w:rsidRPr="00886B79">
        <w:rPr>
          <w:highlight w:val="green"/>
          <w:u w:val="single"/>
        </w:rPr>
        <w:t>other project alternatives will save carbon emissions but</w:t>
      </w:r>
      <w:r w:rsidRPr="00841F2C">
        <w:rPr>
          <w:u w:val="single"/>
        </w:rPr>
        <w:t xml:space="preserve"> the </w:t>
      </w:r>
      <w:r w:rsidRPr="00886B79">
        <w:rPr>
          <w:highlight w:val="green"/>
          <w:u w:val="single"/>
        </w:rPr>
        <w:t>captured CO2 will return to the atmosphere</w:t>
      </w:r>
      <w:r w:rsidRPr="00841F2C">
        <w:rPr>
          <w:u w:val="single"/>
        </w:rPr>
        <w:t xml:space="preserve"> relatively shortly after capture</w:t>
      </w:r>
      <w:r w:rsidRPr="003E5FFA">
        <w:rPr>
          <w:u w:val="single"/>
        </w:rPr>
        <w:t>. Besides the carbon storage potential, it also scored high due to the added value of the production process</w:t>
      </w:r>
      <w:r w:rsidRPr="00D24D56">
        <w:rPr>
          <w:sz w:val="16"/>
        </w:rPr>
        <w:t xml:space="preserve">. </w:t>
      </w:r>
      <w:r w:rsidRPr="00313D8A">
        <w:rPr>
          <w:u w:val="single"/>
        </w:rPr>
        <w:t>This process adds a lot of value to the captured CO2 compared to the delivery of the CO2 to greenhouses</w:t>
      </w:r>
      <w:r w:rsidRPr="000219F9">
        <w:rPr>
          <w:u w:val="single"/>
        </w:rPr>
        <w:t xml:space="preserve">. The </w:t>
      </w:r>
      <w:r w:rsidRPr="00886B79">
        <w:rPr>
          <w:highlight w:val="green"/>
          <w:u w:val="single"/>
        </w:rPr>
        <w:t>formic acid project</w:t>
      </w:r>
      <w:r w:rsidRPr="000219F9">
        <w:rPr>
          <w:u w:val="single"/>
        </w:rPr>
        <w:t xml:space="preserve"> alternative </w:t>
      </w:r>
      <w:r w:rsidRPr="00886B79">
        <w:rPr>
          <w:highlight w:val="green"/>
          <w:u w:val="single"/>
        </w:rPr>
        <w:t>has the most added value</w:t>
      </w:r>
      <w:r w:rsidRPr="000219F9">
        <w:rPr>
          <w:u w:val="single"/>
        </w:rPr>
        <w:t xml:space="preserve"> per ton of CO2</w:t>
      </w:r>
      <w:r w:rsidRPr="00D24D56">
        <w:rPr>
          <w:sz w:val="16"/>
        </w:rPr>
        <w:t>. The main reason for this is due to the production process and the fact that it can be used as a hydrogen carrier. This is especially interesting for Meerlanden as they are searching for methods to make their waste collection more sustainable. Their current generation of garbage trucks uses CNG, generated from their green energy factory. Even though the source is renewable, this method still causes the emission of exhaust gasses in urban areas. To replace these vehicles</w:t>
      </w:r>
      <w:r w:rsidRPr="00EB1D78">
        <w:rPr>
          <w:u w:val="single"/>
        </w:rPr>
        <w:t xml:space="preserve">, formic acid-based vehicles </w:t>
      </w:r>
      <w:r w:rsidRPr="00886B79">
        <w:rPr>
          <w:highlight w:val="green"/>
          <w:u w:val="single"/>
        </w:rPr>
        <w:t>could</w:t>
      </w:r>
      <w:r w:rsidRPr="00EB1D78">
        <w:rPr>
          <w:u w:val="single"/>
        </w:rPr>
        <w:t xml:space="preserve"> </w:t>
      </w:r>
      <w:r w:rsidRPr="00886B79">
        <w:rPr>
          <w:highlight w:val="green"/>
          <w:u w:val="single"/>
        </w:rPr>
        <w:t>limit</w:t>
      </w:r>
      <w:r w:rsidRPr="00EB1D78">
        <w:rPr>
          <w:u w:val="single"/>
        </w:rPr>
        <w:t xml:space="preserve"> inner-city </w:t>
      </w:r>
      <w:r w:rsidRPr="00886B79">
        <w:rPr>
          <w:highlight w:val="green"/>
          <w:u w:val="single"/>
        </w:rPr>
        <w:t>pollution and make</w:t>
      </w:r>
      <w:r w:rsidRPr="00EB1D78">
        <w:rPr>
          <w:u w:val="single"/>
        </w:rPr>
        <w:t xml:space="preserve"> their </w:t>
      </w:r>
      <w:r w:rsidRPr="00886B79">
        <w:rPr>
          <w:highlight w:val="green"/>
          <w:u w:val="single"/>
        </w:rPr>
        <w:t>process</w:t>
      </w:r>
      <w:r w:rsidRPr="00EB1D78">
        <w:rPr>
          <w:u w:val="single"/>
        </w:rPr>
        <w:t xml:space="preserve"> more </w:t>
      </w:r>
      <w:r w:rsidRPr="00886B79">
        <w:rPr>
          <w:highlight w:val="green"/>
          <w:u w:val="single"/>
        </w:rPr>
        <w:t>renewable</w:t>
      </w:r>
      <w:r w:rsidRPr="00D24D56">
        <w:rPr>
          <w:sz w:val="16"/>
        </w:rPr>
        <w:t xml:space="preserve">. </w:t>
      </w:r>
    </w:p>
    <w:p w14:paraId="1BD3C7D0" w14:textId="77777777" w:rsidR="00CC2CC5" w:rsidRDefault="00CC2CC5" w:rsidP="00CC2CC5"/>
    <w:p w14:paraId="26A52C83" w14:textId="77777777" w:rsidR="00CC2CC5" w:rsidRDefault="00CC2CC5" w:rsidP="00CC2CC5">
      <w:pPr>
        <w:pStyle w:val="Heading4"/>
      </w:pPr>
      <w:r>
        <w:t>Cost benefit analysis is k2 the economy and democracy</w:t>
      </w:r>
    </w:p>
    <w:p w14:paraId="29A96F0A" w14:textId="77777777" w:rsidR="00CC2CC5" w:rsidRPr="00017BFE" w:rsidRDefault="00CC2CC5" w:rsidP="00CC2CC5">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2" w:history="1">
        <w:r w:rsidRPr="004A6607">
          <w:rPr>
            <w:rStyle w:val="Hyperlink"/>
          </w:rPr>
          <w:t>https://techliberation.com/wp-content/uploads/2012/11/39.sunstein.pdf</w:t>
        </w:r>
      </w:hyperlink>
      <w:r>
        <w:t xml:space="preserve"> //JK</w:t>
      </w:r>
    </w:p>
    <w:p w14:paraId="6415971E" w14:textId="77777777" w:rsidR="00CC2CC5" w:rsidRPr="00017BFE" w:rsidRDefault="00CC2CC5" w:rsidP="00CC2CC5">
      <w:pPr>
        <w:rPr>
          <w:sz w:val="14"/>
        </w:rPr>
      </w:pPr>
      <w:r w:rsidRPr="00017BFE">
        <w:rPr>
          <w:sz w:val="14"/>
        </w:rPr>
        <w:t xml:space="preserve">In light of these considerations, </w:t>
      </w:r>
      <w:r w:rsidRPr="009F18CB">
        <w:rPr>
          <w:rStyle w:val="StyleUnderline"/>
        </w:rPr>
        <w:t>a new and general</w:t>
      </w:r>
      <w:r>
        <w:rPr>
          <w:rStyle w:val="StyleUnderline"/>
        </w:rPr>
        <w:t xml:space="preserve"> </w:t>
      </w:r>
      <w:r w:rsidRPr="009F18CB">
        <w:rPr>
          <w:rStyle w:val="StyleUnderline"/>
        </w:rPr>
        <w:t>requirement of</w:t>
      </w:r>
      <w:r w:rsidRPr="00017BFE">
        <w:rPr>
          <w:sz w:val="14"/>
        </w:rPr>
        <w:t xml:space="preserve"> (some form of) </w:t>
      </w:r>
      <w:r w:rsidRPr="009F18CB">
        <w:rPr>
          <w:rStyle w:val="StyleUnderline"/>
        </w:rPr>
        <w:t>cost-benefit balancing seems a</w:t>
      </w:r>
      <w:r>
        <w:rPr>
          <w:rStyle w:val="StyleUnderline"/>
        </w:rPr>
        <w:t xml:space="preserve"> </w:t>
      </w:r>
      <w:r w:rsidRPr="009F18CB">
        <w:rPr>
          <w:rStyle w:val="StyleUnderline"/>
        </w:rPr>
        <w:t>natural corrective</w:t>
      </w:r>
      <w:r w:rsidRPr="00017BFE">
        <w:rPr>
          <w:sz w:val="14"/>
        </w:rPr>
        <w:t>. Indeed, such a requirement might well incorporate an understanding of many of the lessons learned in the last decades about problems in the regulatory state.</w:t>
      </w:r>
    </w:p>
    <w:p w14:paraId="2B53347D" w14:textId="77777777" w:rsidR="00CC2CC5" w:rsidRPr="00017BFE" w:rsidRDefault="00CC2CC5" w:rsidP="00CC2CC5">
      <w:pPr>
        <w:rPr>
          <w:sz w:val="14"/>
        </w:rPr>
      </w:pPr>
      <w:r w:rsidRPr="00017BFE">
        <w:rPr>
          <w:sz w:val="14"/>
        </w:rPr>
        <w:t xml:space="preserve">Thus </w:t>
      </w:r>
      <w:r w:rsidRPr="009F18CB">
        <w:rPr>
          <w:rStyle w:val="StyleUnderline"/>
        </w:rPr>
        <w:t>an effort at balancing relevant variables should promote better priority-setting, by ensuring that agencies proceed against the problems that are most severe and that can be reduced at least cost</w:t>
      </w:r>
      <w:r w:rsidRPr="00017BFE">
        <w:rPr>
          <w:sz w:val="14"/>
        </w:rPr>
        <w:t xml:space="preserve">. To the extent that inefficiencies are produced by attention to relatively small problems at the expense of large ones, </w:t>
      </w:r>
      <w:r w:rsidRPr="009F18CB">
        <w:rPr>
          <w:rStyle w:val="Emphasis"/>
        </w:rPr>
        <w:t>cost-benefit balancing holds out a great deal of promise</w:t>
      </w:r>
      <w:r w:rsidRPr="00017BFE">
        <w:rPr>
          <w:sz w:val="14"/>
        </w:rPr>
        <w:t xml:space="preserve">. Indeed, </w:t>
      </w:r>
      <w:r w:rsidRPr="009F18CB">
        <w:rPr>
          <w:rStyle w:val="StyleUnderline"/>
        </w:rPr>
        <w:t>if it is clear that an agency is devoting public and private resources to small problems</w:t>
      </w:r>
      <w:r w:rsidRPr="00017BFE">
        <w:rPr>
          <w:sz w:val="14"/>
        </w:rPr>
        <w:t xml:space="preserve">, perhaps </w:t>
      </w:r>
      <w:r w:rsidRPr="009F18CB">
        <w:rPr>
          <w:rStyle w:val="StyleUnderline"/>
        </w:rPr>
        <w:t xml:space="preserve">its action will be invalidated in court. </w:t>
      </w:r>
      <w:r w:rsidRPr="009F18CB">
        <w:rPr>
          <w:rStyle w:val="Emphasis"/>
        </w:rPr>
        <w:t>There is certainly precedent</w:t>
      </w:r>
      <w:r w:rsidRPr="009F18CB">
        <w:rPr>
          <w:rStyle w:val="StyleUnderline"/>
        </w:rPr>
        <w:t xml:space="preserve"> for this sort of result, which should impose good ex ante incentives on administrators and also work against “regulation by anecdote” and pressures</w:t>
      </w:r>
      <w:r w:rsidRPr="00017BFE">
        <w:rPr>
          <w:sz w:val="14"/>
        </w:rPr>
        <w:t xml:space="preserve"> imposed by wellorganized private groups. And when the result of cost-benefit analysis shows significant expense for little gain, perhaps Congress and the President will attempt to provide correctives.</w:t>
      </w:r>
    </w:p>
    <w:p w14:paraId="32116A0A" w14:textId="77777777" w:rsidR="00CC2CC5" w:rsidRPr="009F18CB" w:rsidRDefault="00CC2CC5" w:rsidP="00CC2CC5">
      <w:pPr>
        <w:rPr>
          <w:rStyle w:val="StyleUnderline"/>
        </w:rPr>
      </w:pPr>
      <w:r w:rsidRPr="009F18CB">
        <w:rPr>
          <w:rStyle w:val="StyleUnderline"/>
        </w:rPr>
        <w:t>Movement in the direction of cost-benefit balancing should simultaneously place a premium on acquisition of further information on the central matters</w:t>
      </w:r>
      <w:r w:rsidRPr="00017BFE">
        <w:rPr>
          <w:sz w:val="14"/>
        </w:rPr>
        <w:t xml:space="preserve">: How dangerous, exactly, is (for example) dioxin or benzene? And what would be the realworld consequences of trying to reduce or eliminate exposure to it? </w:t>
      </w:r>
      <w:r w:rsidRPr="009F18CB">
        <w:rPr>
          <w:rStyle w:val="StyleUnderline"/>
        </w:rPr>
        <w:t xml:space="preserve">If we are interested in </w:t>
      </w:r>
      <w:r w:rsidRPr="009F18CB">
        <w:rPr>
          <w:rStyle w:val="Emphasis"/>
        </w:rPr>
        <w:t>the most effective</w:t>
      </w:r>
      <w:r w:rsidRPr="009F18CB">
        <w:rPr>
          <w:rStyle w:val="StyleUnderline"/>
        </w:rPr>
        <w:t xml:space="preserve"> and efficient tools, costbenefit analysis seems especially desirable</w:t>
      </w:r>
      <w:r w:rsidRPr="00017BFE">
        <w:rPr>
          <w:sz w:val="14"/>
        </w:rPr>
        <w:t xml:space="preserve">. And if, as seems clear, </w:t>
      </w:r>
      <w:r w:rsidRPr="009F18CB">
        <w:rPr>
          <w:rStyle w:val="StyleUnderline"/>
        </w:rPr>
        <w:t xml:space="preserve">regulators could often produce </w:t>
      </w:r>
      <w:r w:rsidRPr="009F18CB">
        <w:rPr>
          <w:rStyle w:val="Emphasis"/>
        </w:rPr>
        <w:t>the same degree of environmental gain</w:t>
      </w:r>
      <w:r w:rsidRPr="009F18CB">
        <w:rPr>
          <w:rStyle w:val="StyleUnderline"/>
        </w:rPr>
        <w:t xml:space="preserve"> through economic incentives </w:t>
      </w:r>
      <w:r w:rsidRPr="00017BFE">
        <w:rPr>
          <w:sz w:val="14"/>
        </w:rPr>
        <w:t>rather than command and control—and do so at a greatly reduced price—</w:t>
      </w:r>
      <w:r w:rsidRPr="009F18CB">
        <w:rPr>
          <w:rStyle w:val="Emphasis"/>
        </w:rPr>
        <w:t>c</w:t>
      </w:r>
      <w:r w:rsidRPr="00017BFE">
        <w:rPr>
          <w:sz w:val="14"/>
        </w:rPr>
        <w:t>ost-</w:t>
      </w:r>
      <w:r w:rsidRPr="009F18CB">
        <w:rPr>
          <w:rStyle w:val="Emphasis"/>
        </w:rPr>
        <w:t>b</w:t>
      </w:r>
      <w:r w:rsidRPr="00017BFE">
        <w:rPr>
          <w:sz w:val="14"/>
        </w:rPr>
        <w:t xml:space="preserve">enefit </w:t>
      </w:r>
      <w:r w:rsidRPr="009F18CB">
        <w:rPr>
          <w:rStyle w:val="Emphasis"/>
        </w:rPr>
        <w:t>a</w:t>
      </w:r>
      <w:r w:rsidRPr="00017BFE">
        <w:rPr>
          <w:sz w:val="14"/>
        </w:rPr>
        <w:t xml:space="preserve">nalysis (accompanied by a requirement of cost-effectiveness, which it should be understood to include) </w:t>
      </w:r>
      <w:r w:rsidRPr="009F18CB">
        <w:rPr>
          <w:rStyle w:val="StyleUnderline"/>
        </w:rPr>
        <w:t>ought to spur a shift toward economic incentives</w:t>
      </w:r>
      <w:r w:rsidRPr="00017BFE">
        <w:rPr>
          <w:sz w:val="14"/>
        </w:rPr>
        <w:t xml:space="preserve">. We have seen that a large part of the case for performance standards and for economic incentives is that they accomplish regulatory goals at lower cost. Hence </w:t>
      </w:r>
      <w:r w:rsidRPr="009F18CB">
        <w:rPr>
          <w:rStyle w:val="StyleUnderline"/>
        </w:rPr>
        <w:t>a willingness to examine costs and benefits migh</w:t>
      </w:r>
      <w:r w:rsidRPr="00017BFE">
        <w:rPr>
          <w:sz w:val="14"/>
        </w:rPr>
        <w:t xml:space="preserve">t well </w:t>
      </w:r>
      <w:r w:rsidRPr="009F18CB">
        <w:rPr>
          <w:rStyle w:val="StyleUnderline"/>
        </w:rPr>
        <w:t>lead to</w:t>
      </w:r>
      <w:r w:rsidRPr="00017BFE">
        <w:rPr>
          <w:sz w:val="14"/>
        </w:rPr>
        <w:t xml:space="preserve"> the selection of </w:t>
      </w:r>
      <w:r w:rsidRPr="009F18CB">
        <w:rPr>
          <w:rStyle w:val="StyleUnderline"/>
        </w:rPr>
        <w:t>better tools for accomplishing regulatory goals.</w:t>
      </w:r>
    </w:p>
    <w:p w14:paraId="611DD82C" w14:textId="77777777" w:rsidR="00CC2CC5" w:rsidRPr="00017BFE" w:rsidRDefault="00CC2CC5" w:rsidP="00CC2CC5">
      <w:pPr>
        <w:rPr>
          <w:sz w:val="14"/>
        </w:rPr>
      </w:pPr>
      <w:r w:rsidRPr="00017BFE">
        <w:rPr>
          <w:sz w:val="14"/>
        </w:rPr>
        <w:t xml:space="preserve">Thus far I have been emphasizing economic considerations; but </w:t>
      </w:r>
      <w:r w:rsidRPr="009F18CB">
        <w:rPr>
          <w:rStyle w:val="StyleUnderline"/>
        </w:rPr>
        <w:t>there is also</w:t>
      </w:r>
      <w:r w:rsidRPr="00017BFE">
        <w:rPr>
          <w:sz w:val="14"/>
        </w:rPr>
        <w:t xml:space="preserve">, and less familiarly, </w:t>
      </w:r>
      <w:r w:rsidRPr="009F18CB">
        <w:rPr>
          <w:rStyle w:val="StyleUnderline"/>
        </w:rPr>
        <w:t>a democratic argument for making cost-benefit analysis a central feature of regulatory government</w:t>
      </w:r>
      <w:r w:rsidRPr="00017BFE">
        <w:rPr>
          <w:sz w:val="14"/>
        </w:rPr>
        <w:t xml:space="preserve">. As has become increasingly clear, the American administrative state is far from a democratic utopia. Existing regulatory outcomes do not reflect the deliberative judgments of the polity. On the contrary, </w:t>
      </w:r>
      <w:r w:rsidRPr="009F18CB">
        <w:rPr>
          <w:rStyle w:val="StyleUnderline"/>
        </w:rPr>
        <w:t>many current outcomes are a product of a odd combination of factors</w:t>
      </w:r>
      <w:r w:rsidRPr="00017BFE">
        <w:rPr>
          <w:sz w:val="14"/>
        </w:rPr>
        <w:t>: interest-group power, selective attention, “legislation by anecdote,” media sensationalism, entrepreneurial legislators, and sheer lack of information.</w:t>
      </w:r>
    </w:p>
    <w:p w14:paraId="50FB0852" w14:textId="77777777" w:rsidR="00CC2CC5" w:rsidRPr="00017BFE" w:rsidRDefault="00CC2CC5" w:rsidP="00CC2CC5">
      <w:pPr>
        <w:rPr>
          <w:sz w:val="14"/>
        </w:rPr>
      </w:pPr>
      <w:r w:rsidRPr="00017BFE">
        <w:rPr>
          <w:sz w:val="14"/>
        </w:rPr>
        <w:t xml:space="preserve">To offer a brief overview of a complex story: Many </w:t>
      </w:r>
      <w:r w:rsidRPr="009F18CB">
        <w:rPr>
          <w:rStyle w:val="Emphasis"/>
        </w:rPr>
        <w:t>regulatory outcomes are driven by</w:t>
      </w:r>
      <w:r w:rsidRPr="009F18CB">
        <w:rPr>
          <w:rStyle w:val="StyleUnderline"/>
        </w:rPr>
        <w:t xml:space="preserve"> well-organized </w:t>
      </w:r>
      <w:r w:rsidRPr="009F18CB">
        <w:rPr>
          <w:rStyle w:val="Emphasis"/>
        </w:rPr>
        <w:t>groups with a</w:t>
      </w:r>
      <w:r w:rsidRPr="009F18CB">
        <w:rPr>
          <w:rStyle w:val="StyleUnderline"/>
        </w:rPr>
        <w:t xml:space="preserve"> </w:t>
      </w:r>
      <w:r w:rsidRPr="009F18CB">
        <w:rPr>
          <w:rStyle w:val="Emphasis"/>
        </w:rPr>
        <w:t>stake in certain technologies</w:t>
      </w:r>
      <w:r w:rsidRPr="009F18CB">
        <w:rPr>
          <w:rStyle w:val="StyleUnderline"/>
        </w:rPr>
        <w:t>.</w:t>
      </w:r>
      <w:r w:rsidRPr="00017BFE">
        <w:rPr>
          <w:sz w:val="14"/>
        </w:rPr>
        <w:t xml:space="preserve"> Hence regulations issued with a publicspirited veneer often reflect factional power; and </w:t>
      </w:r>
      <w:r w:rsidRPr="009F18CB">
        <w:rPr>
          <w:rStyle w:val="StyleUnderline"/>
        </w:rPr>
        <w:t>the democratic process never focuses on whether these outcomes are actually justified in terms of their consequences</w:t>
      </w:r>
      <w:r w:rsidRPr="00017BFE">
        <w:rPr>
          <w:sz w:val="14"/>
        </w:rPr>
        <w:t xml:space="preserve">. Consider, for example, the infamous requirement of “scrubbing” for all coal, clean and dirty, a requirement that failed any reasonable effort at costbenefit balancing, but that was favored by the producers of especially dirty eastern coal. The basic phenomenon has been replicated with interest group maneuvering over fuels to be favored in the most recent Clean Air Act. </w:t>
      </w:r>
      <w:r w:rsidRPr="00017BFE">
        <w:rPr>
          <w:rStyle w:val="StyleUnderline"/>
        </w:rPr>
        <w:t>If cost-benefit analysis had been required</w:t>
      </w:r>
      <w:r w:rsidRPr="00017BFE">
        <w:rPr>
          <w:sz w:val="14"/>
        </w:rPr>
        <w:t xml:space="preserve">, the special-interest character of the </w:t>
      </w:r>
      <w:r w:rsidRPr="00017BFE">
        <w:rPr>
          <w:rStyle w:val="StyleUnderline"/>
        </w:rPr>
        <w:t>legislation would have been transparent</w:t>
      </w:r>
      <w:r w:rsidRPr="00017BFE">
        <w:rPr>
          <w:sz w:val="14"/>
        </w:rPr>
        <w:t xml:space="preserve"> or somewhat at least harder to conceal.</w:t>
      </w:r>
    </w:p>
    <w:p w14:paraId="497B00B0" w14:textId="77777777" w:rsidR="00CC2CC5" w:rsidRPr="00017BFE" w:rsidRDefault="00CC2CC5" w:rsidP="00CC2CC5">
      <w:pPr>
        <w:rPr>
          <w:sz w:val="14"/>
        </w:rPr>
      </w:pPr>
      <w:r w:rsidRPr="00017BFE">
        <w:rPr>
          <w:sz w:val="14"/>
        </w:rPr>
        <w:t xml:space="preserve">There is another point. </w:t>
      </w:r>
      <w:r w:rsidRPr="00017BFE">
        <w:rPr>
          <w:rStyle w:val="StyleUnderline"/>
        </w:rPr>
        <w:t xml:space="preserve">It is very important for regulation to be subject to </w:t>
      </w:r>
      <w:r w:rsidRPr="00017BFE">
        <w:rPr>
          <w:rStyle w:val="Emphasis"/>
        </w:rPr>
        <w:t>review by representatives and citizens</w:t>
      </w:r>
      <w:r w:rsidRPr="00017BFE">
        <w:rPr>
          <w:sz w:val="14"/>
        </w:rPr>
        <w:t xml:space="preserve"> with an understanding of its consequences. And whether or not the outcome of cost-benefit analysis should be the exclusive criterion for decision, it is clear that </w:t>
      </w:r>
      <w:r w:rsidRPr="00017BFE">
        <w:rPr>
          <w:rStyle w:val="StyleUnderline"/>
        </w:rPr>
        <w:t>public judgments can be better informed if people know what the costs and the benefits are</w:t>
      </w:r>
      <w:r w:rsidRPr="00017BFE">
        <w:rPr>
          <w:sz w:val="14"/>
        </w:rPr>
        <w:t xml:space="preserve">. Many statutes emerge because of an anecdote, or a few anecdotes, that are taken to require a full and immediate response.  </w:t>
      </w:r>
      <w:r w:rsidRPr="00017BFE">
        <w:rPr>
          <w:rStyle w:val="StyleUnderline"/>
        </w:rPr>
        <w:t>Anecdote-driven statutes</w:t>
      </w:r>
      <w:r w:rsidRPr="00017BFE">
        <w:rPr>
          <w:sz w:val="14"/>
        </w:rPr>
        <w:t xml:space="preserve"> may well </w:t>
      </w:r>
      <w:r w:rsidRPr="00017BFE">
        <w:rPr>
          <w:rStyle w:val="StyleUnderline"/>
        </w:rPr>
        <w:t>fail to produce social benefits on balance</w:t>
      </w:r>
      <w:r w:rsidRPr="00017BFE">
        <w:rPr>
          <w:sz w:val="14"/>
        </w:rPr>
        <w:t xml:space="preserve">; in any case it would be desirable to know whether they do so. Cost-benefit analysis is a way of helping to frame that issue. </w:t>
      </w:r>
      <w:r w:rsidRPr="00017BFE">
        <w:rPr>
          <w:rStyle w:val="StyleUnderline"/>
        </w:rPr>
        <w:t>From the democratic point of view,</w:t>
      </w:r>
      <w:r w:rsidRPr="00017BFE">
        <w:rPr>
          <w:sz w:val="14"/>
        </w:rPr>
        <w:t xml:space="preserve"> then, </w:t>
      </w:r>
      <w:r w:rsidRPr="00017BFE">
        <w:rPr>
          <w:rStyle w:val="StyleUnderline"/>
        </w:rPr>
        <w:t>cost-benefit analysis might be favored on the ground that as compared to the status quo</w:t>
      </w:r>
      <w:r w:rsidRPr="00017BFE">
        <w:rPr>
          <w:sz w:val="14"/>
        </w:rPr>
        <w:t>, it is likely to reduce interest group power over the administrative state and at the same time to bring relevant issues into the open.</w:t>
      </w:r>
    </w:p>
    <w:p w14:paraId="0ED6440C" w14:textId="77777777" w:rsidR="00CC2CC5" w:rsidRDefault="00CC2CC5" w:rsidP="00CC2CC5">
      <w:pPr>
        <w:pStyle w:val="Heading4"/>
      </w:pPr>
      <w:r>
        <w:t xml:space="preserve">Open CBA good </w:t>
      </w:r>
      <w:r>
        <w:sym w:font="Wingdings" w:char="F04A"/>
      </w:r>
    </w:p>
    <w:p w14:paraId="4CFD273F" w14:textId="77777777" w:rsidR="00CC2CC5" w:rsidRPr="00241F8D" w:rsidRDefault="00CC2CC5" w:rsidP="00CC2CC5">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3" w:history="1">
        <w:r w:rsidRPr="004A6607">
          <w:rPr>
            <w:rStyle w:val="Hyperlink"/>
          </w:rPr>
          <w:t>https://techliberation.com/wp-content/uploads/2012/11/39.sunstein.pdf</w:t>
        </w:r>
      </w:hyperlink>
      <w:r>
        <w:t xml:space="preserve"> //JK</w:t>
      </w:r>
    </w:p>
    <w:p w14:paraId="26D78025" w14:textId="77777777" w:rsidR="00CC2CC5" w:rsidRPr="00241F8D" w:rsidRDefault="00CC2CC5" w:rsidP="00CC2CC5">
      <w:pPr>
        <w:rPr>
          <w:rStyle w:val="StyleUnderline"/>
        </w:rPr>
      </w:pPr>
      <w:r w:rsidRPr="00241F8D">
        <w:rPr>
          <w:sz w:val="14"/>
        </w:rPr>
        <w:t xml:space="preserve">In legislative proposals dealing with cost-benefit analysis, almost no guidance has been offered on the crucial issue of how to value relevant variables. For this reason the provisions look highly substantive but are in fact largely procedural. Without guidance to constrain valuation, </w:t>
      </w:r>
      <w:r w:rsidRPr="00241F8D">
        <w:rPr>
          <w:rStyle w:val="StyleUnderline"/>
        </w:rPr>
        <w:t>a requirement of cost-benefit analysis is quite open-ended.</w:t>
      </w:r>
    </w:p>
    <w:p w14:paraId="345BC044" w14:textId="77777777" w:rsidR="00CC2CC5" w:rsidRDefault="00CC2CC5" w:rsidP="00CC2CC5">
      <w:pPr>
        <w:rPr>
          <w:sz w:val="14"/>
        </w:rPr>
      </w:pPr>
      <w:r w:rsidRPr="00241F8D">
        <w:rPr>
          <w:sz w:val="14"/>
        </w:rPr>
        <w:t xml:space="preserve">To be sure, it would be possible to conclude </w:t>
      </w:r>
      <w:r w:rsidRPr="00241F8D">
        <w:rPr>
          <w:rStyle w:val="StyleUnderline"/>
        </w:rPr>
        <w:t>that Congress should restrict itself to a call for cost-benefit analysis and leave the details to agencies</w:t>
      </w:r>
      <w:r w:rsidRPr="00241F8D">
        <w:rPr>
          <w:sz w:val="14"/>
        </w:rPr>
        <w:t xml:space="preserve">. Perhaps Congress lacks the detailed understanding that would enable it to answer the more specific questions. Moreover, an </w:t>
      </w:r>
      <w:r w:rsidRPr="00241F8D">
        <w:rPr>
          <w:rStyle w:val="StyleUnderline"/>
        </w:rPr>
        <w:t>open-ended mandate would certainly not be meaningless. It would send agencies a signal about the need for balancing a range of considerations,</w:t>
      </w:r>
      <w:r w:rsidRPr="00241F8D">
        <w:rPr>
          <w:sz w:val="14"/>
        </w:rPr>
        <w:t xml:space="preserve"> and any such procedural requirement will affect outcomes. Courts may invalidate outcomes that, by general understandings, seem out of line with existing practice or too absolutist. Certainly there is a difference between agency behavior under balancing statutes and agency behavior under statutes that forbid balancing. But those concerned about administrative discretion would urge some greater guidance from the national legislature. I offer two suggestions here.</w:t>
      </w:r>
    </w:p>
    <w:p w14:paraId="3EEBCCB7" w14:textId="77777777" w:rsidR="00CC2CC5" w:rsidRDefault="00CC2CC5" w:rsidP="00CC2CC5">
      <w:pPr>
        <w:rPr>
          <w:sz w:val="14"/>
        </w:rPr>
      </w:pPr>
    </w:p>
    <w:p w14:paraId="7719646A" w14:textId="77777777" w:rsidR="00CC2CC5" w:rsidRDefault="00CC2CC5" w:rsidP="00CC2CC5">
      <w:pPr>
        <w:pStyle w:val="Heading4"/>
      </w:pPr>
      <w:r>
        <w:t>Including factors about the risk in cost benefit analysis solves</w:t>
      </w:r>
    </w:p>
    <w:p w14:paraId="242E31D8" w14:textId="77777777" w:rsidR="00CC2CC5" w:rsidRPr="00E24736" w:rsidRDefault="00CC2CC5" w:rsidP="00CC2CC5">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4" w:history="1">
        <w:r w:rsidRPr="004A6607">
          <w:rPr>
            <w:rStyle w:val="Hyperlink"/>
          </w:rPr>
          <w:t>https://techliberation.com/wp-content/uploads/2012/11/39.sunstein.pdf</w:t>
        </w:r>
      </w:hyperlink>
      <w:r>
        <w:t xml:space="preserve"> //JK</w:t>
      </w:r>
    </w:p>
    <w:p w14:paraId="1B3ADE59" w14:textId="77777777" w:rsidR="00CC2CC5" w:rsidRPr="00E24736" w:rsidRDefault="00CC2CC5" w:rsidP="00CC2CC5">
      <w:pPr>
        <w:rPr>
          <w:sz w:val="14"/>
        </w:rPr>
      </w:pPr>
      <w:r w:rsidRPr="00E24736">
        <w:rPr>
          <w:sz w:val="14"/>
        </w:rPr>
        <w:t xml:space="preserve">An important fact here has been encountered in Part I: </w:t>
      </w:r>
      <w:r w:rsidRPr="00241F8D">
        <w:rPr>
          <w:rStyle w:val="StyleUnderline"/>
        </w:rPr>
        <w:t>People</w:t>
      </w:r>
      <w:r w:rsidRPr="00E24736">
        <w:rPr>
          <w:sz w:val="14"/>
        </w:rPr>
        <w:t xml:space="preserve"> </w:t>
      </w:r>
      <w:r w:rsidRPr="00241F8D">
        <w:rPr>
          <w:rStyle w:val="StyleUnderline"/>
        </w:rPr>
        <w:t>care</w:t>
      </w:r>
      <w:r w:rsidRPr="00E24736">
        <w:rPr>
          <w:sz w:val="14"/>
        </w:rPr>
        <w:t xml:space="preserve"> not simply about aggregate amount of lives lived, but also </w:t>
      </w:r>
      <w:r w:rsidRPr="00241F8D">
        <w:rPr>
          <w:rStyle w:val="StyleUnderline"/>
        </w:rPr>
        <w:t>about a range of factors involving the nature of the particular risk</w:t>
      </w:r>
      <w:r w:rsidRPr="00E24736">
        <w:rPr>
          <w:sz w:val="14"/>
        </w:rPr>
        <w:t xml:space="preserve">. For most people, among the most salient contextual features are: () </w:t>
      </w:r>
      <w:r w:rsidRPr="00241F8D">
        <w:rPr>
          <w:rStyle w:val="StyleUnderline"/>
        </w:rPr>
        <w:t>the catastrophic nature of the risk</w:t>
      </w:r>
      <w:r w:rsidRPr="00E24736">
        <w:rPr>
          <w:sz w:val="14"/>
        </w:rPr>
        <w:t xml:space="preserve">; () </w:t>
      </w:r>
      <w:r w:rsidRPr="00241F8D">
        <w:rPr>
          <w:rStyle w:val="StyleUnderline"/>
        </w:rPr>
        <w:t>whether the risk is uncontrollable</w:t>
      </w:r>
      <w:r w:rsidRPr="00E24736">
        <w:rPr>
          <w:sz w:val="14"/>
        </w:rPr>
        <w:t xml:space="preserve">; () </w:t>
      </w:r>
      <w:r w:rsidRPr="00241F8D">
        <w:rPr>
          <w:rStyle w:val="StyleUnderline"/>
        </w:rPr>
        <w:t>whether the risk involves irretrievable or permanent losses; () whether the risk is voluntarily incurred; () how equitably distributed the danger is or how concentrated on</w:t>
      </w:r>
      <w:r w:rsidRPr="00E24736">
        <w:rPr>
          <w:sz w:val="14"/>
        </w:rPr>
        <w:t xml:space="preserve"> identifiable, </w:t>
      </w:r>
      <w:r w:rsidRPr="00241F8D">
        <w:rPr>
          <w:rStyle w:val="StyleUnderline"/>
        </w:rPr>
        <w:t>innocent, or traditionally disadvantaged victims</w:t>
      </w:r>
      <w:r w:rsidRPr="00E24736">
        <w:rPr>
          <w:sz w:val="14"/>
        </w:rPr>
        <w:t xml:space="preserve">; () </w:t>
      </w:r>
      <w:r w:rsidRPr="00241F8D">
        <w:rPr>
          <w:rStyle w:val="StyleUnderline"/>
        </w:rPr>
        <w:t>how well understood the risk in question is</w:t>
      </w:r>
      <w:r w:rsidRPr="00E24736">
        <w:rPr>
          <w:sz w:val="14"/>
        </w:rPr>
        <w:t xml:space="preserve">; () </w:t>
      </w:r>
      <w:r w:rsidRPr="00241F8D">
        <w:rPr>
          <w:rStyle w:val="StyleUnderline"/>
        </w:rPr>
        <w:t>whether the risk would be faced by future generations; and</w:t>
      </w:r>
      <w:r w:rsidRPr="00E24736">
        <w:rPr>
          <w:sz w:val="14"/>
        </w:rPr>
        <w:t xml:space="preserve"> () </w:t>
      </w:r>
      <w:r w:rsidRPr="00241F8D">
        <w:rPr>
          <w:rStyle w:val="StyleUnderline"/>
        </w:rPr>
        <w:t>how familiar the risk is.</w:t>
      </w:r>
      <w:r w:rsidRPr="00E24736">
        <w:rPr>
          <w:sz w:val="14"/>
        </w:rPr>
        <w:t xml:space="preserve"> Many of these factors are reflected in the willingness to pay criterion.</w:t>
      </w:r>
    </w:p>
    <w:p w14:paraId="3C70BC9F" w14:textId="77777777" w:rsidR="00CC2CC5" w:rsidRPr="00AD5537" w:rsidRDefault="00CC2CC5" w:rsidP="00CC2CC5">
      <w:pPr>
        <w:rPr>
          <w:sz w:val="14"/>
        </w:rPr>
      </w:pPr>
      <w:r w:rsidRPr="00E24736">
        <w:rPr>
          <w:rStyle w:val="StyleUnderline"/>
        </w:rPr>
        <w:t>Any required cost-benefit analysis</w:t>
      </w:r>
      <w:r w:rsidRPr="00E24736">
        <w:rPr>
          <w:sz w:val="14"/>
        </w:rPr>
        <w:t xml:space="preserve"> for diverse regulatory agencies </w:t>
      </w:r>
      <w:r w:rsidRPr="00E24736">
        <w:rPr>
          <w:rStyle w:val="StyleUnderline"/>
        </w:rPr>
        <w:t>should reflect these points. Any cost-benefit analysis should</w:t>
      </w:r>
      <w:r w:rsidRPr="00E24736">
        <w:rPr>
          <w:sz w:val="14"/>
        </w:rPr>
        <w:t xml:space="preserve">, moreover, </w:t>
      </w:r>
      <w:r w:rsidRPr="00E24736">
        <w:rPr>
          <w:rStyle w:val="StyleUnderline"/>
        </w:rPr>
        <w:t>be accompanied by a more disaggregated and more qualitative description of the consequences of government action</w:t>
      </w:r>
      <w:r w:rsidRPr="00E24736">
        <w:rPr>
          <w:sz w:val="14"/>
        </w:rPr>
        <w:t xml:space="preserve">, so that Congress and the public can obtain a fuller picture than the crude and misleadingly precise “bottom line” of the costbenefit analysis. This is not at all to deny that it is important to be precise and quantitative when agencies can be precise and quantitative. It is only to say that </w:t>
      </w:r>
      <w:r w:rsidRPr="00E24736">
        <w:rPr>
          <w:rStyle w:val="StyleUnderline"/>
        </w:rPr>
        <w:t>any “bottom line</w:t>
      </w:r>
      <w:r w:rsidRPr="00E24736">
        <w:rPr>
          <w:sz w:val="14"/>
        </w:rPr>
        <w:t xml:space="preserve">” about how to characterize and assess costs and benefits </w:t>
      </w:r>
      <w:r w:rsidRPr="00E24736">
        <w:rPr>
          <w:rStyle w:val="StyleUnderline"/>
        </w:rPr>
        <w:t>will involve judgments about values, not about science</w:t>
      </w:r>
      <w:r w:rsidRPr="00E24736">
        <w:rPr>
          <w:sz w:val="14"/>
        </w:rPr>
        <w:t xml:space="preserve">, and Congress and the public should see what those judgments are. </w:t>
      </w:r>
    </w:p>
    <w:p w14:paraId="4C00F3C2" w14:textId="77777777" w:rsidR="00CC2CC5" w:rsidRDefault="00CC2CC5" w:rsidP="00CC2CC5">
      <w:pPr>
        <w:pStyle w:val="Heading3"/>
      </w:pPr>
      <w:r>
        <w:t>BAT Fails</w:t>
      </w:r>
    </w:p>
    <w:p w14:paraId="5B9424B4" w14:textId="77777777" w:rsidR="00CC2CC5" w:rsidRDefault="00CC2CC5" w:rsidP="00CC2CC5">
      <w:pPr>
        <w:pStyle w:val="Heading4"/>
      </w:pPr>
      <w:r>
        <w:t>best available technology fails – only cost benefit analysis can save monies, prevent unintended consequences, and save lives</w:t>
      </w:r>
    </w:p>
    <w:p w14:paraId="5D50F551" w14:textId="77777777" w:rsidR="00CC2CC5" w:rsidRPr="00D07F93" w:rsidRDefault="00CC2CC5" w:rsidP="00CC2CC5">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5" w:history="1">
        <w:r w:rsidRPr="004A6607">
          <w:rPr>
            <w:rStyle w:val="Hyperlink"/>
          </w:rPr>
          <w:t>https://techliberation.com/wp-content/uploads/2012/11/39.sunstein.pdf</w:t>
        </w:r>
      </w:hyperlink>
      <w:r>
        <w:t xml:space="preserve"> //JK</w:t>
      </w:r>
    </w:p>
    <w:p w14:paraId="05DFFBCC" w14:textId="77777777" w:rsidR="00CC2CC5" w:rsidRPr="00D07F93" w:rsidRDefault="00CC2CC5" w:rsidP="00CC2CC5">
      <w:pPr>
        <w:rPr>
          <w:sz w:val="14"/>
        </w:rPr>
      </w:pPr>
      <w:r w:rsidRPr="00CF2EED">
        <w:rPr>
          <w:rStyle w:val="StyleUnderline"/>
        </w:rPr>
        <w:t>Government should have a presumption in favor of flexible, market-based incentives</w:t>
      </w:r>
      <w:r w:rsidRPr="00D07F93">
        <w:rPr>
          <w:sz w:val="14"/>
        </w:rPr>
        <w:t xml:space="preserve"> rather than rigid commands.</w:t>
      </w:r>
    </w:p>
    <w:p w14:paraId="7CCB6CA4" w14:textId="77777777" w:rsidR="00CC2CC5" w:rsidRPr="00D07F93" w:rsidRDefault="00CC2CC5" w:rsidP="00CC2CC5">
      <w:pPr>
        <w:rPr>
          <w:sz w:val="14"/>
        </w:rPr>
      </w:pPr>
      <w:r w:rsidRPr="00D07F93">
        <w:rPr>
          <w:sz w:val="14"/>
        </w:rPr>
        <w:t xml:space="preserve">Too often government has chosen to regulate through rigid commands that forbid more flexible and cost-effective means for achieving the same goal. In air and water pollution control, </w:t>
      </w:r>
      <w:r w:rsidRPr="00CF2EED">
        <w:rPr>
          <w:rStyle w:val="Emphasis"/>
        </w:rPr>
        <w:t>serious problems are caused by the “best available technology” approach</w:t>
      </w:r>
      <w:r w:rsidRPr="00D07F93">
        <w:rPr>
          <w:sz w:val="14"/>
        </w:rPr>
        <w:t xml:space="preserve">, which mandates control technologies for hundreds or even thousands of firms in an exceptionally diverse nation. </w:t>
      </w:r>
      <w:r w:rsidRPr="00CF2EED">
        <w:rPr>
          <w:rStyle w:val="StyleUnderline"/>
        </w:rPr>
        <w:t xml:space="preserve">Compare market-based systems, which </w:t>
      </w:r>
      <w:r w:rsidRPr="00D07F93">
        <w:rPr>
          <w:sz w:val="14"/>
        </w:rPr>
        <w:t xml:space="preserve">do not mandate particular results but instead </w:t>
      </w:r>
      <w:r w:rsidRPr="00CF2EED">
        <w:rPr>
          <w:rStyle w:val="StyleUnderline"/>
        </w:rPr>
        <w:t>impose costs on those who contribute to social harms.</w:t>
      </w:r>
      <w:r w:rsidRPr="00D07F93">
        <w:rPr>
          <w:sz w:val="14"/>
        </w:rPr>
        <w:t xml:space="preserve"> Consider, for example, a gasoline tax or an emissions trading system, by which people are allocated licenses that they can trade at a market price. </w:t>
      </w:r>
      <w:r w:rsidRPr="00CF2EED">
        <w:rPr>
          <w:rStyle w:val="StyleUnderline"/>
        </w:rPr>
        <w:t xml:space="preserve">Through such strategies, </w:t>
      </w:r>
      <w:r w:rsidRPr="00CF2EED">
        <w:rPr>
          <w:rStyle w:val="Emphasis"/>
        </w:rPr>
        <w:t>billions of dollars might be saved</w:t>
      </w:r>
      <w:r w:rsidRPr="00D07F93">
        <w:rPr>
          <w:sz w:val="14"/>
        </w:rPr>
        <w:t>.</w:t>
      </w:r>
    </w:p>
    <w:p w14:paraId="2313BDE0" w14:textId="77777777" w:rsidR="00CC2CC5" w:rsidRPr="00D07F93" w:rsidRDefault="00CC2CC5" w:rsidP="00CC2CC5">
      <w:pPr>
        <w:rPr>
          <w:sz w:val="14"/>
        </w:rPr>
      </w:pPr>
      <w:r w:rsidRPr="00D07F93">
        <w:rPr>
          <w:sz w:val="14"/>
        </w:rPr>
        <w:t xml:space="preserve">Existing efforts at seeking better regulatory tools are hobbled by the statutory status quo, which sometimes forbids such tools, and which sometimes requires that they be engrafted on a bureaucratically complex system. Thus a  study suggested that </w:t>
      </w:r>
      <w:r w:rsidRPr="00CF2EED">
        <w:rPr>
          <w:rStyle w:val="StyleUnderline"/>
        </w:rPr>
        <w:t>the EPA’s emissions trading program had saved between $525 million and $12 billion per year</w:t>
      </w:r>
      <w:r w:rsidRPr="00D07F93">
        <w:rPr>
          <w:sz w:val="14"/>
        </w:rPr>
        <w:t xml:space="preserve">.  Thus the Clinton Administration calculates that its </w:t>
      </w:r>
      <w:r w:rsidRPr="00CF2EED">
        <w:rPr>
          <w:rStyle w:val="StyleUnderline"/>
        </w:rPr>
        <w:t>market-oriented proposals for amending the Clean Water Act could save between $1 and $12 billion</w:t>
      </w:r>
      <w:r w:rsidRPr="00D07F93">
        <w:rPr>
          <w:sz w:val="14"/>
        </w:rPr>
        <w:t xml:space="preserve"> over alternative approaches. Thus studies show that incentive-based mechanisms for controlling air pollution could have accomplished the same amount at one-quarter the cost.</w:t>
      </w:r>
    </w:p>
    <w:p w14:paraId="4767FC3D" w14:textId="77777777" w:rsidR="00CC2CC5" w:rsidRPr="00560033" w:rsidRDefault="00CC2CC5" w:rsidP="00CC2CC5">
      <w:pPr>
        <w:rPr>
          <w:sz w:val="14"/>
          <w:szCs w:val="14"/>
        </w:rPr>
      </w:pPr>
      <w:r w:rsidRPr="00560033">
        <w:rPr>
          <w:sz w:val="14"/>
          <w:szCs w:val="14"/>
        </w:rPr>
        <w:t>An especially valuable incentive-based approach consists of disclosure of information. Government might disclose risk-related information on its own, as it has in the case of cigarette smoking, or it might require companies to provide such information to workers and consumers. If, for example, companies offer information about risk, consumer and worker behavior will probably be affected. The national government has offered many initiatives in this direction. In particular, the Toxic Release Inventory of the Superfund Amendments appears to have been highly successful, spurring voluntary reductions at relatively low cost, and without requiring governmental mandates. A great deal of work remains to be done in conceiving and designing appropriate informational approaches to risk.</w:t>
      </w:r>
    </w:p>
    <w:p w14:paraId="7B447D09" w14:textId="77777777" w:rsidR="00CC2CC5" w:rsidRPr="00D07F93" w:rsidRDefault="00CC2CC5" w:rsidP="00CC2CC5">
      <w:pPr>
        <w:rPr>
          <w:sz w:val="14"/>
        </w:rPr>
      </w:pPr>
      <w:r w:rsidRPr="00D07F93">
        <w:rPr>
          <w:sz w:val="14"/>
        </w:rPr>
        <w:t xml:space="preserve">. </w:t>
      </w:r>
      <w:r w:rsidRPr="00CF2EED">
        <w:rPr>
          <w:rStyle w:val="StyleUnderline"/>
        </w:rPr>
        <w:t>Government should be aware of</w:t>
      </w:r>
      <w:r w:rsidRPr="00D07F93">
        <w:rPr>
          <w:sz w:val="14"/>
        </w:rPr>
        <w:t xml:space="preserve">, and attempt to counteract, </w:t>
      </w:r>
      <w:r w:rsidRPr="00CF2EED">
        <w:rPr>
          <w:rStyle w:val="StyleUnderline"/>
        </w:rPr>
        <w:t>harmful unintended consequences</w:t>
      </w:r>
      <w:r w:rsidRPr="00D07F93">
        <w:rPr>
          <w:sz w:val="14"/>
        </w:rPr>
        <w:t>.</w:t>
      </w:r>
    </w:p>
    <w:p w14:paraId="0D7DAA0C" w14:textId="77777777" w:rsidR="00CC2CC5" w:rsidRPr="00D07F93" w:rsidRDefault="00CC2CC5" w:rsidP="00CC2CC5">
      <w:pPr>
        <w:rPr>
          <w:sz w:val="14"/>
        </w:rPr>
      </w:pPr>
      <w:r w:rsidRPr="00D07F93">
        <w:rPr>
          <w:sz w:val="14"/>
        </w:rPr>
        <w:t xml:space="preserve">Many regulatory initiatives have unintended harmful consequences, and </w:t>
      </w:r>
      <w:r w:rsidRPr="00CF2EED">
        <w:rPr>
          <w:rStyle w:val="StyleUnderline"/>
        </w:rPr>
        <w:t>under existing institutions, there is no systematic way to ensure that those consequences receive attention</w:t>
      </w:r>
      <w:r w:rsidRPr="00D07F93">
        <w:rPr>
          <w:sz w:val="14"/>
        </w:rPr>
        <w:t>. Hence regulation tends to be based on partial perspectives emerging from close attention to mere pieces of complex problems. Selective attention is a hallmark of almost all current institutional arrangements.</w:t>
      </w:r>
    </w:p>
    <w:p w14:paraId="28F157DE" w14:textId="77777777" w:rsidR="00CC2CC5" w:rsidRPr="00560033" w:rsidRDefault="00CC2CC5" w:rsidP="00CC2CC5">
      <w:pPr>
        <w:rPr>
          <w:sz w:val="14"/>
          <w:szCs w:val="14"/>
        </w:rPr>
      </w:pPr>
      <w:r w:rsidRPr="00560033">
        <w:rPr>
          <w:sz w:val="14"/>
          <w:szCs w:val="14"/>
        </w:rPr>
        <w:t>A particular problem arises from “health-health” tradeoffs, which arise when regulation of one health risk increases another health risk. It is important to ensure that risk regulation does not actually increase risks on balance. Suppose, for example, that elimination of asbestos—a carcinogenic substance—makes cars less safe, because asbestos is the best substance to use in making brake linings. Or suppose that the ban on asbestos encourages companies to use even more dangerous substitutes. It is pervasively true that controls on one risk may increase another risk. Unfortunately, risk regulation is not designed with this problem in mind.</w:t>
      </w:r>
    </w:p>
    <w:p w14:paraId="4DC49A64" w14:textId="77777777" w:rsidR="00CC2CC5" w:rsidRDefault="00CC2CC5" w:rsidP="00CC2CC5">
      <w:pPr>
        <w:rPr>
          <w:rStyle w:val="StyleUnderline"/>
        </w:rPr>
      </w:pPr>
      <w:r w:rsidRPr="00D07F93">
        <w:rPr>
          <w:sz w:val="14"/>
        </w:rPr>
        <w:t xml:space="preserve">There is also an incipient literature suggesting that </w:t>
      </w:r>
      <w:r w:rsidRPr="00CF2EED">
        <w:rPr>
          <w:rStyle w:val="StyleUnderline"/>
        </w:rPr>
        <w:t xml:space="preserve">regulatory expenditures can </w:t>
      </w:r>
      <w:r w:rsidRPr="00D07F93">
        <w:rPr>
          <w:sz w:val="14"/>
        </w:rPr>
        <w:t xml:space="preserve">actually </w:t>
      </w:r>
      <w:r w:rsidRPr="00CF2EED">
        <w:rPr>
          <w:rStyle w:val="StyleUnderline"/>
        </w:rPr>
        <w:t xml:space="preserve">cost lives, since </w:t>
      </w:r>
      <w:r w:rsidRPr="00CF2EED">
        <w:rPr>
          <w:rStyle w:val="Emphasis"/>
        </w:rPr>
        <w:t>regulatory expenditures can produce greater</w:t>
      </w:r>
      <w:r w:rsidRPr="00CF2EED">
        <w:rPr>
          <w:rStyle w:val="StyleUnderline"/>
        </w:rPr>
        <w:t xml:space="preserve"> unemployment and hence </w:t>
      </w:r>
      <w:r w:rsidRPr="00CF2EED">
        <w:rPr>
          <w:rStyle w:val="Emphasis"/>
        </w:rPr>
        <w:t>poverty</w:t>
      </w:r>
      <w:r w:rsidRPr="00D07F93">
        <w:rPr>
          <w:sz w:val="14"/>
        </w:rPr>
        <w:t xml:space="preserve">, and since poor people do not live as long as people who are not poor. A  study attempted to develop a model to quantify the common sense view that “richer is safer.” According to Keeney, a single fatality might result from an expenditure of from $3 million to $7.5 million. In a concurring opinion in a 1990 case involving occupational safety and health regulation, Judge Williams invoked this evidence to suggest that </w:t>
      </w:r>
      <w:r w:rsidRPr="00D07F93">
        <w:rPr>
          <w:rStyle w:val="StyleUnderline"/>
        </w:rPr>
        <w:t>OSHA’s refusal to engage in cost-benefit analysis might not be beneficial for workers</w:t>
      </w:r>
      <w:r w:rsidRPr="00D07F93">
        <w:rPr>
          <w:sz w:val="14"/>
        </w:rPr>
        <w:t xml:space="preserve">. Judge Williams reasoned that </w:t>
      </w:r>
      <w:r w:rsidRPr="00D07F93">
        <w:rPr>
          <w:rStyle w:val="StyleUnderline"/>
        </w:rPr>
        <w:t xml:space="preserve">if a fatality results from an expenditure of $7.5 million, </w:t>
      </w:r>
      <w:r w:rsidRPr="00D07F93">
        <w:rPr>
          <w:rStyle w:val="Emphasis"/>
        </w:rPr>
        <w:t>some regulations might produce more fatalities than they prevent</w:t>
      </w:r>
      <w:r w:rsidRPr="00D07F93">
        <w:rPr>
          <w:sz w:val="14"/>
        </w:rPr>
        <w:t xml:space="preserve">. Many regulations of course cost more than $7.5 million per life saved (see Table 1). In Judge Williams’ view, </w:t>
      </w:r>
      <w:r w:rsidRPr="00D07F93">
        <w:rPr>
          <w:rStyle w:val="StyleUnderline"/>
        </w:rPr>
        <w:t>an agency that fails to measure costs against benefits might be failing to measure mortality gains against losses.</w:t>
      </w:r>
    </w:p>
    <w:p w14:paraId="0A63D7C1" w14:textId="77777777" w:rsidR="00CC2CC5" w:rsidRPr="00DE54AF" w:rsidRDefault="00CC2CC5" w:rsidP="00CC2CC5">
      <w:pPr>
        <w:pStyle w:val="Heading4"/>
        <w:rPr>
          <w:rFonts w:asciiTheme="majorHAnsi" w:hAnsiTheme="majorHAnsi" w:cstheme="majorHAnsi"/>
          <w:shd w:val="clear" w:color="auto" w:fill="FCFCFC"/>
        </w:rPr>
      </w:pPr>
      <w:r>
        <w:rPr>
          <w:rFonts w:asciiTheme="majorHAnsi" w:hAnsiTheme="majorHAnsi" w:cstheme="majorHAnsi"/>
          <w:shd w:val="clear" w:color="auto" w:fill="FCFCFC"/>
        </w:rPr>
        <w:t>BAT bad – generates perverse incentives for innovation that links to the aff’s offense on welfare maximization</w:t>
      </w:r>
    </w:p>
    <w:p w14:paraId="3358D065" w14:textId="77777777" w:rsidR="00CC2CC5" w:rsidRPr="00DE54AF" w:rsidRDefault="00CC2CC5" w:rsidP="00CC2CC5">
      <w:pPr>
        <w:rPr>
          <w:rFonts w:asciiTheme="majorHAnsi" w:hAnsiTheme="majorHAnsi" w:cstheme="majorHAnsi"/>
        </w:rPr>
      </w:pPr>
      <w:r w:rsidRPr="0055618C">
        <w:rPr>
          <w:rStyle w:val="Style13ptBold"/>
        </w:rPr>
        <w:t>Bansal and Gangopadhyay, 05</w:t>
      </w:r>
      <w:r w:rsidRPr="00DE54AF">
        <w:rPr>
          <w:rFonts w:asciiTheme="majorHAnsi" w:hAnsiTheme="majorHAnsi" w:cstheme="majorHAnsi"/>
        </w:rPr>
        <w:t xml:space="preserve"> (Sangeeta Bansal, Economics Division, School of International Studies, Jawaharlal Nehru University, India; Shubhashis Gangopadhay, India Development Foundation, “Incentives for Technological Development: BAT Is Bad”, Environmental and Resource Economics, March 2005) https://link.springer.com/article/10.1007/s10640-004-4223-z//ac </w:t>
      </w:r>
    </w:p>
    <w:p w14:paraId="713F7EE4" w14:textId="77777777" w:rsidR="00CC2CC5" w:rsidRPr="00DE54AF" w:rsidRDefault="00CC2CC5" w:rsidP="00CC2CC5">
      <w:pPr>
        <w:rPr>
          <w:rFonts w:asciiTheme="majorHAnsi" w:hAnsiTheme="majorHAnsi" w:cstheme="majorHAnsi"/>
        </w:rPr>
      </w:pPr>
      <w:r w:rsidRPr="00DE54AF">
        <w:rPr>
          <w:rFonts w:asciiTheme="majorHAnsi" w:hAnsiTheme="majorHAnsi" w:cstheme="majorHAnsi"/>
        </w:rPr>
        <w:t>This paper examines the effect of regulation on a firm’s incentives to develop cheaper clean-up technologies</w:t>
      </w:r>
      <w:r w:rsidRPr="00D35918">
        <w:rPr>
          <w:rStyle w:val="StyleUnderline"/>
        </w:rPr>
        <w:t xml:space="preserve">. Environmental policy interventions may create or </w:t>
      </w:r>
      <w:r w:rsidRPr="00D35918">
        <w:rPr>
          <w:rStyle w:val="Emphasis"/>
        </w:rPr>
        <w:t>hamper incentives</w:t>
      </w:r>
      <w:r w:rsidRPr="00D35918">
        <w:rPr>
          <w:rStyle w:val="StyleUnderline"/>
        </w:rPr>
        <w:t xml:space="preserve"> that affect the </w:t>
      </w:r>
      <w:r w:rsidRPr="00D35918">
        <w:rPr>
          <w:rStyle w:val="Emphasis"/>
        </w:rPr>
        <w:t>process of technological development</w:t>
      </w:r>
      <w:r w:rsidRPr="00DE54AF">
        <w:rPr>
          <w:rFonts w:asciiTheme="majorHAnsi" w:hAnsiTheme="majorHAnsi" w:cstheme="majorHAnsi"/>
        </w:rPr>
        <w:t xml:space="preserve">. The effect of policy interventions may differ in the presence of environmentally aware consumers. In the presence of such consumers, firms on their own have incentives to develop cleaner technologies and policy interventions may hamper these incentives. However, properly designed environmental policies can trigger innovation. </w:t>
      </w:r>
      <w:r w:rsidRPr="00D35918">
        <w:rPr>
          <w:rStyle w:val="StyleUnderline"/>
        </w:rPr>
        <w:t xml:space="preserve">We find that while consumers’ willingness to pay a higher price for environmentally better products induces the firm to invest in R&amp;D effort, </w:t>
      </w:r>
      <w:r w:rsidRPr="00D35918">
        <w:rPr>
          <w:rStyle w:val="Emphasis"/>
        </w:rPr>
        <w:t>private benefits of technological change are inadequate</w:t>
      </w:r>
      <w:r w:rsidRPr="00D35918">
        <w:rPr>
          <w:rStyle w:val="StyleUnderline"/>
        </w:rPr>
        <w:t xml:space="preserve">. </w:t>
      </w:r>
      <w:r w:rsidRPr="00DE54AF">
        <w:rPr>
          <w:rFonts w:asciiTheme="majorHAnsi" w:hAnsiTheme="majorHAnsi" w:cstheme="majorHAnsi"/>
        </w:rPr>
        <w:t xml:space="preserve">The central result of the paper is that a policy based on the best available technology, or </w:t>
      </w:r>
      <w:r w:rsidRPr="00D35918">
        <w:rPr>
          <w:rStyle w:val="Emphasis"/>
        </w:rPr>
        <w:t>BAT policy</w:t>
      </w:r>
      <w:r w:rsidRPr="00DE54AF">
        <w:rPr>
          <w:rFonts w:asciiTheme="majorHAnsi" w:hAnsiTheme="majorHAnsi" w:cstheme="majorHAnsi"/>
        </w:rPr>
        <w:t xml:space="preserve">, takes away the incentive that consumer awareness created for the firm. </w:t>
      </w:r>
      <w:r w:rsidRPr="00D35918">
        <w:rPr>
          <w:rStyle w:val="StyleUnderline"/>
        </w:rPr>
        <w:t xml:space="preserve">Hence under such a regulatory mechanism, the firm </w:t>
      </w:r>
      <w:r w:rsidRPr="00D35918">
        <w:rPr>
          <w:rStyle w:val="Emphasis"/>
        </w:rPr>
        <w:t>does not invest any resources in developing a cheaper technology</w:t>
      </w:r>
      <w:r w:rsidRPr="00D35918">
        <w:rPr>
          <w:rStyle w:val="StyleUnderline"/>
        </w:rPr>
        <w:t xml:space="preserve">. It is interesting to note that the regulation that achieves a socially optimal outcome in a static analysis (based on a given clean-up technology), </w:t>
      </w:r>
      <w:r w:rsidRPr="00D35918">
        <w:rPr>
          <w:rStyle w:val="Emphasis"/>
        </w:rPr>
        <w:t>generates perverse incentives</w:t>
      </w:r>
      <w:r w:rsidRPr="00D35918">
        <w:rPr>
          <w:rStyle w:val="StyleUnderline"/>
        </w:rPr>
        <w:t xml:space="preserve"> for developing a better technology as we extend the period of analysis. We further find that a commitment to the stringency of environmental regulation, not only induces the firm to make a positive investment in R&amp;D but may also be </w:t>
      </w:r>
      <w:r w:rsidRPr="00D35918">
        <w:rPr>
          <w:rStyle w:val="Emphasis"/>
        </w:rPr>
        <w:t>welfare improving</w:t>
      </w:r>
      <w:r w:rsidRPr="00D35918">
        <w:rPr>
          <w:rStyle w:val="StyleUnderline"/>
        </w:rPr>
        <w:t>.</w:t>
      </w:r>
      <w:r w:rsidRPr="00DE54AF">
        <w:rPr>
          <w:rFonts w:asciiTheme="majorHAnsi" w:hAnsiTheme="majorHAnsi" w:cstheme="majorHAnsi"/>
        </w:rPr>
        <w:t xml:space="preserve"> The commitment to the announced regulation is important because if the regulation is decided after investment in R&amp;D, the firm cannot alter its investment decision</w:t>
      </w:r>
      <w:r w:rsidRPr="00D35918">
        <w:rPr>
          <w:rStyle w:val="StyleUnderline"/>
        </w:rPr>
        <w:t xml:space="preserve">. This uncertainty in innovation benefits may turn out to be </w:t>
      </w:r>
      <w:r w:rsidRPr="00D35918">
        <w:rPr>
          <w:rStyle w:val="Emphasis"/>
        </w:rPr>
        <w:t>counterproductive</w:t>
      </w:r>
      <w:r w:rsidRPr="00D35918">
        <w:rPr>
          <w:rStyle w:val="StyleUnderline"/>
        </w:rPr>
        <w:t>.</w:t>
      </w:r>
      <w:r w:rsidRPr="00DE54AF">
        <w:rPr>
          <w:rFonts w:asciiTheme="majorHAnsi" w:hAnsiTheme="majorHAnsi" w:cstheme="majorHAnsi"/>
        </w:rPr>
        <w:t xml:space="preserve"> Finally we examine various policies in terms of relative strictness, and find that the second best policy must lie between the two extreme policies, viz., the weakest policy and the strictest policy. </w:t>
      </w:r>
    </w:p>
    <w:p w14:paraId="2BF3E69E"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Costs must be incorporated when evaluating technology – either the aff can’t solve or it links to its offense</w:t>
      </w:r>
    </w:p>
    <w:p w14:paraId="46E3038E" w14:textId="77777777" w:rsidR="00CC2CC5" w:rsidRPr="00DE54AF" w:rsidRDefault="00CC2CC5" w:rsidP="00CC2CC5">
      <w:pPr>
        <w:rPr>
          <w:rFonts w:asciiTheme="majorHAnsi" w:hAnsiTheme="majorHAnsi" w:cstheme="majorHAnsi"/>
        </w:rPr>
      </w:pPr>
      <w:r w:rsidRPr="0055618C">
        <w:rPr>
          <w:rStyle w:val="Style13ptBold"/>
        </w:rPr>
        <w:t>Helman and Parchomovsky, 11</w:t>
      </w:r>
      <w:r w:rsidRPr="00DE54AF">
        <w:rPr>
          <w:rFonts w:asciiTheme="majorHAnsi" w:hAnsiTheme="majorHAnsi" w:cstheme="majorHAnsi"/>
        </w:rPr>
        <w:t xml:space="preserve"> (Lital Helman, Fellow, the Kernochan Center For Law and the Arts, Columbia Law School, Gideon Parchomovsky, Professor, University of Pennsylvania Law School and Bar Ilan University Faculty of Law, “The Best Available Technology Standard”, Columbia Law Review, October 2011) www.jstor.org/stable/41305153//ac</w:t>
      </w:r>
    </w:p>
    <w:p w14:paraId="0E0C355B" w14:textId="77777777" w:rsidR="00CC2CC5" w:rsidRPr="00DE54AF" w:rsidRDefault="00CC2CC5" w:rsidP="00CC2CC5">
      <w:pPr>
        <w:spacing w:after="0" w:line="240" w:lineRule="auto"/>
        <w:rPr>
          <w:rFonts w:asciiTheme="majorHAnsi" w:eastAsia="Times New Roman" w:hAnsiTheme="majorHAnsi" w:cstheme="majorHAnsi"/>
          <w:sz w:val="24"/>
        </w:rPr>
      </w:pPr>
      <w:r w:rsidRPr="007C5D42">
        <w:rPr>
          <w:rFonts w:asciiTheme="majorHAnsi" w:eastAsia="Times New Roman" w:hAnsiTheme="majorHAnsi" w:cstheme="majorHAnsi"/>
          <w:sz w:val="24"/>
        </w:rPr>
        <w:t>We chose to do so for two reasons</w:t>
      </w:r>
      <w:r w:rsidRPr="007C5D42">
        <w:rPr>
          <w:rStyle w:val="StyleUnderline"/>
        </w:rPr>
        <w:t xml:space="preserve">. First, especially in the absence of empirical data on the relative social cost of each error, it </w:t>
      </w:r>
      <w:r w:rsidRPr="007C5D42">
        <w:rPr>
          <w:rStyle w:val="Emphasis"/>
        </w:rPr>
        <w:t>is impossible to decide</w:t>
      </w:r>
      <w:r w:rsidRPr="007C5D42">
        <w:rPr>
          <w:rStyle w:val="StyleUnderline"/>
        </w:rPr>
        <w:t xml:space="preserve"> whether to err on the side of </w:t>
      </w:r>
      <w:r w:rsidRPr="007C5D42">
        <w:rPr>
          <w:rStyle w:val="Emphasis"/>
        </w:rPr>
        <w:t>“false negatives” or “false positives</w:t>
      </w:r>
      <w:r w:rsidRPr="007C5D42">
        <w:rPr>
          <w:rStyle w:val="StyleUnderline"/>
        </w:rPr>
        <w:t>” even on a particular case</w:t>
      </w:r>
      <w:r w:rsidRPr="007C5D42">
        <w:rPr>
          <w:rFonts w:asciiTheme="majorHAnsi" w:eastAsia="Times New Roman" w:hAnsiTheme="majorHAnsi" w:cstheme="majorHAnsi"/>
          <w:sz w:val="24"/>
        </w:rPr>
        <w:t>, let alone categorically; permitting infringements lowers the level of copyright protection, while unnecessary blocking of posts threatens to turn filters into vehicles that stifle fair use and jeopardize free speech. What is more, in order to promote optimal copyright protection in the long term, developers of filtering mechanisms should have an equal incentive to invest in minimizing both types of mistakes. Effectiveness, however, is merely the first measure we propose</w:t>
      </w:r>
      <w:r w:rsidRPr="007C5D42">
        <w:rPr>
          <w:rStyle w:val="StyleUnderline"/>
        </w:rPr>
        <w:t xml:space="preserve">. </w:t>
      </w:r>
      <w:r w:rsidRPr="007C5D42">
        <w:rPr>
          <w:rStyle w:val="Emphasis"/>
        </w:rPr>
        <w:t>Cost must also be a consideration</w:t>
      </w:r>
      <w:r w:rsidRPr="007C5D42">
        <w:rPr>
          <w:rStyle w:val="StyleUnderline"/>
        </w:rPr>
        <w:t xml:space="preserve">. Given marginal diminishing returns to enforcement, it is </w:t>
      </w:r>
      <w:r w:rsidRPr="007C5D42">
        <w:rPr>
          <w:rStyle w:val="Emphasis"/>
        </w:rPr>
        <w:t>undesirable</w:t>
      </w:r>
      <w:r w:rsidRPr="007C5D42">
        <w:rPr>
          <w:rStyle w:val="StyleUnderline"/>
        </w:rPr>
        <w:t xml:space="preserve"> to force webhosts to adopt the most </w:t>
      </w:r>
      <w:r w:rsidRPr="007C5D42">
        <w:rPr>
          <w:rStyle w:val="Emphasis"/>
        </w:rPr>
        <w:t xml:space="preserve">effective technology regardless of its </w:t>
      </w:r>
      <w:r w:rsidRPr="007C5D42">
        <w:rPr>
          <w:rStyle w:val="StyleUnderline"/>
        </w:rPr>
        <w:t>cost. Hence, the price of various technologies must be incorporated into the calculus and technologies must be compared based on an effectiveness per price basis.</w:t>
      </w:r>
      <w:r w:rsidRPr="007C5D42">
        <w:rPr>
          <w:rFonts w:asciiTheme="majorHAnsi" w:eastAsia="Times New Roman" w:hAnsiTheme="majorHAnsi" w:cstheme="majorHAnsi"/>
          <w:sz w:val="24"/>
        </w:rPr>
        <w:t xml:space="preserve"> In principle, if the marginal cost of preventing an infringement is higher than the harm inflicted by it, then liability should not attach to a website that fails to stop it.133</w:t>
      </w:r>
      <w:r w:rsidRPr="00DE54AF">
        <w:rPr>
          <w:rFonts w:asciiTheme="majorHAnsi" w:hAnsiTheme="majorHAnsi" w:cstheme="majorHAnsi"/>
        </w:rPr>
        <w:t xml:space="preserve"> </w:t>
      </w:r>
      <w:r w:rsidRPr="007C5D42">
        <w:rPr>
          <w:rStyle w:val="StyleUnderline"/>
        </w:rPr>
        <w:t>Clearly, there is a point on the price continuum, at which the cost of enforcement exceeds the benefit. Hence, only technologies that fall under that point should be compared and then among those, the technology that offers the</w:t>
      </w:r>
      <w:r w:rsidRPr="007C5D42">
        <w:rPr>
          <w:rStyle w:val="Emphasis"/>
        </w:rPr>
        <w:t xml:space="preserve"> best effectiveness to cost combination </w:t>
      </w:r>
      <w:r w:rsidRPr="007C5D42">
        <w:rPr>
          <w:rStyle w:val="StyleUnderline"/>
        </w:rPr>
        <w:t xml:space="preserve">should be selected. Clearly, there could be more than one technology that meets the definition of the “best available technology” at any given time—if more than one technology arrives at the same ratio between effectiveness and cost. Thus, the best available technology standard </w:t>
      </w:r>
      <w:r w:rsidRPr="007C5D42">
        <w:rPr>
          <w:rStyle w:val="Emphasis"/>
        </w:rPr>
        <w:t>does not denote a single technology</w:t>
      </w:r>
      <w:r w:rsidRPr="007C5D42">
        <w:rPr>
          <w:rStyle w:val="StyleUnderline"/>
        </w:rPr>
        <w:t xml:space="preserve">, but rather a </w:t>
      </w:r>
      <w:r w:rsidRPr="007C5D42">
        <w:rPr>
          <w:rStyle w:val="Emphasis"/>
        </w:rPr>
        <w:t>range of technologies</w:t>
      </w:r>
      <w:r w:rsidRPr="007C5D42">
        <w:rPr>
          <w:rStyle w:val="StyleUnderline"/>
        </w:rPr>
        <w:t>, each of which would satisfy the standard.</w:t>
      </w:r>
      <w:r w:rsidRPr="007C5D42">
        <w:rPr>
          <w:rFonts w:asciiTheme="majorHAnsi" w:eastAsia="Times New Roman" w:hAnsiTheme="majorHAnsi" w:cstheme="majorHAnsi"/>
          <w:sz w:val="24"/>
        </w:rPr>
        <w:t xml:space="preserve"> As will be elaborated below,134 webhosts that use any of the technologies that satisfy the standard will be protected from liability.</w:t>
      </w:r>
    </w:p>
    <w:p w14:paraId="0567A493" w14:textId="77777777" w:rsidR="00CC2CC5" w:rsidRPr="00DE54AF" w:rsidRDefault="00CC2CC5" w:rsidP="00CC2CC5">
      <w:pPr>
        <w:pStyle w:val="Heading4"/>
        <w:rPr>
          <w:rFonts w:asciiTheme="majorHAnsi" w:hAnsiTheme="majorHAnsi" w:cstheme="majorHAnsi"/>
        </w:rPr>
      </w:pPr>
      <w:r>
        <w:rPr>
          <w:rFonts w:asciiTheme="majorHAnsi" w:hAnsiTheme="majorHAnsi" w:cstheme="majorHAnsi"/>
        </w:rPr>
        <w:t>Technology based standards are bad for innovation – market-based incentives solve better</w:t>
      </w:r>
    </w:p>
    <w:p w14:paraId="74215DF0" w14:textId="77777777" w:rsidR="00CC2CC5" w:rsidRPr="00A55E16" w:rsidRDefault="00CC2CC5" w:rsidP="00CC2CC5">
      <w:r w:rsidRPr="00A55E16">
        <w:rPr>
          <w:rStyle w:val="Style13ptBold"/>
        </w:rPr>
        <w:t>Jaffe et al, 02</w:t>
      </w:r>
      <w:r w:rsidRPr="00A55E16">
        <w:t xml:space="preserve"> (Jaffe, Adam B. Department of Economics, Brandeis University and National Bureau of Economic Research; Newell, Richard G, Resources for the Future; Stavins, Robert N, John F. Kennedy School of Government, Harvard University and Resources for the Future, “Environmental policy and technological change”, Fondazione Eni Enrico Mattei (FEEM), April 2002) https://www.econstor.eu/bitstream/10419/119637/1/NDL2002-026.pdf//ac</w:t>
      </w:r>
    </w:p>
    <w:p w14:paraId="3F1DA56A" w14:textId="77777777" w:rsidR="00CC2CC5" w:rsidRPr="00DE54AF" w:rsidRDefault="00CC2CC5" w:rsidP="00CC2CC5">
      <w:pPr>
        <w:spacing w:after="0" w:line="240" w:lineRule="auto"/>
        <w:rPr>
          <w:rFonts w:asciiTheme="majorHAnsi" w:eastAsia="Times New Roman" w:hAnsiTheme="majorHAnsi" w:cstheme="majorHAnsi"/>
          <w:sz w:val="24"/>
        </w:rPr>
      </w:pPr>
      <w:r w:rsidRPr="007C5D42">
        <w:rPr>
          <w:rStyle w:val="StyleUnderline"/>
        </w:rPr>
        <w:t xml:space="preserve">All of these forms of intervention have the potential for inducing or forcing some amount of technological change, because by their very nature they induce or require firms to do things they would not otherwise do. </w:t>
      </w:r>
      <w:r w:rsidRPr="007C5D42">
        <w:rPr>
          <w:rStyle w:val="Emphasis"/>
        </w:rPr>
        <w:t>Performance and technology standards</w:t>
      </w:r>
      <w:r w:rsidRPr="007C5D42">
        <w:rPr>
          <w:rStyle w:val="StyleUnderline"/>
        </w:rPr>
        <w:t xml:space="preserve"> can be explicitly designed to be "</w:t>
      </w:r>
      <w:r w:rsidRPr="007C5D42">
        <w:rPr>
          <w:rStyle w:val="Emphasis"/>
        </w:rPr>
        <w:t>technology forcing</w:t>
      </w:r>
      <w:r w:rsidRPr="007C5D42">
        <w:rPr>
          <w:rStyle w:val="StyleUnderline"/>
        </w:rPr>
        <w:t xml:space="preserve">," mandating performance levels that are not currently viewed as </w:t>
      </w:r>
      <w:r w:rsidRPr="007C5D42">
        <w:rPr>
          <w:rStyle w:val="Emphasis"/>
        </w:rPr>
        <w:t>technologically feasible or mandating technologies that are not fully developed</w:t>
      </w:r>
      <w:r w:rsidRPr="007C5D42">
        <w:rPr>
          <w:rStyle w:val="StyleUnderline"/>
        </w:rPr>
        <w:t>.</w:t>
      </w:r>
      <w:r w:rsidRPr="007C5D42">
        <w:rPr>
          <w:rFonts w:asciiTheme="majorHAnsi" w:eastAsia="Times New Roman" w:hAnsiTheme="majorHAnsi" w:cstheme="majorHAnsi"/>
          <w:sz w:val="24"/>
        </w:rPr>
        <w:t xml:space="preserve"> One problem with these approaches, however, is that while regulators can typically assume that some amount of improvement over existing technology will always be feasible, it is impossible to know how much</w:t>
      </w:r>
      <w:r w:rsidRPr="007C5D42">
        <w:rPr>
          <w:rStyle w:val="StyleUnderline"/>
        </w:rPr>
        <w:t xml:space="preserve">. </w:t>
      </w:r>
      <w:r w:rsidRPr="007C5D42">
        <w:rPr>
          <w:rStyle w:val="Emphasis"/>
        </w:rPr>
        <w:t>Standards must either be made unambitious</w:t>
      </w:r>
      <w:r w:rsidRPr="007C5D42">
        <w:rPr>
          <w:rStyle w:val="StyleUnderline"/>
        </w:rPr>
        <w:t xml:space="preserve">, or else run the risk of being </w:t>
      </w:r>
      <w:r w:rsidRPr="007C5D42">
        <w:rPr>
          <w:rStyle w:val="Emphasis"/>
        </w:rPr>
        <w:t>ultimately unachievable</w:t>
      </w:r>
      <w:r w:rsidRPr="007C5D42">
        <w:rPr>
          <w:rStyle w:val="StyleUnderline"/>
        </w:rPr>
        <w:t xml:space="preserve">, leading to political and economic disruption (Freeman and Haveman 1972). </w:t>
      </w:r>
      <w:r w:rsidRPr="007C5D42">
        <w:rPr>
          <w:rStyle w:val="Emphasis"/>
        </w:rPr>
        <w:t>Technology standards are particularly problemati</w:t>
      </w:r>
      <w:r w:rsidRPr="007C5D42">
        <w:rPr>
          <w:rStyle w:val="StyleUnderline"/>
        </w:rPr>
        <w:t xml:space="preserve">c, since they tend to </w:t>
      </w:r>
      <w:r w:rsidRPr="007C5D42">
        <w:rPr>
          <w:rStyle w:val="Emphasis"/>
        </w:rPr>
        <w:t>freeze the development of technologies</w:t>
      </w:r>
      <w:r w:rsidRPr="007C5D42">
        <w:rPr>
          <w:rStyle w:val="StyleUnderline"/>
        </w:rPr>
        <w:t xml:space="preserve"> that might otherwise result in greater levels of control.</w:t>
      </w:r>
      <w:r w:rsidRPr="007C5D42">
        <w:rPr>
          <w:rFonts w:asciiTheme="majorHAnsi" w:eastAsia="Times New Roman" w:hAnsiTheme="majorHAnsi" w:cstheme="majorHAnsi"/>
          <w:sz w:val="24"/>
        </w:rPr>
        <w:t xml:space="preserve"> Under regulations that are targeted at technologies, as opposed to emissions levels, no financial incentive exists for businesses to exceed control targets, and the adoption of new technologies is discouraged</w:t>
      </w:r>
      <w:r w:rsidRPr="007C5D42">
        <w:rPr>
          <w:rStyle w:val="StyleUnderline"/>
        </w:rPr>
        <w:t xml:space="preserve">. Under a “Best Available Control Technology” (BACT) standard, a business that adopts a new method of pollution abatement may be “rewarded” by being held to a </w:t>
      </w:r>
      <w:r w:rsidRPr="007C5D42">
        <w:rPr>
          <w:rStyle w:val="Emphasis"/>
        </w:rPr>
        <w:t>higher standard of performance</w:t>
      </w:r>
      <w:r w:rsidRPr="007C5D42">
        <w:rPr>
          <w:rStyle w:val="StyleUnderline"/>
        </w:rPr>
        <w:t xml:space="preserve"> and thereby not benefit financially from its investment, except to the extent that its competitors have even more difficulty reaching the new standard (Hahn and Stavins 1991).</w:t>
      </w:r>
      <w:r w:rsidRPr="007C5D42">
        <w:rPr>
          <w:rFonts w:asciiTheme="majorHAnsi" w:eastAsia="Times New Roman" w:hAnsiTheme="majorHAnsi" w:cstheme="majorHAnsi"/>
          <w:sz w:val="24"/>
        </w:rPr>
        <w:t xml:space="preserve"> On the other hand, if third parties can invent and patent better equipment, they can — in theory — have a ready market. Under such conditions, a BACT type of standard can provide a positive incentive for technology innovation. </w:t>
      </w:r>
      <w:r w:rsidRPr="007C5D42">
        <w:rPr>
          <w:rStyle w:val="StyleUnderline"/>
        </w:rPr>
        <w:t xml:space="preserve">Unfortunately, as we note below, there has been very little theoretical or empirical analysis of such technology-forcing regulations. In contrast with such command-and-control regulations, </w:t>
      </w:r>
      <w:r w:rsidRPr="007C5D42">
        <w:rPr>
          <w:rStyle w:val="Emphasis"/>
        </w:rPr>
        <w:t>market-based instruments</w:t>
      </w:r>
      <w:r w:rsidRPr="007C5D42">
        <w:rPr>
          <w:rStyle w:val="StyleUnderline"/>
        </w:rPr>
        <w:t xml:space="preserve"> can provide powerful incentives for companies to adopt cheaper and better pollution-control technologies</w:t>
      </w:r>
      <w:r w:rsidRPr="007C5D42">
        <w:rPr>
          <w:rFonts w:asciiTheme="majorHAnsi" w:eastAsia="Times New Roman" w:hAnsiTheme="majorHAnsi" w:cstheme="majorHAnsi"/>
          <w:sz w:val="24"/>
        </w:rPr>
        <w:t xml:space="preserve">. This is because with market-based instruments, it pays firms to clean up a bit more if a sufficiently low-cost technology or process for doing so can be identified and adopted.8 </w:t>
      </w:r>
      <w:r w:rsidRPr="007C5D42">
        <w:rPr>
          <w:rStyle w:val="StyleUnderline"/>
        </w:rPr>
        <w:t>There are two principal ways in which environmental policy instruments can be compared with regard to their effects on technological change.</w:t>
      </w:r>
      <w:r w:rsidRPr="007C5D42">
        <w:rPr>
          <w:rFonts w:asciiTheme="majorHAnsi" w:eastAsia="Times New Roman" w:hAnsiTheme="majorHAnsi" w:cstheme="majorHAnsi"/>
          <w:sz w:val="24"/>
        </w:rPr>
        <w:t xml:space="preserve"> First, one can ask— both with theoretical models and with empirical analyses — what effects alternative instruments have on the rate and direction of relevant technological change. </w:t>
      </w:r>
      <w:r w:rsidRPr="007C5D42">
        <w:rPr>
          <w:rStyle w:val="StyleUnderline"/>
        </w:rPr>
        <w:t>Second, one can ask whether environmental policies encourage an efficient rate and direction of technological change, or more</w:t>
      </w:r>
      <w:r w:rsidRPr="00BA15E0">
        <w:rPr>
          <w:rStyle w:val="StyleUnderline"/>
        </w:rPr>
        <w:t xml:space="preserve"> broadly, whether such policies result in overall economic efficiency (that is, whether the efficient degree of environmental protection is achieved). </w:t>
      </w:r>
      <w:r w:rsidRPr="00DE54AF">
        <w:rPr>
          <w:rFonts w:asciiTheme="majorHAnsi" w:eastAsia="Times New Roman" w:hAnsiTheme="majorHAnsi" w:cstheme="majorHAnsi"/>
          <w:sz w:val="24"/>
        </w:rPr>
        <w:t>We consider both sets of criteria.</w:t>
      </w:r>
    </w:p>
    <w:p w14:paraId="6F5FBCA1" w14:textId="77777777" w:rsidR="00CC2CC5" w:rsidRDefault="00CC2CC5" w:rsidP="00CC2CC5">
      <w:pPr>
        <w:pStyle w:val="Heading4"/>
        <w:rPr>
          <w:rFonts w:asciiTheme="majorHAnsi" w:hAnsiTheme="majorHAnsi" w:cstheme="majorHAnsi"/>
        </w:rPr>
      </w:pPr>
      <w:r>
        <w:rPr>
          <w:rFonts w:asciiTheme="majorHAnsi" w:hAnsiTheme="majorHAnsi" w:cstheme="majorHAnsi"/>
        </w:rPr>
        <w:t>Technology based standards can’t solve adoption – diffusion of the technology is a slow process and too generalized to apply to all plants</w:t>
      </w:r>
    </w:p>
    <w:p w14:paraId="46D4669F" w14:textId="77777777" w:rsidR="00CC2CC5" w:rsidRPr="00A55E16" w:rsidRDefault="00CC2CC5" w:rsidP="00CC2CC5">
      <w:r w:rsidRPr="00A55E16">
        <w:rPr>
          <w:rStyle w:val="Style13ptBold"/>
        </w:rPr>
        <w:t>Jaffe et al, 02</w:t>
      </w:r>
      <w:r w:rsidRPr="00A55E16">
        <w:t xml:space="preserve"> (Jaffe, Adam B. Department of Economics, Brandeis University and National Bureau of Economic Research; Newell, Richard G, Resources for the Future; Stavins, Robert N, John F. Kennedy School of Government, Harvard University and Resources for the Future, “Environmental policy and technological change”, Fondazione Eni Enrico Mattei (FEEM), April 2002) https://www.econstor.eu/bitstream/10419/119637/1/NDL2002-026.pdf//ac</w:t>
      </w:r>
    </w:p>
    <w:p w14:paraId="5D71BE99" w14:textId="77777777" w:rsidR="00CC2CC5" w:rsidRPr="00BD64E6" w:rsidRDefault="00CC2CC5" w:rsidP="00CC2CC5">
      <w:pPr>
        <w:spacing w:after="0" w:line="240" w:lineRule="auto"/>
        <w:rPr>
          <w:rFonts w:asciiTheme="majorHAnsi" w:eastAsia="Times New Roman" w:hAnsiTheme="majorHAnsi" w:cstheme="majorHAnsi"/>
          <w:sz w:val="24"/>
        </w:rPr>
      </w:pPr>
      <w:r w:rsidRPr="007C5D42">
        <w:rPr>
          <w:rStyle w:val="StyleUnderline"/>
        </w:rPr>
        <w:t xml:space="preserve">From the mechanical reaper of the nineteenth century (David 1966), through hybrid corn seed (Griliches 1957), steel furnaces (Oster 1982), optical scanners (Levin et al. 1987) and industrial robots (Mansfield 1989), research has consistently shown that the </w:t>
      </w:r>
      <w:r w:rsidRPr="007C5D42">
        <w:rPr>
          <w:rStyle w:val="Emphasis"/>
        </w:rPr>
        <w:t>diffusion of new, economically superior technologies is a gradual process.</w:t>
      </w:r>
      <w:r w:rsidRPr="007C5D42">
        <w:rPr>
          <w:rFonts w:asciiTheme="majorHAnsi" w:eastAsia="Times New Roman" w:hAnsiTheme="majorHAnsi" w:cstheme="majorHAnsi"/>
          <w:sz w:val="24"/>
        </w:rPr>
        <w:t xml:space="preserve"> Typically, the fraction of potential users that has adopted a new technology follows a sigmoid or “S-shaped” path over time, rising only slowly at first, then entering a period of very rapid growth, followed by a slowdown in growth as the technology reaches maturity and most potential adopters have switched (Geroski 2000). The explanation for the apparent slowness of the technology diffusion process has been a subject of considerable study. Two main forces have been emphasized. </w:t>
      </w:r>
      <w:r w:rsidRPr="007C5D42">
        <w:rPr>
          <w:rStyle w:val="StyleUnderline"/>
        </w:rPr>
        <w:t xml:space="preserve">First, potential technology adopters are heterogeneous, so that </w:t>
      </w:r>
      <w:r w:rsidRPr="007C5D42">
        <w:rPr>
          <w:rStyle w:val="Emphasis"/>
        </w:rPr>
        <w:t>a technology that is generally superior will not be equally superior for all potential users,</w:t>
      </w:r>
      <w:r w:rsidRPr="007C5D42">
        <w:rPr>
          <w:rStyle w:val="StyleUnderline"/>
        </w:rPr>
        <w:t xml:space="preserve"> and may remain inferior to existing technology for some users for an extended period of time after its introduction. Second, </w:t>
      </w:r>
      <w:r w:rsidRPr="007C5D42">
        <w:rPr>
          <w:rStyle w:val="Emphasis"/>
        </w:rPr>
        <w:t>adopting a new technology is a risky undertaking</w:t>
      </w:r>
      <w:r w:rsidRPr="007C5D42">
        <w:rPr>
          <w:rStyle w:val="StyleUnderline"/>
        </w:rPr>
        <w:t>, requiring considerable information, both about the generic attributes of the new technology and about the details of its use in the particular application being considered. It takes time for information to diffuse sufficiently, and the diffusion of the technology is limited by this process of diffusion of information.</w:t>
      </w:r>
      <w:r w:rsidRPr="00DE54AF">
        <w:rPr>
          <w:rFonts w:asciiTheme="majorHAnsi" w:eastAsia="Times New Roman" w:hAnsiTheme="majorHAnsi" w:cstheme="majorHAnsi"/>
          <w:sz w:val="24"/>
        </w:rPr>
        <w:t xml:space="preserve"> The two main models of the diffusion process each emphasize one of these two aspects of the process. The probit or rank model, first articulated in an unpublished paper by David (1969), posits that potential adopters are characterized by a distribution of returns associated with the new technology. </w:t>
      </w:r>
      <w:r w:rsidRPr="00BA15E0">
        <w:rPr>
          <w:rStyle w:val="StyleUnderline"/>
        </w:rPr>
        <w:t xml:space="preserve">Because adoption is costly, at any moment in time there is a </w:t>
      </w:r>
      <w:r w:rsidRPr="00BA15E0">
        <w:rPr>
          <w:rStyle w:val="Emphasis"/>
        </w:rPr>
        <w:t>threshold point on this distribution</w:t>
      </w:r>
      <w:r w:rsidRPr="00BA15E0">
        <w:rPr>
          <w:rStyle w:val="StyleUnderline"/>
        </w:rPr>
        <w:t xml:space="preserve">, such that potential users with values above this threshold will want to adopt, and users for whom the value of the new technology is at or below this threshold will not want to adopt. Because the new </w:t>
      </w:r>
      <w:r w:rsidRPr="00BA15E0">
        <w:rPr>
          <w:rStyle w:val="Emphasis"/>
        </w:rPr>
        <w:t xml:space="preserve">technology will typically get cheaper </w:t>
      </w:r>
      <w:r w:rsidRPr="00BA15E0">
        <w:rPr>
          <w:rStyle w:val="StyleUnderline"/>
        </w:rPr>
        <w:t>and better as time passes, this threshold will gradually move to the left, and eventually sweep out the entire distribution.</w:t>
      </w:r>
      <w:r w:rsidRPr="00DE54AF">
        <w:rPr>
          <w:rFonts w:asciiTheme="majorHAnsi" w:eastAsia="Times New Roman" w:hAnsiTheme="majorHAnsi" w:cstheme="majorHAnsi"/>
          <w:sz w:val="24"/>
        </w:rPr>
        <w:t xml:space="preserve"> If the distribution of underlying values is normal (or another single-peaked distribution with similar shape), this gradual movement of the threshold across the distribution will produce the typical Sshaped diffusion curve.</w:t>
      </w:r>
    </w:p>
    <w:p w14:paraId="6FA9CF71" w14:textId="77777777" w:rsidR="00CC2CC5" w:rsidRDefault="00CC2CC5" w:rsidP="00CC2CC5">
      <w:pPr>
        <w:pStyle w:val="Heading3"/>
      </w:pPr>
      <w:r>
        <w:t>WTP good</w:t>
      </w:r>
    </w:p>
    <w:p w14:paraId="6088166A" w14:textId="77777777" w:rsidR="00CC2CC5" w:rsidRPr="005F3904" w:rsidRDefault="00CC2CC5" w:rsidP="00CC2CC5">
      <w:pPr>
        <w:pStyle w:val="Heading4"/>
      </w:pPr>
      <w:r>
        <w:t xml:space="preserve">Willingness to pay is a good standard—the alternative distributes costs to </w:t>
      </w:r>
      <w:r w:rsidRPr="00EF0BDA">
        <w:rPr>
          <w:u w:val="single"/>
        </w:rPr>
        <w:t>consumers</w:t>
      </w:r>
    </w:p>
    <w:p w14:paraId="5FD0BDCB"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66" w:history="1">
        <w:r w:rsidRPr="005F3904">
          <w:rPr>
            <w:rStyle w:val="Hyperlink"/>
          </w:rPr>
          <w:t>https://doi.org/10.1086/426308)//cb</w:t>
        </w:r>
      </w:hyperlink>
    </w:p>
    <w:p w14:paraId="660DF40E" w14:textId="77777777" w:rsidR="00CC2CC5" w:rsidRPr="001306F4" w:rsidRDefault="00CC2CC5" w:rsidP="00CC2CC5">
      <w:pPr>
        <w:rPr>
          <w:rStyle w:val="Hyperlink"/>
          <w:sz w:val="16"/>
        </w:rPr>
      </w:pPr>
      <w:r w:rsidRPr="001306F4">
        <w:rPr>
          <w:rStyle w:val="Hyperlink"/>
          <w:sz w:val="16"/>
        </w:rPr>
        <w:t xml:space="preserve">As Ackerman and Heinzerling stress, </w:t>
      </w:r>
      <w:r w:rsidRPr="00D55176">
        <w:rPr>
          <w:rStyle w:val="StyleUnderline"/>
        </w:rPr>
        <w:t>some of the most difficult questions for CBA involve the translation of risks into monetary equivalents</w:t>
      </w:r>
      <w:r w:rsidRPr="001306F4">
        <w:rPr>
          <w:rStyle w:val="Hyperlink"/>
          <w:sz w:val="16"/>
        </w:rPr>
        <w:t xml:space="preserve">. Recall that </w:t>
      </w:r>
      <w:r w:rsidRPr="001306F4">
        <w:rPr>
          <w:rStyle w:val="StyleUnderline"/>
        </w:rPr>
        <w:t>under current practice, the monetary values come mostly from real</w:t>
      </w:r>
      <w:r>
        <w:rPr>
          <w:rStyle w:val="StyleUnderline"/>
        </w:rPr>
        <w:t>-</w:t>
      </w:r>
      <w:r w:rsidRPr="001306F4">
        <w:rPr>
          <w:rStyle w:val="StyleUnderline"/>
        </w:rPr>
        <w:t>world markets</w:t>
      </w:r>
      <w:r w:rsidRPr="001306F4">
        <w:rPr>
          <w:rStyle w:val="Hyperlink"/>
          <w:sz w:val="16"/>
        </w:rPr>
        <w:t xml:space="preserve">, producing evidence of compensation levels for actual risks. It is important to see that in basing CBA on calculations of this kind, regulators are not, in fact, producing a “value of a statistical life.” In fact they are not “valuing life” at all. They are not saying that the average American would pay $6 million to avoid death, or that a human life is, in some metaphysical sense, worth that amount. Instead they are generating numbers that reflect the market value of statistical risks. Typically </w:t>
      </w:r>
      <w:r w:rsidRPr="001306F4">
        <w:rPr>
          <w:rStyle w:val="StyleUnderline"/>
        </w:rPr>
        <w:t>agencies are dealing with low-level risks, on the order of 1/ 100,000, and when they “value a life” at $6 million, they are really saying that the evidence suggests that people must be paid $60 to be subject to a risk of that magnitude</w:t>
      </w:r>
      <w:r w:rsidRPr="001306F4">
        <w:rPr>
          <w:rStyle w:val="Hyperlink"/>
          <w:sz w:val="16"/>
        </w:rPr>
        <w:t>—and that government will build on that evidence in making regulatory decisions.</w:t>
      </w:r>
    </w:p>
    <w:p w14:paraId="405898B9" w14:textId="77777777" w:rsidR="00CC2CC5" w:rsidRPr="001306F4" w:rsidRDefault="00CC2CC5" w:rsidP="00CC2CC5">
      <w:pPr>
        <w:rPr>
          <w:rStyle w:val="Hyperlink"/>
          <w:sz w:val="16"/>
          <w:szCs w:val="16"/>
        </w:rPr>
      </w:pPr>
      <w:r w:rsidRPr="001306F4">
        <w:rPr>
          <w:rStyle w:val="Hyperlink"/>
          <w:sz w:val="16"/>
          <w:szCs w:val="16"/>
        </w:rPr>
        <w:t>A. The Argument for WTP Ackerman and Heinzerling think that this practice is a form of madness, and hence they do not pause to ask why regulators in a democratic society might care about market valuations of statistical risks. But there are two possible answers, both connected with individual choice, and both growing directly out of prominent strands in liberal theory. The first involves welfare; the second involves autonomy.</w:t>
      </w:r>
    </w:p>
    <w:p w14:paraId="21E7D0AB" w14:textId="77777777" w:rsidR="00CC2CC5" w:rsidRPr="003622CF" w:rsidRDefault="00CC2CC5" w:rsidP="00CC2CC5">
      <w:pPr>
        <w:rPr>
          <w:rStyle w:val="Hyperlink"/>
          <w:sz w:val="16"/>
          <w:szCs w:val="16"/>
        </w:rPr>
      </w:pPr>
      <w:r w:rsidRPr="003622CF">
        <w:rPr>
          <w:rStyle w:val="Hyperlink"/>
          <w:sz w:val="16"/>
          <w:szCs w:val="16"/>
        </w:rPr>
        <w:t>To clarify the point, assume a society in which people face multiple risks of 1/100,000 and in which every person is both adequately informed and willing to pay no more and no less than $60 to eliminate each of those risks. Assume too that the cost of eliminating these 1/ 100,000 risks is widely variable, ranging from close to zero to hundreds of millions of dollars. Assume finally that the cost of eliminating any risk is borne entirely by those who benefit from risk elimination. Under that assumption, regulation imposes the equivalent of a user’s fee; for example, people’s water bills will entirely reflect the costs of a policy that eliminates a 1/100,000 of getting cancer from arsenic in drinking water. If the per-person cost is $100, each water bill will be increased by exactly that amount.</w:t>
      </w:r>
    </w:p>
    <w:p w14:paraId="553CF355" w14:textId="77777777" w:rsidR="00CC2CC5" w:rsidRDefault="00CC2CC5" w:rsidP="00CC2CC5">
      <w:pPr>
        <w:rPr>
          <w:rStyle w:val="Hyperlink"/>
          <w:sz w:val="16"/>
        </w:rPr>
      </w:pPr>
      <w:r w:rsidRPr="003622CF">
        <w:rPr>
          <w:rStyle w:val="StyleUnderline"/>
        </w:rPr>
        <w:t>At first glance, use of WTP</w:t>
      </w:r>
      <w:r w:rsidRPr="003622CF">
        <w:rPr>
          <w:rStyle w:val="Hyperlink"/>
          <w:sz w:val="16"/>
        </w:rPr>
        <w:t xml:space="preserve">, under the stated assumptions, </w:t>
      </w:r>
      <w:r w:rsidRPr="003622CF">
        <w:rPr>
          <w:rStyle w:val="StyleUnderline"/>
        </w:rPr>
        <w:t>is easy to defend. Why should people be forced to pay an amount for regulation that exceeds their WTP?</w:t>
      </w:r>
      <w:r w:rsidRPr="003622CF">
        <w:rPr>
          <w:rStyle w:val="Hyperlink"/>
          <w:sz w:val="16"/>
        </w:rPr>
        <w:t xml:space="preserve"> Of course we might believe that a measure of redistribution is appropriate—that private sources, or government, should provide people with regulatory protection for free. But regulation need not, and often does not, amount to a subsidy to those who benefit from it. </w:t>
      </w:r>
      <w:r w:rsidRPr="003622CF">
        <w:rPr>
          <w:rStyle w:val="StyleUnderline"/>
        </w:rPr>
        <w:t>After the enactment of workers’ compensation regulation, nonunionized workers faced a dollar-for-dollar wage reduction</w:t>
      </w:r>
      <w:r w:rsidRPr="003622CF">
        <w:rPr>
          <w:rStyle w:val="Hyperlink"/>
          <w:sz w:val="16"/>
        </w:rPr>
        <w:t xml:space="preserve">, corresponding almost perfectly to the expected value of the benefits they received.39 </w:t>
      </w:r>
      <w:r w:rsidRPr="003622CF">
        <w:rPr>
          <w:rStyle w:val="StyleUnderline"/>
        </w:rPr>
        <w:t>For drinking water regulation</w:t>
      </w:r>
      <w:r w:rsidRPr="003622CF">
        <w:rPr>
          <w:rStyle w:val="Hyperlink"/>
          <w:sz w:val="16"/>
        </w:rPr>
        <w:t xml:space="preserve">, something similar is involved. </w:t>
      </w:r>
      <w:r w:rsidRPr="00486DBE">
        <w:rPr>
          <w:rStyle w:val="StyleUnderline"/>
        </w:rPr>
        <w:t>The cost of regulations is passed onto consumers in the form of higher water bills</w:t>
      </w:r>
      <w:r w:rsidRPr="003622CF">
        <w:rPr>
          <w:rStyle w:val="Hyperlink"/>
          <w:sz w:val="16"/>
        </w:rPr>
        <w:t>.40</w:t>
      </w:r>
    </w:p>
    <w:p w14:paraId="1E4FDB19" w14:textId="77777777" w:rsidR="00CC2CC5" w:rsidRPr="005F3904" w:rsidRDefault="00CC2CC5" w:rsidP="00CC2CC5">
      <w:pPr>
        <w:pStyle w:val="Heading4"/>
      </w:pPr>
      <w:r>
        <w:t>WTP k2 personal autonomy</w:t>
      </w:r>
    </w:p>
    <w:p w14:paraId="7895120A"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67" w:history="1">
        <w:r w:rsidRPr="005F3904">
          <w:rPr>
            <w:rStyle w:val="Hyperlink"/>
          </w:rPr>
          <w:t>https://doi.org/10.1086/426308)//cb</w:t>
        </w:r>
      </w:hyperlink>
    </w:p>
    <w:p w14:paraId="09E2002C" w14:textId="77777777" w:rsidR="00CC2CC5" w:rsidRPr="00BF7FA4" w:rsidRDefault="00CC2CC5" w:rsidP="00CC2CC5">
      <w:pPr>
        <w:rPr>
          <w:rStyle w:val="Hyperlink"/>
          <w:sz w:val="16"/>
        </w:rPr>
      </w:pPr>
      <w:r w:rsidRPr="00BF7FA4">
        <w:rPr>
          <w:rStyle w:val="Hyperlink"/>
          <w:sz w:val="16"/>
        </w:rPr>
        <w:t xml:space="preserve">If we reject the argument from welfare, </w:t>
      </w:r>
      <w:r w:rsidRPr="00BF7FA4">
        <w:rPr>
          <w:rStyle w:val="StyleUnderline"/>
        </w:rPr>
        <w:t>we might nonetheless rely on WTP on grounds of personal autonomy</w:t>
      </w:r>
      <w:r w:rsidRPr="00BF7FA4">
        <w:rPr>
          <w:rStyle w:val="Hyperlink"/>
          <w:sz w:val="16"/>
        </w:rPr>
        <w:t xml:space="preserve">.43 On this view, </w:t>
      </w:r>
      <w:r w:rsidRPr="00BF7FA4">
        <w:rPr>
          <w:rStyle w:val="StyleUnderline"/>
        </w:rPr>
        <w:t>people should be sovereign over their own lives,</w:t>
      </w:r>
      <w:r w:rsidRPr="00BF7FA4">
        <w:rPr>
          <w:rStyle w:val="Hyperlink"/>
          <w:sz w:val="16"/>
        </w:rPr>
        <w:t xml:space="preserve"> and this principle means that </w:t>
      </w:r>
      <w:r w:rsidRPr="00BF7FA4">
        <w:rPr>
          <w:rStyle w:val="StyleUnderline"/>
        </w:rPr>
        <w:t>government should respect personal choices about how to use limited resources</w:t>
      </w:r>
      <w:r w:rsidRPr="00BF7FA4">
        <w:rPr>
          <w:rStyle w:val="Hyperlink"/>
          <w:sz w:val="16"/>
        </w:rPr>
        <w:t xml:space="preserve"> (again so long as those choices are adequately informed). </w:t>
      </w:r>
      <w:r w:rsidRPr="00BF7FA4">
        <w:rPr>
          <w:rStyle w:val="StyleUnderline"/>
        </w:rPr>
        <w:t>When people decline to devote more than $60 to eliminate a 1/100,000 risk, it is because they would prefer to spend the money in a way that seems to them more desirable</w:t>
      </w:r>
      <w:r w:rsidRPr="00BF7FA4">
        <w:rPr>
          <w:rStyle w:val="Hyperlink"/>
          <w:sz w:val="16"/>
        </w:rPr>
        <w:t xml:space="preserve">. If regulators reject people’s actual judgments, then they are insulting their dignity. </w:t>
      </w:r>
      <w:r w:rsidRPr="00BF7FA4">
        <w:rPr>
          <w:rStyle w:val="StyleUnderline"/>
        </w:rPr>
        <w:t>The use of WTP therefore can claim a simultaneous defense from both utilitarian and deontological considerations</w:t>
      </w:r>
      <w:r w:rsidRPr="00BF7FA4">
        <w:rPr>
          <w:rStyle w:val="Hyperlink"/>
          <w:sz w:val="16"/>
        </w:rPr>
        <w:t>.</w:t>
      </w:r>
    </w:p>
    <w:p w14:paraId="3E2D593F" w14:textId="77777777" w:rsidR="00CC2CC5" w:rsidRPr="00BF7FA4" w:rsidRDefault="00CC2CC5" w:rsidP="00CC2CC5">
      <w:pPr>
        <w:rPr>
          <w:rStyle w:val="Hyperlink"/>
          <w:sz w:val="16"/>
        </w:rPr>
      </w:pPr>
      <w:r w:rsidRPr="00BF7FA4">
        <w:rPr>
          <w:rStyle w:val="Hyperlink"/>
          <w:sz w:val="16"/>
        </w:rPr>
        <w:t xml:space="preserve">When the assumptions just outlined are met, we have what might be described as easy cases for the use of the WTP criterion. Some people contend that money and health are incommensurable—that our reflective judgments do not permit us to line up dollars and health risks along a single metric.44 Suppose that this is so. To see the easy cases as such, it is not necessary to make controversial arguments about commensurability or to venture into controversial philosophical territory. </w:t>
      </w:r>
      <w:r w:rsidRPr="00BF7FA4">
        <w:rPr>
          <w:rStyle w:val="StyleUnderline"/>
        </w:rPr>
        <w:t>The underlying claim is a simple pragmatic one,</w:t>
      </w:r>
      <w:r w:rsidRPr="00BF7FA4">
        <w:rPr>
          <w:rStyle w:val="Hyperlink"/>
          <w:sz w:val="16"/>
        </w:rPr>
        <w:t xml:space="preserve"> to the effect that people are willing to trade money against decreases in statistical risks. </w:t>
      </w:r>
      <w:r w:rsidRPr="00BF7FA4">
        <w:rPr>
          <w:rStyle w:val="StyleUnderline"/>
        </w:rPr>
        <w:t>If people actually make those trades, then government might well build on their practices in designing policies</w:t>
      </w:r>
      <w:r>
        <w:rPr>
          <w:rStyle w:val="StyleUnderline"/>
        </w:rPr>
        <w:t>.</w:t>
      </w:r>
    </w:p>
    <w:p w14:paraId="6CC5A7BE" w14:textId="77777777" w:rsidR="00CC2CC5" w:rsidRDefault="00CC2CC5" w:rsidP="00CC2CC5">
      <w:pPr>
        <w:pStyle w:val="Heading3"/>
      </w:pPr>
      <w:r>
        <w:t>CBA Values CP???</w:t>
      </w:r>
    </w:p>
    <w:p w14:paraId="75C10667" w14:textId="77777777" w:rsidR="00CC2CC5" w:rsidRDefault="00CC2CC5" w:rsidP="00CC2CC5">
      <w:pPr>
        <w:pStyle w:val="Heading4"/>
      </w:pPr>
      <w:r>
        <w:t>CP: The USfg should enact priority setting allowing room for a diverse array of values beyond willingness to pay but including cost benefit balancing</w:t>
      </w:r>
    </w:p>
    <w:p w14:paraId="091F8A4B" w14:textId="77777777" w:rsidR="00CC2CC5" w:rsidRDefault="00CC2CC5" w:rsidP="00CC2CC5">
      <w:pPr>
        <w:pStyle w:val="Heading4"/>
      </w:pPr>
      <w:r>
        <w:t>The CP makes a cost benefit net better than the aff</w:t>
      </w:r>
    </w:p>
    <w:p w14:paraId="1A090FE1" w14:textId="77777777" w:rsidR="00CC2CC5" w:rsidRPr="00BB343B" w:rsidRDefault="00CC2CC5" w:rsidP="00CC2CC5">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8" w:history="1">
        <w:r w:rsidRPr="004A6607">
          <w:rPr>
            <w:rStyle w:val="Hyperlink"/>
          </w:rPr>
          <w:t>https://techliberation.com/wp-content/uploads/2012/11/39.sunstein.pdf</w:t>
        </w:r>
      </w:hyperlink>
      <w:r>
        <w:t xml:space="preserve"> //JK</w:t>
      </w:r>
    </w:p>
    <w:p w14:paraId="68B2D9CB" w14:textId="77777777" w:rsidR="00CC2CC5" w:rsidRPr="00BB343B" w:rsidRDefault="00CC2CC5" w:rsidP="00CC2CC5">
      <w:pPr>
        <w:rPr>
          <w:sz w:val="14"/>
        </w:rPr>
      </w:pPr>
      <w:r w:rsidRPr="00BB343B">
        <w:rPr>
          <w:sz w:val="14"/>
        </w:rPr>
        <w:t>The United States is embarking increasingly on the project of assessing government regulation by asking whether the benefits something like</w:t>
      </w:r>
      <w:r w:rsidRPr="00BB343B">
        <w:rPr>
          <w:rStyle w:val="StyleUnderline"/>
        </w:rPr>
        <w:t xml:space="preserve"> </w:t>
      </w:r>
      <w:r w:rsidRPr="00BB343B">
        <w:rPr>
          <w:rStyle w:val="Emphasis"/>
        </w:rPr>
        <w:t>a cost-benefit state</w:t>
      </w:r>
      <w:r w:rsidRPr="00BB343B">
        <w:rPr>
          <w:sz w:val="14"/>
        </w:rPr>
        <w:t xml:space="preserve">; this </w:t>
      </w:r>
      <w:r w:rsidRPr="00BB343B">
        <w:rPr>
          <w:rStyle w:val="Emphasis"/>
        </w:rPr>
        <w:t>is an unmistakable feature of public life</w:t>
      </w:r>
      <w:r w:rsidRPr="00BB343B">
        <w:rPr>
          <w:rStyle w:val="StyleUnderline"/>
        </w:rPr>
        <w:t xml:space="preserve"> in many institutions of American government</w:t>
      </w:r>
      <w:r w:rsidRPr="00BB343B">
        <w:rPr>
          <w:sz w:val="14"/>
        </w:rPr>
        <w:t xml:space="preserve">. Thus in the last decade and more, </w:t>
      </w:r>
      <w:r w:rsidRPr="00BB343B">
        <w:rPr>
          <w:rStyle w:val="StyleUnderline"/>
        </w:rPr>
        <w:t>the executive branch has attempted to embrace a form of cost-benefit analysis</w:t>
      </w:r>
      <w:r w:rsidRPr="00BB343B">
        <w:rPr>
          <w:sz w:val="14"/>
        </w:rPr>
        <w:t xml:space="preserve"> for specific purposes— to promote better priority-setting, to move toward market-oriented tools, to exempt de minimis risks, to attend to informed public judgments, to foster voluntary and least-cost compliance, and to focus on ultimate results rather than methods and processes. Similar steps can be found in Congress and the federal courts; but they remain tentative and incipient.</w:t>
      </w:r>
    </w:p>
    <w:p w14:paraId="305A1D49" w14:textId="77777777" w:rsidR="00CC2CC5" w:rsidRPr="00BB343B" w:rsidRDefault="00CC2CC5" w:rsidP="00CC2CC5">
      <w:pPr>
        <w:rPr>
          <w:rStyle w:val="StyleUnderline"/>
        </w:rPr>
      </w:pPr>
      <w:r w:rsidRPr="00BB343B">
        <w:rPr>
          <w:sz w:val="14"/>
        </w:rPr>
        <w:t xml:space="preserve">In light of the chaotic and uncoordinated character of modern regulation, </w:t>
      </w:r>
      <w:r w:rsidRPr="00BB343B">
        <w:rPr>
          <w:rStyle w:val="StyleUnderline"/>
        </w:rPr>
        <w:t>the absence of good priority-setting</w:t>
      </w:r>
      <w:r w:rsidRPr="00BB343B">
        <w:rPr>
          <w:sz w:val="14"/>
        </w:rPr>
        <w:t xml:space="preserve">, </w:t>
      </w:r>
      <w:r w:rsidRPr="00BB343B">
        <w:rPr>
          <w:rStyle w:val="StyleUnderline"/>
        </w:rPr>
        <w:t xml:space="preserve">and the system of “legislation by anecdote,” movement in the direction of a costbenefit state is </w:t>
      </w:r>
      <w:r w:rsidRPr="00BB343B">
        <w:rPr>
          <w:sz w:val="14"/>
        </w:rPr>
        <w:t xml:space="preserve">in many ways </w:t>
      </w:r>
      <w:r w:rsidRPr="00BB343B">
        <w:rPr>
          <w:rStyle w:val="StyleUnderline"/>
        </w:rPr>
        <w:t>a salutary development</w:t>
      </w:r>
      <w:r w:rsidRPr="00BB343B">
        <w:rPr>
          <w:sz w:val="14"/>
        </w:rPr>
        <w:t xml:space="preserve">. As we have seen, </w:t>
      </w:r>
      <w:r w:rsidRPr="00BB343B">
        <w:rPr>
          <w:rStyle w:val="Emphasis"/>
        </w:rPr>
        <w:t>balancing is far better</w:t>
      </w:r>
      <w:r w:rsidRPr="00BB343B">
        <w:rPr>
          <w:rStyle w:val="StyleUnderline"/>
        </w:rPr>
        <w:t xml:space="preserve"> than absolutism</w:t>
      </w:r>
      <w:r w:rsidRPr="00BB343B">
        <w:rPr>
          <w:sz w:val="14"/>
        </w:rPr>
        <w:t xml:space="preserve">. The point is especially important in light of the fact that with respect to protection of human health, absolutism may actually be counterproductive and hence far from what it seems. Indeed, absolutism may impair rather than improve health. But costbenefit balancing can lead to excessive proceduralism, especially insofar as it is required via litigation. Moreover, the idea of costbenefit analysis needs a great deal of specification, and it is hardly sufficient to engraft a supermandate of “balancing” on top of a structure of command and control regulation. </w:t>
      </w:r>
      <w:r w:rsidRPr="00BB343B">
        <w:rPr>
          <w:rStyle w:val="StyleUnderline"/>
        </w:rPr>
        <w:t>Any such mandate should be part of a general movement toward more flexible regulatory tools.</w:t>
      </w:r>
    </w:p>
    <w:p w14:paraId="0C223983" w14:textId="77777777" w:rsidR="00CC2CC5" w:rsidRDefault="00CC2CC5" w:rsidP="00CC2CC5">
      <w:pPr>
        <w:rPr>
          <w:sz w:val="14"/>
        </w:rPr>
      </w:pPr>
      <w:r w:rsidRPr="00BB343B">
        <w:rPr>
          <w:sz w:val="14"/>
        </w:rPr>
        <w:t xml:space="preserve">I have suggested that </w:t>
      </w:r>
      <w:r w:rsidRPr="00BB343B">
        <w:rPr>
          <w:rStyle w:val="StyleUnderline"/>
        </w:rPr>
        <w:t>a general background requirement of cost-benefit balancing</w:t>
      </w:r>
      <w:r w:rsidRPr="00BB343B">
        <w:rPr>
          <w:sz w:val="14"/>
        </w:rPr>
        <w:t>—a substantive supermandate—</w:t>
      </w:r>
      <w:r w:rsidRPr="00BB343B">
        <w:rPr>
          <w:rStyle w:val="StyleUnderline"/>
        </w:rPr>
        <w:t>should be enacted</w:t>
      </w:r>
      <w:r w:rsidRPr="00BB343B">
        <w:rPr>
          <w:sz w:val="14"/>
        </w:rPr>
        <w:t>. I have also suggested that in describing costs and benefits</w:t>
      </w:r>
      <w:r w:rsidRPr="00BB343B">
        <w:rPr>
          <w:rStyle w:val="StyleUnderline"/>
        </w:rPr>
        <w:t xml:space="preserve">, Congress should allow room for a </w:t>
      </w:r>
      <w:r w:rsidRPr="00BB343B">
        <w:rPr>
          <w:rStyle w:val="Emphasis"/>
        </w:rPr>
        <w:t>diverse array of values</w:t>
      </w:r>
      <w:r w:rsidRPr="00BB343B">
        <w:rPr>
          <w:rStyle w:val="StyleUnderline"/>
        </w:rPr>
        <w:t>, and not limit agencies to the criterion of</w:t>
      </w:r>
      <w:r w:rsidRPr="00BB343B">
        <w:rPr>
          <w:sz w:val="14"/>
        </w:rPr>
        <w:t xml:space="preserve"> private </w:t>
      </w:r>
      <w:r w:rsidRPr="00BB343B">
        <w:rPr>
          <w:rStyle w:val="StyleUnderline"/>
        </w:rPr>
        <w:t>willingness to pay.</w:t>
      </w:r>
      <w:r w:rsidRPr="00BB343B">
        <w:rPr>
          <w:sz w:val="14"/>
        </w:rPr>
        <w:t xml:space="preserve"> Sometimes regulation attempts to alter preferences and norms; sometimes it has little to do with aggregated willingness to pay. </w:t>
      </w:r>
      <w:r w:rsidRPr="00BB343B">
        <w:rPr>
          <w:rStyle w:val="StyleUnderline"/>
        </w:rPr>
        <w:t>An Administrative Substance Act, amending the regulatory state, should include the background requirement</w:t>
      </w:r>
      <w:r w:rsidRPr="00BB343B">
        <w:rPr>
          <w:sz w:val="14"/>
        </w:rPr>
        <w:t xml:space="preserve"> I have described </w:t>
      </w:r>
      <w:r w:rsidRPr="00BB343B">
        <w:rPr>
          <w:rStyle w:val="StyleUnderline"/>
        </w:rPr>
        <w:t>and</w:t>
      </w:r>
      <w:r w:rsidRPr="00BB343B">
        <w:rPr>
          <w:sz w:val="14"/>
        </w:rPr>
        <w:t xml:space="preserve"> also </w:t>
      </w:r>
      <w:r w:rsidRPr="00BB343B">
        <w:rPr>
          <w:rStyle w:val="StyleUnderline"/>
        </w:rPr>
        <w:t>require agencies to act in a cost-effective fashion</w:t>
      </w:r>
      <w:r w:rsidRPr="00BB343B">
        <w:rPr>
          <w:sz w:val="14"/>
        </w:rPr>
        <w:t>. A cost-benefit state, understood in these terms, could make large improvements by offering initiatives that make sense under any reasonable theory of value.</w:t>
      </w:r>
    </w:p>
    <w:p w14:paraId="18050EB7" w14:textId="77777777" w:rsidR="00CC2CC5" w:rsidRDefault="00CC2CC5" w:rsidP="00CC2CC5">
      <w:pPr>
        <w:pStyle w:val="Heading3"/>
      </w:pPr>
      <w:r>
        <w:t>1nc – precautionary principle bad</w:t>
      </w:r>
    </w:p>
    <w:p w14:paraId="151237D5" w14:textId="77777777" w:rsidR="00CC2CC5" w:rsidRDefault="00CC2CC5" w:rsidP="00CC2CC5">
      <w:pPr>
        <w:pStyle w:val="Heading4"/>
      </w:pPr>
      <w:r>
        <w:t>Precautionary principle fails – 5 warrants</w:t>
      </w:r>
    </w:p>
    <w:p w14:paraId="76F4A671" w14:textId="77777777" w:rsidR="00CC2CC5" w:rsidRPr="00CA473B" w:rsidRDefault="00CC2CC5" w:rsidP="00CC2CC5">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Proquest, Stanford, </w:t>
      </w:r>
      <w:hyperlink r:id="rId69"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22A22281" w14:textId="77777777" w:rsidR="00CC2CC5" w:rsidRPr="00CF3E71" w:rsidRDefault="00CC2CC5" w:rsidP="00CC2CC5">
      <w:pPr>
        <w:rPr>
          <w:sz w:val="14"/>
        </w:rPr>
      </w:pPr>
      <w:r w:rsidRPr="00CF3E71">
        <w:rPr>
          <w:sz w:val="14"/>
        </w:rPr>
        <w:t xml:space="preserve">The first set of challenges the </w:t>
      </w:r>
      <w:r w:rsidRPr="00CF3E71">
        <w:rPr>
          <w:rStyle w:val="StyleUnderline"/>
        </w:rPr>
        <w:t>precautionary principle</w:t>
      </w:r>
      <w:r w:rsidRPr="00CF3E71">
        <w:rPr>
          <w:sz w:val="14"/>
        </w:rPr>
        <w:t xml:space="preserve"> </w:t>
      </w:r>
      <w:r w:rsidRPr="00CF3E71">
        <w:rPr>
          <w:rStyle w:val="StyleUnderline"/>
        </w:rPr>
        <w:t>faces</w:t>
      </w:r>
      <w:r w:rsidRPr="00CF3E71">
        <w:rPr>
          <w:sz w:val="14"/>
        </w:rPr>
        <w:t xml:space="preserve"> is </w:t>
      </w:r>
      <w:r w:rsidRPr="00CF3E71">
        <w:rPr>
          <w:rStyle w:val="StyleUnderline"/>
        </w:rPr>
        <w:t>that many of its components are often unclear</w:t>
      </w:r>
      <w:r w:rsidRPr="00CF3E71">
        <w:rPr>
          <w:sz w:val="14"/>
        </w:rPr>
        <w:t xml:space="preserve">. These </w:t>
      </w:r>
      <w:r w:rsidRPr="00CF3E71">
        <w:rPr>
          <w:rStyle w:val="StyleUnderline"/>
        </w:rPr>
        <w:t>challenges concern the content of the precautionary principle</w:t>
      </w:r>
      <w:r w:rsidRPr="00CF3E71">
        <w:rPr>
          <w:sz w:val="14"/>
        </w:rPr>
        <w:t xml:space="preserve">. In this section I will first introduce Neil A. Manson's discussion of the structure of the precautionary principle before drawing on his analysis to illustrate the ways in which the precautionary principle is inherently unclear. This section will then expand on a discussion of concerns about </w:t>
      </w:r>
      <w:r w:rsidRPr="00CF3E71">
        <w:rPr>
          <w:rStyle w:val="StyleUnderline"/>
        </w:rPr>
        <w:t>the lack of clarity in the precautionary principle</w:t>
      </w:r>
      <w:r w:rsidRPr="00CF3E71">
        <w:rPr>
          <w:sz w:val="14"/>
        </w:rPr>
        <w:t>, which I first identified in a coauthored paper with Derek Turner in 2004.</w:t>
      </w:r>
    </w:p>
    <w:p w14:paraId="4112869B" w14:textId="77777777" w:rsidR="00CC2CC5" w:rsidRPr="0002707E" w:rsidRDefault="00CC2CC5" w:rsidP="00CC2CC5">
      <w:pPr>
        <w:rPr>
          <w:sz w:val="14"/>
        </w:rPr>
      </w:pPr>
      <w:r w:rsidRPr="00CF3E71">
        <w:rPr>
          <w:sz w:val="14"/>
        </w:rPr>
        <w:t xml:space="preserve">Turner and I argue that </w:t>
      </w:r>
      <w:r w:rsidRPr="00CF3E71">
        <w:rPr>
          <w:rStyle w:val="StyleUnderline"/>
        </w:rPr>
        <w:t>the precautionary principle is</w:t>
      </w:r>
      <w:r w:rsidRPr="00CF3E71">
        <w:rPr>
          <w:sz w:val="14"/>
        </w:rPr>
        <w:t xml:space="preserve"> inherently </w:t>
      </w:r>
      <w:r w:rsidRPr="00CF3E71">
        <w:rPr>
          <w:rStyle w:val="StyleUnderline"/>
        </w:rPr>
        <w:t xml:space="preserve">unclear in five ways: </w:t>
      </w:r>
      <w:r w:rsidRPr="00CF3E71">
        <w:rPr>
          <w:sz w:val="14"/>
        </w:rPr>
        <w:t>first</w:t>
      </w:r>
      <w:r w:rsidRPr="00CF3E71">
        <w:rPr>
          <w:rStyle w:val="StyleUnderline"/>
        </w:rPr>
        <w:t xml:space="preserve">, the precautionary principle is often formulated such that it is unclear who must take responsibility for and bear the cost of precaution; </w:t>
      </w:r>
      <w:r w:rsidRPr="00CF3E71">
        <w:rPr>
          <w:sz w:val="14"/>
        </w:rPr>
        <w:t>second</w:t>
      </w:r>
      <w:r w:rsidRPr="00CF3E71">
        <w:rPr>
          <w:rStyle w:val="StyleUnderline"/>
        </w:rPr>
        <w:t xml:space="preserve">, the precautionary principle is </w:t>
      </w:r>
      <w:r w:rsidRPr="00CF3E71">
        <w:rPr>
          <w:rStyle w:val="Emphasis"/>
        </w:rPr>
        <w:t>unclear and even internally contradictory</w:t>
      </w:r>
      <w:r w:rsidRPr="00CF3E71">
        <w:rPr>
          <w:rStyle w:val="StyleUnderline"/>
        </w:rPr>
        <w:t xml:space="preserve"> when it applies simultaneously to threats of harm to human health and the environment</w:t>
      </w:r>
      <w:r w:rsidRPr="00CF3E71">
        <w:rPr>
          <w:sz w:val="14"/>
        </w:rPr>
        <w:t>; third</w:t>
      </w:r>
      <w:r w:rsidRPr="00CF3E71">
        <w:rPr>
          <w:rStyle w:val="Emphasis"/>
        </w:rPr>
        <w:t xml:space="preserve">, it is often unclear what are to count as threats </w:t>
      </w:r>
      <w:r w:rsidRPr="00CF3E71">
        <w:rPr>
          <w:rStyle w:val="StyleUnderline"/>
        </w:rPr>
        <w:t>of harm</w:t>
      </w:r>
      <w:r w:rsidRPr="00CF3E71">
        <w:rPr>
          <w:sz w:val="14"/>
        </w:rPr>
        <w:t xml:space="preserve"> according to the precautionary principle; fourth</w:t>
      </w:r>
      <w:r w:rsidRPr="00CF3E71">
        <w:rPr>
          <w:rStyle w:val="StyleUnderline"/>
        </w:rPr>
        <w:t>, it is also unclear what are to count as precautionary measures</w:t>
      </w:r>
      <w:r w:rsidRPr="00CF3E71">
        <w:rPr>
          <w:sz w:val="14"/>
        </w:rPr>
        <w:t xml:space="preserve">; fifth, </w:t>
      </w:r>
      <w:r w:rsidRPr="00CF3E71">
        <w:rPr>
          <w:rStyle w:val="StyleUnderline"/>
        </w:rPr>
        <w:t>it is often unclear how much precaution is required</w:t>
      </w:r>
      <w:r w:rsidRPr="00CF3E71">
        <w:rPr>
          <w:sz w:val="14"/>
        </w:rPr>
        <w:t xml:space="preserve"> by the principle.</w:t>
      </w:r>
    </w:p>
    <w:p w14:paraId="7EC2B6AE" w14:textId="77777777" w:rsidR="00CC2CC5" w:rsidRDefault="00CC2CC5" w:rsidP="00CC2CC5">
      <w:pPr>
        <w:pStyle w:val="Heading3"/>
      </w:pPr>
      <w:r>
        <w:t>2nc - Precautionary Principle Bad</w:t>
      </w:r>
    </w:p>
    <w:p w14:paraId="0EE73144" w14:textId="77777777" w:rsidR="00CC2CC5" w:rsidRPr="005F3904" w:rsidRDefault="00CC2CC5" w:rsidP="00CC2CC5">
      <w:pPr>
        <w:pStyle w:val="Heading4"/>
      </w:pPr>
      <w:r>
        <w:t>Endorsement of the precautionary principle manufactures a culture of public fear</w:t>
      </w:r>
    </w:p>
    <w:p w14:paraId="5659C183"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70" w:history="1">
        <w:r w:rsidRPr="005F3904">
          <w:rPr>
            <w:rStyle w:val="Hyperlink"/>
          </w:rPr>
          <w:t>https://doi.org/10.1086/426308)//cb</w:t>
        </w:r>
      </w:hyperlink>
    </w:p>
    <w:p w14:paraId="4C61A730" w14:textId="77777777" w:rsidR="00CC2CC5" w:rsidRPr="00683F8F" w:rsidRDefault="00CC2CC5" w:rsidP="00CC2CC5">
      <w:r w:rsidRPr="00683F8F">
        <w:t>II. POINTLESS PRECAUTIONS?</w:t>
      </w:r>
    </w:p>
    <w:p w14:paraId="5957CC28" w14:textId="77777777" w:rsidR="00CC2CC5" w:rsidRPr="00683F8F" w:rsidRDefault="00CC2CC5" w:rsidP="00CC2CC5">
      <w:pPr>
        <w:rPr>
          <w:sz w:val="14"/>
        </w:rPr>
      </w:pPr>
      <w:r w:rsidRPr="00683F8F">
        <w:rPr>
          <w:sz w:val="14"/>
        </w:rPr>
        <w:t xml:space="preserve">Ackerman and Heinzerling do not focus in detail on any particular regulatory issue. By contrast, Burgess explores the idea of “precaution” with close reference to a single controversy: the health risks associated with cellular phones. </w:t>
      </w:r>
      <w:r w:rsidRPr="00683F8F">
        <w:rPr>
          <w:rStyle w:val="StyleUnderline"/>
        </w:rPr>
        <w:t xml:space="preserve">Burgess </w:t>
      </w:r>
      <w:r w:rsidRPr="00683F8F">
        <w:rPr>
          <w:sz w:val="14"/>
        </w:rPr>
        <w:t xml:space="preserve">does not explicitly discuss CBA, but he </w:t>
      </w:r>
      <w:r w:rsidRPr="00683F8F">
        <w:rPr>
          <w:rStyle w:val="StyleUnderline"/>
        </w:rPr>
        <w:t>is highly skeptical of the Precautionary Principle, which</w:t>
      </w:r>
      <w:r w:rsidRPr="00683F8F">
        <w:rPr>
          <w:sz w:val="14"/>
        </w:rPr>
        <w:t xml:space="preserve">, in his view, </w:t>
      </w:r>
      <w:r w:rsidRPr="00683F8F">
        <w:rPr>
          <w:rStyle w:val="StyleUnderline"/>
        </w:rPr>
        <w:t>leads regulators to capitulate to baseless public fear</w:t>
      </w:r>
      <w:r w:rsidRPr="00683F8F">
        <w:rPr>
          <w:sz w:val="14"/>
        </w:rPr>
        <w:t xml:space="preserve">. One of Burgess’s central claims is that </w:t>
      </w:r>
      <w:r w:rsidRPr="00683F8F">
        <w:rPr>
          <w:rStyle w:val="Emphasis"/>
        </w:rPr>
        <w:t>public fears are often manufactured</w:t>
      </w:r>
      <w:r w:rsidRPr="00683F8F">
        <w:rPr>
          <w:rStyle w:val="StyleUnderline"/>
        </w:rPr>
        <w:t xml:space="preserve"> rather than found</w:t>
      </w:r>
      <w:r w:rsidRPr="00683F8F">
        <w:rPr>
          <w:sz w:val="14"/>
        </w:rPr>
        <w:t>; for this reason, Burgess describes himself as a “social constructivist” (p. 11). But with respect to risk, Burgess is no constructivist at all. He believes that some risks are serious and that others are not, and that science is the best way to tell the difference.</w:t>
      </w:r>
    </w:p>
    <w:p w14:paraId="183FEDB4" w14:textId="77777777" w:rsidR="00CC2CC5" w:rsidRPr="00683F8F" w:rsidRDefault="00CC2CC5" w:rsidP="00CC2CC5">
      <w:pPr>
        <w:rPr>
          <w:sz w:val="14"/>
        </w:rPr>
      </w:pPr>
      <w:r w:rsidRPr="00683F8F">
        <w:rPr>
          <w:sz w:val="14"/>
        </w:rPr>
        <w:t xml:space="preserve">Burgess contends that notwithstanding countless efforts, no reputable study has demonstrated significant health risks as a result of emissions from cell phones and cell phone towers.21 To date, much of the so-called evidence comes from anecdotes of the sort provided by anti–cell phone activist Debbie Collins, who contended that her daughter’s health had significantly improved after she was removed from a school near a cell phone tower. Rejecting expert opinion, Collins stated: “She’s a different child now—it’s all the proof I need to convince me there is a link between those wretched masts and the health of children” (p. 1). Another mother said, “I needed no more proof than that. This term he started at a new school and I can already see the change in him. His memory has improved and his headaches have gone” (p. 2). </w:t>
      </w:r>
      <w:r w:rsidRPr="00683F8F">
        <w:rPr>
          <w:rStyle w:val="StyleUnderline"/>
        </w:rPr>
        <w:t>Burgess is concerned that a precautionary approach</w:t>
      </w:r>
      <w:r w:rsidRPr="00683F8F">
        <w:rPr>
          <w:sz w:val="14"/>
        </w:rPr>
        <w:t xml:space="preserve">, founded on statements of this kind, </w:t>
      </w:r>
      <w:r w:rsidRPr="00683F8F">
        <w:rPr>
          <w:rStyle w:val="StyleUnderline"/>
        </w:rPr>
        <w:t>will both aggravate fear and impose costs for no good reason</w:t>
      </w:r>
      <w:r w:rsidRPr="00683F8F">
        <w:rPr>
          <w:sz w:val="14"/>
        </w:rPr>
        <w:t>.</w:t>
      </w:r>
    </w:p>
    <w:p w14:paraId="678EDDB1" w14:textId="77777777" w:rsidR="00CC2CC5" w:rsidRPr="00683F8F" w:rsidRDefault="00CC2CC5" w:rsidP="00CC2CC5">
      <w:pPr>
        <w:rPr>
          <w:sz w:val="12"/>
          <w:szCs w:val="12"/>
        </w:rPr>
      </w:pPr>
      <w:r w:rsidRPr="00683F8F">
        <w:rPr>
          <w:sz w:val="12"/>
          <w:szCs w:val="12"/>
        </w:rPr>
        <w:t>Burgess’s tale begins with a media campaign. In the early 1990s, a number of newspaper stories in the United Kingdom contended, on the basis of little evidence, that mobile phones and base stations were producing harmful health effects. Apparently influenced by these stories, the European Commission in Brussels began an official inquiry in 1995, ultimately funding future research and concluding that adverse effects could not be ruled out. Public fears intensified in 1996 after the issue received attention in a consumer health program on the BBC and a widely read news story in the Sunday Times featuring the headline “Mobile phones cook your brain.” In 1997, alarmist reports grew in the media, making the claim that cell phones could produce illness and premature mortality (and also reduce sex drives). These reports helped to spur citizen action. By 1999, local political campaigns against cell phone towers became prominent, and they received favorable coverage in local and regional newspapers, which further energized public concern.</w:t>
      </w:r>
    </w:p>
    <w:p w14:paraId="6EDBBE31" w14:textId="77777777" w:rsidR="00CC2CC5" w:rsidRDefault="00CC2CC5" w:rsidP="00CC2CC5">
      <w:pPr>
        <w:rPr>
          <w:sz w:val="14"/>
        </w:rPr>
      </w:pPr>
      <w:r w:rsidRPr="002507D2">
        <w:rPr>
          <w:sz w:val="14"/>
        </w:rPr>
        <w:t xml:space="preserve">These campaigns significantly affected both private and public institutions. </w:t>
      </w:r>
      <w:r w:rsidRPr="002507D2">
        <w:rPr>
          <w:rStyle w:val="StyleUnderline"/>
        </w:rPr>
        <w:t>The London Metropolitan Police service told its officers to limit cell phones as a “purely precautionary measure”</w:t>
      </w:r>
      <w:r w:rsidRPr="002507D2">
        <w:rPr>
          <w:sz w:val="14"/>
        </w:rPr>
        <w:t xml:space="preserve"> (p. 87). Harrods banned cell phones from its premises. Speaking in explicitly precautionary terms, entrepreneur Richard Branson recommended the use of safety devices for his employees. Local governing councils across the United Kingdom attempted to ban or restrict mobile towers, particularly those near schools. At the national level, the minister for public health legitimated public fears, insisting that in such a context, “it is very important that” officials “work very hard to keep ahead of public anxiety” (pp. 88–89). In Burgess’s account, </w:t>
      </w:r>
      <w:r w:rsidRPr="002507D2">
        <w:rPr>
          <w:rStyle w:val="StyleUnderline"/>
        </w:rPr>
        <w:t>precautionary responses by official institutions helped to fuel that very anxiety.</w:t>
      </w:r>
      <w:r w:rsidRPr="002507D2">
        <w:rPr>
          <w:sz w:val="14"/>
        </w:rPr>
        <w:t xml:space="preserve"> Thus it “is only through being taken seriously by state bodies that the allegations about hypothetical risks have been able to command authority and acquire momentum beyond the immediate reactions of some individuals” (p. 222).</w:t>
      </w:r>
    </w:p>
    <w:p w14:paraId="7F1C5768" w14:textId="77777777" w:rsidR="00CC2CC5" w:rsidRPr="002507D2" w:rsidRDefault="00CC2CC5" w:rsidP="00CC2CC5">
      <w:pPr>
        <w:rPr>
          <w:sz w:val="12"/>
          <w:szCs w:val="12"/>
        </w:rPr>
      </w:pPr>
      <w:r w:rsidRPr="002507D2">
        <w:rPr>
          <w:sz w:val="12"/>
          <w:szCs w:val="12"/>
        </w:rPr>
        <w:t>Burgess also makes some interesting and somewhat puzzling remarks about cross-cultural comparisons. In the United Kingdom, there was intense public focus on cell phone risks; similar concerns have been found in Australia, Italy, and South Africa. In Italy, the environment minister established a “green hotline” asking people to state their complaints about “abusive” siting of cell phone towers. The Australian government funded a large-scale research project on potentially adverse health effects. But in the United States, the brief burst of concern in the early 1990s rapidly dissipated, to the point where it is hard to find any serious private or public concern about health risks. And in Finland, no discernible public fear has arisen at all, even though Finland has the highest percentage of cell phone users in the world. (The fact that Nokia is Finland’s biggest company is highly relevant here—a point, bearing on both precautions and CBA, to which I will return.)</w:t>
      </w:r>
    </w:p>
    <w:p w14:paraId="7D52297D" w14:textId="77777777" w:rsidR="00CC2CC5" w:rsidRDefault="00CC2CC5" w:rsidP="00CC2CC5">
      <w:pPr>
        <w:rPr>
          <w:rStyle w:val="StyleUnderline"/>
        </w:rPr>
      </w:pPr>
      <w:r w:rsidRPr="002507D2">
        <w:rPr>
          <w:sz w:val="12"/>
        </w:rPr>
        <w:t xml:space="preserve">Burgess thinks </w:t>
      </w:r>
      <w:r w:rsidRPr="002507D2">
        <w:rPr>
          <w:rStyle w:val="StyleUnderline"/>
        </w:rPr>
        <w:t>that the cell phone controversy is</w:t>
      </w:r>
      <w:r w:rsidRPr="002507D2">
        <w:rPr>
          <w:sz w:val="12"/>
        </w:rPr>
        <w:t xml:space="preserve"> </w:t>
      </w:r>
      <w:r w:rsidRPr="002507D2">
        <w:rPr>
          <w:rStyle w:val="StyleUnderline"/>
        </w:rPr>
        <w:t>merely one example of the misuse of precautionary thinking</w:t>
      </w:r>
      <w:r w:rsidRPr="002507D2">
        <w:rPr>
          <w:sz w:val="12"/>
        </w:rPr>
        <w:t xml:space="preserve"> in domains in which scientific evidence fails to support people’s fears. For example, he challenges European skepticism about genetically modified food, describing it as “alarm” (p. 259); and </w:t>
      </w:r>
      <w:r w:rsidRPr="002507D2">
        <w:rPr>
          <w:rStyle w:val="StyleUnderline"/>
        </w:rPr>
        <w:t>he mounts a broader attack on what he sees as the unhelpful belief that it is wrong to interfere with nature</w:t>
      </w:r>
      <w:r w:rsidRPr="002507D2">
        <w:rPr>
          <w:sz w:val="12"/>
        </w:rPr>
        <w:t xml:space="preserve">. </w:t>
      </w:r>
      <w:r w:rsidRPr="002507D2">
        <w:rPr>
          <w:rStyle w:val="StyleUnderline"/>
        </w:rPr>
        <w:t>He is</w:t>
      </w:r>
      <w:r w:rsidRPr="002507D2">
        <w:rPr>
          <w:sz w:val="12"/>
        </w:rPr>
        <w:t xml:space="preserve"> therefore </w:t>
      </w:r>
      <w:r w:rsidRPr="002507D2">
        <w:rPr>
          <w:rStyle w:val="StyleUnderline"/>
        </w:rPr>
        <w:t>troubled by a wide climate of sensitivity to small risks</w:t>
      </w:r>
      <w:r w:rsidRPr="002507D2">
        <w:rPr>
          <w:sz w:val="12"/>
        </w:rPr>
        <w:t xml:space="preserve">, especially those that are novel and associated with technological innovation. </w:t>
      </w:r>
      <w:r w:rsidRPr="002507D2">
        <w:rPr>
          <w:rStyle w:val="StyleUnderline"/>
        </w:rPr>
        <w:t>Precautionary thinking</w:t>
      </w:r>
      <w:r w:rsidRPr="002507D2">
        <w:rPr>
          <w:sz w:val="12"/>
        </w:rPr>
        <w:t xml:space="preserve">, he believes, </w:t>
      </w:r>
      <w:r w:rsidRPr="002507D2">
        <w:rPr>
          <w:rStyle w:val="StyleUnderline"/>
        </w:rPr>
        <w:t>helps to create a culture of fear.</w:t>
      </w:r>
    </w:p>
    <w:p w14:paraId="540E923A" w14:textId="77777777" w:rsidR="00CC2CC5" w:rsidRPr="005F3904" w:rsidRDefault="00CC2CC5" w:rsidP="00CC2CC5">
      <w:pPr>
        <w:pStyle w:val="Heading4"/>
      </w:pPr>
      <w:r>
        <w:t>Precautionary principle ignores “substitute risks” that result from legislation</w:t>
      </w:r>
    </w:p>
    <w:p w14:paraId="4E0C919D" w14:textId="77777777" w:rsidR="00CC2CC5" w:rsidRDefault="00CC2CC5" w:rsidP="00CC2CC5">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71" w:history="1">
        <w:r w:rsidRPr="005F3904">
          <w:rPr>
            <w:rStyle w:val="Hyperlink"/>
          </w:rPr>
          <w:t>https://doi.org/10.1086/426308)//cb</w:t>
        </w:r>
      </w:hyperlink>
    </w:p>
    <w:p w14:paraId="533B0602" w14:textId="77777777" w:rsidR="00CC2CC5" w:rsidRPr="001628D6" w:rsidRDefault="00CC2CC5" w:rsidP="00CC2CC5">
      <w:pPr>
        <w:rPr>
          <w:rStyle w:val="Hyperlink"/>
          <w:sz w:val="16"/>
          <w:szCs w:val="16"/>
        </w:rPr>
      </w:pPr>
      <w:r w:rsidRPr="001628D6">
        <w:rPr>
          <w:rStyle w:val="Hyperlink"/>
          <w:sz w:val="16"/>
          <w:szCs w:val="16"/>
        </w:rPr>
        <w:t>IV. PROBLEMS WITH PRECAUTIONS</w:t>
      </w:r>
    </w:p>
    <w:p w14:paraId="1A6249A1" w14:textId="77777777" w:rsidR="00CC2CC5" w:rsidRPr="001628D6" w:rsidRDefault="00CC2CC5" w:rsidP="00CC2CC5">
      <w:pPr>
        <w:rPr>
          <w:rStyle w:val="Hyperlink"/>
          <w:sz w:val="16"/>
          <w:szCs w:val="16"/>
        </w:rPr>
      </w:pPr>
      <w:r w:rsidRPr="001628D6">
        <w:rPr>
          <w:rStyle w:val="Hyperlink"/>
          <w:sz w:val="16"/>
          <w:szCs w:val="16"/>
        </w:rPr>
        <w:t>These three books cover three quite different issues: the idea of precaution, the translation of environmental harms into monetary equivalents, and the appropriate approach to environmental regulation in the face of scientific uncertainty. Let us explore these issues in turn.</w:t>
      </w:r>
    </w:p>
    <w:p w14:paraId="47AF633B" w14:textId="77777777" w:rsidR="00CC2CC5" w:rsidRDefault="00CC2CC5" w:rsidP="00CC2CC5">
      <w:pPr>
        <w:rPr>
          <w:rStyle w:val="StyleUnderline"/>
        </w:rPr>
      </w:pPr>
      <w:r w:rsidRPr="001628D6">
        <w:rPr>
          <w:rStyle w:val="Hyperlink"/>
          <w:sz w:val="16"/>
        </w:rPr>
        <w:t xml:space="preserve">Ackerman and Heinzerling argue in favor of the Precautionary Principle. Burgess rejects it as leading to nonsensical outcomes. Posner believes that it must be converted into a form of CBA, one that embodies an aversion to those risks that deserve particular concern. At first glance, it is tempting to say, with Burgess, that the idea of precaution will lead to excessive controls on small or nonexistent risks. It is equally tempting to say, with Posner, that the idea is simply too vague to provide guidance: how much precaution is enough? But the most serious problem lies elsewhere. </w:t>
      </w:r>
      <w:r w:rsidRPr="001628D6">
        <w:rPr>
          <w:rStyle w:val="StyleUnderline"/>
        </w:rPr>
        <w:t>In many contexts, the Precautionary Principle is incoherent</w:t>
      </w:r>
      <w:r w:rsidRPr="001628D6">
        <w:rPr>
          <w:rStyle w:val="Hyperlink"/>
          <w:sz w:val="16"/>
        </w:rPr>
        <w:t xml:space="preserve">.30 </w:t>
      </w:r>
      <w:r w:rsidRPr="001628D6">
        <w:rPr>
          <w:rStyle w:val="StyleUnderline"/>
        </w:rPr>
        <w:t>Risks are often on all sides of a</w:t>
      </w:r>
      <w:r w:rsidRPr="001628D6">
        <w:rPr>
          <w:rStyle w:val="Hyperlink"/>
          <w:sz w:val="16"/>
        </w:rPr>
        <w:t xml:space="preserve"> social </w:t>
      </w:r>
      <w:r w:rsidRPr="001628D6">
        <w:rPr>
          <w:rStyle w:val="StyleUnderline"/>
        </w:rPr>
        <w:t>situation, and risk reduction itself produces risks</w:t>
      </w:r>
      <w:r w:rsidRPr="001628D6">
        <w:rPr>
          <w:rStyle w:val="Hyperlink"/>
          <w:sz w:val="16"/>
        </w:rPr>
        <w:t xml:space="preserve">. Hence </w:t>
      </w:r>
      <w:r w:rsidRPr="001628D6">
        <w:rPr>
          <w:rStyle w:val="StyleUnderline"/>
        </w:rPr>
        <w:t>the Precautionary Principle</w:t>
      </w:r>
      <w:r w:rsidRPr="001628D6">
        <w:rPr>
          <w:rStyle w:val="Hyperlink"/>
          <w:sz w:val="16"/>
        </w:rPr>
        <w:t xml:space="preserve">, taken for all that it is worth, </w:t>
      </w:r>
      <w:r w:rsidRPr="001628D6">
        <w:rPr>
          <w:rStyle w:val="StyleUnderline"/>
        </w:rPr>
        <w:t>forbids the very measures that it requires</w:t>
      </w:r>
      <w:r w:rsidRPr="001628D6">
        <w:rPr>
          <w:rStyle w:val="Hyperlink"/>
          <w:sz w:val="16"/>
        </w:rPr>
        <w:t xml:space="preserve">. Ackerman and Heinzerling neglect the fact that </w:t>
      </w:r>
      <w:r w:rsidRPr="001628D6">
        <w:rPr>
          <w:rStyle w:val="StyleUnderline"/>
        </w:rPr>
        <w:t>regulation can create dangers of its own, in a way that</w:t>
      </w:r>
      <w:r w:rsidRPr="001628D6">
        <w:rPr>
          <w:rStyle w:val="Hyperlink"/>
          <w:sz w:val="16"/>
        </w:rPr>
        <w:t xml:space="preserve"> </w:t>
      </w:r>
      <w:r w:rsidRPr="001628D6">
        <w:rPr>
          <w:rStyle w:val="StyleUnderline"/>
        </w:rPr>
        <w:t xml:space="preserve">suggests </w:t>
      </w:r>
      <w:r w:rsidRPr="001628D6">
        <w:rPr>
          <w:rStyle w:val="Hyperlink"/>
          <w:sz w:val="16"/>
        </w:rPr>
        <w:t xml:space="preserve">that along some dimensions, </w:t>
      </w:r>
      <w:r w:rsidRPr="001628D6">
        <w:rPr>
          <w:rStyle w:val="StyleUnderline"/>
        </w:rPr>
        <w:t>many precautions are not precautionary at all</w:t>
      </w:r>
      <w:r w:rsidRPr="001628D6">
        <w:rPr>
          <w:rStyle w:val="Hyperlink"/>
          <w:sz w:val="16"/>
        </w:rPr>
        <w:t xml:space="preserve">. </w:t>
      </w:r>
      <w:r w:rsidRPr="001628D6">
        <w:rPr>
          <w:rStyle w:val="StyleUnderline"/>
        </w:rPr>
        <w:t>Advocates of precaution often emphasize the costs</w:t>
      </w:r>
      <w:r w:rsidRPr="001628D6">
        <w:rPr>
          <w:rStyle w:val="Hyperlink"/>
          <w:sz w:val="16"/>
        </w:rPr>
        <w:t xml:space="preserve"> associated with a product or process, </w:t>
      </w:r>
      <w:r w:rsidRPr="001628D6">
        <w:rPr>
          <w:rStyle w:val="StyleUnderline"/>
        </w:rPr>
        <w:t>without seeing that it may have benefits</w:t>
      </w:r>
      <w:r w:rsidRPr="001628D6">
        <w:rPr>
          <w:rStyle w:val="Hyperlink"/>
          <w:sz w:val="16"/>
        </w:rPr>
        <w:t xml:space="preserve"> as well; and </w:t>
      </w:r>
      <w:r w:rsidRPr="001628D6">
        <w:rPr>
          <w:rStyle w:val="StyleUnderline"/>
        </w:rPr>
        <w:t>sometimes those benefits involve the environment itself</w:t>
      </w:r>
      <w:r w:rsidRPr="001628D6">
        <w:rPr>
          <w:rStyle w:val="Hyperlink"/>
          <w:sz w:val="16"/>
        </w:rPr>
        <w:t xml:space="preserve">. </w:t>
      </w:r>
      <w:r w:rsidRPr="001628D6">
        <w:rPr>
          <w:rStyle w:val="StyleUnderline"/>
        </w:rPr>
        <w:t>Why should regulators examine only one side of the ledger?</w:t>
      </w:r>
    </w:p>
    <w:p w14:paraId="2E7E9BB0" w14:textId="77777777" w:rsidR="00CC2CC5" w:rsidRDefault="00CC2CC5" w:rsidP="00CC2CC5">
      <w:pPr>
        <w:rPr>
          <w:sz w:val="16"/>
        </w:rPr>
      </w:pPr>
      <w:r w:rsidRPr="001628D6">
        <w:rPr>
          <w:sz w:val="16"/>
        </w:rPr>
        <w:t xml:space="preserve">For example, </w:t>
      </w:r>
      <w:r w:rsidRPr="001628D6">
        <w:rPr>
          <w:rStyle w:val="StyleUnderline"/>
        </w:rPr>
        <w:t>regulation often gives rise to substitute risks</w:t>
      </w:r>
      <w:r w:rsidRPr="001628D6">
        <w:rPr>
          <w:sz w:val="16"/>
        </w:rPr>
        <w:t xml:space="preserve">, </w:t>
      </w:r>
      <w:r w:rsidRPr="001628D6">
        <w:rPr>
          <w:rStyle w:val="StyleUnderline"/>
        </w:rPr>
        <w:t>in the form of hazards that materialize</w:t>
      </w:r>
      <w:r w:rsidRPr="001628D6">
        <w:rPr>
          <w:sz w:val="16"/>
        </w:rPr>
        <w:t xml:space="preserve">, or are increased, </w:t>
      </w:r>
      <w:r w:rsidRPr="001628D6">
        <w:rPr>
          <w:rStyle w:val="StyleUnderline"/>
        </w:rPr>
        <w:t>as a result of regulation</w:t>
      </w:r>
      <w:r w:rsidRPr="001628D6">
        <w:rPr>
          <w:sz w:val="16"/>
        </w:rPr>
        <w:t xml:space="preserve">. Consider the case of DDT, often banned or regulated in the interest of reducing risks to birds and human beings. From the standpoint of the Precautionary Principle, the problem with such bans is that, in poor nations, they eliminate what appears to be the most effective way of combating malaria—and thus significantly undermine public health.31 Or consider the United States EPA’s effort to ban asbestos, a ban that, on health grounds, might well seem justified or even compelled by the Precautionary Principle. The difficulty, from the standpoint of that very principle, is that substitutes for asbestos also carry risks. The problem is pervasive. </w:t>
      </w:r>
      <w:r w:rsidRPr="001628D6">
        <w:rPr>
          <w:rStyle w:val="StyleUnderline"/>
        </w:rPr>
        <w:t>The Precautionary Principle is often invoked as a reason for banning genetic modification of food,</w:t>
      </w:r>
      <w:r w:rsidRPr="001628D6">
        <w:rPr>
          <w:sz w:val="16"/>
        </w:rPr>
        <w:t xml:space="preserve"> on the ground that genetic modification creates risks to human health and to the environment. The problem is that </w:t>
      </w:r>
      <w:r w:rsidRPr="001628D6">
        <w:rPr>
          <w:rStyle w:val="StyleUnderline"/>
        </w:rPr>
        <w:t>genetic modification of food also promises benefits to human health and the environment</w:t>
      </w:r>
      <w:r w:rsidRPr="001628D6">
        <w:rPr>
          <w:sz w:val="16"/>
        </w:rPr>
        <w:t xml:space="preserve">—and, by eliminating those benefits, regulation itself threatens to run afoul of the Precautionary Principle. </w:t>
      </w:r>
      <w:r w:rsidRPr="001628D6">
        <w:rPr>
          <w:rStyle w:val="StyleUnderline"/>
        </w:rPr>
        <w:t>When the principle seems to give guidance, it is often because those who use it are focusing on one aspect of risk-related situations and neglecting others</w:t>
      </w:r>
      <w:r w:rsidRPr="001628D6">
        <w:rPr>
          <w:sz w:val="16"/>
        </w:rPr>
        <w:t>.</w:t>
      </w:r>
    </w:p>
    <w:p w14:paraId="4A276CD4" w14:textId="77777777" w:rsidR="00CC2CC5" w:rsidRPr="005F3904" w:rsidRDefault="00CC2CC5" w:rsidP="00CC2CC5">
      <w:pPr>
        <w:pStyle w:val="Heading4"/>
        <w:rPr>
          <w:rFonts w:cs="Calibri"/>
        </w:rPr>
      </w:pPr>
      <w:r w:rsidRPr="005F3904">
        <w:rPr>
          <w:rFonts w:cs="Calibri"/>
        </w:rPr>
        <w:t>Precautionary principle</w:t>
      </w:r>
      <w:r>
        <w:rPr>
          <w:rFonts w:cs="Calibri"/>
        </w:rPr>
        <w:t xml:space="preserve"> is too restrictive and infinitely regressive—assumes irreversible harms like warming</w:t>
      </w:r>
      <w:r w:rsidRPr="005F3904">
        <w:rPr>
          <w:rFonts w:cs="Calibri"/>
        </w:rPr>
        <w:t xml:space="preserve"> </w:t>
      </w:r>
    </w:p>
    <w:p w14:paraId="6586DC34" w14:textId="77777777" w:rsidR="00CC2CC5" w:rsidRPr="005F3904" w:rsidRDefault="00CC2CC5" w:rsidP="00CC2CC5">
      <w:pPr>
        <w:rPr>
          <w:sz w:val="16"/>
        </w:rPr>
      </w:pPr>
      <w:r w:rsidRPr="005F3904">
        <w:rPr>
          <w:rStyle w:val="Style13ptBold"/>
        </w:rPr>
        <w:t>Harris and Holm 02</w:t>
      </w:r>
      <w:r w:rsidRPr="005F3904">
        <w:rPr>
          <w:sz w:val="16"/>
        </w:rPr>
        <w:t xml:space="preserve"> (John Harris, PhD in philosophy, Lord Alliance Professor of Bioethics at the University of Manchester, Søren Holm, PhD, Professor of Bioethics at the University of Manchester,“Extending human lifespan and the precautionary paradox,” Journal of Medicine and Philosophy, 2002, https://pubmed.ncbi.nlm.nih.gov/12187439/)//cb</w:t>
      </w:r>
    </w:p>
    <w:p w14:paraId="01BA92E8" w14:textId="77777777" w:rsidR="00CC2CC5" w:rsidRPr="005F3904" w:rsidRDefault="00CC2CC5" w:rsidP="00CC2CC5">
      <w:pPr>
        <w:pStyle w:val="NormalWeb"/>
        <w:rPr>
          <w:sz w:val="14"/>
          <w:szCs w:val="14"/>
        </w:rPr>
      </w:pPr>
      <w:r w:rsidRPr="005F3904">
        <w:rPr>
          <w:sz w:val="14"/>
          <w:szCs w:val="14"/>
        </w:rPr>
        <w:t>C-PP = modified precautionary principle “C-PP: When an activity raises (credible) threats of serious and both irreversible and irremediable harm to human health or the environment, precautionary measures shall be taken.”</w:t>
      </w:r>
    </w:p>
    <w:p w14:paraId="6DA283DA" w14:textId="77777777" w:rsidR="00CC2CC5" w:rsidRPr="005F3904" w:rsidRDefault="00CC2CC5" w:rsidP="00CC2CC5">
      <w:pPr>
        <w:rPr>
          <w:sz w:val="16"/>
        </w:rPr>
      </w:pPr>
      <w:r w:rsidRPr="005F3904">
        <w:rPr>
          <w:sz w:val="16"/>
        </w:rPr>
        <w:t>Decision Rules</w:t>
      </w:r>
    </w:p>
    <w:p w14:paraId="0EA93D88" w14:textId="77777777" w:rsidR="00CC2CC5" w:rsidRPr="005F3904" w:rsidRDefault="00CC2CC5" w:rsidP="00CC2CC5">
      <w:pPr>
        <w:rPr>
          <w:sz w:val="16"/>
        </w:rPr>
      </w:pPr>
      <w:r w:rsidRPr="005F3904">
        <w:rPr>
          <w:sz w:val="16"/>
        </w:rPr>
        <w:t xml:space="preserve">But, as we pointed out above, the PP could also be a rule of choice, and even if the E-PP is invalid, the C-PP might be valid. It is, however, fairly simple to show that this is not the case. First, </w:t>
      </w:r>
      <w:r w:rsidRPr="005F3904">
        <w:rPr>
          <w:rStyle w:val="StyleUnderline"/>
        </w:rPr>
        <w:t>accepting the C-PP will leave us paralyzed</w:t>
      </w:r>
      <w:r w:rsidRPr="005F3904">
        <w:rPr>
          <w:sz w:val="16"/>
        </w:rPr>
        <w:t xml:space="preserve">. If we, for instance, </w:t>
      </w:r>
      <w:r w:rsidRPr="005F3904">
        <w:rPr>
          <w:rStyle w:val="StyleUnderline"/>
        </w:rPr>
        <w:t>look at the case of genetically modifed plants</w:t>
      </w:r>
      <w:r w:rsidRPr="005F3904">
        <w:rPr>
          <w:sz w:val="16"/>
        </w:rPr>
        <w:t xml:space="preserve"> (GM- plants), </w:t>
      </w:r>
      <w:r w:rsidRPr="005F3904">
        <w:rPr>
          <w:rStyle w:val="StyleUnderline"/>
        </w:rPr>
        <w:t>there is no doubt that the largest amount of uncertainty about their possible harmfulness to the environment and / or to human beings existed at the time when nobody had yet produced a GM-plant</w:t>
      </w:r>
      <w:r w:rsidRPr="005F3904">
        <w:rPr>
          <w:sz w:val="16"/>
        </w:rPr>
        <w:t xml:space="preserve">. There were theoretical models showing that harm might occur, but for very obvious reasons no empirical data to back up or dispute these models. </w:t>
      </w:r>
      <w:r w:rsidRPr="005F3904">
        <w:rPr>
          <w:rStyle w:val="StyleUnderline"/>
        </w:rPr>
        <w:t>The C-PP would have instructed us not to proceed any further and perhaps even to stop people thinking about going further</w:t>
      </w:r>
      <w:r w:rsidRPr="005F3904">
        <w:rPr>
          <w:sz w:val="16"/>
        </w:rPr>
        <w:t xml:space="preserve"> (this may in some circumstances be a necessary precautionary measure!), and </w:t>
      </w:r>
      <w:r w:rsidRPr="005F3904">
        <w:rPr>
          <w:rStyle w:val="StyleUnderline"/>
        </w:rPr>
        <w:t>the data to show whether or not the theoretical risks are real risks would never have been produced.</w:t>
      </w:r>
      <w:r w:rsidRPr="005F3904">
        <w:rPr>
          <w:sz w:val="16"/>
        </w:rPr>
        <w:t xml:space="preserve"> The same is, of course, true for every subsequent step in the process of introducing GM-plants. The C- PP will tell us not to proceed any further, simply because there is some threat of harm which cannot be conclusively ruled out based on evidence from the preceding step in the process. </w:t>
      </w:r>
      <w:r w:rsidRPr="005F3904">
        <w:rPr>
          <w:rStyle w:val="StyleUnderline"/>
        </w:rPr>
        <w:t>The C-PP will thus block the development of any technology or human activity where there is just the slightest theoretical possibility of harm</w:t>
      </w:r>
      <w:r w:rsidRPr="005F3904">
        <w:rPr>
          <w:sz w:val="16"/>
        </w:rPr>
        <w:t>.</w:t>
      </w:r>
    </w:p>
    <w:p w14:paraId="0DAA5437" w14:textId="77777777" w:rsidR="00CC2CC5" w:rsidRPr="005F3904" w:rsidRDefault="00CC2CC5" w:rsidP="00CC2CC5">
      <w:pPr>
        <w:rPr>
          <w:sz w:val="14"/>
        </w:rPr>
      </w:pPr>
      <w:r w:rsidRPr="005F3904">
        <w:rPr>
          <w:sz w:val="14"/>
        </w:rPr>
        <w:t xml:space="preserve">Looking at the process from the other direction, </w:t>
      </w:r>
      <w:r w:rsidRPr="005F3904">
        <w:rPr>
          <w:rStyle w:val="StyleUnderline"/>
        </w:rPr>
        <w:t xml:space="preserve">this leads to an </w:t>
      </w:r>
      <w:r w:rsidRPr="005F3904">
        <w:rPr>
          <w:rStyle w:val="Emphasis"/>
        </w:rPr>
        <w:t>infnite regress of precaution</w:t>
      </w:r>
      <w:r w:rsidRPr="005F3904">
        <w:rPr>
          <w:sz w:val="14"/>
        </w:rPr>
        <w:t xml:space="preserve">. </w:t>
      </w:r>
      <w:r w:rsidRPr="005F3904">
        <w:rPr>
          <w:rStyle w:val="StyleUnderline"/>
        </w:rPr>
        <w:t xml:space="preserve">Before I start commercial growing of GM-plants, it seems rational to perform large-scale experiments </w:t>
      </w:r>
      <w:r w:rsidRPr="005F3904">
        <w:rPr>
          <w:sz w:val="14"/>
        </w:rPr>
        <w:t xml:space="preserve">to show, for example, whether the genes may spread to other plants. </w:t>
      </w:r>
      <w:r w:rsidRPr="005F3904">
        <w:rPr>
          <w:rStyle w:val="StyleUnderline"/>
        </w:rPr>
        <w:t>Such experiments are</w:t>
      </w:r>
      <w:r w:rsidRPr="005F3904">
        <w:rPr>
          <w:sz w:val="14"/>
        </w:rPr>
        <w:t xml:space="preserve">, however, </w:t>
      </w:r>
      <w:r w:rsidRPr="005F3904">
        <w:rPr>
          <w:rStyle w:val="StyleUnderline"/>
        </w:rPr>
        <w:t>ruled out by the C-PP</w:t>
      </w:r>
      <w:r w:rsidRPr="005F3904">
        <w:rPr>
          <w:sz w:val="14"/>
        </w:rPr>
        <w:t>, which also rules out small-scale experiments, which also rules out the growing of plants in laboratories, which also rules out F F F etc. etc.</w:t>
      </w:r>
    </w:p>
    <w:p w14:paraId="5A6D723C" w14:textId="77777777" w:rsidR="00CC2CC5" w:rsidRPr="005F3904" w:rsidRDefault="00CC2CC5" w:rsidP="00CC2CC5">
      <w:pPr>
        <w:rPr>
          <w:sz w:val="16"/>
        </w:rPr>
      </w:pPr>
      <w:r w:rsidRPr="005F3904">
        <w:rPr>
          <w:sz w:val="16"/>
        </w:rPr>
        <w:t xml:space="preserve">Second, </w:t>
      </w:r>
      <w:r w:rsidRPr="005F3904">
        <w:rPr>
          <w:rStyle w:val="StyleUnderline"/>
        </w:rPr>
        <w:t>the C-PP can be understood as advocating an extreme degree of risk-aversivity.</w:t>
      </w:r>
      <w:r w:rsidRPr="005F3904">
        <w:rPr>
          <w:sz w:val="16"/>
        </w:rPr>
        <w:t xml:space="preserve"> Risk-aversivity is not necessarily irrational. It can be very rational to include a safety factor in our decision-making, but </w:t>
      </w:r>
      <w:r w:rsidRPr="005F3904">
        <w:rPr>
          <w:rStyle w:val="StyleUnderline"/>
        </w:rPr>
        <w:t>the C-PP requires us to use an infnite safety-factor, and that is undoubtedly irrational in most, if not all, cases.</w:t>
      </w:r>
      <w:r w:rsidRPr="005F3904">
        <w:rPr>
          <w:sz w:val="16"/>
        </w:rPr>
        <w:t xml:space="preserve"> </w:t>
      </w:r>
      <w:r w:rsidRPr="005F3904">
        <w:rPr>
          <w:rStyle w:val="StyleUnderline"/>
        </w:rPr>
        <w:t>The C-PP can</w:t>
      </w:r>
      <w:r w:rsidRPr="005F3904">
        <w:rPr>
          <w:sz w:val="16"/>
        </w:rPr>
        <w:t xml:space="preserve"> therefore </w:t>
      </w:r>
      <w:r w:rsidRPr="005F3904">
        <w:rPr>
          <w:rStyle w:val="StyleUnderline"/>
        </w:rPr>
        <w:t>not be a valid rational decision rule</w:t>
      </w:r>
      <w:r w:rsidRPr="005F3904">
        <w:rPr>
          <w:sz w:val="16"/>
        </w:rPr>
        <w:t>.</w:t>
      </w:r>
    </w:p>
    <w:p w14:paraId="33C440BD" w14:textId="77777777" w:rsidR="00CC2CC5" w:rsidRPr="005F3904" w:rsidRDefault="00CC2CC5" w:rsidP="00CC2CC5">
      <w:pPr>
        <w:rPr>
          <w:sz w:val="16"/>
        </w:rPr>
      </w:pPr>
      <w:r w:rsidRPr="005F3904">
        <w:rPr>
          <w:sz w:val="16"/>
        </w:rPr>
        <w:t>Logical and Real Possibilities</w:t>
      </w:r>
    </w:p>
    <w:p w14:paraId="0AF45D71" w14:textId="77777777" w:rsidR="00CC2CC5" w:rsidRPr="005F3904" w:rsidRDefault="00CC2CC5" w:rsidP="00CC2CC5">
      <w:pPr>
        <w:rPr>
          <w:rStyle w:val="StyleUnderline"/>
        </w:rPr>
      </w:pPr>
      <w:r w:rsidRPr="005F3904">
        <w:rPr>
          <w:sz w:val="16"/>
        </w:rPr>
        <w:t xml:space="preserve">What underlies the attractiveness of the PP in its many forms is, perhaps, a connotation of the concept of logical possibility and our ordinary concept of possibility. </w:t>
      </w:r>
      <w:r w:rsidRPr="005F3904">
        <w:rPr>
          <w:rStyle w:val="StyleUnderline"/>
        </w:rPr>
        <w:t>Every event which does not entail a logical contradiction is logically possible</w:t>
      </w:r>
      <w:r w:rsidRPr="005F3904">
        <w:rPr>
          <w:sz w:val="16"/>
        </w:rPr>
        <w:t xml:space="preserve"> (or as philosophers sometimes put it, there is a possible world in which it is instantiated), </w:t>
      </w:r>
      <w:r w:rsidRPr="005F3904">
        <w:rPr>
          <w:rStyle w:val="StyleUnderline"/>
        </w:rPr>
        <w:t>but there are many logically possible events which are not possible in the present world.</w:t>
      </w:r>
      <w:r w:rsidRPr="005F3904">
        <w:rPr>
          <w:sz w:val="16"/>
        </w:rPr>
        <w:t xml:space="preserve"> It is logically possible for pigs to fly (i.e., it entails no logical contradiction), but it is clearly not possible in the everyday sense of the word (i.e., there may be a world where the event can happen, but it is not the one we inhabit). </w:t>
      </w:r>
      <w:r w:rsidRPr="005F3904">
        <w:rPr>
          <w:rStyle w:val="StyleUnderline"/>
        </w:rPr>
        <w:t>What the PP asks us to do is to suspend this distinction</w:t>
      </w:r>
      <w:r w:rsidRPr="005F3904">
        <w:rPr>
          <w:sz w:val="16"/>
        </w:rPr>
        <w:t xml:space="preserve"> when it comes to possibility of certain kinds of harm, </w:t>
      </w:r>
      <w:r w:rsidRPr="005F3904">
        <w:rPr>
          <w:rStyle w:val="StyleUnderline"/>
        </w:rPr>
        <w:t>and act as if the mere fact that they are logically possible also means</w:t>
      </w:r>
      <w:r w:rsidRPr="005F3904">
        <w:rPr>
          <w:sz w:val="16"/>
        </w:rPr>
        <w:t xml:space="preserve"> that </w:t>
      </w:r>
      <w:r w:rsidRPr="005F3904">
        <w:rPr>
          <w:rStyle w:val="StyleUnderline"/>
        </w:rPr>
        <w:t>they are</w:t>
      </w:r>
      <w:r w:rsidRPr="005F3904">
        <w:rPr>
          <w:sz w:val="16"/>
        </w:rPr>
        <w:t xml:space="preserve"> not only possible, but even </w:t>
      </w:r>
      <w:r w:rsidRPr="005F3904">
        <w:rPr>
          <w:rStyle w:val="StyleUnderline"/>
        </w:rPr>
        <w:t>likely to occur.</w:t>
      </w:r>
    </w:p>
    <w:p w14:paraId="5BB1762A" w14:textId="77777777" w:rsidR="00CC2CC5" w:rsidRDefault="00CC2CC5" w:rsidP="00CC2CC5">
      <w:pPr>
        <w:pStyle w:val="Heading4"/>
      </w:pPr>
      <w:r>
        <w:t>The precautionary principle fails – it is unclear who should take measures and who should bear the cost</w:t>
      </w:r>
    </w:p>
    <w:p w14:paraId="420F195A" w14:textId="77777777" w:rsidR="00CC2CC5" w:rsidRPr="00CA473B" w:rsidRDefault="00CC2CC5" w:rsidP="00CC2CC5">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Proquest, Stanford, </w:t>
      </w:r>
      <w:hyperlink r:id="rId72"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584C6158" w14:textId="77777777" w:rsidR="00CC2CC5" w:rsidRPr="00E467A3" w:rsidRDefault="00CC2CC5" w:rsidP="00CC2CC5">
      <w:pPr>
        <w:rPr>
          <w:sz w:val="14"/>
        </w:rPr>
      </w:pPr>
      <w:r w:rsidRPr="00E467A3">
        <w:rPr>
          <w:sz w:val="14"/>
        </w:rPr>
        <w:t xml:space="preserve">These suggested damage conditions, knowledge conditions and remedies are only Manson's suggestions; many other statements could be added to these lists. Manson concludes that </w:t>
      </w:r>
      <w:r w:rsidRPr="00E467A3">
        <w:rPr>
          <w:rStyle w:val="StyleUnderline"/>
        </w:rPr>
        <w:t>given the number of permutations, not all formulations of the precautionary principle will be equally precautionary</w:t>
      </w:r>
      <w:r w:rsidRPr="00E467A3">
        <w:rPr>
          <w:sz w:val="14"/>
        </w:rPr>
        <w:t>: "</w:t>
      </w:r>
      <w:r w:rsidRPr="00E467A3">
        <w:rPr>
          <w:rStyle w:val="StyleUnderline"/>
        </w:rPr>
        <w:t>Which formulation of the precautionary principle is most favorable</w:t>
      </w:r>
      <w:r w:rsidRPr="00E467A3">
        <w:rPr>
          <w:sz w:val="14"/>
        </w:rPr>
        <w:t xml:space="preserve"> to the pro-precaution side in any given situation </w:t>
      </w:r>
      <w:r w:rsidRPr="00E467A3">
        <w:rPr>
          <w:rStyle w:val="StyleUnderline"/>
        </w:rPr>
        <w:t xml:space="preserve">will depend on </w:t>
      </w:r>
      <w:r w:rsidRPr="00E467A3">
        <w:rPr>
          <w:sz w:val="14"/>
        </w:rPr>
        <w:t xml:space="preserve">the particular </w:t>
      </w:r>
      <w:r w:rsidRPr="00E467A3">
        <w:rPr>
          <w:rStyle w:val="StyleUnderline"/>
        </w:rPr>
        <w:t>political and legal context</w:t>
      </w:r>
      <w:r w:rsidRPr="00E467A3">
        <w:rPr>
          <w:sz w:val="14"/>
        </w:rPr>
        <w:t xml:space="preserve"> in which that formulation is to be employed."19 This diversity of formulations owes in part to the fact that </w:t>
      </w:r>
      <w:r w:rsidRPr="00E467A3">
        <w:rPr>
          <w:rStyle w:val="StyleUnderline"/>
        </w:rPr>
        <w:t>Manson does not require the components of the precautionary principle to be specified according to any rules</w:t>
      </w:r>
      <w:r w:rsidRPr="00E467A3">
        <w:rPr>
          <w:sz w:val="14"/>
        </w:rPr>
        <w:t xml:space="preserve"> or in any particular way.</w:t>
      </w:r>
    </w:p>
    <w:p w14:paraId="053F4A09" w14:textId="77777777" w:rsidR="00CC2CC5" w:rsidRDefault="00CC2CC5" w:rsidP="00CC2CC5">
      <w:pPr>
        <w:rPr>
          <w:sz w:val="14"/>
        </w:rPr>
      </w:pPr>
      <w:r w:rsidRPr="00E467A3">
        <w:rPr>
          <w:sz w:val="14"/>
        </w:rPr>
        <w:t xml:space="preserve">The Wingspread Precautionary Principle (WPP) clearly subscribes to the core structure identified by Manson. Here </w:t>
      </w:r>
      <w:r w:rsidRPr="00E467A3">
        <w:rPr>
          <w:rStyle w:val="StyleUnderline"/>
        </w:rPr>
        <w:t xml:space="preserve">the suggested damage condition is </w:t>
      </w:r>
      <w:r w:rsidRPr="00E467A3">
        <w:rPr>
          <w:rStyle w:val="Emphasis"/>
        </w:rPr>
        <w:t>any harm at all to human health or the environment</w:t>
      </w:r>
      <w:r w:rsidRPr="00E467A3">
        <w:rPr>
          <w:sz w:val="14"/>
        </w:rPr>
        <w:t xml:space="preserve">. The suggested remedy is some sort of precautionary measure, and the knowledge condition is rather weak: there must be a threat of harm, but a complete understanding of the relevant causal relationships is not required. In our 2004 paper Turner and I use WPP and Manson's analysis of the structure of the precautionary principle to motivate our discussion of the ways in which the precautionary principle appears to be inherently unclear. We note at the outset of our discussion that all </w:t>
      </w:r>
      <w:r w:rsidRPr="00E467A3">
        <w:rPr>
          <w:rStyle w:val="StyleUnderline"/>
        </w:rPr>
        <w:t>three of WPP's basic components</w:t>
      </w:r>
      <w:r w:rsidRPr="00E467A3">
        <w:rPr>
          <w:sz w:val="14"/>
        </w:rPr>
        <w:t xml:space="preserve"> - the damage condition, the knowledge condition, and the suggested remedy - </w:t>
      </w:r>
      <w:r w:rsidRPr="00E467A3">
        <w:rPr>
          <w:rStyle w:val="StyleUnderline"/>
        </w:rPr>
        <w:t>are left vague.</w:t>
      </w:r>
      <w:r w:rsidRPr="00E467A3">
        <w:rPr>
          <w:sz w:val="14"/>
        </w:rPr>
        <w:t xml:space="preserve"> Implicit in our analysis is the goal of identifying the best formulation of the precautionary principle, though, as we will see in 2.3, whether such a formulation is possible depends on what kind of principle the precautionary principle is supposed to be, something Turner and I never settle on.</w:t>
      </w:r>
    </w:p>
    <w:p w14:paraId="6807DF4F" w14:textId="77777777" w:rsidR="00CC2CC5" w:rsidRPr="00643950" w:rsidRDefault="00CC2CC5" w:rsidP="00CC2CC5">
      <w:pPr>
        <w:rPr>
          <w:sz w:val="14"/>
        </w:rPr>
      </w:pPr>
      <w:r w:rsidRPr="00643950">
        <w:rPr>
          <w:sz w:val="14"/>
        </w:rPr>
        <w:t xml:space="preserve">WPP says that "precautionary measures should be taken". </w:t>
      </w:r>
      <w:r w:rsidRPr="00E467A3">
        <w:rPr>
          <w:rStyle w:val="StyleUnderline"/>
        </w:rPr>
        <w:t>The lack of a grammatical subject leaves unclear who should take these measures or bear the cost of precaution</w:t>
      </w:r>
      <w:r w:rsidRPr="00643950">
        <w:rPr>
          <w:sz w:val="14"/>
        </w:rPr>
        <w:t xml:space="preserve">. Turner and I argue that </w:t>
      </w:r>
      <w:r w:rsidRPr="00E467A3">
        <w:rPr>
          <w:rStyle w:val="Emphasis"/>
        </w:rPr>
        <w:t>the precautionary principle will likely fail to be a clear guide to action</w:t>
      </w:r>
      <w:r w:rsidRPr="00643950">
        <w:rPr>
          <w:sz w:val="14"/>
        </w:rPr>
        <w:t xml:space="preserve"> if it is formulated in the passive voice. It is one thing for people to agree that precautionary measures should be taken against the worst threats of harm climate change threatens, for example; but it is another thing entirely for particular parties to take responsibility for actually taking these measures. In order to be meaningful then, the precautionary principle must delineate who must bear responsibility for precautionary action, rather than leaving this completely open.</w:t>
      </w:r>
    </w:p>
    <w:p w14:paraId="110EC1B4" w14:textId="77777777" w:rsidR="00CC2CC5" w:rsidRPr="00643950" w:rsidRDefault="00CC2CC5" w:rsidP="00CC2CC5">
      <w:pPr>
        <w:rPr>
          <w:sz w:val="14"/>
          <w:szCs w:val="14"/>
        </w:rPr>
      </w:pPr>
      <w:r w:rsidRPr="00643950">
        <w:rPr>
          <w:sz w:val="14"/>
          <w:szCs w:val="14"/>
        </w:rPr>
        <w:t>One way of resolving this ambiguity is to require that whoever is causing (or contributing to) some threat of harm to bear responsibly for taking precautionary measures against its potentially adverse effects.20 Tuner and I therefore suggest that perhaps WPP needs to be strengthened in the following way:</w:t>
      </w:r>
    </w:p>
    <w:p w14:paraId="7E29CE5C" w14:textId="77777777" w:rsidR="00CC2CC5" w:rsidRPr="00643950" w:rsidRDefault="00CC2CC5" w:rsidP="00CC2CC5">
      <w:pPr>
        <w:rPr>
          <w:sz w:val="14"/>
        </w:rPr>
      </w:pPr>
      <w:r w:rsidRPr="00643950">
        <w:rPr>
          <w:sz w:val="14"/>
        </w:rPr>
        <w:t xml:space="preserve">Revised Wingspread Precautionary Principle (RWPP): </w:t>
      </w:r>
      <w:r w:rsidRPr="00E467A3">
        <w:rPr>
          <w:rStyle w:val="StyleUnderline"/>
        </w:rPr>
        <w:t xml:space="preserve">When an activity raises threats of harm to the environment </w:t>
      </w:r>
      <w:r w:rsidRPr="00E467A3">
        <w:rPr>
          <w:rStyle w:val="Emphasis"/>
        </w:rPr>
        <w:t>or human health</w:t>
      </w:r>
      <w:r w:rsidRPr="00643950">
        <w:rPr>
          <w:sz w:val="14"/>
        </w:rPr>
        <w:t xml:space="preserve">, </w:t>
      </w:r>
      <w:r w:rsidRPr="00E467A3">
        <w:rPr>
          <w:rStyle w:val="StyleUnderline"/>
        </w:rPr>
        <w:t>whoever is doing or contributing to must take precautionary measures</w:t>
      </w:r>
      <w:r w:rsidRPr="00643950">
        <w:rPr>
          <w:sz w:val="14"/>
        </w:rPr>
        <w:t>, even if some of the cause-and-effect relationships are not fully established scientifically.21</w:t>
      </w:r>
    </w:p>
    <w:p w14:paraId="24DE9390" w14:textId="77777777" w:rsidR="00CC2CC5" w:rsidRPr="00643950" w:rsidRDefault="00CC2CC5" w:rsidP="00CC2CC5">
      <w:pPr>
        <w:rPr>
          <w:sz w:val="14"/>
        </w:rPr>
      </w:pPr>
      <w:r w:rsidRPr="00E467A3">
        <w:rPr>
          <w:rStyle w:val="StyleUnderline"/>
        </w:rPr>
        <w:t>There are two problems</w:t>
      </w:r>
      <w:r w:rsidRPr="00643950">
        <w:rPr>
          <w:sz w:val="14"/>
        </w:rPr>
        <w:t xml:space="preserve">, however, </w:t>
      </w:r>
      <w:r w:rsidRPr="00E467A3">
        <w:rPr>
          <w:rStyle w:val="StyleUnderline"/>
        </w:rPr>
        <w:t>with RWPP.</w:t>
      </w:r>
      <w:r w:rsidRPr="00643950">
        <w:rPr>
          <w:sz w:val="14"/>
        </w:rPr>
        <w:t xml:space="preserve"> First, </w:t>
      </w:r>
      <w:r w:rsidRPr="00E467A3">
        <w:rPr>
          <w:rStyle w:val="StyleUnderline"/>
        </w:rPr>
        <w:t>the definition of a contributor is somewhat vague, and contribution to a risky activity A could include either an action or an omission so</w:t>
      </w:r>
      <w:r w:rsidRPr="00643950">
        <w:rPr>
          <w:sz w:val="14"/>
        </w:rPr>
        <w:t xml:space="preserve"> that perhaps </w:t>
      </w:r>
      <w:r w:rsidRPr="00E467A3">
        <w:rPr>
          <w:rStyle w:val="StyleUnderline"/>
        </w:rPr>
        <w:t>even a failure to regulate activity A could count as contributing</w:t>
      </w:r>
      <w:r w:rsidRPr="00643950">
        <w:rPr>
          <w:sz w:val="14"/>
        </w:rPr>
        <w:t xml:space="preserve"> to A. </w:t>
      </w:r>
      <w:r w:rsidRPr="00E467A3">
        <w:rPr>
          <w:rStyle w:val="StyleUnderline"/>
        </w:rPr>
        <w:t>It is</w:t>
      </w:r>
      <w:r w:rsidRPr="00643950">
        <w:rPr>
          <w:sz w:val="14"/>
        </w:rPr>
        <w:t xml:space="preserve"> actually quite </w:t>
      </w:r>
      <w:r w:rsidRPr="00E467A3">
        <w:rPr>
          <w:rStyle w:val="StyleUnderline"/>
        </w:rPr>
        <w:t>difficult</w:t>
      </w:r>
      <w:r w:rsidRPr="00643950">
        <w:rPr>
          <w:sz w:val="14"/>
        </w:rPr>
        <w:t xml:space="preserve">, as we have seen, </w:t>
      </w:r>
      <w:r w:rsidRPr="00E467A3">
        <w:rPr>
          <w:rStyle w:val="StyleUnderline"/>
        </w:rPr>
        <w:t>to decide how to think about who or what is contributing to climate change</w:t>
      </w:r>
      <w:r w:rsidRPr="00643950">
        <w:rPr>
          <w:sz w:val="14"/>
        </w:rPr>
        <w:t xml:space="preserve">. What social level of analysis is appropriate when discerning who is responsible for contributing to climate change? Should someone be held responsible for contributing to climate change because she drives an inefficient car? What about someone who drives a hybrid in an effort to reduce her contribution to climate change? How do we differentiate between acts and omissions in terms of whether an act contributes to climate change? Should whoever is directly emitting greenhouse gases be held responsible for the effects of those emissions or should states be held responsible for failing to regulate these emitting activities? </w:t>
      </w:r>
      <w:r w:rsidRPr="00643950">
        <w:rPr>
          <w:rStyle w:val="StyleUnderline"/>
        </w:rPr>
        <w:t>Merely stipulating that whoever is doing or contributing to risky activity</w:t>
      </w:r>
      <w:r w:rsidRPr="00643950">
        <w:rPr>
          <w:sz w:val="14"/>
        </w:rPr>
        <w:t xml:space="preserve"> (i.e. are contributing to some threat of harm) </w:t>
      </w:r>
      <w:r w:rsidRPr="00643950">
        <w:rPr>
          <w:rStyle w:val="StyleUnderline"/>
        </w:rPr>
        <w:t>does not clearly identify who should be held responsible for taking precautionary measures</w:t>
      </w:r>
      <w:r w:rsidRPr="00643950">
        <w:rPr>
          <w:sz w:val="14"/>
        </w:rPr>
        <w:t>, since determining causation is often a murky affair in the kinds of cases to which the precautionary principle applies. RWPP is an improvement, but it still does not settle the question of who is obligated to take precautionary measures in cases in which the activity in question is a widely shared social practice, or in which many people contribute to the activity in different ways.</w:t>
      </w:r>
    </w:p>
    <w:p w14:paraId="09CFC3C6" w14:textId="77777777" w:rsidR="00CC2CC5" w:rsidRPr="00643950" w:rsidRDefault="00CC2CC5" w:rsidP="00CC2CC5">
      <w:pPr>
        <w:rPr>
          <w:sz w:val="14"/>
        </w:rPr>
      </w:pPr>
      <w:r w:rsidRPr="00643950">
        <w:rPr>
          <w:sz w:val="14"/>
        </w:rPr>
        <w:t xml:space="preserve">The second problem with </w:t>
      </w:r>
      <w:r w:rsidRPr="00643950">
        <w:rPr>
          <w:rStyle w:val="Emphasis"/>
        </w:rPr>
        <w:t>RWPP</w:t>
      </w:r>
      <w:r w:rsidRPr="00643950">
        <w:rPr>
          <w:sz w:val="14"/>
        </w:rPr>
        <w:t xml:space="preserve"> is that it </w:t>
      </w:r>
      <w:r w:rsidRPr="00643950">
        <w:rPr>
          <w:rStyle w:val="Emphasis"/>
        </w:rPr>
        <w:t>is formulated to apply only</w:t>
      </w:r>
      <w:r w:rsidRPr="00643950">
        <w:rPr>
          <w:rStyle w:val="StyleUnderline"/>
        </w:rPr>
        <w:t xml:space="preserve"> to potentially risky "activities" and thus </w:t>
      </w:r>
      <w:r w:rsidRPr="00643950">
        <w:rPr>
          <w:rStyle w:val="Emphasis"/>
        </w:rPr>
        <w:t>to the actions of humans</w:t>
      </w:r>
      <w:r w:rsidRPr="00643950">
        <w:rPr>
          <w:sz w:val="14"/>
        </w:rPr>
        <w:t xml:space="preserve">. Other formulations, such as the Rio Declaration, are formulated such that they apply to "threats of serious or irreversible damage" without reference to the causes of such damage.22 </w:t>
      </w:r>
      <w:r w:rsidRPr="00643950">
        <w:rPr>
          <w:rStyle w:val="StyleUnderline"/>
        </w:rPr>
        <w:t>Some of these threats might have natural causes</w:t>
      </w:r>
      <w:r w:rsidRPr="00643950">
        <w:rPr>
          <w:sz w:val="14"/>
        </w:rPr>
        <w:t xml:space="preserve">; there are some harmful outcomes for which no one is directly causally responsible. For example, a large volcanic eruption could cause significant harm and environmental damage, but no one is causally contributing to such threats. </w:t>
      </w:r>
      <w:r w:rsidRPr="00643950">
        <w:rPr>
          <w:rStyle w:val="StyleUnderline"/>
        </w:rPr>
        <w:t>If the precautionary principle is formulated to apply to any and all threats of harm, and if it ties responsibility for taking precautionary measures to causal responsibility, then no one would be held responsible for taking precautionary measures against threats</w:t>
      </w:r>
      <w:r w:rsidRPr="00643950">
        <w:rPr>
          <w:sz w:val="14"/>
        </w:rPr>
        <w:t xml:space="preserve"> of harm stemming </w:t>
      </w:r>
      <w:r w:rsidRPr="00643950">
        <w:rPr>
          <w:rStyle w:val="StyleUnderline"/>
        </w:rPr>
        <w:t>from non-anthropogenic causes</w:t>
      </w:r>
      <w:r w:rsidRPr="00643950">
        <w:rPr>
          <w:sz w:val="14"/>
        </w:rPr>
        <w:t>. And yet we might think that we should put in place precautionary measures to protect people from the harmful effects of volcanic eruptions. We might think, for example, that we should develop and install monitoring and alert systems. In order for such a formulation of the precautionary principle to be effective, then, it would have to assign responsibility for taking precautionary measures in some other way. For example, the responsibility could be shared equally among all affected states.</w:t>
      </w:r>
    </w:p>
    <w:p w14:paraId="029628D9" w14:textId="77777777" w:rsidR="00CC2CC5" w:rsidRDefault="00CC2CC5" w:rsidP="00CC2CC5">
      <w:pPr>
        <w:rPr>
          <w:sz w:val="14"/>
        </w:rPr>
      </w:pPr>
      <w:r w:rsidRPr="00643950">
        <w:rPr>
          <w:sz w:val="14"/>
        </w:rPr>
        <w:t xml:space="preserve">A further complication is that </w:t>
      </w:r>
      <w:r w:rsidRPr="00643950">
        <w:rPr>
          <w:rStyle w:val="Emphasis"/>
        </w:rPr>
        <w:t>precautionary measures are never free</w:t>
      </w:r>
      <w:r w:rsidRPr="00643950">
        <w:rPr>
          <w:rStyle w:val="StyleUnderline"/>
        </w:rPr>
        <w:t>.</w:t>
      </w:r>
      <w:r w:rsidRPr="00643950">
        <w:rPr>
          <w:sz w:val="14"/>
        </w:rPr>
        <w:t xml:space="preserve"> Even abstinence can have a cost. </w:t>
      </w:r>
      <w:r w:rsidRPr="00643950">
        <w:rPr>
          <w:rStyle w:val="StyleUnderline"/>
        </w:rPr>
        <w:t xml:space="preserve">In the case of climate change, there has been much discussion about whether developed countries </w:t>
      </w:r>
      <w:r w:rsidRPr="00643950">
        <w:rPr>
          <w:rStyle w:val="Emphasis"/>
        </w:rPr>
        <w:t>ought to bear</w:t>
      </w:r>
      <w:r w:rsidRPr="00643950">
        <w:rPr>
          <w:sz w:val="14"/>
        </w:rPr>
        <w:t xml:space="preserve"> some (or all) of </w:t>
      </w:r>
      <w:r w:rsidRPr="00643950">
        <w:rPr>
          <w:rStyle w:val="Emphasis"/>
        </w:rPr>
        <w:t>the costs</w:t>
      </w:r>
      <w:r w:rsidRPr="00643950">
        <w:rPr>
          <w:rStyle w:val="StyleUnderline"/>
        </w:rPr>
        <w:t xml:space="preserve"> of helping developing nations mitigate and adapt</w:t>
      </w:r>
      <w:r w:rsidRPr="00643950">
        <w:rPr>
          <w:sz w:val="14"/>
        </w:rPr>
        <w:t xml:space="preserve"> to climate change. </w:t>
      </w:r>
      <w:r w:rsidRPr="00643950">
        <w:rPr>
          <w:rStyle w:val="StyleUnderline"/>
        </w:rPr>
        <w:t xml:space="preserve">Who is responsible for taking precautionary measures and who ought to bear the costs </w:t>
      </w:r>
      <w:r w:rsidRPr="00643950">
        <w:rPr>
          <w:sz w:val="14"/>
        </w:rPr>
        <w:t xml:space="preserve">of these measures </w:t>
      </w:r>
      <w:r w:rsidRPr="00643950">
        <w:rPr>
          <w:rStyle w:val="StyleUnderline"/>
        </w:rPr>
        <w:t>can be different</w:t>
      </w:r>
      <w:r w:rsidRPr="00643950">
        <w:rPr>
          <w:sz w:val="14"/>
        </w:rPr>
        <w:t>. For example, wealthy nations might develop and pay for the installation of clean energy plants in developing nations. But although in some cases the costs of precautionary measures can thus be distributed, there will always be difficult questions about how to distribute them fairly. So RWPP does not distinguish between who is obligated to take precautionary measures and who is to pay for them. Even if we determine that states are the appropriate unit of analysis - that states should be held responsible for contributing to climate change - we may or may not want to require that they pay for precautionary measures proportionally to their contributions to climate change.</w:t>
      </w:r>
    </w:p>
    <w:p w14:paraId="55A9BCDC" w14:textId="77777777" w:rsidR="00CC2CC5" w:rsidRDefault="00CC2CC5" w:rsidP="00CC2CC5">
      <w:pPr>
        <w:rPr>
          <w:sz w:val="14"/>
        </w:rPr>
      </w:pPr>
    </w:p>
    <w:p w14:paraId="6BBF2E52" w14:textId="77777777" w:rsidR="00CC2CC5" w:rsidRDefault="00CC2CC5" w:rsidP="00CC2CC5">
      <w:pPr>
        <w:pStyle w:val="Heading4"/>
      </w:pPr>
      <w:r>
        <w:t>The DA should be prioritized under the precautionary principle</w:t>
      </w:r>
    </w:p>
    <w:p w14:paraId="2060EDF0" w14:textId="77777777" w:rsidR="00CC2CC5" w:rsidRPr="00CA473B" w:rsidRDefault="00CC2CC5" w:rsidP="00CC2CC5">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Proquest, Stanford, </w:t>
      </w:r>
      <w:hyperlink r:id="rId73"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4194C443" w14:textId="77777777" w:rsidR="00CC2CC5" w:rsidRPr="00643950" w:rsidRDefault="00CC2CC5" w:rsidP="00CC2CC5">
      <w:pPr>
        <w:rPr>
          <w:sz w:val="14"/>
          <w:szCs w:val="14"/>
        </w:rPr>
      </w:pPr>
      <w:r w:rsidRPr="00643950">
        <w:rPr>
          <w:sz w:val="14"/>
          <w:szCs w:val="14"/>
        </w:rPr>
        <w:t>Core Structure of the Precautionary Principle (Manson): If an activity is {choose one or more damage conditions} and if it is {choose knowledge condition} that the activity causes the effect, then decision makers are obligated to {choose one or more remedies}.</w:t>
      </w:r>
    </w:p>
    <w:p w14:paraId="033A2166" w14:textId="77777777" w:rsidR="00CC2CC5" w:rsidRPr="00643950" w:rsidRDefault="00CC2CC5" w:rsidP="00CC2CC5">
      <w:pPr>
        <w:rPr>
          <w:sz w:val="14"/>
        </w:rPr>
      </w:pPr>
      <w:r w:rsidRPr="00643950">
        <w:rPr>
          <w:sz w:val="14"/>
        </w:rPr>
        <w:t xml:space="preserve">Suggested </w:t>
      </w:r>
      <w:r w:rsidRPr="00643950">
        <w:rPr>
          <w:rStyle w:val="StyleUnderline"/>
        </w:rPr>
        <w:t>Damage Conditions</w:t>
      </w:r>
      <w:r w:rsidRPr="00643950">
        <w:rPr>
          <w:sz w:val="14"/>
        </w:rPr>
        <w:t>:</w:t>
      </w:r>
    </w:p>
    <w:p w14:paraId="681FFE79" w14:textId="77777777" w:rsidR="00CC2CC5" w:rsidRPr="00643950" w:rsidRDefault="00CC2CC5" w:rsidP="00CC2CC5">
      <w:pPr>
        <w:rPr>
          <w:rStyle w:val="Emphasis"/>
        </w:rPr>
      </w:pPr>
      <w:r w:rsidRPr="00643950">
        <w:rPr>
          <w:sz w:val="14"/>
        </w:rPr>
        <w:t xml:space="preserve">serious; harmful; </w:t>
      </w:r>
      <w:r w:rsidRPr="00643950">
        <w:rPr>
          <w:rStyle w:val="StyleUnderline"/>
        </w:rPr>
        <w:t>catastrophic; irreversible; such as to destroy something irreplaceable</w:t>
      </w:r>
      <w:r w:rsidRPr="00643950">
        <w:rPr>
          <w:sz w:val="14"/>
        </w:rPr>
        <w:t xml:space="preserve">; such as to reduce or eliminate biodiversity; </w:t>
      </w:r>
      <w:r w:rsidRPr="00643950">
        <w:rPr>
          <w:rStyle w:val="Emphasis"/>
        </w:rPr>
        <w:t>such as to violate the rights of members of future generations</w:t>
      </w:r>
    </w:p>
    <w:p w14:paraId="2E725F8C" w14:textId="77777777" w:rsidR="00CC2CC5" w:rsidRPr="00643950" w:rsidRDefault="00CC2CC5" w:rsidP="00CC2CC5">
      <w:pPr>
        <w:rPr>
          <w:rStyle w:val="StyleUnderline"/>
        </w:rPr>
      </w:pPr>
      <w:r w:rsidRPr="00643950">
        <w:rPr>
          <w:sz w:val="14"/>
        </w:rPr>
        <w:t xml:space="preserve">Suggested </w:t>
      </w:r>
      <w:r w:rsidRPr="00643950">
        <w:rPr>
          <w:rStyle w:val="StyleUnderline"/>
        </w:rPr>
        <w:t xml:space="preserve">Knowledge Conditions: </w:t>
      </w:r>
    </w:p>
    <w:p w14:paraId="74C84470" w14:textId="77777777" w:rsidR="00CC2CC5" w:rsidRPr="00643950" w:rsidRDefault="00CC2CC5" w:rsidP="00CC2CC5">
      <w:pPr>
        <w:rPr>
          <w:sz w:val="14"/>
        </w:rPr>
      </w:pPr>
      <w:r w:rsidRPr="00643950">
        <w:rPr>
          <w:sz w:val="14"/>
        </w:rPr>
        <w:t xml:space="preserve">possible; suspected; indicated by a precedent; </w:t>
      </w:r>
      <w:r w:rsidRPr="00643950">
        <w:rPr>
          <w:rStyle w:val="StyleUnderline"/>
        </w:rPr>
        <w:t>reasonable to think; not proven with certainty that it is not the case</w:t>
      </w:r>
      <w:r w:rsidRPr="00643950">
        <w:rPr>
          <w:sz w:val="14"/>
        </w:rPr>
        <w:t>; not proven beyond a shadow of a doubt that it is not the case; not proven beyond a reasonable doubt that it is not the case</w:t>
      </w:r>
    </w:p>
    <w:p w14:paraId="41F680F0" w14:textId="77777777" w:rsidR="00CC2CC5" w:rsidRPr="00643950" w:rsidRDefault="00CC2CC5" w:rsidP="00CC2CC5">
      <w:pPr>
        <w:rPr>
          <w:rStyle w:val="StyleUnderline"/>
        </w:rPr>
      </w:pPr>
      <w:r w:rsidRPr="00643950">
        <w:rPr>
          <w:rStyle w:val="StyleUnderline"/>
        </w:rPr>
        <w:t xml:space="preserve">Suggested Remedies: </w:t>
      </w:r>
    </w:p>
    <w:p w14:paraId="28BD4198" w14:textId="77777777" w:rsidR="00CC2CC5" w:rsidRPr="00643950" w:rsidRDefault="00CC2CC5" w:rsidP="00CC2CC5">
      <w:pPr>
        <w:rPr>
          <w:rStyle w:val="StyleUnderline"/>
        </w:rPr>
      </w:pPr>
      <w:r w:rsidRPr="00643950">
        <w:rPr>
          <w:rStyle w:val="StyleUnderline"/>
        </w:rPr>
        <w:t>ban or</w:t>
      </w:r>
      <w:r w:rsidRPr="00643950">
        <w:rPr>
          <w:sz w:val="14"/>
        </w:rPr>
        <w:t xml:space="preserve"> otherwise </w:t>
      </w:r>
      <w:r w:rsidRPr="00643950">
        <w:rPr>
          <w:rStyle w:val="StyleUnderline"/>
        </w:rPr>
        <w:t>prevent the activity</w:t>
      </w:r>
      <w:r w:rsidRPr="00643950">
        <w:rPr>
          <w:sz w:val="14"/>
        </w:rPr>
        <w:t xml:space="preserve">; put a moratorium on the activity; postpone the activity; </w:t>
      </w:r>
      <w:r w:rsidRPr="00643950">
        <w:rPr>
          <w:rStyle w:val="StyleUnderline"/>
        </w:rPr>
        <w:t>encourage</w:t>
      </w:r>
      <w:r w:rsidRPr="00643950">
        <w:rPr>
          <w:sz w:val="14"/>
        </w:rPr>
        <w:t xml:space="preserve"> research </w:t>
      </w:r>
      <w:r w:rsidRPr="00643950">
        <w:rPr>
          <w:rStyle w:val="StyleUnderline"/>
        </w:rPr>
        <w:t>alternatives</w:t>
      </w:r>
      <w:r w:rsidRPr="00643950">
        <w:rPr>
          <w:sz w:val="14"/>
        </w:rPr>
        <w:t xml:space="preserve"> to the activity; try to </w:t>
      </w:r>
      <w:r w:rsidRPr="00643950">
        <w:rPr>
          <w:rStyle w:val="StyleUnderline"/>
        </w:rPr>
        <w:t>reduce uncertainty about the causal relationship</w:t>
      </w:r>
      <w:r w:rsidRPr="00643950">
        <w:rPr>
          <w:sz w:val="14"/>
        </w:rPr>
        <w:t xml:space="preserve"> between the activity and effect; search for ways to </w:t>
      </w:r>
      <w:r w:rsidRPr="00643950">
        <w:rPr>
          <w:rStyle w:val="Emphasis"/>
        </w:rPr>
        <w:t>diminish the consequences</w:t>
      </w:r>
      <w:r w:rsidRPr="00643950">
        <w:rPr>
          <w:rStyle w:val="StyleUnderline"/>
        </w:rPr>
        <w:t xml:space="preserve"> of the effect</w:t>
      </w:r>
    </w:p>
    <w:p w14:paraId="7F8A25DA" w14:textId="77777777" w:rsidR="00CC2CC5" w:rsidRDefault="00CC2CC5" w:rsidP="00CC2CC5"/>
    <w:p w14:paraId="71DB20E4" w14:textId="77777777" w:rsidR="00CC2CC5" w:rsidRDefault="00CC2CC5" w:rsidP="00CC2CC5">
      <w:pPr>
        <w:pStyle w:val="Heading4"/>
      </w:pPr>
      <w:r>
        <w:t>Human health and the environment are meant to be prioritized – leads to massive contradictions</w:t>
      </w:r>
    </w:p>
    <w:p w14:paraId="7E89BF0A" w14:textId="77777777" w:rsidR="00CC2CC5" w:rsidRPr="00CA473B" w:rsidRDefault="00CC2CC5" w:rsidP="00CC2CC5">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Proquest, Stanford, </w:t>
      </w:r>
      <w:hyperlink r:id="rId74"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0572D859" w14:textId="77777777" w:rsidR="00CC2CC5" w:rsidRPr="0004603D" w:rsidRDefault="00CC2CC5" w:rsidP="00CC2CC5">
      <w:pPr>
        <w:rPr>
          <w:sz w:val="14"/>
        </w:rPr>
      </w:pPr>
      <w:r w:rsidRPr="0004603D">
        <w:rPr>
          <w:sz w:val="14"/>
        </w:rPr>
        <w:t xml:space="preserve">Many formulations of </w:t>
      </w:r>
      <w:r w:rsidRPr="0004603D">
        <w:rPr>
          <w:rStyle w:val="StyleUnderline"/>
        </w:rPr>
        <w:t>the precautionary principle contain a problematic disjunction</w:t>
      </w:r>
      <w:r w:rsidRPr="0004603D">
        <w:rPr>
          <w:sz w:val="14"/>
        </w:rPr>
        <w:t xml:space="preserve">: according to both WPP and RWPP, </w:t>
      </w:r>
      <w:r w:rsidRPr="0004603D">
        <w:rPr>
          <w:rStyle w:val="StyleUnderline"/>
        </w:rPr>
        <w:t xml:space="preserve">precautionary measures are called for whenever an activity raises a threat of harm to </w:t>
      </w:r>
      <w:r w:rsidRPr="0004603D">
        <w:rPr>
          <w:rStyle w:val="Emphasis"/>
        </w:rPr>
        <w:t>human health or the environment</w:t>
      </w:r>
      <w:r w:rsidRPr="0004603D">
        <w:rPr>
          <w:sz w:val="14"/>
        </w:rPr>
        <w:t xml:space="preserve">. It might seem that whatever is good for the environment is good for human health, since the latter is so intricately bound up with the overall quality of the environment. Turner and I point out, however, that </w:t>
      </w:r>
      <w:r w:rsidRPr="0004603D">
        <w:rPr>
          <w:rStyle w:val="StyleUnderline"/>
        </w:rPr>
        <w:t>a policy benefiting human health may harm the environment, and vice versa.</w:t>
      </w:r>
    </w:p>
    <w:p w14:paraId="21E28F99" w14:textId="77777777" w:rsidR="00CC2CC5" w:rsidRPr="0004603D" w:rsidRDefault="00CC2CC5" w:rsidP="00CC2CC5">
      <w:pPr>
        <w:rPr>
          <w:sz w:val="14"/>
        </w:rPr>
      </w:pPr>
      <w:r w:rsidRPr="0004603D">
        <w:rPr>
          <w:rStyle w:val="StyleUnderline"/>
        </w:rPr>
        <w:t>Precautionary measures against the harmful impacts threatened by climate change can</w:t>
      </w:r>
      <w:r w:rsidRPr="0004603D">
        <w:rPr>
          <w:sz w:val="14"/>
        </w:rPr>
        <w:t xml:space="preserve"> involve adapting to its effects. </w:t>
      </w:r>
      <w:r w:rsidRPr="0004603D">
        <w:rPr>
          <w:rStyle w:val="StyleUnderline"/>
        </w:rPr>
        <w:t>Dams and reservoirs</w:t>
      </w:r>
      <w:r w:rsidRPr="0004603D">
        <w:rPr>
          <w:sz w:val="14"/>
        </w:rPr>
        <w:t xml:space="preserve"> might help protect dwindling freshwater sources, </w:t>
      </w:r>
      <w:r w:rsidRPr="0004603D">
        <w:rPr>
          <w:rStyle w:val="StyleUnderline"/>
        </w:rPr>
        <w:t>but their construction would be harmful to local ecosystems</w:t>
      </w:r>
      <w:r w:rsidRPr="0004603D">
        <w:rPr>
          <w:sz w:val="14"/>
        </w:rPr>
        <w:t xml:space="preserve"> and their non-human inhabitants. </w:t>
      </w:r>
      <w:r w:rsidRPr="0004603D">
        <w:rPr>
          <w:rStyle w:val="StyleUnderline"/>
        </w:rPr>
        <w:t xml:space="preserve">Protecting a city from sea-level rise with a system of artificial levees could destroy a wetland </w:t>
      </w:r>
      <w:r w:rsidRPr="0004603D">
        <w:rPr>
          <w:sz w:val="14"/>
        </w:rPr>
        <w:t xml:space="preserve">crucial to the survival of migratory species. Conversely, </w:t>
      </w:r>
      <w:r w:rsidRPr="0004603D">
        <w:rPr>
          <w:rStyle w:val="StyleUnderline"/>
        </w:rPr>
        <w:t>protecting the environment will sometimes be harmful to human health</w:t>
      </w:r>
      <w:r w:rsidRPr="0004603D">
        <w:rPr>
          <w:sz w:val="14"/>
        </w:rPr>
        <w:t xml:space="preserve">. It might be best from an environmental perspective </w:t>
      </w:r>
      <w:r w:rsidRPr="0004603D">
        <w:rPr>
          <w:rStyle w:val="StyleUnderline"/>
        </w:rPr>
        <w:t>to allow a river delta to change without intervention</w:t>
      </w:r>
      <w:r w:rsidRPr="0004603D">
        <w:rPr>
          <w:sz w:val="14"/>
        </w:rPr>
        <w:t xml:space="preserve">, but allowing this to happen </w:t>
      </w:r>
      <w:r w:rsidRPr="0004603D">
        <w:rPr>
          <w:rStyle w:val="StyleUnderline"/>
        </w:rPr>
        <w:t>might destroy homes, dislocate populations, and negatively impact human health</w:t>
      </w:r>
      <w:r w:rsidRPr="0004603D">
        <w:rPr>
          <w:sz w:val="14"/>
        </w:rPr>
        <w:t xml:space="preserve"> (a la Hurricane Katrina).</w:t>
      </w:r>
    </w:p>
    <w:p w14:paraId="0BAB9C14" w14:textId="77777777" w:rsidR="00CC2CC5" w:rsidRDefault="00CC2CC5" w:rsidP="00CC2CC5">
      <w:pPr>
        <w:rPr>
          <w:sz w:val="14"/>
        </w:rPr>
      </w:pPr>
      <w:r w:rsidRPr="0004603D">
        <w:rPr>
          <w:sz w:val="14"/>
        </w:rPr>
        <w:t xml:space="preserve">Precautionary measures are means to the end of harm prevention. But </w:t>
      </w:r>
      <w:r w:rsidRPr="0004603D">
        <w:rPr>
          <w:rStyle w:val="StyleUnderline"/>
        </w:rPr>
        <w:t>precautionary measures against threats of harm to human health will often conflict with measures to protect the environment.</w:t>
      </w:r>
      <w:r w:rsidRPr="0004603D">
        <w:rPr>
          <w:sz w:val="14"/>
        </w:rPr>
        <w:t xml:space="preserve"> Turner and I suggest that the precautionary principle might better be understood as two separate principles, one applying to threats of harm to the environment, the other to threats of harm to human health. These principles could be formulated as:</w:t>
      </w:r>
    </w:p>
    <w:p w14:paraId="518F6748" w14:textId="77777777" w:rsidR="00CC2CC5" w:rsidRDefault="00CC2CC5" w:rsidP="00CC2CC5">
      <w:pPr>
        <w:rPr>
          <w:sz w:val="14"/>
        </w:rPr>
      </w:pPr>
    </w:p>
    <w:p w14:paraId="057A21F5" w14:textId="77777777" w:rsidR="00CC2CC5" w:rsidRDefault="00CC2CC5" w:rsidP="00CC2CC5">
      <w:pPr>
        <w:pStyle w:val="Heading4"/>
      </w:pPr>
      <w:r>
        <w:t>It’s too vague</w:t>
      </w:r>
    </w:p>
    <w:p w14:paraId="39755D97" w14:textId="77777777" w:rsidR="00CC2CC5" w:rsidRPr="00CA473B" w:rsidRDefault="00CC2CC5" w:rsidP="00CC2CC5">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Proquest, Stanford, </w:t>
      </w:r>
      <w:hyperlink r:id="rId75"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66943C6D" w14:textId="77777777" w:rsidR="00CC2CC5" w:rsidRPr="000303C6" w:rsidRDefault="00CC2CC5" w:rsidP="00CC2CC5">
      <w:pPr>
        <w:rPr>
          <w:sz w:val="14"/>
        </w:rPr>
      </w:pPr>
      <w:r w:rsidRPr="0004603D">
        <w:rPr>
          <w:rStyle w:val="StyleUnderline"/>
        </w:rPr>
        <w:t>The problem</w:t>
      </w:r>
      <w:r w:rsidRPr="000303C6">
        <w:rPr>
          <w:sz w:val="14"/>
        </w:rPr>
        <w:t xml:space="preserve">, as Sunstein sees it, </w:t>
      </w:r>
      <w:r w:rsidRPr="0004603D">
        <w:rPr>
          <w:rStyle w:val="StyleUnderline"/>
        </w:rPr>
        <w:t>is that "There are risks on all sides of social situations</w:t>
      </w:r>
      <w:r w:rsidRPr="000303C6">
        <w:rPr>
          <w:sz w:val="14"/>
        </w:rPr>
        <w:t xml:space="preserve">."24 </w:t>
      </w:r>
      <w:r w:rsidRPr="0004603D">
        <w:rPr>
          <w:rStyle w:val="Emphasis"/>
        </w:rPr>
        <w:t>There will always be competing risks</w:t>
      </w:r>
      <w:r w:rsidRPr="0004603D">
        <w:rPr>
          <w:rStyle w:val="StyleUnderline"/>
        </w:rPr>
        <w:t xml:space="preserve"> such that the precautionary principle will call for simultaneously addressing them all</w:t>
      </w:r>
      <w:r w:rsidRPr="000303C6">
        <w:rPr>
          <w:sz w:val="14"/>
        </w:rPr>
        <w:t xml:space="preserve"> - a practical, if not theoretical, impossibility. Sunstein says </w:t>
      </w:r>
      <w:r w:rsidRPr="0004603D">
        <w:rPr>
          <w:rStyle w:val="StyleUnderline"/>
        </w:rPr>
        <w:t>the precautionary principle "purports to give guidance, but it fails to do so, because it condemns the very steps that it requires</w:t>
      </w:r>
      <w:r w:rsidRPr="000303C6">
        <w:rPr>
          <w:sz w:val="14"/>
        </w:rPr>
        <w:t xml:space="preserve">. ... read for all it is worth, it leads in no direction at all. </w:t>
      </w:r>
      <w:r w:rsidRPr="0004603D">
        <w:rPr>
          <w:rStyle w:val="StyleUnderline"/>
        </w:rPr>
        <w:t>The principle threatens to be paralyzing, forbidding regulation, inaction,</w:t>
      </w:r>
      <w:r w:rsidRPr="000303C6">
        <w:rPr>
          <w:sz w:val="14"/>
        </w:rPr>
        <w:t xml:space="preserve"> and every step in between." To be clear, Sunstein explains that he makes this objection against what he takes to be the strongest formulations of the precautionary principle:</w:t>
      </w:r>
    </w:p>
    <w:p w14:paraId="5FDF01E1" w14:textId="77777777" w:rsidR="00CC2CC5" w:rsidRPr="000303C6" w:rsidRDefault="00CC2CC5" w:rsidP="00CC2CC5">
      <w:pPr>
        <w:rPr>
          <w:sz w:val="14"/>
          <w:szCs w:val="14"/>
        </w:rPr>
      </w:pPr>
      <w:r w:rsidRPr="000303C6">
        <w:rPr>
          <w:sz w:val="14"/>
          <w:szCs w:val="14"/>
        </w:rPr>
        <w:t>Sunstein's Strong Formulation of the Precautionary Principle:</w:t>
      </w:r>
    </w:p>
    <w:p w14:paraId="0957FE3E" w14:textId="77777777" w:rsidR="00CC2CC5" w:rsidRPr="000303C6" w:rsidRDefault="00CC2CC5" w:rsidP="00CC2CC5">
      <w:pPr>
        <w:rPr>
          <w:sz w:val="14"/>
          <w:szCs w:val="14"/>
        </w:rPr>
      </w:pPr>
      <w:r w:rsidRPr="000303C6">
        <w:rPr>
          <w:sz w:val="14"/>
          <w:szCs w:val="14"/>
        </w:rPr>
        <w:t>Regulation is required whenever there is a possible risk to health, safety, or the environment, even if the supporting evidence remains speculative and even if the economic costs of regulation are high. ... the threshold burden is minimal, and once it is met, there is something like a presumption in favor of regulatory controls.26</w:t>
      </w:r>
    </w:p>
    <w:p w14:paraId="0FC13A69" w14:textId="77777777" w:rsidR="00CC2CC5" w:rsidRPr="000303C6" w:rsidRDefault="00CC2CC5" w:rsidP="00CC2CC5">
      <w:pPr>
        <w:rPr>
          <w:sz w:val="14"/>
        </w:rPr>
      </w:pPr>
      <w:r w:rsidRPr="000303C6">
        <w:rPr>
          <w:sz w:val="14"/>
        </w:rPr>
        <w:t xml:space="preserve">This type of formulation is strong because it requires only minimal evidence of a risk of harm, and because it requires precautionary actions against such risks even when the cost of doing so is high. </w:t>
      </w:r>
      <w:r w:rsidRPr="0004603D">
        <w:rPr>
          <w:rStyle w:val="StyleUnderline"/>
        </w:rPr>
        <w:t xml:space="preserve">Sunstein finds strong formulations of the precautionary principle problematic because </w:t>
      </w:r>
      <w:r w:rsidRPr="0004603D">
        <w:rPr>
          <w:rStyle w:val="Emphasis"/>
        </w:rPr>
        <w:t>they suggest a general policy of risk aversion</w:t>
      </w:r>
      <w:r w:rsidRPr="0004603D">
        <w:rPr>
          <w:rStyle w:val="StyleUnderline"/>
        </w:rPr>
        <w:t>.</w:t>
      </w:r>
      <w:r w:rsidRPr="000303C6">
        <w:rPr>
          <w:sz w:val="14"/>
        </w:rPr>
        <w:t xml:space="preserve"> </w:t>
      </w:r>
      <w:r w:rsidRPr="0004603D">
        <w:rPr>
          <w:rStyle w:val="StyleUnderline"/>
        </w:rPr>
        <w:t>The precautionary principle</w:t>
      </w:r>
      <w:r w:rsidRPr="000303C6">
        <w:rPr>
          <w:sz w:val="14"/>
        </w:rPr>
        <w:t>, he thinks, "</w:t>
      </w:r>
      <w:r w:rsidRPr="0004603D">
        <w:rPr>
          <w:rStyle w:val="StyleUnderline"/>
        </w:rPr>
        <w:t xml:space="preserve">is a </w:t>
      </w:r>
      <w:r w:rsidRPr="0004603D">
        <w:rPr>
          <w:rStyle w:val="Emphasis"/>
        </w:rPr>
        <w:t>crude</w:t>
      </w:r>
      <w:r w:rsidRPr="0004603D">
        <w:rPr>
          <w:rStyle w:val="StyleUnderline"/>
        </w:rPr>
        <w:t xml:space="preserve"> and sometimes </w:t>
      </w:r>
      <w:r w:rsidRPr="0004603D">
        <w:rPr>
          <w:rStyle w:val="Emphasis"/>
        </w:rPr>
        <w:t>perverse</w:t>
      </w:r>
      <w:r w:rsidRPr="0004603D">
        <w:rPr>
          <w:rStyle w:val="StyleUnderline"/>
        </w:rPr>
        <w:t xml:space="preserve"> way of promoting desirable goals</w:t>
      </w:r>
      <w:r w:rsidRPr="000303C6">
        <w:rPr>
          <w:sz w:val="14"/>
        </w:rPr>
        <w:t>."27</w:t>
      </w:r>
    </w:p>
    <w:p w14:paraId="02EA963B" w14:textId="77777777" w:rsidR="00CC2CC5" w:rsidRPr="000303C6" w:rsidRDefault="00CC2CC5" w:rsidP="00CC2CC5">
      <w:pPr>
        <w:rPr>
          <w:sz w:val="14"/>
        </w:rPr>
      </w:pPr>
      <w:r w:rsidRPr="000303C6">
        <w:rPr>
          <w:sz w:val="14"/>
        </w:rPr>
        <w:t xml:space="preserve">In failing to specify the scope of threats of harm about which we must take precautionary measures, the precautionary principle can be understood as requiring us to be precautionary about all threats of harm. But virtually </w:t>
      </w:r>
      <w:r w:rsidRPr="0004603D">
        <w:rPr>
          <w:rStyle w:val="StyleUnderline"/>
        </w:rPr>
        <w:t>all courses of action can be understood as potentially harmful</w:t>
      </w:r>
      <w:r w:rsidRPr="000303C6">
        <w:rPr>
          <w:sz w:val="14"/>
        </w:rPr>
        <w:t xml:space="preserve">. Decision-makers cannot be precautionary about everything, and this is why the precautionary principle is paralyzing if taken to the liberal extreme. Most formulations of the precautionary principle do not adequately specify the scope of the precautionary principle and thus are vulnerable to this kind of objection. Sunstein concludes that </w:t>
      </w:r>
      <w:r w:rsidRPr="0004603D">
        <w:rPr>
          <w:rStyle w:val="Emphasis"/>
        </w:rPr>
        <w:t>the precautionary principle should not be the basis of democratic decision-making</w:t>
      </w:r>
      <w:r w:rsidRPr="0004603D">
        <w:rPr>
          <w:rStyle w:val="StyleUnderline"/>
        </w:rPr>
        <w:t xml:space="preserve"> since it is too vague and abstract to coherently guide action and policy</w:t>
      </w:r>
      <w:r w:rsidRPr="000303C6">
        <w:rPr>
          <w:sz w:val="14"/>
        </w:rPr>
        <w:t>.</w:t>
      </w:r>
    </w:p>
    <w:p w14:paraId="7C91FEDE" w14:textId="77777777" w:rsidR="00CC2CC5" w:rsidRPr="000303C6" w:rsidRDefault="00CC2CC5" w:rsidP="00CC2CC5">
      <w:pPr>
        <w:rPr>
          <w:sz w:val="14"/>
        </w:rPr>
      </w:pPr>
      <w:r w:rsidRPr="000303C6">
        <w:rPr>
          <w:sz w:val="14"/>
        </w:rPr>
        <w:t xml:space="preserve">Part of Sunstein's worry is that any precautionary action suggested by the precautionary principle will have its own risks such that </w:t>
      </w:r>
      <w:r w:rsidRPr="000303C6">
        <w:rPr>
          <w:rStyle w:val="StyleUnderline"/>
        </w:rPr>
        <w:t>the</w:t>
      </w:r>
      <w:r w:rsidRPr="000303C6">
        <w:rPr>
          <w:sz w:val="14"/>
        </w:rPr>
        <w:t xml:space="preserve"> </w:t>
      </w:r>
      <w:r w:rsidRPr="000303C6">
        <w:rPr>
          <w:rStyle w:val="StyleUnderline"/>
        </w:rPr>
        <w:t>precautionary principle would prohibit the very action it seems to recommend</w:t>
      </w:r>
      <w:r w:rsidRPr="000303C6">
        <w:rPr>
          <w:sz w:val="14"/>
        </w:rPr>
        <w:t>. Consider what it would mean to be precautionary about nuclear power, which, along with its wastes, are associated with risks to both human health and the environment. But risks inhere in every alternative in which other sources of power are used instead. Throughout the rest of the dissertation, I will identify the paralysis objection with this fact: that risks abound on all sides.</w:t>
      </w:r>
    </w:p>
    <w:p w14:paraId="07EB75A7" w14:textId="77777777" w:rsidR="00CC2CC5" w:rsidRPr="000303C6" w:rsidRDefault="00CC2CC5" w:rsidP="00CC2CC5">
      <w:pPr>
        <w:rPr>
          <w:sz w:val="14"/>
          <w:szCs w:val="14"/>
        </w:rPr>
      </w:pPr>
      <w:r w:rsidRPr="000303C6">
        <w:rPr>
          <w:sz w:val="14"/>
          <w:szCs w:val="14"/>
        </w:rPr>
        <w:t>Manson similarly points out that at least some formulations of the precautionary principle face a well-known objection to Pascal's Wager. Pascal recommends Christian belief as a kind of precautionary measure - as the only way to avoid the catastrophic harms that might occur in the afterlife. Pascal's wager is that the mere possibility of eternal suffering in the afterlife as punishment for unbelief is reason enough to form and sustain Christian beliefs. Objectors have pointed out, however, that for all anyone knows, Christian belief could also have catastrophic consequences. Just as He might reward true believers, God might severely punish those who form their beliefs simply in order to avoid future harms. Manson argues for a parallel objection to the precautionary principle, that it is always epistemically possible that proposed precautionary measures will themselves lead to catastrophic harms in the long run.</w:t>
      </w:r>
    </w:p>
    <w:p w14:paraId="6F0D3A8B" w14:textId="77777777" w:rsidR="00CC2CC5" w:rsidRPr="000303C6" w:rsidRDefault="00CC2CC5" w:rsidP="00CC2CC5">
      <w:pPr>
        <w:rPr>
          <w:sz w:val="14"/>
        </w:rPr>
      </w:pPr>
      <w:r w:rsidRPr="000303C6">
        <w:rPr>
          <w:sz w:val="14"/>
        </w:rPr>
        <w:t xml:space="preserve">It seems that </w:t>
      </w:r>
      <w:r w:rsidRPr="000303C6">
        <w:rPr>
          <w:rStyle w:val="Emphasis"/>
        </w:rPr>
        <w:t>limiting the scope of the precautionary principle</w:t>
      </w:r>
      <w:r w:rsidRPr="000303C6">
        <w:rPr>
          <w:rStyle w:val="StyleUnderline"/>
        </w:rPr>
        <w:t xml:space="preserve"> to possible risks to health, safety, or the environment</w:t>
      </w:r>
      <w:r w:rsidRPr="000303C6">
        <w:rPr>
          <w:sz w:val="14"/>
        </w:rPr>
        <w:t xml:space="preserve">, as even Sunstein's strong formulation does, </w:t>
      </w:r>
      <w:r w:rsidRPr="000303C6">
        <w:rPr>
          <w:rStyle w:val="Emphasis"/>
        </w:rPr>
        <w:t>is not enough</w:t>
      </w:r>
      <w:r w:rsidRPr="000303C6">
        <w:rPr>
          <w:sz w:val="14"/>
        </w:rPr>
        <w:t xml:space="preserve">. Sunstein's point seems to be that even </w:t>
      </w:r>
      <w:r w:rsidRPr="000303C6">
        <w:rPr>
          <w:rStyle w:val="StyleUnderline"/>
        </w:rPr>
        <w:t>these types of risks are so common as to make it impossible to be precautionary about all of them</w:t>
      </w:r>
      <w:r w:rsidRPr="000303C6">
        <w:rPr>
          <w:sz w:val="14"/>
        </w:rPr>
        <w:t>. In order to avoid the paralysis objection it therefore appears the scope of the precautionary principle must be further limited. This objection might be avoided by formulating the precautionary principle such that it applies to a limited set of threats of harm (e.g. to only catastrophic threats of harm), and such that it requires that precautionary measures not create new threats of harm worse than those being addressed.</w:t>
      </w:r>
    </w:p>
    <w:p w14:paraId="698BCD25" w14:textId="77777777" w:rsidR="00CC2CC5" w:rsidRPr="000303C6" w:rsidRDefault="00CC2CC5" w:rsidP="00CC2CC5">
      <w:pPr>
        <w:rPr>
          <w:sz w:val="14"/>
        </w:rPr>
      </w:pPr>
      <w:r w:rsidRPr="000303C6">
        <w:rPr>
          <w:sz w:val="14"/>
        </w:rPr>
        <w:t xml:space="preserve">The second challenge with respect to defining threats of harm is determining how likely a threat of harm must be to activate the precautionary principle. Even if we limit the scope of the precautionary principle to threats of catastrophe, </w:t>
      </w:r>
      <w:r w:rsidRPr="000303C6">
        <w:rPr>
          <w:rStyle w:val="StyleUnderline"/>
        </w:rPr>
        <w:t>how likely would a threat of catastrophe have to be in order for precautionary measures to be obligatory</w:t>
      </w:r>
      <w:r w:rsidRPr="000303C6">
        <w:rPr>
          <w:sz w:val="14"/>
        </w:rPr>
        <w:t xml:space="preserve">? It seems clear that a high likelihood of catastrophe calls for precautionary action. </w:t>
      </w:r>
      <w:r w:rsidRPr="000303C6">
        <w:rPr>
          <w:rStyle w:val="StyleUnderline"/>
        </w:rPr>
        <w:t>But what if there is a 1% or .0001% chance that an activity will result in catastrophe</w:t>
      </w:r>
      <w:r w:rsidRPr="000303C6">
        <w:rPr>
          <w:sz w:val="14"/>
        </w:rPr>
        <w:t>? What if we cannot reliably predict how likely a threat of catastrophe is at all? In order to guide action, the precautionary principle must provide some guidance as to how threats of harm should be defined and understood in terms of their likelihood.</w:t>
      </w:r>
    </w:p>
    <w:p w14:paraId="3349FEF3" w14:textId="77777777" w:rsidR="00CC2CC5" w:rsidRPr="000303C6" w:rsidRDefault="00CC2CC5" w:rsidP="00CC2CC5">
      <w:pPr>
        <w:rPr>
          <w:sz w:val="14"/>
        </w:rPr>
      </w:pPr>
      <w:r w:rsidRPr="000303C6">
        <w:rPr>
          <w:sz w:val="14"/>
        </w:rPr>
        <w:t xml:space="preserve">Such questions about likelihood bring up questions about evidence. </w:t>
      </w:r>
      <w:r w:rsidRPr="000303C6">
        <w:rPr>
          <w:rStyle w:val="StyleUnderline"/>
        </w:rPr>
        <w:t>How much evidence must we have about a threat of harm in order for the precautionary principle to be activated</w:t>
      </w:r>
      <w:r w:rsidRPr="000303C6">
        <w:rPr>
          <w:sz w:val="14"/>
        </w:rPr>
        <w:t>? That is, how much information is enough to warrant taking precautionary action against a threat of harm? How much evidence do we need to consider a threat of harm credible enough to warrant precautionary action?</w:t>
      </w:r>
    </w:p>
    <w:p w14:paraId="38C68971" w14:textId="77777777" w:rsidR="00CC2CC5" w:rsidRDefault="00CC2CC5" w:rsidP="00CC2CC5">
      <w:pPr>
        <w:rPr>
          <w:sz w:val="14"/>
        </w:rPr>
      </w:pPr>
      <w:r w:rsidRPr="000303C6">
        <w:rPr>
          <w:sz w:val="14"/>
        </w:rPr>
        <w:t xml:space="preserve">If mere possibility were used as a standard, </w:t>
      </w:r>
      <w:r w:rsidRPr="000303C6">
        <w:rPr>
          <w:rStyle w:val="StyleUnderline"/>
        </w:rPr>
        <w:t>the precautionary principle could be understood as requiring</w:t>
      </w:r>
      <w:r w:rsidRPr="000303C6">
        <w:rPr>
          <w:sz w:val="14"/>
        </w:rPr>
        <w:t xml:space="preserve"> precautionary </w:t>
      </w:r>
      <w:r w:rsidRPr="000303C6">
        <w:rPr>
          <w:rStyle w:val="StyleUnderline"/>
        </w:rPr>
        <w:t>measures</w:t>
      </w:r>
      <w:r w:rsidRPr="000303C6">
        <w:rPr>
          <w:sz w:val="14"/>
        </w:rPr>
        <w:t xml:space="preserve"> </w:t>
      </w:r>
      <w:r w:rsidRPr="000303C6">
        <w:rPr>
          <w:rStyle w:val="StyleUnderline"/>
        </w:rPr>
        <w:t xml:space="preserve">against </w:t>
      </w:r>
      <w:r w:rsidRPr="000303C6">
        <w:rPr>
          <w:rStyle w:val="Emphasis"/>
        </w:rPr>
        <w:t>every theoretically possible harm</w:t>
      </w:r>
      <w:r w:rsidRPr="000303C6">
        <w:rPr>
          <w:rStyle w:val="StyleUnderline"/>
        </w:rPr>
        <w:t xml:space="preserve">, such as </w:t>
      </w:r>
      <w:r w:rsidRPr="000303C6">
        <w:rPr>
          <w:sz w:val="14"/>
        </w:rPr>
        <w:t xml:space="preserve">the threat of </w:t>
      </w:r>
      <w:r w:rsidRPr="000303C6">
        <w:rPr>
          <w:rStyle w:val="StyleUnderline"/>
        </w:rPr>
        <w:t>an alien invasion</w:t>
      </w:r>
      <w:r w:rsidRPr="000303C6">
        <w:rPr>
          <w:sz w:val="14"/>
        </w:rPr>
        <w:t xml:space="preserve">. But we cannot take radical precautionary measures against every conceivable threat of harm (or even catastrophe) as </w:t>
      </w:r>
      <w:r w:rsidRPr="000303C6">
        <w:rPr>
          <w:rStyle w:val="StyleUnderline"/>
        </w:rPr>
        <w:t>this would lead us back to the paralysis objection</w:t>
      </w:r>
      <w:r w:rsidRPr="000303C6">
        <w:rPr>
          <w:sz w:val="14"/>
        </w:rPr>
        <w:t xml:space="preserve">. Certainly, the mere possibility of an alien invasion does not warrant the diversion of money and resources into an alien defense system, or a ban on television and radio transmissions that might alert the enemy to our presence. If we took all merely possible threats of harm too seriously, we would once again be paralyzed and unable to act. Yet, because the precautionary principle applies to uncertain threats of harm </w:t>
      </w:r>
      <w:r w:rsidRPr="000303C6">
        <w:rPr>
          <w:rStyle w:val="StyleUnderline"/>
        </w:rPr>
        <w:t>it cannot require that we know the exact nature and probability of a threat before acting</w:t>
      </w:r>
      <w:r w:rsidRPr="000303C6">
        <w:rPr>
          <w:sz w:val="14"/>
        </w:rPr>
        <w:t xml:space="preserve"> - the whole point of the principle is to guide action when we do not have complete information. It seems that we need there to be some burden of evidence demonstrating that a threat of harm is credible before demanding precautionary action. Where should we draw the line? Limiting the scope of the precautionary principle to the worst threats of harm will help minimize these challenges by limiting its applicability to certain kinds (e.g. catastrophic) threats of harm, but there must be some means of weighing the likelihood (even if the likelihood is not well-known) of a threat of harm in determining what precautionary measures ought to be taken.</w:t>
      </w:r>
    </w:p>
    <w:p w14:paraId="339393BC" w14:textId="77777777" w:rsidR="00CC2CC5" w:rsidRPr="000303C6" w:rsidRDefault="00CC2CC5" w:rsidP="00CC2CC5">
      <w:pPr>
        <w:pStyle w:val="Heading2"/>
      </w:pPr>
      <w:r>
        <w:t>T</w:t>
      </w:r>
    </w:p>
    <w:p w14:paraId="3F976B6A" w14:textId="77777777" w:rsidR="00CC2CC5" w:rsidRDefault="00CC2CC5" w:rsidP="00CC2CC5">
      <w:pPr>
        <w:pStyle w:val="Heading4"/>
      </w:pPr>
      <w:r>
        <w:t xml:space="preserve">Closed-cycle cooling </w:t>
      </w:r>
      <w:r w:rsidRPr="00B96F4F">
        <w:rPr>
          <w:u w:val="single"/>
        </w:rPr>
        <w:t>maintains</w:t>
      </w:r>
      <w:r>
        <w:t xml:space="preserve"> the use of water for cooling purposes</w:t>
      </w:r>
    </w:p>
    <w:p w14:paraId="2F008C5D" w14:textId="77777777" w:rsidR="00CC2CC5" w:rsidRPr="00590FC2" w:rsidRDefault="00CC2CC5" w:rsidP="00CC2CC5">
      <w:pPr>
        <w:rPr>
          <w:rStyle w:val="Style13ptBold"/>
        </w:rPr>
      </w:pPr>
      <w:r w:rsidRPr="00590FC2">
        <w:rPr>
          <w:rStyle w:val="Style13ptBold"/>
        </w:rPr>
        <w:t>EIA ‘11</w:t>
      </w:r>
    </w:p>
    <w:p w14:paraId="431590DF" w14:textId="77777777" w:rsidR="00CC2CC5" w:rsidRDefault="00CC2CC5" w:rsidP="00CC2CC5">
      <w:r>
        <w:t xml:space="preserve">(U.S. Energy Information Administration. “Over half the cooling systems at U.S. electric power plants reuse water,” November 17, 2011. </w:t>
      </w:r>
      <w:hyperlink r:id="rId76" w:history="1">
        <w:r w:rsidRPr="004718C9">
          <w:rPr>
            <w:rStyle w:val="Hyperlink"/>
          </w:rPr>
          <w:t>https://www.eia.gov/todayinenergy/detail.php?id=3950</w:t>
        </w:r>
      </w:hyperlink>
      <w:r>
        <w:t>)</w:t>
      </w:r>
    </w:p>
    <w:p w14:paraId="2D63809F" w14:textId="77777777" w:rsidR="00CC2CC5" w:rsidRDefault="00CC2CC5" w:rsidP="00CC2CC5">
      <w:r>
        <w:t xml:space="preserve">In general, thermoelectric power plants use </w:t>
      </w:r>
      <w:r w:rsidRPr="00466803">
        <w:rPr>
          <w:highlight w:val="green"/>
          <w:u w:val="single"/>
        </w:rPr>
        <w:t>cooling</w:t>
      </w:r>
      <w:r w:rsidRPr="0047019D">
        <w:rPr>
          <w:u w:val="single"/>
        </w:rPr>
        <w:t xml:space="preserve"> </w:t>
      </w:r>
      <w:r w:rsidRPr="00466803">
        <w:rPr>
          <w:highlight w:val="green"/>
          <w:u w:val="single"/>
        </w:rPr>
        <w:t>systems</w:t>
      </w:r>
      <w:r w:rsidRPr="0047019D">
        <w:rPr>
          <w:u w:val="single"/>
        </w:rPr>
        <w:t xml:space="preserve"> to </w:t>
      </w:r>
      <w:r w:rsidRPr="00466803">
        <w:rPr>
          <w:highlight w:val="green"/>
          <w:u w:val="single"/>
        </w:rPr>
        <w:t>cool</w:t>
      </w:r>
      <w:r w:rsidRPr="0047019D">
        <w:rPr>
          <w:u w:val="single"/>
        </w:rPr>
        <w:t xml:space="preserve"> down</w:t>
      </w:r>
      <w:r>
        <w:t xml:space="preserve"> (condense) </w:t>
      </w:r>
      <w:r w:rsidRPr="00466803">
        <w:rPr>
          <w:highlight w:val="green"/>
          <w:u w:val="single"/>
        </w:rPr>
        <w:t>steam after it</w:t>
      </w:r>
      <w:r w:rsidRPr="00360A3D">
        <w:rPr>
          <w:u w:val="single"/>
        </w:rPr>
        <w:t xml:space="preserve"> has been used </w:t>
      </w:r>
      <w:r w:rsidRPr="00466803">
        <w:rPr>
          <w:u w:val="single"/>
        </w:rPr>
        <w:t>to</w:t>
      </w:r>
      <w:r w:rsidRPr="00360A3D">
        <w:rPr>
          <w:u w:val="single"/>
        </w:rPr>
        <w:t xml:space="preserve"> turn a steam turbine and </w:t>
      </w:r>
      <w:r w:rsidRPr="00466803">
        <w:rPr>
          <w:highlight w:val="green"/>
          <w:u w:val="single"/>
        </w:rPr>
        <w:t>generate power</w:t>
      </w:r>
      <w:r>
        <w:t xml:space="preserve">. </w:t>
      </w:r>
      <w:r w:rsidRPr="00121A83">
        <w:rPr>
          <w:u w:val="single"/>
        </w:rPr>
        <w:t>There are three major categories of cooling systems</w:t>
      </w:r>
      <w:r>
        <w:t>:</w:t>
      </w:r>
    </w:p>
    <w:p w14:paraId="5D4A23C9" w14:textId="77777777" w:rsidR="00CC2CC5" w:rsidRDefault="00CC2CC5" w:rsidP="00CC2CC5">
      <w:pPr>
        <w:pStyle w:val="ListParagraph"/>
        <w:numPr>
          <w:ilvl w:val="0"/>
          <w:numId w:val="16"/>
        </w:numPr>
      </w:pPr>
      <w:r w:rsidRPr="00466803">
        <w:rPr>
          <w:highlight w:val="green"/>
          <w:u w:val="single"/>
        </w:rPr>
        <w:t>Closed-cycle cooling: Water is reused</w:t>
      </w:r>
      <w:r w:rsidRPr="00D92845">
        <w:rPr>
          <w:u w:val="single"/>
        </w:rPr>
        <w:t xml:space="preserve"> in a closed-cycle cooling systems</w:t>
      </w:r>
      <w:r w:rsidRPr="00A83A39">
        <w:rPr>
          <w:u w:val="single"/>
        </w:rPr>
        <w:t>.</w:t>
      </w:r>
      <w:r>
        <w:t xml:space="preserve"> </w:t>
      </w:r>
      <w:r w:rsidRPr="00466803">
        <w:rPr>
          <w:highlight w:val="green"/>
          <w:u w:val="single"/>
        </w:rPr>
        <w:t>Evaporation</w:t>
      </w:r>
      <w:r w:rsidRPr="000348EC">
        <w:rPr>
          <w:u w:val="single"/>
        </w:rPr>
        <w:t xml:space="preserve"> from a nearby cooling tower </w:t>
      </w:r>
      <w:r w:rsidRPr="00466803">
        <w:rPr>
          <w:highlight w:val="green"/>
          <w:u w:val="single"/>
        </w:rPr>
        <w:t>removes heat</w:t>
      </w:r>
      <w:r w:rsidRPr="000348EC">
        <w:rPr>
          <w:u w:val="single"/>
        </w:rPr>
        <w:t xml:space="preserve"> from the power plant.</w:t>
      </w:r>
    </w:p>
    <w:p w14:paraId="004BAF90" w14:textId="77777777" w:rsidR="00CC2CC5" w:rsidRDefault="00CC2CC5" w:rsidP="00CC2CC5">
      <w:pPr>
        <w:pStyle w:val="ListParagraph"/>
        <w:numPr>
          <w:ilvl w:val="0"/>
          <w:numId w:val="16"/>
        </w:numPr>
      </w:pPr>
      <w:r>
        <w:t xml:space="preserve">Once-through cooling: In a once-through system, </w:t>
      </w:r>
      <w:r w:rsidRPr="00466803">
        <w:rPr>
          <w:u w:val="single"/>
        </w:rPr>
        <w:t>intake</w:t>
      </w:r>
      <w:r w:rsidRPr="00E0705A">
        <w:rPr>
          <w:u w:val="single"/>
        </w:rPr>
        <w:t xml:space="preserve"> structures withdraw water, which is then run through the power plant for cooling</w:t>
      </w:r>
      <w:r>
        <w:t>. Once used, the water is discharged back into the body of water at a higher temperature. Both the water intake and thermal discharge can affect local aquatic wildlife.</w:t>
      </w:r>
    </w:p>
    <w:p w14:paraId="729ADD1C" w14:textId="77777777" w:rsidR="00CC2CC5" w:rsidRDefault="00CC2CC5" w:rsidP="00CC2CC5">
      <w:pPr>
        <w:pStyle w:val="ListParagraph"/>
        <w:numPr>
          <w:ilvl w:val="0"/>
          <w:numId w:val="16"/>
        </w:numPr>
      </w:pPr>
      <w:r>
        <w:t>Dry-air cooling: Dry-air cooling systems use essentially no water for scooling purposes.</w:t>
      </w:r>
    </w:p>
    <w:p w14:paraId="3A21650C" w14:textId="77777777" w:rsidR="00CC2CC5" w:rsidRPr="0076566C" w:rsidRDefault="00CC2CC5" w:rsidP="00CC2CC5"/>
    <w:p w14:paraId="4095367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Roboto">
    <w:panose1 w:val="020B0604020202020204"/>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4A71E0"/>
    <w:multiLevelType w:val="hybridMultilevel"/>
    <w:tmpl w:val="FF2266D6"/>
    <w:lvl w:ilvl="0" w:tplc="A4C23D1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8A1453"/>
    <w:multiLevelType w:val="hybridMultilevel"/>
    <w:tmpl w:val="DE201604"/>
    <w:lvl w:ilvl="0" w:tplc="1674A04A">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476F99"/>
    <w:multiLevelType w:val="hybridMultilevel"/>
    <w:tmpl w:val="C9E29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E5062"/>
    <w:multiLevelType w:val="hybridMultilevel"/>
    <w:tmpl w:val="019AAD7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C2CC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2CC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48884"/>
  <w14:defaultImageDpi w14:val="300"/>
  <w15:docId w15:val="{48308DD3-D806-2944-B335-6BD214BB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C2CC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C2C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C2CC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C2CC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9"/>
    <w:unhideWhenUsed/>
    <w:qFormat/>
    <w:rsid w:val="00CC2CC5"/>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CC2CC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C2C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CC5"/>
  </w:style>
  <w:style w:type="character" w:customStyle="1" w:styleId="Heading1Char">
    <w:name w:val="Heading 1 Char"/>
    <w:aliases w:val="Pocket Char"/>
    <w:basedOn w:val="DefaultParagraphFont"/>
    <w:link w:val="Heading1"/>
    <w:uiPriority w:val="9"/>
    <w:rsid w:val="00CC2CC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C2CC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C2CC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9"/>
    <w:rsid w:val="00CC2CC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C2CC5"/>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CC2CC5"/>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CC2CC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C2CC5"/>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CC2CC5"/>
    <w:rPr>
      <w:color w:val="auto"/>
      <w:u w:val="none"/>
    </w:rPr>
  </w:style>
  <w:style w:type="paragraph" w:styleId="DocumentMap">
    <w:name w:val="Document Map"/>
    <w:basedOn w:val="Normal"/>
    <w:link w:val="DocumentMapChar"/>
    <w:uiPriority w:val="99"/>
    <w:semiHidden/>
    <w:unhideWhenUsed/>
    <w:rsid w:val="00CC2CC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C2CC5"/>
    <w:rPr>
      <w:rFonts w:ascii="Lucida Grande" w:hAnsi="Lucida Grande" w:cs="Lucida Grande"/>
    </w:rPr>
  </w:style>
  <w:style w:type="character" w:customStyle="1" w:styleId="Heading6Char">
    <w:name w:val="Heading 6 Char"/>
    <w:basedOn w:val="DefaultParagraphFont"/>
    <w:link w:val="Heading6"/>
    <w:uiPriority w:val="99"/>
    <w:semiHidden/>
    <w:rsid w:val="00CC2CC5"/>
    <w:rPr>
      <w:rFonts w:asciiTheme="majorHAnsi" w:eastAsiaTheme="majorEastAsia" w:hAnsiTheme="majorHAnsi" w:cstheme="majorBidi"/>
      <w:color w:val="243F60" w:themeColor="accent1" w:themeShade="7F"/>
      <w:sz w:val="22"/>
    </w:rPr>
  </w:style>
  <w:style w:type="paragraph" w:styleId="NormalWeb">
    <w:name w:val="Normal (Web)"/>
    <w:basedOn w:val="Normal"/>
    <w:uiPriority w:val="99"/>
    <w:unhideWhenUsed/>
    <w:rsid w:val="00CC2CC5"/>
    <w:pPr>
      <w:spacing w:before="100" w:beforeAutospacing="1" w:after="100" w:afterAutospacing="1"/>
    </w:pPr>
  </w:style>
  <w:style w:type="paragraph" w:customStyle="1" w:styleId="Emphasis1">
    <w:name w:val="Emphasis1"/>
    <w:basedOn w:val="Normal"/>
    <w:link w:val="Emphasis"/>
    <w:uiPriority w:val="20"/>
    <w:qFormat/>
    <w:rsid w:val="00CC2CC5"/>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CC2C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autoRedefine/>
    <w:uiPriority w:val="20"/>
    <w:qFormat/>
    <w:rsid w:val="00CC2CC5"/>
    <w:rPr>
      <w:b/>
      <w:iCs/>
      <w:u w:val="single"/>
      <w:bdr w:val="single" w:sz="8" w:space="0" w:color="auto"/>
    </w:rPr>
  </w:style>
  <w:style w:type="paragraph" w:customStyle="1" w:styleId="analytic">
    <w:name w:val="analytic"/>
    <w:autoRedefine/>
    <w:uiPriority w:val="4"/>
    <w:qFormat/>
    <w:rsid w:val="00CC2CC5"/>
    <w:pPr>
      <w:numPr>
        <w:ilvl w:val="1"/>
        <w:numId w:val="14"/>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CC2CC5"/>
  </w:style>
  <w:style w:type="character" w:customStyle="1" w:styleId="analyticChar">
    <w:name w:val="analytic_ Char"/>
    <w:basedOn w:val="Heading4Char"/>
    <w:link w:val="analytic0"/>
    <w:uiPriority w:val="4"/>
    <w:rsid w:val="00CC2CC5"/>
    <w:rPr>
      <w:rFonts w:ascii="Calibri" w:eastAsiaTheme="majorEastAsia" w:hAnsi="Calibri" w:cstheme="majorBidi"/>
      <w:b/>
      <w:bCs/>
      <w:sz w:val="26"/>
      <w:szCs w:val="26"/>
    </w:rPr>
  </w:style>
  <w:style w:type="paragraph" w:customStyle="1" w:styleId="Analytics">
    <w:name w:val="Analytics"/>
    <w:basedOn w:val="Heading4"/>
    <w:qFormat/>
    <w:rsid w:val="00CC2CC5"/>
    <w:rPr>
      <w:color w:val="17365D" w:themeColor="text2" w:themeShade="BF"/>
    </w:rPr>
  </w:style>
  <w:style w:type="paragraph" w:customStyle="1" w:styleId="UnderlinePara">
    <w:name w:val="Underline Para"/>
    <w:basedOn w:val="Normal"/>
    <w:uiPriority w:val="1"/>
    <w:qFormat/>
    <w:rsid w:val="00CC2CC5"/>
    <w:pPr>
      <w:widowControl w:val="0"/>
      <w:suppressAutoHyphens/>
      <w:spacing w:after="200"/>
      <w:contextualSpacing/>
    </w:pPr>
    <w:rPr>
      <w:rFonts w:asciiTheme="minorHAnsi" w:hAnsiTheme="minorHAnsi"/>
      <w:u w:val="single"/>
    </w:rPr>
  </w:style>
  <w:style w:type="paragraph" w:styleId="ListParagraph">
    <w:name w:val="List Paragraph"/>
    <w:basedOn w:val="Normal"/>
    <w:uiPriority w:val="34"/>
    <w:qFormat/>
    <w:rsid w:val="00CC2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dcnet.org/collection/authorizedshow?id=enviroethics_1999_0021_0003_0307_0320&amp;pdfname=enviroethics_1999_0021_0003_0307_0320.pdf&amp;file_type=pdf&amp;googlescholar=true" TargetMode="External"/><Relationship Id="rId21" Type="http://schemas.openxmlformats.org/officeDocument/2006/relationships/hyperlink" Target="https://www.riverkeeper.org/wp-content/uploads/2011/09/316B_RVK-Comment-EPA-HQ-OW-2008-0667.pdf" TargetMode="External"/><Relationship Id="rId42" Type="http://schemas.openxmlformats.org/officeDocument/2006/relationships/hyperlink" Target="https://www.ipwatchdog.com/2020/04/12/pandemics-need-us-patent-laws-promote-progress-invention-federal-circuit-en-banc-can-fix/id=120575/" TargetMode="External"/><Relationship Id="rId47" Type="http://schemas.openxmlformats.org/officeDocument/2006/relationships/hyperlink" Target="https://www.americanbar.org/groups/environment_energy_resources/publications/trends/2015-2016/september-october-2015/the_decline_deference_the_supreme_court_pruning_back_chevron_doctrine/" TargetMode="External"/><Relationship Id="rId63" Type="http://schemas.openxmlformats.org/officeDocument/2006/relationships/hyperlink" Target="https://techliberation.com/wp-content/uploads/2012/11/39.sunstein.pdf" TargetMode="External"/><Relationship Id="rId68" Type="http://schemas.openxmlformats.org/officeDocument/2006/relationships/hyperlink" Target="https://techliberation.com/wp-content/uploads/2012/11/39.sunstein.pdf" TargetMode="External"/><Relationship Id="rId16" Type="http://schemas.openxmlformats.org/officeDocument/2006/relationships/hyperlink" Target="https://ballotpedia.org/Implementation_of_the_Clean_Water_Act" TargetMode="External"/><Relationship Id="rId11" Type="http://schemas.openxmlformats.org/officeDocument/2006/relationships/hyperlink" Target="https://www.waterboards.ca.gov/water_issues/programs/ocean/cwa316/" TargetMode="External"/><Relationship Id="rId24" Type="http://schemas.openxmlformats.org/officeDocument/2006/relationships/hyperlink" Target="https://doi.org/10.1177%2F0042085906291923" TargetMode="External"/><Relationship Id="rId32" Type="http://schemas.openxmlformats.org/officeDocument/2006/relationships/hyperlink" Target="https://fas.org/sgp/crs/misc/LSB10204.pdf" TargetMode="External"/><Relationship Id="rId37" Type="http://schemas.openxmlformats.org/officeDocument/2006/relationships/hyperlink" Target="https://www.journals.uchicago.edu/doi/abs/10.1086/701881?journalCode=scr)//cb" TargetMode="External"/><Relationship Id="rId40" Type="http://schemas.openxmlformats.org/officeDocument/2006/relationships/hyperlink" Target="https://www.shearman.com/~/media/Files/NewsInsights/Publications/2017/04/How-Eliminating-Agency-Deference-Might-Affect-PTAB-And-ITC.pdf" TargetMode="External"/><Relationship Id="rId45" Type="http://schemas.openxmlformats.org/officeDocument/2006/relationships/hyperlink" Target="https://www.natlawreview.com/article/supreme-court-places-another-limitation-chevron-deference" TargetMode="External"/><Relationship Id="rId53" Type="http://schemas.openxmlformats.org/officeDocument/2006/relationships/hyperlink" Target="https://www.hcn.org/issues/49.7/dc-dispatch-should-courts-defer-to-federal-agencies-our-new-supreme-court-justice-doesnt-think-so" TargetMode="External"/><Relationship Id="rId58" Type="http://schemas.openxmlformats.org/officeDocument/2006/relationships/hyperlink" Target="https://dc.law.utah.edu/cgi/viewcontent.cgi?article=1086&amp;context=ulr)//cb" TargetMode="External"/><Relationship Id="rId66" Type="http://schemas.openxmlformats.org/officeDocument/2006/relationships/hyperlink" Target="https://doi.org/10.1086/426308)//cb" TargetMode="External"/><Relationship Id="rId74" Type="http://schemas.openxmlformats.org/officeDocument/2006/relationships/hyperlink" Target="https://www.proquest.com/openview/783f746a7887cb6a31dde9c046d31edf/1?pq-origsite=gscholar&amp;cbl=18750" TargetMode="External"/><Relationship Id="rId5" Type="http://schemas.openxmlformats.org/officeDocument/2006/relationships/numbering" Target="numbering.xml"/><Relationship Id="rId61" Type="http://schemas.openxmlformats.org/officeDocument/2006/relationships/hyperlink" Target="http://resolver.tudelft.nl/uuid:d8ec6fc2-b417-4a38-a716-abff2e43c6b4" TargetMode="External"/><Relationship Id="rId19" Type="http://schemas.openxmlformats.org/officeDocument/2006/relationships/hyperlink" Target="https://www.epa.gov/cwa-404/overview-clean-water-act-section-404" TargetMode="External"/><Relationship Id="rId14" Type="http://schemas.openxmlformats.org/officeDocument/2006/relationships/hyperlink" Target="http://www.courts.ca.gov/opinions/documents/S214855.PDF" TargetMode="External"/><Relationship Id="rId22" Type="http://schemas.openxmlformats.org/officeDocument/2006/relationships/hyperlink" Target="https://fas.org/sgp/crs/misc/R41974.pdf" TargetMode="External"/><Relationship Id="rId27" Type="http://schemas.openxmlformats.org/officeDocument/2006/relationships/hyperlink" Target="https://www.pdcnet.org/collection/authorizedshow?id=enviroethics_1999_0021_0003_0307_0320&amp;pdfname=enviroethics_1999_0021_0003_0307_0320.pdf&amp;file_type=pdf&amp;googlescholar=true" TargetMode="External"/><Relationship Id="rId30" Type="http://schemas.openxmlformats.org/officeDocument/2006/relationships/hyperlink" Target="https://digitalcommons.law.yale.edu/cgi/viewcontent.cgi?article=4771&amp;context=fss_papers" TargetMode="External"/><Relationship Id="rId35" Type="http://schemas.openxmlformats.org/officeDocument/2006/relationships/hyperlink" Target="https://www.uwyo.edu/law/_files/docs/wy%20law%20review/v10%20n2/shanor.pdf" TargetMode="External"/><Relationship Id="rId43" Type="http://schemas.openxmlformats.org/officeDocument/2006/relationships/hyperlink" Target="https://www.ipwatchdog.com/2016/12/11/congress-can-save-software-patents-by-repeating-one-of-its-successes/id=75390/" TargetMode="External"/><Relationship Id="rId48" Type="http://schemas.openxmlformats.org/officeDocument/2006/relationships/hyperlink" Target="https://www.nybooks.com/articles/2018/07/19/supreme-court-tipping-scales/" TargetMode="External"/><Relationship Id="rId56" Type="http://schemas.openxmlformats.org/officeDocument/2006/relationships/hyperlink" Target="https://www.cnn.com/2021/05/21/politics/supreme-court-finger-pointing-kavanaugh-kagan-gorsuch/index.html" TargetMode="External"/><Relationship Id="rId64" Type="http://schemas.openxmlformats.org/officeDocument/2006/relationships/hyperlink" Target="https://techliberation.com/wp-content/uploads/2012/11/39.sunstein.pdf" TargetMode="External"/><Relationship Id="rId69" Type="http://schemas.openxmlformats.org/officeDocument/2006/relationships/hyperlink" Target="https://www.proquest.com/openview/783f746a7887cb6a31dde9c046d31edf/1?pq-origsite=gscholar&amp;cbl=18750"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scmp.com/news/china/diplomacy/article/3036053/us-still-out-front-tech-race-china-experts-say-response" TargetMode="External"/><Relationship Id="rId72" Type="http://schemas.openxmlformats.org/officeDocument/2006/relationships/hyperlink" Target="https://www.proquest.com/openview/783f746a7887cb6a31dde9c046d31edf/1?pq-origsite=gscholar&amp;cbl=18750" TargetMode="External"/><Relationship Id="rId3" Type="http://schemas.openxmlformats.org/officeDocument/2006/relationships/customXml" Target="../customXml/item3.xml"/><Relationship Id="rId12" Type="http://schemas.openxmlformats.org/officeDocument/2006/relationships/hyperlink" Target="https://www.waterboards.ca.gov/water_issues/programs/ocean/cwa316/" TargetMode="External"/><Relationship Id="rId17" Type="http://schemas.openxmlformats.org/officeDocument/2006/relationships/hyperlink" Target="https://ballotpedia.org/Implementation_of_the_Clean_Water_Act" TargetMode="External"/><Relationship Id="rId25" Type="http://schemas.openxmlformats.org/officeDocument/2006/relationships/hyperlink" Target="https://doi.org/10.3390/w11010099" TargetMode="External"/><Relationship Id="rId33" Type="http://schemas.openxmlformats.org/officeDocument/2006/relationships/hyperlink" Target="https://www.pillsburylaw.com/images/content/1/1/111356.pdf" TargetMode="External"/><Relationship Id="rId38" Type="http://schemas.openxmlformats.org/officeDocument/2006/relationships/hyperlink" Target="https://globalinvestigationsreview.com/guide/the-guide-monitorships/second-edition/article/22-judicial-scrutiny-of-dpas-and-npas" TargetMode="External"/><Relationship Id="rId46" Type="http://schemas.openxmlformats.org/officeDocument/2006/relationships/hyperlink" Target="https://lawdigitalcommons.bc.edu/cgi/viewcontent.cgi?article=3656&amp;context=bclr" TargetMode="External"/><Relationship Id="rId59" Type="http://schemas.openxmlformats.org/officeDocument/2006/relationships/hyperlink" Target="https://doi.org/10.1086/426308)//cb" TargetMode="External"/><Relationship Id="rId67" Type="http://schemas.openxmlformats.org/officeDocument/2006/relationships/hyperlink" Target="https://doi.org/10.1086/426308)//cb" TargetMode="External"/><Relationship Id="rId20" Type="http://schemas.openxmlformats.org/officeDocument/2006/relationships/hyperlink" Target="https://fas.org/sgp/crs/misc/R41974.pdf" TargetMode="External"/><Relationship Id="rId41" Type="http://schemas.openxmlformats.org/officeDocument/2006/relationships/hyperlink" Target="https://scholarlycommons.law.northwestern.edu/cgi/viewcontent.cgi?article=1113&amp;context=njtip" TargetMode="External"/><Relationship Id="rId54" Type="http://schemas.openxmlformats.org/officeDocument/2006/relationships/hyperlink" Target="http://www.law.du.edu/index.php/profile/federico-cheever" TargetMode="External"/><Relationship Id="rId62" Type="http://schemas.openxmlformats.org/officeDocument/2006/relationships/hyperlink" Target="https://techliberation.com/wp-content/uploads/2012/11/39.sunstein.pdf" TargetMode="External"/><Relationship Id="rId70" Type="http://schemas.openxmlformats.org/officeDocument/2006/relationships/hyperlink" Target="https://doi.org/10.1086/426308)//cb" TargetMode="External"/><Relationship Id="rId75" Type="http://schemas.openxmlformats.org/officeDocument/2006/relationships/hyperlink" Target="https://www.proquest.com/openview/783f746a7887cb6a31dde9c046d31edf/1?pq-origsite=gscholar&amp;cbl=1875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allotpedia.org/Implementation_of_the_Clean_Water_Act" TargetMode="External"/><Relationship Id="rId23" Type="http://schemas.openxmlformats.org/officeDocument/2006/relationships/hyperlink" Target="https://read.aupress.ca/read/regime-of-obstruction/section/11ea9068-0f23-41c9-85a5-c20d5afbded2" TargetMode="External"/><Relationship Id="rId28" Type="http://schemas.openxmlformats.org/officeDocument/2006/relationships/hyperlink" Target="https://harvardlawreview.org/2009/11/review-of-administrative-action-ae-clean-water-act-ae-judicial-review-of-cost-benefit-analysis-entergy-corp-v-riverkeeper-inc/)" TargetMode="External"/><Relationship Id="rId36" Type="http://schemas.openxmlformats.org/officeDocument/2006/relationships/hyperlink" Target="https://www.hklaw.com/en/insights/publications/2017/02/second-circuit-court-rules-epas-water-transfers-ru" TargetMode="External"/><Relationship Id="rId49" Type="http://schemas.openxmlformats.org/officeDocument/2006/relationships/hyperlink" Target="https://columbialawreview.org/wp-content/uploads/2016/03/November-2015-13-Herz.pdf" TargetMode="External"/><Relationship Id="rId57" Type="http://schemas.openxmlformats.org/officeDocument/2006/relationships/hyperlink" Target="https://www.washingtonpost.com/politics/2020/09/25/how-three-decades-partisan-fighting-hypocrisy-enabled-trump-reshape-federal-judiciary/" TargetMode="External"/><Relationship Id="rId10" Type="http://schemas.openxmlformats.org/officeDocument/2006/relationships/hyperlink" Target="https://www.waterboards.ca.gov/water_issues/programs/ocean/cwa316/" TargetMode="External"/><Relationship Id="rId31" Type="http://schemas.openxmlformats.org/officeDocument/2006/relationships/hyperlink" Target="https://papers.ssrn.com/sol3/papers.cfm?abstract_id=3602679" TargetMode="External"/><Relationship Id="rId44" Type="http://schemas.openxmlformats.org/officeDocument/2006/relationships/hyperlink" Target="https://www.economist.com/leaders/2018/01/25/the-growing-danger-of-great-power-conflict" TargetMode="External"/><Relationship Id="rId52" Type="http://schemas.openxmlformats.org/officeDocument/2006/relationships/hyperlink" Target="https://www.economist.com/leaders/2018/01/25/the-growing-danger-of-great-power-conflict" TargetMode="External"/><Relationship Id="rId60" Type="http://schemas.openxmlformats.org/officeDocument/2006/relationships/hyperlink" Target="https://doi.org/10.1086/426308)//cb" TargetMode="External"/><Relationship Id="rId65" Type="http://schemas.openxmlformats.org/officeDocument/2006/relationships/hyperlink" Target="https://techliberation.com/wp-content/uploads/2012/11/39.sunstein.pdf" TargetMode="External"/><Relationship Id="rId73" Type="http://schemas.openxmlformats.org/officeDocument/2006/relationships/hyperlink" Target="https://www.proquest.com/openview/783f746a7887cb6a31dde9c046d31edf/1?pq-origsite=gscholar&amp;cbl=18750"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waterboards.ca.gov/water_issues/programs/ocean/cwa316/" TargetMode="External"/><Relationship Id="rId13" Type="http://schemas.openxmlformats.org/officeDocument/2006/relationships/hyperlink" Target="https://www-jstor-org.ezproxy.sfpl.org/stable/pdf/40924909.pdf?ab_segments=0%252Fbasic_search_gsv2%252Fcontrol&amp;refreqid=excelsior%3Ac0948587ddf31e7b1787229c58e2a2e9" TargetMode="External"/><Relationship Id="rId18" Type="http://schemas.openxmlformats.org/officeDocument/2006/relationships/hyperlink" Target="https://www.epa.gov/cwa-404/clean-water-act-section-402-national-pollutant-discharge-elimination-system" TargetMode="External"/><Relationship Id="rId39" Type="http://schemas.openxmlformats.org/officeDocument/2006/relationships/hyperlink" Target="https://blog.ucsusa.org/guest-commentary/will-confirming-judge-barrett-be-the-death-of-chevron-deference/" TargetMode="External"/><Relationship Id="rId34" Type="http://schemas.openxmlformats.org/officeDocument/2006/relationships/hyperlink" Target="https://www.jstor.org/stable/48528353?seq=1" TargetMode="External"/><Relationship Id="rId50" Type="http://schemas.openxmlformats.org/officeDocument/2006/relationships/hyperlink" Target="https://www.ipwatchdog.com/2016/12/11/congress-can-save-software-patents-by-repeating-one-of-its-successes/id=75390/" TargetMode="External"/><Relationship Id="rId55" Type="http://schemas.openxmlformats.org/officeDocument/2006/relationships/hyperlink" Target="https://www.epri.com/research/products/000000000001025097" TargetMode="External"/><Relationship Id="rId76" Type="http://schemas.openxmlformats.org/officeDocument/2006/relationships/hyperlink" Target="https://www.eia.gov/todayinenergy/detail.php?id=3950" TargetMode="External"/><Relationship Id="rId7" Type="http://schemas.openxmlformats.org/officeDocument/2006/relationships/settings" Target="settings.xml"/><Relationship Id="rId71" Type="http://schemas.openxmlformats.org/officeDocument/2006/relationships/hyperlink" Target="https://doi.org/10.1086/426308)//cb" TargetMode="External"/><Relationship Id="rId2" Type="http://schemas.openxmlformats.org/officeDocument/2006/relationships/customXml" Target="../customXml/item2.xml"/><Relationship Id="rId29" Type="http://schemas.openxmlformats.org/officeDocument/2006/relationships/hyperlink" Target="https://scholarship.law.vanderbilt.edu/faculty-publications/1195/)//c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71972</Words>
  <Characters>410241</Characters>
  <Application>Microsoft Office Word</Application>
  <DocSecurity>0</DocSecurity>
  <Lines>3418</Lines>
  <Paragraphs>962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481251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2021-08-16T21:15:00Z</dcterms:created>
  <dcterms:modified xsi:type="dcterms:W3CDTF">2021-08-16T21:15:00Z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