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6466D" w14:textId="792075FC" w:rsidR="00AC21B6" w:rsidRDefault="00AC21B6" w:rsidP="00AC21B6">
      <w:pPr>
        <w:pStyle w:val="Heading1"/>
      </w:pPr>
      <w:r>
        <w:t xml:space="preserve">7-30 </w:t>
      </w:r>
      <w:r>
        <w:t xml:space="preserve">CBA Neg </w:t>
      </w:r>
      <w:r>
        <w:t>Updates---DDI 21---HL Lab</w:t>
      </w:r>
    </w:p>
    <w:p w14:paraId="6AF878A5" w14:textId="77777777" w:rsidR="00AC21B6" w:rsidRDefault="00AC21B6" w:rsidP="00AC21B6">
      <w:pPr>
        <w:pStyle w:val="Heading1"/>
      </w:pPr>
      <w:r>
        <w:lastRenderedPageBreak/>
        <w:t>CBA Neg</w:t>
      </w:r>
    </w:p>
    <w:p w14:paraId="593942DB" w14:textId="77777777" w:rsidR="00AC21B6" w:rsidRDefault="00AC21B6" w:rsidP="00AC21B6">
      <w:pPr>
        <w:pStyle w:val="Heading2"/>
      </w:pPr>
      <w:r>
        <w:lastRenderedPageBreak/>
        <w:t>States CP</w:t>
      </w:r>
    </w:p>
    <w:p w14:paraId="04C6C193" w14:textId="77777777" w:rsidR="00AC21B6" w:rsidRDefault="00AC21B6" w:rsidP="00AC21B6">
      <w:pPr>
        <w:pStyle w:val="Heading3"/>
      </w:pPr>
      <w:r>
        <w:lastRenderedPageBreak/>
        <w:t>Solvency---Closed-Cycle Cooling</w:t>
      </w:r>
    </w:p>
    <w:p w14:paraId="57FCDB19" w14:textId="77777777" w:rsidR="00AC21B6" w:rsidRDefault="00AC21B6" w:rsidP="00AC21B6">
      <w:pPr>
        <w:pStyle w:val="Heading4"/>
      </w:pPr>
      <w:r>
        <w:t xml:space="preserve">States can mandate closed-cycle cooling </w:t>
      </w:r>
    </w:p>
    <w:p w14:paraId="1A6E3EDA" w14:textId="77777777" w:rsidR="00AC21B6" w:rsidRPr="00A469FA" w:rsidRDefault="00AC21B6" w:rsidP="00AC21B6">
      <w:pPr>
        <w:rPr>
          <w:rStyle w:val="Style13ptBold"/>
        </w:rPr>
      </w:pPr>
      <w:r w:rsidRPr="00A469FA">
        <w:rPr>
          <w:rStyle w:val="Style13ptBold"/>
        </w:rPr>
        <w:t xml:space="preserve">NY State </w:t>
      </w:r>
      <w:r>
        <w:rPr>
          <w:rStyle w:val="Style13ptBold"/>
        </w:rPr>
        <w:t>Department 11</w:t>
      </w:r>
    </w:p>
    <w:p w14:paraId="126DF2D6" w14:textId="77777777" w:rsidR="00AC21B6" w:rsidRPr="00A469FA" w:rsidRDefault="00AC21B6" w:rsidP="00AC21B6">
      <w:r w:rsidRPr="00A469FA">
        <w:t>New York State Department of Environmental Conservation, 7-10-2011 " Best Technology Available (BTA) for Cooling Water Intake Structures", https://perma.cc/JG3C-96GU //spou</w:t>
      </w:r>
    </w:p>
    <w:p w14:paraId="1F09B3B7" w14:textId="77777777" w:rsidR="00AC21B6" w:rsidRPr="00CA714F" w:rsidRDefault="00AC21B6" w:rsidP="00AC21B6">
      <w:pPr>
        <w:rPr>
          <w:sz w:val="16"/>
        </w:rPr>
      </w:pPr>
      <w:r w:rsidRPr="00A348B9">
        <w:rPr>
          <w:rStyle w:val="StyleUnderline"/>
        </w:rPr>
        <w:t>This policy outlines the reductions in impingement mortality and entrainment required to</w:t>
      </w:r>
      <w:r>
        <w:rPr>
          <w:rStyle w:val="StyleUnderline"/>
        </w:rPr>
        <w:t xml:space="preserve"> </w:t>
      </w:r>
      <w:r w:rsidRPr="00A348B9">
        <w:rPr>
          <w:rStyle w:val="StyleUnderline"/>
        </w:rPr>
        <w:t>minimize the adverse environmental impact caused by industrial facilities having a cooling water</w:t>
      </w:r>
      <w:r>
        <w:rPr>
          <w:rStyle w:val="StyleUnderline"/>
        </w:rPr>
        <w:t xml:space="preserve"> </w:t>
      </w:r>
      <w:r w:rsidRPr="00A469FA">
        <w:rPr>
          <w:rStyle w:val="StyleUnderline"/>
        </w:rPr>
        <w:t>intake</w:t>
      </w:r>
      <w:r w:rsidRPr="00A469FA">
        <w:rPr>
          <w:sz w:val="16"/>
        </w:rPr>
        <w:t xml:space="preserve"> structure (</w:t>
      </w:r>
      <w:r w:rsidRPr="00A469FA">
        <w:rPr>
          <w:rStyle w:val="StyleUnderline"/>
        </w:rPr>
        <w:t>CWIS</w:t>
      </w:r>
      <w:r w:rsidRPr="00A469FA">
        <w:rPr>
          <w:sz w:val="16"/>
        </w:rPr>
        <w:t xml:space="preserve">) in connection with a point source thermal discharge. Water </w:t>
      </w:r>
      <w:r w:rsidRPr="00A469FA">
        <w:rPr>
          <w:rStyle w:val="StyleUnderline"/>
        </w:rPr>
        <w:t>withdrawals</w:t>
      </w:r>
      <w:r>
        <w:rPr>
          <w:rStyle w:val="StyleUnderline"/>
        </w:rPr>
        <w:t xml:space="preserve"> </w:t>
      </w:r>
      <w:r w:rsidRPr="00A469FA">
        <w:rPr>
          <w:rStyle w:val="StyleUnderline"/>
        </w:rPr>
        <w:t>from surface waterbodies through a CWIS cause injury and mortality to fish and shellfish</w:t>
      </w:r>
      <w:r>
        <w:rPr>
          <w:rStyle w:val="StyleUnderline"/>
        </w:rPr>
        <w:t xml:space="preserve"> </w:t>
      </w:r>
      <w:r w:rsidRPr="00A469FA">
        <w:rPr>
          <w:rStyle w:val="StyleUnderline"/>
        </w:rPr>
        <w:t>through impingement at the intake and/or entrainment through the cooling system</w:t>
      </w:r>
      <w:r w:rsidRPr="00A469FA">
        <w:rPr>
          <w:sz w:val="16"/>
        </w:rPr>
        <w:t xml:space="preserve">. Through this policy, </w:t>
      </w:r>
      <w:r w:rsidRPr="00A469FA">
        <w:rPr>
          <w:rStyle w:val="StyleUnderline"/>
        </w:rPr>
        <w:t>the Department identifies closed-cycle cooling or the equivalent as the performance goal</w:t>
      </w:r>
      <w:r>
        <w:rPr>
          <w:rStyle w:val="StyleUnderline"/>
        </w:rPr>
        <w:t xml:space="preserve"> </w:t>
      </w:r>
      <w:r w:rsidRPr="00A469FA">
        <w:rPr>
          <w:rStyle w:val="StyleUnderline"/>
        </w:rPr>
        <w:t>for the best technology available (BTA) to minimize adverse environmental impacts pursuant to</w:t>
      </w:r>
      <w:r>
        <w:rPr>
          <w:rStyle w:val="StyleUnderline"/>
        </w:rPr>
        <w:t xml:space="preserve"> </w:t>
      </w:r>
      <w:r w:rsidRPr="00A469FA">
        <w:rPr>
          <w:rStyle w:val="StyleUnderline"/>
        </w:rPr>
        <w:t>Section 704.5 of 6 NYCRR and Section 316(b) of the federal Clean Water Act in State Pollutant</w:t>
      </w:r>
      <w:r>
        <w:rPr>
          <w:rStyle w:val="StyleUnderline"/>
        </w:rPr>
        <w:t xml:space="preserve"> </w:t>
      </w:r>
      <w:r w:rsidRPr="00A469FA">
        <w:rPr>
          <w:rStyle w:val="StyleUnderline"/>
        </w:rPr>
        <w:t>Discharge Elimination System (SPDES) permits issued by the Department in accordance with</w:t>
      </w:r>
      <w:r>
        <w:rPr>
          <w:rStyle w:val="StyleUnderline"/>
        </w:rPr>
        <w:t xml:space="preserve"> </w:t>
      </w:r>
      <w:r w:rsidRPr="00A469FA">
        <w:rPr>
          <w:rStyle w:val="StyleUnderline"/>
        </w:rPr>
        <w:t>ECL Article 17, Title 8, and Part 750 of 6 NYCRR.</w:t>
      </w:r>
      <w:r>
        <w:rPr>
          <w:rStyle w:val="StyleUnderline"/>
        </w:rPr>
        <w:t xml:space="preserve"> </w:t>
      </w:r>
      <w:r w:rsidRPr="00A469FA">
        <w:rPr>
          <w:sz w:val="16"/>
        </w:rPr>
        <w:t xml:space="preserve">II. Applicability: </w:t>
      </w:r>
      <w:r w:rsidRPr="00A469FA">
        <w:rPr>
          <w:rStyle w:val="StyleUnderline"/>
        </w:rPr>
        <w:t>This policy applies to all existing and proposed industrial facilities</w:t>
      </w:r>
      <w:r w:rsidRPr="00A469FA">
        <w:rPr>
          <w:sz w:val="16"/>
        </w:rPr>
        <w:t xml:space="preserve"> </w:t>
      </w:r>
      <w:r w:rsidRPr="00A469FA">
        <w:rPr>
          <w:rStyle w:val="StyleUnderline"/>
        </w:rPr>
        <w:t>designed to withdraw</w:t>
      </w:r>
      <w:r>
        <w:rPr>
          <w:rStyle w:val="StyleUnderline"/>
        </w:rPr>
        <w:t xml:space="preserve"> </w:t>
      </w:r>
      <w:r w:rsidRPr="00A469FA">
        <w:rPr>
          <w:rStyle w:val="StyleUnderline"/>
        </w:rPr>
        <w:t>twenty (20) million gallons per day (MGD) or more of water from the waters of New York State,</w:t>
      </w:r>
      <w:r>
        <w:rPr>
          <w:rStyle w:val="StyleUnderline"/>
        </w:rPr>
        <w:t xml:space="preserve"> </w:t>
      </w:r>
      <w:r w:rsidRPr="00A469FA">
        <w:rPr>
          <w:sz w:val="16"/>
        </w:rPr>
        <w:t xml:space="preserve">where at least twenty five (25) percent is used for contact or non-contact cooling, and that are subject to the requirements of Section 704.5 of 6 NYCRR. Existing and proposed industrial facilities subject to the requirements of 6 NYCRR § 704.5 that are designed to use less than 20 MGD of contact or non-contact cooling water or those with a higher design capacity that use less than twenty five (25) percent of water for cooling purposes will continue to be subject to the requirements of 6 NYCRR § 704.5 and CWA § 316(b) or another subpart of 40 C.F.R. Part 125, as determined by the Department on a case-by-case, best professional judgment (BPJ) basis. III. Policy: This Policy was prepared in furtherance of the powers and duties of the Commissioner and the Department of Environmental Conservation, pursuant to ECL Articles 1, 3, and 11 et seq. to conserve and protect the natural resources of the state and to minimize adverse impacts to the environment. In addition, it seeks to clarify the Department’s Best Technology Available (BTA) review process and to provide certainty to Department staff’s ongoing implementation of 6 NYCRR Part 704.5 regarding requirements applicable to CWIS. </w:t>
      </w:r>
      <w:r w:rsidRPr="00A469FA">
        <w:rPr>
          <w:rStyle w:val="StyleUnderline"/>
        </w:rPr>
        <w:t>The following performance goals are identified for selection of BTA to minimize adverse</w:t>
      </w:r>
      <w:r>
        <w:rPr>
          <w:rStyle w:val="StyleUnderline"/>
        </w:rPr>
        <w:t xml:space="preserve"> </w:t>
      </w:r>
      <w:r w:rsidRPr="00A469FA">
        <w:rPr>
          <w:rStyle w:val="StyleUnderline"/>
        </w:rPr>
        <w:t>environmental impact from a CWIS:</w:t>
      </w:r>
      <w:r>
        <w:rPr>
          <w:rStyle w:val="StyleUnderline"/>
        </w:rPr>
        <w:t xml:space="preserve"> </w:t>
      </w:r>
      <w:r w:rsidRPr="00A469FA">
        <w:rPr>
          <w:rStyle w:val="StyleUnderline"/>
        </w:rPr>
        <w:t>1. Dry closed-cycle cooling as the performance goal for all new industrial facilities sited</w:t>
      </w:r>
      <w:r>
        <w:rPr>
          <w:rStyle w:val="StyleUnderline"/>
        </w:rPr>
        <w:t xml:space="preserve"> </w:t>
      </w:r>
      <w:r w:rsidRPr="00A469FA">
        <w:rPr>
          <w:rStyle w:val="StyleUnderline"/>
        </w:rPr>
        <w:t>in the marine and coastal district (ECL § 13-0103) and along the Hudson River up to</w:t>
      </w:r>
      <w:r>
        <w:rPr>
          <w:rStyle w:val="StyleUnderline"/>
        </w:rPr>
        <w:t xml:space="preserve"> </w:t>
      </w:r>
      <w:r w:rsidRPr="00A469FA">
        <w:rPr>
          <w:rStyle w:val="StyleUnderline"/>
        </w:rPr>
        <w:t>the Federal Dam in Troy;</w:t>
      </w:r>
      <w:r>
        <w:rPr>
          <w:rStyle w:val="StyleUnderline"/>
        </w:rPr>
        <w:t xml:space="preserve"> </w:t>
      </w:r>
      <w:r w:rsidRPr="00A469FA">
        <w:rPr>
          <w:rStyle w:val="StyleUnderline"/>
        </w:rPr>
        <w:t>2. Wet closed-cycle cooling as the minimum performance goal for all new industrial</w:t>
      </w:r>
      <w:r>
        <w:rPr>
          <w:rStyle w:val="StyleUnderline"/>
        </w:rPr>
        <w:t xml:space="preserve"> </w:t>
      </w:r>
      <w:r w:rsidRPr="00A469FA">
        <w:rPr>
          <w:rStyle w:val="StyleUnderline"/>
        </w:rPr>
        <w:t>facilities located along all waters other than those covered by 1 above;</w:t>
      </w:r>
      <w:r>
        <w:rPr>
          <w:rStyle w:val="StyleUnderline"/>
        </w:rPr>
        <w:t xml:space="preserve"> </w:t>
      </w:r>
      <w:r w:rsidRPr="00A469FA">
        <w:rPr>
          <w:rStyle w:val="StyleUnderline"/>
        </w:rPr>
        <w:t>3. Wet closed-cycle cooling or its equivalent as the performance goal for existing</w:t>
      </w:r>
      <w:r>
        <w:rPr>
          <w:rStyle w:val="StyleUnderline"/>
        </w:rPr>
        <w:t xml:space="preserve"> </w:t>
      </w:r>
      <w:r w:rsidRPr="00A469FA">
        <w:rPr>
          <w:rStyle w:val="StyleUnderline"/>
        </w:rPr>
        <w:t>industrial facilities that operate a CWIS in connection with a point source thermal</w:t>
      </w:r>
      <w:r>
        <w:rPr>
          <w:rStyle w:val="StyleUnderline"/>
        </w:rPr>
        <w:t xml:space="preserve"> </w:t>
      </w:r>
      <w:r w:rsidRPr="00A469FA">
        <w:rPr>
          <w:rStyle w:val="StyleUnderline"/>
        </w:rPr>
        <w:t>discharge; and</w:t>
      </w:r>
      <w:r>
        <w:rPr>
          <w:rStyle w:val="StyleUnderline"/>
        </w:rPr>
        <w:t xml:space="preserve"> </w:t>
      </w:r>
      <w:r w:rsidRPr="00A469FA">
        <w:rPr>
          <w:rStyle w:val="StyleUnderline"/>
        </w:rPr>
        <w:t>4. Wet closed-cycle cooling as the performance goal for all repowered industrial facilities</w:t>
      </w:r>
      <w:r>
        <w:rPr>
          <w:rStyle w:val="StyleUnderline"/>
        </w:rPr>
        <w:t xml:space="preserve"> </w:t>
      </w:r>
      <w:r w:rsidRPr="00A469FA">
        <w:rPr>
          <w:rStyle w:val="StyleUnderline"/>
        </w:rPr>
        <w:t>that operate a CWIS in connection with a point source thermal discharge</w:t>
      </w:r>
      <w:r w:rsidRPr="00A469FA">
        <w:rPr>
          <w:sz w:val="16"/>
        </w:rPr>
        <w:t xml:space="preserve">. Facilities for which a BTA determination has been issued prior to the effective date of this policy and which are in compliance with an existing compliance schedule of BTA implementation and verification monitoring will not be subject to new requirements as a result of this policy unless/until the results of verification monitoring demonstrate the necessity of more stringent BTA requirements. A full technical review will be conducted when a permit renewal or modification application is submitted following the completion of the verification monitoring program. Facility owners and/or permittees of existing industrial facilities seeking to meet the equivalent performance goal set by this policy shall propose a suite of technologies and operational measures to the Department for consideration as BTA. Operational measures proposed by the facility owner may include but not be limited to: (1) reductions in cooling water capacity, (2) fish protective outages, and (3) reducing cooling water capacity use. Definitions: Adverse environmental impact – the fish and shellfish killed or injured through entrainment and impingement by the operation of cooling water intake structures. The “adverse environmental impact” that must be minimized by the BTA standard of 6 NYCRR §704.5 relates only to aquatic resources. Available – technologies and operational measures that are technically and administratively feasible for a particular facility, consistent with other applicable regulations and public health and safety considerations, with costs </w:t>
      </w:r>
      <w:r w:rsidRPr="00A469FA">
        <w:rPr>
          <w:sz w:val="16"/>
        </w:rPr>
        <w:lastRenderedPageBreak/>
        <w:t xml:space="preserve">not wholly disproportionate to the benefits. Best Technology Available (BTA) – technology based standard established under CWA Section 316(b), 40 C.F.R. Part 125, subpart I; 40 C.F.R. Part 125.90(b); and 40 C.F.R. Part 125, subpart N and 6 NYCRR Part 704.5 as the most effective technology, process or operational method for minimizing adverse environmental impact from a CWIS. Calculation baseline – an estimate of impingement mortality and entrainment that would occur at a facility CWIS assuming that: the cooling water system has been designed as a once-through system; the opening of the cooling water intake structure is located at, and the face of the standard 3/8-inch mesh conventional traveling screen is oriented parallel to, the shoreline near CP - 52 Page 2 the surface of the source waterbody and is operated at the full rated capacity 24 hours a day, 365 days a year. This is the baseline of adverse environmental impact to be used in estimating reductions in impingement mortality and entrainment resulting from operating a closed-cycle cooling system. Cooling water - the water used for contact or non-contact cooling, including water used for equipment cooling, evaporative cooling tower makeup, and dilution of effluent heat content. The intended use of the cooling water is to absorb waste heat rejected from the process or processes used, or from auxiliary operations on the facility's premises [6 NYCRR § 700.1(a)(11)]. Cooling water intake structure (CWIS) - the total physical structure and any associated constructed waterways used to withdraw cooling water from waters of New York State. The cooling water intake structure extends from the point at which water is withdrawn from the waters of the State up to, and including the intake pumps [6 NYCRR § 700.1(a)(12)]. Dry closed-cycle cooling - cooling system that uses air flow, rather than the evaporation of water, to remove heat from the power station in order to reduce or eliminate the consumptive use of surface waters. Entrainment – the incorporation of all life stages of fish with intake water flow entering and passing through a cooling water intake structure and into a cooling water system. The </w:t>
      </w:r>
      <w:r w:rsidRPr="00A469FA">
        <w:rPr>
          <w:rStyle w:val="StyleUnderline"/>
        </w:rPr>
        <w:t>Department assumes that entrainment results in 100 percent mortality of the entrained organisms unless a lesser mortality is demonstrated to Department staff based on site-specific studies</w:t>
      </w:r>
      <w:r w:rsidRPr="00A469FA">
        <w:rPr>
          <w:sz w:val="16"/>
        </w:rPr>
        <w:t xml:space="preserve">. Equivalent – reductions in impingement mortality and entrainment from calculation baseline that are 90 percent or greater of that which would be achieved by a wet closed-cycle cooling system. Feasible – capable of being done; able to be installed and function efficiently within the operating constraints of the facility. Impingement mortality – the death of all life stages of fish as a result of being entrapped on the outer part of a cooling water intake structure or against a screening device during periods of water withdrawal. Industrial facilities –includes all facilities listed in CWA § 306(b)(1)(A) and all other facilities that have a cooling water intake structure in connection with a point source thermal discharge. Minimize - reduce to the smallest amount, extent or degree reasonably possible. Once-through cooling water system - a system designed to withdraw water from a natural or other water source, use it at the facility to support contact and/or noncontact cooling uses, and then discharge it to a waterbody without recirculation. Shellfish – for the purposes of this policy, this includes the horseshoe crab (Limulus polyphemus) and members of the Class Decapoda [lobster (Homarus americanus), crayfish, crabs, and shrimp]. Wet closed-cycle cooling – a system designed to withdraw the smallest amount of water to support contact and/or non-contact cooling uses within a facility. A closed-cycle cooling system uses between 93 and 98 percent less water than a once-through cooling system. The water is usually sent to a cooling canal, channel, pond, or tower to allow waste heat to be dissipated to the atmosphere and then is returned to the system. New source water (makeup water) is added to the system to replenish losses that have occurred due to cooling tower blow-down, drift, and evaporation. Wholly disproportionate test – is neither a traditional cost-benefit analysis nor an economic analysis but simply a comparison of the proportional reduction in impact (benefit) as compared to the proportional reduction in revenue (cost) of installing and operating BTA technology to mitigate adverse environmental impact. This comparison does not monetize the resource and gives presumptive weight to the value of the environmental benefits to be gained. IV. Purpose and Background: State regulations and federal laws mandate that industrial facilities employ BTA to minimize adverse environmental impact when proposing a new or operating an existing CWIS. The purpose of this policy is to identify the goals of the Department in implementing this standard and to ensure consistent application of those goals to industrial facilities in New York State. In addition, this Policy outlines Department staff’s ongoing review process and procedures for decision-making. Throughout New York, over 16 billion gallons of water are withdrawn from state waters through a CWIS system each day for the purpose of industrial cooling. The adverse environmental impact of these CWIS systems results in over 17 billion fish of all life stages (eggs, larvae, juveniles and adults) being entrained or impinged annually. The fish can suffer from lethally high water temperatures, contact with screens, impellers or heat-exchangers, or from exposure to the chemicals used to maintain heat-exchanger cleanliness. Steam electric power plants account for the majority, though not all, of this environmental impact with some of these power plants using well over a billion gallons of water every day for cooling purposes. Establishing Closed-Cycle Cooling or the Equivalent as the Performance Goal: One of the most efficient and effective ways to minimize or eliminate the number of and mortality to aquatic organisms impinged and entrained during industrial cooling is to minimize or eliminate the use of once-through, non-contact cooling water from the surface waters of New York. The demonstrated technology that achieves the greatest reduction in non-contact cooling water use is closed-cycle cooling. Under the U.S. EPA CWA 316(b) Phase I Rule (40 C.F.R. Part 125, subpart I), wet closed-cycle cooling was identified as the best technology available for new facilities to minimize impingement and entrainment and New York has already required closedcycle cooling technology to be employed on new facilities and for electric generating facilities being repowered1 . Given the effectiveness of closed-cycle cooling at reducing adverse environmental impact caused by a CWIS, the biological significance of New York’s surface waterbodies and their importance for commercial and recreational uses, particularly in the marine and coastal district, the tidal reach of the Hudson River and the Great Lakes, this policy establishes closed-cycle cooling as the performance goal for all new and repowered industrial facilities in New York. </w:t>
      </w:r>
      <w:r w:rsidRPr="00A469FA">
        <w:rPr>
          <w:rStyle w:val="Emphasis"/>
        </w:rPr>
        <w:t>The performance goal for all existing industrial facilities in New York is closed-cycle cooling or the equivalent</w:t>
      </w:r>
      <w:r w:rsidRPr="00A469FA">
        <w:rPr>
          <w:sz w:val="16"/>
        </w:rPr>
        <w:t xml:space="preserve">. Exemption from the Entrainment Performance Goal An </w:t>
      </w:r>
      <w:r w:rsidRPr="00A469FA">
        <w:rPr>
          <w:sz w:val="16"/>
        </w:rPr>
        <w:lastRenderedPageBreak/>
        <w:t xml:space="preserve">existing electric generating facility operated at less than fifteen (15) percent of its electric generating capacity over a current 5-year averaging period will be subject to the impingement mortality reduction performance goals of this policy and may be exempt from meeting the entrainment performance goal of this policy provided that the facility is operated in a manner that minimizes the potential for entrainment. For these facilities, site-specific performance goals for entrainment will be determined by the Department on a on a case-by-case, BPJ basis. V. Responsibility: The </w:t>
      </w:r>
      <w:r w:rsidRPr="00A469FA">
        <w:rPr>
          <w:rStyle w:val="StyleUnderline"/>
        </w:rPr>
        <w:t>Division of Fish, Wildlife and Marine Resources has the primary responsibility to</w:t>
      </w:r>
      <w:r>
        <w:rPr>
          <w:rStyle w:val="StyleUnderline"/>
        </w:rPr>
        <w:t xml:space="preserve"> </w:t>
      </w:r>
      <w:r w:rsidRPr="00A469FA">
        <w:rPr>
          <w:rStyle w:val="StyleUnderline"/>
        </w:rPr>
        <w:t>ensure that BTA determinations are made consistent with this Policy.</w:t>
      </w:r>
      <w:r w:rsidRPr="00A469FA">
        <w:rPr>
          <w:sz w:val="16"/>
        </w:rPr>
        <w:t xml:space="preserve"> Additionally, the </w:t>
      </w:r>
      <w:r w:rsidRPr="00A469FA">
        <w:rPr>
          <w:rStyle w:val="StyleUnderline"/>
        </w:rPr>
        <w:t>Divisions of Water and Environmental Permits ensure that the requirements of this policy are</w:t>
      </w:r>
      <w:r>
        <w:rPr>
          <w:rStyle w:val="StyleUnderline"/>
        </w:rPr>
        <w:t xml:space="preserve"> </w:t>
      </w:r>
      <w:r w:rsidRPr="00A469FA">
        <w:rPr>
          <w:rStyle w:val="StyleUnderline"/>
        </w:rPr>
        <w:t>reflected in all final SPDES permits issued to industrial facilities that operate or propose to</w:t>
      </w:r>
      <w:r>
        <w:rPr>
          <w:rStyle w:val="StyleUnderline"/>
        </w:rPr>
        <w:t xml:space="preserve"> </w:t>
      </w:r>
      <w:r w:rsidRPr="00A469FA">
        <w:rPr>
          <w:rStyle w:val="StyleUnderline"/>
        </w:rPr>
        <w:t>operate a CWIS in connection with a point source thermal discharge.</w:t>
      </w:r>
      <w:r w:rsidRPr="00A469FA">
        <w:rPr>
          <w:sz w:val="16"/>
        </w:rPr>
        <w:t xml:space="preserve"> Specific Division responsibilities are as follows:</w:t>
      </w:r>
    </w:p>
    <w:p w14:paraId="52404141" w14:textId="77777777" w:rsidR="00AC21B6" w:rsidRDefault="00AC21B6" w:rsidP="00AC21B6">
      <w:pPr>
        <w:pStyle w:val="Heading4"/>
      </w:pPr>
      <w:r>
        <w:t>States solve – Delaware proves</w:t>
      </w:r>
    </w:p>
    <w:p w14:paraId="06144949" w14:textId="77777777" w:rsidR="00AC21B6" w:rsidRDefault="00AC21B6" w:rsidP="00AC21B6">
      <w:r w:rsidRPr="00785948">
        <w:t xml:space="preserve">Leah </w:t>
      </w:r>
      <w:r w:rsidRPr="00785948">
        <w:rPr>
          <w:rStyle w:val="Style13ptBold"/>
        </w:rPr>
        <w:t>Hoenen</w:t>
      </w:r>
      <w:r w:rsidRPr="00785948">
        <w:t xml:space="preserve">, </w:t>
      </w:r>
      <w:r>
        <w:t>Communications Specialist at Biodiversity Research Institute,</w:t>
      </w:r>
      <w:r w:rsidRPr="00785948">
        <w:t xml:space="preserve"> 7-6-20</w:t>
      </w:r>
      <w:r w:rsidRPr="00785948">
        <w:rPr>
          <w:rStyle w:val="Style13ptBold"/>
        </w:rPr>
        <w:t xml:space="preserve">09 </w:t>
      </w:r>
      <w:r w:rsidRPr="00785948">
        <w:t>"Cooling tower resolution passes", Cape Gazette https://www.capegazette.com/article/cooling-tower-resolution-passes/6156 //spou</w:t>
      </w:r>
    </w:p>
    <w:p w14:paraId="534C33DC" w14:textId="77777777" w:rsidR="00AC21B6" w:rsidRDefault="00AC21B6" w:rsidP="00AC21B6">
      <w:pPr>
        <w:rPr>
          <w:sz w:val="16"/>
        </w:rPr>
      </w:pPr>
      <w:r w:rsidRPr="00785948">
        <w:rPr>
          <w:sz w:val="16"/>
        </w:rPr>
        <w:t xml:space="preserve">On the last day of the legislative session, </w:t>
      </w:r>
      <w:r w:rsidRPr="00785948">
        <w:rPr>
          <w:rStyle w:val="StyleUnderline"/>
        </w:rPr>
        <w:t>lawmakers approved a resolution that requires a state agency to determine whether closed-cycle cooling systems should be required on industrial facilities in Delaware.</w:t>
      </w:r>
      <w:r>
        <w:rPr>
          <w:rStyle w:val="StyleUnderline"/>
        </w:rPr>
        <w:t xml:space="preserve"> </w:t>
      </w:r>
      <w:r w:rsidRPr="00785948">
        <w:rPr>
          <w:sz w:val="16"/>
        </w:rPr>
        <w:t xml:space="preserve">The </w:t>
      </w:r>
      <w:r w:rsidRPr="00785948">
        <w:rPr>
          <w:rStyle w:val="StyleUnderline"/>
        </w:rPr>
        <w:t>measure was intended to protect fish from being killed in industrial cooling-water intakes. Environmentalists say the resolution is the culmination of years of work to educate the public and lawmakers on the environmental impacts of cooling systems.</w:t>
      </w:r>
      <w:r>
        <w:rPr>
          <w:rStyle w:val="StyleUnderline"/>
        </w:rPr>
        <w:t xml:space="preserve"> </w:t>
      </w:r>
      <w:r w:rsidRPr="00785948">
        <w:rPr>
          <w:rStyle w:val="StyleUnderline"/>
        </w:rPr>
        <w:t>The final resolution calls for Department of Natural Resources and Environmental Control (DNREC) officials to determine whether it should require closed-cycle cooling systems on all facilities operating on Delaware waters, and urges the department to label closed-cycle cooling one of the best technologies available for cooling systems</w:t>
      </w:r>
      <w:r w:rsidRPr="00785948">
        <w:rPr>
          <w:sz w:val="16"/>
        </w:rPr>
        <w:t xml:space="preserve">. Maya van Rossum, director of the Delaware Riverkeeper Network, said scientists recognize closed-cycle cooling systems as the systems to reduce fish kills. She said closed-cycle cooling units cut the number of aquatic animals killed by cooling systems by 90 percent to 95 percent. Rep. William Oberle, R-Beecher’s Lot, sponsored the resolution, which said </w:t>
      </w:r>
      <w:r w:rsidRPr="00785948">
        <w:rPr>
          <w:rStyle w:val="StyleUnderline"/>
        </w:rPr>
        <w:t>the deaths of millions of fish and crabs per year is detrimental to Delaware’s economy, recreation and tourism.</w:t>
      </w:r>
      <w:r>
        <w:rPr>
          <w:rStyle w:val="StyleUnderline"/>
        </w:rPr>
        <w:t xml:space="preserve"> </w:t>
      </w:r>
      <w:r w:rsidRPr="00785948">
        <w:rPr>
          <w:sz w:val="16"/>
        </w:rPr>
        <w:t xml:space="preserve">Co-sponsor Sen. George Bunting, D-Bethany Beach, is pleased the resolution passed, but he criticized the amount of money lobbyists spent fighting the measure. Sen. Gary Simpson, R-Milford, co-sponsored the resolution. He has said endorsement of closed-cycle cooling systems from the Center for the Inland Bays helped raise awareness of the fish-kill issue. He also said he would have liked the resolution to have time limits. Chris Bason, science and technical coordinator for the Center for the Inland Bays, agreed with Schneider. “The resolution and the support from legislators and a wide array of stakeholders shows the watershed is deeply concerned about the impacts and really wants them addressed,” he said. The resolution sends a clear message, he said. Center staff members testified about how the systems affect aquatic life and habitat during legislative hearings on the resolution. Bason reported at a pollution-discharge hearing for the Indian River power plant more than a year ago that a consultant report that said millions of fish perish in that plant’s water intakes each year justified the destruction by comparing the loss of Inland Bays fish to the entire Atlantic fishery. That permit has been administratively extended by state environmental officials for 17 years. Bason said while </w:t>
      </w:r>
      <w:r w:rsidRPr="00785948">
        <w:rPr>
          <w:rStyle w:val="StyleUnderline"/>
        </w:rPr>
        <w:t>the deaths of fish and crabs at intakes is detrimental to the food web of the bays, the habitat destruction from the discharge of used, heated cooling water is equally harmful to the environment. It causes the loss of critical nursery habitat and can change the types of organisms that inhabit an area, he said. “It’s great. We showed that the legislative members are concerned about the issue and our natural resources and want to protect them.</w:t>
      </w:r>
      <w:r w:rsidRPr="00785948">
        <w:rPr>
          <w:sz w:val="16"/>
        </w:rPr>
        <w:t xml:space="preserve"> Our goal was to inform people and we succeeded,” said Richard Schneider, who spearheaded the effort to see House Concurrent Resolution 7 passed. Schneider campaigned on behalf of a similar measure last year. Katherine Bunting-Howarth, director of DNREC’s water resources division, said department Secretary Collin O’Mara is currently reviewing a pollution-discharge permit for NRG Energy’s Indian River power plant, which is related to closed-cycle cooling systems. Because of that pending decision, she said she could not comment on the resolution.</w:t>
      </w:r>
    </w:p>
    <w:p w14:paraId="2D6E5D8F" w14:textId="77777777" w:rsidR="00AC21B6" w:rsidRDefault="00AC21B6" w:rsidP="00AC21B6">
      <w:pPr>
        <w:pStyle w:val="Heading4"/>
        <w:rPr>
          <w:rStyle w:val="Style13ptBold"/>
        </w:rPr>
      </w:pPr>
      <w:r>
        <w:rPr>
          <w:rStyle w:val="Style13ptBold"/>
        </w:rPr>
        <w:lastRenderedPageBreak/>
        <w:t>States can mandate – forces compliance</w:t>
      </w:r>
    </w:p>
    <w:p w14:paraId="7E07FA3B" w14:textId="77777777" w:rsidR="00AC21B6" w:rsidRDefault="00AC21B6" w:rsidP="00AC21B6">
      <w:r w:rsidRPr="00D11CA4">
        <w:rPr>
          <w:rStyle w:val="Style13ptBold"/>
        </w:rPr>
        <w:t>Reuters</w:t>
      </w:r>
      <w:r w:rsidRPr="00E87870">
        <w:t xml:space="preserve"> Staff, </w:t>
      </w:r>
      <w:r>
        <w:t>N</w:t>
      </w:r>
      <w:r w:rsidRPr="00D11CA4">
        <w:t>ews and media division of Thomson Reuters, is the world's largest multimedia news provide</w:t>
      </w:r>
      <w:r>
        <w:t xml:space="preserve">r, </w:t>
      </w:r>
      <w:r w:rsidRPr="00E87870">
        <w:t>7-20-20</w:t>
      </w:r>
      <w:r w:rsidRPr="00D11CA4">
        <w:rPr>
          <w:rStyle w:val="Style13ptBold"/>
        </w:rPr>
        <w:t xml:space="preserve">11 </w:t>
      </w:r>
      <w:r w:rsidRPr="00E87870">
        <w:t>"NY power plant water rule threatens Indian Point reactors", U.S. https://www.reuters.com/article/us-utilities-entergy-indianpoint/ny-power-plant-water-rule-threatens-indian-point-reactors-idUSTRE76J6NB20110720 //spou</w:t>
      </w:r>
    </w:p>
    <w:p w14:paraId="1317ADFC" w14:textId="77777777" w:rsidR="00AC21B6" w:rsidRPr="00D11CA4" w:rsidRDefault="00AC21B6" w:rsidP="00AC21B6">
      <w:pPr>
        <w:rPr>
          <w:sz w:val="16"/>
        </w:rPr>
      </w:pPr>
      <w:r w:rsidRPr="00D11CA4">
        <w:rPr>
          <w:sz w:val="16"/>
        </w:rPr>
        <w:t xml:space="preserve">NEW YORK (Reuters) - </w:t>
      </w:r>
      <w:r w:rsidRPr="00D11CA4">
        <w:rPr>
          <w:rStyle w:val="Emphasis"/>
        </w:rPr>
        <w:t>New York environmental regulators finalized rules to reduce cooling water intake by power plants and other industrial facilities to reduce fish kills by 90 percent.</w:t>
      </w:r>
      <w:r>
        <w:rPr>
          <w:rStyle w:val="Emphasis"/>
        </w:rPr>
        <w:t xml:space="preserve"> </w:t>
      </w:r>
      <w:r w:rsidRPr="00D11CA4">
        <w:rPr>
          <w:sz w:val="16"/>
        </w:rPr>
        <w:t xml:space="preserve">But this rule is about more than just fish and water. It could lead to the shutdown of the giant Indian Point and threaten the reliability of New York City’s power supply. The state does not want to give Entergy Corp a water permit for the 2,045-megawatt Indian Point nuclear power plant unless the New Orleans-based company spends up to $2 billion to install a new water cooling system to protect fish in the Hudson River just 45 miles north of Manhattan. </w:t>
      </w:r>
      <w:r w:rsidRPr="00D11CA4">
        <w:rPr>
          <w:rStyle w:val="StyleUnderline"/>
        </w:rPr>
        <w:t>Without the state water permit, the U.S. Nuclear Regulatory Commission cannot relicense Indian Point’s two reactors for another 20 years.</w:t>
      </w:r>
      <w:r>
        <w:rPr>
          <w:rStyle w:val="StyleUnderline"/>
        </w:rPr>
        <w:t xml:space="preserve"> </w:t>
      </w:r>
      <w:r w:rsidRPr="00D11CA4">
        <w:rPr>
          <w:sz w:val="16"/>
        </w:rPr>
        <w:t xml:space="preserve">The current reactor </w:t>
      </w:r>
      <w:r w:rsidRPr="00D11CA4">
        <w:rPr>
          <w:rStyle w:val="StyleUnderline"/>
        </w:rPr>
        <w:t>licenses expire</w:t>
      </w:r>
      <w:r w:rsidRPr="00D11CA4">
        <w:rPr>
          <w:sz w:val="16"/>
        </w:rPr>
        <w:t xml:space="preserve"> in 2013 and 2015. The shutdown of Indian Point would cause power reliability problems and boost electric prices in New York City, according to the state’s power grid operator, the New York ISO, and the city’s power company, Consolidated Edison. Power plants use water to cool plant systems and condense the steam used to turn the turbine that generates electricity back into water. </w:t>
      </w:r>
      <w:r w:rsidRPr="00D11CA4">
        <w:rPr>
          <w:rStyle w:val="StyleUnderline"/>
        </w:rPr>
        <w:t>“Billions of fish are killed each year when they are caught up in the intake of cooling water for industrial processes,”</w:t>
      </w:r>
      <w:r w:rsidRPr="00D11CA4">
        <w:rPr>
          <w:sz w:val="16"/>
        </w:rPr>
        <w:t xml:space="preserve"> New York Department of Environmental Conservation (DEC) Commissioner Joe Martens said in a release. “</w:t>
      </w:r>
      <w:r w:rsidRPr="00D11CA4">
        <w:rPr>
          <w:rStyle w:val="StyleUnderline"/>
        </w:rPr>
        <w:t>The policy we are implementing today will reduce fish kills by 90 percent while allowing flexibility for the industry to reach our goal of protecting aquatic wildlife</w:t>
      </w:r>
      <w:r w:rsidRPr="00D11CA4">
        <w:rPr>
          <w:sz w:val="16"/>
        </w:rPr>
        <w:t xml:space="preserve">,” he added. The DEC said it would flexible because it recognizes that all existing facilities may not be able install a closed cycle cooling system like the one the state wants at Indian Point. The DEC listed several existing power plants on its website that the state has allowed to modify open cycle cooling systems without installing closed cycle systems, including: NRG Energy’s Dunkirk, Huntley and Arthur Kill, Entergy’s FitzPatrick, GenOn Energy’s Bowline, TransCanada’s Ravenswood and Dynegy’s Danskammer. “Closed-cycle cooling is not always an available technology for existing facilities as issues of space availability and compatibility of new technology with the facility’s original design frequently make it infeasible to implement,” the DEC said. NO PASS FOR INDIAN POINT But </w:t>
      </w:r>
      <w:r w:rsidRPr="00D11CA4">
        <w:rPr>
          <w:rStyle w:val="StyleUnderline"/>
        </w:rPr>
        <w:t>the state has not yet been flexible with Indian Point.</w:t>
      </w:r>
      <w:r>
        <w:rPr>
          <w:rStyle w:val="StyleUnderline"/>
        </w:rPr>
        <w:t xml:space="preserve"> </w:t>
      </w:r>
      <w:r w:rsidRPr="00D11CA4">
        <w:rPr>
          <w:rStyle w:val="StyleUnderline"/>
        </w:rPr>
        <w:t>Entergy has been arguing</w:t>
      </w:r>
      <w:r w:rsidRPr="00D11CA4">
        <w:rPr>
          <w:sz w:val="16"/>
        </w:rPr>
        <w:t xml:space="preserve"> for years </w:t>
      </w:r>
      <w:r w:rsidRPr="00D11CA4">
        <w:rPr>
          <w:rStyle w:val="StyleUnderline"/>
        </w:rPr>
        <w:t>that</w:t>
      </w:r>
      <w:r w:rsidRPr="00D11CA4">
        <w:rPr>
          <w:sz w:val="16"/>
        </w:rPr>
        <w:t xml:space="preserve"> cooling towers, which are a type of </w:t>
      </w:r>
      <w:r w:rsidRPr="00D11CA4">
        <w:rPr>
          <w:rStyle w:val="StyleUnderline"/>
        </w:rPr>
        <w:t>closed cycle cooling, are not possible</w:t>
      </w:r>
      <w:r w:rsidRPr="00D11CA4">
        <w:rPr>
          <w:sz w:val="16"/>
        </w:rPr>
        <w:t xml:space="preserve"> at Indian Point.</w:t>
      </w:r>
    </w:p>
    <w:p w14:paraId="0E7A5C77" w14:textId="77777777" w:rsidR="00AC21B6" w:rsidRDefault="00AC21B6" w:rsidP="00AC21B6">
      <w:pPr>
        <w:pStyle w:val="Heading2"/>
      </w:pPr>
      <w:r>
        <w:lastRenderedPageBreak/>
        <w:t>Case</w:t>
      </w:r>
    </w:p>
    <w:p w14:paraId="0739F263" w14:textId="77777777" w:rsidR="00AC21B6" w:rsidRDefault="00AC21B6" w:rsidP="00AC21B6">
      <w:pPr>
        <w:pStyle w:val="Heading3"/>
      </w:pPr>
      <w:r>
        <w:lastRenderedPageBreak/>
        <w:t>Defense---Not Federal</w:t>
      </w:r>
    </w:p>
    <w:p w14:paraId="5514796F" w14:textId="77777777" w:rsidR="00AC21B6" w:rsidRPr="000A0693" w:rsidRDefault="00AC21B6" w:rsidP="00AC21B6">
      <w:pPr>
        <w:pStyle w:val="Heading4"/>
        <w:rPr>
          <w:rStyle w:val="Style13ptBold"/>
          <w:b/>
        </w:rPr>
      </w:pPr>
      <w:r w:rsidRPr="000A0693">
        <w:rPr>
          <w:rStyle w:val="Style13ptBold"/>
          <w:b/>
        </w:rPr>
        <w:t>428 private plants don’t use closed cycle cooling</w:t>
      </w:r>
      <w:r>
        <w:rPr>
          <w:rStyle w:val="Style13ptBold"/>
          <w:b/>
        </w:rPr>
        <w:t xml:space="preserve"> (I strongly think this is just an aff solvency card)</w:t>
      </w:r>
    </w:p>
    <w:p w14:paraId="0D837D61" w14:textId="77777777" w:rsidR="00AC21B6" w:rsidRDefault="00AC21B6" w:rsidP="00AC21B6">
      <w:r w:rsidRPr="000A0693">
        <w:rPr>
          <w:rStyle w:val="Style13ptBold"/>
        </w:rPr>
        <w:t>EPA, 11</w:t>
      </w:r>
      <w:r w:rsidRPr="000A0693">
        <w:t xml:space="preserve"> (EPA, Enviornmental Protection Agency, 2011, accessed on 8-1-2021, Epa, "Net Environmental and SocialEffects of Retrofitting Power Plantswith Once-Through Cooling toClosed-Cycle Cooling ", </w:t>
      </w:r>
      <w:hyperlink r:id="rId9" w:history="1">
        <w:r w:rsidRPr="00873C73">
          <w:rPr>
            <w:rStyle w:val="Hyperlink"/>
          </w:rPr>
          <w:t>https://www3.epa.gov/region1/npdes/merrimackstation/pdfs/ar/AR-1808.pdf</w:t>
        </w:r>
      </w:hyperlink>
      <w:r>
        <w:t>, LASA-CSK</w:t>
      </w:r>
      <w:r w:rsidRPr="000A0693">
        <w:t>)</w:t>
      </w:r>
    </w:p>
    <w:p w14:paraId="086DB4DA" w14:textId="77777777" w:rsidR="00AC21B6" w:rsidRDefault="00AC21B6" w:rsidP="00AC21B6">
      <w:pPr>
        <w:rPr>
          <w:rStyle w:val="StyleUnderline"/>
        </w:rPr>
      </w:pPr>
      <w:r>
        <w:t xml:space="preserve">EPRI estimates that </w:t>
      </w:r>
      <w:r w:rsidRPr="000A0693">
        <w:rPr>
          <w:rStyle w:val="StyleUnderline"/>
        </w:rPr>
        <w:t>there are 428 facilities</w:t>
      </w:r>
      <w:r>
        <w:t xml:space="preserve"> potentially </w:t>
      </w:r>
      <w:r w:rsidRPr="000A0693">
        <w:rPr>
          <w:rStyle w:val="StyleUnderline"/>
        </w:rPr>
        <w:t>subject to retrofit requirements</w:t>
      </w:r>
      <w:r>
        <w:t xml:space="preserve">, </w:t>
      </w:r>
      <w:r w:rsidRPr="000A0693">
        <w:rPr>
          <w:rStyle w:val="StyleUnderline"/>
        </w:rPr>
        <w:t>based on their use of greater than 50 million gallons per day</w:t>
      </w:r>
      <w:r>
        <w:t xml:space="preserve"> (MGD) </w:t>
      </w:r>
      <w:r w:rsidRPr="000A0693">
        <w:rPr>
          <w:rStyle w:val="StyleUnderline"/>
        </w:rPr>
        <w:t>of once-through</w:t>
      </w:r>
      <w:r>
        <w:t xml:space="preserve"> </w:t>
      </w:r>
      <w:r w:rsidRPr="000A0693">
        <w:rPr>
          <w:rStyle w:val="StyleUnderline"/>
        </w:rPr>
        <w:t>cooling water</w:t>
      </w:r>
      <w:r>
        <w:t xml:space="preserve">. </w:t>
      </w:r>
      <w:r w:rsidRPr="000A0693">
        <w:rPr>
          <w:rStyle w:val="StyleUnderline"/>
        </w:rPr>
        <w:t>These</w:t>
      </w:r>
      <w:r>
        <w:t xml:space="preserve"> facilities </w:t>
      </w:r>
      <w:r w:rsidRPr="000A0693">
        <w:rPr>
          <w:rStyle w:val="StyleUnderline"/>
        </w:rPr>
        <w:t>generate</w:t>
      </w:r>
      <w:r>
        <w:t xml:space="preserve"> approximately </w:t>
      </w:r>
      <w:r w:rsidRPr="000A0693">
        <w:rPr>
          <w:rStyle w:val="StyleUnderline"/>
        </w:rPr>
        <w:t>312,000 MW of electricity</w:t>
      </w:r>
      <w:r>
        <w:t xml:space="preserve">, including 60,000 MW from 39 nuclear facilities and 252,000 MW </w:t>
      </w:r>
      <w:r w:rsidRPr="000A0693">
        <w:rPr>
          <w:rStyle w:val="StyleUnderline"/>
        </w:rPr>
        <w:t>from 389 fossil facilities</w:t>
      </w:r>
      <w:r>
        <w:t xml:space="preserve">. While </w:t>
      </w:r>
      <w:r w:rsidRPr="000A0693">
        <w:rPr>
          <w:rStyle w:val="StyleUnderline"/>
        </w:rPr>
        <w:t>closed-cycle cooling</w:t>
      </w:r>
      <w:r>
        <w:t xml:space="preserve"> significantly reduces impingement mortality of fish and shellfish on cooling water intake structure screens as well as entrainment mortality of the early life stages of fish and other aquatic organisms through the condenser cooling water system, these </w:t>
      </w:r>
      <w:r w:rsidRPr="000A0693">
        <w:rPr>
          <w:rStyle w:val="StyleUnderline"/>
        </w:rPr>
        <w:t>systems can produce a variety of potentially adverse environmental and social impacts, depending on their location.</w:t>
      </w:r>
    </w:p>
    <w:p w14:paraId="73BFD507" w14:textId="77777777" w:rsidR="00AC21B6" w:rsidRPr="00924DA3" w:rsidRDefault="00AC21B6" w:rsidP="00AC21B6">
      <w:pPr>
        <w:pStyle w:val="Heading4"/>
        <w:rPr>
          <w:rStyle w:val="StyleUnderline"/>
          <w:sz w:val="26"/>
          <w:u w:val="none"/>
        </w:rPr>
      </w:pPr>
      <w:r w:rsidRPr="00924DA3">
        <w:rPr>
          <w:rStyle w:val="StyleUnderline"/>
          <w:sz w:val="26"/>
          <w:u w:val="none"/>
        </w:rPr>
        <w:t>Closed cycle cooling bad for three reasons:</w:t>
      </w:r>
    </w:p>
    <w:p w14:paraId="215C5279" w14:textId="77777777" w:rsidR="00AC21B6" w:rsidRDefault="00AC21B6" w:rsidP="00AC21B6">
      <w:pPr>
        <w:pStyle w:val="Heading4"/>
        <w:numPr>
          <w:ilvl w:val="0"/>
          <w:numId w:val="12"/>
        </w:numPr>
        <w:rPr>
          <w:rStyle w:val="StyleUnderline"/>
          <w:sz w:val="26"/>
          <w:u w:val="none"/>
        </w:rPr>
      </w:pPr>
      <w:r w:rsidRPr="00924DA3">
        <w:rPr>
          <w:rStyle w:val="StyleUnderline"/>
          <w:sz w:val="26"/>
          <w:u w:val="none"/>
        </w:rPr>
        <w:t>More water evaporation</w:t>
      </w:r>
    </w:p>
    <w:p w14:paraId="6DD4B935" w14:textId="77777777" w:rsidR="00AC21B6" w:rsidRPr="00924DA3" w:rsidRDefault="00AC21B6" w:rsidP="00AC21B6">
      <w:r w:rsidRPr="00924DA3">
        <w:rPr>
          <w:rStyle w:val="Style13ptBold"/>
        </w:rPr>
        <w:t>Fleischli and Hayat, 14</w:t>
      </w:r>
      <w:r w:rsidRPr="00924DA3">
        <w:t xml:space="preserve"> (Steve Fleischli and Becky Hayat, 2014, accessed on 8-1-2021, Nrdc, "Power Plant Cooling and Associated Impacts:The Need to Modernize U.S. Power Plants and ProtectOur Water Resources and Aquatic Ecosystems", </w:t>
      </w:r>
      <w:hyperlink r:id="rId10" w:history="1">
        <w:r w:rsidRPr="00873C73">
          <w:rPr>
            <w:rStyle w:val="Hyperlink"/>
          </w:rPr>
          <w:t>https://www.nrdc.org/sites/default/files/power-plant-cooling-IB.pdf</w:t>
        </w:r>
      </w:hyperlink>
      <w:r>
        <w:t>, LASA-CSK</w:t>
      </w:r>
      <w:r w:rsidRPr="00924DA3">
        <w:t>)</w:t>
      </w:r>
    </w:p>
    <w:p w14:paraId="14D20A83" w14:textId="77777777" w:rsidR="00AC21B6" w:rsidRPr="00BE4359" w:rsidRDefault="00AC21B6" w:rsidP="00AC21B6">
      <w:pPr>
        <w:rPr>
          <w:rStyle w:val="StyleUnderline"/>
          <w:u w:val="none"/>
        </w:rPr>
      </w:pPr>
      <w:r w:rsidRPr="00924DA3">
        <w:rPr>
          <w:rStyle w:val="StyleUnderline"/>
        </w:rPr>
        <w:t>In closed-cycle cooling systems</w:t>
      </w:r>
      <w:r w:rsidRPr="000A0693">
        <w:t>, instead of being</w:t>
      </w:r>
      <w:r>
        <w:t xml:space="preserve"> </w:t>
      </w:r>
      <w:r w:rsidRPr="000A0693">
        <w:t xml:space="preserve">discharged back to its original source, the cooling </w:t>
      </w:r>
      <w:r w:rsidRPr="00924DA3">
        <w:rPr>
          <w:rStyle w:val="StyleUnderline"/>
        </w:rPr>
        <w:t>water g</w:t>
      </w:r>
      <w:r w:rsidRPr="00BB1AAA">
        <w:rPr>
          <w:rStyle w:val="StyleUnderline"/>
        </w:rPr>
        <w:t>oes</w:t>
      </w:r>
      <w:r w:rsidRPr="000A0693">
        <w:t xml:space="preserve"> from the condenser </w:t>
      </w:r>
      <w:r w:rsidRPr="00924DA3">
        <w:rPr>
          <w:rStyle w:val="StyleUnderline"/>
        </w:rPr>
        <w:t>to</w:t>
      </w:r>
      <w:r w:rsidRPr="000A0693">
        <w:t xml:space="preserve"> cooling </w:t>
      </w:r>
      <w:r w:rsidRPr="00BB1AAA">
        <w:rPr>
          <w:rStyle w:val="StyleUnderline"/>
        </w:rPr>
        <w:t>towers where the heat it has absorbed from the boiler steam dissipates through evaporation</w:t>
      </w:r>
      <w:r w:rsidRPr="000A0693">
        <w:t>. The rest of the cooling water is then recirculated</w:t>
      </w:r>
      <w:r>
        <w:t xml:space="preserve"> </w:t>
      </w:r>
      <w:r w:rsidRPr="000A0693">
        <w:t>through the condensers. Closed-cycle cooing has become</w:t>
      </w:r>
      <w:r>
        <w:t xml:space="preserve"> </w:t>
      </w:r>
      <w:r w:rsidRPr="000A0693">
        <w:t>the technology of choice for most power plants since the</w:t>
      </w:r>
      <w:r>
        <w:t xml:space="preserve"> </w:t>
      </w:r>
      <w:r w:rsidRPr="000A0693">
        <w:t>early 1970s. Compared with once-through cooling systems,</w:t>
      </w:r>
      <w:r>
        <w:t xml:space="preserve"> </w:t>
      </w:r>
      <w:r w:rsidRPr="000A0693">
        <w:t>closed-cycle cooling generally reduces water withdrawals</w:t>
      </w:r>
      <w:r>
        <w:t xml:space="preserve"> </w:t>
      </w:r>
      <w:r w:rsidRPr="000A0693">
        <w:t>and the corresponding aquatic impacts by about 95 percent.3</w:t>
      </w:r>
      <w:r>
        <w:t xml:space="preserve"> </w:t>
      </w:r>
      <w:r w:rsidRPr="000A0693">
        <w:t xml:space="preserve">However, </w:t>
      </w:r>
      <w:r w:rsidRPr="00BB1AAA">
        <w:rPr>
          <w:rStyle w:val="Emphasis"/>
        </w:rPr>
        <w:t>more water is lost through evaporation</w:t>
      </w:r>
      <w:r w:rsidRPr="000A0693">
        <w:t xml:space="preserve"> in closedcycle cooling systems </w:t>
      </w:r>
      <w:r w:rsidRPr="00BB1AAA">
        <w:rPr>
          <w:rStyle w:val="StyleUnderline"/>
        </w:rPr>
        <w:t>than in once-through cooling systems</w:t>
      </w:r>
      <w:r w:rsidRPr="000A0693">
        <w:t>;</w:t>
      </w:r>
      <w:r>
        <w:t xml:space="preserve"> </w:t>
      </w:r>
      <w:r w:rsidRPr="000A0693">
        <w:t xml:space="preserve">thus the </w:t>
      </w:r>
      <w:r w:rsidRPr="00BB1AAA">
        <w:rPr>
          <w:rStyle w:val="Emphasis"/>
        </w:rPr>
        <w:t>consumptive use of water by these systems is greater</w:t>
      </w:r>
      <w:r w:rsidRPr="000A0693">
        <w:t>.</w:t>
      </w:r>
    </w:p>
    <w:p w14:paraId="58E9F890" w14:textId="77777777" w:rsidR="00AC21B6" w:rsidRDefault="00AC21B6" w:rsidP="00AC21B6">
      <w:pPr>
        <w:pStyle w:val="Heading4"/>
        <w:numPr>
          <w:ilvl w:val="0"/>
          <w:numId w:val="12"/>
        </w:numPr>
        <w:rPr>
          <w:rStyle w:val="StyleUnderline"/>
          <w:sz w:val="26"/>
          <w:u w:val="none"/>
        </w:rPr>
      </w:pPr>
      <w:r w:rsidRPr="00924DA3">
        <w:rPr>
          <w:rStyle w:val="StyleUnderline"/>
          <w:sz w:val="26"/>
          <w:u w:val="none"/>
        </w:rPr>
        <w:t>More water consumption</w:t>
      </w:r>
    </w:p>
    <w:p w14:paraId="22F19643" w14:textId="77777777" w:rsidR="00AC21B6" w:rsidRPr="00BB1AAA" w:rsidRDefault="00AC21B6" w:rsidP="00AC21B6">
      <w:r w:rsidRPr="00BB1AAA">
        <w:rPr>
          <w:rStyle w:val="Style13ptBold"/>
        </w:rPr>
        <w:t>UCS, 10</w:t>
      </w:r>
      <w:r w:rsidRPr="00BB1AAA">
        <w:t xml:space="preserve"> (UCS, Union of Concerned Scientists, 10-5-2010, accessed on 8-1-2021, Union of Concerned Scientists, "How it Works: Water for Power Plant Cooling", </w:t>
      </w:r>
      <w:hyperlink r:id="rId11" w:history="1">
        <w:r w:rsidRPr="00873C73">
          <w:rPr>
            <w:rStyle w:val="Hyperlink"/>
          </w:rPr>
          <w:t>https://www.ucsusa.org/resources/water-power-plant-cooling</w:t>
        </w:r>
      </w:hyperlink>
      <w:r>
        <w:t>, LASA-CSK</w:t>
      </w:r>
      <w:r w:rsidRPr="00BB1AAA">
        <w:t>)</w:t>
      </w:r>
    </w:p>
    <w:p w14:paraId="291E5C09" w14:textId="77777777" w:rsidR="00AC21B6" w:rsidRDefault="00AC21B6" w:rsidP="00AC21B6">
      <w:r w:rsidRPr="000A0693">
        <w:t xml:space="preserve">Wet-recirculating or </w:t>
      </w:r>
      <w:r w:rsidRPr="00BB1AAA">
        <w:rPr>
          <w:rStyle w:val="StyleUnderline"/>
        </w:rPr>
        <w:t>closed-loop systems reuse cooling water</w:t>
      </w:r>
      <w:r w:rsidRPr="000A0693">
        <w:t xml:space="preserve"> in a second cycle </w:t>
      </w:r>
      <w:r w:rsidRPr="00BB1AAA">
        <w:rPr>
          <w:rStyle w:val="StyleUnderline"/>
        </w:rPr>
        <w:t>rather than immediately discharging it</w:t>
      </w:r>
      <w:r w:rsidRPr="000A0693">
        <w:t xml:space="preserve"> back to the original water source. Most commonly, </w:t>
      </w:r>
      <w:r w:rsidRPr="00BB1AAA">
        <w:rPr>
          <w:rStyle w:val="StyleUnderline"/>
        </w:rPr>
        <w:t>wet</w:t>
      </w:r>
      <w:r w:rsidRPr="000A0693">
        <w:t>-</w:t>
      </w:r>
      <w:r w:rsidRPr="00BB1AAA">
        <w:rPr>
          <w:rStyle w:val="StyleUnderline"/>
        </w:rPr>
        <w:t>recirculating systems use cooling towers to expose water to ambient air</w:t>
      </w:r>
      <w:r w:rsidRPr="000A0693">
        <w:t xml:space="preserve">. </w:t>
      </w:r>
      <w:r w:rsidRPr="00BB1AAA">
        <w:rPr>
          <w:rStyle w:val="StyleUnderline"/>
        </w:rPr>
        <w:t>Some of the water evaporates</w:t>
      </w:r>
      <w:r w:rsidRPr="000A0693">
        <w:t xml:space="preserve">; the rest is then sent back to the condenser in the power plant. </w:t>
      </w:r>
      <w:r w:rsidRPr="00BB1AAA">
        <w:t>Because</w:t>
      </w:r>
      <w:r w:rsidRPr="000A0693">
        <w:t xml:space="preserve"> wet-recirculating </w:t>
      </w:r>
      <w:r w:rsidRPr="00BB1AAA">
        <w:rPr>
          <w:rStyle w:val="StyleUnderline"/>
        </w:rPr>
        <w:t>systems</w:t>
      </w:r>
      <w:r w:rsidRPr="000A0693">
        <w:t xml:space="preserve"> only </w:t>
      </w:r>
      <w:r w:rsidRPr="00BB1AAA">
        <w:rPr>
          <w:rStyle w:val="StyleUnderline"/>
        </w:rPr>
        <w:t>withdraw water to replace any water that is lost through evaporation</w:t>
      </w:r>
      <w:r w:rsidRPr="000A0693">
        <w:t xml:space="preserve"> in the cooling tower, these systems have much lower water withdrawals than </w:t>
      </w:r>
      <w:r w:rsidRPr="000A0693">
        <w:lastRenderedPageBreak/>
        <w:t xml:space="preserve">once-through systems, but </w:t>
      </w:r>
      <w:r w:rsidRPr="00BB1AAA">
        <w:rPr>
          <w:rStyle w:val="Emphasis"/>
        </w:rPr>
        <w:t>tend to have appreciably higher water consumption</w:t>
      </w:r>
      <w:r w:rsidRPr="000A0693">
        <w:t>. In the western US, wet-recirculating systems are predominant.</w:t>
      </w:r>
    </w:p>
    <w:p w14:paraId="0CBD9AFE" w14:textId="77777777" w:rsidR="00AC21B6" w:rsidRDefault="00AC21B6" w:rsidP="00AC21B6">
      <w:pPr>
        <w:pStyle w:val="Heading4"/>
        <w:numPr>
          <w:ilvl w:val="0"/>
          <w:numId w:val="12"/>
        </w:numPr>
      </w:pPr>
      <w:r>
        <w:t>Cause chemical harms</w:t>
      </w:r>
    </w:p>
    <w:p w14:paraId="60EFADF4" w14:textId="77777777" w:rsidR="00AC21B6" w:rsidRDefault="00AC21B6" w:rsidP="00AC21B6">
      <w:r w:rsidRPr="00924DA3">
        <w:rPr>
          <w:rStyle w:val="Style13ptBold"/>
        </w:rPr>
        <w:t>IAEA, 1980</w:t>
      </w:r>
      <w:r w:rsidRPr="00924DA3">
        <w:t xml:space="preserve"> (IAEA, International Atomic Energy Agency, 1980, accessed on 8-1-2021, Inis.iaea, "ENVIRONMENTAL EFFECTSOF COOLING SYSTEMS", </w:t>
      </w:r>
      <w:hyperlink r:id="rId12" w:history="1">
        <w:r w:rsidRPr="00873C73">
          <w:rPr>
            <w:rStyle w:val="Hyperlink"/>
          </w:rPr>
          <w:t>https://inis.iaea.org/collection/NCLCollectionStore/_Public/12/629/12629527.pdf</w:t>
        </w:r>
      </w:hyperlink>
      <w:r>
        <w:t>, LASA-CSK</w:t>
      </w:r>
      <w:r w:rsidRPr="00924DA3">
        <w:t>)</w:t>
      </w:r>
    </w:p>
    <w:p w14:paraId="65F165DF" w14:textId="77777777" w:rsidR="00AC21B6" w:rsidRPr="00924DA3" w:rsidRDefault="00AC21B6" w:rsidP="00AC21B6">
      <w:r w:rsidRPr="00BB1AAA">
        <w:t>Closed cycle cooling</w:t>
      </w:r>
      <w:r w:rsidRPr="00924DA3">
        <w:t xml:space="preserve"> in various designs is the principal form of engineering</w:t>
      </w:r>
      <w:r>
        <w:t xml:space="preserve"> </w:t>
      </w:r>
      <w:r w:rsidRPr="00924DA3">
        <w:t xml:space="preserve">mitigation for the ecological effects of once-through cooling [ 1 ], but </w:t>
      </w:r>
      <w:r w:rsidRPr="00BB1AAA">
        <w:rPr>
          <w:rStyle w:val="StyleUnderline"/>
        </w:rPr>
        <w:t>insufficient attention has been given to the environmental effects such cooling systems</w:t>
      </w:r>
      <w:r w:rsidRPr="00924DA3">
        <w:t xml:space="preserve"> may</w:t>
      </w:r>
      <w:r>
        <w:t xml:space="preserve"> </w:t>
      </w:r>
      <w:r w:rsidRPr="00924DA3">
        <w:t>have. The cooling tower, in fact, is not a panacea, but results in a replacement</w:t>
      </w:r>
      <w:r>
        <w:t xml:space="preserve"> </w:t>
      </w:r>
      <w:r w:rsidRPr="00924DA3">
        <w:t>142 ^ CHAPTER 3</w:t>
      </w:r>
      <w:r>
        <w:t xml:space="preserve"> </w:t>
      </w:r>
      <w:r w:rsidRPr="00924DA3">
        <w:t>of certain ecological effects with others of a different kind and magnitude. The</w:t>
      </w:r>
      <w:r>
        <w:t xml:space="preserve"> </w:t>
      </w:r>
      <w:r w:rsidRPr="00924DA3">
        <w:t>relative significance of the alterative effects of different cooling systems must be</w:t>
      </w:r>
      <w:r>
        <w:t xml:space="preserve"> </w:t>
      </w:r>
      <w:r w:rsidRPr="00924DA3">
        <w:t>judged on a site-by-site basis. This section briefly reviews recent reports on</w:t>
      </w:r>
      <w:r>
        <w:t xml:space="preserve"> </w:t>
      </w:r>
      <w:r w:rsidRPr="00924DA3">
        <w:t>effects of closed-cycle cooling.</w:t>
      </w:r>
      <w:r>
        <w:t xml:space="preserve"> </w:t>
      </w:r>
      <w:r w:rsidRPr="00924DA3">
        <w:t>3.11.1. Atmospheric emissions</w:t>
      </w:r>
      <w:r>
        <w:t xml:space="preserve"> </w:t>
      </w:r>
      <w:r w:rsidRPr="00BB1AAA">
        <w:rPr>
          <w:rStyle w:val="Emphasis"/>
        </w:rPr>
        <w:t>Water droplets</w:t>
      </w:r>
      <w:r w:rsidRPr="00924DA3">
        <w:t xml:space="preserve"> ('drift') </w:t>
      </w:r>
      <w:r w:rsidRPr="00BB1AAA">
        <w:rPr>
          <w:rStyle w:val="Emphasis"/>
        </w:rPr>
        <w:t>expelled</w:t>
      </w:r>
      <w:r w:rsidRPr="00BB1AAA">
        <w:rPr>
          <w:rStyle w:val="StyleUnderline"/>
        </w:rPr>
        <w:t xml:space="preserve"> from the cooling tower</w:t>
      </w:r>
      <w:r w:rsidRPr="00924DA3">
        <w:t xml:space="preserve"> by the force of</w:t>
      </w:r>
      <w:r>
        <w:t xml:space="preserve"> </w:t>
      </w:r>
      <w:r w:rsidRPr="00924DA3">
        <w:t xml:space="preserve">mechanical or natural draught may </w:t>
      </w:r>
      <w:r w:rsidRPr="00BB1AAA">
        <w:rPr>
          <w:rStyle w:val="Emphasis"/>
        </w:rPr>
        <w:t>contain high concentrations of chemicals</w:t>
      </w:r>
      <w:r w:rsidRPr="00BB1AAA">
        <w:rPr>
          <w:rStyle w:val="StyleUnderline"/>
        </w:rPr>
        <w:t xml:space="preserve"> used in</w:t>
      </w:r>
      <w:r w:rsidRPr="00924DA3">
        <w:t xml:space="preserve"> water </w:t>
      </w:r>
      <w:r w:rsidRPr="00BB1AAA">
        <w:rPr>
          <w:rStyle w:val="StyleUnderline"/>
        </w:rPr>
        <w:t>treatment</w:t>
      </w:r>
      <w:r w:rsidRPr="00924DA3">
        <w:t xml:space="preserve"> (see Section 2.2) </w:t>
      </w:r>
      <w:r w:rsidRPr="00BB1AAA">
        <w:rPr>
          <w:rStyle w:val="StyleUnderline"/>
        </w:rPr>
        <w:t>which</w:t>
      </w:r>
      <w:r w:rsidRPr="00924DA3">
        <w:t xml:space="preserve"> can </w:t>
      </w:r>
      <w:r w:rsidRPr="00BB1AAA">
        <w:rPr>
          <w:rStyle w:val="Emphasis"/>
        </w:rPr>
        <w:t>contaminate</w:t>
      </w:r>
      <w:r w:rsidRPr="00BB1AAA">
        <w:rPr>
          <w:rStyle w:val="StyleUnderline"/>
        </w:rPr>
        <w:t xml:space="preserve"> the surrounding </w:t>
      </w:r>
      <w:r w:rsidRPr="00BB1AAA">
        <w:rPr>
          <w:rStyle w:val="Emphasis"/>
        </w:rPr>
        <w:t>landscape</w:t>
      </w:r>
      <w:r w:rsidRPr="00924DA3">
        <w:t xml:space="preserve">. </w:t>
      </w:r>
      <w:r w:rsidRPr="00BB1AAA">
        <w:rPr>
          <w:rStyle w:val="StyleUnderline"/>
        </w:rPr>
        <w:t>Brackish or saline waters used at coastal sites</w:t>
      </w:r>
      <w:r w:rsidRPr="00924DA3">
        <w:t xml:space="preserve"> (e.g. Chalk Point Plant</w:t>
      </w:r>
      <w:r>
        <w:t xml:space="preserve"> </w:t>
      </w:r>
      <w:r w:rsidRPr="00924DA3">
        <w:t xml:space="preserve">[2]) may </w:t>
      </w:r>
      <w:r w:rsidRPr="00BB1AAA">
        <w:rPr>
          <w:rStyle w:val="StyleUnderline"/>
        </w:rPr>
        <w:t>disperse sea salts in quantities that exceed normal sea-coast concentrations</w:t>
      </w:r>
      <w:r w:rsidRPr="00924DA3">
        <w:t>. Taylor and co-workers [3, 4] have examined the dispersal of chromates</w:t>
      </w:r>
      <w:r>
        <w:t xml:space="preserve"> </w:t>
      </w:r>
      <w:r w:rsidRPr="00924DA3">
        <w:t>and zinc from large arrays of mechanical draught cooling towers in the United</w:t>
      </w:r>
      <w:r>
        <w:t xml:space="preserve"> </w:t>
      </w:r>
      <w:r w:rsidRPr="00924DA3">
        <w:t>States of America, both through physical dispersion by the plume and by</w:t>
      </w:r>
      <w:r>
        <w:t xml:space="preserve"> </w:t>
      </w:r>
      <w:r w:rsidRPr="00924DA3">
        <w:t xml:space="preserve">transport in plants, animals and soil. </w:t>
      </w:r>
      <w:r w:rsidRPr="00BB1AAA">
        <w:rPr>
          <w:rStyle w:val="StyleUnderline"/>
        </w:rPr>
        <w:t>Detectable quantities of tower-derived materials were found in vegetation and soil beyond site boundarie</w:t>
      </w:r>
      <w:r w:rsidRPr="00924DA3">
        <w:t>s. Despite</w:t>
      </w:r>
      <w:r>
        <w:t xml:space="preserve"> </w:t>
      </w:r>
      <w:r w:rsidRPr="00924DA3">
        <w:t>long-term use of these towers ( &gt; 30 years) without provisions for significantly</w:t>
      </w:r>
      <w:r>
        <w:t xml:space="preserve"> </w:t>
      </w:r>
      <w:r w:rsidRPr="00924DA3">
        <w:t>reducing drift, no deleterious impacts on the terrestrial ecosystem have been</w:t>
      </w:r>
      <w:r>
        <w:t xml:space="preserve"> </w:t>
      </w:r>
      <w:r w:rsidRPr="00924DA3">
        <w:t xml:space="preserve">seen. On the other hand, </w:t>
      </w:r>
      <w:r w:rsidRPr="00BB1AAA">
        <w:rPr>
          <w:rStyle w:val="Emphasis"/>
        </w:rPr>
        <w:t>deposition of sulphate</w:t>
      </w:r>
      <w:r w:rsidRPr="00924DA3">
        <w:t xml:space="preserve"> on the surrounding terrain </w:t>
      </w:r>
      <w:r w:rsidRPr="00BB1AAA">
        <w:rPr>
          <w:rStyle w:val="StyleUnderline"/>
        </w:rPr>
        <w:t>by</w:t>
      </w:r>
      <w:r>
        <w:t xml:space="preserve"> </w:t>
      </w:r>
      <w:r w:rsidRPr="00924DA3">
        <w:t xml:space="preserve">fresh-water cooling </w:t>
      </w:r>
      <w:r w:rsidRPr="00BB1AAA">
        <w:rPr>
          <w:rStyle w:val="StyleUnderline"/>
        </w:rPr>
        <w:t>towers</w:t>
      </w:r>
      <w:r w:rsidRPr="00924DA3">
        <w:t xml:space="preserve"> at another site </w:t>
      </w:r>
      <w:r w:rsidRPr="00BB1AAA">
        <w:rPr>
          <w:rStyle w:val="Emphasis"/>
        </w:rPr>
        <w:t>has produced substantial damage to vegetation</w:t>
      </w:r>
      <w:r w:rsidRPr="00924DA3">
        <w:t xml:space="preserve"> [5]. These studies in a high rainfall region may not be adequate to</w:t>
      </w:r>
      <w:r>
        <w:t xml:space="preserve"> </w:t>
      </w:r>
      <w:r w:rsidRPr="00924DA3">
        <w:t>predict effects in more arid areas.</w:t>
      </w:r>
      <w:r>
        <w:t xml:space="preserve"> </w:t>
      </w:r>
      <w:r w:rsidRPr="00924DA3">
        <w:t>A series of studies of drift from the brackish-water cooling towers at</w:t>
      </w:r>
      <w:r>
        <w:t xml:space="preserve"> </w:t>
      </w:r>
      <w:r w:rsidRPr="00924DA3">
        <w:t>Chalk Point, Maryland [6],has not shown the dramatic impacts that had been</w:t>
      </w:r>
      <w:r>
        <w:t xml:space="preserve"> </w:t>
      </w:r>
      <w:r w:rsidRPr="00924DA3">
        <w:t>predicted earlier [2, 7], The impacts appear to be highly dependent on the salt</w:t>
      </w:r>
      <w:r>
        <w:t xml:space="preserve"> </w:t>
      </w:r>
      <w:r w:rsidRPr="00924DA3">
        <w:t>sensitivity of native plant species and the crops that are grown near the tower.</w:t>
      </w:r>
      <w:r>
        <w:t xml:space="preserve"> </w:t>
      </w:r>
      <w:r w:rsidRPr="00924DA3">
        <w:t>Modern engineering practice includes drift eliminators (baffles) on most</w:t>
      </w:r>
      <w:r>
        <w:t xml:space="preserve"> </w:t>
      </w:r>
      <w:r w:rsidRPr="00924DA3">
        <w:t>new cooling towers. These baffles, placed above the main region of water</w:t>
      </w:r>
      <w:r>
        <w:t xml:space="preserve"> </w:t>
      </w:r>
      <w:r w:rsidRPr="00924DA3">
        <w:t>spray in the tower, are capable of capturing most droplets before they leave the</w:t>
      </w:r>
      <w:r>
        <w:t xml:space="preserve"> </w:t>
      </w:r>
      <w:r w:rsidRPr="00924DA3">
        <w:t xml:space="preserve">tower. The main </w:t>
      </w:r>
      <w:r w:rsidRPr="00BB1AAA">
        <w:rPr>
          <w:rStyle w:val="StyleUnderline"/>
        </w:rPr>
        <w:t>drift problem</w:t>
      </w:r>
      <w:r w:rsidRPr="00924DA3">
        <w:t xml:space="preserve"> at some towers now seems to </w:t>
      </w:r>
      <w:r w:rsidRPr="00BB1AAA">
        <w:rPr>
          <w:rStyle w:val="StyleUnderline"/>
        </w:rPr>
        <w:t>arise from the 'blowout' of cooling water from the bases of towers</w:t>
      </w:r>
      <w:r w:rsidRPr="00924DA3">
        <w:t xml:space="preserve"> to the ground in the</w:t>
      </w:r>
      <w:r>
        <w:t xml:space="preserve"> </w:t>
      </w:r>
      <w:r w:rsidRPr="00924DA3">
        <w:t xml:space="preserve">immediate vicinity </w:t>
      </w:r>
      <w:r w:rsidRPr="00BB1AAA">
        <w:rPr>
          <w:rStyle w:val="StyleUnderline"/>
        </w:rPr>
        <w:t xml:space="preserve">during severe storms, and subsequent </w:t>
      </w:r>
      <w:r w:rsidRPr="00BB1AAA">
        <w:rPr>
          <w:rStyle w:val="Emphasis"/>
        </w:rPr>
        <w:t>transport of the drift chemicals to nearby streams</w:t>
      </w:r>
      <w:r w:rsidRPr="00924DA3">
        <w:t>.</w:t>
      </w:r>
      <w:r>
        <w:t xml:space="preserve"> </w:t>
      </w:r>
      <w:r w:rsidRPr="00BB1AAA">
        <w:rPr>
          <w:rStyle w:val="StyleUnderline"/>
        </w:rPr>
        <w:t xml:space="preserve">Chemical reaction of moisture from cooling tower plumes with the sulphur dioxide of stack emissions from fossil-fuelled power stations to produce damaging concentrations of sulphuric acid </w:t>
      </w:r>
      <w:r w:rsidRPr="00BB1AAA">
        <w:t>is receiving increased attention</w:t>
      </w:r>
      <w:r w:rsidRPr="00924DA3">
        <w:t xml:space="preserve">. </w:t>
      </w:r>
      <w:r w:rsidRPr="00BB1AAA">
        <w:rPr>
          <w:rStyle w:val="StyleUnderline"/>
        </w:rPr>
        <w:t>Highly acid precipitation in the vicinity of power stations with cooling towers has been</w:t>
      </w:r>
      <w:r>
        <w:t xml:space="preserve"> </w:t>
      </w:r>
      <w:r w:rsidRPr="00BB1AAA">
        <w:rPr>
          <w:rStyle w:val="StyleUnderline"/>
        </w:rPr>
        <w:t>reported</w:t>
      </w:r>
      <w:r w:rsidRPr="00924DA3">
        <w:t xml:space="preserve"> [8, 9] and ecological effects have been shown. </w:t>
      </w:r>
      <w:r w:rsidRPr="00BB1AAA">
        <w:rPr>
          <w:rStyle w:val="StyleUnderline"/>
        </w:rPr>
        <w:t>This</w:t>
      </w:r>
      <w:r w:rsidRPr="00924DA3">
        <w:t xml:space="preserve"> source of atmospheric</w:t>
      </w:r>
      <w:r>
        <w:t xml:space="preserve"> </w:t>
      </w:r>
      <w:r w:rsidRPr="00924DA3">
        <w:t xml:space="preserve">acidity </w:t>
      </w:r>
      <w:r w:rsidRPr="00BB1AAA">
        <w:rPr>
          <w:rStyle w:val="StyleUnderline"/>
        </w:rPr>
        <w:t xml:space="preserve">may contribute to more </w:t>
      </w:r>
      <w:r w:rsidRPr="00BB1AAA">
        <w:rPr>
          <w:rStyle w:val="Emphasis"/>
        </w:rPr>
        <w:t xml:space="preserve">wide-scale </w:t>
      </w:r>
      <w:r w:rsidRPr="00BB1AAA">
        <w:rPr>
          <w:rStyle w:val="Emphasis"/>
        </w:rPr>
        <w:lastRenderedPageBreak/>
        <w:t>acidification of rainfall</w:t>
      </w:r>
      <w:r w:rsidRPr="00924DA3">
        <w:t>. Problems of</w:t>
      </w:r>
      <w:r>
        <w:t xml:space="preserve"> </w:t>
      </w:r>
      <w:r w:rsidRPr="00924DA3">
        <w:t>increasing acidity of rainfall in wide regions such as northern Europe and the</w:t>
      </w:r>
      <w:r>
        <w:t xml:space="preserve"> </w:t>
      </w:r>
      <w:r w:rsidRPr="00924DA3">
        <w:t>northeastern United States of America are increasingly being recognized, although</w:t>
      </w:r>
      <w:r>
        <w:t xml:space="preserve"> </w:t>
      </w:r>
      <w:r w:rsidRPr="00924DA3">
        <w:t>BIOLOGICAL AND ECOLOGICAL CONSIDERATIONS 143</w:t>
      </w:r>
      <w:r>
        <w:t xml:space="preserve"> </w:t>
      </w:r>
      <w:r w:rsidRPr="00924DA3">
        <w:t>the relative contributions of various possible sources are still unclear [10]. Large</w:t>
      </w:r>
      <w:r>
        <w:t xml:space="preserve"> </w:t>
      </w:r>
      <w:r w:rsidRPr="00924DA3">
        <w:t xml:space="preserve">regional studies are currently under way [11]. The </w:t>
      </w:r>
      <w:r w:rsidRPr="00BB1AAA">
        <w:rPr>
          <w:rStyle w:val="StyleUnderline"/>
        </w:rPr>
        <w:t>high moisture content of cooling tower</w:t>
      </w:r>
      <w:r w:rsidRPr="00924DA3">
        <w:t xml:space="preserve"> plumes may </w:t>
      </w:r>
      <w:r w:rsidRPr="00BB1AAA">
        <w:rPr>
          <w:rStyle w:val="StyleUnderline"/>
        </w:rPr>
        <w:t>affect the chemical reactions of gases and particulate material in stack plumes</w:t>
      </w:r>
      <w:r w:rsidRPr="00924DA3">
        <w:t xml:space="preserve"> in other ways that are only slowly being identified</w:t>
      </w:r>
      <w:r>
        <w:t xml:space="preserve"> </w:t>
      </w:r>
      <w:r w:rsidRPr="00924DA3">
        <w:t xml:space="preserve">(e.g. particulate sulphate formation). </w:t>
      </w:r>
      <w:r w:rsidRPr="00BB1AAA">
        <w:rPr>
          <w:rStyle w:val="StyleUnderline"/>
        </w:rPr>
        <w:t>The outcome of these studies</w:t>
      </w:r>
      <w:r w:rsidRPr="00924DA3">
        <w:t xml:space="preserve"> and assessments </w:t>
      </w:r>
      <w:r w:rsidRPr="00BB1AAA">
        <w:rPr>
          <w:rStyle w:val="StyleUnderline"/>
        </w:rPr>
        <w:t>of</w:t>
      </w:r>
      <w:r w:rsidRPr="00924DA3">
        <w:t xml:space="preserve"> potential </w:t>
      </w:r>
      <w:r w:rsidRPr="00BB1AAA">
        <w:rPr>
          <w:rStyle w:val="StyleUnderline"/>
        </w:rPr>
        <w:t>wide-scale ecological impacts of the interacting atmospheric contaminants may greatly alter the environmental perspective of both cooling towers and fossil fuel use in electricity generation</w:t>
      </w:r>
      <w:r w:rsidRPr="00924DA3">
        <w:t>.</w:t>
      </w:r>
      <w:r>
        <w:t xml:space="preserve"> </w:t>
      </w:r>
      <w:r w:rsidRPr="00BB1AAA">
        <w:rPr>
          <w:rStyle w:val="Emphasis"/>
        </w:rPr>
        <w:t>Volatile toxicants</w:t>
      </w:r>
      <w:r w:rsidRPr="00924DA3">
        <w:t xml:space="preserve"> may also </w:t>
      </w:r>
      <w:r w:rsidRPr="00BB1AAA">
        <w:rPr>
          <w:rStyle w:val="Emphasis"/>
        </w:rPr>
        <w:t>leave the towers and cause environmental concern.</w:t>
      </w:r>
      <w:r w:rsidRPr="00924DA3">
        <w:t xml:space="preserve"> </w:t>
      </w:r>
      <w:r w:rsidRPr="00BB1AAA">
        <w:rPr>
          <w:rStyle w:val="StyleUnderline"/>
        </w:rPr>
        <w:t>Volatile haloforms, non-volatile and volatile chloro-organics</w:t>
      </w:r>
      <w:r w:rsidRPr="00924DA3">
        <w:t xml:space="preserve"> (chloroform,</w:t>
      </w:r>
      <w:r>
        <w:t xml:space="preserve"> </w:t>
      </w:r>
      <w:r w:rsidRPr="00924DA3">
        <w:t xml:space="preserve">bromodichloromethane and dibromochloromethane) </w:t>
      </w:r>
      <w:r w:rsidRPr="00BB1AAA">
        <w:rPr>
          <w:rStyle w:val="StyleUnderline"/>
        </w:rPr>
        <w:t>are formed</w:t>
      </w:r>
      <w:r w:rsidRPr="00924DA3">
        <w:t xml:space="preserve"> during chlorination of cooling waters [12]. In an experimental assessment of halogenated</w:t>
      </w:r>
      <w:r>
        <w:t xml:space="preserve"> </w:t>
      </w:r>
      <w:r w:rsidRPr="00924DA3">
        <w:t>organics in chlorinated cooling waters, the absence or decreased concentrations</w:t>
      </w:r>
      <w:r>
        <w:t xml:space="preserve"> </w:t>
      </w:r>
      <w:r w:rsidRPr="00924DA3">
        <w:t>of some volatile organics in the basin waters suggest that these constituents are</w:t>
      </w:r>
      <w:r>
        <w:t xml:space="preserve"> </w:t>
      </w:r>
      <w:r w:rsidRPr="00924DA3">
        <w:t>lost to the atmosphere during cooling cycles [13]. The possible health and</w:t>
      </w:r>
      <w:r>
        <w:t xml:space="preserve"> </w:t>
      </w:r>
      <w:r w:rsidRPr="00924DA3">
        <w:t>ecological effects of these compounds are not known and warrant additional</w:t>
      </w:r>
      <w:r>
        <w:t xml:space="preserve"> </w:t>
      </w:r>
      <w:r w:rsidRPr="00924DA3">
        <w:t>research.</w:t>
      </w:r>
    </w:p>
    <w:p w14:paraId="78DDFBFE" w14:textId="77777777" w:rsidR="00AC21B6" w:rsidRDefault="00AC21B6" w:rsidP="00AC21B6">
      <w:pPr>
        <w:pStyle w:val="Heading3"/>
      </w:pPr>
      <w:r>
        <w:lastRenderedPageBreak/>
        <w:t>Defense---Wildlife</w:t>
      </w:r>
    </w:p>
    <w:p w14:paraId="77193342" w14:textId="77777777" w:rsidR="00AC21B6" w:rsidRDefault="00AC21B6" w:rsidP="00AC21B6">
      <w:pPr>
        <w:pStyle w:val="Heading4"/>
      </w:pPr>
      <w:r>
        <w:t>Closed cycle cooling hurts aquatic life</w:t>
      </w:r>
    </w:p>
    <w:p w14:paraId="1CD07213" w14:textId="77777777" w:rsidR="00AC21B6" w:rsidRPr="003179E5" w:rsidRDefault="00AC21B6" w:rsidP="00AC21B6">
      <w:pPr>
        <w:rPr>
          <w:rStyle w:val="Style13ptBold"/>
        </w:rPr>
      </w:pPr>
      <w:r>
        <w:rPr>
          <w:rStyle w:val="Style13ptBold"/>
        </w:rPr>
        <w:t>Bailey 12</w:t>
      </w:r>
    </w:p>
    <w:p w14:paraId="03B50990" w14:textId="77777777" w:rsidR="00AC21B6" w:rsidRDefault="00AC21B6" w:rsidP="00AC21B6">
      <w:r>
        <w:t>David Bailey, senior project manager, Water and Ecosystems Electric Power Research Institute, 11-1-2012, "Potential Impacts of Closed-Cycle Cooling Retrofits at U.S. Power Plants," POWER Magazine, https://www.powermag.com/potential-impacts-of-closed-cycle-cooling-retrofits-at-u-s-power-plants///ZR</w:t>
      </w:r>
    </w:p>
    <w:p w14:paraId="533C97CD" w14:textId="77777777" w:rsidR="00AC21B6" w:rsidRDefault="00AC21B6" w:rsidP="00AC21B6">
      <w:r w:rsidRPr="0053001B">
        <w:rPr>
          <w:sz w:val="28"/>
          <w:szCs w:val="28"/>
          <w:u w:val="single"/>
        </w:rPr>
        <w:t>Power plant owners face numerous challenges ensuring adequate water supplies</w:t>
      </w:r>
      <w:r>
        <w:t xml:space="preserve"> for operations </w:t>
      </w:r>
      <w:r w:rsidRPr="0053001B">
        <w:rPr>
          <w:sz w:val="28"/>
          <w:szCs w:val="28"/>
          <w:u w:val="single"/>
        </w:rPr>
        <w:t>while protecting aquatic life in the water bodies that provide power plants with cooling water</w:t>
      </w:r>
      <w:r>
        <w:t xml:space="preserve">. In the U.S., Section 316(b) of the Clean Water Act requires plant owners to minimize the adverse impacts of impingement and entrainment mortality by potentially installing fish protection technologies on cooling water intake structures. The U.S. Environmental Protection Agency (EPA) is finalizing regulations under Section 316(b) that may require installation of cooling water intake fish protection technologies or potential retrofit of closed-cycle cooling systems (cooling towers). On April 20, 2011, the EPA released a proposed rule implementing the requirements of Section 316(b) for existing facilities. In the proposed rule, the EPA noted that </w:t>
      </w:r>
      <w:r w:rsidRPr="0053001B">
        <w:rPr>
          <w:sz w:val="28"/>
          <w:szCs w:val="28"/>
          <w:u w:val="single"/>
        </w:rPr>
        <w:t xml:space="preserve">closed-cycle cooling systems were not a best technology </w:t>
      </w:r>
      <w:r w:rsidRPr="0053001B">
        <w:t>available (BTA) for reducing adverse impacts of cooling water intake structures; however, entrainment standards developed on a site-specific basis could require retrofits of closed-cycle cooling systems. Furthermore, although the EPA rejected closed-cycle cooling as BTA and selected a regulatory option that provides for site-specific development of entrainment standards for</w:t>
      </w:r>
      <w:r w:rsidRPr="0053001B">
        <w:rPr>
          <w:sz w:val="28"/>
          <w:szCs w:val="28"/>
          <w:u w:val="single"/>
        </w:rPr>
        <w:t xml:space="preserve"> protecting aquatic life,</w:t>
      </w:r>
      <w:r w:rsidRPr="0053001B">
        <w:rPr>
          <w:sz w:val="28"/>
          <w:szCs w:val="28"/>
        </w:rPr>
        <w:t xml:space="preserve"> </w:t>
      </w:r>
      <w:r>
        <w:t>it did consider two options that included requirements for closed-cycle cooling, and one of these options could be adopted for the final rule, scheduled to be issued in June 2013.</w:t>
      </w:r>
    </w:p>
    <w:p w14:paraId="5698800B" w14:textId="77777777" w:rsidR="00AC21B6" w:rsidRDefault="00AC21B6" w:rsidP="00AC21B6">
      <w:pPr>
        <w:pStyle w:val="Heading4"/>
      </w:pPr>
      <w:r>
        <w:t>Closed cycle cooling has huge environmental and social impacts</w:t>
      </w:r>
    </w:p>
    <w:p w14:paraId="33750767" w14:textId="77777777" w:rsidR="00AC21B6" w:rsidRPr="00B14737" w:rsidRDefault="00AC21B6" w:rsidP="00AC21B6">
      <w:pPr>
        <w:rPr>
          <w:rStyle w:val="Style13ptBold"/>
        </w:rPr>
      </w:pPr>
      <w:r>
        <w:rPr>
          <w:rStyle w:val="Style13ptBold"/>
        </w:rPr>
        <w:t>Bailey 12</w:t>
      </w:r>
    </w:p>
    <w:p w14:paraId="2BA9D95B" w14:textId="77777777" w:rsidR="00AC21B6" w:rsidRDefault="00AC21B6" w:rsidP="00AC21B6">
      <w:r>
        <w:t>David Bailey, senior project manager, Water and Ecosystems Electric Power Research Institute, 11-1-2012, "Potential Impacts of Closed-Cycle Cooling Retrofits at U.S. Power Plants," POWER Magazine, https://www.powermag.com/potential-impacts-of-closed-cycle-cooling-retrofits-at-u-s-power-plants///ZR</w:t>
      </w:r>
    </w:p>
    <w:p w14:paraId="2E0430DB" w14:textId="77777777" w:rsidR="00AC21B6" w:rsidRDefault="00AC21B6" w:rsidP="00AC21B6">
      <w:pPr>
        <w:rPr>
          <w:sz w:val="28"/>
          <w:szCs w:val="28"/>
          <w:u w:val="single"/>
        </w:rPr>
      </w:pPr>
      <w:r>
        <w:t xml:space="preserve">Adverse Environmental Impacts. The research considered the following </w:t>
      </w:r>
      <w:r w:rsidRPr="00BA7E45">
        <w:rPr>
          <w:sz w:val="28"/>
          <w:szCs w:val="28"/>
          <w:u w:val="single"/>
        </w:rPr>
        <w:t>environmental and social impacts of closed-cycle cooling:</w:t>
      </w:r>
      <w:r>
        <w:rPr>
          <w:sz w:val="28"/>
          <w:szCs w:val="28"/>
          <w:u w:val="single"/>
        </w:rPr>
        <w:t xml:space="preserve"> </w:t>
      </w:r>
      <w:r w:rsidRPr="00BA7E45">
        <w:rPr>
          <w:sz w:val="28"/>
          <w:szCs w:val="28"/>
          <w:u w:val="single"/>
        </w:rPr>
        <w:t>Human health</w:t>
      </w:r>
      <w:r>
        <w:rPr>
          <w:sz w:val="28"/>
          <w:szCs w:val="28"/>
          <w:u w:val="single"/>
        </w:rPr>
        <w:t xml:space="preserve"> </w:t>
      </w:r>
    </w:p>
    <w:p w14:paraId="71D30F42" w14:textId="77777777" w:rsidR="00AC21B6" w:rsidRDefault="00AC21B6" w:rsidP="00AC21B6">
      <w:pPr>
        <w:rPr>
          <w:sz w:val="28"/>
          <w:szCs w:val="28"/>
          <w:u w:val="single"/>
        </w:rPr>
      </w:pPr>
      <w:r w:rsidRPr="00BA7E45">
        <w:rPr>
          <w:sz w:val="28"/>
          <w:szCs w:val="28"/>
          <w:u w:val="single"/>
        </w:rPr>
        <w:t>Terrestrial resources</w:t>
      </w:r>
      <w:r>
        <w:rPr>
          <w:sz w:val="28"/>
          <w:szCs w:val="28"/>
          <w:u w:val="single"/>
        </w:rPr>
        <w:t xml:space="preserve"> </w:t>
      </w:r>
    </w:p>
    <w:p w14:paraId="48FD3EAD" w14:textId="77777777" w:rsidR="00AC21B6" w:rsidRDefault="00AC21B6" w:rsidP="00AC21B6">
      <w:pPr>
        <w:rPr>
          <w:sz w:val="28"/>
          <w:szCs w:val="28"/>
          <w:u w:val="single"/>
        </w:rPr>
      </w:pPr>
      <w:r w:rsidRPr="00BA7E45">
        <w:rPr>
          <w:sz w:val="28"/>
          <w:szCs w:val="28"/>
          <w:u w:val="single"/>
        </w:rPr>
        <w:t>Water resources</w:t>
      </w:r>
    </w:p>
    <w:p w14:paraId="365A5BAC" w14:textId="77777777" w:rsidR="00AC21B6" w:rsidRDefault="00AC21B6" w:rsidP="00AC21B6">
      <w:pPr>
        <w:rPr>
          <w:sz w:val="28"/>
          <w:szCs w:val="28"/>
          <w:u w:val="single"/>
        </w:rPr>
      </w:pPr>
      <w:r>
        <w:rPr>
          <w:sz w:val="28"/>
          <w:szCs w:val="28"/>
          <w:u w:val="single"/>
        </w:rPr>
        <w:t xml:space="preserve"> </w:t>
      </w:r>
      <w:r w:rsidRPr="00BA7E45">
        <w:rPr>
          <w:sz w:val="28"/>
          <w:szCs w:val="28"/>
          <w:u w:val="single"/>
        </w:rPr>
        <w:t>Solid waste</w:t>
      </w:r>
      <w:r>
        <w:rPr>
          <w:sz w:val="28"/>
          <w:szCs w:val="28"/>
          <w:u w:val="single"/>
        </w:rPr>
        <w:t xml:space="preserve"> </w:t>
      </w:r>
    </w:p>
    <w:p w14:paraId="437BB3BF" w14:textId="77777777" w:rsidR="00AC21B6" w:rsidRDefault="00AC21B6" w:rsidP="00AC21B6">
      <w:pPr>
        <w:rPr>
          <w:sz w:val="28"/>
          <w:szCs w:val="28"/>
          <w:u w:val="single"/>
        </w:rPr>
      </w:pPr>
      <w:r w:rsidRPr="00BA7E45">
        <w:rPr>
          <w:sz w:val="28"/>
          <w:szCs w:val="28"/>
          <w:u w:val="single"/>
        </w:rPr>
        <w:t>Public safety and security</w:t>
      </w:r>
      <w:r>
        <w:rPr>
          <w:sz w:val="28"/>
          <w:szCs w:val="28"/>
          <w:u w:val="single"/>
        </w:rPr>
        <w:t xml:space="preserve"> </w:t>
      </w:r>
    </w:p>
    <w:p w14:paraId="7BAB6D31" w14:textId="77777777" w:rsidR="00AC21B6" w:rsidRDefault="00AC21B6" w:rsidP="00AC21B6">
      <w:pPr>
        <w:rPr>
          <w:sz w:val="28"/>
          <w:szCs w:val="28"/>
          <w:u w:val="single"/>
        </w:rPr>
      </w:pPr>
      <w:r w:rsidRPr="00BA7E45">
        <w:rPr>
          <w:sz w:val="28"/>
          <w:szCs w:val="28"/>
          <w:u w:val="single"/>
        </w:rPr>
        <w:lastRenderedPageBreak/>
        <w:t>Quality of life</w:t>
      </w:r>
      <w:r>
        <w:rPr>
          <w:sz w:val="28"/>
          <w:szCs w:val="28"/>
          <w:u w:val="single"/>
        </w:rPr>
        <w:t xml:space="preserve"> </w:t>
      </w:r>
    </w:p>
    <w:p w14:paraId="7A88E396" w14:textId="77777777" w:rsidR="00AC21B6" w:rsidRDefault="00AC21B6" w:rsidP="00AC21B6">
      <w:pPr>
        <w:rPr>
          <w:sz w:val="28"/>
          <w:szCs w:val="28"/>
          <w:u w:val="single"/>
        </w:rPr>
      </w:pPr>
      <w:r w:rsidRPr="00BA7E45">
        <w:rPr>
          <w:sz w:val="28"/>
          <w:szCs w:val="28"/>
          <w:u w:val="single"/>
        </w:rPr>
        <w:t>Greenhouse gases</w:t>
      </w:r>
      <w:r>
        <w:rPr>
          <w:sz w:val="28"/>
          <w:szCs w:val="28"/>
          <w:u w:val="single"/>
        </w:rPr>
        <w:t xml:space="preserve"> </w:t>
      </w:r>
    </w:p>
    <w:p w14:paraId="708FFC2F" w14:textId="77777777" w:rsidR="00AC21B6" w:rsidRDefault="00AC21B6" w:rsidP="00AC21B6">
      <w:pPr>
        <w:rPr>
          <w:sz w:val="28"/>
          <w:szCs w:val="28"/>
          <w:u w:val="single"/>
        </w:rPr>
      </w:pPr>
      <w:r w:rsidRPr="00BA7E45">
        <w:rPr>
          <w:sz w:val="28"/>
          <w:szCs w:val="28"/>
          <w:u w:val="single"/>
        </w:rPr>
        <w:t>Permitting issues</w:t>
      </w:r>
      <w:r>
        <w:rPr>
          <w:sz w:val="28"/>
          <w:szCs w:val="28"/>
          <w:u w:val="single"/>
        </w:rPr>
        <w:t xml:space="preserve"> </w:t>
      </w:r>
    </w:p>
    <w:p w14:paraId="5ECA794E" w14:textId="77777777" w:rsidR="00AC21B6" w:rsidRDefault="00AC21B6" w:rsidP="00AC21B6">
      <w:r>
        <w:t xml:space="preserve">The overall significance of environmental impacts varies on a site-specific basis. </w:t>
      </w:r>
      <w:r w:rsidRPr="00BA7E45">
        <w:rPr>
          <w:sz w:val="28"/>
          <w:szCs w:val="28"/>
          <w:u w:val="single"/>
        </w:rPr>
        <w:t xml:space="preserve">Facilities located in </w:t>
      </w:r>
      <w:r w:rsidRPr="00136C49">
        <w:t>urban and suburban areas</w:t>
      </w:r>
      <w:r w:rsidRPr="00BA7E45">
        <w:rPr>
          <w:sz w:val="28"/>
          <w:szCs w:val="28"/>
          <w:u w:val="single"/>
        </w:rPr>
        <w:t xml:space="preserve"> tend to have more social impacts due to exposure to noise, drift, fogging, and visible vapor plumes; rural facilities tend to have greater impacts on agriculture and wildlife</w:t>
      </w:r>
      <w:r>
        <w:t>, depending on proximity to farmland, state parks, wetlands, or other wildlife habitat. Table 3 provides a summary of some of the quantified impacts.</w:t>
      </w:r>
    </w:p>
    <w:p w14:paraId="189C8446" w14:textId="77777777" w:rsidR="00AC21B6" w:rsidRDefault="00AC21B6" w:rsidP="00AC21B6">
      <w:pPr>
        <w:pStyle w:val="Heading4"/>
      </w:pPr>
      <w:r>
        <w:t>Closed cycle cooling still disrupts aquatic ecosystems</w:t>
      </w:r>
    </w:p>
    <w:p w14:paraId="478B2A3A" w14:textId="77777777" w:rsidR="00AC21B6" w:rsidRPr="00D26FDF" w:rsidRDefault="00AC21B6" w:rsidP="00AC21B6">
      <w:pPr>
        <w:pStyle w:val="Heading4"/>
        <w:rPr>
          <w:b w:val="0"/>
          <w:bCs w:val="0"/>
        </w:rPr>
      </w:pPr>
      <w:r w:rsidRPr="00D26FDF">
        <w:rPr>
          <w:rStyle w:val="Style13ptBold"/>
          <w:bCs w:val="0"/>
        </w:rPr>
        <w:t>U.S. Fish and Wildlife Service 20</w:t>
      </w:r>
      <w:r w:rsidRPr="00D26FDF">
        <w:rPr>
          <w:b w:val="0"/>
        </w:rPr>
        <w:t xml:space="preserve"> </w:t>
      </w:r>
    </w:p>
    <w:p w14:paraId="40DFC0C5" w14:textId="77777777" w:rsidR="00AC21B6" w:rsidRPr="00344B88" w:rsidRDefault="00AC21B6" w:rsidP="00AC21B6">
      <w:r w:rsidRPr="00344B88">
        <w:t xml:space="preserve">U.S. Fish and Wildlife Service, </w:t>
      </w:r>
      <w:r>
        <w:t>12-16-20</w:t>
      </w:r>
      <w:r w:rsidRPr="00344B88">
        <w:t>, "Ecological Services," No Publication, https://www.fws.gov/ecological-services/energy-development/nuclear.html</w:t>
      </w:r>
      <w:r>
        <w:t>//ZR</w:t>
      </w:r>
    </w:p>
    <w:p w14:paraId="62F32D44" w14:textId="77777777" w:rsidR="00AC21B6" w:rsidRPr="00B55AD5" w:rsidRDefault="00AC21B6" w:rsidP="00AC21B6">
      <w:r>
        <w:t xml:space="preserve">Most </w:t>
      </w:r>
      <w:r w:rsidRPr="0099032F">
        <w:rPr>
          <w:sz w:val="28"/>
          <w:szCs w:val="28"/>
          <w:u w:val="single"/>
        </w:rPr>
        <w:t>nuclear power plants</w:t>
      </w:r>
      <w:r>
        <w:t xml:space="preserve"> are located along lakes, rivers or seacoasts because the facilities </w:t>
      </w:r>
      <w:r w:rsidRPr="0099032F">
        <w:rPr>
          <w:sz w:val="28"/>
          <w:szCs w:val="28"/>
          <w:u w:val="single"/>
        </w:rPr>
        <w:t>use water to cool the reactors. Cooling water discharged from a plant can affect the ambient habitat conditions for aquatic species.</w:t>
      </w:r>
      <w:r>
        <w:t xml:space="preserve"> Fish, freshwater mussels and aquatic macroinvertebrates such as mayflies may be affected by altered water temperature changes. Water that is too hot or too cold can harm or kill aquatic species, affect their health or impact their habitats. </w:t>
      </w:r>
      <w:r w:rsidRPr="0099032F">
        <w:rPr>
          <w:sz w:val="28"/>
          <w:szCs w:val="28"/>
          <w:u w:val="single"/>
        </w:rPr>
        <w:t>Fish may not swim in rivers with altered temperature that can compromise their spawning activities. Water temperature changes can also affect prey or other food items, reducing prey availability and diversity.</w:t>
      </w:r>
      <w:r>
        <w:t xml:space="preserve"> Nuclear energy involves mining for uranium ore to use in the reactors. Mining activities may result in impacts to streams and other habitats. Habitat may be lost, disturbed or fragmented. Streams may be crossed or buried. Soil placed in streams may change the water chemistry, affecting aquatic species. Uranium-bearing formations are usually associated with strata containing high concentrations of selenium. Pit lakes formed in open pit uranium mines can contain very high levels of selenium in the water. Waterborne selenium concentrations greater than two micrograms per liter are known to impair the reproduction and survival of aquatic birds. When found, these concentrations are likely caused by selenium concentrating in aquatic organisms higher in the food chain (bioaccumulation). Older mines may be associated with releases of uranium and other radionuclides, metals and other contaminants.</w:t>
      </w:r>
    </w:p>
    <w:p w14:paraId="261C7288" w14:textId="77777777" w:rsidR="00AC21B6" w:rsidRDefault="00AC21B6" w:rsidP="00AC21B6">
      <w:pPr>
        <w:pStyle w:val="Heading3"/>
      </w:pPr>
      <w:r>
        <w:lastRenderedPageBreak/>
        <w:t>Defense---CBA Inevitable</w:t>
      </w:r>
    </w:p>
    <w:p w14:paraId="2C62834E" w14:textId="77777777" w:rsidR="00AC21B6" w:rsidRDefault="00AC21B6" w:rsidP="00AC21B6">
      <w:pPr>
        <w:pStyle w:val="Heading4"/>
      </w:pPr>
      <w:r>
        <w:t xml:space="preserve">Various laws and executive orders circumvent the aff – they require CBA for all proposed rules, regulations, and decision-making processes, which the aff wouldn’t alter </w:t>
      </w:r>
    </w:p>
    <w:p w14:paraId="5A540E24" w14:textId="77777777" w:rsidR="00AC21B6" w:rsidRPr="00E2200F" w:rsidRDefault="00AC21B6" w:rsidP="00AC21B6">
      <w:r>
        <w:rPr>
          <w:rStyle w:val="Style13ptBold"/>
        </w:rPr>
        <w:t xml:space="preserve">GAO 14 – </w:t>
      </w:r>
      <w:r w:rsidRPr="00E2200F">
        <w:t xml:space="preserve">(The U.S. Government Accountability Office is a legislative branch government agency that provides auditing, evaluation, and investigative services for the United States Congress. It is the supreme audit institution of the federal government of the United States. “FEDERAL RULEMAKING: Agencies Included Key Elements of Cost Benefit Analysis, but Explanations of Regulations’ Significance Could Be More Transparent”, Government Accountability Office (GAO), 12 September 2014, </w:t>
      </w:r>
      <w:hyperlink r:id="rId13" w:history="1">
        <w:r w:rsidRPr="00E2200F">
          <w:rPr>
            <w:rStyle w:val="Hyperlink"/>
          </w:rPr>
          <w:t>https://www.gao.gov/assets/gao-14-714.pdf</w:t>
        </w:r>
      </w:hyperlink>
      <w:r w:rsidRPr="00E2200F">
        <w:t>, sj)</w:t>
      </w:r>
    </w:p>
    <w:p w14:paraId="65AF6DDE" w14:textId="77777777" w:rsidR="00AC21B6" w:rsidRPr="00047BAD" w:rsidRDefault="00AC21B6" w:rsidP="00AC21B6">
      <w:pPr>
        <w:spacing w:after="0" w:line="240" w:lineRule="auto"/>
        <w:rPr>
          <w:rFonts w:eastAsia="Times New Roman" w:cs="Calibri"/>
          <w:sz w:val="16"/>
          <w:szCs w:val="22"/>
        </w:rPr>
      </w:pPr>
      <w:r w:rsidRPr="00047BAD">
        <w:rPr>
          <w:rStyle w:val="Emphasis"/>
        </w:rPr>
        <w:t>Several laws, executive orders, and</w:t>
      </w:r>
      <w:r w:rsidRPr="000F7A4B">
        <w:rPr>
          <w:rFonts w:cs="Calibri"/>
          <w:sz w:val="16"/>
          <w:szCs w:val="22"/>
        </w:rPr>
        <w:t xml:space="preserve"> OMB </w:t>
      </w:r>
      <w:r w:rsidRPr="00047BAD">
        <w:rPr>
          <w:rStyle w:val="Emphasis"/>
        </w:rPr>
        <w:t>guidance</w:t>
      </w:r>
      <w:r w:rsidRPr="000F7A4B">
        <w:rPr>
          <w:rStyle w:val="StyleUnderline"/>
          <w:rFonts w:cs="Calibri"/>
          <w:szCs w:val="22"/>
        </w:rPr>
        <w:t xml:space="preserve"> </w:t>
      </w:r>
      <w:r w:rsidRPr="00047BAD">
        <w:rPr>
          <w:rStyle w:val="Emphasis"/>
        </w:rPr>
        <w:t>provide direction for agencies in the rulemaking process</w:t>
      </w:r>
      <w:r w:rsidRPr="000F7A4B">
        <w:rPr>
          <w:rStyle w:val="StyleUnderline"/>
          <w:rFonts w:cs="Calibri"/>
          <w:szCs w:val="22"/>
        </w:rPr>
        <w:t xml:space="preserve"> and impose requirements</w:t>
      </w:r>
      <w:r w:rsidRPr="000F7A4B">
        <w:rPr>
          <w:rFonts w:cs="Calibri"/>
          <w:sz w:val="16"/>
          <w:szCs w:val="22"/>
        </w:rPr>
        <w:t xml:space="preserve"> on agencies, depending on the type of rule being promulgated. </w:t>
      </w:r>
      <w:r w:rsidRPr="000F7A4B">
        <w:rPr>
          <w:rStyle w:val="StyleUnderline"/>
          <w:rFonts w:cs="Calibri"/>
          <w:szCs w:val="22"/>
        </w:rPr>
        <w:t xml:space="preserve">These laws and </w:t>
      </w:r>
      <w:r w:rsidRPr="00047BAD">
        <w:rPr>
          <w:rStyle w:val="Emphasis"/>
        </w:rPr>
        <w:t>executive orders</w:t>
      </w:r>
      <w:r w:rsidRPr="000F7A4B">
        <w:rPr>
          <w:rFonts w:cs="Calibri"/>
          <w:sz w:val="16"/>
          <w:szCs w:val="22"/>
        </w:rPr>
        <w:t xml:space="preserve"> also </w:t>
      </w:r>
      <w:r w:rsidRPr="00047BAD">
        <w:rPr>
          <w:rStyle w:val="Emphasis"/>
        </w:rPr>
        <w:t>define four</w:t>
      </w:r>
      <w:r w:rsidRPr="000F7A4B">
        <w:rPr>
          <w:rFonts w:cs="Calibri"/>
          <w:sz w:val="16"/>
          <w:szCs w:val="22"/>
        </w:rPr>
        <w:t xml:space="preserve"> broad </w:t>
      </w:r>
      <w:r w:rsidRPr="00047BAD">
        <w:rPr>
          <w:rStyle w:val="Emphasis"/>
        </w:rPr>
        <w:t>categories of rules</w:t>
      </w:r>
      <w:r w:rsidRPr="000F7A4B">
        <w:rPr>
          <w:rFonts w:cs="Calibri"/>
          <w:sz w:val="16"/>
          <w:szCs w:val="22"/>
        </w:rPr>
        <w:t xml:space="preserve">. These categories—which are not necessarily mutually exclusive—are </w:t>
      </w:r>
      <w:r w:rsidRPr="00047BAD">
        <w:rPr>
          <w:rStyle w:val="Emphasis"/>
        </w:rPr>
        <w:t>major, significant, economically significant, and non-major/non-significant.</w:t>
      </w:r>
      <w:r w:rsidRPr="000F7A4B">
        <w:rPr>
          <w:rFonts w:cs="Calibri"/>
          <w:sz w:val="16"/>
          <w:szCs w:val="22"/>
        </w:rPr>
        <w:t xml:space="preserve"> </w:t>
      </w:r>
      <w:r w:rsidRPr="000F7A4B">
        <w:rPr>
          <w:rStyle w:val="StyleUnderline"/>
          <w:rFonts w:cs="Calibri"/>
          <w:szCs w:val="22"/>
        </w:rPr>
        <w:t>Major rules are</w:t>
      </w:r>
      <w:r w:rsidRPr="000F7A4B">
        <w:rPr>
          <w:rFonts w:cs="Calibri"/>
          <w:sz w:val="16"/>
          <w:szCs w:val="22"/>
        </w:rPr>
        <w:t xml:space="preserve"> defined by the Congressional Review Act (CRA).14 • </w:t>
      </w:r>
      <w:r w:rsidRPr="000F7A4B">
        <w:rPr>
          <w:rStyle w:val="StyleUnderline"/>
          <w:rFonts w:cs="Calibri"/>
          <w:szCs w:val="22"/>
        </w:rPr>
        <w:t>an annual effect on the economy of $100 million or more</w:t>
      </w:r>
      <w:r w:rsidRPr="000F7A4B">
        <w:rPr>
          <w:rFonts w:cs="Calibri"/>
          <w:sz w:val="16"/>
          <w:szCs w:val="22"/>
        </w:rPr>
        <w:t xml:space="preserve">, or CRA applies to both executive and independent regulatory agencies. Major rules are those </w:t>
      </w:r>
      <w:r w:rsidRPr="000F7A4B">
        <w:rPr>
          <w:rStyle w:val="StyleUnderline"/>
          <w:rFonts w:cs="Calibri"/>
          <w:szCs w:val="22"/>
        </w:rPr>
        <w:t>that</w:t>
      </w:r>
      <w:r w:rsidRPr="000F7A4B">
        <w:rPr>
          <w:rFonts w:cs="Calibri"/>
          <w:sz w:val="16"/>
          <w:szCs w:val="22"/>
        </w:rPr>
        <w:t xml:space="preserve"> </w:t>
      </w:r>
      <w:r w:rsidRPr="000F7A4B">
        <w:rPr>
          <w:rStyle w:val="StyleUnderline"/>
          <w:rFonts w:cs="Calibri"/>
          <w:szCs w:val="22"/>
        </w:rPr>
        <w:t>will</w:t>
      </w:r>
      <w:r w:rsidRPr="000F7A4B">
        <w:rPr>
          <w:rFonts w:cs="Calibri"/>
          <w:sz w:val="16"/>
          <w:szCs w:val="22"/>
        </w:rPr>
        <w:t xml:space="preserve"> likely </w:t>
      </w:r>
      <w:r w:rsidRPr="000F7A4B">
        <w:rPr>
          <w:rStyle w:val="StyleUnderline"/>
          <w:rFonts w:cs="Calibri"/>
          <w:szCs w:val="22"/>
        </w:rPr>
        <w:t>result in</w:t>
      </w:r>
      <w:r w:rsidRPr="000F7A4B">
        <w:rPr>
          <w:rFonts w:cs="Calibri"/>
          <w:sz w:val="16"/>
          <w:szCs w:val="22"/>
        </w:rPr>
        <w:t xml:space="preserve"> • major </w:t>
      </w:r>
      <w:r w:rsidRPr="000F7A4B">
        <w:rPr>
          <w:rStyle w:val="StyleUnderline"/>
          <w:rFonts w:cs="Calibri"/>
          <w:szCs w:val="22"/>
        </w:rPr>
        <w:t>increases in costs or prices</w:t>
      </w:r>
      <w:r w:rsidRPr="000F7A4B">
        <w:rPr>
          <w:rFonts w:cs="Calibri"/>
          <w:sz w:val="16"/>
          <w:szCs w:val="22"/>
        </w:rPr>
        <w:t xml:space="preserve"> for consumers, individual industries, federal, state, or local government agencies, or geographic regions, </w:t>
      </w:r>
      <w:r w:rsidRPr="000F7A4B">
        <w:rPr>
          <w:rStyle w:val="StyleUnderline"/>
          <w:rFonts w:cs="Calibri"/>
          <w:szCs w:val="22"/>
        </w:rPr>
        <w:t>or</w:t>
      </w:r>
      <w:r w:rsidRPr="000F7A4B">
        <w:rPr>
          <w:rFonts w:cs="Calibri"/>
          <w:sz w:val="16"/>
          <w:szCs w:val="22"/>
        </w:rPr>
        <w:t xml:space="preserve"> • significant </w:t>
      </w:r>
      <w:r w:rsidRPr="000F7A4B">
        <w:rPr>
          <w:rStyle w:val="StyleUnderline"/>
          <w:rFonts w:cs="Calibri"/>
          <w:szCs w:val="22"/>
        </w:rPr>
        <w:t>adverse effects on competition, employment, investment, productivity, or innovation</w:t>
      </w:r>
      <w:r w:rsidRPr="000F7A4B">
        <w:rPr>
          <w:rFonts w:cs="Calibri"/>
          <w:sz w:val="16"/>
          <w:szCs w:val="22"/>
        </w:rPr>
        <w:t xml:space="preserve">, or on the ability of United States-based enterprises to compete with foreign-based enterprises in domestic and export markets. Under CRA, OIRA is responsible for making major rule designations for both executive and independent regulatory agencies.15 </w:t>
      </w:r>
      <w:r w:rsidRPr="000F7A4B">
        <w:rPr>
          <w:rStyle w:val="StyleUnderline"/>
          <w:rFonts w:cs="Calibri"/>
          <w:szCs w:val="22"/>
        </w:rPr>
        <w:t>Significant and economically significant rules are</w:t>
      </w:r>
      <w:r w:rsidRPr="000F7A4B">
        <w:rPr>
          <w:rFonts w:cs="Calibri"/>
          <w:sz w:val="16"/>
          <w:szCs w:val="22"/>
        </w:rPr>
        <w:t xml:space="preserve"> </w:t>
      </w:r>
      <w:r w:rsidRPr="000F7A4B">
        <w:rPr>
          <w:rStyle w:val="StyleUnderline"/>
          <w:rFonts w:cs="Calibri"/>
          <w:szCs w:val="22"/>
        </w:rPr>
        <w:t>defined in Executive Order 12866</w:t>
      </w:r>
      <w:r w:rsidRPr="000F7A4B">
        <w:rPr>
          <w:rFonts w:cs="Calibri"/>
          <w:sz w:val="16"/>
          <w:szCs w:val="22"/>
        </w:rPr>
        <w:t xml:space="preserve"> for executive agencies. In addition to being major or nonmajor, executive agency rules are also identified as significant, economically significant, or non-significant regulatory actions under Executive Order 12866. According to OMB, the majority of rules issued every year by executive agencies are not significant regulatory actions. These regulatory actions may include rules that affect a small number of individuals or entities or only affect agency operations. Rules that are not designated as major are referred to as non-major. 16 </w:t>
      </w:r>
      <w:r w:rsidRPr="000F7A4B">
        <w:rPr>
          <w:rStyle w:val="StyleUnderline"/>
          <w:rFonts w:cs="Calibri"/>
          <w:szCs w:val="22"/>
        </w:rPr>
        <w:t>A rule is significant</w:t>
      </w:r>
      <w:r w:rsidRPr="000F7A4B">
        <w:rPr>
          <w:rFonts w:cs="Calibri"/>
          <w:sz w:val="16"/>
          <w:szCs w:val="22"/>
        </w:rPr>
        <w:t xml:space="preserve"> under Executive Order 12866 </w:t>
      </w:r>
      <w:r w:rsidRPr="000F7A4B">
        <w:rPr>
          <w:rStyle w:val="StyleUnderline"/>
          <w:rFonts w:cs="Calibri"/>
          <w:szCs w:val="22"/>
        </w:rPr>
        <w:t>if it</w:t>
      </w:r>
      <w:r w:rsidRPr="000F7A4B">
        <w:rPr>
          <w:rFonts w:cs="Calibri"/>
          <w:sz w:val="16"/>
          <w:szCs w:val="22"/>
        </w:rPr>
        <w:t xml:space="preserve"> meets one of the following four criteria: • The rule </w:t>
      </w:r>
      <w:r w:rsidRPr="000F7A4B">
        <w:rPr>
          <w:rStyle w:val="StyleUnderline"/>
          <w:rFonts w:cs="Calibri"/>
          <w:szCs w:val="22"/>
        </w:rPr>
        <w:t>is likely to have an annual effect on the economy</w:t>
      </w:r>
      <w:r w:rsidRPr="000F7A4B">
        <w:rPr>
          <w:rFonts w:cs="Calibri"/>
          <w:sz w:val="16"/>
          <w:szCs w:val="22"/>
        </w:rPr>
        <w:t xml:space="preserve"> of $100 million or more or adversely affect in a material way the economy, a sector of the economy, productivity, competition, jobs, the environment, public health or safety, or state, local, or tribal governments or communities. • The rule is </w:t>
      </w:r>
      <w:r w:rsidRPr="000F7A4B">
        <w:rPr>
          <w:rStyle w:val="StyleUnderline"/>
          <w:rFonts w:cs="Calibri"/>
          <w:szCs w:val="22"/>
        </w:rPr>
        <w:t>likely to create a serious inconsistency</w:t>
      </w:r>
      <w:r w:rsidRPr="000F7A4B">
        <w:rPr>
          <w:rFonts w:cs="Calibri"/>
          <w:sz w:val="16"/>
          <w:szCs w:val="22"/>
        </w:rPr>
        <w:t xml:space="preserve"> or otherwise interfere with an action taken or planned by another agency </w:t>
      </w:r>
      <w:r w:rsidRPr="000F7A4B">
        <w:rPr>
          <w:rStyle w:val="StyleUnderline"/>
          <w:rFonts w:cs="Calibri"/>
          <w:szCs w:val="22"/>
        </w:rPr>
        <w:t>The rule is likely to materially alter the budgetary impact</w:t>
      </w:r>
      <w:r w:rsidRPr="000F7A4B">
        <w:rPr>
          <w:rFonts w:cs="Calibri"/>
          <w:sz w:val="16"/>
          <w:szCs w:val="22"/>
        </w:rPr>
        <w:t xml:space="preserve"> of entitlements, grants, user fees, or loan programs or the rights and obligations of recipients thereof. • The rule is </w:t>
      </w:r>
      <w:r w:rsidRPr="000F7A4B">
        <w:rPr>
          <w:rStyle w:val="StyleUnderline"/>
          <w:rFonts w:cs="Calibri"/>
          <w:szCs w:val="22"/>
        </w:rPr>
        <w:t>likely to raise novel legal or policy issues</w:t>
      </w:r>
      <w:r w:rsidRPr="000F7A4B">
        <w:rPr>
          <w:rFonts w:cs="Calibri"/>
          <w:sz w:val="16"/>
          <w:szCs w:val="22"/>
        </w:rPr>
        <w:t xml:space="preserve"> arising out of legal mandates, the President’s priorities, or the principles set forth in Executive Order 12866. Economically significant rules, a subset of significant rules, are those that meet the first criteria above for significant rules. The definition of economically significant is largely similar to the definition of major rules.17 </w:t>
      </w:r>
      <w:r w:rsidRPr="000F7A4B">
        <w:rPr>
          <w:rStyle w:val="StyleUnderline"/>
          <w:rFonts w:cs="Calibri"/>
          <w:szCs w:val="22"/>
        </w:rPr>
        <w:t>Only executive agency rules can be classified as economically significant,</w:t>
      </w:r>
      <w:r w:rsidRPr="000F7A4B">
        <w:rPr>
          <w:rFonts w:cs="Calibri"/>
          <w:sz w:val="16"/>
          <w:szCs w:val="22"/>
        </w:rPr>
        <w:t xml:space="preserve"> but both executive agencies and independent regulatory agencies can issue major rules. Generally, economically significant rules issued by executive agencies are also classified as major rules. Figure 1, an interactive graphic, shows the relationship between significant and economically significant rules for executive agencies. </w:t>
      </w:r>
      <w:r w:rsidRPr="0050530F">
        <w:rPr>
          <w:rStyle w:val="Emphasis"/>
        </w:rPr>
        <w:t>Executive Order 12866 promotes</w:t>
      </w:r>
      <w:r w:rsidRPr="0050530F">
        <w:rPr>
          <w:rStyle w:val="StyleUnderline"/>
          <w:rFonts w:cs="Calibri"/>
          <w:szCs w:val="22"/>
        </w:rPr>
        <w:t xml:space="preserve"> a regulatory philosophy and set of principles that</w:t>
      </w:r>
      <w:r w:rsidRPr="0050530F">
        <w:rPr>
          <w:rFonts w:eastAsia="Times New Roman" w:cs="Calibri"/>
          <w:sz w:val="16"/>
          <w:szCs w:val="22"/>
        </w:rPr>
        <w:t xml:space="preserve">, to the extent permitted by law and where applicable, </w:t>
      </w:r>
      <w:r w:rsidRPr="0050530F">
        <w:rPr>
          <w:rStyle w:val="StyleUnderline"/>
          <w:rFonts w:cs="Calibri"/>
          <w:szCs w:val="22"/>
        </w:rPr>
        <w:t xml:space="preserve">encourages </w:t>
      </w:r>
      <w:r w:rsidRPr="0050530F">
        <w:rPr>
          <w:rStyle w:val="Emphasis"/>
        </w:rPr>
        <w:t>agencies to assess costs, benefits, and</w:t>
      </w:r>
      <w:r w:rsidRPr="0050530F">
        <w:rPr>
          <w:rFonts w:eastAsia="Times New Roman" w:cs="Calibri"/>
          <w:sz w:val="16"/>
          <w:szCs w:val="22"/>
        </w:rPr>
        <w:t xml:space="preserve"> available </w:t>
      </w:r>
      <w:r w:rsidRPr="0050530F">
        <w:rPr>
          <w:rStyle w:val="Emphasis"/>
        </w:rPr>
        <w:t>regulatory alternatives in all rules</w:t>
      </w:r>
      <w:r w:rsidRPr="0050530F">
        <w:rPr>
          <w:rStyle w:val="StyleUnderline"/>
          <w:rFonts w:cs="Calibri"/>
          <w:szCs w:val="22"/>
        </w:rPr>
        <w:t>,</w:t>
      </w:r>
      <w:r w:rsidRPr="0050530F">
        <w:rPr>
          <w:rFonts w:eastAsia="Times New Roman" w:cs="Calibri"/>
          <w:sz w:val="16"/>
          <w:szCs w:val="22"/>
        </w:rPr>
        <w:t xml:space="preserve"> including the alternative of not regulating. </w:t>
      </w:r>
      <w:r w:rsidRPr="0050530F">
        <w:rPr>
          <w:rStyle w:val="Emphasis"/>
        </w:rPr>
        <w:t>Executive Order 13563 reaffirms</w:t>
      </w:r>
      <w:r w:rsidRPr="0050530F">
        <w:rPr>
          <w:rStyle w:val="StyleUnderline"/>
          <w:rFonts w:cs="Calibri"/>
          <w:szCs w:val="22"/>
        </w:rPr>
        <w:t xml:space="preserve"> this philosophy</w:t>
      </w:r>
      <w:r w:rsidRPr="0050530F">
        <w:rPr>
          <w:rFonts w:eastAsia="Times New Roman" w:cs="Calibri"/>
          <w:sz w:val="16"/>
          <w:szCs w:val="22"/>
        </w:rPr>
        <w:t xml:space="preserve"> and these principles.18 • a reasonably detailed description </w:t>
      </w:r>
      <w:r w:rsidRPr="0050530F">
        <w:rPr>
          <w:rStyle w:val="StyleUnderline"/>
          <w:rFonts w:cs="Calibri"/>
          <w:szCs w:val="22"/>
        </w:rPr>
        <w:t xml:space="preserve">of </w:t>
      </w:r>
      <w:r w:rsidRPr="0050530F">
        <w:rPr>
          <w:rStyle w:val="Emphasis"/>
        </w:rPr>
        <w:t>the need for the regulatory action</w:t>
      </w:r>
      <w:r w:rsidRPr="0050530F">
        <w:rPr>
          <w:rStyle w:val="StyleUnderline"/>
          <w:rFonts w:cs="Calibri"/>
          <w:szCs w:val="22"/>
        </w:rPr>
        <w:t xml:space="preserve"> and an explanation of how</w:t>
      </w:r>
      <w:r w:rsidRPr="0050530F">
        <w:rPr>
          <w:rFonts w:eastAsia="Times New Roman" w:cs="Calibri"/>
          <w:sz w:val="16"/>
          <w:szCs w:val="22"/>
        </w:rPr>
        <w:t xml:space="preserve"> the </w:t>
      </w:r>
      <w:r w:rsidRPr="0050530F">
        <w:rPr>
          <w:rStyle w:val="StyleUnderline"/>
          <w:rFonts w:cs="Calibri"/>
          <w:szCs w:val="22"/>
        </w:rPr>
        <w:t>regulatory action will meet that need</w:t>
      </w:r>
      <w:r w:rsidRPr="0050530F">
        <w:rPr>
          <w:rFonts w:eastAsia="Times New Roman" w:cs="Calibri"/>
          <w:sz w:val="16"/>
          <w:szCs w:val="22"/>
        </w:rPr>
        <w:t xml:space="preserve">, and </w:t>
      </w:r>
      <w:r w:rsidRPr="0050530F">
        <w:rPr>
          <w:rStyle w:val="Emphasis"/>
        </w:rPr>
        <w:t>These executive orders include</w:t>
      </w:r>
      <w:r w:rsidRPr="0050530F">
        <w:rPr>
          <w:rFonts w:eastAsia="Times New Roman" w:cs="Calibri"/>
          <w:sz w:val="16"/>
          <w:szCs w:val="22"/>
        </w:rPr>
        <w:t xml:space="preserve"> more </w:t>
      </w:r>
      <w:r w:rsidRPr="0050530F">
        <w:rPr>
          <w:rStyle w:val="Emphasis"/>
        </w:rPr>
        <w:t>specific requirements</w:t>
      </w:r>
      <w:r w:rsidRPr="0050530F">
        <w:rPr>
          <w:rFonts w:eastAsia="Times New Roman" w:cs="Calibri"/>
          <w:sz w:val="16"/>
          <w:szCs w:val="22"/>
        </w:rPr>
        <w:t xml:space="preserve"> for some agencies </w:t>
      </w:r>
      <w:r w:rsidRPr="0050530F">
        <w:rPr>
          <w:rStyle w:val="Emphasis"/>
        </w:rPr>
        <w:t>and some rules</w:t>
      </w:r>
      <w:r w:rsidRPr="0050530F">
        <w:rPr>
          <w:rFonts w:eastAsia="Times New Roman" w:cs="Calibri"/>
          <w:sz w:val="16"/>
          <w:szCs w:val="22"/>
        </w:rPr>
        <w:t xml:space="preserve">. Executive </w:t>
      </w:r>
      <w:r w:rsidRPr="0050530F">
        <w:rPr>
          <w:rStyle w:val="Emphasis"/>
        </w:rPr>
        <w:lastRenderedPageBreak/>
        <w:t>agencies are required to include</w:t>
      </w:r>
      <w:r w:rsidRPr="0050530F">
        <w:rPr>
          <w:rStyle w:val="StyleUnderline"/>
          <w:rFonts w:cs="Calibri"/>
          <w:szCs w:val="22"/>
        </w:rPr>
        <w:t xml:space="preserve"> </w:t>
      </w:r>
      <w:r w:rsidRPr="0050530F">
        <w:rPr>
          <w:rStyle w:val="StyleUnderline"/>
          <w:rFonts w:cs="Calibri"/>
          <w:sz w:val="14"/>
          <w:szCs w:val="14"/>
          <w:u w:val="none"/>
        </w:rPr>
        <w:t>certain information about</w:t>
      </w:r>
      <w:r w:rsidRPr="0050530F">
        <w:rPr>
          <w:rStyle w:val="StyleUnderline"/>
          <w:rFonts w:cs="Calibri"/>
          <w:szCs w:val="22"/>
        </w:rPr>
        <w:t xml:space="preserve"> the </w:t>
      </w:r>
      <w:r w:rsidRPr="0050530F">
        <w:rPr>
          <w:rStyle w:val="Emphasis"/>
        </w:rPr>
        <w:t>costs and benefits</w:t>
      </w:r>
      <w:r w:rsidRPr="0050530F">
        <w:rPr>
          <w:rStyle w:val="StyleUnderline"/>
          <w:rFonts w:cs="Calibri"/>
          <w:szCs w:val="22"/>
        </w:rPr>
        <w:t xml:space="preserve"> of significant and economically significant rules </w:t>
      </w:r>
      <w:r w:rsidRPr="0050530F">
        <w:rPr>
          <w:rStyle w:val="StyleUnderline"/>
          <w:rFonts w:cs="Calibri"/>
          <w:sz w:val="14"/>
          <w:szCs w:val="14"/>
          <w:u w:val="none"/>
        </w:rPr>
        <w:t>in final rulemaking dockets</w:t>
      </w:r>
      <w:r w:rsidRPr="0050530F">
        <w:rPr>
          <w:rStyle w:val="StyleUnderline"/>
          <w:rFonts w:cs="Calibri"/>
          <w:szCs w:val="22"/>
        </w:rPr>
        <w:t>.</w:t>
      </w:r>
      <w:r w:rsidRPr="0050530F">
        <w:rPr>
          <w:rFonts w:eastAsia="Times New Roman" w:cs="Calibri"/>
          <w:sz w:val="16"/>
          <w:szCs w:val="22"/>
        </w:rPr>
        <w:t xml:space="preserve"> </w:t>
      </w:r>
      <w:r w:rsidRPr="0050530F">
        <w:rPr>
          <w:rStyle w:val="StyleUnderline"/>
          <w:rFonts w:cs="Calibri"/>
          <w:szCs w:val="22"/>
        </w:rPr>
        <w:t>For significant rules</w:t>
      </w:r>
      <w:r w:rsidRPr="0050530F">
        <w:rPr>
          <w:rFonts w:eastAsia="Times New Roman" w:cs="Calibri"/>
          <w:sz w:val="16"/>
          <w:szCs w:val="22"/>
        </w:rPr>
        <w:t xml:space="preserve">, </w:t>
      </w:r>
      <w:r w:rsidRPr="0050530F">
        <w:rPr>
          <w:rStyle w:val="StyleUnderline"/>
          <w:rFonts w:cs="Calibri"/>
          <w:szCs w:val="22"/>
        </w:rPr>
        <w:t xml:space="preserve">executive agencies are required to include • </w:t>
      </w:r>
      <w:r w:rsidRPr="0050530F">
        <w:rPr>
          <w:rStyle w:val="StyleUnderline"/>
          <w:rFonts w:cs="Calibri"/>
          <w:sz w:val="14"/>
          <w:szCs w:val="14"/>
          <w:u w:val="none"/>
        </w:rPr>
        <w:t>an assessment of</w:t>
      </w:r>
      <w:r w:rsidRPr="0050530F">
        <w:rPr>
          <w:rStyle w:val="StyleUnderline"/>
          <w:rFonts w:cs="Calibri"/>
          <w:szCs w:val="22"/>
        </w:rPr>
        <w:t xml:space="preserve"> the </w:t>
      </w:r>
      <w:r w:rsidRPr="0050530F">
        <w:rPr>
          <w:rStyle w:val="StyleUnderline"/>
          <w:rFonts w:cs="Calibri"/>
          <w:sz w:val="14"/>
          <w:szCs w:val="14"/>
          <w:u w:val="none"/>
        </w:rPr>
        <w:t>potential</w:t>
      </w:r>
      <w:r w:rsidRPr="0050530F">
        <w:rPr>
          <w:rStyle w:val="StyleUnderline"/>
          <w:rFonts w:cs="Calibri"/>
          <w:szCs w:val="22"/>
        </w:rPr>
        <w:t xml:space="preserve"> costs and benefits of the regulatory action</w:t>
      </w:r>
      <w:r w:rsidRPr="0050530F">
        <w:rPr>
          <w:rFonts w:eastAsia="Times New Roman" w:cs="Calibri"/>
          <w:sz w:val="16"/>
          <w:szCs w:val="22"/>
        </w:rPr>
        <w:t xml:space="preserve">.19 </w:t>
      </w:r>
      <w:r w:rsidRPr="0050530F">
        <w:rPr>
          <w:rStyle w:val="StyleUnderline"/>
          <w:rFonts w:cs="Calibri"/>
          <w:szCs w:val="22"/>
        </w:rPr>
        <w:t>For economically significant rules,</w:t>
      </w:r>
      <w:r w:rsidRPr="0050530F">
        <w:rPr>
          <w:rFonts w:eastAsia="Times New Roman" w:cs="Calibri"/>
          <w:sz w:val="16"/>
          <w:szCs w:val="22"/>
        </w:rPr>
        <w:t xml:space="preserve"> executive </w:t>
      </w:r>
      <w:r w:rsidRPr="0050530F">
        <w:rPr>
          <w:rStyle w:val="StyleUnderline"/>
          <w:rFonts w:cs="Calibri"/>
          <w:szCs w:val="22"/>
        </w:rPr>
        <w:t>agencies are</w:t>
      </w:r>
      <w:r w:rsidRPr="0050530F">
        <w:rPr>
          <w:rFonts w:eastAsia="Times New Roman" w:cs="Calibri"/>
          <w:sz w:val="16"/>
          <w:szCs w:val="22"/>
        </w:rPr>
        <w:t xml:space="preserve"> further r</w:t>
      </w:r>
      <w:r w:rsidRPr="0050530F">
        <w:rPr>
          <w:rStyle w:val="StyleUnderline"/>
          <w:rFonts w:cs="Calibri"/>
          <w:szCs w:val="22"/>
        </w:rPr>
        <w:t>equired to include •</w:t>
      </w:r>
      <w:r w:rsidRPr="0050530F">
        <w:rPr>
          <w:rFonts w:eastAsia="Times New Roman" w:cs="Calibri"/>
          <w:sz w:val="16"/>
          <w:szCs w:val="22"/>
        </w:rPr>
        <w:t xml:space="preserve"> an assessment, including the underlying analysis, of </w:t>
      </w:r>
      <w:r w:rsidRPr="0050530F">
        <w:rPr>
          <w:rStyle w:val="StyleUnderline"/>
          <w:rFonts w:cs="Calibri"/>
          <w:szCs w:val="22"/>
        </w:rPr>
        <w:t xml:space="preserve">the costs and benefits anticipated from the regulatory action, </w:t>
      </w:r>
      <w:r w:rsidRPr="0050530F">
        <w:rPr>
          <w:rStyle w:val="Emphasis"/>
        </w:rPr>
        <w:t>with</w:t>
      </w:r>
      <w:r w:rsidRPr="0050530F">
        <w:rPr>
          <w:rStyle w:val="StyleUnderline"/>
          <w:rFonts w:cs="Calibri"/>
          <w:szCs w:val="22"/>
        </w:rPr>
        <w:t>,</w:t>
      </w:r>
      <w:r w:rsidRPr="0050530F">
        <w:rPr>
          <w:rFonts w:eastAsia="Times New Roman" w:cs="Calibri"/>
          <w:sz w:val="16"/>
          <w:szCs w:val="22"/>
        </w:rPr>
        <w:t xml:space="preserve"> to the extent feasible, </w:t>
      </w:r>
      <w:r w:rsidRPr="0050530F">
        <w:rPr>
          <w:rStyle w:val="Emphasis"/>
        </w:rPr>
        <w:t>a quantification of those costs and benefits; and</w:t>
      </w:r>
      <w:r w:rsidRPr="0050530F">
        <w:rPr>
          <w:rFonts w:eastAsia="Times New Roman" w:cs="Calibri"/>
          <w:sz w:val="16"/>
          <w:szCs w:val="22"/>
        </w:rPr>
        <w:t xml:space="preserve"> • an assessment, including the underlying analysis, of costs and benefits of potentially effective and </w:t>
      </w:r>
      <w:r w:rsidRPr="0050530F">
        <w:rPr>
          <w:rStyle w:val="StyleUnderline"/>
          <w:rFonts w:cs="Calibri"/>
          <w:szCs w:val="22"/>
        </w:rPr>
        <w:t xml:space="preserve">reasonably </w:t>
      </w:r>
      <w:r w:rsidRPr="0050530F">
        <w:rPr>
          <w:rStyle w:val="Emphasis"/>
        </w:rPr>
        <w:t>feasible alternatives</w:t>
      </w:r>
      <w:r w:rsidRPr="0050530F">
        <w:rPr>
          <w:rFonts w:eastAsia="Times New Roman" w:cs="Calibri"/>
          <w:sz w:val="16"/>
          <w:szCs w:val="22"/>
        </w:rPr>
        <w:t xml:space="preserve"> </w:t>
      </w:r>
      <w:r w:rsidRPr="0050530F">
        <w:rPr>
          <w:rStyle w:val="StyleUnderline"/>
          <w:rFonts w:cs="Calibri"/>
          <w:szCs w:val="22"/>
        </w:rPr>
        <w:t>to the planned regulation</w:t>
      </w:r>
      <w:r w:rsidRPr="0050530F">
        <w:rPr>
          <w:rFonts w:eastAsia="Times New Roman" w:cs="Calibri"/>
          <w:sz w:val="16"/>
          <w:szCs w:val="22"/>
        </w:rPr>
        <w:t>, as well as an explanation of why the planned regulatory action is preferable to the identified alternatives.20 According to OMB guidance, agencies should consider a range of potentially effective and reasonably feasible regulatory alternatives when analyzing alternatives. The relevant alternatives might involve different approaches, with distinct advantages and disadvantages, and may include the option of not regulating, among other options. Agencies can</w:t>
      </w:r>
      <w:r w:rsidRPr="000F7A4B">
        <w:rPr>
          <w:rFonts w:eastAsia="Times New Roman" w:cs="Calibri"/>
          <w:sz w:val="16"/>
          <w:szCs w:val="22"/>
        </w:rPr>
        <w:t xml:space="preserve"> </w:t>
      </w:r>
      <w:r w:rsidRPr="0050530F">
        <w:rPr>
          <w:rFonts w:eastAsia="Times New Roman" w:cs="Calibri"/>
          <w:sz w:val="16"/>
          <w:szCs w:val="22"/>
        </w:rPr>
        <w:t>also analyze alternatives with varying enforcement methods, stringency requirements, compliance dates, or requirements based on firm size or geographic location.</w:t>
      </w:r>
    </w:p>
    <w:p w14:paraId="1616C1FB" w14:textId="77777777" w:rsidR="00AC21B6" w:rsidRDefault="00AC21B6" w:rsidP="00AC21B6">
      <w:pPr>
        <w:pStyle w:val="Heading4"/>
      </w:pPr>
      <w:r>
        <w:t>CBA will happen with or without the plan – tons of variations exist and it’s an inherent part of any decision-making process that involves developing alternative solutions to the same problem</w:t>
      </w:r>
    </w:p>
    <w:p w14:paraId="021C75FB" w14:textId="77777777" w:rsidR="00AC21B6" w:rsidRPr="00DB2745" w:rsidRDefault="00AC21B6" w:rsidP="00AC21B6">
      <w:pPr>
        <w:rPr>
          <w:rStyle w:val="Style13ptBold"/>
        </w:rPr>
      </w:pPr>
      <w:r>
        <w:rPr>
          <w:rStyle w:val="Style13ptBold"/>
        </w:rPr>
        <w:t xml:space="preserve">BR 14 – </w:t>
      </w:r>
      <w:r w:rsidRPr="00B42FCA">
        <w:t xml:space="preserve">(The Business Roundtable is a nonprofit association based in Washington, D.C. whose members are chief executive officers of major United States companies. “Using Cost-Benefit Analysis To Craft Smart Regulation - A Primer and Key Considerations for Congress and Federal Agencies”, Business Roundtable, December 2014, </w:t>
      </w:r>
      <w:hyperlink r:id="rId14" w:history="1">
        <w:r w:rsidRPr="00B42FCA">
          <w:rPr>
            <w:rStyle w:val="Hyperlink"/>
          </w:rPr>
          <w:t>https://s3.amazonaws.com/brt.org/archive/reports/BRT%20Cost-Benefit%20Analysis.pdf</w:t>
        </w:r>
      </w:hyperlink>
      <w:r w:rsidRPr="00B42FCA">
        <w:t>, sj)</w:t>
      </w:r>
    </w:p>
    <w:p w14:paraId="18E6CFB7" w14:textId="77777777" w:rsidR="00AC21B6" w:rsidRPr="000F7A4B" w:rsidRDefault="00AC21B6" w:rsidP="00AC21B6">
      <w:pPr>
        <w:rPr>
          <w:sz w:val="16"/>
        </w:rPr>
      </w:pPr>
      <w:r w:rsidRPr="000F7A4B">
        <w:rPr>
          <w:rStyle w:val="StyleUnderline"/>
        </w:rPr>
        <w:t>The first step</w:t>
      </w:r>
      <w:r w:rsidRPr="000F7A4B">
        <w:rPr>
          <w:sz w:val="16"/>
        </w:rPr>
        <w:t xml:space="preserve"> covered agencies should complete when proposing a major rule </w:t>
      </w:r>
      <w:r w:rsidRPr="000F7A4B">
        <w:rPr>
          <w:rStyle w:val="StyleUnderline"/>
        </w:rPr>
        <w:t>is to describe the compelling public need that the regulation is intended to address</w:t>
      </w:r>
      <w:r w:rsidRPr="000F7A4B">
        <w:rPr>
          <w:sz w:val="16"/>
        </w:rPr>
        <w:t xml:space="preserve"> (e.g., a significant failure of private markets or public institutions to protect or improve the health and safety of the public, the environment, or the well-being of the American people) </w:t>
      </w:r>
      <w:r w:rsidRPr="000F7A4B">
        <w:rPr>
          <w:rStyle w:val="StyleUnderline"/>
        </w:rPr>
        <w:t>and state the agency’s authority</w:t>
      </w:r>
      <w:r w:rsidRPr="000F7A4B">
        <w:rPr>
          <w:sz w:val="16"/>
        </w:rPr>
        <w:t xml:space="preserve"> for proposing the regulation (e.g., statute or judicial order).37 </w:t>
      </w:r>
      <w:r w:rsidRPr="000F7A4B">
        <w:rPr>
          <w:rStyle w:val="StyleUnderline"/>
        </w:rPr>
        <w:t xml:space="preserve">The agency </w:t>
      </w:r>
      <w:r w:rsidRPr="000F7A4B">
        <w:rPr>
          <w:sz w:val="16"/>
        </w:rPr>
        <w:t xml:space="preserve">should also </w:t>
      </w:r>
      <w:r w:rsidRPr="000F7A4B">
        <w:rPr>
          <w:rStyle w:val="StyleUnderline"/>
        </w:rPr>
        <w:t>consider</w:t>
      </w:r>
      <w:r w:rsidRPr="000F7A4B">
        <w:rPr>
          <w:sz w:val="16"/>
        </w:rPr>
        <w:t xml:space="preserve"> a </w:t>
      </w:r>
      <w:r w:rsidRPr="00D407BC">
        <w:rPr>
          <w:rStyle w:val="Emphasis"/>
        </w:rPr>
        <w:t>reasonable</w:t>
      </w:r>
      <w:r w:rsidRPr="000F7A4B">
        <w:rPr>
          <w:sz w:val="16"/>
        </w:rPr>
        <w:t xml:space="preserve"> number of </w:t>
      </w:r>
      <w:r w:rsidRPr="00D407BC">
        <w:rPr>
          <w:rStyle w:val="Emphasis"/>
        </w:rPr>
        <w:t>alternatives</w:t>
      </w:r>
      <w:r w:rsidRPr="000F7A4B">
        <w:rPr>
          <w:rStyle w:val="StyleUnderline"/>
        </w:rPr>
        <w:t xml:space="preserve"> to address the problem</w:t>
      </w:r>
      <w:r w:rsidRPr="000F7A4B">
        <w:rPr>
          <w:sz w:val="16"/>
        </w:rPr>
        <w:t xml:space="preserve">, including nonfederal and nonregulatory alternatives </w:t>
      </w:r>
      <w:r w:rsidRPr="00D407BC">
        <w:rPr>
          <w:rStyle w:val="Emphasis"/>
        </w:rPr>
        <w:t>that would achieve the same end</w:t>
      </w:r>
      <w:r w:rsidRPr="000F7A4B">
        <w:rPr>
          <w:sz w:val="16"/>
        </w:rPr>
        <w:t xml:space="preserve">.38 Typically, </w:t>
      </w:r>
      <w:r w:rsidRPr="000F7A4B">
        <w:rPr>
          <w:rStyle w:val="StyleUnderline"/>
        </w:rPr>
        <w:t>agencies construct these regulatory alternatives by varying the rule’s compliance dates, enforcement</w:t>
      </w:r>
      <w:r w:rsidRPr="000F7A4B">
        <w:rPr>
          <w:sz w:val="16"/>
        </w:rPr>
        <w:t xml:space="preserve"> methods, </w:t>
      </w:r>
      <w:r w:rsidRPr="000F7A4B">
        <w:rPr>
          <w:rStyle w:val="StyleUnderline"/>
        </w:rPr>
        <w:t>stringency</w:t>
      </w:r>
      <w:r w:rsidRPr="000F7A4B">
        <w:rPr>
          <w:sz w:val="16"/>
        </w:rPr>
        <w:t xml:space="preserve">, </w:t>
      </w:r>
      <w:r w:rsidRPr="000F7A4B">
        <w:rPr>
          <w:rStyle w:val="StyleUnderline"/>
        </w:rPr>
        <w:t>or applicability to certain entities</w:t>
      </w:r>
      <w:r w:rsidRPr="000F7A4B">
        <w:rPr>
          <w:sz w:val="16"/>
        </w:rPr>
        <w:t xml:space="preserve"> or geographies.39 OMB also encourages agencies to use performance standards rather than design standards (i.e., requiring regulated entities to achieve a desired outcome, such as reducing emissions, rather than specifying the means to achieving this outcome, such as installing a specified technology) and to explore the use of market-oriented approaches in lieu of direct controls.40 Estimate costs and benefits </w:t>
      </w:r>
      <w:r w:rsidRPr="000F7A4B">
        <w:rPr>
          <w:rStyle w:val="StyleUnderline"/>
        </w:rPr>
        <w:t xml:space="preserve">Next, agencies </w:t>
      </w:r>
      <w:r w:rsidRPr="000F7A4B">
        <w:rPr>
          <w:sz w:val="16"/>
        </w:rPr>
        <w:t>should</w:t>
      </w:r>
      <w:r w:rsidRPr="000F7A4B">
        <w:rPr>
          <w:rStyle w:val="StyleUnderline"/>
        </w:rPr>
        <w:t xml:space="preserve"> quantify the </w:t>
      </w:r>
      <w:r w:rsidRPr="00D407BC">
        <w:rPr>
          <w:rStyle w:val="Emphasis"/>
        </w:rPr>
        <w:t>net present value of relevant costs and benefits</w:t>
      </w:r>
      <w:r w:rsidRPr="000F7A4B">
        <w:rPr>
          <w:sz w:val="16"/>
        </w:rPr>
        <w:t xml:space="preserve"> (i.e., the sum of all benefits and costs after discounting) </w:t>
      </w:r>
      <w:r w:rsidRPr="000F7A4B">
        <w:rPr>
          <w:rStyle w:val="StyleUnderline"/>
        </w:rPr>
        <w:t>that would result from each regulatory alternative</w:t>
      </w:r>
      <w:r w:rsidRPr="000F7A4B">
        <w:rPr>
          <w:sz w:val="16"/>
        </w:rPr>
        <w:t xml:space="preserve"> relative to a baseline scenario. A baseline scenario represents the status quo state of affairs that would likely occur if the agency chose not to act. </w:t>
      </w:r>
      <w:r w:rsidRPr="000F7A4B">
        <w:rPr>
          <w:rStyle w:val="StyleUnderline"/>
        </w:rPr>
        <w:t>The costs and benefits</w:t>
      </w:r>
      <w:r w:rsidRPr="000F7A4B">
        <w:rPr>
          <w:sz w:val="16"/>
        </w:rPr>
        <w:t xml:space="preserve"> of each regulatory alternative </w:t>
      </w:r>
      <w:r w:rsidRPr="000F7A4B">
        <w:rPr>
          <w:rStyle w:val="StyleUnderline"/>
        </w:rPr>
        <w:t>should be evaluated and reported separately,</w:t>
      </w:r>
      <w:r w:rsidRPr="000F7A4B">
        <w:rPr>
          <w:sz w:val="16"/>
        </w:rPr>
        <w:t xml:space="preserve"> thereby facilitating an estimate for the net benefits that would stem from each alternative. </w:t>
      </w:r>
      <w:r w:rsidRPr="00D407BC">
        <w:rPr>
          <w:rStyle w:val="Emphasis"/>
        </w:rPr>
        <w:t>Potential benefits</w:t>
      </w:r>
      <w:r w:rsidRPr="000F7A4B">
        <w:rPr>
          <w:rStyle w:val="StyleUnderline"/>
        </w:rPr>
        <w:t xml:space="preserve"> that could arise</w:t>
      </w:r>
      <w:r w:rsidRPr="000F7A4B">
        <w:rPr>
          <w:sz w:val="16"/>
        </w:rPr>
        <w:t xml:space="preserve"> from a regulatory action include improved public </w:t>
      </w:r>
      <w:r w:rsidRPr="000F7A4B">
        <w:rPr>
          <w:rStyle w:val="StyleUnderline"/>
        </w:rPr>
        <w:t>health and safety</w:t>
      </w:r>
      <w:r w:rsidRPr="000F7A4B">
        <w:rPr>
          <w:sz w:val="16"/>
        </w:rPr>
        <w:t xml:space="preserve">, enhanced </w:t>
      </w:r>
      <w:r w:rsidRPr="000F7A4B">
        <w:rPr>
          <w:rStyle w:val="StyleUnderline"/>
        </w:rPr>
        <w:t>protection</w:t>
      </w:r>
      <w:r w:rsidRPr="000F7A4B">
        <w:rPr>
          <w:sz w:val="16"/>
        </w:rPr>
        <w:t xml:space="preserve"> </w:t>
      </w:r>
      <w:r w:rsidRPr="000F7A4B">
        <w:rPr>
          <w:rStyle w:val="StyleUnderline"/>
        </w:rPr>
        <w:t>of the</w:t>
      </w:r>
      <w:r w:rsidRPr="000F7A4B">
        <w:rPr>
          <w:sz w:val="16"/>
        </w:rPr>
        <w:t xml:space="preserve"> natural </w:t>
      </w:r>
      <w:r w:rsidRPr="000F7A4B">
        <w:rPr>
          <w:rStyle w:val="StyleUnderline"/>
        </w:rPr>
        <w:t>environment</w:t>
      </w:r>
      <w:r w:rsidRPr="000F7A4B">
        <w:rPr>
          <w:sz w:val="16"/>
        </w:rPr>
        <w:t xml:space="preserve">, and elimination or </w:t>
      </w:r>
      <w:r w:rsidRPr="000F7A4B">
        <w:rPr>
          <w:rStyle w:val="StyleUnderline"/>
        </w:rPr>
        <w:t>reduction of discrimination or bias</w:t>
      </w:r>
      <w:r w:rsidRPr="000F7A4B">
        <w:rPr>
          <w:sz w:val="16"/>
        </w:rPr>
        <w:t>.</w:t>
      </w:r>
      <w:r w:rsidRPr="000F7A4B">
        <w:rPr>
          <w:rStyle w:val="StyleUnderline"/>
        </w:rPr>
        <w:t xml:space="preserve">41 </w:t>
      </w:r>
      <w:r w:rsidRPr="00D407BC">
        <w:rPr>
          <w:rStyle w:val="Emphasis"/>
        </w:rPr>
        <w:t>Potential costs</w:t>
      </w:r>
      <w:r w:rsidRPr="000F7A4B">
        <w:rPr>
          <w:rStyle w:val="StyleUnderline"/>
        </w:rPr>
        <w:t xml:space="preserve"> include</w:t>
      </w:r>
      <w:r w:rsidRPr="000F7A4B">
        <w:rPr>
          <w:sz w:val="16"/>
        </w:rPr>
        <w:t xml:space="preserve"> business </w:t>
      </w:r>
      <w:r w:rsidRPr="000F7A4B">
        <w:rPr>
          <w:rStyle w:val="StyleUnderline"/>
        </w:rPr>
        <w:t>compliance costs</w:t>
      </w:r>
      <w:r w:rsidRPr="000F7A4B">
        <w:rPr>
          <w:sz w:val="16"/>
        </w:rPr>
        <w:t xml:space="preserve">; government </w:t>
      </w:r>
      <w:r w:rsidRPr="000F7A4B">
        <w:rPr>
          <w:rStyle w:val="StyleUnderline"/>
        </w:rPr>
        <w:t>administration costs</w:t>
      </w:r>
      <w:r w:rsidRPr="000F7A4B">
        <w:rPr>
          <w:sz w:val="16"/>
        </w:rPr>
        <w:t xml:space="preserve">; and any additional </w:t>
      </w:r>
      <w:r w:rsidRPr="000F7A4B">
        <w:rPr>
          <w:rStyle w:val="StyleUnderline"/>
        </w:rPr>
        <w:t>adverse effects on productivity, employment, competitiveness, public health</w:t>
      </w:r>
      <w:r w:rsidRPr="000F7A4B">
        <w:rPr>
          <w:sz w:val="16"/>
        </w:rPr>
        <w:t xml:space="preserve"> and safety, the natural </w:t>
      </w:r>
      <w:r w:rsidRPr="000F7A4B">
        <w:rPr>
          <w:rStyle w:val="StyleUnderline"/>
        </w:rPr>
        <w:t>environment</w:t>
      </w:r>
      <w:r w:rsidRPr="000F7A4B">
        <w:rPr>
          <w:sz w:val="16"/>
        </w:rPr>
        <w:t xml:space="preserve">, </w:t>
      </w:r>
      <w:r w:rsidRPr="000F7A4B">
        <w:rPr>
          <w:rStyle w:val="StyleUnderline"/>
        </w:rPr>
        <w:t>and the</w:t>
      </w:r>
      <w:r w:rsidRPr="000F7A4B">
        <w:rPr>
          <w:sz w:val="16"/>
        </w:rPr>
        <w:t xml:space="preserve"> overall </w:t>
      </w:r>
      <w:r w:rsidRPr="000F7A4B">
        <w:rPr>
          <w:rStyle w:val="StyleUnderline"/>
        </w:rPr>
        <w:t>economy</w:t>
      </w:r>
      <w:r w:rsidRPr="000F7A4B">
        <w:rPr>
          <w:sz w:val="16"/>
        </w:rPr>
        <w:t xml:space="preserve">.42 If the proposed regulation would generate costs or benefits in future years, agencies are directed to discount them using rates of 3 and 7 percent.43 Using Cost-Benefit Analysis To Craft Smart Regulation 9 In some cases, certain costs or benefits may be difficult or impossible to quantify or monetize. When such cases occur, agencies are </w:t>
      </w:r>
      <w:r w:rsidRPr="000F7A4B">
        <w:rPr>
          <w:sz w:val="16"/>
        </w:rPr>
        <w:lastRenderedPageBreak/>
        <w:t xml:space="preserve">encouraged to quantify what they can and exercise professional judgment in determining whether nonquantified factors (e.g., distributional effects, equity and privacy concerns, and human dignity) are significant enough to justify the regulation.44 They may also use cost-effectiveness analysis to identify options that use the lowest amount of resources to achieve a particular outcome. </w:t>
      </w:r>
      <w:r w:rsidRPr="00D407BC">
        <w:rPr>
          <w:rStyle w:val="Emphasis"/>
        </w:rPr>
        <w:t>Agencies</w:t>
      </w:r>
      <w:r w:rsidRPr="000F7A4B">
        <w:rPr>
          <w:sz w:val="16"/>
        </w:rPr>
        <w:t xml:space="preserve"> are encouraged to </w:t>
      </w:r>
      <w:r w:rsidRPr="00D407BC">
        <w:rPr>
          <w:rStyle w:val="Emphasis"/>
        </w:rPr>
        <w:t>use several techniques to estimate costs and benefits</w:t>
      </w:r>
      <w:r w:rsidRPr="000F7A4B">
        <w:rPr>
          <w:sz w:val="16"/>
        </w:rPr>
        <w:t xml:space="preserve">, but some techniques produce more reliable estimates than others. These techniques are outlined in OMB Circular A-4 and include the following (in order of OMB’s preference): </w:t>
      </w:r>
      <w:r w:rsidRPr="000F7A4B">
        <w:rPr>
          <w:rFonts w:ascii="Segoe UI Symbol" w:hAnsi="Segoe UI Symbol" w:cs="Segoe UI Symbol"/>
          <w:sz w:val="16"/>
        </w:rPr>
        <w:t>◗</w:t>
      </w:r>
      <w:r w:rsidRPr="000F7A4B">
        <w:rPr>
          <w:sz w:val="16"/>
        </w:rPr>
        <w:t xml:space="preserve"> </w:t>
      </w:r>
      <w:r w:rsidRPr="00D407BC">
        <w:rPr>
          <w:rStyle w:val="Emphasis"/>
        </w:rPr>
        <w:t>Revealed preference methods</w:t>
      </w:r>
      <w:r w:rsidRPr="000F7A4B">
        <w:rPr>
          <w:rStyle w:val="StyleUnderline"/>
        </w:rPr>
        <w:t xml:space="preserve"> estimate the value of goods and services based on</w:t>
      </w:r>
      <w:r w:rsidRPr="000F7A4B">
        <w:rPr>
          <w:sz w:val="16"/>
        </w:rPr>
        <w:t xml:space="preserve"> actual </w:t>
      </w:r>
      <w:r w:rsidRPr="000F7A4B">
        <w:rPr>
          <w:rStyle w:val="StyleUnderline"/>
        </w:rPr>
        <w:t>market indicators</w:t>
      </w:r>
      <w:r w:rsidRPr="000F7A4B">
        <w:rPr>
          <w:sz w:val="16"/>
        </w:rPr>
        <w:t xml:space="preserve">. For example, economists use revealed preferences to determine how a home’s individual characteristics (e.g., number of bedrooms and proximity to public transportation) affect its price or how the aspects of an occupation (e.g., travel requirements and risk of personal injury) affect its average wage. OMB recommends that, to the extent possible, agencies rely on revealed preference methods when estimating costs and benefits, as these methods are well grounded in economic theory and can provide accurate and reliable estimates.45 </w:t>
      </w:r>
      <w:r w:rsidRPr="000F7A4B">
        <w:rPr>
          <w:rFonts w:ascii="Segoe UI Symbol" w:hAnsi="Segoe UI Symbol" w:cs="Segoe UI Symbol"/>
          <w:sz w:val="16"/>
        </w:rPr>
        <w:t>◗</w:t>
      </w:r>
      <w:r w:rsidRPr="000F7A4B">
        <w:rPr>
          <w:sz w:val="16"/>
        </w:rPr>
        <w:t xml:space="preserve"> </w:t>
      </w:r>
      <w:r w:rsidRPr="00D407BC">
        <w:rPr>
          <w:rStyle w:val="Emphasis"/>
        </w:rPr>
        <w:t>Stated preference methods</w:t>
      </w:r>
      <w:r w:rsidRPr="000F7A4B">
        <w:rPr>
          <w:rStyle w:val="StyleUnderline"/>
        </w:rPr>
        <w:t xml:space="preserve"> are a means of assigning value to a good or service by asking people directly how much they value it</w:t>
      </w:r>
      <w:r w:rsidRPr="000F7A4B">
        <w:rPr>
          <w:sz w:val="16"/>
        </w:rPr>
        <w:t xml:space="preserve">. Although typically not as reliable as revealed preference methods, stated preference methods can be used in cases where determining values using actual market data is not possible. The distinguishing feature of these methods is the use of surveys that employ hypothetical questions about the respondents’ willingness to pay to protect, preserve or obtain certain resources, goods or services.46 The agency uses the responses to these questions to estimate the costs and benefits of a proposed regulation. The design of these surveys is critical to ensuring that they produce reliable estimates. For example, the good or service being evaluated must be clearly explained, respondents must be presented with realistic budgetary constraints, and questions should be designed to probe beyond the “warm glow” effect and focus on the respondents’ actual economic valuation of the good or service.47 </w:t>
      </w:r>
      <w:r w:rsidRPr="000F7A4B">
        <w:rPr>
          <w:rFonts w:ascii="Segoe UI Symbol" w:hAnsi="Segoe UI Symbol" w:cs="Segoe UI Symbol"/>
          <w:sz w:val="16"/>
        </w:rPr>
        <w:t>◗</w:t>
      </w:r>
      <w:r w:rsidRPr="000F7A4B">
        <w:rPr>
          <w:sz w:val="16"/>
        </w:rPr>
        <w:t xml:space="preserve"> </w:t>
      </w:r>
      <w:r w:rsidRPr="00D407BC">
        <w:rPr>
          <w:rStyle w:val="Emphasis"/>
        </w:rPr>
        <w:t>Benefit transfer methods</w:t>
      </w:r>
      <w:r w:rsidRPr="000F7A4B">
        <w:rPr>
          <w:rStyle w:val="StyleUnderline"/>
        </w:rPr>
        <w:t xml:space="preserve"> estimate economic values for goods or services by identifying information on costs and benefits available from</w:t>
      </w:r>
      <w:r w:rsidRPr="000F7A4B">
        <w:rPr>
          <w:sz w:val="16"/>
        </w:rPr>
        <w:t xml:space="preserve"> one or more indirectly related </w:t>
      </w:r>
      <w:r w:rsidRPr="000F7A4B">
        <w:rPr>
          <w:rStyle w:val="StyleUnderline"/>
        </w:rPr>
        <w:t>studies performed in a different location or context and transferring the results to the rule in question.</w:t>
      </w:r>
      <w:r w:rsidRPr="000F7A4B">
        <w:rPr>
          <w:sz w:val="16"/>
        </w:rPr>
        <w:t xml:space="preserve"> Agencies may elect to use a benefit transfer method if they do not have the time or resources necessary to conduct a revealed preference or stated preference study. For example, an agency might use a study that estimates the economic value of a recreation area and apply it to another recreation area with similar attributes. Benefit transfer methods are typically less expensive than conducting a revealed preference or stated preference study, but they are also prone to greater uncertainty.48 As a result, OMB discourages agencies from using benefit transfer methods without explicitly justifying the choice and encourages agencies to use them only as a last resort.49 Given that agencies publish thousands of new rules each year — including dozens of major rules expected to significantly affect the economy — the business community has increasingly raised concerns about the cumulative cost of federal regulation and the burden this cost imposes on businesses and the U.S. economy. Business Roundtable 10 In part to respond to these concerns, OIRA published guidance in 2012 encouraging agencies to consider the cumulative effects of new and existing rules.50 Specifically, OIRA directs agencies to carefully consider the relationship between new and existing regulations when conducting CBAs of proposed rules and also to consider the cumulative effect of regulation as part of the retrospective review process.51 Additional information related to the cumulative regulatory burden and the role of retrospective review is discussed in “Use of CBA To Inform, Rather Than Justify, Proposed Rules” on page 26. Additionally</w:t>
      </w:r>
      <w:r w:rsidRPr="000F7A4B">
        <w:rPr>
          <w:rStyle w:val="StyleUnderline"/>
        </w:rPr>
        <w:t xml:space="preserve">, when estimating costs and benefits, </w:t>
      </w:r>
      <w:r w:rsidRPr="00D407BC">
        <w:rPr>
          <w:rStyle w:val="Emphasis"/>
        </w:rPr>
        <w:t>agencies</w:t>
      </w:r>
      <w:r w:rsidRPr="000F7A4B">
        <w:rPr>
          <w:sz w:val="16"/>
        </w:rPr>
        <w:t xml:space="preserve"> are directed by OMB to </w:t>
      </w:r>
      <w:r w:rsidRPr="00D407BC">
        <w:rPr>
          <w:rStyle w:val="Emphasis"/>
        </w:rPr>
        <w:t>look beyond the direct costs and benefits</w:t>
      </w:r>
      <w:r w:rsidRPr="000F7A4B">
        <w:rPr>
          <w:sz w:val="16"/>
        </w:rPr>
        <w:t xml:space="preserve"> of a rule </w:t>
      </w:r>
      <w:r w:rsidRPr="000F7A4B">
        <w:rPr>
          <w:rStyle w:val="StyleUnderline"/>
        </w:rPr>
        <w:t xml:space="preserve">and consider </w:t>
      </w:r>
      <w:r w:rsidRPr="00D407BC">
        <w:rPr>
          <w:rStyle w:val="Emphasis"/>
        </w:rPr>
        <w:t>other positive and negative impacts</w:t>
      </w:r>
      <w:r w:rsidRPr="000F7A4B">
        <w:rPr>
          <w:sz w:val="16"/>
        </w:rPr>
        <w:t xml:space="preserve"> — termed “ancillary benefits” (or co-benefits) and “countervailing risks” — </w:t>
      </w:r>
      <w:r w:rsidRPr="000F7A4B">
        <w:rPr>
          <w:rStyle w:val="StyleUnderline"/>
        </w:rPr>
        <w:t xml:space="preserve">that are </w:t>
      </w:r>
      <w:r w:rsidRPr="00D407BC">
        <w:rPr>
          <w:rStyle w:val="Emphasis"/>
        </w:rPr>
        <w:t>indirect consequences</w:t>
      </w:r>
      <w:r w:rsidRPr="000F7A4B">
        <w:rPr>
          <w:sz w:val="16"/>
        </w:rPr>
        <w:t xml:space="preserve"> of the proposed rule.52 An ancillary benefit is a favorable impact that is secondary to the rule’s purpose (e.g., reduced refinery emissions due to more stringent automobile fuel economy standards), while a countervailing risk is an adverse economic, health, safety or environmental consequence that occurs as an indirect result of the rule (e.g., adverse safety impacts that could result from more stringent fuel economy standards).53 </w:t>
      </w:r>
      <w:r w:rsidRPr="000F7A4B">
        <w:rPr>
          <w:rStyle w:val="StyleUnderline"/>
        </w:rPr>
        <w:t xml:space="preserve">These indirect impacts </w:t>
      </w:r>
      <w:r w:rsidRPr="00D407BC">
        <w:rPr>
          <w:rStyle w:val="Emphasis"/>
        </w:rPr>
        <w:t>can have a substantial effect on the rule’s</w:t>
      </w:r>
      <w:r w:rsidRPr="000F7A4B">
        <w:rPr>
          <w:sz w:val="16"/>
        </w:rPr>
        <w:t xml:space="preserve"> estimated net </w:t>
      </w:r>
      <w:r w:rsidRPr="00D407BC">
        <w:rPr>
          <w:rStyle w:val="Emphasis"/>
        </w:rPr>
        <w:t>benefits</w:t>
      </w:r>
      <w:r w:rsidRPr="000F7A4B">
        <w:rPr>
          <w:sz w:val="16"/>
        </w:rPr>
        <w:t xml:space="preserve">. Indeed, </w:t>
      </w:r>
      <w:r w:rsidRPr="000F7A4B">
        <w:rPr>
          <w:rStyle w:val="StyleUnderline"/>
        </w:rPr>
        <w:t>for some</w:t>
      </w:r>
      <w:r w:rsidRPr="000F7A4B">
        <w:rPr>
          <w:sz w:val="16"/>
        </w:rPr>
        <w:t xml:space="preserve"> major </w:t>
      </w:r>
      <w:r w:rsidRPr="000F7A4B">
        <w:rPr>
          <w:rStyle w:val="StyleUnderline"/>
        </w:rPr>
        <w:t>rules</w:t>
      </w:r>
      <w:r w:rsidRPr="000F7A4B">
        <w:rPr>
          <w:sz w:val="16"/>
        </w:rPr>
        <w:t xml:space="preserve"> — </w:t>
      </w:r>
      <w:r w:rsidRPr="00D407BC">
        <w:rPr>
          <w:rStyle w:val="Emphasis"/>
        </w:rPr>
        <w:t>particularly EPA rules</w:t>
      </w:r>
      <w:r w:rsidRPr="000F7A4B">
        <w:rPr>
          <w:sz w:val="16"/>
        </w:rPr>
        <w:t xml:space="preserve"> intended to improve air quality — </w:t>
      </w:r>
      <w:r w:rsidRPr="000F7A4B">
        <w:rPr>
          <w:rStyle w:val="StyleUnderline"/>
        </w:rPr>
        <w:t>ancillary benefits constitute a significant majority of expected benefits</w:t>
      </w:r>
      <w:r w:rsidRPr="000F7A4B">
        <w:rPr>
          <w:sz w:val="16"/>
        </w:rPr>
        <w:t>. The extent to which EPA and other agencies rely on ancillary benefits to justify major rules is discussed in more detail on page 18.</w:t>
      </w:r>
    </w:p>
    <w:p w14:paraId="69BB556E" w14:textId="77777777" w:rsidR="00AC21B6" w:rsidRDefault="00AC21B6" w:rsidP="00AC21B6">
      <w:pPr>
        <w:pStyle w:val="Heading4"/>
      </w:pPr>
      <w:r>
        <w:lastRenderedPageBreak/>
        <w:t>Environmentalist “opponents” of CBA still use CBA for issues they think will help their movements – tons of exterior motives and easy routes for circumvention</w:t>
      </w:r>
    </w:p>
    <w:p w14:paraId="52C94569" w14:textId="77777777" w:rsidR="00AC21B6" w:rsidRPr="00E2200F" w:rsidRDefault="00AC21B6" w:rsidP="00AC21B6">
      <w:r w:rsidRPr="00D407BC">
        <w:rPr>
          <w:rStyle w:val="Style13ptBold"/>
        </w:rPr>
        <w:t>Meinick 90 –</w:t>
      </w:r>
      <w:r>
        <w:t xml:space="preserve"> (</w:t>
      </w:r>
      <w:r w:rsidRPr="00D407BC">
        <w:t>R. Shep Meinick is associate professor of politics at Brandeis University and a member of the associated staff of the Brookings Institution.</w:t>
      </w:r>
      <w:r>
        <w:t xml:space="preserve"> “Valuing Health Risks, Costs, and Benefits for Environmental Decision Making: Report of a Conference.”, National Academy of Sciences, 1990, </w:t>
      </w:r>
      <w:hyperlink r:id="rId15" w:history="1">
        <w:r w:rsidRPr="005E0903">
          <w:rPr>
            <w:rStyle w:val="Hyperlink"/>
          </w:rPr>
          <w:t>https://www.ncbi.nlm.nih.gov/books/NBK235528/</w:t>
        </w:r>
      </w:hyperlink>
      <w:r>
        <w:t>, sj)</w:t>
      </w:r>
    </w:p>
    <w:p w14:paraId="0E78AEEE" w14:textId="77777777" w:rsidR="00AC21B6" w:rsidRPr="00E2200F" w:rsidRDefault="00AC21B6" w:rsidP="00AC21B6">
      <w:pPr>
        <w:rPr>
          <w:sz w:val="16"/>
        </w:rPr>
      </w:pPr>
      <w:r w:rsidRPr="00E2200F">
        <w:rPr>
          <w:sz w:val="16"/>
        </w:rPr>
        <w:t xml:space="preserve">Leaders of </w:t>
      </w:r>
      <w:r w:rsidRPr="00E2200F">
        <w:rPr>
          <w:rStyle w:val="StyleUnderline"/>
        </w:rPr>
        <w:t>environmental groups are</w:t>
      </w:r>
      <w:r w:rsidRPr="00E2200F">
        <w:rPr>
          <w:sz w:val="16"/>
        </w:rPr>
        <w:t xml:space="preserve"> clearly among </w:t>
      </w:r>
      <w:r w:rsidRPr="00E2200F">
        <w:rPr>
          <w:rStyle w:val="StyleUnderline"/>
        </w:rPr>
        <w:t>the most vociferous opponents of benefit-cost analysi</w:t>
      </w:r>
      <w:r w:rsidRPr="00E2200F">
        <w:rPr>
          <w:sz w:val="16"/>
        </w:rPr>
        <w:t xml:space="preserve">s. Because these groups have, to a remarkable extent, retained their influence despite the "Reagan Revolution," their views count. Yet </w:t>
      </w:r>
      <w:r w:rsidRPr="00E2200F">
        <w:rPr>
          <w:rStyle w:val="StyleUnderline"/>
        </w:rPr>
        <w:t>understanding the nature of their opposition is not</w:t>
      </w:r>
      <w:r w:rsidRPr="00E2200F">
        <w:rPr>
          <w:sz w:val="16"/>
        </w:rPr>
        <w:t xml:space="preserve"> always </w:t>
      </w:r>
      <w:r w:rsidRPr="00E2200F">
        <w:rPr>
          <w:rStyle w:val="StyleUnderline"/>
        </w:rPr>
        <w:t>easy</w:t>
      </w:r>
      <w:r w:rsidRPr="00E2200F">
        <w:rPr>
          <w:sz w:val="16"/>
        </w:rPr>
        <w:t xml:space="preserve">. </w:t>
      </w:r>
      <w:r w:rsidRPr="00047BAD">
        <w:rPr>
          <w:rStyle w:val="Emphasis"/>
        </w:rPr>
        <w:t>Environmentalists do not distrust all forms of economic analysis</w:t>
      </w:r>
      <w:r w:rsidRPr="00E2200F">
        <w:rPr>
          <w:rStyle w:val="StyleUnderline"/>
        </w:rPr>
        <w:t>: they</w:t>
      </w:r>
      <w:r w:rsidRPr="00E2200F">
        <w:rPr>
          <w:sz w:val="16"/>
        </w:rPr>
        <w:t xml:space="preserve"> have </w:t>
      </w:r>
      <w:r w:rsidRPr="00E2200F">
        <w:rPr>
          <w:rStyle w:val="StyleUnderline"/>
        </w:rPr>
        <w:t>supported</w:t>
      </w:r>
      <w:r w:rsidRPr="00E2200F">
        <w:rPr>
          <w:sz w:val="16"/>
        </w:rPr>
        <w:t xml:space="preserve"> the use of </w:t>
      </w:r>
      <w:r w:rsidRPr="00E2200F">
        <w:rPr>
          <w:rStyle w:val="StyleUnderline"/>
        </w:rPr>
        <w:t xml:space="preserve">benefit-cost analysis for </w:t>
      </w:r>
      <w:r w:rsidRPr="00047BAD">
        <w:rPr>
          <w:rStyle w:val="Emphasis"/>
        </w:rPr>
        <w:t>water projects and timber sales</w:t>
      </w:r>
      <w:r w:rsidRPr="00E2200F">
        <w:rPr>
          <w:rStyle w:val="StyleUnderline"/>
        </w:rPr>
        <w:t>, as well as</w:t>
      </w:r>
      <w:r w:rsidRPr="00E2200F">
        <w:rPr>
          <w:sz w:val="16"/>
        </w:rPr>
        <w:t xml:space="preserve"> the application of marginal </w:t>
      </w:r>
      <w:r w:rsidRPr="00E2200F">
        <w:rPr>
          <w:rStyle w:val="StyleUnderline"/>
        </w:rPr>
        <w:t>cost pricing to electricity</w:t>
      </w:r>
      <w:r w:rsidRPr="00E2200F">
        <w:rPr>
          <w:sz w:val="16"/>
        </w:rPr>
        <w:t xml:space="preserve">. </w:t>
      </w:r>
      <w:r w:rsidRPr="00E2200F">
        <w:rPr>
          <w:rStyle w:val="StyleUnderline"/>
        </w:rPr>
        <w:t>Still</w:t>
      </w:r>
      <w:r w:rsidRPr="00E2200F">
        <w:rPr>
          <w:sz w:val="16"/>
        </w:rPr>
        <w:t xml:space="preserve">, in most other areas, </w:t>
      </w:r>
      <w:r w:rsidRPr="00E2200F">
        <w:rPr>
          <w:rStyle w:val="StyleUnderline"/>
        </w:rPr>
        <w:t>environmentalists have claimed that benefit-cost analysis inevitably underestimates</w:t>
      </w:r>
      <w:r w:rsidRPr="00E2200F">
        <w:rPr>
          <w:sz w:val="16"/>
        </w:rPr>
        <w:t xml:space="preserve"> the </w:t>
      </w:r>
      <w:r w:rsidRPr="00E2200F">
        <w:rPr>
          <w:rStyle w:val="StyleUnderline"/>
        </w:rPr>
        <w:t>environmental benefits and overstates the economic costs</w:t>
      </w:r>
      <w:r w:rsidRPr="00E2200F">
        <w:rPr>
          <w:sz w:val="16"/>
        </w:rPr>
        <w:t xml:space="preserve"> of a policy. One must ask </w:t>
      </w:r>
      <w:r w:rsidRPr="00047BAD">
        <w:rPr>
          <w:rStyle w:val="Emphasis"/>
        </w:rPr>
        <w:t>why, if these mistakes are so clear, environmentalists do not seek to correct them rather than to reject all efforts</w:t>
      </w:r>
      <w:r w:rsidRPr="00E2200F">
        <w:rPr>
          <w:sz w:val="16"/>
        </w:rPr>
        <w:t xml:space="preserve"> to compare costs and risks. There are several plausible explanations for their behavior. First and most obviously, </w:t>
      </w:r>
      <w:r w:rsidRPr="00E2200F">
        <w:rPr>
          <w:rStyle w:val="StyleUnderline"/>
        </w:rPr>
        <w:t>environmental leaders need to maintain the viability of their organizations</w:t>
      </w:r>
      <w:r w:rsidRPr="00E2200F">
        <w:rPr>
          <w:sz w:val="16"/>
        </w:rPr>
        <w:t>. Voluntary organizations, especially those depending on contributions raised through direct mail solicitation, must make simple moral appeals to their constituents. "</w:t>
      </w:r>
      <w:r w:rsidRPr="00047BAD">
        <w:rPr>
          <w:rStyle w:val="Emphasis"/>
        </w:rPr>
        <w:t>Polluters are killing people</w:t>
      </w:r>
      <w:r w:rsidRPr="00E2200F">
        <w:rPr>
          <w:rStyle w:val="StyleUnderline"/>
        </w:rPr>
        <w:t xml:space="preserve"> and we must make them stop" </w:t>
      </w:r>
      <w:r w:rsidRPr="00047BAD">
        <w:rPr>
          <w:rStyle w:val="Emphasis"/>
        </w:rPr>
        <w:t>has much more pizzazz than</w:t>
      </w:r>
      <w:r w:rsidRPr="00E2200F">
        <w:rPr>
          <w:rStyle w:val="StyleUnderline"/>
        </w:rPr>
        <w:t xml:space="preserve"> "</w:t>
      </w:r>
      <w:r w:rsidRPr="00047BAD">
        <w:rPr>
          <w:rStyle w:val="Emphasis"/>
        </w:rPr>
        <w:t>let's raise the cost-per-life-saved from $1 million to $2 million</w:t>
      </w:r>
      <w:r w:rsidRPr="00E2200F">
        <w:rPr>
          <w:rStyle w:val="StyleUnderline"/>
        </w:rPr>
        <w:t>."</w:t>
      </w:r>
      <w:r w:rsidRPr="00E2200F">
        <w:rPr>
          <w:sz w:val="16"/>
        </w:rPr>
        <w:t xml:space="preserve"> No one wants to abandon the high moral ground. Moreover, as noted earlier, unmet standards provide opportunities for further crusades and lawsuits. Second, the </w:t>
      </w:r>
      <w:r w:rsidRPr="00E2200F">
        <w:rPr>
          <w:rStyle w:val="StyleUnderline"/>
        </w:rPr>
        <w:t>environmental groups that are most active at the national leve</w:t>
      </w:r>
      <w:r w:rsidRPr="00E2200F">
        <w:rPr>
          <w:sz w:val="16"/>
        </w:rPr>
        <w:t>l—especially the Natural Resources Defense Council, the Environmental Defense Fund, and the Sierra Club—</w:t>
      </w:r>
      <w:r w:rsidRPr="00E2200F">
        <w:rPr>
          <w:rStyle w:val="StyleUnderline"/>
        </w:rPr>
        <w:t>have more influence during the legislation-writing and standard-setting phases of regulation and less influence in enforcement oversight</w:t>
      </w:r>
      <w:r w:rsidRPr="00E2200F">
        <w:rPr>
          <w:sz w:val="16"/>
        </w:rPr>
        <w:t xml:space="preserve">. In addition, they view their information-gathering resources as vastly inferior to those of the business community. Their failure to take an absolutist position in rule-making, they fear, will allow their opponents to overwhelm them with one-sided information. Environmental groups that are convinced they are both seriously outnumbered and (to use Michael Pertschuk's phrase) "on the side of the angels" will tend to use every available political resource. The leaders of environmental groups, after all, are advocates. </w:t>
      </w:r>
      <w:r w:rsidRPr="00047BAD">
        <w:rPr>
          <w:rStyle w:val="Emphasis"/>
        </w:rPr>
        <w:t>They push as hard as they can because they know their opponents will do the same</w:t>
      </w:r>
      <w:r w:rsidRPr="00E2200F">
        <w:rPr>
          <w:sz w:val="16"/>
        </w:rPr>
        <w:t xml:space="preserve">. Third, </w:t>
      </w:r>
      <w:r w:rsidRPr="00E2200F">
        <w:rPr>
          <w:rStyle w:val="StyleUnderline"/>
        </w:rPr>
        <w:t>for environmental groups the indirect consequences of some rules are more important than their direct effects</w:t>
      </w:r>
      <w:r w:rsidRPr="00E2200F">
        <w:rPr>
          <w:sz w:val="16"/>
        </w:rPr>
        <w:t xml:space="preserve">. For example, </w:t>
      </w:r>
      <w:r w:rsidRPr="00E2200F">
        <w:rPr>
          <w:rStyle w:val="StyleUnderline"/>
        </w:rPr>
        <w:t>environmentalists pushed transportation</w:t>
      </w:r>
      <w:r w:rsidRPr="00E2200F">
        <w:rPr>
          <w:sz w:val="16"/>
        </w:rPr>
        <w:t xml:space="preserve"> </w:t>
      </w:r>
      <w:r w:rsidRPr="00E2200F">
        <w:rPr>
          <w:rStyle w:val="StyleUnderline"/>
        </w:rPr>
        <w:t>control</w:t>
      </w:r>
      <w:r w:rsidRPr="00E2200F">
        <w:rPr>
          <w:sz w:val="16"/>
        </w:rPr>
        <w:t xml:space="preserve"> plans </w:t>
      </w:r>
      <w:r w:rsidRPr="00E2200F">
        <w:rPr>
          <w:rStyle w:val="StyleUnderline"/>
        </w:rPr>
        <w:t>in</w:t>
      </w:r>
      <w:r w:rsidRPr="00E2200F">
        <w:rPr>
          <w:sz w:val="16"/>
        </w:rPr>
        <w:t xml:space="preserve"> </w:t>
      </w:r>
      <w:r w:rsidRPr="00E2200F">
        <w:rPr>
          <w:rStyle w:val="StyleUnderline"/>
        </w:rPr>
        <w:t>the</w:t>
      </w:r>
      <w:r w:rsidRPr="00E2200F">
        <w:rPr>
          <w:sz w:val="16"/>
        </w:rPr>
        <w:t xml:space="preserve"> early </w:t>
      </w:r>
      <w:r w:rsidRPr="00E2200F">
        <w:rPr>
          <w:rStyle w:val="StyleUnderline"/>
        </w:rPr>
        <w:t>1970s</w:t>
      </w:r>
      <w:r w:rsidRPr="00E2200F">
        <w:rPr>
          <w:sz w:val="16"/>
        </w:rPr>
        <w:t xml:space="preserve"> </w:t>
      </w:r>
      <w:r w:rsidRPr="00E2200F">
        <w:rPr>
          <w:rStyle w:val="StyleUnderline"/>
        </w:rPr>
        <w:t>because they wanted to restructure</w:t>
      </w:r>
      <w:r w:rsidRPr="00E2200F">
        <w:rPr>
          <w:sz w:val="16"/>
        </w:rPr>
        <w:t xml:space="preserve"> the </w:t>
      </w:r>
      <w:r w:rsidRPr="00E2200F">
        <w:rPr>
          <w:rStyle w:val="StyleUnderline"/>
        </w:rPr>
        <w:t>transportation systems</w:t>
      </w:r>
      <w:r w:rsidRPr="00E2200F">
        <w:rPr>
          <w:sz w:val="16"/>
        </w:rPr>
        <w:t xml:space="preserve"> of major cities, </w:t>
      </w:r>
      <w:r w:rsidRPr="00E2200F">
        <w:rPr>
          <w:rStyle w:val="StyleUnderline"/>
        </w:rPr>
        <w:t>not because they believed that ozone</w:t>
      </w:r>
      <w:r w:rsidRPr="00E2200F">
        <w:rPr>
          <w:sz w:val="16"/>
        </w:rPr>
        <w:t xml:space="preserve"> </w:t>
      </w:r>
      <w:r w:rsidRPr="00E2200F">
        <w:rPr>
          <w:rStyle w:val="StyleUnderline"/>
        </w:rPr>
        <w:t>constituted a monumental health threat.</w:t>
      </w:r>
      <w:r w:rsidRPr="00E2200F">
        <w:rPr>
          <w:sz w:val="16"/>
        </w:rPr>
        <w:t xml:space="preserve"> Similarly, they viewed EPA's prevention of significant deterioration (PSD) regulations as a way to regulate land use and not just pollution (Melnick, 1983:Chaps. 4 and 9). The political allies of </w:t>
      </w:r>
      <w:r w:rsidRPr="00E2200F">
        <w:rPr>
          <w:rStyle w:val="StyleUnderline"/>
        </w:rPr>
        <w:t>environmental groups</w:t>
      </w:r>
      <w:r w:rsidRPr="00E2200F">
        <w:rPr>
          <w:sz w:val="16"/>
        </w:rPr>
        <w:t xml:space="preserve"> also </w:t>
      </w:r>
      <w:r w:rsidRPr="00E2200F">
        <w:rPr>
          <w:rStyle w:val="StyleUnderline"/>
        </w:rPr>
        <w:t>have hidden agendas</w:t>
      </w:r>
      <w:r w:rsidRPr="00E2200F">
        <w:rPr>
          <w:sz w:val="16"/>
        </w:rPr>
        <w:t xml:space="preserve">. Eastern coal producers backed the "percentage reduction" requirement for coal-burning power plants for protectionist reasons (Ackerman and Hassler, 1982). According to Bernard Frieden (1979:5), in California, "[r]esistance to growth...turned into general hostility toward homebuilding for the average family, using the rhetoric of environmental protection in order to look after the narrow interests of people who got to the suburbs first." </w:t>
      </w:r>
      <w:r w:rsidRPr="00047BAD">
        <w:rPr>
          <w:rStyle w:val="Emphasis"/>
        </w:rPr>
        <w:t>The rhetoric of environmental protection</w:t>
      </w:r>
      <w:r w:rsidRPr="00E2200F">
        <w:rPr>
          <w:rStyle w:val="StyleUnderline"/>
        </w:rPr>
        <w:t xml:space="preserve">—especially </w:t>
      </w:r>
      <w:r w:rsidRPr="00047BAD">
        <w:rPr>
          <w:rStyle w:val="Emphasis"/>
        </w:rPr>
        <w:t>when it is freed from</w:t>
      </w:r>
      <w:r w:rsidRPr="00E2200F">
        <w:rPr>
          <w:sz w:val="16"/>
        </w:rPr>
        <w:t xml:space="preserve"> the need to answer </w:t>
      </w:r>
      <w:r w:rsidRPr="00E2200F">
        <w:rPr>
          <w:rStyle w:val="StyleUnderline"/>
        </w:rPr>
        <w:t>such</w:t>
      </w:r>
      <w:r w:rsidRPr="00E2200F">
        <w:rPr>
          <w:sz w:val="16"/>
        </w:rPr>
        <w:t xml:space="preserve"> </w:t>
      </w:r>
      <w:r w:rsidRPr="00047BAD">
        <w:rPr>
          <w:rStyle w:val="Emphasis"/>
        </w:rPr>
        <w:t xml:space="preserve">questions as how much something will cost and who will pay for it—-can serve many </w:t>
      </w:r>
      <w:r w:rsidRPr="00047BAD">
        <w:rPr>
          <w:rStyle w:val="Emphasis"/>
        </w:rPr>
        <w:lastRenderedPageBreak/>
        <w:t>masters.</w:t>
      </w:r>
      <w:r w:rsidRPr="00E2200F">
        <w:rPr>
          <w:sz w:val="16"/>
        </w:rPr>
        <w:t xml:space="preserve"> Finally, </w:t>
      </w:r>
      <w:r w:rsidRPr="00047BAD">
        <w:rPr>
          <w:rStyle w:val="Emphasis"/>
        </w:rPr>
        <w:t>environmentalists seek not</w:t>
      </w:r>
      <w:r w:rsidRPr="00E2200F">
        <w:rPr>
          <w:sz w:val="16"/>
        </w:rPr>
        <w:t xml:space="preserve"> just </w:t>
      </w:r>
      <w:r w:rsidRPr="00047BAD">
        <w:rPr>
          <w:rStyle w:val="Emphasis"/>
        </w:rPr>
        <w:t>to lower pollution levels but to raise public consciousness</w:t>
      </w:r>
      <w:r w:rsidRPr="00E2200F">
        <w:rPr>
          <w:rStyle w:val="StyleUnderline"/>
        </w:rPr>
        <w:t>.</w:t>
      </w:r>
      <w:r w:rsidRPr="00E2200F">
        <w:rPr>
          <w:sz w:val="16"/>
        </w:rPr>
        <w:t xml:space="preserve"> Once the moral juices are drained from the debate, this job becomes impossible to perform. Similar concerns lie behind labor unions' insistence on strict occupational and health rules. According to John Mendeloff, [t]he frequency with which health and safety topics are discussed in union newspapers suggests that they are good political issues for union leaders. More than most issues, they help mobilize a sense of class conflict—of "us" against "them." For this purpose, it helps to draw the lines sharply: unions want the "lowest feasible limit" while the companies want to sacrifice lives for profit. (p. 160) </w:t>
      </w:r>
      <w:r w:rsidRPr="00E2200F">
        <w:rPr>
          <w:rStyle w:val="StyleUnderline"/>
        </w:rPr>
        <w:t>For</w:t>
      </w:r>
      <w:r w:rsidRPr="00E2200F">
        <w:rPr>
          <w:sz w:val="16"/>
        </w:rPr>
        <w:t xml:space="preserve"> some members of </w:t>
      </w:r>
      <w:r w:rsidRPr="00E2200F">
        <w:rPr>
          <w:rStyle w:val="StyleUnderline"/>
        </w:rPr>
        <w:t>the</w:t>
      </w:r>
      <w:r w:rsidRPr="00E2200F">
        <w:rPr>
          <w:sz w:val="16"/>
        </w:rPr>
        <w:t xml:space="preserve"> </w:t>
      </w:r>
      <w:r w:rsidRPr="00E2200F">
        <w:rPr>
          <w:rStyle w:val="StyleUnderline"/>
        </w:rPr>
        <w:t>environmental movement</w:t>
      </w:r>
      <w:r w:rsidRPr="00E2200F">
        <w:rPr>
          <w:sz w:val="16"/>
        </w:rPr>
        <w:t xml:space="preserve">, </w:t>
      </w:r>
      <w:r w:rsidRPr="00E2200F">
        <w:rPr>
          <w:rStyle w:val="StyleUnderline"/>
        </w:rPr>
        <w:t>raising public consciousness</w:t>
      </w:r>
      <w:r w:rsidRPr="00E2200F">
        <w:rPr>
          <w:sz w:val="16"/>
        </w:rPr>
        <w:t xml:space="preserve"> also </w:t>
      </w:r>
      <w:r w:rsidRPr="00E2200F">
        <w:rPr>
          <w:rStyle w:val="StyleUnderline"/>
        </w:rPr>
        <w:t>means calling</w:t>
      </w:r>
      <w:r w:rsidRPr="00E2200F">
        <w:rPr>
          <w:sz w:val="16"/>
        </w:rPr>
        <w:t xml:space="preserve"> </w:t>
      </w:r>
      <w:r w:rsidRPr="00E2200F">
        <w:rPr>
          <w:rStyle w:val="StyleUnderline"/>
        </w:rPr>
        <w:t>into question existing political and economic structures.</w:t>
      </w:r>
      <w:r w:rsidRPr="00E2200F">
        <w:rPr>
          <w:sz w:val="16"/>
        </w:rPr>
        <w:t xml:space="preserve"> For them, benefit-cost analysis "legitimizes" not only a level of pollution but also the profit-making system that produces it. The number of people who consider themselves environmentalists is quite large, and those who are active in environmental organizations are a varied lot. The environmental "movement" ranges from traditional conservationists to the radical "sectarians" descried by Douglas and Wildavsky (1982). </w:t>
      </w:r>
      <w:r w:rsidRPr="00E2200F">
        <w:rPr>
          <w:rStyle w:val="StyleUnderline"/>
        </w:rPr>
        <w:t xml:space="preserve">The issue of </w:t>
      </w:r>
      <w:r w:rsidRPr="00047BAD">
        <w:rPr>
          <w:rStyle w:val="Emphasis"/>
        </w:rPr>
        <w:t>benefit-cost analysis may eventually separate those whose chief interests are health</w:t>
      </w:r>
      <w:r w:rsidRPr="00E2200F">
        <w:rPr>
          <w:rStyle w:val="StyleUnderline"/>
        </w:rPr>
        <w:t xml:space="preserve">, safety, and prudent use of natural resources </w:t>
      </w:r>
      <w:r w:rsidRPr="00047BAD">
        <w:rPr>
          <w:rStyle w:val="Emphasis"/>
        </w:rPr>
        <w:t>from those with a much broader political agenda</w:t>
      </w:r>
      <w:r w:rsidRPr="00E2200F">
        <w:rPr>
          <w:sz w:val="16"/>
        </w:rPr>
        <w:t>.</w:t>
      </w:r>
    </w:p>
    <w:p w14:paraId="46DB9583" w14:textId="77777777" w:rsidR="00AC21B6" w:rsidRPr="00D407BC" w:rsidRDefault="00AC21B6" w:rsidP="00AC21B6">
      <w:pPr>
        <w:pStyle w:val="Heading4"/>
      </w:pPr>
      <w:r>
        <w:t xml:space="preserve">Rejecting CBA downright is logistically irresponsible – it’s nearly impossible to defend nature/health </w:t>
      </w:r>
      <w:r>
        <w:rPr>
          <w:i/>
          <w:iCs/>
          <w:u w:val="single"/>
        </w:rPr>
        <w:t>only</w:t>
      </w:r>
      <w:r>
        <w:t xml:space="preserve"> rhetoric</w:t>
      </w:r>
    </w:p>
    <w:p w14:paraId="71038D24" w14:textId="77777777" w:rsidR="00AC21B6" w:rsidRPr="00D407BC" w:rsidRDefault="00AC21B6" w:rsidP="00AC21B6">
      <w:r w:rsidRPr="00D407BC">
        <w:rPr>
          <w:rStyle w:val="Style13ptBold"/>
        </w:rPr>
        <w:t>Meinick 90 –</w:t>
      </w:r>
      <w:r>
        <w:t xml:space="preserve"> (</w:t>
      </w:r>
      <w:r w:rsidRPr="00D407BC">
        <w:t>R. Shep Meinick is associate professor of politics at Brandeis University and a member of the associated staff of the Brookings Institution.</w:t>
      </w:r>
      <w:r>
        <w:t xml:space="preserve"> “Valuing Health Risks, Costs, and Benefits for Environmental Decision Making: Report of a Conference.”, National Academy of Sciences, 1990, </w:t>
      </w:r>
      <w:hyperlink r:id="rId16" w:history="1">
        <w:r w:rsidRPr="005E0903">
          <w:rPr>
            <w:rStyle w:val="Hyperlink"/>
          </w:rPr>
          <w:t>https://www.ncbi.nlm.nih.gov/books/NBK235528/</w:t>
        </w:r>
      </w:hyperlink>
      <w:r>
        <w:t>, sj)</w:t>
      </w:r>
    </w:p>
    <w:p w14:paraId="304A9404" w14:textId="77777777" w:rsidR="00AC21B6" w:rsidRPr="00D407BC" w:rsidRDefault="00AC21B6" w:rsidP="00AC21B6">
      <w:pPr>
        <w:rPr>
          <w:sz w:val="16"/>
        </w:rPr>
      </w:pPr>
      <w:r w:rsidRPr="00D407BC">
        <w:rPr>
          <w:rStyle w:val="StyleUnderline"/>
        </w:rPr>
        <w:t xml:space="preserve">It is hardly surprising that the use of </w:t>
      </w:r>
      <w:r w:rsidRPr="00047BAD">
        <w:rPr>
          <w:rStyle w:val="Emphasis"/>
        </w:rPr>
        <w:t>cost-benefit analysis</w:t>
      </w:r>
      <w:r w:rsidRPr="00D407BC">
        <w:rPr>
          <w:sz w:val="16"/>
        </w:rPr>
        <w:t xml:space="preserve">, quantitative risk assessment, and similar analytic tools </w:t>
      </w:r>
      <w:r w:rsidRPr="00D407BC">
        <w:rPr>
          <w:rStyle w:val="StyleUnderline"/>
        </w:rPr>
        <w:t xml:space="preserve">generates </w:t>
      </w:r>
      <w:r w:rsidRPr="00D407BC">
        <w:rPr>
          <w:sz w:val="16"/>
        </w:rPr>
        <w:t xml:space="preserve">substantial </w:t>
      </w:r>
      <w:r w:rsidRPr="00D407BC">
        <w:rPr>
          <w:rStyle w:val="StyleUnderline"/>
        </w:rPr>
        <w:t xml:space="preserve">political controversy </w:t>
      </w:r>
      <w:r w:rsidRPr="00D407BC">
        <w:rPr>
          <w:sz w:val="16"/>
        </w:rPr>
        <w:t xml:space="preserve">in the United States. The risks, costs, and benefits under scrutiny are usually difficult to estimate with precision. As one Environmental Protection Agency (EPA) scientist so colorfully put it, "One of the nice things about the environmental standard setting business is that you are always setting the standard at a level where the data is lousy" (quoted in Melnick, 1983:244). Moreover, </w:t>
      </w:r>
      <w:r w:rsidRPr="00D407BC">
        <w:rPr>
          <w:rStyle w:val="StyleUnderline"/>
        </w:rPr>
        <w:t>quantitative analysis frequently spotlights politically and ethically troublesome distributional issues</w:t>
      </w:r>
      <w:r w:rsidRPr="00D407BC">
        <w:rPr>
          <w:sz w:val="16"/>
        </w:rPr>
        <w:t xml:space="preserve">, issues that pit citizen against citizen, nation against nation, and even generation against generation. Sometimes the choices involved are "tragic" in that they require us to decide not just who shall live but who must die (Calabresi and Bobbitt, 1978). Such analysis, in short, is never a purely technical undertaking; </w:t>
      </w:r>
      <w:r w:rsidRPr="00D407BC">
        <w:rPr>
          <w:rStyle w:val="StyleUnderline"/>
        </w:rPr>
        <w:t xml:space="preserve">it </w:t>
      </w:r>
      <w:r w:rsidRPr="00047BAD">
        <w:rPr>
          <w:rStyle w:val="Emphasis"/>
        </w:rPr>
        <w:t>exposes rather than resolves hard political choices</w:t>
      </w:r>
      <w:r w:rsidRPr="00D407BC">
        <w:rPr>
          <w:sz w:val="16"/>
        </w:rPr>
        <w:t xml:space="preserve">. For this reason, most </w:t>
      </w:r>
      <w:r w:rsidRPr="00D407BC">
        <w:rPr>
          <w:rStyle w:val="StyleUnderline"/>
        </w:rPr>
        <w:t>practitioners insist that benefit-cost analysis is a "decision helping" rather than a "decision making'' tool</w:t>
      </w:r>
      <w:r w:rsidRPr="00D407BC">
        <w:rPr>
          <w:sz w:val="16"/>
        </w:rPr>
        <w:t xml:space="preserve">. Adding fuel to these regulatory controversies are several beliefs that are particularly strong and widely shared in the United States. This country has a strong streak of populism that equates big—whether it be business or government—with bad. Indeed, trust in both business and government decreased precipitously in the 1970s. American political culture also puts a premium on procedures that offer a wide variety of interest groups and citizens the opportunity to participate in decision making. The United States' peculiar governmental institutions—particularly its independent and energetic legislative and judicial branches—reflect and reinforce these beliefs. It is not surprising, therefore, that a number of recent studies have shown that environmental regulation is much more adversarial and contentious in the United States than in other advanced industrial democracies (Badaracco, 1985; Brickman, Jasanoff, and Ilgen, 1985; Coppock, 1985; Vogel, 1986). </w:t>
      </w:r>
      <w:r w:rsidRPr="00047BAD">
        <w:rPr>
          <w:rStyle w:val="Emphasis"/>
        </w:rPr>
        <w:t>What is startling</w:t>
      </w:r>
      <w:r w:rsidRPr="00D407BC">
        <w:rPr>
          <w:sz w:val="16"/>
        </w:rPr>
        <w:t xml:space="preserve">, however, </w:t>
      </w:r>
      <w:r w:rsidRPr="00D407BC">
        <w:rPr>
          <w:rStyle w:val="StyleUnderline"/>
        </w:rPr>
        <w:t>i</w:t>
      </w:r>
      <w:r w:rsidRPr="00047BAD">
        <w:rPr>
          <w:rStyle w:val="Emphasis"/>
        </w:rPr>
        <w:t>s</w:t>
      </w:r>
      <w:r w:rsidRPr="00D407BC">
        <w:rPr>
          <w:rStyle w:val="StyleUnderline"/>
        </w:rPr>
        <w:t xml:space="preserve"> the extent to which </w:t>
      </w:r>
      <w:r w:rsidRPr="00D407BC">
        <w:rPr>
          <w:sz w:val="16"/>
        </w:rPr>
        <w:t xml:space="preserve">many </w:t>
      </w:r>
      <w:r w:rsidRPr="00047BAD">
        <w:rPr>
          <w:rStyle w:val="Emphasis"/>
        </w:rPr>
        <w:t>key actors in</w:t>
      </w:r>
      <w:r w:rsidRPr="00D407BC">
        <w:rPr>
          <w:rStyle w:val="StyleUnderline"/>
        </w:rPr>
        <w:t xml:space="preserve"> the </w:t>
      </w:r>
      <w:r w:rsidRPr="00047BAD">
        <w:rPr>
          <w:rStyle w:val="Emphasis"/>
        </w:rPr>
        <w:t>U.S. environmental</w:t>
      </w:r>
      <w:r w:rsidRPr="00D407BC">
        <w:rPr>
          <w:rStyle w:val="StyleUnderline"/>
        </w:rPr>
        <w:t xml:space="preserve"> regulation arena </w:t>
      </w:r>
      <w:r w:rsidRPr="00047BAD">
        <w:rPr>
          <w:rStyle w:val="Emphasis"/>
        </w:rPr>
        <w:t>claim that decision makers should not even attempt to estimate, compare, or balance risks, costs, and benefits</w:t>
      </w:r>
      <w:r w:rsidRPr="00D407BC">
        <w:rPr>
          <w:sz w:val="16"/>
        </w:rPr>
        <w:t xml:space="preserve"> in making regulatory decisions. </w:t>
      </w:r>
      <w:r w:rsidRPr="00D407BC">
        <w:rPr>
          <w:rStyle w:val="StyleUnderline"/>
        </w:rPr>
        <w:t xml:space="preserve">This </w:t>
      </w:r>
      <w:r w:rsidRPr="00047BAD">
        <w:rPr>
          <w:rStyle w:val="Emphasis"/>
        </w:rPr>
        <w:t>absolutist, moralistic rhetoric</w:t>
      </w:r>
      <w:r w:rsidRPr="00D407BC">
        <w:rPr>
          <w:rStyle w:val="StyleUnderline"/>
        </w:rPr>
        <w:t xml:space="preserve"> is a uniquely American phenomenon. </w:t>
      </w:r>
      <w:r w:rsidRPr="00D407BC">
        <w:rPr>
          <w:sz w:val="16"/>
        </w:rPr>
        <w:t xml:space="preserve">Much of our public debate focuses not on such important and difficult questions as how to discount future benefits or how to estimate cancer rates but on whether it is proper (or, as some contend, sinful) to "put a price tag on human life." Consider the following examples. In 1981-1982 the Subcommittee on Environmental Protection of the Senate Committee on </w:t>
      </w:r>
      <w:r w:rsidRPr="00D407BC">
        <w:rPr>
          <w:sz w:val="16"/>
        </w:rPr>
        <w:lastRenderedPageBreak/>
        <w:t xml:space="preserve">Environment and Public Works unanimously defeated a proposal to allow EPA to consider cost in setting primary (health-based) air quality standards. It even defeated a proposal to allow EPA to consider cost in setting secondary (welfare-based) air quality standards. One senator explained that, if these proposals had passed, "[w]e would no longer consider acceptable air quality, but a standard we can afford" (Environment Reporter—Current Developments [1982] 1$1$2$391). When EPA decided to consider both cost and extent of risk in setting limits on "hazardous" air pollutants, Congressman Henry Waxman, chairman of the House subcommittee with jurisdiction over the program, castigated the agency for "writing off" endangered individuals and "reduc[ing] human lives to statistics" (Environment Reporter—Current Developments [1985]1$1$2$306). Environmental groups fought this policy in court, arguing "you can't compromise the decision to set standards with cost considerations. You cannot take into account the cost of control and use that number to argue against controlling pollutants" (Environment Reporter—Current Developments [1985]1$1$2$365) In 1981 the U.S. Supreme Court ruled that the Occupational Safety and Health Act precluded the use of benefit-cost analysis in setting "permissible emission limits" American Textile Manufacturers v. Donovan , 452 U.S. 490 [1981]). Previously, the D.C. Circuit had found that the "legislative history of the [Clean Air] Act also shows that the Administrator may not consider economic and technological feasibility in setting air quality standards" (Lead Industries Association v. EPA, 647 F.2d 1130 [1980] at 1149). The implication of each of these illustrations is that nothing should be allowed to stand in the way of reducing possible health risks—which ultimately means the reduction to zero of human exposure to pollutants linked to disease. </w:t>
      </w:r>
      <w:r w:rsidRPr="00047BAD">
        <w:rPr>
          <w:rStyle w:val="Emphasis"/>
        </w:rPr>
        <w:t>Those who oppose</w:t>
      </w:r>
      <w:r w:rsidRPr="00D407BC">
        <w:rPr>
          <w:rStyle w:val="StyleUnderline"/>
        </w:rPr>
        <w:t xml:space="preserve"> </w:t>
      </w:r>
      <w:r w:rsidRPr="00D407BC">
        <w:rPr>
          <w:sz w:val="16"/>
        </w:rPr>
        <w:t xml:space="preserve">the use of </w:t>
      </w:r>
      <w:r w:rsidRPr="00047BAD">
        <w:rPr>
          <w:rStyle w:val="Emphasis"/>
        </w:rPr>
        <w:t>benefit-cost analysis1</w:t>
      </w:r>
      <w:r w:rsidRPr="00D407BC">
        <w:rPr>
          <w:rStyle w:val="StyleUnderline"/>
        </w:rPr>
        <w:t xml:space="preserve"> </w:t>
      </w:r>
      <w:r w:rsidRPr="00D407BC">
        <w:rPr>
          <w:sz w:val="16"/>
        </w:rPr>
        <w:t xml:space="preserve">of course, </w:t>
      </w:r>
      <w:r w:rsidRPr="00047BAD">
        <w:rPr>
          <w:rStyle w:val="Emphasis"/>
        </w:rPr>
        <w:t>are seldom completely faithful to their "health-only" creed</w:t>
      </w:r>
      <w:r w:rsidRPr="00D407BC">
        <w:rPr>
          <w:rStyle w:val="StyleUnderline"/>
        </w:rPr>
        <w:t>. They talk about economic feasibility rather than cost; they countenance lax enforcement; they create exemptions for special classes of polluters; they</w:t>
      </w:r>
      <w:r w:rsidRPr="00D407BC">
        <w:rPr>
          <w:sz w:val="16"/>
        </w:rPr>
        <w:t xml:space="preserve"> encourage—indeed, sometimes even demand—</w:t>
      </w:r>
      <w:r w:rsidRPr="00D407BC">
        <w:rPr>
          <w:rStyle w:val="StyleUnderline"/>
        </w:rPr>
        <w:t>delay</w:t>
      </w:r>
      <w:r w:rsidRPr="00D407BC">
        <w:rPr>
          <w:sz w:val="16"/>
        </w:rPr>
        <w:t xml:space="preserve">, lest </w:t>
      </w:r>
      <w:r w:rsidRPr="00D407BC">
        <w:rPr>
          <w:rStyle w:val="StyleUnderline"/>
        </w:rPr>
        <w:t xml:space="preserve">the consequences of their general policy </w:t>
      </w:r>
      <w:r w:rsidRPr="00D407BC">
        <w:rPr>
          <w:sz w:val="16"/>
        </w:rPr>
        <w:t xml:space="preserve">become too apparent. For example, in 1983 the very same Congressman Waxman quoted earlier attacked EPA Administrator Anne Gorsuch Burford for imposing sanctions on areas that failed to meet air quality standards for ozone (i.e., smog). He called for a more "flexible" approach and successfully sponsored legislation to extend statutory deadlines once again (Melnick, 1984). This incident highlights the central paradox of the controversy: the widespread hostility to the use of benefit-cost and risk assessment analysis is based on an absolutist health-only position that virtually no one is willing to embrace in the real world. </w:t>
      </w:r>
      <w:r w:rsidRPr="00D407BC">
        <w:rPr>
          <w:rStyle w:val="StyleUnderline"/>
        </w:rPr>
        <w:t xml:space="preserve">To put it more bluntly, </w:t>
      </w:r>
      <w:r w:rsidRPr="00047BAD">
        <w:rPr>
          <w:rStyle w:val="Emphasis"/>
        </w:rPr>
        <w:t>almost no one really believes what many informed people emphatically maintain in public.</w:t>
      </w:r>
      <w:r>
        <w:rPr>
          <w:rStyle w:val="StyleUnderline"/>
        </w:rPr>
        <w:t xml:space="preserve"> </w:t>
      </w:r>
      <w:r w:rsidRPr="00D407BC">
        <w:rPr>
          <w:rStyle w:val="StyleUnderline"/>
        </w:rPr>
        <w:t xml:space="preserve">Human beings </w:t>
      </w:r>
      <w:r w:rsidRPr="00D407BC">
        <w:rPr>
          <w:sz w:val="16"/>
        </w:rPr>
        <w:t xml:space="preserve">in general and elected officials in particular </w:t>
      </w:r>
      <w:r w:rsidRPr="00D407BC">
        <w:rPr>
          <w:rStyle w:val="StyleUnderline"/>
        </w:rPr>
        <w:t>find it difficult to admit that the policies they support leave some innocent people at risk</w:t>
      </w:r>
      <w:r w:rsidRPr="00D407BC">
        <w:rPr>
          <w:sz w:val="16"/>
        </w:rPr>
        <w:t xml:space="preserve">, especially when that risk is potentially lethal. Yet why is it that health-only legislation and rhetoric are common in the United States but virtually unknown in Western Europe? One would expect just the opposite. The United States is generally seen as more sympathetic to free enterprise, more suspicious of government control, more pragmatic, and more inclined to act slowly and incrementally than are European nations. The answer, I will argue, lies above all in the structure of U.S. political institutions. Political power in this country is remarkably dispersed. Despite the growth of the national government in recent decades, state and local governments remain important players in the area of environmental regulation. The U.S. Congress is by far the most powerful and active legislative body in the world. While other legislatures have become subservient to the executive, the American Congress underwent a resurgence in the late 1960s and early 1970s. Central to this reassertion of congressional authority was further decentralization of power, commonly known as the rise of subcommittee government. </w:t>
      </w:r>
      <w:r w:rsidRPr="00D407BC">
        <w:rPr>
          <w:rStyle w:val="StyleUnderline"/>
        </w:rPr>
        <w:t xml:space="preserve">Nowhere is the influence of Congress or the extent of decentralization more evident than in </w:t>
      </w:r>
      <w:r w:rsidRPr="00047BAD">
        <w:rPr>
          <w:rStyle w:val="Emphasis"/>
        </w:rPr>
        <w:t>environmental protection</w:t>
      </w:r>
      <w:r w:rsidRPr="00D407BC">
        <w:rPr>
          <w:sz w:val="16"/>
        </w:rPr>
        <w:t xml:space="preserve">. For example, from 1969 to 1979, Edmund Muskie, the chairman of a Senate subcommittee, had at least as much influence on environmental policy as Presidents Richard Nixon and Jimmy Carter, or EPA Administrators William Ruckelshaus and Douglas Costle. In parliamentary systems, few members of the "loyal opposition" retain so much power. Much the same can be said of the activity of the judiciary. </w:t>
      </w:r>
      <w:r w:rsidRPr="00047BAD">
        <w:rPr>
          <w:rStyle w:val="Emphasis"/>
        </w:rPr>
        <w:t>Hardly any major environmental policy escapes close scrutiny by the courts</w:t>
      </w:r>
      <w:r w:rsidRPr="00D407BC">
        <w:rPr>
          <w:sz w:val="16"/>
        </w:rPr>
        <w:t xml:space="preserve">. Federal judges have issued hundreds of decisions shaping regulatory policy. In the words of Brickman, Jasanoff, and Ilgen (1985:46), "[e]ven a casual observer is struck by the vastly lower level of judicial involvement in European regulatory processes." Several environmental groups, most notably the Natural Resources Defense Council and the Environmental Defense Fund, have used their success in litigation to become major participants in national policy making. In the United States, </w:t>
      </w:r>
      <w:r w:rsidRPr="00D407BC">
        <w:rPr>
          <w:rStyle w:val="StyleUnderline"/>
        </w:rPr>
        <w:t xml:space="preserve">each level and branch of government offers access to a wide variety of </w:t>
      </w:r>
      <w:r w:rsidRPr="00D407BC">
        <w:rPr>
          <w:sz w:val="16"/>
        </w:rPr>
        <w:t xml:space="preserve">groups, including corporations, trade associations, labor unions, professional associations, and intergovernmental lobbies, as well as </w:t>
      </w:r>
      <w:r w:rsidRPr="00D407BC">
        <w:rPr>
          <w:rStyle w:val="StyleUnderline"/>
        </w:rPr>
        <w:t>environmental groups.</w:t>
      </w:r>
      <w:r w:rsidRPr="00D407BC">
        <w:rPr>
          <w:sz w:val="16"/>
        </w:rPr>
        <w:t xml:space="preserve"> </w:t>
      </w:r>
      <w:r w:rsidRPr="00D407BC">
        <w:rPr>
          <w:rStyle w:val="StyleUnderline"/>
        </w:rPr>
        <w:t>Dispersion of power has three important consequences for environmental policy making. Firs</w:t>
      </w:r>
      <w:r w:rsidRPr="00D407BC">
        <w:rPr>
          <w:sz w:val="16"/>
        </w:rPr>
        <w:t xml:space="preserve">t and foremost </w:t>
      </w:r>
      <w:r w:rsidRPr="00D407BC">
        <w:rPr>
          <w:rStyle w:val="StyleUnderline"/>
        </w:rPr>
        <w:t>is the dispersion of responsibility</w:t>
      </w:r>
      <w:r w:rsidRPr="00D407BC">
        <w:rPr>
          <w:sz w:val="16"/>
        </w:rPr>
        <w:t xml:space="preserve">. In the United States, it is easy to shift the blame for nearly everything to someone else (see Weaver, 1987). </w:t>
      </w:r>
      <w:r w:rsidRPr="00D407BC">
        <w:rPr>
          <w:rStyle w:val="StyleUnderline"/>
        </w:rPr>
        <w:t>Second</w:t>
      </w:r>
      <w:r w:rsidRPr="00D407BC">
        <w:rPr>
          <w:sz w:val="16"/>
        </w:rPr>
        <w:t xml:space="preserve">, because no one controls the entire policy-making process, </w:t>
      </w:r>
      <w:r w:rsidRPr="00D407BC">
        <w:rPr>
          <w:rStyle w:val="StyleUnderline"/>
        </w:rPr>
        <w:t xml:space="preserve">each participant tries to squeeze as much as possible out of the limited portion </w:t>
      </w:r>
      <w:r w:rsidRPr="00D407BC">
        <w:rPr>
          <w:sz w:val="16"/>
        </w:rPr>
        <w:t xml:space="preserve">he or she controls. </w:t>
      </w:r>
      <w:r w:rsidRPr="00D407BC">
        <w:rPr>
          <w:rStyle w:val="StyleUnderline"/>
        </w:rPr>
        <w:t>Third</w:t>
      </w:r>
      <w:r w:rsidRPr="00D407BC">
        <w:rPr>
          <w:sz w:val="16"/>
        </w:rPr>
        <w:t xml:space="preserve">, given the </w:t>
      </w:r>
      <w:r w:rsidRPr="00D407BC">
        <w:rPr>
          <w:sz w:val="16"/>
        </w:rPr>
        <w:lastRenderedPageBreak/>
        <w:t xml:space="preserve">complexity of the entire process, </w:t>
      </w:r>
      <w:r w:rsidRPr="00D407BC">
        <w:rPr>
          <w:rStyle w:val="StyleUnderline"/>
        </w:rPr>
        <w:t>it is difficult to see the connection between the decisions of each participant and eventual outcomes.</w:t>
      </w:r>
      <w:r w:rsidRPr="00D407BC">
        <w:rPr>
          <w:sz w:val="16"/>
        </w:rPr>
        <w:t xml:space="preserve"> These factors in turn affect the receptivity of political actors to benefit-cost analysis. </w:t>
      </w:r>
      <w:r w:rsidRPr="00047BAD">
        <w:rPr>
          <w:rStyle w:val="Emphasis"/>
        </w:rPr>
        <w:t>Politicians find it very tempting to take an absolutist, health-only stance</w:t>
      </w:r>
      <w:r w:rsidRPr="00D407BC">
        <w:rPr>
          <w:rStyle w:val="StyleUnderline"/>
        </w:rPr>
        <w:t xml:space="preserve"> when those who will actually impose restrictions on employers, employees, and consumers are located in a different branch of government.</w:t>
      </w:r>
      <w:r w:rsidRPr="00D407BC">
        <w:rPr>
          <w:sz w:val="16"/>
        </w:rPr>
        <w:t xml:space="preserve"> The temptation becomes nearly irresistible when the other branch is nominally controlled by the rival political party. Moreover, each participant reacts to the perceived biases of the others. </w:t>
      </w:r>
      <w:r w:rsidRPr="00047BAD">
        <w:rPr>
          <w:rStyle w:val="Emphasis"/>
        </w:rPr>
        <w:t>Congress exaggerates its goals</w:t>
      </w:r>
      <w:r w:rsidRPr="00D407BC">
        <w:rPr>
          <w:rStyle w:val="StyleUnderline"/>
        </w:rPr>
        <w:t xml:space="preserve"> because it expects the executive branch to water them down; the executive branch does </w:t>
      </w:r>
      <w:r w:rsidRPr="00D407BC">
        <w:rPr>
          <w:sz w:val="16"/>
        </w:rPr>
        <w:t xml:space="preserve">in fact </w:t>
      </w:r>
      <w:r w:rsidRPr="00D407BC">
        <w:rPr>
          <w:rStyle w:val="StyleUnderline"/>
        </w:rPr>
        <w:t>water them down</w:t>
      </w:r>
      <w:r w:rsidRPr="00D407BC">
        <w:rPr>
          <w:sz w:val="16"/>
        </w:rPr>
        <w:t xml:space="preserve">, in part </w:t>
      </w:r>
      <w:r w:rsidRPr="00D407BC">
        <w:rPr>
          <w:rStyle w:val="StyleUnderline"/>
        </w:rPr>
        <w:t xml:space="preserve">because it considers </w:t>
      </w:r>
      <w:r w:rsidRPr="00047BAD">
        <w:rPr>
          <w:rStyle w:val="Emphasis"/>
        </w:rPr>
        <w:t>Congress's</w:t>
      </w:r>
      <w:r w:rsidRPr="00D407BC">
        <w:rPr>
          <w:rStyle w:val="StyleUnderline"/>
        </w:rPr>
        <w:t xml:space="preserve"> </w:t>
      </w:r>
      <w:r w:rsidRPr="00D407BC">
        <w:rPr>
          <w:sz w:val="16"/>
        </w:rPr>
        <w:t xml:space="preserve">goals </w:t>
      </w:r>
      <w:r w:rsidRPr="00D407BC">
        <w:rPr>
          <w:rStyle w:val="StyleUnderline"/>
        </w:rPr>
        <w:t xml:space="preserve">to be </w:t>
      </w:r>
      <w:r w:rsidRPr="00047BAD">
        <w:rPr>
          <w:rStyle w:val="Emphasis"/>
        </w:rPr>
        <w:t>hopelessly irrational</w:t>
      </w:r>
      <w:r w:rsidRPr="00D407BC">
        <w:rPr>
          <w:sz w:val="16"/>
        </w:rPr>
        <w:t>. Given the distrust created by these self-fulfilling prophecies</w:t>
      </w:r>
      <w:r w:rsidRPr="00D407BC">
        <w:rPr>
          <w:rStyle w:val="StyleUnderline"/>
        </w:rPr>
        <w:t>, it is hard to engineer compromise</w:t>
      </w:r>
      <w:r w:rsidRPr="00D407BC">
        <w:rPr>
          <w:sz w:val="16"/>
        </w:rPr>
        <w:t xml:space="preserve">, especially when compromise requires a long sequence of decisions. In addition, the difficulty of connecting particular governmental decisions with real-world outcomes makes it hard to convince anyone that exaggerated, absolutist demands have unfortunate long-term consequences. These problems by no means prove that the European approach is superior to ours. </w:t>
      </w:r>
      <w:r w:rsidRPr="00047BAD">
        <w:rPr>
          <w:rStyle w:val="Emphasis"/>
        </w:rPr>
        <w:t>The United States spends more on environmental protection</w:t>
      </w:r>
      <w:r w:rsidRPr="00D407BC">
        <w:rPr>
          <w:sz w:val="16"/>
        </w:rPr>
        <w:t>—measured both in total dollars and as a percentage of its gross national product (GNP)—</w:t>
      </w:r>
      <w:r w:rsidRPr="00047BAD">
        <w:rPr>
          <w:rStyle w:val="Emphasis"/>
        </w:rPr>
        <w:t>than any other industrial nation. The</w:t>
      </w:r>
      <w:r w:rsidRPr="00D407BC">
        <w:rPr>
          <w:rStyle w:val="StyleUnderline"/>
        </w:rPr>
        <w:t xml:space="preserve"> key unanswered </w:t>
      </w:r>
      <w:r w:rsidRPr="00047BAD">
        <w:rPr>
          <w:rStyle w:val="Emphasis"/>
        </w:rPr>
        <w:t>question is whether the United States gets more "bang" for these environmental "bucks."</w:t>
      </w:r>
      <w:r w:rsidRPr="00D407BC">
        <w:rPr>
          <w:sz w:val="16"/>
        </w:rPr>
        <w:t xml:space="preserve"> Most scholars who have addressed this issue have retreated to agnosticism. For example, in his extensive comparative study of American and British regulation, David Vogel (1986:146) notes that "it is difficult to determine the comparative effectiveness of governmental regulations in different countries"; he concludes that "[o]n balance, neither nation's regulatory policies have been significantly more or less effective than the other's: both have had some notable achievements and some conspicuous failures." (See also Brickman, Jasanoff, and Ilgen, 1985:313-314.) One cannot even say with confidence that moving to a less adversarial system would increase receptivity to benefit-cost analysis. Indeed, the very informality of European policy making militates against the use of such formal analysis. The European example stands not so much as a model for emulation as a reminder of the peculiarities of American politics.</w:t>
      </w:r>
    </w:p>
    <w:p w14:paraId="381D33B2" w14:textId="77777777" w:rsidR="00AC21B6" w:rsidRDefault="00AC21B6" w:rsidP="00AC21B6">
      <w:pPr>
        <w:pStyle w:val="Heading3"/>
      </w:pPr>
    </w:p>
    <w:p w14:paraId="709E190B" w14:textId="01587B03" w:rsidR="00E42E4C" w:rsidRPr="00F601E6" w:rsidRDefault="00AC21B6" w:rsidP="00AC21B6">
      <w:pPr>
        <w:pStyle w:val="Heading3"/>
      </w:pPr>
      <w:r>
        <w:lastRenderedPageBreak/>
        <w:t>Turn---CBA Good</w:t>
      </w:r>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altName w:val="﷽﷽﷽﷽﷽﷽﷽﷽䦠ɝ怀"/>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4F0FAB"/>
    <w:multiLevelType w:val="hybridMultilevel"/>
    <w:tmpl w:val="82B4D980"/>
    <w:lvl w:ilvl="0" w:tplc="54F00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C21B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26783"/>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492C"/>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5603"/>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0F01"/>
    <w:rsid w:val="006379E9"/>
    <w:rsid w:val="006438CB"/>
    <w:rsid w:val="006529B9"/>
    <w:rsid w:val="00654695"/>
    <w:rsid w:val="0065500A"/>
    <w:rsid w:val="00655217"/>
    <w:rsid w:val="0065727C"/>
    <w:rsid w:val="00674A78"/>
    <w:rsid w:val="00692B7F"/>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C21B6"/>
    <w:rsid w:val="00AD6BB5"/>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E15"/>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00FF4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BB616"/>
  <w14:defaultImageDpi w14:val="300"/>
  <w15:docId w15:val="{5A7ED9C6-D233-7B49-B3A5-9C4314E14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C21B6"/>
    <w:pPr>
      <w:spacing w:after="160" w:line="259" w:lineRule="auto"/>
    </w:pPr>
    <w:rPr>
      <w:rFonts w:ascii="Georgia" w:hAnsi="Georgia"/>
      <w:sz w:val="22"/>
    </w:rPr>
  </w:style>
  <w:style w:type="paragraph" w:styleId="Heading1">
    <w:name w:val="heading 1"/>
    <w:aliases w:val="Pocket"/>
    <w:basedOn w:val="Normal"/>
    <w:next w:val="Normal"/>
    <w:link w:val="Heading1Char"/>
    <w:uiPriority w:val="9"/>
    <w:qFormat/>
    <w:rsid w:val="00AC21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C21B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C21B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Ta"/>
    <w:basedOn w:val="Normal"/>
    <w:next w:val="Normal"/>
    <w:link w:val="Heading4Char"/>
    <w:uiPriority w:val="9"/>
    <w:unhideWhenUsed/>
    <w:qFormat/>
    <w:rsid w:val="00AC21B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C21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21B6"/>
  </w:style>
  <w:style w:type="character" w:customStyle="1" w:styleId="Heading1Char">
    <w:name w:val="Heading 1 Char"/>
    <w:aliases w:val="Pocket Char"/>
    <w:basedOn w:val="DefaultParagraphFont"/>
    <w:link w:val="Heading1"/>
    <w:uiPriority w:val="9"/>
    <w:rsid w:val="00AC21B6"/>
    <w:rPr>
      <w:rFonts w:ascii="Georgia" w:eastAsiaTheme="majorEastAsia" w:hAnsi="Georgia" w:cstheme="majorBidi"/>
      <w:b/>
      <w:bCs/>
      <w:sz w:val="52"/>
      <w:szCs w:val="32"/>
    </w:rPr>
  </w:style>
  <w:style w:type="character" w:customStyle="1" w:styleId="Heading2Char">
    <w:name w:val="Heading 2 Char"/>
    <w:aliases w:val="Hat Char"/>
    <w:basedOn w:val="DefaultParagraphFont"/>
    <w:link w:val="Heading2"/>
    <w:uiPriority w:val="9"/>
    <w:rsid w:val="00AC21B6"/>
    <w:rPr>
      <w:rFonts w:ascii="Georgia" w:eastAsiaTheme="majorEastAsia" w:hAnsi="Georgia" w:cstheme="majorBidi"/>
      <w:b/>
      <w:bCs/>
      <w:sz w:val="44"/>
      <w:szCs w:val="44"/>
      <w:u w:val="double"/>
    </w:rPr>
  </w:style>
  <w:style w:type="character" w:customStyle="1" w:styleId="Heading3Char">
    <w:name w:val="Heading 3 Char"/>
    <w:aliases w:val="Block Char"/>
    <w:basedOn w:val="DefaultParagraphFont"/>
    <w:link w:val="Heading3"/>
    <w:uiPriority w:val="9"/>
    <w:rsid w:val="00AC21B6"/>
    <w:rPr>
      <w:rFonts w:ascii="Georgia" w:eastAsiaTheme="majorEastAsia" w:hAnsi="Georgia" w:cstheme="majorBidi"/>
      <w:b/>
      <w:bCs/>
      <w:sz w:val="32"/>
      <w:szCs w:val="32"/>
      <w:u w:val="single"/>
    </w:rPr>
  </w:style>
  <w:style w:type="character" w:customStyle="1" w:styleId="Heading4Char">
    <w:name w:val="Heading 4 Char"/>
    <w:aliases w:val="Tag Char,No Spacing Char,Normal Tag Char,small text Char,Big card Char,body Char,heading 2 Char,Ch Char,TAG Char,no read Char,No Spacing211 Char,No Spacing12 Char,No Spacing2111 Char,No Spacing111111 Char,No Spacing4 Char,Tags Char,T Char"/>
    <w:basedOn w:val="DefaultParagraphFont"/>
    <w:link w:val="Heading4"/>
    <w:uiPriority w:val="9"/>
    <w:rsid w:val="00AC21B6"/>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C21B6"/>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1"/>
    <w:qFormat/>
    <w:rsid w:val="00AC21B6"/>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20"/>
    <w:qFormat/>
    <w:rsid w:val="00AC21B6"/>
    <w:rPr>
      <w:rFonts w:ascii="Georgia" w:hAnsi="Georgia"/>
      <w:b/>
      <w:i w:val="0"/>
      <w:iCs/>
      <w:sz w:val="22"/>
      <w:u w:val="single"/>
      <w:bdr w:val="single" w:sz="12" w:space="0" w:color="auto"/>
    </w:rPr>
  </w:style>
  <w:style w:type="character" w:styleId="FollowedHyperlink">
    <w:name w:val="FollowedHyperlink"/>
    <w:basedOn w:val="DefaultParagraphFont"/>
    <w:uiPriority w:val="99"/>
    <w:semiHidden/>
    <w:unhideWhenUsed/>
    <w:rsid w:val="00AC21B6"/>
    <w:rPr>
      <w:color w:val="auto"/>
      <w:u w: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uiPriority w:val="99"/>
    <w:unhideWhenUsed/>
    <w:rsid w:val="00AC21B6"/>
    <w:rPr>
      <w:color w:val="auto"/>
      <w:u w:val="none"/>
    </w:rPr>
  </w:style>
  <w:style w:type="paragraph" w:styleId="DocumentMap">
    <w:name w:val="Document Map"/>
    <w:basedOn w:val="Normal"/>
    <w:link w:val="DocumentMapChar"/>
    <w:uiPriority w:val="99"/>
    <w:semiHidden/>
    <w:unhideWhenUsed/>
    <w:rsid w:val="00AC21B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C21B6"/>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AC21B6"/>
    <w:rPr>
      <w:sz w:val="22"/>
      <w:u w:val="single"/>
    </w:rPr>
  </w:style>
  <w:style w:type="paragraph" w:customStyle="1" w:styleId="textbold">
    <w:name w:val="text bold"/>
    <w:basedOn w:val="Normal"/>
    <w:link w:val="Emphasis"/>
    <w:uiPriority w:val="20"/>
    <w:qFormat/>
    <w:rsid w:val="00AC21B6"/>
    <w:pPr>
      <w:spacing w:after="0" w:line="240" w:lineRule="auto"/>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ao.gov/assets/gao-14-714.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nis.iaea.org/collection/NCLCollectionStore/_Public/12/629/12629527.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ncbi.nlm.nih.gov/books/NBK23552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susa.org/resources/water-power-plant-cooling" TargetMode="External"/><Relationship Id="rId5" Type="http://schemas.openxmlformats.org/officeDocument/2006/relationships/numbering" Target="numbering.xml"/><Relationship Id="rId15" Type="http://schemas.openxmlformats.org/officeDocument/2006/relationships/hyperlink" Target="https://www.ncbi.nlm.nih.gov/books/NBK235528/" TargetMode="External"/><Relationship Id="rId10" Type="http://schemas.openxmlformats.org/officeDocument/2006/relationships/hyperlink" Target="https://www.nrdc.org/sites/default/files/power-plant-cooling-IB.pdf" TargetMode="External"/><Relationship Id="rId4" Type="http://schemas.openxmlformats.org/officeDocument/2006/relationships/customXml" Target="../customXml/item4.xml"/><Relationship Id="rId9" Type="http://schemas.openxmlformats.org/officeDocument/2006/relationships/hyperlink" Target="https://www3.epa.gov/region1/npdes/merrimackstation/pdfs/ar/AR-1808.pdf" TargetMode="External"/><Relationship Id="rId14" Type="http://schemas.openxmlformats.org/officeDocument/2006/relationships/hyperlink" Target="https://s3.amazonaws.com/brt.org/archive/reports/BRT%20Cost-Benefit%20Analysi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rewpa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22</Pages>
  <Words>9768</Words>
  <Characters>55681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Pak, Andrew</cp:lastModifiedBy>
  <cp:revision>1</cp:revision>
  <dcterms:created xsi:type="dcterms:W3CDTF">2021-08-02T17:51:00Z</dcterms:created>
  <dcterms:modified xsi:type="dcterms:W3CDTF">2021-08-02T17:52:00Z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