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4EB1E7" w14:textId="77777777" w:rsidR="002D301C" w:rsidRPr="00ED0695" w:rsidRDefault="002D301C" w:rsidP="002D301C">
      <w:pPr>
        <w:rPr>
          <w:rFonts w:asciiTheme="minorHAnsi" w:hAnsiTheme="minorHAnsi" w:cstheme="minorHAnsi"/>
        </w:rPr>
      </w:pPr>
    </w:p>
    <w:p w14:paraId="7F4ACE0E" w14:textId="3246E3A8" w:rsidR="00B82515" w:rsidRDefault="00B82515" w:rsidP="003F3657">
      <w:pPr>
        <w:pStyle w:val="Heading1"/>
        <w:rPr>
          <w:rFonts w:asciiTheme="minorHAnsi" w:hAnsiTheme="minorHAnsi" w:cstheme="minorHAnsi"/>
        </w:rPr>
      </w:pPr>
      <w:r>
        <w:rPr>
          <w:rFonts w:asciiTheme="minorHAnsi" w:hAnsiTheme="minorHAnsi" w:cstheme="minorHAnsi"/>
        </w:rPr>
        <w:t>MGCDI Case Negative</w:t>
      </w:r>
    </w:p>
    <w:p w14:paraId="53577C60" w14:textId="67E2B51B" w:rsidR="003F3657" w:rsidRPr="00ED0695" w:rsidRDefault="00B82515" w:rsidP="003F3657">
      <w:pPr>
        <w:pStyle w:val="Heading1"/>
        <w:rPr>
          <w:rFonts w:asciiTheme="minorHAnsi" w:hAnsiTheme="minorHAnsi" w:cstheme="minorHAnsi"/>
        </w:rPr>
      </w:pPr>
      <w:r>
        <w:rPr>
          <w:rFonts w:asciiTheme="minorHAnsi" w:hAnsiTheme="minorHAnsi" w:cstheme="minorHAnsi"/>
        </w:rPr>
        <w:t xml:space="preserve">Case </w:t>
      </w:r>
      <w:r w:rsidR="003F3657" w:rsidRPr="00ED0695">
        <w:rPr>
          <w:rFonts w:asciiTheme="minorHAnsi" w:hAnsiTheme="minorHAnsi" w:cstheme="minorHAnsi"/>
        </w:rPr>
        <w:t xml:space="preserve"> </w:t>
      </w:r>
    </w:p>
    <w:p w14:paraId="5E4B3E73" w14:textId="7F973BEB" w:rsidR="003F3657" w:rsidRPr="00ED0695" w:rsidRDefault="00B82515" w:rsidP="003F3657">
      <w:pPr>
        <w:pStyle w:val="Heading2"/>
        <w:rPr>
          <w:rFonts w:asciiTheme="minorHAnsi" w:hAnsiTheme="minorHAnsi" w:cstheme="minorHAnsi"/>
        </w:rPr>
      </w:pPr>
      <w:r>
        <w:rPr>
          <w:rFonts w:asciiTheme="minorHAnsi" w:hAnsiTheme="minorHAnsi" w:cstheme="minorHAnsi"/>
        </w:rPr>
        <w:t>Framing</w:t>
      </w:r>
    </w:p>
    <w:p w14:paraId="172C65CD" w14:textId="77777777" w:rsidR="00B82515" w:rsidRPr="00ED0695" w:rsidRDefault="00B82515" w:rsidP="00B82515">
      <w:pPr>
        <w:pStyle w:val="Heading3"/>
        <w:rPr>
          <w:rFonts w:asciiTheme="minorHAnsi" w:hAnsiTheme="minorHAnsi" w:cstheme="minorHAnsi"/>
        </w:rPr>
      </w:pPr>
      <w:r>
        <w:rPr>
          <w:rFonts w:asciiTheme="minorHAnsi" w:hAnsiTheme="minorHAnsi" w:cstheme="minorHAnsi"/>
        </w:rPr>
        <w:t xml:space="preserve">1nc- </w:t>
      </w:r>
      <w:r w:rsidRPr="00ED0695">
        <w:rPr>
          <w:rFonts w:asciiTheme="minorHAnsi" w:hAnsiTheme="minorHAnsi" w:cstheme="minorHAnsi"/>
        </w:rPr>
        <w:t xml:space="preserve">Framework </w:t>
      </w:r>
    </w:p>
    <w:p w14:paraId="1D4A3407" w14:textId="77777777" w:rsidR="00B82515" w:rsidRPr="00ED0695" w:rsidRDefault="00B82515" w:rsidP="00B82515">
      <w:pPr>
        <w:pStyle w:val="Heading4"/>
        <w:rPr>
          <w:rFonts w:asciiTheme="minorHAnsi" w:hAnsiTheme="minorHAnsi" w:cstheme="minorHAnsi"/>
        </w:rPr>
      </w:pPr>
      <w:r w:rsidRPr="00ED0695">
        <w:rPr>
          <w:rFonts w:asciiTheme="minorHAnsi" w:hAnsiTheme="minorHAnsi" w:cstheme="minorHAnsi"/>
        </w:rPr>
        <w:t>Human existence outweighs – human awareness renders a responsibility to ensure the possibility of future improvement.</w:t>
      </w:r>
    </w:p>
    <w:p w14:paraId="42BAC01E" w14:textId="77777777" w:rsidR="00B82515" w:rsidRPr="00ED0695" w:rsidRDefault="00B82515" w:rsidP="00B82515">
      <w:pPr>
        <w:rPr>
          <w:rStyle w:val="Style13ptBold"/>
          <w:rFonts w:asciiTheme="minorHAnsi" w:hAnsiTheme="minorHAnsi" w:cstheme="minorHAnsi"/>
          <w:b w:val="0"/>
          <w:bCs w:val="0"/>
        </w:rPr>
      </w:pPr>
      <w:r w:rsidRPr="00ED0695">
        <w:rPr>
          <w:rStyle w:val="Style13ptBold"/>
          <w:rFonts w:asciiTheme="minorHAnsi" w:hAnsiTheme="minorHAnsi" w:cstheme="minorHAnsi"/>
        </w:rPr>
        <w:t xml:space="preserve">Michelis 17 </w:t>
      </w:r>
      <w:r w:rsidRPr="00ED0695">
        <w:rPr>
          <w:rFonts w:asciiTheme="minorHAnsi" w:hAnsiTheme="minorHAnsi" w:cstheme="minorHAnsi"/>
        </w:rPr>
        <w:t>Angela Michelis has been qualified as Associate Professor or Professor of II level in Moral Philosophy in Italian University since 2014, 2017, “The roots of human responsibility,” April, pp. 302-305 Accessed 07/03/2018</w:t>
      </w:r>
    </w:p>
    <w:p w14:paraId="116914FF" w14:textId="77777777" w:rsidR="00B82515" w:rsidRPr="00ED0695" w:rsidRDefault="00B82515" w:rsidP="00B82515">
      <w:pPr>
        <w:rPr>
          <w:rFonts w:asciiTheme="minorHAnsi" w:hAnsiTheme="minorHAnsi" w:cstheme="minorHAnsi"/>
          <w:sz w:val="14"/>
        </w:rPr>
      </w:pPr>
      <w:r w:rsidRPr="00ED0695">
        <w:rPr>
          <w:rFonts w:asciiTheme="minorHAnsi" w:hAnsiTheme="minorHAnsi" w:cstheme="minorHAnsi"/>
          <w:sz w:val="14"/>
        </w:rPr>
        <w:t xml:space="preserve">The common elements making both phenomena paradigmatic and original are retraceable, according to Jonas, through the concepts of “totality”, “continuity” and “future” in relation to the existence and happiness of human beings. </w:t>
      </w:r>
      <w:r w:rsidRPr="00ED0695">
        <w:rPr>
          <w:rStyle w:val="StyleUnderline"/>
          <w:rFonts w:asciiTheme="minorHAnsi" w:hAnsiTheme="minorHAnsi" w:cstheme="minorHAnsi"/>
        </w:rPr>
        <w:t>Human beings</w:t>
      </w:r>
      <w:r w:rsidRPr="00ED0695">
        <w:rPr>
          <w:rFonts w:asciiTheme="minorHAnsi" w:hAnsiTheme="minorHAnsi" w:cstheme="minorHAnsi"/>
          <w:sz w:val="14"/>
        </w:rPr>
        <w:t xml:space="preserve">, like all other living beings, </w:t>
      </w:r>
      <w:r w:rsidRPr="00ED0695">
        <w:rPr>
          <w:rStyle w:val="StyleUnderline"/>
          <w:rFonts w:asciiTheme="minorHAnsi" w:hAnsiTheme="minorHAnsi" w:cstheme="minorHAnsi"/>
        </w:rPr>
        <w:t>are ends in themselves</w:t>
      </w:r>
      <w:r w:rsidRPr="00ED0695">
        <w:rPr>
          <w:rFonts w:asciiTheme="minorHAnsi" w:hAnsiTheme="minorHAnsi" w:cstheme="minorHAnsi"/>
          <w:sz w:val="14"/>
        </w:rPr>
        <w:t xml:space="preserve">; however, only human beings are able to carry out strategies which safeguard their being ends in themselves. Therefore, </w:t>
      </w:r>
      <w:r w:rsidRPr="00ED0695">
        <w:rPr>
          <w:rStyle w:val="StyleUnderline"/>
          <w:rFonts w:asciiTheme="minorHAnsi" w:hAnsiTheme="minorHAnsi" w:cstheme="minorHAnsi"/>
        </w:rPr>
        <w:t>the</w:t>
      </w:r>
      <w:r w:rsidRPr="00ED0695">
        <w:rPr>
          <w:rFonts w:asciiTheme="minorHAnsi" w:hAnsiTheme="minorHAnsi" w:cstheme="minorHAnsi"/>
          <w:sz w:val="14"/>
        </w:rPr>
        <w:t xml:space="preserve">ir very </w:t>
      </w:r>
      <w:r w:rsidRPr="00ED0695">
        <w:rPr>
          <w:rStyle w:val="StyleUnderline"/>
          <w:rFonts w:asciiTheme="minorHAnsi" w:hAnsiTheme="minorHAnsi" w:cstheme="minorHAnsi"/>
        </w:rPr>
        <w:t xml:space="preserve">capacity for action implies an </w:t>
      </w:r>
      <w:r w:rsidRPr="00ED0695">
        <w:rPr>
          <w:rFonts w:asciiTheme="minorHAnsi" w:hAnsiTheme="minorHAnsi" w:cstheme="minorHAnsi"/>
          <w:sz w:val="14"/>
        </w:rPr>
        <w:t xml:space="preserve">objective </w:t>
      </w:r>
      <w:r w:rsidRPr="00ED0695">
        <w:rPr>
          <w:rStyle w:val="StyleUnderline"/>
          <w:rFonts w:asciiTheme="minorHAnsi" w:hAnsiTheme="minorHAnsi" w:cstheme="minorHAnsi"/>
        </w:rPr>
        <w:t>obligation</w:t>
      </w:r>
      <w:r w:rsidRPr="00ED0695">
        <w:rPr>
          <w:rFonts w:asciiTheme="minorHAnsi" w:hAnsiTheme="minorHAnsi" w:cstheme="minorHAnsi"/>
          <w:sz w:val="14"/>
        </w:rPr>
        <w:t xml:space="preserve"> in the form of external responsibility. For these reasons they can be defined as moral beings; that is, as capable of carrying out morally responsible or morally irresponsible behaviours33. Jonas reaffirms in any case that the archetype of every responsibility is that of human beings for human beings, in which the subject-object connection in the relationship of responsibility is irrefutable, and through this the responsibility for every living thing becomes clear. The totality of responsibility may be characterized by the paradigmatic examples of parents and of the statesman, which combine as the opposite poles of the greatest particularity and the greatest generality. In particular, the educational sphere demonstrates how the responsibility of parents and of the State are related, and how the private and public spheres integrate reciprocally, encompassing all aspects of the life of human beings. As Jonas describes, the education of the child includes socialization, beginning with speech and progressing with the transmission of the entire code of societal convictions and norms, through whose appropriation the individual becomes a member of the wider community. The private opens itself essentially to the public and includes it in its own completeness as belonging to the being of the person. In other words, the ‘citizen’ is an immanent aim of education, thus a part of parental responsibility, and this not only by force of the state’s enjoining it. From the other side, just as the parents educate their children ‘for the state’ (if for much more as well), so does the state assume responsibility for the education of the young. The earliest phase is left in most societies to the home, but everything after that comes under the supervision, regulation, and aid of the state – so that one can speak of a public ‘educational policy’.34 The continuity of responsibility depends on its own very nature since, for example, neither the care of parents nor the care of the government can cease, as they must respond to the ever new needs of life, which is rooted in the past and moves towards the future. Of course, political responsibility is greater in both temporal directions in relation to the greater duration of the historical community with respect to individual existence. Responsibility is projected beyond the present and today’s care into the future, despite life’s unpredictability; therefore, </w:t>
      </w:r>
      <w:r w:rsidRPr="00ED0695">
        <w:rPr>
          <w:rStyle w:val="StyleUnderline"/>
          <w:rFonts w:asciiTheme="minorHAnsi" w:hAnsiTheme="minorHAnsi" w:cstheme="minorHAnsi"/>
        </w:rPr>
        <w:t>responsibility must have the function of making possible more than determining the present</w:t>
      </w:r>
      <w:r w:rsidRPr="00ED0695">
        <w:rPr>
          <w:rFonts w:asciiTheme="minorHAnsi" w:hAnsiTheme="minorHAnsi" w:cstheme="minorHAnsi"/>
          <w:sz w:val="14"/>
        </w:rPr>
        <w:t xml:space="preserve">. Jonas writes: The object’s self-owned futurity is the truest futural aspect of the responsibility, which thus makes itself the guardian of the very source of that irksome unpredictability in the fruits of its labors. Its highest fulfillment, which it must be able to dare, is its abdication before the right of the never anticipated, which emerges as the outcome of its care […] In the light of such self-transcending width, it becomes apparent that responsibility as such is nothing else but the moral complement to the ontological constitution of our temporality35. Thus, </w:t>
      </w:r>
      <w:r w:rsidRPr="00ED0695">
        <w:rPr>
          <w:rStyle w:val="StyleUnderline"/>
          <w:rFonts w:asciiTheme="minorHAnsi" w:hAnsiTheme="minorHAnsi" w:cstheme="minorHAnsi"/>
        </w:rPr>
        <w:t>every</w:t>
      </w:r>
      <w:r w:rsidRPr="00ED0695">
        <w:rPr>
          <w:rFonts w:asciiTheme="minorHAnsi" w:hAnsiTheme="minorHAnsi" w:cstheme="minorHAnsi"/>
          <w:sz w:val="14"/>
        </w:rPr>
        <w:t xml:space="preserve"> total </w:t>
      </w:r>
      <w:r w:rsidRPr="00ED0695">
        <w:rPr>
          <w:rStyle w:val="StyleUnderline"/>
          <w:rFonts w:asciiTheme="minorHAnsi" w:hAnsiTheme="minorHAnsi" w:cstheme="minorHAnsi"/>
        </w:rPr>
        <w:t>responsibility</w:t>
      </w:r>
      <w:r w:rsidRPr="00ED0695">
        <w:rPr>
          <w:rFonts w:asciiTheme="minorHAnsi" w:hAnsiTheme="minorHAnsi" w:cstheme="minorHAnsi"/>
          <w:sz w:val="14"/>
        </w:rPr>
        <w:t xml:space="preserve">, such as that of a parent or that of statesman or stateswoman – beyond its specific and important duties – </w:t>
      </w:r>
      <w:r w:rsidRPr="00ED0695">
        <w:rPr>
          <w:rStyle w:val="StyleUnderline"/>
          <w:rFonts w:asciiTheme="minorHAnsi" w:hAnsiTheme="minorHAnsi" w:cstheme="minorHAnsi"/>
        </w:rPr>
        <w:t>is always also the preservation of the future possibility</w:t>
      </w:r>
      <w:r w:rsidRPr="00ED0695">
        <w:rPr>
          <w:rFonts w:asciiTheme="minorHAnsi" w:hAnsiTheme="minorHAnsi" w:cstheme="minorHAnsi"/>
          <w:sz w:val="14"/>
        </w:rPr>
        <w:t xml:space="preserve"> of responsible actions and of politics itself. Jonas affirms that by means of the difficult journey through the various regions of responsibility, he also found the answer to the question that at the beginning seemed to represent “the critical point of moral theory”: how to transform the will into the “ought”. The transition is mediated by the phenomenon of power in its uniquely human sense, in which causal force joins with knowledge and freedom. [...] Only in man is power emancipated from the whole through knowledge and arbitrary will and only in man can it become fatal to him and to itself, his capacity is his fate, and it increasingly becomes the general fate. In him, therefore, and in him alone, there arises out of the willing itself the ‘ought’ as the self-control of his consciously exercised power36. </w:t>
      </w:r>
      <w:r w:rsidRPr="00ED0695">
        <w:rPr>
          <w:rStyle w:val="StyleUnderline"/>
          <w:rFonts w:asciiTheme="minorHAnsi" w:hAnsiTheme="minorHAnsi" w:cstheme="minorHAnsi"/>
        </w:rPr>
        <w:t xml:space="preserve">Human beings, as an epiphenomenon of nature capable of determining </w:t>
      </w:r>
      <w:r w:rsidRPr="00ED0695">
        <w:rPr>
          <w:rFonts w:asciiTheme="minorHAnsi" w:hAnsiTheme="minorHAnsi" w:cstheme="minorHAnsi"/>
          <w:sz w:val="14"/>
        </w:rPr>
        <w:t xml:space="preserve">for itself </w:t>
      </w:r>
      <w:r w:rsidRPr="00ED0695">
        <w:rPr>
          <w:rStyle w:val="StyleUnderline"/>
          <w:rFonts w:asciiTheme="minorHAnsi" w:hAnsiTheme="minorHAnsi" w:cstheme="minorHAnsi"/>
        </w:rPr>
        <w:t xml:space="preserve">the aims of actions and to carry them out autonomously, have reached </w:t>
      </w:r>
      <w:r w:rsidRPr="00ED0695">
        <w:rPr>
          <w:rFonts w:asciiTheme="minorHAnsi" w:hAnsiTheme="minorHAnsi" w:cstheme="minorHAnsi"/>
          <w:sz w:val="14"/>
        </w:rPr>
        <w:t xml:space="preserve">even within nature </w:t>
      </w:r>
      <w:r w:rsidRPr="00ED0695">
        <w:rPr>
          <w:rStyle w:val="StyleUnderline"/>
          <w:rFonts w:asciiTheme="minorHAnsi" w:hAnsiTheme="minorHAnsi" w:cstheme="minorHAnsi"/>
        </w:rPr>
        <w:t>the point at which</w:t>
      </w:r>
      <w:r w:rsidRPr="00ED0695">
        <w:rPr>
          <w:rFonts w:asciiTheme="minorHAnsi" w:hAnsiTheme="minorHAnsi" w:cstheme="minorHAnsi"/>
          <w:sz w:val="14"/>
        </w:rPr>
        <w:t xml:space="preserve"> their own </w:t>
      </w:r>
      <w:r w:rsidRPr="00ED0695">
        <w:rPr>
          <w:rStyle w:val="StyleUnderline"/>
          <w:rFonts w:asciiTheme="minorHAnsi" w:hAnsiTheme="minorHAnsi" w:cstheme="minorHAnsi"/>
        </w:rPr>
        <w:t>self-destruction is possible. This imposes</w:t>
      </w:r>
      <w:r w:rsidRPr="00ED0695">
        <w:rPr>
          <w:rFonts w:asciiTheme="minorHAnsi" w:hAnsiTheme="minorHAnsi" w:cstheme="minorHAnsi"/>
          <w:sz w:val="14"/>
        </w:rPr>
        <w:t xml:space="preserve"> upon them </w:t>
      </w:r>
      <w:r w:rsidRPr="00ED0695">
        <w:rPr>
          <w:rStyle w:val="StyleUnderline"/>
          <w:rFonts w:asciiTheme="minorHAnsi" w:hAnsiTheme="minorHAnsi" w:cstheme="minorHAnsi"/>
        </w:rPr>
        <w:t xml:space="preserve">the duty </w:t>
      </w:r>
      <w:r w:rsidRPr="00ED0695">
        <w:rPr>
          <w:rFonts w:asciiTheme="minorHAnsi" w:hAnsiTheme="minorHAnsi" w:cstheme="minorHAnsi"/>
          <w:sz w:val="14"/>
        </w:rPr>
        <w:t xml:space="preserve">to pay special attention </w:t>
      </w:r>
      <w:r w:rsidRPr="00ED0695">
        <w:rPr>
          <w:rStyle w:val="StyleUnderline"/>
          <w:rFonts w:asciiTheme="minorHAnsi" w:hAnsiTheme="minorHAnsi" w:cstheme="minorHAnsi"/>
        </w:rPr>
        <w:t>to not destroying</w:t>
      </w:r>
      <w:r w:rsidRPr="00ED0695">
        <w:rPr>
          <w:rFonts w:asciiTheme="minorHAnsi" w:hAnsiTheme="minorHAnsi" w:cstheme="minorHAnsi"/>
          <w:sz w:val="14"/>
        </w:rPr>
        <w:t xml:space="preserve">, through irresponsible use, </w:t>
      </w:r>
      <w:r w:rsidRPr="00ED0695">
        <w:rPr>
          <w:rStyle w:val="StyleUnderline"/>
          <w:rFonts w:asciiTheme="minorHAnsi" w:hAnsiTheme="minorHAnsi" w:cstheme="minorHAnsi"/>
        </w:rPr>
        <w:t>what exists</w:t>
      </w:r>
      <w:r w:rsidRPr="00ED0695">
        <w:rPr>
          <w:rFonts w:asciiTheme="minorHAnsi" w:hAnsiTheme="minorHAnsi" w:cstheme="minorHAnsi"/>
          <w:sz w:val="14"/>
        </w:rPr>
        <w:t xml:space="preserve">, what has come about, and all the other living things, which are somehow in their power. Therefore, it is clear that, at the present time, </w:t>
      </w:r>
      <w:r w:rsidRPr="00ED0695">
        <w:rPr>
          <w:rStyle w:val="StyleUnderline"/>
          <w:rFonts w:asciiTheme="minorHAnsi" w:hAnsiTheme="minorHAnsi" w:cstheme="minorHAnsi"/>
        </w:rPr>
        <w:t>human power</w:t>
      </w:r>
      <w:r w:rsidRPr="00ED0695">
        <w:rPr>
          <w:rFonts w:asciiTheme="minorHAnsi" w:hAnsiTheme="minorHAnsi" w:cstheme="minorHAnsi"/>
          <w:sz w:val="14"/>
        </w:rPr>
        <w:t xml:space="preserve"> not only </w:t>
      </w:r>
      <w:r w:rsidRPr="00ED0695">
        <w:rPr>
          <w:rStyle w:val="StyleUnderline"/>
          <w:rFonts w:asciiTheme="minorHAnsi" w:hAnsiTheme="minorHAnsi" w:cstheme="minorHAnsi"/>
        </w:rPr>
        <w:t>requires the union of will and obligation</w:t>
      </w:r>
      <w:r w:rsidRPr="00ED0695">
        <w:rPr>
          <w:rFonts w:asciiTheme="minorHAnsi" w:hAnsiTheme="minorHAnsi" w:cstheme="minorHAnsi"/>
          <w:sz w:val="14"/>
        </w:rPr>
        <w:t xml:space="preserve">, but also undeniably places responsibility at the centre of morality. </w:t>
      </w:r>
      <w:r w:rsidRPr="00ED0695">
        <w:rPr>
          <w:rStyle w:val="StyleUnderline"/>
          <w:rFonts w:asciiTheme="minorHAnsi" w:hAnsiTheme="minorHAnsi" w:cstheme="minorHAnsi"/>
        </w:rPr>
        <w:t>Ethics and politics are</w:t>
      </w:r>
      <w:r w:rsidRPr="00ED0695">
        <w:rPr>
          <w:rFonts w:asciiTheme="minorHAnsi" w:hAnsiTheme="minorHAnsi" w:cstheme="minorHAnsi"/>
          <w:sz w:val="14"/>
        </w:rPr>
        <w:t xml:space="preserve"> necessarily </w:t>
      </w:r>
      <w:r w:rsidRPr="00ED0695">
        <w:rPr>
          <w:rStyle w:val="StyleUnderline"/>
          <w:rFonts w:asciiTheme="minorHAnsi" w:hAnsiTheme="minorHAnsi" w:cstheme="minorHAnsi"/>
        </w:rPr>
        <w:t>interwoven</w:t>
      </w:r>
      <w:r w:rsidRPr="00ED0695">
        <w:rPr>
          <w:rFonts w:asciiTheme="minorHAnsi" w:hAnsiTheme="minorHAnsi" w:cstheme="minorHAnsi"/>
          <w:sz w:val="14"/>
        </w:rPr>
        <w:t xml:space="preserve">, and Hans Jonas – </w:t>
      </w:r>
      <w:r w:rsidRPr="00ED0695">
        <w:rPr>
          <w:rStyle w:val="StyleUnderline"/>
          <w:rFonts w:asciiTheme="minorHAnsi" w:hAnsiTheme="minorHAnsi" w:cstheme="minorHAnsi"/>
        </w:rPr>
        <w:t>in a situation where survival is threatened</w:t>
      </w:r>
      <w:r w:rsidRPr="00ED0695">
        <w:rPr>
          <w:rFonts w:asciiTheme="minorHAnsi" w:hAnsiTheme="minorHAnsi" w:cstheme="minorHAnsi"/>
          <w:sz w:val="14"/>
        </w:rPr>
        <w:t xml:space="preserve">, of emergency, owing to the exponential development of technological power, and in the conviction that human beings cannot adapt themselves to everything – declares: “For the moment, all work on the ‘true’ man must stand back behind the bare saving of its precondition, namely, the existence of mankind in a sufficient natural environment” </w:t>
      </w:r>
      <w:r w:rsidRPr="00ED0695">
        <w:rPr>
          <w:rStyle w:val="StyleUnderline"/>
          <w:rFonts w:asciiTheme="minorHAnsi" w:hAnsiTheme="minorHAnsi" w:cstheme="minorHAnsi"/>
        </w:rPr>
        <w:t xml:space="preserve">Responsible politics turns towards the future with the consciousness that it must guarantee the </w:t>
      </w:r>
      <w:r w:rsidRPr="00ED0695">
        <w:rPr>
          <w:rFonts w:asciiTheme="minorHAnsi" w:hAnsiTheme="minorHAnsi" w:cstheme="minorHAnsi"/>
          <w:sz w:val="14"/>
        </w:rPr>
        <w:t xml:space="preserve">very </w:t>
      </w:r>
      <w:r w:rsidRPr="00ED0695">
        <w:rPr>
          <w:rStyle w:val="StyleUnderline"/>
          <w:rFonts w:asciiTheme="minorHAnsi" w:hAnsiTheme="minorHAnsi" w:cstheme="minorHAnsi"/>
        </w:rPr>
        <w:t>possibility of responsible action and the existence of future generations</w:t>
      </w:r>
      <w:r w:rsidRPr="00ED0695">
        <w:rPr>
          <w:rFonts w:asciiTheme="minorHAnsi" w:hAnsiTheme="minorHAnsi" w:cstheme="minorHAnsi"/>
          <w:sz w:val="14"/>
        </w:rPr>
        <w:t xml:space="preserve">, as well as </w:t>
      </w:r>
      <w:r w:rsidRPr="00ED0695">
        <w:rPr>
          <w:rStyle w:val="StyleUnderline"/>
          <w:rFonts w:asciiTheme="minorHAnsi" w:hAnsiTheme="minorHAnsi" w:cstheme="minorHAnsi"/>
        </w:rPr>
        <w:t>the right to life of the world.</w:t>
      </w:r>
      <w:r w:rsidRPr="00ED0695">
        <w:rPr>
          <w:rFonts w:asciiTheme="minorHAnsi" w:hAnsiTheme="minorHAnsi" w:cstheme="minorHAnsi"/>
          <w:sz w:val="14"/>
        </w:rPr>
        <w:t xml:space="preserve"> It urges a limitation of technological development and the pursuit of a moderate and equitable use of resources. Philosophy itself has the task of watching over what fundamentally cannot be renounced, and indicating and motivating the understandable and agreeable reasons – in the broad, Aristotelian sense of the term – for political movement towards great renunciations out of respect and responsibility for life, which is a free gift, like the earth which we inhabit and the sky above us. In concluding his reflection on the theory of responsibility, Jonas reaffirms that </w:t>
      </w:r>
      <w:r w:rsidRPr="00ED0695">
        <w:rPr>
          <w:rStyle w:val="StyleUnderline"/>
          <w:rFonts w:asciiTheme="minorHAnsi" w:hAnsiTheme="minorHAnsi" w:cstheme="minorHAnsi"/>
        </w:rPr>
        <w:t>the place of responsibility is the being immersed in becoming</w:t>
      </w:r>
      <w:r w:rsidRPr="00ED0695">
        <w:rPr>
          <w:rFonts w:asciiTheme="minorHAnsi" w:hAnsiTheme="minorHAnsi" w:cstheme="minorHAnsi"/>
          <w:sz w:val="14"/>
        </w:rPr>
        <w:t>, subject to transiency and corruption, for which this theory turns to beings not sub specie aeternitas but sub specie temporis, in a vulnerability which makes their loss constantly possible at every instant, and where responsibility itself contributes to their continuum. In late modernity we can discover some positive courses: a) the exit from a subjectivity which has become a devourer and has collapsed upon itself; b) the recognition of the self-affirmation of being, who is given a way to participate in nature and in its children; and c) the respect of this as a given, regardless of our will, of our knowledge and of our power – respect which in the final analysis is respect and responsibility for life in and beyond ourselves. These phenomena can constitute the rediscovered common denominator in order to renew the possibility of dialogue among human beings: with themselves, with others, and with the world they encounter. Accepting with humility and honesty the self-affirmation of being is the first and also the ultimate key to opening the door to a new beginning, based on faith in the radical positivity of what we are.</w:t>
      </w:r>
    </w:p>
    <w:p w14:paraId="34DED3BC" w14:textId="607667F4" w:rsidR="00B82515" w:rsidRDefault="00B82515" w:rsidP="00B82515">
      <w:pPr>
        <w:pStyle w:val="Heading2"/>
      </w:pPr>
      <w:r>
        <w:t>Inherency</w:t>
      </w:r>
    </w:p>
    <w:p w14:paraId="1359CC7F" w14:textId="075722CD" w:rsidR="00A23EB6" w:rsidRDefault="00A23EB6" w:rsidP="00A23EB6">
      <w:pPr>
        <w:pStyle w:val="Heading3"/>
      </w:pPr>
      <w:r>
        <w:t>1nc- Squo Solves</w:t>
      </w:r>
    </w:p>
    <w:p w14:paraId="7706EA0B" w14:textId="77777777" w:rsidR="00A23EB6" w:rsidRDefault="00A23EB6" w:rsidP="00A23EB6">
      <w:pPr>
        <w:pStyle w:val="Heading4"/>
      </w:pPr>
      <w:r>
        <w:t>New influxes of funding into tribal governments prove Biden’s commitment to working with tribal communities</w:t>
      </w:r>
    </w:p>
    <w:p w14:paraId="5F4D93E4" w14:textId="77777777" w:rsidR="00A23EB6" w:rsidRPr="00FE25E3" w:rsidRDefault="00A23EB6" w:rsidP="00A23EB6">
      <w:r w:rsidRPr="00FE25E3">
        <w:rPr>
          <w:rStyle w:val="Style13ptBold"/>
        </w:rPr>
        <w:t xml:space="preserve">Walker and Cochrane 21 </w:t>
      </w:r>
      <w:r>
        <w:t>(</w:t>
      </w:r>
      <w:r w:rsidRPr="00FE25E3">
        <w:t>Mark Walker</w:t>
      </w:r>
      <w:r>
        <w:t>- F</w:t>
      </w:r>
      <w:r w:rsidRPr="00FE25E3">
        <w:t>OIA coordinator in the Washington bureau of The New York Times and Emily Cochrane</w:t>
      </w:r>
      <w:r>
        <w:t xml:space="preserve">- </w:t>
      </w:r>
      <w:r w:rsidRPr="00FE25E3">
        <w:t>reporter in the Washington bureau, 3-18-2021, "Tribal Communities Set to Receive Big New Infusion of Aid," No Publication, https://www.nytimes.com/2021/03/18/us/politics/tribal-communities-stimulus-coronavirus.html</w:t>
      </w:r>
      <w:r>
        <w:t>)</w:t>
      </w:r>
    </w:p>
    <w:p w14:paraId="3E2F813F" w14:textId="68F925B1" w:rsidR="00A23EB6" w:rsidRDefault="00A23EB6" w:rsidP="00A23EB6">
      <w:pPr>
        <w:rPr>
          <w:sz w:val="14"/>
        </w:rPr>
      </w:pPr>
      <w:r w:rsidRPr="00FE25E3">
        <w:rPr>
          <w:sz w:val="14"/>
        </w:rPr>
        <w:t xml:space="preserve">WASHINGTON — </w:t>
      </w:r>
      <w:r w:rsidRPr="00FE25E3">
        <w:rPr>
          <w:u w:val="single"/>
        </w:rPr>
        <w:t>After a year that provided stark new evidence of how racial inequities and a lack of federal funding had left tribal communities and Indigenous people especially vulnerable to crises like the pandemic, President Biden and Democrats in Congress are seeking to address those longstanding issues with a huge infusion of federal aid.</w:t>
      </w:r>
      <w:r>
        <w:rPr>
          <w:u w:val="single"/>
        </w:rPr>
        <w:t xml:space="preserve"> </w:t>
      </w:r>
      <w:r w:rsidRPr="00FE25E3">
        <w:rPr>
          <w:u w:val="single"/>
        </w:rPr>
        <w:t>The</w:t>
      </w:r>
      <w:r w:rsidRPr="00FE25E3">
        <w:rPr>
          <w:sz w:val="14"/>
        </w:rPr>
        <w:t xml:space="preserve"> $1.9 trillion </w:t>
      </w:r>
      <w:r w:rsidRPr="00FE25E3">
        <w:rPr>
          <w:u w:val="single"/>
        </w:rPr>
        <w:t>stimulus package</w:t>
      </w:r>
      <w:r w:rsidRPr="00FE25E3">
        <w:rPr>
          <w:sz w:val="14"/>
        </w:rPr>
        <w:t xml:space="preserve"> signed into law last week by Mr. Biden </w:t>
      </w:r>
      <w:r w:rsidRPr="00FE25E3">
        <w:rPr>
          <w:u w:val="single"/>
        </w:rPr>
        <w:t>contains more than $31 billion for tribal governments and other federal programs to help Native populations</w:t>
      </w:r>
      <w:r w:rsidRPr="00FE25E3">
        <w:rPr>
          <w:sz w:val="14"/>
        </w:rPr>
        <w:t xml:space="preserve">, a record level of assistance intended to help bolster health care and a variety of other services in some of the nation’s poorest communities. </w:t>
      </w:r>
      <w:r w:rsidRPr="00FE25E3">
        <w:rPr>
          <w:u w:val="single"/>
        </w:rPr>
        <w:t>The money is a crucial plank of Mr. Biden’s vow to address racial and economic inequities</w:t>
      </w:r>
      <w:r w:rsidRPr="00FE25E3">
        <w:rPr>
          <w:sz w:val="14"/>
        </w:rPr>
        <w:t xml:space="preserve"> and is a potentially transformative lifeline for tribes, who were among the hardest hit by the spread of the coronavirus. </w:t>
      </w:r>
      <w:r w:rsidRPr="00FE25E3">
        <w:rPr>
          <w:u w:val="single"/>
        </w:rPr>
        <w:t>It is also a high-profile step toward more equitable treatment after centuries of treaty violations and failures by the federal government to live up to its obligations</w:t>
      </w:r>
      <w:r w:rsidRPr="00FE25E3">
        <w:rPr>
          <w:sz w:val="14"/>
        </w:rPr>
        <w:t xml:space="preserve">. Mr. </w:t>
      </w:r>
      <w:r w:rsidRPr="00FE25E3">
        <w:rPr>
          <w:u w:val="single"/>
        </w:rPr>
        <w:t>Biden</w:t>
      </w:r>
      <w:r w:rsidRPr="00FE25E3">
        <w:rPr>
          <w:sz w:val="14"/>
        </w:rPr>
        <w:t xml:space="preserve"> signed the law last Thursday, and on Monday the Senate </w:t>
      </w:r>
      <w:r w:rsidRPr="00FE25E3">
        <w:rPr>
          <w:u w:val="single"/>
        </w:rPr>
        <w:t>confirmed Deb Haaland, who had been representing New Mexico in the House, as interior secretary, the first Native American woman to serve in the cabinet.</w:t>
      </w:r>
      <w:r>
        <w:rPr>
          <w:u w:val="single"/>
        </w:rPr>
        <w:t xml:space="preserve"> </w:t>
      </w:r>
      <w:r w:rsidRPr="00FE25E3">
        <w:rPr>
          <w:u w:val="single"/>
        </w:rPr>
        <w:t>The new legislation</w:t>
      </w:r>
      <w:r w:rsidRPr="00FE25E3">
        <w:rPr>
          <w:sz w:val="14"/>
        </w:rPr>
        <w:t xml:space="preserve">, passed without a single Republican vote, </w:t>
      </w:r>
      <w:r w:rsidRPr="00FE25E3">
        <w:rPr>
          <w:u w:val="single"/>
        </w:rPr>
        <w:t>allocates $20 billion to tribal governments.</w:t>
      </w:r>
      <w:r w:rsidRPr="00FE25E3">
        <w:rPr>
          <w:sz w:val="14"/>
        </w:rPr>
        <w:t xml:space="preserve"> </w:t>
      </w:r>
      <w:r w:rsidRPr="00FE25E3">
        <w:rPr>
          <w:u w:val="single"/>
        </w:rPr>
        <w:t>It also includes more than $6 billion for the Indian Health Service and other Native American health systems, including a $20 million fund for Native Hawaiians</w:t>
      </w:r>
      <w:r w:rsidRPr="00FE25E3">
        <w:rPr>
          <w:sz w:val="14"/>
        </w:rPr>
        <w:t xml:space="preserve">, as well as </w:t>
      </w:r>
      <w:r w:rsidRPr="00FE25E3">
        <w:rPr>
          <w:u w:val="single"/>
        </w:rPr>
        <w:t>$1.2 billion for housing and more than $1.1 billion for primary, secondary and higher education programs.</w:t>
      </w:r>
      <w:r>
        <w:rPr>
          <w:u w:val="single"/>
        </w:rPr>
        <w:t xml:space="preserve"> </w:t>
      </w:r>
      <w:r w:rsidRPr="00FE25E3">
        <w:rPr>
          <w:sz w:val="14"/>
        </w:rPr>
        <w:t>The new money comes on top of $8 billion allocated to tribal governments by Congress last March in the $2.2 trillion stimulus law, and additional funding for tribal health and education services in other relief legislation passed last year. “</w:t>
      </w:r>
      <w:r w:rsidRPr="00FE25E3">
        <w:rPr>
          <w:u w:val="single"/>
        </w:rPr>
        <w:t>Our promise to them has always been — on any of these issues — they will have a seat at the table</w:t>
      </w:r>
      <w:r w:rsidRPr="00FE25E3">
        <w:rPr>
          <w:sz w:val="14"/>
        </w:rPr>
        <w:t xml:space="preserve">,” Speaker Nancy Pelosi of California said in an interview. “It’s essential that we’re listening to the specific issues.” Senator Chuck Schumer of New York, the Democratic majority leader, said during a floor speech that the legislation “takes us a giant step closer to fulfilling our trust responsibilities to all Native Americans, Alaska Natives and Native Hawaiians.” </w:t>
      </w:r>
      <w:r w:rsidRPr="00FE25E3">
        <w:rPr>
          <w:u w:val="single"/>
        </w:rPr>
        <w:t>The aid comes after a year that devastated Native people across the country</w:t>
      </w:r>
      <w:r w:rsidRPr="00FE25E3">
        <w:rPr>
          <w:sz w:val="14"/>
        </w:rPr>
        <w:t>, as poverty, multigenerational housing and underlying health conditions contributed to the deadly spread of the pandemic. The Centers for Disease Control and Prevention found in August that in nearly half the states, Native Americans were disproportionately affected by the virus compared with their white counterparts. “There’s nothing more unjust than the way we currently treat Native people in the United States with whom we have treaty interest, and this was an opportunity for us to put our money where our mouth is,” said Senator Brian Schatz of Hawaii, the chairman of the Indian Affairs Committee. “</w:t>
      </w:r>
      <w:r w:rsidRPr="00FE25E3">
        <w:rPr>
          <w:b/>
          <w:u w:val="single"/>
        </w:rPr>
        <w:t>This is quite literally the biggest down payment in American history in the right direction, in the direction of justice.”</w:t>
      </w:r>
      <w:r>
        <w:rPr>
          <w:b/>
          <w:u w:val="single"/>
        </w:rPr>
        <w:t xml:space="preserve"> </w:t>
      </w:r>
      <w:r w:rsidRPr="00FE25E3">
        <w:rPr>
          <w:sz w:val="14"/>
        </w:rPr>
        <w:t xml:space="preserve">Lynn Malerba, the chief of the Mohegan Tribe, said the pandemic highlighted the inequities and challenges in Native American communities. Mr. Biden and this Congress understand those challenges much better than the previous administration, she said. </w:t>
      </w:r>
      <w:r w:rsidRPr="00FE25E3">
        <w:rPr>
          <w:u w:val="single"/>
        </w:rPr>
        <w:t>The funding</w:t>
      </w:r>
      <w:r w:rsidRPr="00FE25E3">
        <w:rPr>
          <w:sz w:val="14"/>
        </w:rPr>
        <w:t xml:space="preserve">, Ms. Malerba said, </w:t>
      </w:r>
      <w:r w:rsidRPr="00FE25E3">
        <w:rPr>
          <w:u w:val="single"/>
        </w:rPr>
        <w:t>is the federal government recognizing for the first time that tribal nations participate in the national economy and have the same responsibilities to the health and well-being</w:t>
      </w:r>
      <w:r w:rsidRPr="00FE25E3">
        <w:rPr>
          <w:sz w:val="14"/>
        </w:rPr>
        <w:t xml:space="preserve"> of their citizens as state and local governments. “If you consider the Native population, depending on what estimate you are using, is 3 to 5 percent of the population and we received 1.5 percent of funding, that’s significant,” Ms. Malerba said. “It’s a much greater number than the previous administration had provided to us.” ImageWater being delivered to a home with no running water near the Navajo Nation town of Fort Defiance in Arizona. The Indian Health Service said the money would provide better access to water. Water being delivered to a home with no running water near the Navajo Nation town of Fort Defiance in Arizona. The Indian Health Service said the money would provide better access to water.Credit...Mark Ralston/Agence France-Presse — Getty Images </w:t>
      </w:r>
      <w:r w:rsidRPr="00FE25E3">
        <w:rPr>
          <w:u w:val="single"/>
        </w:rPr>
        <w:t>The funds will mean tribal governments will be able to partly, or in some cases completely, offset revenue losses suffered during the pandemic</w:t>
      </w:r>
      <w:r w:rsidRPr="00FE25E3">
        <w:rPr>
          <w:sz w:val="14"/>
        </w:rPr>
        <w:t>, address health care shortcomings exposed by the virus and expand broadband access. The legislation also includes two separate grant funds for education programs for Alaska Natives and Native Hawaiians.</w:t>
      </w:r>
    </w:p>
    <w:p w14:paraId="49976C57" w14:textId="77777777" w:rsidR="00B82515" w:rsidRPr="00ED0695" w:rsidRDefault="00B82515" w:rsidP="00B82515">
      <w:pPr>
        <w:pStyle w:val="Heading4"/>
        <w:rPr>
          <w:rFonts w:asciiTheme="minorHAnsi" w:hAnsiTheme="minorHAnsi" w:cstheme="minorHAnsi"/>
        </w:rPr>
      </w:pPr>
      <w:r w:rsidRPr="00ED0695">
        <w:rPr>
          <w:rFonts w:asciiTheme="minorHAnsi" w:hAnsiTheme="minorHAnsi" w:cstheme="minorHAnsi"/>
        </w:rPr>
        <w:t>SQ solves the aff-they have already bolstered Environmental federalism</w:t>
      </w:r>
    </w:p>
    <w:p w14:paraId="51243459" w14:textId="77777777" w:rsidR="00B82515" w:rsidRPr="00ED0695" w:rsidRDefault="00B82515" w:rsidP="00B82515">
      <w:pPr>
        <w:rPr>
          <w:rFonts w:asciiTheme="minorHAnsi" w:hAnsiTheme="minorHAnsi" w:cstheme="minorHAnsi"/>
        </w:rPr>
      </w:pPr>
      <w:r w:rsidRPr="00ED0695">
        <w:rPr>
          <w:rStyle w:val="Style13ptBold"/>
        </w:rPr>
        <w:t xml:space="preserve">US </w:t>
      </w:r>
      <w:r>
        <w:rPr>
          <w:rStyle w:val="Style13ptBold"/>
        </w:rPr>
        <w:t>EPA</w:t>
      </w:r>
      <w:r w:rsidRPr="00ED0695">
        <w:rPr>
          <w:rStyle w:val="Style13ptBold"/>
        </w:rPr>
        <w:t xml:space="preserve"> 5-27-2021</w:t>
      </w:r>
      <w:r w:rsidRPr="00ED0695">
        <w:rPr>
          <w:rFonts w:asciiTheme="minorHAnsi" w:hAnsiTheme="minorHAnsi" w:cstheme="minorHAnsi"/>
        </w:rPr>
        <w:t>, "EPA Takes Action to Bolster State and Tribal Authority to Protect Water Resources," US EPA, https://www.epa.gov/newsreleases/epa-takes-action-bolster-state-and-tribal-authority-protect-water-resources-0</w:t>
      </w:r>
    </w:p>
    <w:p w14:paraId="74F92600" w14:textId="77777777" w:rsidR="00B82515" w:rsidRPr="00ED0695" w:rsidRDefault="00B82515" w:rsidP="00B82515">
      <w:pPr>
        <w:rPr>
          <w:rFonts w:asciiTheme="minorHAnsi" w:hAnsiTheme="minorHAnsi" w:cstheme="minorHAnsi"/>
          <w:u w:val="single"/>
        </w:rPr>
      </w:pPr>
      <w:r w:rsidRPr="00ED0695">
        <w:rPr>
          <w:rFonts w:asciiTheme="minorHAnsi" w:hAnsiTheme="minorHAnsi" w:cstheme="minorHAnsi"/>
          <w:sz w:val="14"/>
        </w:rPr>
        <w:t xml:space="preserve">WASHINGTON – Today, </w:t>
      </w:r>
      <w:r w:rsidRPr="00ED0695">
        <w:rPr>
          <w:rStyle w:val="StyleUnderline"/>
          <w:rFonts w:asciiTheme="minorHAnsi" w:hAnsiTheme="minorHAnsi" w:cstheme="minorHAnsi"/>
        </w:rPr>
        <w:t>the U.S</w:t>
      </w:r>
      <w:r w:rsidRPr="00ED0695">
        <w:rPr>
          <w:rFonts w:asciiTheme="minorHAnsi" w:hAnsiTheme="minorHAnsi" w:cstheme="minorHAnsi"/>
          <w:sz w:val="14"/>
        </w:rPr>
        <w:t>. Environmental Protection Agency (</w:t>
      </w:r>
      <w:r w:rsidRPr="00ED0695">
        <w:rPr>
          <w:rStyle w:val="StyleUnderline"/>
          <w:rFonts w:asciiTheme="minorHAnsi" w:hAnsiTheme="minorHAnsi" w:cstheme="minorHAnsi"/>
        </w:rPr>
        <w:t>EPA</w:t>
      </w:r>
      <w:r w:rsidRPr="00ED0695">
        <w:rPr>
          <w:rFonts w:asciiTheme="minorHAnsi" w:hAnsiTheme="minorHAnsi" w:cstheme="minorHAnsi"/>
          <w:sz w:val="14"/>
        </w:rPr>
        <w:t xml:space="preserve">) </w:t>
      </w:r>
      <w:r w:rsidRPr="00ED0695">
        <w:rPr>
          <w:rFonts w:asciiTheme="minorHAnsi" w:hAnsiTheme="minorHAnsi" w:cstheme="minorHAnsi"/>
          <w:u w:val="single"/>
        </w:rPr>
        <w:t>announced its intent to revise the 2020 Clean Water Act (CWA)</w:t>
      </w:r>
      <w:r w:rsidRPr="00ED0695">
        <w:rPr>
          <w:rFonts w:asciiTheme="minorHAnsi" w:hAnsiTheme="minorHAnsi" w:cstheme="minorHAnsi"/>
          <w:sz w:val="14"/>
        </w:rPr>
        <w:t xml:space="preserve"> Section 401 Certification Rule </w:t>
      </w:r>
      <w:r w:rsidRPr="00ED0695">
        <w:rPr>
          <w:rFonts w:asciiTheme="minorHAnsi" w:hAnsiTheme="minorHAnsi" w:cstheme="minorHAnsi"/>
          <w:u w:val="single"/>
        </w:rPr>
        <w:t>after determining that it erodes state and Tribal authority.</w:t>
      </w:r>
      <w:r w:rsidRPr="00ED0695">
        <w:rPr>
          <w:rFonts w:asciiTheme="minorHAnsi" w:hAnsiTheme="minorHAnsi" w:cstheme="minorHAnsi"/>
          <w:sz w:val="14"/>
        </w:rPr>
        <w:t xml:space="preserve"> Through this process, </w:t>
      </w:r>
      <w:r w:rsidRPr="00ED0695">
        <w:rPr>
          <w:rFonts w:asciiTheme="minorHAnsi" w:hAnsiTheme="minorHAnsi" w:cstheme="minorHAnsi"/>
          <w:u w:val="single"/>
        </w:rPr>
        <w:t>EPA intends to strengthen the authority of states and Tribes to protect their vital water resources.</w:t>
      </w:r>
      <w:r>
        <w:rPr>
          <w:rFonts w:asciiTheme="minorHAnsi" w:hAnsiTheme="minorHAnsi" w:cstheme="minorHAnsi"/>
          <w:u w:val="single"/>
        </w:rPr>
        <w:t xml:space="preserve"> </w:t>
      </w:r>
      <w:r w:rsidRPr="00ED0695">
        <w:rPr>
          <w:rFonts w:asciiTheme="minorHAnsi" w:hAnsiTheme="minorHAnsi" w:cstheme="minorHAnsi"/>
          <w:sz w:val="14"/>
        </w:rPr>
        <w:t>“We have serious water challenges to address as a nation and as EPA Administrator, I will not hesitate to correct decisions that weakened the authority of states and Tribes to protect their waters,” said EPA Administrator Michael S. Regan. “We need all state, Tribal, local, and federal partners working in collaboration to protect clean water, which underpins sustainable economic development and vibrant communities. Today, we take an important step to realize this commitment and reaffirm the authority of states and Tribes.” “</w:t>
      </w:r>
      <w:r w:rsidRPr="00ED0695">
        <w:rPr>
          <w:rFonts w:asciiTheme="minorHAnsi" w:hAnsiTheme="minorHAnsi" w:cstheme="minorHAnsi"/>
          <w:u w:val="single"/>
        </w:rPr>
        <w:t>States and Tribes have relied on the Clean Water Act for almost 50 years to protect our waters and people, and EPA’s action is essential to restoring that historic authority</w:t>
      </w:r>
      <w:r w:rsidRPr="00ED0695">
        <w:rPr>
          <w:rFonts w:asciiTheme="minorHAnsi" w:hAnsiTheme="minorHAnsi" w:cstheme="minorHAnsi"/>
          <w:sz w:val="14"/>
        </w:rPr>
        <w:t>,” said Oregon Governor Kate Brown. “</w:t>
      </w:r>
      <w:r w:rsidRPr="00ED0695">
        <w:rPr>
          <w:rFonts w:asciiTheme="minorHAnsi" w:hAnsiTheme="minorHAnsi" w:cstheme="minorHAnsi"/>
          <w:u w:val="single"/>
        </w:rPr>
        <w:t>The prior administration’s rule was not only harmful to the environment, it was corrosive to state, federal, and Tribal partnerships. Communities rely on clean water, businesses rely on clean water, and our environment is dependent on clean water. We welcome this important step by the Biden-Harris Administration to restore a strong, collaborative approach to protecting one of America’s most precious resources</w:t>
      </w:r>
      <w:r w:rsidRPr="00ED0695">
        <w:rPr>
          <w:rFonts w:asciiTheme="minorHAnsi" w:hAnsiTheme="minorHAnsi" w:cstheme="minorHAnsi"/>
          <w:sz w:val="14"/>
        </w:rPr>
        <w:t xml:space="preserve">.” </w:t>
      </w:r>
      <w:r w:rsidRPr="00ED0695">
        <w:rPr>
          <w:rFonts w:asciiTheme="minorHAnsi" w:hAnsiTheme="minorHAnsi" w:cstheme="minorHAnsi"/>
          <w:b/>
          <w:u w:val="single"/>
        </w:rPr>
        <w:t>EPA intends to reconsider and revise the 2020 CWA Section 401 Certification Rule to restore the balance of state, Tribal, and federal authorities while retaining elements that support efficient and effective implementation of Section 401</w:t>
      </w:r>
      <w:r w:rsidRPr="00ED0695">
        <w:rPr>
          <w:rFonts w:asciiTheme="minorHAnsi" w:hAnsiTheme="minorHAnsi" w:cstheme="minorHAnsi"/>
          <w:sz w:val="14"/>
        </w:rPr>
        <w:t xml:space="preserve">. Congress provided authority to states and Tribes under CWA Section 401 to protect the quality of their waters from adverse impacts resulting from federally licensed or permitted projects. </w:t>
      </w:r>
      <w:r w:rsidRPr="00ED0695">
        <w:rPr>
          <w:rFonts w:asciiTheme="minorHAnsi" w:hAnsiTheme="minorHAnsi" w:cstheme="minorHAnsi"/>
          <w:u w:val="single"/>
        </w:rPr>
        <w:t>Under Section 401, a federal agency may not issue a license or permit to conduct any activity that may result in any discharge into navigable waters unless the affected state or Tribe certifies that the discharge is in compliance with the Clean Water Act and state law, or waives certification.</w:t>
      </w:r>
      <w:r>
        <w:rPr>
          <w:rFonts w:asciiTheme="minorHAnsi" w:hAnsiTheme="minorHAnsi" w:cstheme="minorHAnsi"/>
          <w:u w:val="single"/>
        </w:rPr>
        <w:t xml:space="preserve"> </w:t>
      </w:r>
      <w:r w:rsidRPr="00ED0695">
        <w:rPr>
          <w:rFonts w:asciiTheme="minorHAnsi" w:hAnsiTheme="minorHAnsi" w:cstheme="minorHAnsi"/>
          <w:u w:val="single"/>
        </w:rPr>
        <w:t>The agency’s process of reconsidering and revising the 2020 CWA Section 401 Certification Rule will provide opportunity for public and stakeholder input to inform the development of a proposed regulation, and will include sustained dialogue with state and Tribal co-regulator partners and local governments around these issues</w:t>
      </w:r>
      <w:r w:rsidRPr="00ED0695">
        <w:rPr>
          <w:rFonts w:asciiTheme="minorHAnsi" w:hAnsiTheme="minorHAnsi" w:cstheme="minorHAnsi"/>
          <w:sz w:val="14"/>
        </w:rPr>
        <w:t xml:space="preserve">. EPA will begin a stakeholder engagement process in June to hear perspectives on this topic and how to move forward. More information will be available at: www.epa.gov/cwa-401. </w:t>
      </w:r>
      <w:r w:rsidRPr="00ED0695">
        <w:rPr>
          <w:rFonts w:asciiTheme="minorHAnsi" w:hAnsiTheme="minorHAnsi" w:cstheme="minorHAnsi"/>
          <w:u w:val="single"/>
        </w:rPr>
        <w:t xml:space="preserve">While EPA engages with stakeholders and develops a revised rule, the 2020 rule will remain in place. </w:t>
      </w:r>
      <w:r w:rsidRPr="00ED0695">
        <w:rPr>
          <w:rFonts w:asciiTheme="minorHAnsi" w:hAnsiTheme="minorHAnsi" w:cstheme="minorHAnsi"/>
          <w:sz w:val="14"/>
        </w:rPr>
        <w:t xml:space="preserve">The agency will continue listening to states and </w:t>
      </w:r>
      <w:r w:rsidRPr="00ED0695">
        <w:rPr>
          <w:rFonts w:asciiTheme="minorHAnsi" w:hAnsiTheme="minorHAnsi" w:cstheme="minorHAnsi"/>
          <w:u w:val="single"/>
        </w:rPr>
        <w:t>Tribes about their concerns with implementation of the 2020 rule to evaluate potential administrative approaches to help address these near-term challenges.</w:t>
      </w:r>
    </w:p>
    <w:p w14:paraId="7E127816" w14:textId="10AB50B8" w:rsidR="00A23EB6" w:rsidRDefault="00A23EB6" w:rsidP="00A23EB6">
      <w:pPr>
        <w:pStyle w:val="Heading3"/>
      </w:pPr>
      <w:r>
        <w:t>2nc</w:t>
      </w:r>
      <w:r w:rsidR="00B82515">
        <w:t xml:space="preserve">- </w:t>
      </w:r>
      <w:r>
        <w:t>squo solves</w:t>
      </w:r>
    </w:p>
    <w:p w14:paraId="2595E6BE" w14:textId="77777777" w:rsidR="00A23EB6" w:rsidRDefault="00A23EB6" w:rsidP="00A23EB6">
      <w:pPr>
        <w:pStyle w:val="Heading4"/>
      </w:pPr>
      <w:r>
        <w:t xml:space="preserve">Infrastructure bill redresses racial and economic inequalities </w:t>
      </w:r>
    </w:p>
    <w:p w14:paraId="02C1DF85" w14:textId="77777777" w:rsidR="00A23EB6" w:rsidRPr="00240E3D" w:rsidRDefault="00A23EB6" w:rsidP="00A23EB6">
      <w:r w:rsidRPr="00240E3D">
        <w:rPr>
          <w:rStyle w:val="Style13ptBold"/>
        </w:rPr>
        <w:t>Forsman 21</w:t>
      </w:r>
      <w:r>
        <w:t xml:space="preserve"> (</w:t>
      </w:r>
      <w:r w:rsidRPr="00240E3D">
        <w:t>Leonard Forsman</w:t>
      </w:r>
      <w:r>
        <w:t>-</w:t>
      </w:r>
      <w:r w:rsidRPr="00240E3D">
        <w:t xml:space="preserve"> Suquamish Tribe Chair and President of the Affiliated Tribes of Northwest Indians, 5-14-2021, "Native tribes need Biden’s bold plan to fix infrastructure," </w:t>
      </w:r>
      <w:r>
        <w:t>Crosscut</w:t>
      </w:r>
      <w:r w:rsidRPr="00240E3D">
        <w:t>, https://crosscut.com/opinion/2021/05/native-tribes-need-bidens-bold-plan-fix-infrastructure</w:t>
      </w:r>
      <w:r>
        <w:t>)</w:t>
      </w:r>
    </w:p>
    <w:p w14:paraId="62A89248" w14:textId="77777777" w:rsidR="00A23EB6" w:rsidRPr="00240E3D" w:rsidRDefault="00A23EB6" w:rsidP="00A23EB6">
      <w:pPr>
        <w:rPr>
          <w:u w:val="single"/>
        </w:rPr>
      </w:pPr>
      <w:r w:rsidRPr="00FE25E3">
        <w:rPr>
          <w:u w:val="single"/>
        </w:rPr>
        <w:t>Once in a generation, an opportunity comes along for the sort of progress represented by the Biden administration’s bold, yet practical, infrastructure initiative.</w:t>
      </w:r>
      <w:r>
        <w:rPr>
          <w:u w:val="single"/>
        </w:rPr>
        <w:t xml:space="preserve"> </w:t>
      </w:r>
      <w:r w:rsidRPr="00FE25E3">
        <w:rPr>
          <w:b/>
          <w:u w:val="single"/>
        </w:rPr>
        <w:t>The American Jobs Plan would address some of the most neglected aspects of life in the United States, including the challenging conditions that prevail in much of Indian Country</w:t>
      </w:r>
      <w:r w:rsidRPr="00240E3D">
        <w:rPr>
          <w:sz w:val="14"/>
        </w:rPr>
        <w:t xml:space="preserve">. </w:t>
      </w:r>
      <w:r w:rsidRPr="00240E3D">
        <w:rPr>
          <w:u w:val="single"/>
        </w:rPr>
        <w:t>This initiative would repair such traditional infrastructure</w:t>
      </w:r>
      <w:r w:rsidRPr="00240E3D">
        <w:rPr>
          <w:sz w:val="14"/>
        </w:rPr>
        <w:t xml:space="preserve"> as worn-out roads, rail lines and bridges, </w:t>
      </w:r>
      <w:r w:rsidRPr="00240E3D">
        <w:rPr>
          <w:u w:val="single"/>
        </w:rPr>
        <w:t>and also invest in infrastructure that would fuel future prosperity,</w:t>
      </w:r>
      <w:r w:rsidRPr="00240E3D">
        <w:rPr>
          <w:sz w:val="14"/>
        </w:rPr>
        <w:t xml:space="preserve"> like broadband internet and upgrades to the electrical grid. The proposal also makes significant investments in people by providing access to education, health care and public safety. The American Jobs Plan is a holistic approach to infrastructure that offers jobs now while strengthening our communities and investing in hope for generations to come. The COVID-19 pandemic and the expanding awareness of racial injustice make it clear that our country needs investment in both its muscle and its soul. </w:t>
      </w:r>
      <w:r w:rsidRPr="00240E3D">
        <w:rPr>
          <w:u w:val="single"/>
        </w:rPr>
        <w:t>Both are badly needed in tribal nations and by the country as a whole to create a better world for coming generations.</w:t>
      </w:r>
      <w:r>
        <w:rPr>
          <w:u w:val="single"/>
        </w:rPr>
        <w:t xml:space="preserve"> </w:t>
      </w:r>
      <w:r w:rsidRPr="00240E3D">
        <w:rPr>
          <w:sz w:val="14"/>
        </w:rPr>
        <w:t xml:space="preserve">As chairman of the Suquamish Tribe and president of the Affiliated Tribes of Northwest Indians, my work centers on American Indians, who are among the country’s most neglected people. Our fates were tied to treaties that promised education, health care and the right to continue our ways of life and means of sustenance through fishing and hunting. Most early federal investment was used to force us off lands coveted by settlers or extractive industries, and to attempt to assimilate us by dividing our reservations into allotments, scattering tribal communities and forcing tribal children (our parents and grandparents) into far-flung and often abusive boarding schools. </w:t>
      </w:r>
      <w:r w:rsidRPr="00240E3D">
        <w:rPr>
          <w:u w:val="single"/>
        </w:rPr>
        <w:t>The promises that the United States made to our people in these treaties were ignored, broken or both.</w:t>
      </w:r>
      <w:r>
        <w:rPr>
          <w:u w:val="single"/>
        </w:rPr>
        <w:t xml:space="preserve"> </w:t>
      </w:r>
      <w:r w:rsidRPr="00240E3D">
        <w:rPr>
          <w:sz w:val="14"/>
        </w:rPr>
        <w:t xml:space="preserve">Over time, though, </w:t>
      </w:r>
      <w:r w:rsidRPr="00240E3D">
        <w:rPr>
          <w:u w:val="single"/>
        </w:rPr>
        <w:t>farsighted tribal leaders, working from their living rooms with few resources, fought off policies aimed at undermining and even terminating tribes</w:t>
      </w:r>
      <w:r w:rsidRPr="00240E3D">
        <w:rPr>
          <w:sz w:val="14"/>
        </w:rPr>
        <w:t xml:space="preserve">. These leaders pushed back against federal, state and local policies that fractured tribal economies — which were built on fishing, hunting and other sustainable harvesting practices — and against policies that neglected health and educational services. </w:t>
      </w:r>
      <w:r w:rsidRPr="00240E3D">
        <w:rPr>
          <w:u w:val="single"/>
        </w:rPr>
        <w:t xml:space="preserve">These leaders made remarkable progress, but Indian Country has a long way to go to recover from generations of federal mismanagement, discriminatory practices, treaty violations and neglect. </w:t>
      </w:r>
      <w:r w:rsidRPr="00240E3D">
        <w:rPr>
          <w:b/>
          <w:u w:val="single"/>
        </w:rPr>
        <w:t>President Biden’s jobs plan is a historic step toward meeting the federal government’s obligations to Indian Country, while making the entire nation more resilient.</w:t>
      </w:r>
      <w:r>
        <w:rPr>
          <w:b/>
          <w:u w:val="single"/>
        </w:rPr>
        <w:t xml:space="preserve"> </w:t>
      </w:r>
      <w:r w:rsidRPr="00240E3D">
        <w:rPr>
          <w:sz w:val="14"/>
        </w:rPr>
        <w:t xml:space="preserve">Here are just some of the many areas in which the plan could help transform Indian Country: </w:t>
      </w:r>
      <w:r w:rsidRPr="00240E3D">
        <w:rPr>
          <w:u w:val="single"/>
        </w:rPr>
        <w:t>Health care. Indian Country has one of the nation’s most underfunded health care systems, which contributes to the fact that American Indians suffer some of the worst health outcomes in the nation</w:t>
      </w:r>
      <w:r w:rsidRPr="00240E3D">
        <w:rPr>
          <w:sz w:val="14"/>
        </w:rPr>
        <w:t xml:space="preserve">. Funding from the Coronavirus Aid, Relief and Economic Security Act has helped. My tribe, the Suquamish Tribe, was able to make a down payment on a badly needed health clinic with CARES Act funding. But much more needs to be done to restore the health of our people. </w:t>
      </w:r>
      <w:r w:rsidRPr="00240E3D">
        <w:rPr>
          <w:u w:val="single"/>
        </w:rPr>
        <w:t>The American Jobs Plan will bolster funding for critical infrastructure that supports health care facilities, including clean water, sanitation and broadband</w:t>
      </w:r>
      <w:r w:rsidRPr="00240E3D">
        <w:rPr>
          <w:sz w:val="14"/>
        </w:rPr>
        <w:t xml:space="preserve">. </w:t>
      </w:r>
      <w:r w:rsidRPr="00240E3D">
        <w:rPr>
          <w:u w:val="single"/>
        </w:rPr>
        <w:t xml:space="preserve">Habitat restoration. </w:t>
      </w:r>
      <w:r w:rsidRPr="00240E3D">
        <w:rPr>
          <w:sz w:val="14"/>
        </w:rPr>
        <w:t xml:space="preserve">Our treaty fishing rights mean little if the species we rely on go extinct. As with the southern resident killer whales, our ways of life are endangered by the sharp decline in salmon populations and the pollution of shellfish beds. Infrastructure spending can help salmon populations recover by upgrading failing municipal sewage systems (as in King County), replacing fish-blocking culverts and cleaning up toxic waste sites. </w:t>
      </w:r>
      <w:r w:rsidRPr="00240E3D">
        <w:rPr>
          <w:u w:val="single"/>
        </w:rPr>
        <w:t>This support can also enable the long-overdue breaching of the lower Snake River dams as part of a Northwest salmon recovery strategy.</w:t>
      </w:r>
      <w:r>
        <w:rPr>
          <w:u w:val="single"/>
        </w:rPr>
        <w:t xml:space="preserve"> </w:t>
      </w:r>
      <w:r w:rsidRPr="00240E3D">
        <w:rPr>
          <w:u w:val="single"/>
        </w:rPr>
        <w:t>Broadband internet. Tribal</w:t>
      </w:r>
      <w:r w:rsidRPr="00240E3D">
        <w:rPr>
          <w:sz w:val="14"/>
        </w:rPr>
        <w:t xml:space="preserve"> </w:t>
      </w:r>
      <w:r w:rsidRPr="00240E3D">
        <w:rPr>
          <w:u w:val="single"/>
        </w:rPr>
        <w:t xml:space="preserve">nations are frequently the last to get connected to broadband internet, and the pandemic has made clear that connectivity is a lifeline to education, business development and medical services. </w:t>
      </w:r>
      <w:r w:rsidRPr="00240E3D">
        <w:rPr>
          <w:sz w:val="14"/>
        </w:rPr>
        <w:t xml:space="preserve">The Suquamish Tribe leveraged CARES Act funding to provide emergency hotspots to families and students without internet access, and to begin building an internet system that will finally connect tribal housing to broadband services. </w:t>
      </w:r>
      <w:r w:rsidRPr="00240E3D">
        <w:rPr>
          <w:u w:val="single"/>
        </w:rPr>
        <w:t>Biden’s plan promises 100% coverage with high-speed internet, which will be a game changer for both rural communities and tribal nations.</w:t>
      </w:r>
      <w:r>
        <w:rPr>
          <w:u w:val="single"/>
        </w:rPr>
        <w:t xml:space="preserve"> </w:t>
      </w:r>
      <w:r w:rsidRPr="00240E3D">
        <w:rPr>
          <w:u w:val="single"/>
        </w:rPr>
        <w:t>Climate change.</w:t>
      </w:r>
      <w:r w:rsidRPr="00240E3D">
        <w:rPr>
          <w:sz w:val="14"/>
        </w:rPr>
        <w:t xml:space="preserve"> A warming climate poses a threat to all species, including ourselves. Some Indian nations are being forced to move their villages as waters rise. Many of us are seeing the devastating impacts on fish and shellfish of warming rivers and seas, and acidifying oceans. The American Jobs Plan would invest in clean transportation, energy generation and agriculture that would restore hope for the future while creating good paying jobs today. </w:t>
      </w:r>
      <w:r w:rsidRPr="00240E3D">
        <w:rPr>
          <w:u w:val="single"/>
        </w:rPr>
        <w:t>A resilient, updated infrastructure means all of us are able to better weather the inevitable climate challenges ahead.</w:t>
      </w:r>
      <w:r>
        <w:rPr>
          <w:u w:val="single"/>
        </w:rPr>
        <w:t xml:space="preserve"> </w:t>
      </w:r>
      <w:r w:rsidRPr="00240E3D">
        <w:rPr>
          <w:u w:val="single"/>
        </w:rPr>
        <w:t>Housing</w:t>
      </w:r>
      <w:r w:rsidRPr="00240E3D">
        <w:rPr>
          <w:sz w:val="14"/>
        </w:rPr>
        <w:t xml:space="preserve">. Forty percent of the housing on Indian reservations is inadequate, compared with 6% nationwide. The COVID-19 pandemic ravaged tribal nations, in part, because many multigenerational families living in the same homes were unable to practice social distancing. </w:t>
      </w:r>
      <w:r w:rsidRPr="00240E3D">
        <w:rPr>
          <w:u w:val="single"/>
        </w:rPr>
        <w:t>The jobs plan would invest in crucial development to ensure that American Indians and others can access affordable housing.</w:t>
      </w:r>
      <w:r>
        <w:rPr>
          <w:u w:val="single"/>
        </w:rPr>
        <w:t xml:space="preserve"> </w:t>
      </w:r>
      <w:r w:rsidRPr="00240E3D">
        <w:rPr>
          <w:sz w:val="14"/>
        </w:rPr>
        <w:t xml:space="preserve">These are just some of the Suquamish Tribe’s and other Northwest tribes’ priorities to be addressed by the American Jobs Plan, ensuring a better, healthier and more prosperous future for Indian Country and the entire nation. </w:t>
      </w:r>
      <w:r w:rsidRPr="00240E3D">
        <w:rPr>
          <w:u w:val="single"/>
        </w:rPr>
        <w:t>I call on Congress to partner with President Biden in a bipartisan effort to help the United States and Indian Country begin to heal the wounds of the past, and build a future where all peoples and species will thrive.</w:t>
      </w:r>
    </w:p>
    <w:p w14:paraId="335A1D57" w14:textId="1F013474" w:rsidR="00B82515" w:rsidRDefault="00B82515" w:rsidP="00B82515">
      <w:pPr>
        <w:pStyle w:val="Heading2"/>
      </w:pPr>
      <w:r>
        <w:t>Solvency</w:t>
      </w:r>
    </w:p>
    <w:p w14:paraId="05B34764" w14:textId="77777777" w:rsidR="00B82515" w:rsidRPr="00ED0695" w:rsidRDefault="00B82515" w:rsidP="00B82515">
      <w:pPr>
        <w:pStyle w:val="Heading3"/>
        <w:rPr>
          <w:rFonts w:asciiTheme="minorHAnsi" w:hAnsiTheme="minorHAnsi" w:cstheme="minorHAnsi"/>
        </w:rPr>
      </w:pPr>
      <w:r>
        <w:rPr>
          <w:rFonts w:asciiTheme="minorHAnsi" w:hAnsiTheme="minorHAnsi" w:cstheme="minorHAnsi"/>
        </w:rPr>
        <w:t>1nc- TAS</w:t>
      </w:r>
      <w:r w:rsidRPr="00ED0695">
        <w:rPr>
          <w:rFonts w:asciiTheme="minorHAnsi" w:hAnsiTheme="minorHAnsi" w:cstheme="minorHAnsi"/>
        </w:rPr>
        <w:t xml:space="preserve"> Fails</w:t>
      </w:r>
    </w:p>
    <w:p w14:paraId="49C6854B" w14:textId="77777777" w:rsidR="00B82515" w:rsidRPr="00ED0695" w:rsidRDefault="00B82515" w:rsidP="00B82515">
      <w:pPr>
        <w:pStyle w:val="Heading4"/>
        <w:rPr>
          <w:rFonts w:asciiTheme="minorHAnsi" w:hAnsiTheme="minorHAnsi" w:cstheme="minorHAnsi"/>
        </w:rPr>
      </w:pPr>
      <w:r w:rsidRPr="00ED0695">
        <w:rPr>
          <w:rFonts w:asciiTheme="minorHAnsi" w:hAnsiTheme="minorHAnsi" w:cstheme="minorHAnsi"/>
        </w:rPr>
        <w:t xml:space="preserve">Turn: TAS decks sovereignty and expands institutional colonialism </w:t>
      </w:r>
    </w:p>
    <w:p w14:paraId="5FF47067" w14:textId="77777777" w:rsidR="00B82515" w:rsidRPr="00ED0695" w:rsidRDefault="00B82515" w:rsidP="00B82515">
      <w:pPr>
        <w:rPr>
          <w:rFonts w:asciiTheme="minorHAnsi" w:hAnsiTheme="minorHAnsi" w:cstheme="minorHAnsi"/>
        </w:rPr>
      </w:pPr>
      <w:r w:rsidRPr="00ED0695">
        <w:rPr>
          <w:rFonts w:asciiTheme="minorHAnsi" w:hAnsiTheme="minorHAnsi" w:cstheme="minorHAnsi"/>
        </w:rPr>
        <w:t xml:space="preserve">Jonah </w:t>
      </w:r>
      <w:r w:rsidRPr="00ED0695">
        <w:rPr>
          <w:rStyle w:val="Style13ptBold"/>
          <w:rFonts w:asciiTheme="minorHAnsi" w:hAnsiTheme="minorHAnsi" w:cstheme="minorHAnsi"/>
        </w:rPr>
        <w:t>Seifer</w:t>
      </w:r>
      <w:r w:rsidRPr="00ED0695">
        <w:rPr>
          <w:rFonts w:asciiTheme="minorHAnsi" w:hAnsiTheme="minorHAnsi" w:cstheme="minorHAnsi"/>
        </w:rPr>
        <w:t>, 20</w:t>
      </w:r>
      <w:r w:rsidRPr="00ED0695">
        <w:rPr>
          <w:rStyle w:val="Style13ptBold"/>
          <w:rFonts w:asciiTheme="minorHAnsi" w:hAnsiTheme="minorHAnsi" w:cstheme="minorHAnsi"/>
        </w:rPr>
        <w:t>16</w:t>
      </w:r>
      <w:r w:rsidRPr="00ED0695">
        <w:rPr>
          <w:rFonts w:asciiTheme="minorHAnsi" w:hAnsiTheme="minorHAnsi" w:cstheme="minorHAnsi"/>
        </w:rPr>
        <w:t xml:space="preserve"> , State of the Rockies Project Fellow, Native American Water Quality Rights How the EPA’s Treatment as a State Program can Strengthen Tribal Sovereignty in the Southwest https://www.coloradocollege.edu/dotAsset/6a112a39-0d6d-440b-a304-4210fe61320f.pdf</w:t>
      </w:r>
    </w:p>
    <w:p w14:paraId="3F88F74F" w14:textId="77777777" w:rsidR="00B82515" w:rsidRPr="00ED0695" w:rsidRDefault="00B82515" w:rsidP="00B82515">
      <w:pPr>
        <w:rPr>
          <w:rStyle w:val="StyleUnderline"/>
          <w:rFonts w:asciiTheme="minorHAnsi" w:hAnsiTheme="minorHAnsi" w:cstheme="minorHAnsi"/>
        </w:rPr>
      </w:pPr>
      <w:r w:rsidRPr="00ED0695">
        <w:rPr>
          <w:rFonts w:asciiTheme="minorHAnsi" w:hAnsiTheme="minorHAnsi" w:cstheme="minorHAnsi"/>
          <w:sz w:val="14"/>
        </w:rPr>
        <w:t xml:space="preserve">While </w:t>
      </w:r>
      <w:r w:rsidRPr="00ED0695">
        <w:rPr>
          <w:rStyle w:val="StyleUnderline"/>
          <w:rFonts w:asciiTheme="minorHAnsi" w:hAnsiTheme="minorHAnsi" w:cstheme="minorHAnsi"/>
        </w:rPr>
        <w:t>tribes are parallel sovereigns with respect to state and federal governments, the nature of their sovereignty is not the same.</w:t>
      </w:r>
      <w:r w:rsidRPr="00ED0695">
        <w:rPr>
          <w:rFonts w:asciiTheme="minorHAnsi" w:hAnsiTheme="minorHAnsi" w:cstheme="minorHAnsi"/>
          <w:sz w:val="14"/>
        </w:rPr>
        <w:t xml:space="preserve"> Native American tribes were independent prior to the colonization of North America and were not involved in the formation of the United States. </w:t>
      </w:r>
      <w:r w:rsidRPr="00ED0695">
        <w:rPr>
          <w:rStyle w:val="StyleUnderline"/>
          <w:rFonts w:asciiTheme="minorHAnsi" w:hAnsiTheme="minorHAnsi" w:cstheme="minorHAnsi"/>
        </w:rPr>
        <w:t>Their regulatory authority</w:t>
      </w:r>
      <w:r w:rsidRPr="00ED0695">
        <w:rPr>
          <w:rFonts w:asciiTheme="minorHAnsi" w:hAnsiTheme="minorHAnsi" w:cstheme="minorHAnsi"/>
          <w:sz w:val="14"/>
        </w:rPr>
        <w:t xml:space="preserve"> over their own lands, regardless of the trust responsibility of the federal government, </w:t>
      </w:r>
      <w:r w:rsidRPr="00ED0695">
        <w:rPr>
          <w:rStyle w:val="StyleUnderline"/>
          <w:rFonts w:asciiTheme="minorHAnsi" w:hAnsiTheme="minorHAnsi" w:cstheme="minorHAnsi"/>
        </w:rPr>
        <w:t xml:space="preserve">is inherent in their existence as a people </w:t>
      </w:r>
      <w:r w:rsidRPr="00ED0695">
        <w:rPr>
          <w:rFonts w:asciiTheme="minorHAnsi" w:hAnsiTheme="minorHAnsi" w:cstheme="minorHAnsi"/>
          <w:sz w:val="14"/>
        </w:rPr>
        <w:t xml:space="preserve">and occupation of those lands. Thus, </w:t>
      </w:r>
      <w:r w:rsidRPr="00ED0695">
        <w:rPr>
          <w:rStyle w:val="StyleUnderline"/>
          <w:rFonts w:asciiTheme="minorHAnsi" w:hAnsiTheme="minorHAnsi" w:cstheme="minorHAnsi"/>
        </w:rPr>
        <w:t>the TAS program, “diminishes tribal sovereignty</w:t>
      </w:r>
      <w:r w:rsidRPr="00ED0695">
        <w:rPr>
          <w:rFonts w:asciiTheme="minorHAnsi" w:hAnsiTheme="minorHAnsi" w:cstheme="minorHAnsi"/>
          <w:sz w:val="14"/>
        </w:rPr>
        <w:t>…[</w:t>
      </w:r>
      <w:r w:rsidRPr="00ED0695">
        <w:rPr>
          <w:rStyle w:val="StyleUnderline"/>
          <w:rFonts w:asciiTheme="minorHAnsi" w:hAnsiTheme="minorHAnsi" w:cstheme="minorHAnsi"/>
        </w:rPr>
        <w:t>by] maintain[ing] that [tribes] must fix water quality standards as a state, rather than as a nation, in accordance with federal laws”</w:t>
      </w:r>
      <w:r w:rsidRPr="00ED0695">
        <w:rPr>
          <w:rFonts w:asciiTheme="minorHAnsi" w:hAnsiTheme="minorHAnsi" w:cstheme="minorHAnsi"/>
          <w:sz w:val="14"/>
        </w:rPr>
        <w:t xml:space="preserve"> (Rodgers 2004). This is the essence of how the nature of tribal sovereignty is dissimilar to state and federal sovereignty. </w:t>
      </w:r>
      <w:r w:rsidRPr="00ED0695">
        <w:rPr>
          <w:rStyle w:val="StyleUnderline"/>
          <w:rFonts w:asciiTheme="minorHAnsi" w:hAnsiTheme="minorHAnsi" w:cstheme="minorHAnsi"/>
        </w:rPr>
        <w:t xml:space="preserve">Tribes are not a part of the cooperative federalism partnership made between states and the federal government, so they should not be forced to conform to the legal frameworks of another nation. </w:t>
      </w:r>
      <w:r w:rsidRPr="00ED0695">
        <w:rPr>
          <w:rFonts w:asciiTheme="minorHAnsi" w:hAnsiTheme="minorHAnsi" w:cstheme="minorHAnsi"/>
          <w:sz w:val="14"/>
        </w:rPr>
        <w:t xml:space="preserve">While it brings potential for great benefits to tribes, TAS does so in a way that is inconsistent with the modern political reality. This is why </w:t>
      </w:r>
      <w:r w:rsidRPr="00ED0695">
        <w:rPr>
          <w:rStyle w:val="StyleUnderline"/>
          <w:rFonts w:asciiTheme="minorHAnsi" w:hAnsiTheme="minorHAnsi" w:cstheme="minorHAnsi"/>
        </w:rPr>
        <w:t xml:space="preserve">TAS somewhat diminishes tribal sovereignty; it perpetuates the erroneous system of incorporating tribal governance into the larger governmental partnership maintained by the states and federal governments. </w:t>
      </w:r>
    </w:p>
    <w:p w14:paraId="04846E04" w14:textId="77777777" w:rsidR="00B82515" w:rsidRDefault="00B82515" w:rsidP="00B82515">
      <w:pPr>
        <w:pStyle w:val="Heading4"/>
      </w:pPr>
      <w:r>
        <w:t>Treatment as State expands EPA control on reservations under the guise of expanding tribal authority</w:t>
      </w:r>
    </w:p>
    <w:p w14:paraId="677D3A89" w14:textId="77777777" w:rsidR="00B82515" w:rsidRPr="009C45AB" w:rsidRDefault="00B82515" w:rsidP="00B82515">
      <w:r w:rsidRPr="009C45AB">
        <w:rPr>
          <w:rStyle w:val="Style13ptBold"/>
        </w:rPr>
        <w:t>FindLaw 18</w:t>
      </w:r>
      <w:r>
        <w:t xml:space="preserve"> (FindLaw- team of legal educators who provide free legal content for professionals and general public</w:t>
      </w:r>
      <w:r w:rsidRPr="009C45AB">
        <w:t>, 4-6-2018, "The Clean Air Act "Treatment As States" Rule," Findlaw, https://corporate.findlaw.com/law-library/the-clean-air-act-treatment-as-states-rule.html</w:t>
      </w:r>
      <w:r>
        <w:t>)</w:t>
      </w:r>
    </w:p>
    <w:p w14:paraId="4A3B849E" w14:textId="77777777" w:rsidR="00B82515" w:rsidRPr="009C45AB" w:rsidRDefault="00B82515" w:rsidP="00B82515">
      <w:pPr>
        <w:rPr>
          <w:sz w:val="14"/>
        </w:rPr>
      </w:pPr>
      <w:r w:rsidRPr="009C45AB">
        <w:rPr>
          <w:sz w:val="14"/>
        </w:rPr>
        <w:t xml:space="preserve">Issues Concerning the TAS Rule's Territorial Approach to On-Reservation Jurisdiction </w:t>
      </w:r>
      <w:r w:rsidRPr="00353402">
        <w:rPr>
          <w:b/>
          <w:u w:val="single"/>
        </w:rPr>
        <w:t>The TAS Rule's territorial approach to on-reservation jurisdiction means that sources located on non-Indian owned fee lands within reservation boundaries could be subject to air quality regulation by both a tribe and the EPA</w:t>
      </w:r>
      <w:r w:rsidRPr="009C45AB">
        <w:rPr>
          <w:sz w:val="14"/>
        </w:rPr>
        <w:t xml:space="preserve">. Under the TAS Rule, tribes can elect to seek program delegation for some CAA programs but not others, and </w:t>
      </w:r>
      <w:r w:rsidRPr="00353402">
        <w:rPr>
          <w:u w:val="single"/>
        </w:rPr>
        <w:t>the EPA will continue to administer those programs not delegated to a tribe</w:t>
      </w:r>
      <w:r w:rsidRPr="009C45AB">
        <w:rPr>
          <w:sz w:val="14"/>
        </w:rPr>
        <w:t xml:space="preserve">. Moreover, </w:t>
      </w:r>
      <w:r w:rsidRPr="00353402">
        <w:rPr>
          <w:u w:val="single"/>
        </w:rPr>
        <w:t>EPA has declined to provide for grandfathering of existing sources located on fee lands which had historically been regulated by state or local air pollution control agencies</w:t>
      </w:r>
      <w:r w:rsidRPr="009C45AB">
        <w:rPr>
          <w:sz w:val="14"/>
        </w:rPr>
        <w:t xml:space="preserve">. Instead, </w:t>
      </w:r>
      <w:r w:rsidRPr="00353402">
        <w:rPr>
          <w:b/>
          <w:u w:val="single"/>
        </w:rPr>
        <w:t>those sources became subject to EPA regulatory authority unless the state or local air pollution control agency that had been regulating the source had been expressly approved by EPA to implement CAA programs in Indian country</w:t>
      </w:r>
      <w:r w:rsidRPr="009C45AB">
        <w:rPr>
          <w:sz w:val="14"/>
        </w:rPr>
        <w:t xml:space="preserve">. </w:t>
      </w:r>
      <w:r w:rsidRPr="00353402">
        <w:rPr>
          <w:u w:val="single"/>
        </w:rPr>
        <w:t>Sources</w:t>
      </w:r>
      <w:r w:rsidRPr="009C45AB">
        <w:rPr>
          <w:sz w:val="14"/>
        </w:rPr>
        <w:t xml:space="preserve"> located on fee lands within reservation boundaries thus will need to carefully evaluate how the change from state to EPA regulatory control will affect the source's record-keeping or reporting requirements and other applicable air emission conditions. </w:t>
      </w:r>
      <w:r w:rsidRPr="00353402">
        <w:rPr>
          <w:u w:val="single"/>
        </w:rPr>
        <w:t>EPA's "territorial approach" to on-reservation jurisdiction likely will be subject to challenge as part of the pending appeal from the TAS Rule</w:t>
      </w:r>
      <w:r w:rsidRPr="009C45AB">
        <w:rPr>
          <w:sz w:val="14"/>
        </w:rPr>
        <w:t xml:space="preserve">. The "territorial approach" may be subject to attack as being inconsistent with the legislative history of the 1990 Amendments to the CAA and as inconsistent with other provisions of the Act. The legislative history of the 1990 Amendments reflects that Congress sought to authorize CAA delegations to tribes in the same manner as it had done under the Clean Water Act and the Safe Drinking Water Act. The Senate Report accompanying the 1990 Amendments states that tribes may be treated as States only if: the tribe is recognized by the Secretary of Interior and has a governing body carrying out substantial government duties; the functions under the Act to be carried out by the tribe are within the tribal government's jurisdiction; and the tribe is, in the Administrator's judgment, capable of carrying out the functions it is authorized to exercise. </w:t>
      </w:r>
      <w:r w:rsidRPr="00353402">
        <w:rPr>
          <w:u w:val="single"/>
        </w:rPr>
        <w:t>That Senate Report reflects that Congress intended the CAA treatment as states provision to be implemented consistent with the implementation of the treatment as states provisions in the Clean Water Act and the Safe Drinking Water Act</w:t>
      </w:r>
      <w:r w:rsidRPr="00353402">
        <w:rPr>
          <w:b/>
          <w:u w:val="single"/>
        </w:rPr>
        <w:t>, which require a demonstration of inherent tribal authority as a prerequisite to receiving treatment as states authority.</w:t>
      </w:r>
      <w:r w:rsidRPr="009C45AB">
        <w:rPr>
          <w:sz w:val="14"/>
        </w:rPr>
        <w:t xml:space="preserve"> </w:t>
      </w:r>
      <w:r w:rsidRPr="00353402">
        <w:rPr>
          <w:b/>
          <w:u w:val="single"/>
        </w:rPr>
        <w:t>The EPA adhered to its "statutory responsibility not to delegate enforcement authority to a Tribe unless the Tribal government possesses the necessary regulatory authority."</w:t>
      </w:r>
      <w:r>
        <w:rPr>
          <w:b/>
          <w:u w:val="single"/>
        </w:rPr>
        <w:t xml:space="preserve"> </w:t>
      </w:r>
      <w:r w:rsidRPr="00353402">
        <w:rPr>
          <w:u w:val="single"/>
        </w:rPr>
        <w:t>The presumption of tribal jurisdiction over fee lands within reservation boundaries contained in the TAS Rule</w:t>
      </w:r>
      <w:r w:rsidRPr="009C45AB">
        <w:rPr>
          <w:sz w:val="14"/>
        </w:rPr>
        <w:t xml:space="preserve">, thus, </w:t>
      </w:r>
      <w:r w:rsidRPr="00353402">
        <w:rPr>
          <w:u w:val="single"/>
        </w:rPr>
        <w:t>appears to be at odds with the Congressional intent that the treatment as states provision of the CAA be similar to the treatment as states schemes under the CWA and SDWA</w:t>
      </w:r>
      <w:r w:rsidRPr="009C45AB">
        <w:rPr>
          <w:sz w:val="14"/>
        </w:rPr>
        <w:t>. The TAS Rule also conflicts with the EPA's own policy statements which acknowledge that the EPA will authorize tribal administration of regulatory programs "only where that government can demonstrate adequate jurisdiction over pollution sources throughout the reservation."</w:t>
      </w:r>
    </w:p>
    <w:p w14:paraId="685B7BFC" w14:textId="77777777" w:rsidR="00B82515" w:rsidRDefault="00B82515" w:rsidP="00B82515">
      <w:pPr>
        <w:pStyle w:val="Heading4"/>
      </w:pPr>
      <w:r>
        <w:t>EPA circumvents bill to avoid giving regulatory control to tribal governments—TAS under CAA proves</w:t>
      </w:r>
    </w:p>
    <w:p w14:paraId="18B0638B" w14:textId="77777777" w:rsidR="00B82515" w:rsidRPr="009C45AB" w:rsidRDefault="00B82515" w:rsidP="00B82515">
      <w:r w:rsidRPr="009C45AB">
        <w:rPr>
          <w:rStyle w:val="Style13ptBold"/>
        </w:rPr>
        <w:t>FindLaw 18</w:t>
      </w:r>
      <w:r>
        <w:t xml:space="preserve"> (FindLaw- team of legal educators who provide free legal content for professionals and general public</w:t>
      </w:r>
      <w:r w:rsidRPr="009C45AB">
        <w:t>, 4-6-2018, "The Clean Air Act "Treatment As States" Rule," Findlaw, https://corporate.findlaw.com/law-library/the-clean-air-act-treatment-as-states-rule.html</w:t>
      </w:r>
      <w:r>
        <w:t>)</w:t>
      </w:r>
    </w:p>
    <w:p w14:paraId="41E77BAD" w14:textId="77777777" w:rsidR="00B82515" w:rsidRPr="00353402" w:rsidRDefault="00B82515" w:rsidP="00B82515">
      <w:pPr>
        <w:rPr>
          <w:u w:val="single"/>
        </w:rPr>
      </w:pPr>
      <w:r w:rsidRPr="00353402">
        <w:rPr>
          <w:u w:val="single"/>
        </w:rPr>
        <w:t>The EPA's interpretation of</w:t>
      </w:r>
      <w:r w:rsidRPr="009C45AB">
        <w:rPr>
          <w:sz w:val="14"/>
        </w:rPr>
        <w:t xml:space="preserve"> section 7601(d) as a grant of "</w:t>
      </w:r>
      <w:r w:rsidRPr="00353402">
        <w:rPr>
          <w:u w:val="single"/>
        </w:rPr>
        <w:t>territorial jurisdiction" is also at odds with the requirements of Section 7410 of the Act</w:t>
      </w:r>
      <w:r w:rsidRPr="009C45AB">
        <w:rPr>
          <w:sz w:val="14"/>
        </w:rPr>
        <w:t xml:space="preserve">. Under section 7410(a), </w:t>
      </w:r>
      <w:r w:rsidRPr="00353402">
        <w:rPr>
          <w:u w:val="single"/>
        </w:rPr>
        <w:t>a tribal implementation plan, which is the fundamental tool for establishing, maintaining, and enforcing air quality standards, may only become effective after a particularized inquiry into the scope of the tribe's legal authority to regulate all lands within the boundaries of the reservation and after the tribe has demonstrated that it has pre-existing inherent authority to regulate non-Indian activities on fee lands.</w:t>
      </w:r>
      <w:r w:rsidRPr="009C45AB">
        <w:rPr>
          <w:sz w:val="14"/>
        </w:rPr>
        <w:t xml:space="preserve"> Section 7410(o) directs that a TIP "shall be reviewed in accordance with the provisions for review set forth in the section for State plans, except as otherwise provided by regulation promulgated pursuant to section 7601(d)(2) ... ." Significantly, </w:t>
      </w:r>
      <w:r w:rsidRPr="00353402">
        <w:rPr>
          <w:b/>
          <w:u w:val="single"/>
        </w:rPr>
        <w:t>Congress invited the EPA to adopt regulations governing "the elements of tribal implementation plans and procedures for approval or disapproval of tribal implementation plans and portions thereof." The EPA, however, elected not to promulgate such regulations, leaving TIPs subject to the existing statutory and regulatory guidelines contained in CAA section</w:t>
      </w:r>
      <w:r w:rsidRPr="009C45AB">
        <w:rPr>
          <w:sz w:val="14"/>
        </w:rPr>
        <w:t xml:space="preserve"> 7410 and 40 C.F.R. Part 51. Those </w:t>
      </w:r>
      <w:r w:rsidRPr="00353402">
        <w:rPr>
          <w:u w:val="single"/>
        </w:rPr>
        <w:t>statutory and regulatory guidelines demonstrate that tribes accorded treatment as states should be required to demonstrate inherent authority to regulate fee lands as a precursor to delegation of regulatory authority over such lands.</w:t>
      </w:r>
      <w:r w:rsidRPr="009C45AB">
        <w:rPr>
          <w:sz w:val="14"/>
        </w:rPr>
        <w:t xml:space="preserve"> Section 7410 mandates that "each State shall, after reasonable notice and public hearings, adopt and submit to the Administrator, within three (3) years ... after the promulgation of a national primary ambient air quality standard ... a plan which provides for implementation, maintenance, and enforcement of such primary standard in each air quality control region (or portion thereof) within such State." </w:t>
      </w:r>
      <w:r w:rsidRPr="00353402">
        <w:rPr>
          <w:b/>
          <w:u w:val="single"/>
        </w:rPr>
        <w:t>That section further directs that each implementation plan shall provide necessary assurances that the State will have adequate personnel, funding, and authority under the law to carry out such implementation plan.</w:t>
      </w:r>
      <w:r>
        <w:rPr>
          <w:b/>
          <w:u w:val="single"/>
        </w:rPr>
        <w:t xml:space="preserve"> </w:t>
      </w:r>
      <w:r w:rsidRPr="009C45AB">
        <w:rPr>
          <w:sz w:val="14"/>
        </w:rPr>
        <w:t xml:space="preserve">Under section 7410 </w:t>
      </w:r>
      <w:r w:rsidRPr="00353402">
        <w:rPr>
          <w:u w:val="single"/>
        </w:rPr>
        <w:t>each plan must also show that the State has legal authority to carry out the plan, including authority to "enforce applicable laws, regulations, and standards, and seek injunctive relief."</w:t>
      </w:r>
      <w:r w:rsidRPr="009C45AB">
        <w:rPr>
          <w:sz w:val="14"/>
        </w:rPr>
        <w:t xml:space="preserve"> </w:t>
      </w:r>
      <w:r w:rsidRPr="00353402">
        <w:rPr>
          <w:u w:val="single"/>
        </w:rPr>
        <w:t xml:space="preserve">The requirement that the implementation plan make a concrete showing of the State's legal authority reflects that </w:t>
      </w:r>
      <w:r w:rsidRPr="00353402">
        <w:rPr>
          <w:b/>
          <w:u w:val="single"/>
        </w:rPr>
        <w:t>tribes must make a showing that they have inherent legal authority to regulate activities on fee lands within reservation boundaries as part of the submission of a TIP</w:t>
      </w:r>
      <w:r w:rsidRPr="009C45AB">
        <w:rPr>
          <w:b/>
          <w:sz w:val="14"/>
        </w:rPr>
        <w:t>.</w:t>
      </w:r>
      <w:r w:rsidRPr="009C45AB">
        <w:rPr>
          <w:sz w:val="14"/>
        </w:rPr>
        <w:t xml:space="preserve"> Further, the requirement that a "State" demonstrate that it "is not prohibited by any provision of federal law from carrying out" the terms of its plan, reinforces that tribes must make a showing that federal Indian law does not prevent the tribe from carrying out the plan on fee lands. Thus, </w:t>
      </w:r>
      <w:r w:rsidRPr="00353402">
        <w:rPr>
          <w:u w:val="single"/>
        </w:rPr>
        <w:t>absent a demonstration that the tribe has inherent authority to regulate activities on fee lands, those lands should not be included within a TIP, and thus, should not be subject to tribal regulatory jurisdiction.</w:t>
      </w:r>
    </w:p>
    <w:p w14:paraId="44535A77" w14:textId="77777777" w:rsidR="00B82515" w:rsidRDefault="00B82515" w:rsidP="00B82515">
      <w:pPr>
        <w:pStyle w:val="Heading3"/>
      </w:pPr>
      <w:r>
        <w:t>2nc- TAS Fails</w:t>
      </w:r>
    </w:p>
    <w:p w14:paraId="4CC25FDF" w14:textId="77777777" w:rsidR="00B82515" w:rsidRPr="00ED0695" w:rsidRDefault="00B82515" w:rsidP="00B82515">
      <w:pPr>
        <w:pStyle w:val="Heading4"/>
        <w:rPr>
          <w:rFonts w:asciiTheme="minorHAnsi" w:hAnsiTheme="minorHAnsi" w:cstheme="minorHAnsi"/>
        </w:rPr>
      </w:pPr>
      <w:r w:rsidRPr="00ED0695">
        <w:rPr>
          <w:rFonts w:asciiTheme="minorHAnsi" w:hAnsiTheme="minorHAnsi" w:cstheme="minorHAnsi"/>
        </w:rPr>
        <w:t>AT: TAS CP—TAS is limited and does not go far enough—still leaves tons of regulatory gaps</w:t>
      </w:r>
    </w:p>
    <w:p w14:paraId="57E4C347" w14:textId="77777777" w:rsidR="00B82515" w:rsidRPr="00ED0695" w:rsidRDefault="00B82515" w:rsidP="00B82515">
      <w:pPr>
        <w:rPr>
          <w:rFonts w:asciiTheme="minorHAnsi" w:hAnsiTheme="minorHAnsi" w:cstheme="minorHAnsi"/>
        </w:rPr>
      </w:pPr>
      <w:r w:rsidRPr="00ED0695">
        <w:rPr>
          <w:rFonts w:asciiTheme="minorHAnsi" w:hAnsiTheme="minorHAnsi" w:cstheme="minorHAnsi"/>
        </w:rPr>
        <w:t xml:space="preserve">Elizabeth Kronk </w:t>
      </w:r>
      <w:r w:rsidRPr="00ED0695">
        <w:rPr>
          <w:rStyle w:val="Style13ptBold"/>
          <w:rFonts w:asciiTheme="minorHAnsi" w:hAnsiTheme="minorHAnsi" w:cstheme="minorHAnsi"/>
        </w:rPr>
        <w:t>Warner</w:t>
      </w:r>
      <w:r w:rsidRPr="00ED0695">
        <w:rPr>
          <w:rFonts w:asciiTheme="minorHAnsi" w:hAnsiTheme="minorHAnsi" w:cstheme="minorHAnsi"/>
        </w:rPr>
        <w:t>, 3-15-</w:t>
      </w:r>
      <w:r w:rsidRPr="00ED0695">
        <w:rPr>
          <w:rStyle w:val="Style13ptBold"/>
          <w:rFonts w:asciiTheme="minorHAnsi" w:hAnsiTheme="minorHAnsi" w:cstheme="minorHAnsi"/>
        </w:rPr>
        <w:t>2021</w:t>
      </w:r>
      <w:r w:rsidRPr="00ED0695">
        <w:rPr>
          <w:rFonts w:asciiTheme="minorHAnsi" w:hAnsiTheme="minorHAnsi" w:cstheme="minorHAnsi"/>
        </w:rPr>
        <w:t xml:space="preserve">, "Complicated Environmental Regulation in Indian Country," </w:t>
      </w:r>
      <w:hyperlink r:id="rId9" w:history="1">
        <w:r w:rsidRPr="00ED0695">
          <w:rPr>
            <w:rStyle w:val="Hyperlink"/>
            <w:rFonts w:asciiTheme="minorHAnsi" w:hAnsiTheme="minorHAnsi" w:cstheme="minorHAnsi"/>
          </w:rPr>
          <w:t>https://www.theregreview.org/2021/03/15/kronk-warner-environmental-regulation-indian-country/</w:t>
        </w:r>
      </w:hyperlink>
      <w:r w:rsidRPr="00ED0695">
        <w:rPr>
          <w:rFonts w:asciiTheme="minorHAnsi" w:hAnsiTheme="minorHAnsi" w:cstheme="minorHAnsi"/>
        </w:rPr>
        <w:t xml:space="preserve">, Elizabeth Kronk Warner is the Jefferson B. &amp; Rita E. Fordham Presidential Dean at the S.J. Quinney College of Law, University of Utah, </w:t>
      </w:r>
    </w:p>
    <w:p w14:paraId="7E246FC1" w14:textId="77777777" w:rsidR="00B82515" w:rsidRPr="00ED0695" w:rsidRDefault="00B82515" w:rsidP="00B82515">
      <w:pPr>
        <w:rPr>
          <w:rStyle w:val="Emphasis"/>
          <w:rFonts w:asciiTheme="minorHAnsi" w:hAnsiTheme="minorHAnsi" w:cstheme="minorHAnsi"/>
        </w:rPr>
      </w:pPr>
      <w:r w:rsidRPr="00ED0695">
        <w:rPr>
          <w:rFonts w:asciiTheme="minorHAnsi" w:hAnsiTheme="minorHAnsi" w:cstheme="minorHAnsi"/>
          <w:sz w:val="14"/>
        </w:rPr>
        <w:t xml:space="preserve">Accordingly, </w:t>
      </w:r>
      <w:r w:rsidRPr="00ED0695">
        <w:rPr>
          <w:rStyle w:val="StyleUnderline"/>
          <w:rFonts w:asciiTheme="minorHAnsi" w:hAnsiTheme="minorHAnsi" w:cstheme="minorHAnsi"/>
        </w:rPr>
        <w:t>TAS provisions allow tribes to express their environmental ethics through the federal environmental provisions. But TAS provisions are relatively limited, and tribal governments must still comply with federal mandates. If a tribe does not have TAS status—and most do not—the U.S. Environmental Protection Agency generally regulates air quality within Indian country.</w:t>
      </w:r>
      <w:r>
        <w:rPr>
          <w:rStyle w:val="StyleUnderline"/>
          <w:rFonts w:asciiTheme="minorHAnsi" w:hAnsiTheme="minorHAnsi" w:cstheme="minorHAnsi"/>
        </w:rPr>
        <w:t xml:space="preserve"> </w:t>
      </w:r>
      <w:r w:rsidRPr="00ED0695">
        <w:rPr>
          <w:rStyle w:val="StyleUnderline"/>
          <w:rFonts w:asciiTheme="minorHAnsi" w:hAnsiTheme="minorHAnsi" w:cstheme="minorHAnsi"/>
        </w:rPr>
        <w:t>Although federal regulation is common, most states have limited environmental regulatory authority in Indian country—</w:t>
      </w:r>
      <w:r w:rsidRPr="00ED0695">
        <w:rPr>
          <w:rFonts w:asciiTheme="minorHAnsi" w:hAnsiTheme="minorHAnsi" w:cstheme="minorHAnsi"/>
          <w:sz w:val="14"/>
        </w:rPr>
        <w:t xml:space="preserve">although one significant exception is Oklahoma. Last June, the Supreme Court decided the case of McGirt v. Oklahoma, finding that the Muscogee (Creek) Reservation had not been diminished. Following the Court’s decision, Oklahoma Governor Kevin Stitt requested, and the Trump Administration approved, that the state of Oklahoma have environmental regulatory control in Indian country. Another exception to the general lack of state regulation is that </w:t>
      </w:r>
      <w:r w:rsidRPr="00ED0695">
        <w:rPr>
          <w:rStyle w:val="StyleUnderline"/>
          <w:rFonts w:asciiTheme="minorHAnsi" w:hAnsiTheme="minorHAnsi" w:cstheme="minorHAnsi"/>
        </w:rPr>
        <w:t xml:space="preserve">tribes are treated the same as municipalities, rather than states, under the federal Resource Conservation and Recovery Act, which results in the application of state regulatory control to Indian country for </w:t>
      </w:r>
      <w:r w:rsidRPr="00ED0695">
        <w:rPr>
          <w:rStyle w:val="Emphasis"/>
          <w:rFonts w:asciiTheme="minorHAnsi" w:hAnsiTheme="minorHAnsi" w:cstheme="minorHAnsi"/>
        </w:rPr>
        <w:t>waste disposal.</w:t>
      </w:r>
    </w:p>
    <w:p w14:paraId="56E02DB5" w14:textId="77777777" w:rsidR="00B82515" w:rsidRPr="00ED0695" w:rsidRDefault="00B82515" w:rsidP="00B82515">
      <w:pPr>
        <w:pStyle w:val="Heading4"/>
        <w:rPr>
          <w:rFonts w:asciiTheme="minorHAnsi" w:hAnsiTheme="minorHAnsi" w:cstheme="minorHAnsi"/>
        </w:rPr>
      </w:pPr>
      <w:r w:rsidRPr="00ED0695">
        <w:rPr>
          <w:rFonts w:asciiTheme="minorHAnsi" w:hAnsiTheme="minorHAnsi" w:cstheme="minorHAnsi"/>
        </w:rPr>
        <w:t xml:space="preserve">Rulemaking fails—will be rolled back and leads to regulatory instability </w:t>
      </w:r>
    </w:p>
    <w:p w14:paraId="7146567D" w14:textId="77777777" w:rsidR="00B82515" w:rsidRPr="00ED0695" w:rsidRDefault="00B82515" w:rsidP="00B82515">
      <w:pPr>
        <w:rPr>
          <w:rFonts w:asciiTheme="minorHAnsi" w:hAnsiTheme="minorHAnsi" w:cstheme="minorHAnsi"/>
        </w:rPr>
      </w:pPr>
      <w:r w:rsidRPr="00ED0695">
        <w:rPr>
          <w:rFonts w:asciiTheme="minorHAnsi" w:hAnsiTheme="minorHAnsi" w:cstheme="minorHAnsi"/>
        </w:rPr>
        <w:t xml:space="preserve">David M </w:t>
      </w:r>
      <w:r w:rsidRPr="00ED0695">
        <w:rPr>
          <w:rStyle w:val="Style13ptBold"/>
          <w:rFonts w:asciiTheme="minorHAnsi" w:hAnsiTheme="minorHAnsi" w:cstheme="minorHAnsi"/>
        </w:rPr>
        <w:t>Konisky</w:t>
      </w:r>
      <w:r w:rsidRPr="00ED0695">
        <w:rPr>
          <w:rFonts w:asciiTheme="minorHAnsi" w:hAnsiTheme="minorHAnsi" w:cstheme="minorHAnsi"/>
        </w:rPr>
        <w:t>, 6-1-</w:t>
      </w:r>
      <w:r w:rsidRPr="00ED0695">
        <w:rPr>
          <w:rStyle w:val="Style13ptBold"/>
          <w:rFonts w:asciiTheme="minorHAnsi" w:hAnsiTheme="minorHAnsi" w:cstheme="minorHAnsi"/>
        </w:rPr>
        <w:t>2017</w:t>
      </w:r>
      <w:r w:rsidRPr="00ED0695">
        <w:rPr>
          <w:rFonts w:asciiTheme="minorHAnsi" w:hAnsiTheme="minorHAnsi" w:cstheme="minorHAnsi"/>
        </w:rPr>
        <w:t>, "Environmental Federalism and the Trump Presidency: A Preliminary Assessment," OUP Academic, https://academic-oup-com.libproxy.utdallas.edu/publius/article/48/3/345/4980813</w:t>
      </w:r>
    </w:p>
    <w:p w14:paraId="3270DC2B" w14:textId="77777777" w:rsidR="00B82515" w:rsidRPr="00ED0695" w:rsidRDefault="00B82515" w:rsidP="00B82515">
      <w:pPr>
        <w:rPr>
          <w:rFonts w:asciiTheme="minorHAnsi" w:hAnsiTheme="minorHAnsi" w:cstheme="minorHAnsi"/>
          <w:sz w:val="14"/>
        </w:rPr>
      </w:pPr>
      <w:r w:rsidRPr="00ED0695">
        <w:rPr>
          <w:rStyle w:val="StyleUnderline"/>
          <w:rFonts w:asciiTheme="minorHAnsi" w:hAnsiTheme="minorHAnsi" w:cstheme="minorHAnsi"/>
        </w:rPr>
        <w:t>Federal policy retrenchment, coupled with a varied state response, is likely to change the nature of environmental federalism in the short term</w:t>
      </w:r>
      <w:r w:rsidRPr="00ED0695">
        <w:rPr>
          <w:rFonts w:asciiTheme="minorHAnsi" w:hAnsiTheme="minorHAnsi" w:cstheme="minorHAnsi"/>
          <w:sz w:val="14"/>
        </w:rPr>
        <w:t xml:space="preserve">; but will the recalibration of the federal-state relationship that embodies the Trump Administration’s approach to environmental policy have lasting effects? The answer to this question is difficult to project, since it depends a great deal on how long President Trump is in office, how states respond, and the environmental policy preferences of his successors. </w:t>
      </w:r>
      <w:r w:rsidRPr="00ED0695">
        <w:rPr>
          <w:rStyle w:val="Emphasis"/>
          <w:rFonts w:asciiTheme="minorHAnsi" w:hAnsiTheme="minorHAnsi" w:cstheme="minorHAnsi"/>
        </w:rPr>
        <w:t>It is important to emphasize, however, that policy goals achieved through the tools of the administrative presidency are less durable than legislation</w:t>
      </w:r>
      <w:r w:rsidRPr="00ED0695">
        <w:rPr>
          <w:rStyle w:val="StyleUnderline"/>
          <w:rFonts w:asciiTheme="minorHAnsi" w:hAnsiTheme="minorHAnsi" w:cstheme="minorHAnsi"/>
        </w:rPr>
        <w:t xml:space="preserve">. Subsequent presidents with different policy preferences could use administrative tools to reverse many of the Trump Administration’s policies—that is, use the same set of tools that the Administration is using to undo Obama-era policies. </w:t>
      </w:r>
      <w:r w:rsidRPr="00ED0695">
        <w:rPr>
          <w:rFonts w:asciiTheme="minorHAnsi" w:hAnsiTheme="minorHAnsi" w:cstheme="minorHAnsi"/>
          <w:sz w:val="14"/>
        </w:rPr>
        <w:t xml:space="preserve">The upshot of </w:t>
      </w:r>
      <w:r w:rsidRPr="00ED0695">
        <w:rPr>
          <w:rStyle w:val="StyleUnderline"/>
          <w:rFonts w:asciiTheme="minorHAnsi" w:hAnsiTheme="minorHAnsi" w:cstheme="minorHAnsi"/>
        </w:rPr>
        <w:t>this pattern is schizophrenic policymaking, which makes it challenging to sustain progress and consistency</w:t>
      </w:r>
      <w:r w:rsidRPr="00ED0695">
        <w:rPr>
          <w:rFonts w:asciiTheme="minorHAnsi" w:hAnsiTheme="minorHAnsi" w:cstheme="minorHAnsi"/>
          <w:sz w:val="14"/>
        </w:rPr>
        <w:t xml:space="preserve"> in both the problems on the agenda and the efforts to address them. But, in this respect, the Trump Presidency (and whatever follows it) mostly reflects a continuation of the ebb and flow of U.S. environmental policy over the past forty years. After the enactment of the foundational statutes of the 1970s, Presidents have turned to administrative tools to pursue their policy priorities (Klyza and Sousa 2007). </w:t>
      </w:r>
      <w:r w:rsidRPr="00ED0695">
        <w:rPr>
          <w:rStyle w:val="StyleUnderline"/>
          <w:rFonts w:asciiTheme="minorHAnsi" w:hAnsiTheme="minorHAnsi" w:cstheme="minorHAnsi"/>
        </w:rPr>
        <w:t>Given that presidents vary in these priorities often in large and consequential ways, including on how they see the respective roles of the federal and state governments, environmental policy has undergone abrupt changes from administration to administration. The</w:t>
      </w:r>
      <w:r w:rsidRPr="00ED0695">
        <w:rPr>
          <w:rFonts w:asciiTheme="minorHAnsi" w:hAnsiTheme="minorHAnsi" w:cstheme="minorHAnsi"/>
          <w:sz w:val="14"/>
        </w:rPr>
        <w:t xml:space="preserve"> changes from President Obama to President Trump are especially severe, but, in reality, they reflect a continuation of the long-term pattern of U.S. environmental policy.</w:t>
      </w:r>
    </w:p>
    <w:p w14:paraId="2EBB20AF" w14:textId="77777777" w:rsidR="00B82515" w:rsidRDefault="00B82515" w:rsidP="00B82515">
      <w:pPr>
        <w:pStyle w:val="Heading4"/>
      </w:pPr>
      <w:r>
        <w:t>TAS notice and comment eliminates stakeholder feedback in determinations</w:t>
      </w:r>
    </w:p>
    <w:p w14:paraId="5BE1A2DA" w14:textId="77777777" w:rsidR="00B82515" w:rsidRPr="009C45AB" w:rsidRDefault="00B82515" w:rsidP="00B82515">
      <w:r w:rsidRPr="009C45AB">
        <w:rPr>
          <w:rStyle w:val="Style13ptBold"/>
        </w:rPr>
        <w:t>FindLaw 18</w:t>
      </w:r>
      <w:r>
        <w:t xml:space="preserve"> (FindLaw- team of legal educators who provide free legal content for professionals and general public</w:t>
      </w:r>
      <w:r w:rsidRPr="009C45AB">
        <w:t>, 4-6-2018, "The Clean Air Act "Treatment As States" Rule," Findlaw, https://corporate.findlaw.com/law-library/the-clean-air-act-treatment-as-states-rule.html</w:t>
      </w:r>
      <w:r>
        <w:t>)</w:t>
      </w:r>
    </w:p>
    <w:p w14:paraId="7A3177C2" w14:textId="77777777" w:rsidR="00B82515" w:rsidRPr="009C45AB" w:rsidRDefault="00B82515" w:rsidP="00B82515">
      <w:pPr>
        <w:rPr>
          <w:sz w:val="14"/>
        </w:rPr>
      </w:pPr>
      <w:r w:rsidRPr="00240E3D">
        <w:rPr>
          <w:u w:val="single"/>
        </w:rPr>
        <w:t>Issues Associated with the Notice and Comment Procedures on Tribal Program Applications</w:t>
      </w:r>
      <w:r>
        <w:rPr>
          <w:u w:val="single"/>
        </w:rPr>
        <w:t xml:space="preserve"> </w:t>
      </w:r>
      <w:r w:rsidRPr="00240E3D">
        <w:rPr>
          <w:b/>
          <w:u w:val="single"/>
        </w:rPr>
        <w:t>The notice and comment provisions of the TAS Rule raise many procedural and substantive legal issues</w:t>
      </w:r>
      <w:r w:rsidRPr="009C45AB">
        <w:rPr>
          <w:sz w:val="14"/>
        </w:rPr>
        <w:t xml:space="preserve">. First, </w:t>
      </w:r>
      <w:r w:rsidRPr="00240E3D">
        <w:rPr>
          <w:u w:val="single"/>
        </w:rPr>
        <w:t>the</w:t>
      </w:r>
      <w:r w:rsidRPr="009C45AB">
        <w:rPr>
          <w:sz w:val="14"/>
        </w:rPr>
        <w:t xml:space="preserve"> </w:t>
      </w:r>
      <w:r w:rsidRPr="00240E3D">
        <w:rPr>
          <w:u w:val="single"/>
        </w:rPr>
        <w:t>TAS Rule provides that only "appropriate governmental entities" will receive notice of, or have the right to comment on</w:t>
      </w:r>
      <w:r w:rsidRPr="009C45AB">
        <w:rPr>
          <w:sz w:val="14"/>
        </w:rPr>
        <w:t xml:space="preserve">, </w:t>
      </w:r>
      <w:r w:rsidRPr="00240E3D">
        <w:rPr>
          <w:u w:val="single"/>
        </w:rPr>
        <w:t>the</w:t>
      </w:r>
      <w:r w:rsidRPr="009C45AB">
        <w:rPr>
          <w:sz w:val="14"/>
        </w:rPr>
        <w:t xml:space="preserve"> determination of the jurisdictional </w:t>
      </w:r>
      <w:r w:rsidRPr="00240E3D">
        <w:rPr>
          <w:u w:val="single"/>
        </w:rPr>
        <w:t>scope of a tribal program</w:t>
      </w:r>
      <w:r w:rsidRPr="009C45AB">
        <w:rPr>
          <w:sz w:val="14"/>
        </w:rPr>
        <w:t xml:space="preserve">. </w:t>
      </w:r>
      <w:r w:rsidRPr="00240E3D">
        <w:rPr>
          <w:b/>
          <w:u w:val="single"/>
        </w:rPr>
        <w:t>The TAS Rule itself does not define the phrase "appropriate governmental entities."</w:t>
      </w:r>
      <w:r>
        <w:rPr>
          <w:b/>
          <w:u w:val="single"/>
        </w:rPr>
        <w:t xml:space="preserve"> </w:t>
      </w:r>
      <w:r w:rsidRPr="009C45AB">
        <w:rPr>
          <w:sz w:val="14"/>
        </w:rPr>
        <w:t xml:space="preserve">In the preamble to the TAS Rule , the EPA states it will seek "to make its notification sufficiently prominent to inform local governmental entities, industry and the general public, and will consider relevant factual information from these sources as well, provided ... they are submitted through the identified 'appropriate governmental entity.'" </w:t>
      </w:r>
      <w:r w:rsidRPr="00240E3D">
        <w:rPr>
          <w:u w:val="single"/>
        </w:rPr>
        <w:t>It is unclear how the EPA proposes to make its notification "sufficiently prominent" so the regulated community and the general public will learn of the proposed jurisdictional scope of a tribal program</w:t>
      </w:r>
      <w:r w:rsidRPr="009C45AB">
        <w:rPr>
          <w:sz w:val="14"/>
        </w:rPr>
        <w:t xml:space="preserve">. It is also unclear how "industry and the general public" will be notified which "governmental entity" they may submit comments to about the tribal application. Presumably, </w:t>
      </w:r>
      <w:r w:rsidRPr="00353402">
        <w:rPr>
          <w:u w:val="single"/>
        </w:rPr>
        <w:t>the EPA would give notice to the state or local air quality control agency that claims jurisdiction over the same area identified in a tribe's application for eligibility determination - however, it is advisable for all parties to maintain regular contact upon submission of an application.</w:t>
      </w:r>
      <w:r>
        <w:rPr>
          <w:u w:val="single"/>
        </w:rPr>
        <w:t xml:space="preserve"> </w:t>
      </w:r>
      <w:r w:rsidRPr="00353402">
        <w:rPr>
          <w:u w:val="single"/>
        </w:rPr>
        <w:t>Limiting</w:t>
      </w:r>
      <w:r w:rsidRPr="009C45AB">
        <w:rPr>
          <w:sz w:val="14"/>
        </w:rPr>
        <w:t xml:space="preserve"> </w:t>
      </w:r>
      <w:r w:rsidRPr="00353402">
        <w:rPr>
          <w:u w:val="single"/>
        </w:rPr>
        <w:t>notice and commenting rights to "appropriate governmental entities"</w:t>
      </w:r>
      <w:r w:rsidRPr="009C45AB">
        <w:rPr>
          <w:sz w:val="14"/>
        </w:rPr>
        <w:t xml:space="preserve"> </w:t>
      </w:r>
      <w:r w:rsidRPr="00353402">
        <w:rPr>
          <w:u w:val="single"/>
        </w:rPr>
        <w:t>may</w:t>
      </w:r>
      <w:r w:rsidRPr="009C45AB">
        <w:rPr>
          <w:sz w:val="14"/>
        </w:rPr>
        <w:t xml:space="preserve"> effectively </w:t>
      </w:r>
      <w:r w:rsidRPr="00353402">
        <w:rPr>
          <w:u w:val="single"/>
        </w:rPr>
        <w:t>exclude the regulated community and other stakeholders from the opportunity to comment on the jurisdictional scope of a tribal program</w:t>
      </w:r>
      <w:r w:rsidRPr="009C45AB">
        <w:rPr>
          <w:sz w:val="14"/>
        </w:rPr>
        <w:t xml:space="preserve">. The EPA justifies this limitation by asserting that jurisdictional determinations are "informal adjudications" and not rule-making. According to the EPA, "[g]iven that there is no particular process specified under EPA governing statutes for TAS eligibility determinations, they are in the nature of informal adjudications for [Administrative Procedure Act] purposes" and the EPA therefore "does not believe there is a legal requirement for any additional process than what the Agency already provides." </w:t>
      </w:r>
      <w:r w:rsidRPr="00353402">
        <w:rPr>
          <w:u w:val="single"/>
        </w:rPr>
        <w:t>The EPA apparently bases its argument that jurisdictional determinations amount to informal adjudications on the notion that such determinations impact only the state government and the tribal government which claim jurisdiction over the same area</w:t>
      </w:r>
      <w:r w:rsidRPr="009C45AB">
        <w:rPr>
          <w:sz w:val="14"/>
        </w:rPr>
        <w:t xml:space="preserve">. In the preamble to the TAS Rule, the EPA declares that "to the extent genuine reservation boundary or non-reservation jurisdictional disputes exist, the assertion of such are an inherently government-to-government process." A good argument can be made that </w:t>
      </w:r>
      <w:r w:rsidRPr="00353402">
        <w:rPr>
          <w:u w:val="single"/>
        </w:rPr>
        <w:t>jurisdictional determinations are not simply a government-to-government issue but are instead a decision of general applicability and future effect impacting all people and all sources within the defined geographic area</w:t>
      </w:r>
      <w:r w:rsidRPr="009C45AB">
        <w:rPr>
          <w:sz w:val="14"/>
        </w:rPr>
        <w:t xml:space="preserve"> and thus should be viewed as rule-making under the Administrative Procedures Act requiring full public notice and comment. Under the Administrative Procedures Act ("APA"), an adjudication is defined as an "agency process for the formulation of an order." Conversely, a rule is defined as an "agency statement of general or particular applicability and future effect designed to implement, interpret, or prescribe law or policy or describing the organization, procedure, or practice requirements of an agency ... ." The choice of whether to proceed through rule-making or adjudication lies primarily in the informed discretion of the administrative agency in the absence of express congressional directive. Under informal adjudication, interested parties are not entitled to notice and comment. However, </w:t>
      </w:r>
      <w:r w:rsidRPr="00353402">
        <w:rPr>
          <w:u w:val="single"/>
        </w:rPr>
        <w:t>an agency cannot avoid the requirement of notice-and-comment rule-making simply by characterizing its decision as an adjudication</w:t>
      </w:r>
      <w:r w:rsidRPr="009C45AB">
        <w:rPr>
          <w:sz w:val="14"/>
        </w:rPr>
        <w:t xml:space="preserve">. To distinguish between rule-making and adjudication, courts have identified two principal characteristics. "First, adjudications resolve disputes among specific individuals in specific cases, whereas rule-making affects the rights of broad classes of unspecified individuals. ... Second, because adjudications involve concrete disputes, they have an immediate effect on specific individuals (those involved in the dispute). Rule-making, in contrast, is prospective, and has a definitive effect on individuals only after the rule subsequently is applied." As a general matter, "agencies employ rule-making procedures to resolve broad policy questions affecting many parties and turning on issues of 'legislative fact.' Adjudicatory hearing procedures are used in individual cases where the outcome is dependent on the resolution of particular 'adjudicative facts.'" </w:t>
      </w:r>
      <w:r w:rsidRPr="00353402">
        <w:rPr>
          <w:u w:val="single"/>
        </w:rPr>
        <w:t>A further question under the TAS Rule is whether the limitation of notice and comment to "appropriate governmental entities" will also be applied to EPA review of tribal application for program approval</w:t>
      </w:r>
      <w:r w:rsidRPr="009C45AB">
        <w:rPr>
          <w:sz w:val="14"/>
        </w:rPr>
        <w:t xml:space="preserve">. The TAS Rule recites that "a tribal application containing a Clean Air Act program submittal will be reviewed by the EPA in accordance with applicable statutory and regulatory criteria in a manner similar to the way the EPA would review a similar state submittal." </w:t>
      </w:r>
      <w:r w:rsidRPr="00353402">
        <w:rPr>
          <w:u w:val="single"/>
        </w:rPr>
        <w:t>This language is problematic</w:t>
      </w:r>
      <w:r w:rsidRPr="009C45AB">
        <w:rPr>
          <w:sz w:val="14"/>
        </w:rPr>
        <w:t xml:space="preserve">. On one hand, it could be read to mean that the EPA will use both the same standards and the same procedures. On the other hand, </w:t>
      </w:r>
      <w:r w:rsidRPr="00353402">
        <w:rPr>
          <w:u w:val="single"/>
        </w:rPr>
        <w:t>it could be read to mean that, in reviewing a tribal program application, the EPA will apply the same standards, but not the same procedures, as would be used to review a similar state application</w:t>
      </w:r>
      <w:r w:rsidRPr="009C45AB">
        <w:rPr>
          <w:sz w:val="14"/>
        </w:rPr>
        <w:t xml:space="preserve">. If it is this latter interpretation the EPA had in mind, that fails to comport with the requirements of the CAA. The TAS Rule's procedures for reviewing and approving tribal eligibility determinations and program applications thus present practical and legal issues concerning the right to notice and opportunity to comment for industry and the general public. Jurisdiction Over Non-Indian Fee Lands Within Reservation Boundaries Through the TAS Rule, the EPA has announced a near irrebuttable presumption that Tribes will have jurisdiction over non-Indian owned fee lands within reservation boundaries. A summary of the EPA's rationale for such a presumption is provided below. TAS Rule's Statement on Tribal Jurisdiction Within Reservation Boundaries </w:t>
      </w:r>
      <w:r w:rsidRPr="00353402">
        <w:rPr>
          <w:u w:val="single"/>
        </w:rPr>
        <w:t>In the final TAS Rule, the EPA adopts a "territorial approach" permitting qualified tribes to assume jurisdiction to "address conduct relating to air quality on all lands, including non-Indian-owned fee lands, within the exterior boundaries of a reservation."</w:t>
      </w:r>
      <w:r w:rsidRPr="009C45AB">
        <w:rPr>
          <w:sz w:val="14"/>
        </w:rPr>
        <w:t xml:space="preserve"> EPA bases this approach on the language of the CAA, which provides that "it is appropriate to treat Indian tribes as States ... only if ... the functions to be exercised by the Indian tribe pertain to the management and protection of air resources within the exterior boundaries of the reservation or other areas within the tribe's jurisdiction ... ." </w:t>
      </w:r>
      <w:r w:rsidRPr="00353402">
        <w:rPr>
          <w:u w:val="single"/>
        </w:rPr>
        <w:t>EPA "believes that this statutory provision, viewed within the overall framework of the CAA, establishes a territorial view of tribal jurisdiction and authorizes a tribal role for all air resources within the exterior boundaries of Indian reservations without distinguishing among various categories of on-reservation land."</w:t>
      </w:r>
      <w:r>
        <w:rPr>
          <w:u w:val="single"/>
        </w:rPr>
        <w:t xml:space="preserve"> </w:t>
      </w:r>
      <w:r w:rsidRPr="009C45AB">
        <w:rPr>
          <w:sz w:val="14"/>
        </w:rPr>
        <w:t xml:space="preserve">The TAS Rule defines a "reservation" as "all land within the limits of any Indian reservation under the jurisdiction of the United States government, notwithstanding the issuance of any patent, and including rights-of-way running through the reservation. "While it is not clear from that regulatory definition, the preamble to the final treatment as states rule articulates EPA's "position that the term 'reservation' in CAA section 301(d)(2)(B) should be interpreted in light of Supreme Court case law, including Oklahoma Tax Comm'n, in which the Supreme Court held that a 'reservation,' in addition to the common understanding of the term, also includes trust lands that have been validly set apart for the use of a tribe even though the land has not been formally designated as a reservation." The preamble declares that "EPA will consider lands held in fee by nonmembers within a Pueblo to be part of a 'reservation' ... [and] will consider on a case-by-case basis whether other types of lands other than Pueblos and tribal trust lands may be considered 'reservations' under federal Indian law even though they are not formally designated as such." </w:t>
      </w:r>
      <w:r w:rsidRPr="00353402">
        <w:rPr>
          <w:u w:val="single"/>
        </w:rPr>
        <w:t>The EPA believes that its territorial approach to regulation of stationary sources within reservation boundaries also has a practical basis</w:t>
      </w:r>
      <w:r w:rsidRPr="009C45AB">
        <w:rPr>
          <w:sz w:val="14"/>
        </w:rPr>
        <w:t>. According to the EPA, the adoption of the territorial approach "will have the effect of minimizing jurisdictional entanglements and checkerboarding within reservations."</w:t>
      </w:r>
    </w:p>
    <w:p w14:paraId="56CC4343" w14:textId="77777777" w:rsidR="00B82515" w:rsidRDefault="00B82515" w:rsidP="00B82515">
      <w:pPr>
        <w:pStyle w:val="Heading4"/>
      </w:pPr>
      <w:r>
        <w:t>TAS creates coverage gaps and EPA doesn’t interpret rules to increase tribal sovereignty—CAA proves</w:t>
      </w:r>
    </w:p>
    <w:p w14:paraId="753D4FDB" w14:textId="77777777" w:rsidR="00B82515" w:rsidRPr="009C45AB" w:rsidRDefault="00B82515" w:rsidP="00B82515">
      <w:r w:rsidRPr="009C45AB">
        <w:rPr>
          <w:rStyle w:val="Style13ptBold"/>
        </w:rPr>
        <w:t>FindLaw 18</w:t>
      </w:r>
      <w:r>
        <w:t xml:space="preserve"> (FindLaw- team of legal educators who provide free legal content for professionals and general public</w:t>
      </w:r>
      <w:r w:rsidRPr="009C45AB">
        <w:t>, 4-6-2018, "The Clean Air Act "Treatment As States" Rule," Findlaw, https://corporate.findlaw.com/law-library/the-clean-air-act-treatment-as-states-rule.html</w:t>
      </w:r>
      <w:r>
        <w:t>)</w:t>
      </w:r>
    </w:p>
    <w:p w14:paraId="4C2D81B0" w14:textId="77777777" w:rsidR="00B82515" w:rsidRDefault="00B82515" w:rsidP="00B82515">
      <w:pPr>
        <w:rPr>
          <w:sz w:val="14"/>
        </w:rPr>
      </w:pPr>
      <w:r w:rsidRPr="009C45AB">
        <w:rPr>
          <w:u w:val="single"/>
        </w:rPr>
        <w:t>Federal Implementation of Title V Programs Within Indian Country</w:t>
      </w:r>
      <w:r>
        <w:rPr>
          <w:u w:val="single"/>
        </w:rPr>
        <w:t xml:space="preserve"> </w:t>
      </w:r>
      <w:r w:rsidRPr="009C45AB">
        <w:rPr>
          <w:sz w:val="14"/>
        </w:rPr>
        <w:t xml:space="preserve">Slightly more than one year after issuing the TAS Rule, </w:t>
      </w:r>
      <w:r w:rsidRPr="009C45AB">
        <w:rPr>
          <w:u w:val="single"/>
        </w:rPr>
        <w:t>EPA issued its final rule setting forth the EPA's approach for issuing operating permits to stationary sources located in "Indian country."</w:t>
      </w:r>
      <w:r w:rsidRPr="009C45AB">
        <w:rPr>
          <w:sz w:val="14"/>
        </w:rPr>
        <w:t xml:space="preserve"> In </w:t>
      </w:r>
      <w:r w:rsidRPr="009C45AB">
        <w:rPr>
          <w:b/>
          <w:u w:val="single"/>
        </w:rPr>
        <w:t>the final TAS Rule, the EPA announced its determination that tribes should not be treated identically to states for purposes of the deadlines for submission of operating permit programs and the mandatory imposition of sanctions for failure to submit an operating permit program to the EPA for approval</w:t>
      </w:r>
      <w:r w:rsidRPr="009C45AB">
        <w:rPr>
          <w:sz w:val="14"/>
        </w:rPr>
        <w:t xml:space="preserve">. </w:t>
      </w:r>
      <w:r w:rsidRPr="009C45AB">
        <w:rPr>
          <w:u w:val="single"/>
        </w:rPr>
        <w:t xml:space="preserve">In light of the TAS Rule's position that tribes could obtain jurisdiction over off-reservation areas within Indian country, the </w:t>
      </w:r>
      <w:r w:rsidRPr="009C45AB">
        <w:rPr>
          <w:b/>
          <w:u w:val="single"/>
        </w:rPr>
        <w:t xml:space="preserve">waiver of the Title V program deadlines arguably left a gap in Title V coverage within Indian country. </w:t>
      </w:r>
      <w:r w:rsidRPr="009C45AB">
        <w:rPr>
          <w:u w:val="single"/>
        </w:rPr>
        <w:t>To</w:t>
      </w:r>
      <w:r w:rsidRPr="009C45AB">
        <w:rPr>
          <w:sz w:val="14"/>
        </w:rPr>
        <w:t xml:space="preserve"> address the potential gap in coverage, the EPA announced it will administer a federal operating permit program within Indian country even where a tribe has not established its authority to regulate air resources within the same area. To assure there are no gaps in Title V coverage for sources in Indian country, the EPA will also administer the Part 71 program within areas for which the EPA believes the Indian country status is in question, until they explicitly approve or extend approval of a State or Tribal program to cover the area. The Final Part 71 Rule </w:t>
      </w:r>
      <w:r w:rsidRPr="009C45AB">
        <w:rPr>
          <w:u w:val="single"/>
        </w:rPr>
        <w:t>The</w:t>
      </w:r>
      <w:r w:rsidRPr="009C45AB">
        <w:rPr>
          <w:sz w:val="14"/>
        </w:rPr>
        <w:t xml:space="preserve"> final Part 71 </w:t>
      </w:r>
      <w:r w:rsidRPr="009C45AB">
        <w:rPr>
          <w:u w:val="single"/>
        </w:rPr>
        <w:t>rule mandates that, within one year from the effective date of the rule or some earlier deadline set by the EPA regional offices, Title V sources in Indian country must submit an application for a federal operating permit to the appropriate EPA Region</w:t>
      </w:r>
      <w:r w:rsidRPr="009C45AB">
        <w:rPr>
          <w:sz w:val="14"/>
        </w:rPr>
        <w:t xml:space="preserve">. While the EPA will attempt to identify and notify sources it believes are located within Indian country, sources remain ultimately responsible for ascertaining whether they are subject to the Part 71 program. Sources within Indian country may be obligated to submit a Part 71 permit application even if they have already applied for or received an operating permit from a state operating permit program. The Agency interprets past State Title V program approvals as not extending to Indian country unless the State made an explicit demonstration of jurisdiction over Indian country, and the EPA has also explicitly approved the State's Title V program for such area. Because States generally lack the authority to regulate air resources in Indian country, the EPA does not believe it would be appropriate for the agency to approve State CAA programs as covering Indian country where there was no explicit demonstration of adequate jurisdiction and where EPA has not explicitly indicated its intent to approve the State program for an area of Indian country. Except where expressly noted, when the EPA issued Part 70 approvals they did not find that the States whose programs were subject to the approvals had made an adequate showing of authority to justify approval of their programs in Indian country. All sources subject to the program must pay permit fees, but EPA may reduce permit fees for sources in areas where the EPA believes the Indian country status is in question and that have also paid permit fees to a state or local agency that has attempted to apply its EPA-approved part 70 program in the area. The fees may be reduced up to an amount that equals the difference between the fee required under the regulations and the fee paid to a State or local permitting authority. The fee reduction will also cease if the area in which the source is located is later determined to be Indian country. The Part 71 Rule does not provide for a refund of any permit fees paid to the EPA if it is ultimately determined that the source is not located within Indian country. Sources that are unsure whether they are covered by the Part 71 program may formally request the EPA to make an applicability determination. The Final Part 71 Rule does not establish any timetable governing a formal determination by the EPA. Moreover, filing a request for a determination does not stay the permit application deadline or alleviate the source of the responsibility to pay permitting fees. Failure to submit a timely permit application will also cause a source to lose its application shield. Furthermore, EPA applicability determinations made pursuant to the final rule are final agency actions for purposes of judicial review under the Act. Issues Concerning the Final Part 71 Rule </w:t>
      </w:r>
      <w:r w:rsidRPr="009C45AB">
        <w:rPr>
          <w:u w:val="single"/>
        </w:rPr>
        <w:t>The final Part 71 Rule raises a number of significant issues</w:t>
      </w:r>
      <w:r w:rsidRPr="009C45AB">
        <w:rPr>
          <w:sz w:val="14"/>
        </w:rPr>
        <w:t xml:space="preserve">. First, </w:t>
      </w:r>
      <w:r w:rsidRPr="009C45AB">
        <w:rPr>
          <w:u w:val="single"/>
        </w:rPr>
        <w:t>there is the practical problem of determining whether a Title V source is located within Indian country</w:t>
      </w:r>
      <w:r w:rsidRPr="009C45AB">
        <w:rPr>
          <w:sz w:val="14"/>
        </w:rPr>
        <w:t xml:space="preserve">. A review of pertinent land title records should reveal whether a source is located within the exterior boundaries of a recognized reservation, or on an allotment, the Indian title to which has not been extinguished. Determining whether a source is within a "dependent Indian community" will be more problematic. Second, </w:t>
      </w:r>
      <w:r w:rsidRPr="009C45AB">
        <w:rPr>
          <w:u w:val="single"/>
        </w:rPr>
        <w:t>if a source is within Indian country, determining the "applicable requirements" for that source may prove difficult</w:t>
      </w:r>
      <w:r w:rsidRPr="009C45AB">
        <w:rPr>
          <w:sz w:val="14"/>
        </w:rPr>
        <w:t xml:space="preserve">. Each of these issues are discussed in turn below. Divining "Indian Country" Status In the final Part 71 Rule, </w:t>
      </w:r>
      <w:r w:rsidRPr="009C45AB">
        <w:rPr>
          <w:u w:val="single"/>
        </w:rPr>
        <w:t>the EPA again advances its same positions concerning tribal jurisdiction over fee lands within reservation boundaries and over lands outside reservation boundaries</w:t>
      </w:r>
      <w:r w:rsidRPr="009C45AB">
        <w:rPr>
          <w:sz w:val="14"/>
        </w:rPr>
        <w:t xml:space="preserve">. </w:t>
      </w:r>
      <w:r w:rsidRPr="009C45AB">
        <w:rPr>
          <w:u w:val="single"/>
        </w:rPr>
        <w:t>The EPA believes in most cases</w:t>
      </w:r>
      <w:r w:rsidRPr="009C45AB">
        <w:rPr>
          <w:sz w:val="14"/>
        </w:rPr>
        <w:t xml:space="preserve">, determining whether sources are located within Indian country will be straight-forward and non-controversial - that is, </w:t>
      </w:r>
      <w:r w:rsidRPr="009C45AB">
        <w:rPr>
          <w:u w:val="single"/>
        </w:rPr>
        <w:t>the EPA and sources will be able to easily determine whether a source is located within the exterior boundaries of a reservation or on land that a court or Department Of the Interior has said is Indian country</w:t>
      </w:r>
      <w:r w:rsidRPr="009C45AB">
        <w:rPr>
          <w:sz w:val="14"/>
        </w:rPr>
        <w:t xml:space="preserve"> (which could include dependent Indian communities). These assessments can be verified through consultation with the DOI and will be informed by data and materials received from States, surveys, DOI and Tribes. In more complex factual cases, the EPA in appropriate cases will work with the DOI, Tribes, and stake holders (e.g., States, local governments, sources, and environmental organizations) to assess whether sources are located in Indian country or areas for which EPA believes the Indian country status is in question. After reviewing relevant materials, the Agency will send letters to sources the EPA believes are located in such areas or in Indian country, notifying them of the expectation they submit a federal Title V permit application within one year of the program's effective date. Even if the EPA fails to notify some sources that are subject to the program, it is still the source's responsibility to ascertain whether it is subject to Part 71 and submit any required permit application. The preamble to the final Part 71 Rule stresses that any sources that are uncertain regarding Part 71 program applicability should submit timely permit applications since submission of a request for an applicability determination will not stay the effectiveness of Part 71 with respect to the source. In order to obtain the 'application shield' under CAA section 503(d) that allows a source to continue to operate after the effective date of the federal Title V program, timely submission of a federal permit application is required. Determining whether a source is located on an "Indian allotment" the Indian title to which has not been extinguished will involve an examination of county, BLM, and BIA record repositories. Determining whether a source is located within the exterior boundaries of a reservation would involve a similar examination. It is worth noting, however, that the EPA will utilize an expansive definition of the term "reservation." It will also consider on a case-by-case basis whether other types of lands other than pueblos and tribal trust lands may be considered "reservations" under federal Indian law even though they are not formally designated as such ... The Agency does not believe that additional, more specific language should be added to the regulatory definition of "reservation," because the Agency's interpretation of the term "reservation" will depend on the particular status of the land in question and on the interpretation of relevant Supreme Court precedent. Divining Applicable Requirements in "Indian Country" Submitting a timely and complete Title V permit application may prove challenging. To have a permit application deemed complete, the application must provide all information required by the Part 71 regulations, which require a source identify in its application all "applicable requirements." "Applicable requirements " are defined as including "any standard or other requirement provided for in the applicable implementation plan approved or promulgated by the EPA through rule-making under Title I of the Act that implements the relevant requirements of the Act ... ." As discussed earlier, </w:t>
      </w:r>
      <w:r w:rsidRPr="009C45AB">
        <w:rPr>
          <w:u w:val="single"/>
        </w:rPr>
        <w:t>EPA takes the position that a SIP is inapplicable within "Indian country" unless the EPA has explicitly determined that the state has jurisdiction in Indian country.</w:t>
      </w:r>
      <w:r w:rsidRPr="009C45AB">
        <w:rPr>
          <w:sz w:val="14"/>
        </w:rPr>
        <w:t xml:space="preserve"> There is a question whether a TIP could be adopted to cover off-reservation Indian country lands in light of the express statutory language in the Act. If that is the case, the EPA will have to develop a federal implementation plan to cover off-reservation Indian country. </w:t>
      </w:r>
      <w:r w:rsidRPr="009C45AB">
        <w:rPr>
          <w:u w:val="single"/>
        </w:rPr>
        <w:t>Compounding the problem of determining applicable requirements are gaps in regulatory coverage within Indian country</w:t>
      </w:r>
      <w:r w:rsidRPr="009C45AB">
        <w:rPr>
          <w:sz w:val="14"/>
        </w:rPr>
        <w:t xml:space="preserve">. The "applicable requirements" from a permit application a source would have otherwise submitted to a state regulatory agency asserting jurisdiction over Indian country thus may be different from (and in some cases more stringent than) the applicable requirements under a federal Part 71 permit application. Sources will need to carefully examine what requirements truly are "applicable" in the context of a Part 71 permit application. </w:t>
      </w:r>
    </w:p>
    <w:p w14:paraId="421A09CA" w14:textId="17445413" w:rsidR="00A23EB6" w:rsidRDefault="00A23EB6" w:rsidP="00A23EB6">
      <w:pPr>
        <w:pStyle w:val="Heading3"/>
      </w:pPr>
      <w:r>
        <w:t xml:space="preserve">1nc- Circumvention </w:t>
      </w:r>
    </w:p>
    <w:p w14:paraId="7BF65D53" w14:textId="77777777" w:rsidR="00A23EB6" w:rsidRDefault="00A23EB6" w:rsidP="00A23EB6">
      <w:pPr>
        <w:pStyle w:val="Heading4"/>
      </w:pPr>
      <w:r>
        <w:t>TAS fails—creates regulatory mush which allows for circumvention and eliminates judicial review over decisions</w:t>
      </w:r>
    </w:p>
    <w:p w14:paraId="35673C47" w14:textId="77777777" w:rsidR="00A23EB6" w:rsidRPr="009C45AB" w:rsidRDefault="00A23EB6" w:rsidP="00A23EB6">
      <w:r w:rsidRPr="009C45AB">
        <w:rPr>
          <w:rStyle w:val="Style13ptBold"/>
        </w:rPr>
        <w:t>FindLaw 18</w:t>
      </w:r>
      <w:r>
        <w:t xml:space="preserve"> (FindLaw- team of legal educators who provide free legal content for professionals and general public</w:t>
      </w:r>
      <w:r w:rsidRPr="009C45AB">
        <w:t>, 4-6-2018, "The Clean Air Act "Treatment As States" Rule," Findlaw, https://corporate.findlaw.com/law-library/the-clean-air-act-treatment-as-states-rule.html</w:t>
      </w:r>
      <w:r>
        <w:t>)</w:t>
      </w:r>
    </w:p>
    <w:p w14:paraId="548044D6" w14:textId="77777777" w:rsidR="00A23EB6" w:rsidRPr="009C45AB" w:rsidRDefault="00A23EB6" w:rsidP="00A23EB6">
      <w:pPr>
        <w:rPr>
          <w:sz w:val="14"/>
        </w:rPr>
      </w:pPr>
      <w:r w:rsidRPr="009C45AB">
        <w:rPr>
          <w:sz w:val="14"/>
        </w:rPr>
        <w:t xml:space="preserve">Conclusion </w:t>
      </w:r>
      <w:r w:rsidRPr="009C45AB">
        <w:rPr>
          <w:b/>
          <w:u w:val="single"/>
        </w:rPr>
        <w:t>The TAS Rule</w:t>
      </w:r>
      <w:r w:rsidRPr="009C45AB">
        <w:rPr>
          <w:sz w:val="14"/>
        </w:rPr>
        <w:t xml:space="preserve"> and the Final Part 71 Rule </w:t>
      </w:r>
      <w:r w:rsidRPr="009C45AB">
        <w:rPr>
          <w:b/>
          <w:u w:val="single"/>
        </w:rPr>
        <w:t>will complicate air permitting and air regulation in and around Indian country</w:t>
      </w:r>
      <w:r w:rsidRPr="009C45AB">
        <w:rPr>
          <w:sz w:val="14"/>
        </w:rPr>
        <w:t xml:space="preserve">. Under the TAS Rule, </w:t>
      </w:r>
      <w:r w:rsidRPr="009C45AB">
        <w:rPr>
          <w:u w:val="single"/>
        </w:rPr>
        <w:t xml:space="preserve">the EPA will make determination about the jurisdictional scope of tribal programs without affording the regulated community or the general public the right to comment. </w:t>
      </w:r>
      <w:r w:rsidRPr="009C45AB">
        <w:rPr>
          <w:sz w:val="14"/>
        </w:rPr>
        <w:t xml:space="preserve">Such jurisdictional determinations will affect not only sources located within the areas the EPA determines are subject to tribal jurisdiction but sources adjoining such areas. </w:t>
      </w:r>
      <w:r w:rsidRPr="009C45AB">
        <w:rPr>
          <w:u w:val="single"/>
        </w:rPr>
        <w:t>EPA's approach to tribal jurisdiction over off-reservation areas has the potential to create significant jurisdictional entanglements and regulatory conflicts</w:t>
      </w:r>
      <w:r w:rsidRPr="009C45AB">
        <w:rPr>
          <w:sz w:val="14"/>
        </w:rPr>
        <w:t xml:space="preserve">. Potentially, EPA could determine that small pockets of land located many miles from a reservation and surrounded by lands subject to federal, state or local air quality programs, should be under tribal jurisdiction. Such a determination could impact Title V permitting or PSD permitting for sources that would not be impacted if tribal jurisdiction were limited to areas within reservation boundaries. </w:t>
      </w:r>
      <w:r w:rsidRPr="009C45AB">
        <w:rPr>
          <w:b/>
          <w:u w:val="single"/>
        </w:rPr>
        <w:t>Because tribes can decide to seek delegation of some CAA programs and not others, sources located within Indian country face the potential of being subject to regulation by the tribe for some purposes and by the EPA for others</w:t>
      </w:r>
      <w:r w:rsidRPr="009C45AB">
        <w:rPr>
          <w:sz w:val="14"/>
        </w:rPr>
        <w:t xml:space="preserve">. </w:t>
      </w:r>
      <w:r w:rsidRPr="009C45AB">
        <w:rPr>
          <w:b/>
          <w:u w:val="single"/>
        </w:rPr>
        <w:t xml:space="preserve">Depending upon which entity is administering a given program, a citizen suit may or may not be available. </w:t>
      </w:r>
      <w:r w:rsidRPr="009C45AB">
        <w:rPr>
          <w:sz w:val="14"/>
        </w:rPr>
        <w:t xml:space="preserve">For Title V sources that are subject to a tribal regulatory program, </w:t>
      </w:r>
      <w:r w:rsidRPr="009C45AB">
        <w:rPr>
          <w:b/>
          <w:u w:val="single"/>
        </w:rPr>
        <w:t>judicial review of tribal permitting decisions will not be available.</w:t>
      </w:r>
      <w:r w:rsidRPr="009C45AB">
        <w:rPr>
          <w:sz w:val="14"/>
        </w:rPr>
        <w:t xml:space="preserve"> For Title V sources located in off-reservation areas, </w:t>
      </w:r>
      <w:r w:rsidRPr="009C45AB">
        <w:rPr>
          <w:u w:val="single"/>
        </w:rPr>
        <w:t xml:space="preserve">the immediate challenge will be determining whether they are located in Indian country. </w:t>
      </w:r>
      <w:r w:rsidRPr="009C45AB">
        <w:rPr>
          <w:sz w:val="14"/>
        </w:rPr>
        <w:t xml:space="preserve">While sources can ask the EPA to issue a formal determination whether they are located within Indian country, there is no requirement that EPA issue such a determination in a timely manner to permit them to comply with filing deadlines. Simply asking for a formal determination does not toll the filing deadline. </w:t>
      </w:r>
      <w:r w:rsidRPr="009C45AB">
        <w:rPr>
          <w:u w:val="single"/>
        </w:rPr>
        <w:t>When in doubt, then, such sources may find that the safest course is simply to timely file an application with the EPA, reserving their rights to dispute the Indian country issue.</w:t>
      </w:r>
    </w:p>
    <w:p w14:paraId="1AFD5A5B" w14:textId="77777777" w:rsidR="00A23EB6" w:rsidRDefault="00A23EB6" w:rsidP="00A23EB6">
      <w:pPr>
        <w:pStyle w:val="Heading3"/>
      </w:pPr>
      <w:r>
        <w:t>2nc- Circumvention</w:t>
      </w:r>
    </w:p>
    <w:p w14:paraId="0480040B" w14:textId="77777777" w:rsidR="00A23EB6" w:rsidRDefault="00A23EB6" w:rsidP="00A23EB6">
      <w:pPr>
        <w:pStyle w:val="Heading4"/>
      </w:pPr>
      <w:r>
        <w:t>Plan doesn’t guarantee tribal ability to regulate off-reservation sources of damage—ensures circumvention through creation of overlapping authority because EPA interprets regulations in favor of federal power</w:t>
      </w:r>
    </w:p>
    <w:p w14:paraId="3E27C934" w14:textId="77777777" w:rsidR="00A23EB6" w:rsidRPr="009C45AB" w:rsidRDefault="00A23EB6" w:rsidP="00A23EB6">
      <w:r w:rsidRPr="009C45AB">
        <w:rPr>
          <w:rStyle w:val="Style13ptBold"/>
        </w:rPr>
        <w:t>FindLaw 18</w:t>
      </w:r>
      <w:r>
        <w:t xml:space="preserve"> (FindLaw- team of legal educators who provide free legal content for professionals and general public</w:t>
      </w:r>
      <w:r w:rsidRPr="009C45AB">
        <w:t>, 4-6-2018, "The Clean Air Act "Treatment As States" Rule," Findlaw, https://corporate.findlaw.com/law-library/the-clean-air-act-treatment-as-states-rule.html</w:t>
      </w:r>
      <w:r>
        <w:t>)</w:t>
      </w:r>
    </w:p>
    <w:p w14:paraId="175E9401" w14:textId="77777777" w:rsidR="00A23EB6" w:rsidRPr="009C45AB" w:rsidRDefault="00A23EB6" w:rsidP="00A23EB6">
      <w:pPr>
        <w:rPr>
          <w:sz w:val="14"/>
        </w:rPr>
      </w:pPr>
      <w:r w:rsidRPr="009C45AB">
        <w:rPr>
          <w:sz w:val="14"/>
        </w:rPr>
        <w:t xml:space="preserve">Tribal Jurisdiction Over Non-Reservation Areas </w:t>
      </w:r>
      <w:r w:rsidRPr="00353402">
        <w:rPr>
          <w:u w:val="single"/>
        </w:rPr>
        <w:t>The TAS Rule provides that eligible tribes may develop and implement air quality programs on non-reservation "Indian country" if the area is determined to be within the tribe's jurisdiction</w:t>
      </w:r>
      <w:r w:rsidRPr="009C45AB">
        <w:rPr>
          <w:sz w:val="14"/>
        </w:rPr>
        <w:t xml:space="preserve">. As with sources located on non-Indian owned fee lands within reservation boundaries, </w:t>
      </w:r>
      <w:r w:rsidRPr="00353402">
        <w:rPr>
          <w:b/>
          <w:u w:val="single"/>
        </w:rPr>
        <w:t>sources located on lands within "Indian country" could now be subject to air quality regulation by both a tribe and the EPA</w:t>
      </w:r>
      <w:r w:rsidRPr="009C45AB">
        <w:rPr>
          <w:sz w:val="14"/>
        </w:rPr>
        <w:t xml:space="preserve">. A description of the EPA's approach to jurisdiction in off-reservation "Indian country" is set forth below. EPA Position Concerning Off-Reservation Areas The final TAS rule also authorizes eligible tribes to "develop and implement tribal air quality programs in non-reservation areas that are determined to be within the tribe's jurisdiction." According to the EPA, such authorization is consistent with the provisions of CAA section 301(d)(2)(B) which provides that a tribe may be treated in the same manner as a state for functions regarding air resources "within the exterior boundaries of the reservation or other areas within the tribe's jurisdiction ... ." In the preamble to the final rule, the EPA explains that: The phrase "other areas within the tribe's jurisdiction" contained in CAA section 301(d)(2)(B) ... is meant to include all non-reservation areas over which a tribe can demonstrate authority, generally including all non-reservation areas of Indian country ... . It is EPA's interpretation that Congress has not delegated authority to otherwise eligible tribes to implement CAA programs over non-reservation areas as it has done for reservation areas. Rather, </w:t>
      </w:r>
      <w:r w:rsidRPr="00353402">
        <w:rPr>
          <w:b/>
          <w:u w:val="single"/>
        </w:rPr>
        <w:t>a tribe seeking to implement a CAA program over non-reservation areas may do so only if it has authority over such areas under general principles of federal Indian law.</w:t>
      </w:r>
      <w:r>
        <w:rPr>
          <w:b/>
          <w:u w:val="single"/>
        </w:rPr>
        <w:t xml:space="preserve"> </w:t>
      </w:r>
      <w:r w:rsidRPr="009C45AB">
        <w:rPr>
          <w:sz w:val="14"/>
        </w:rPr>
        <w:t xml:space="preserve">In determining which non-reservation areas may be subject to tribal jurisdiction, </w:t>
      </w:r>
      <w:r w:rsidRPr="00353402">
        <w:rPr>
          <w:u w:val="single"/>
        </w:rPr>
        <w:t>the EPA has indicated that it will rely upon the definition of "Indian country" contained in 18 U.S.C. section 1151</w:t>
      </w:r>
      <w:r w:rsidRPr="009C45AB">
        <w:rPr>
          <w:sz w:val="14"/>
        </w:rPr>
        <w:t xml:space="preserve">. </w:t>
      </w:r>
      <w:r w:rsidRPr="00353402">
        <w:rPr>
          <w:b/>
          <w:u w:val="single"/>
        </w:rPr>
        <w:t>The EPA acknowledged there may be controversy over whether a particular non-reservation area is within a tribe's jurisdiction. However, the EPA believes that these questions should be addressed on a case-by-case basis in the context of particular tribal applications."</w:t>
      </w:r>
      <w:r>
        <w:rPr>
          <w:b/>
          <w:u w:val="single"/>
        </w:rPr>
        <w:t xml:space="preserve"> </w:t>
      </w:r>
      <w:r w:rsidRPr="009C45AB">
        <w:rPr>
          <w:sz w:val="14"/>
        </w:rPr>
        <w:t xml:space="preserve">In adopting its approach to non-reservation areas, </w:t>
      </w:r>
      <w:r w:rsidRPr="00353402">
        <w:rPr>
          <w:u w:val="single"/>
        </w:rPr>
        <w:t xml:space="preserve">the EPA apparently rejected the risks of "jurisdictional entanglements and checkerboarding" which it had relied upon to support a territorial approach to jurisdiction within reservation boundaries. </w:t>
      </w:r>
      <w:r w:rsidRPr="009C45AB">
        <w:rPr>
          <w:sz w:val="14"/>
        </w:rPr>
        <w:t xml:space="preserve">The EPA acknowledged that "there may be cases where the agency may approve a tribe's application to implement a CAA program over a relatively small land area" and that "approval of a tribal program over a small area that is surrounded by land covered by a state CAA program could lead to less uniform regulation." It explained that </w:t>
      </w:r>
      <w:r w:rsidRPr="00353402">
        <w:rPr>
          <w:u w:val="single"/>
        </w:rPr>
        <w:t>while it "recognizes that its approval of tribal programs over small areas may result in less uniform regulation in some cases, the Agency believes that the approach to tribal jurisdiction outlined in this Tribal Authority Rule best reconciles federal Indian and environmental policies."</w:t>
      </w:r>
      <w:r>
        <w:rPr>
          <w:u w:val="single"/>
        </w:rPr>
        <w:t xml:space="preserve"> </w:t>
      </w:r>
      <w:r w:rsidRPr="009C45AB">
        <w:rPr>
          <w:sz w:val="14"/>
        </w:rPr>
        <w:t xml:space="preserve">Issues Concerning Off-Reservation Jurisdiction </w:t>
      </w:r>
      <w:r w:rsidRPr="00353402">
        <w:rPr>
          <w:u w:val="single"/>
        </w:rPr>
        <w:t>The EPA's position concerning off-reservation jurisdiction raises a number of practical and legal problems</w:t>
      </w:r>
      <w:r w:rsidRPr="009C45AB">
        <w:rPr>
          <w:sz w:val="14"/>
        </w:rPr>
        <w:t xml:space="preserve">. First, </w:t>
      </w:r>
      <w:r w:rsidRPr="00353402">
        <w:rPr>
          <w:u w:val="single"/>
        </w:rPr>
        <w:t>the agency's interpretation of the scope of the delegation of authority is hard to square with the language of the CAA</w:t>
      </w:r>
      <w:r w:rsidRPr="009C45AB">
        <w:rPr>
          <w:sz w:val="14"/>
        </w:rPr>
        <w:t xml:space="preserve">. Section 7410(o), which addresses the submission and approval of TIPs, </w:t>
      </w:r>
      <w:r w:rsidRPr="00353402">
        <w:rPr>
          <w:u w:val="single"/>
        </w:rPr>
        <w:t>plainly does not authorize tribal jurisdiction beyond reservation boundaries</w:t>
      </w:r>
      <w:r w:rsidRPr="009C45AB">
        <w:rPr>
          <w:sz w:val="14"/>
        </w:rPr>
        <w:t xml:space="preserve">. Under section 7410(o), once a TIP becomes effective, it "shall become applicable to all areas (except as expressly provided otherwise in the plan) located within the exterior boundaries of the reservation, notwithstanding the issuance of any patent and including rights-of-way running through the reservation." </w:t>
      </w:r>
      <w:r w:rsidRPr="00353402">
        <w:rPr>
          <w:u w:val="single"/>
        </w:rPr>
        <w:t>Other provisions of the Act similarly limit tribal jurisdiction to land within the exterior boundaries of a reservation.</w:t>
      </w:r>
      <w:r>
        <w:rPr>
          <w:u w:val="single"/>
        </w:rPr>
        <w:t xml:space="preserve"> </w:t>
      </w:r>
      <w:r w:rsidRPr="00353402">
        <w:rPr>
          <w:b/>
          <w:u w:val="single"/>
        </w:rPr>
        <w:t>A further practical problem with EPA's off-reservation approach is the "jurisdictional entanglements and checkerboarding" of jurisdictional authority it creates</w:t>
      </w:r>
      <w:r w:rsidRPr="009C45AB">
        <w:rPr>
          <w:sz w:val="14"/>
        </w:rPr>
        <w:t xml:space="preserve">. Ironically, </w:t>
      </w:r>
      <w:r w:rsidRPr="00353402">
        <w:rPr>
          <w:u w:val="single"/>
        </w:rPr>
        <w:t>the EPA justified its "territorial approach" to on-reservation jurisdiction by asserting that such an approach "will have the effect of minimizing jurisdictional entanglements and checkerboarding within reservations."</w:t>
      </w:r>
      <w:r w:rsidRPr="009C45AB">
        <w:rPr>
          <w:sz w:val="14"/>
        </w:rPr>
        <w:t xml:space="preserve"> In asserting tribal jurisdiction over off-reservation areas, </w:t>
      </w:r>
      <w:r w:rsidRPr="00353402">
        <w:rPr>
          <w:b/>
          <w:u w:val="single"/>
        </w:rPr>
        <w:t>the EPA brushed aside such concerns noting that, while approval of tribal programs "may result in less uniform regulation in some cases, the Agency believes that the approach . . . best reconciles federal Indian and environmental policies."</w:t>
      </w:r>
      <w:r>
        <w:rPr>
          <w:b/>
          <w:u w:val="single"/>
        </w:rPr>
        <w:t xml:space="preserve"> </w:t>
      </w:r>
      <w:r w:rsidRPr="009C45AB">
        <w:rPr>
          <w:u w:val="single"/>
        </w:rPr>
        <w:t>Approval of off-reservation programs</w:t>
      </w:r>
      <w:r w:rsidRPr="009C45AB">
        <w:rPr>
          <w:sz w:val="14"/>
        </w:rPr>
        <w:t xml:space="preserve">, however, </w:t>
      </w:r>
      <w:r w:rsidRPr="009C45AB">
        <w:rPr>
          <w:u w:val="single"/>
        </w:rPr>
        <w:t>can have significant jurisdictional consequences</w:t>
      </w:r>
      <w:r w:rsidRPr="009C45AB">
        <w:rPr>
          <w:sz w:val="14"/>
        </w:rPr>
        <w:t xml:space="preserve">. For example, if the EPA were to authorize a tribe to issue a Title V permit for an source located on off-reservation, Indian country lands, then </w:t>
      </w:r>
      <w:r w:rsidRPr="009C45AB">
        <w:rPr>
          <w:u w:val="single"/>
        </w:rPr>
        <w:t>the source likely would have to meet the requirements of the applicable federal implementation plan</w:t>
      </w:r>
      <w:r w:rsidRPr="009C45AB">
        <w:rPr>
          <w:sz w:val="14"/>
        </w:rPr>
        <w:t xml:space="preserve">, not the TIP for the authorized tribe. Further potential issues concerning off-reservation jurisdiction include review of Title V applications by "affected States ." Under Title V, "affected States" are defined as contiguous states "whose air quality may be affected" or states "within fifty miles of the source." Each affected state must receive a copy of each permit application and application for modification or renewal. Such states must then be given an opportunity to "submit written recommendations respecting the issuance of the permit and its terms and conditions. If any part of those recommendations are not accepted by the permitting authority, such authority shall notify the State submitting the recommendations and the [EPA] Administrator in writing of its failure to accept those recommendations and the reasons therefor." </w:t>
      </w:r>
      <w:r w:rsidRPr="009C45AB">
        <w:rPr>
          <w:u w:val="single"/>
        </w:rPr>
        <w:t>These obligations would apply to any eligible tribe regardless whether the tribe has an approved Title V permit program</w:t>
      </w:r>
      <w:r w:rsidRPr="009C45AB">
        <w:rPr>
          <w:sz w:val="14"/>
        </w:rPr>
        <w:t xml:space="preserve">. </w:t>
      </w:r>
      <w:r w:rsidRPr="009C45AB">
        <w:rPr>
          <w:b/>
          <w:u w:val="single"/>
        </w:rPr>
        <w:t>Given the amorphous nature of "Indian country," it will now be more difficult for state permitting authorities to determine whether a source is within fifty miles of an area over which a tribe has jurisdiction.</w:t>
      </w:r>
      <w:r>
        <w:rPr>
          <w:b/>
          <w:u w:val="single"/>
        </w:rPr>
        <w:t xml:space="preserve"> </w:t>
      </w:r>
      <w:r w:rsidRPr="009C45AB">
        <w:rPr>
          <w:sz w:val="14"/>
        </w:rPr>
        <w:t>The EPA's approach to jurisdiction over off-reservation Indian country also may have an impact on PSD permitting. It has indicated that it interprets the United States Supreme Court's decision in Oklahoma Tax Commission as expanding the definition of the term "reservation" to include "trust lands that have been validly set apart for the use of a tribe even though the land has not been formally designated as a reservation." The EPA has further declared its willingness to consider whether other types of land may be considered a "reservation" even though not formally designated as such. It therefore may be willing to accept tribal redesignations of areas in off-reservation Indian country that it has determined are subject to the tribe's CAA jurisdiction, notwithstanding the provision of the Act limiting tribal power to redesignate to "lands within the exterior boundaries of reservations ... ."</w:t>
      </w:r>
    </w:p>
    <w:p w14:paraId="07A797E0" w14:textId="10B4CB5B" w:rsidR="003F3657" w:rsidRPr="00ED0695" w:rsidRDefault="00ED0695" w:rsidP="003F3657">
      <w:pPr>
        <w:pStyle w:val="Heading3"/>
        <w:rPr>
          <w:rFonts w:asciiTheme="minorHAnsi" w:hAnsiTheme="minorHAnsi" w:cstheme="minorHAnsi"/>
        </w:rPr>
      </w:pPr>
      <w:r>
        <w:rPr>
          <w:rFonts w:asciiTheme="minorHAnsi" w:hAnsiTheme="minorHAnsi" w:cstheme="minorHAnsi"/>
        </w:rPr>
        <w:t xml:space="preserve">1nc- </w:t>
      </w:r>
      <w:r w:rsidR="003F3657" w:rsidRPr="00ED0695">
        <w:rPr>
          <w:rFonts w:asciiTheme="minorHAnsi" w:hAnsiTheme="minorHAnsi" w:cstheme="minorHAnsi"/>
        </w:rPr>
        <w:t xml:space="preserve">State fails </w:t>
      </w:r>
    </w:p>
    <w:p w14:paraId="437A1489" w14:textId="77777777" w:rsidR="003F3657" w:rsidRPr="00ED0695" w:rsidRDefault="003F3657" w:rsidP="003F3657">
      <w:pPr>
        <w:pStyle w:val="Heading4"/>
        <w:rPr>
          <w:rFonts w:asciiTheme="minorHAnsi" w:hAnsiTheme="minorHAnsi" w:cstheme="minorHAnsi"/>
        </w:rPr>
      </w:pPr>
      <w:r w:rsidRPr="00ED0695">
        <w:rPr>
          <w:rFonts w:asciiTheme="minorHAnsi" w:hAnsiTheme="minorHAnsi" w:cstheme="minorHAnsi"/>
        </w:rPr>
        <w:t xml:space="preserve">Reform fails-working within the system allows settlers to reframe self-determination as obligation locking in environmental [paternalism and expanding the colonial project </w:t>
      </w:r>
    </w:p>
    <w:p w14:paraId="3D72B365" w14:textId="77777777" w:rsidR="003F3657" w:rsidRPr="00ED0695" w:rsidRDefault="003F3657" w:rsidP="003F3657">
      <w:pPr>
        <w:rPr>
          <w:rFonts w:asciiTheme="minorHAnsi" w:hAnsiTheme="minorHAnsi" w:cstheme="minorHAnsi"/>
        </w:rPr>
      </w:pPr>
      <w:r w:rsidRPr="00ED0695">
        <w:rPr>
          <w:rFonts w:asciiTheme="minorHAnsi" w:hAnsiTheme="minorHAnsi" w:cstheme="minorHAnsi"/>
        </w:rPr>
        <w:t xml:space="preserve">Reform within the system is the only possible solution—settlerism relies on </w:t>
      </w:r>
    </w:p>
    <w:p w14:paraId="74590B8B" w14:textId="77777777" w:rsidR="003F3657" w:rsidRPr="00ED0695" w:rsidRDefault="003F3657" w:rsidP="003F3657">
      <w:pPr>
        <w:rPr>
          <w:rFonts w:asciiTheme="minorHAnsi" w:hAnsiTheme="minorHAnsi" w:cstheme="minorHAnsi"/>
        </w:rPr>
      </w:pPr>
      <w:r w:rsidRPr="00ED0695">
        <w:rPr>
          <w:rStyle w:val="Style13ptBold"/>
          <w:rFonts w:asciiTheme="minorHAnsi" w:hAnsiTheme="minorHAnsi" w:cstheme="minorHAnsi"/>
        </w:rPr>
        <w:t>Bray</w:t>
      </w:r>
      <w:r w:rsidRPr="00ED0695">
        <w:rPr>
          <w:rFonts w:asciiTheme="minorHAnsi" w:hAnsiTheme="minorHAnsi" w:cstheme="minorHAnsi"/>
        </w:rPr>
        <w:t>, L.A. (</w:t>
      </w:r>
      <w:r w:rsidRPr="00ED0695">
        <w:rPr>
          <w:rStyle w:val="Style13ptBold"/>
          <w:rFonts w:asciiTheme="minorHAnsi" w:hAnsiTheme="minorHAnsi" w:cstheme="minorHAnsi"/>
        </w:rPr>
        <w:t>2021</w:t>
      </w:r>
      <w:r w:rsidRPr="00ED0695">
        <w:rPr>
          <w:rFonts w:asciiTheme="minorHAnsi" w:hAnsiTheme="minorHAnsi" w:cstheme="minorHAnsi"/>
        </w:rPr>
        <w:t xml:space="preserve">), Settler Colonialism and Rural Environmental Injustice: Water Inequality on the Navajo Nation*. Rural Sociology. </w:t>
      </w:r>
      <w:hyperlink r:id="rId10" w:history="1">
        <w:r w:rsidRPr="00ED0695">
          <w:rPr>
            <w:rStyle w:val="Hyperlink"/>
            <w:rFonts w:asciiTheme="minorHAnsi" w:hAnsiTheme="minorHAnsi" w:cstheme="minorHAnsi"/>
          </w:rPr>
          <w:t>https://doi-org.libproxy.utdallas.edu/10.1111/ruso.12366</w:t>
        </w:r>
      </w:hyperlink>
    </w:p>
    <w:p w14:paraId="26D6611B" w14:textId="08030528" w:rsidR="003F3657" w:rsidRPr="00ED0695" w:rsidRDefault="003F3657" w:rsidP="003F3657">
      <w:pPr>
        <w:rPr>
          <w:rStyle w:val="Emphasis"/>
          <w:rFonts w:asciiTheme="minorHAnsi" w:hAnsiTheme="minorHAnsi" w:cstheme="minorHAnsi"/>
        </w:rPr>
      </w:pPr>
      <w:r w:rsidRPr="00ED0695">
        <w:rPr>
          <w:rFonts w:asciiTheme="minorHAnsi" w:hAnsiTheme="minorHAnsi" w:cstheme="minorHAnsi"/>
          <w:sz w:val="14"/>
        </w:rPr>
        <w:t>Discussion and Conclusion</w:t>
      </w:r>
      <w:r w:rsidR="00ED0695" w:rsidRPr="00ED0695">
        <w:rPr>
          <w:rFonts w:asciiTheme="minorHAnsi" w:hAnsiTheme="minorHAnsi" w:cstheme="minorHAnsi"/>
          <w:sz w:val="14"/>
        </w:rPr>
        <w:t xml:space="preserve"> </w:t>
      </w:r>
      <w:r w:rsidRPr="00ED0695">
        <w:rPr>
          <w:rFonts w:asciiTheme="minorHAnsi" w:hAnsiTheme="minorHAnsi" w:cstheme="minorHAnsi"/>
          <w:sz w:val="14"/>
        </w:rPr>
        <w:t xml:space="preserve">Recent work on the rural dimension of justice highlights the unique grammars and structures of injustice in the countryside (Carolan 2020). Rural areas across the United States face serious challenges related to water quality, quantity, and infrastructure (Flint and Krogman 2014). For </w:t>
      </w:r>
      <w:r w:rsidRPr="00ED0695">
        <w:rPr>
          <w:rStyle w:val="StyleUnderline"/>
          <w:rFonts w:asciiTheme="minorHAnsi" w:hAnsiTheme="minorHAnsi" w:cstheme="minorHAnsi"/>
        </w:rPr>
        <w:t>tribal nations and other rural communities of color, racial subjugation further compounds these problems</w:t>
      </w:r>
      <w:r w:rsidRPr="00ED0695">
        <w:rPr>
          <w:rFonts w:asciiTheme="minorHAnsi" w:hAnsiTheme="minorHAnsi" w:cstheme="minorHAnsi"/>
          <w:sz w:val="14"/>
        </w:rPr>
        <w:t xml:space="preserve"> (Berry 1998). The history of the San Juan River water development in New Mexico illustrates many of these inequities. Although the Winters doctrine establishes Navajo rights to potentially large amounts of the river's flow, </w:t>
      </w:r>
      <w:r w:rsidRPr="00ED0695">
        <w:rPr>
          <w:rStyle w:val="StyleUnderline"/>
          <w:rFonts w:asciiTheme="minorHAnsi" w:hAnsiTheme="minorHAnsi" w:cstheme="minorHAnsi"/>
        </w:rPr>
        <w:t>severe deficiencies in water infrastructure have contributed to economic underdevelopment and pervasive water insecurity.</w:t>
      </w:r>
      <w:r w:rsidRPr="00ED0695">
        <w:rPr>
          <w:rFonts w:asciiTheme="minorHAnsi" w:hAnsiTheme="minorHAnsi" w:cstheme="minorHAnsi"/>
          <w:sz w:val="14"/>
        </w:rPr>
        <w:t xml:space="preserve"> </w:t>
      </w:r>
      <w:r w:rsidRPr="00ED0695">
        <w:rPr>
          <w:rStyle w:val="StyleUnderline"/>
          <w:rFonts w:asciiTheme="minorHAnsi" w:hAnsiTheme="minorHAnsi" w:cstheme="minorHAnsi"/>
        </w:rPr>
        <w:t>By examining how processes of spatial and racial marginalization come together,</w:t>
      </w:r>
      <w:r w:rsidRPr="00ED0695">
        <w:rPr>
          <w:rFonts w:asciiTheme="minorHAnsi" w:hAnsiTheme="minorHAnsi" w:cstheme="minorHAnsi"/>
          <w:sz w:val="14"/>
        </w:rPr>
        <w:t xml:space="preserve"> </w:t>
      </w:r>
      <w:r w:rsidRPr="00ED0695">
        <w:rPr>
          <w:rStyle w:val="StyleUnderline"/>
          <w:rFonts w:asciiTheme="minorHAnsi" w:hAnsiTheme="minorHAnsi" w:cstheme="minorHAnsi"/>
        </w:rPr>
        <w:t>scholars can better understand the development and persistence of these rural environmental injustices.</w:t>
      </w:r>
      <w:r w:rsidRPr="00ED0695">
        <w:rPr>
          <w:rFonts w:asciiTheme="minorHAnsi" w:hAnsiTheme="minorHAnsi" w:cstheme="minorHAnsi"/>
          <w:sz w:val="14"/>
        </w:rPr>
        <w:t xml:space="preserve"> This study contributes to the emerging research on rural environmental justice by showing how racial projects contribute to rural forms of environmental inequality.</w:t>
      </w:r>
      <w:r w:rsidR="00ED0695" w:rsidRPr="00ED0695">
        <w:rPr>
          <w:rFonts w:asciiTheme="minorHAnsi" w:hAnsiTheme="minorHAnsi" w:cstheme="minorHAnsi"/>
          <w:sz w:val="14"/>
        </w:rPr>
        <w:t xml:space="preserve"> </w:t>
      </w:r>
      <w:r w:rsidRPr="00ED0695">
        <w:rPr>
          <w:rStyle w:val="StyleUnderline"/>
          <w:rFonts w:asciiTheme="minorHAnsi" w:hAnsiTheme="minorHAnsi" w:cstheme="minorHAnsi"/>
        </w:rPr>
        <w:t>Analysis of the water politics</w:t>
      </w:r>
      <w:r w:rsidRPr="00ED0695">
        <w:rPr>
          <w:rFonts w:asciiTheme="minorHAnsi" w:hAnsiTheme="minorHAnsi" w:cstheme="minorHAnsi"/>
          <w:sz w:val="14"/>
        </w:rPr>
        <w:t xml:space="preserve"> that divided the San Juan River between the Navajo Nation and Albuquerque, NM </w:t>
      </w:r>
      <w:r w:rsidRPr="00ED0695">
        <w:rPr>
          <w:rStyle w:val="StyleUnderline"/>
          <w:rFonts w:asciiTheme="minorHAnsi" w:hAnsiTheme="minorHAnsi" w:cstheme="minorHAnsi"/>
        </w:rPr>
        <w:t xml:space="preserve">shows how settler colonial racial projects targeted </w:t>
      </w:r>
      <w:r w:rsidRPr="00ED0695">
        <w:rPr>
          <w:rFonts w:asciiTheme="minorHAnsi" w:hAnsiTheme="minorHAnsi" w:cstheme="minorHAnsi"/>
          <w:sz w:val="14"/>
        </w:rPr>
        <w:t>the</w:t>
      </w:r>
      <w:r w:rsidRPr="00ED0695">
        <w:rPr>
          <w:rStyle w:val="StyleUnderline"/>
          <w:rFonts w:asciiTheme="minorHAnsi" w:hAnsiTheme="minorHAnsi" w:cstheme="minorHAnsi"/>
        </w:rPr>
        <w:t xml:space="preserve"> collective rights</w:t>
      </w:r>
      <w:r w:rsidRPr="00ED0695">
        <w:rPr>
          <w:rFonts w:asciiTheme="minorHAnsi" w:hAnsiTheme="minorHAnsi" w:cstheme="minorHAnsi"/>
          <w:sz w:val="14"/>
        </w:rPr>
        <w:t xml:space="preserve"> of the Navajo </w:t>
      </w:r>
      <w:r w:rsidRPr="00ED0695">
        <w:rPr>
          <w:rStyle w:val="StyleUnderline"/>
          <w:rFonts w:asciiTheme="minorHAnsi" w:hAnsiTheme="minorHAnsi" w:cstheme="minorHAnsi"/>
        </w:rPr>
        <w:t>in ways that undermined tribal sovereignty.</w:t>
      </w:r>
      <w:r w:rsidRPr="00ED0695">
        <w:rPr>
          <w:rFonts w:asciiTheme="minorHAnsi" w:hAnsiTheme="minorHAnsi" w:cstheme="minorHAnsi"/>
          <w:sz w:val="14"/>
        </w:rPr>
        <w:t xml:space="preserve"> Political support for the NIIP emerged primarily from settlers' desire to appropriate San Juan water resources for non-Indian use. Despite the Navajo Nation's legal claims, </w:t>
      </w:r>
      <w:r w:rsidRPr="00ED0695">
        <w:rPr>
          <w:rStyle w:val="StyleUnderline"/>
          <w:rFonts w:asciiTheme="minorHAnsi" w:hAnsiTheme="minorHAnsi" w:cstheme="minorHAnsi"/>
        </w:rPr>
        <w:t xml:space="preserve">racialized ideas about tribal nationhood meant that their water rights carried little weight compared to other state actors. </w:t>
      </w:r>
      <w:r w:rsidRPr="00ED0695">
        <w:rPr>
          <w:rFonts w:asciiTheme="minorHAnsi" w:hAnsiTheme="minorHAnsi" w:cstheme="minorHAnsi"/>
          <w:sz w:val="14"/>
        </w:rPr>
        <w:t>Throughout the approval process</w:t>
      </w:r>
      <w:r w:rsidRPr="00ED0695">
        <w:rPr>
          <w:rStyle w:val="StyleUnderline"/>
          <w:rFonts w:asciiTheme="minorHAnsi" w:hAnsiTheme="minorHAnsi" w:cstheme="minorHAnsi"/>
        </w:rPr>
        <w:t>, settler officials downplayed or denied the Navajo's legal right to the water, framing federal assistance instead as a moral obligation. The water would help solve the “Navajo problem” by transforming the Navajo into “good citizens” and incorporating them into white society.</w:t>
      </w:r>
      <w:r w:rsidRPr="00ED0695">
        <w:rPr>
          <w:rFonts w:asciiTheme="minorHAnsi" w:hAnsiTheme="minorHAnsi" w:cstheme="minorHAnsi"/>
          <w:sz w:val="14"/>
        </w:rPr>
        <w:t xml:space="preserve"> </w:t>
      </w:r>
      <w:r w:rsidRPr="00ED0695">
        <w:rPr>
          <w:rStyle w:val="Emphasis"/>
          <w:rFonts w:asciiTheme="minorHAnsi" w:hAnsiTheme="minorHAnsi" w:cstheme="minorHAnsi"/>
        </w:rPr>
        <w:t>Settler officials drew on these assimilationist ideas to advance termination policy, seeking to end federal funding and protections to tribes. The state further justified environmental paternalism by questioning the ability of the Navajo Nation to responsibility manage their land and natural resources. Ultimately, moral claims would prove a precarious basis for tribal water rights and failed to carry authority when it came to appropriations or procuring the organizational resources needed to successfully carry out the project (Jacobsen 1989). As such, setters' diminishment of Navajo political sovereignty hindered the tribe's ability to meaningfully participate in western water development and further subordinated Indigenous rights to colonial authority.</w:t>
      </w:r>
    </w:p>
    <w:p w14:paraId="1131897B" w14:textId="77777777" w:rsidR="003F3657" w:rsidRPr="00ED0695" w:rsidRDefault="003F3657" w:rsidP="003F3657">
      <w:pPr>
        <w:rPr>
          <w:rStyle w:val="Style13ptBold"/>
          <w:rFonts w:asciiTheme="minorHAnsi" w:hAnsiTheme="minorHAnsi" w:cstheme="minorHAnsi"/>
        </w:rPr>
      </w:pPr>
      <w:r w:rsidRPr="00ED0695">
        <w:rPr>
          <w:rStyle w:val="Style13ptBold"/>
          <w:rFonts w:asciiTheme="minorHAnsi" w:hAnsiTheme="minorHAnsi" w:cstheme="minorHAnsi"/>
        </w:rPr>
        <w:t xml:space="preserve">A2: State Good—The state fails and reinscribes  setcol logics </w:t>
      </w:r>
    </w:p>
    <w:p w14:paraId="3473F1E0" w14:textId="77777777" w:rsidR="003F3657" w:rsidRPr="00ED0695" w:rsidRDefault="003F3657" w:rsidP="003F3657">
      <w:pPr>
        <w:rPr>
          <w:rFonts w:asciiTheme="minorHAnsi" w:hAnsiTheme="minorHAnsi" w:cstheme="minorHAnsi"/>
        </w:rPr>
      </w:pPr>
      <w:r w:rsidRPr="00ED0695">
        <w:rPr>
          <w:rStyle w:val="Style13ptBold"/>
          <w:rFonts w:asciiTheme="minorHAnsi" w:hAnsiTheme="minorHAnsi" w:cstheme="minorHAnsi"/>
        </w:rPr>
        <w:t>Bray</w:t>
      </w:r>
      <w:r w:rsidRPr="00ED0695">
        <w:rPr>
          <w:rFonts w:asciiTheme="minorHAnsi" w:hAnsiTheme="minorHAnsi" w:cstheme="minorHAnsi"/>
        </w:rPr>
        <w:t>, L.A. (</w:t>
      </w:r>
      <w:r w:rsidRPr="00ED0695">
        <w:rPr>
          <w:rStyle w:val="Style13ptBold"/>
          <w:rFonts w:asciiTheme="minorHAnsi" w:hAnsiTheme="minorHAnsi" w:cstheme="minorHAnsi"/>
        </w:rPr>
        <w:t>2021</w:t>
      </w:r>
      <w:r w:rsidRPr="00ED0695">
        <w:rPr>
          <w:rFonts w:asciiTheme="minorHAnsi" w:hAnsiTheme="minorHAnsi" w:cstheme="minorHAnsi"/>
        </w:rPr>
        <w:t xml:space="preserve">), Settler Colonialism and Rural Environmental Injustice: Water Inequality on the Navajo Nation*. Rural Sociology. </w:t>
      </w:r>
      <w:hyperlink r:id="rId11" w:history="1">
        <w:r w:rsidRPr="00ED0695">
          <w:rPr>
            <w:rStyle w:val="Hyperlink"/>
            <w:rFonts w:asciiTheme="minorHAnsi" w:hAnsiTheme="minorHAnsi" w:cstheme="minorHAnsi"/>
          </w:rPr>
          <w:t>https://doi-org.libproxy.utdallas.edu/10.1111/ruso.12366</w:t>
        </w:r>
      </w:hyperlink>
    </w:p>
    <w:p w14:paraId="1A6DD404" w14:textId="537D9CCF" w:rsidR="003F3657" w:rsidRPr="00ED0695" w:rsidRDefault="003F3657" w:rsidP="003F3657">
      <w:pPr>
        <w:rPr>
          <w:rFonts w:asciiTheme="minorHAnsi" w:hAnsiTheme="minorHAnsi" w:cstheme="minorHAnsi"/>
          <w:sz w:val="14"/>
        </w:rPr>
      </w:pPr>
      <w:r w:rsidRPr="00ED0695">
        <w:rPr>
          <w:rFonts w:asciiTheme="minorHAnsi" w:hAnsiTheme="minorHAnsi" w:cstheme="minorHAnsi"/>
          <w:sz w:val="14"/>
        </w:rPr>
        <w:t xml:space="preserve">This study makes several contributions to the environmental justice literature. First, analysis of the NIIP illustrates the utility of theories of race for understanding processes of rural environmental inequality formation. Past research identifies how cultural ideas and economic structures in rural places contribute to environmental injustices but has yet to thoroughly examine how rurality intersects with other forms of social inequality. </w:t>
      </w:r>
      <w:r w:rsidRPr="00ED0695">
        <w:rPr>
          <w:rStyle w:val="StyleUnderline"/>
          <w:rFonts w:asciiTheme="minorHAnsi" w:hAnsiTheme="minorHAnsi" w:cstheme="minorHAnsi"/>
        </w:rPr>
        <w:t xml:space="preserve">The concept of racial projects usefully links cultural ideas with material outcomes </w:t>
      </w:r>
      <w:r w:rsidRPr="00ED0695">
        <w:rPr>
          <w:rFonts w:asciiTheme="minorHAnsi" w:hAnsiTheme="minorHAnsi" w:cstheme="minorHAnsi"/>
          <w:sz w:val="14"/>
        </w:rPr>
        <w:t xml:space="preserve">(Omi and Winant 2015), </w:t>
      </w:r>
      <w:r w:rsidRPr="00ED0695">
        <w:rPr>
          <w:rStyle w:val="StyleUnderline"/>
          <w:rFonts w:asciiTheme="minorHAnsi" w:hAnsiTheme="minorHAnsi" w:cstheme="minorHAnsi"/>
        </w:rPr>
        <w:t>showing how racial discourse provides the “ideological scaffolding” to legitimate inequality</w:t>
      </w:r>
      <w:r w:rsidRPr="00ED0695">
        <w:rPr>
          <w:rFonts w:asciiTheme="minorHAnsi" w:hAnsiTheme="minorHAnsi" w:cstheme="minorHAnsi"/>
          <w:sz w:val="14"/>
        </w:rPr>
        <w:t xml:space="preserve"> (Roscigno et al. 2015). Specifically, my analysis shows how </w:t>
      </w:r>
      <w:r w:rsidRPr="00ED0695">
        <w:rPr>
          <w:rStyle w:val="StyleUnderline"/>
          <w:rFonts w:asciiTheme="minorHAnsi" w:hAnsiTheme="minorHAnsi" w:cstheme="minorHAnsi"/>
        </w:rPr>
        <w:t>the discursive practices of settler officials facilitated and justified the uneven distribution of environmental resources along racial lines.</w:t>
      </w:r>
      <w:r w:rsidR="00ED0695">
        <w:rPr>
          <w:rStyle w:val="StyleUnderline"/>
          <w:rFonts w:asciiTheme="minorHAnsi" w:hAnsiTheme="minorHAnsi" w:cstheme="minorHAnsi"/>
        </w:rPr>
        <w:t xml:space="preserve"> </w:t>
      </w:r>
      <w:r w:rsidRPr="00ED0695">
        <w:rPr>
          <w:rFonts w:asciiTheme="minorHAnsi" w:hAnsiTheme="minorHAnsi" w:cstheme="minorHAnsi"/>
          <w:sz w:val="14"/>
        </w:rPr>
        <w:t xml:space="preserve">Second, this study draws attention to the unique aspects of anti-Indian racism within cases of Indigenous environmental injustice. </w:t>
      </w:r>
      <w:r w:rsidRPr="00ED0695">
        <w:rPr>
          <w:rStyle w:val="StyleUnderline"/>
          <w:rFonts w:asciiTheme="minorHAnsi" w:hAnsiTheme="minorHAnsi" w:cstheme="minorHAnsi"/>
        </w:rPr>
        <w:t>Analyzing race through settler colonial theory highlights how anti-Indian racism operates to deny the collective political rights of Indigenous people and facilitate white appropriation of Native resources.</w:t>
      </w:r>
      <w:r w:rsidRPr="00ED0695">
        <w:rPr>
          <w:rFonts w:asciiTheme="minorHAnsi" w:hAnsiTheme="minorHAnsi" w:cstheme="minorHAnsi"/>
          <w:sz w:val="14"/>
        </w:rPr>
        <w:t xml:space="preserve"> In this case study, </w:t>
      </w:r>
      <w:r w:rsidRPr="00ED0695">
        <w:rPr>
          <w:rStyle w:val="Emphasis"/>
          <w:rFonts w:asciiTheme="minorHAnsi" w:hAnsiTheme="minorHAnsi" w:cstheme="minorHAnsi"/>
        </w:rPr>
        <w:t>this meant that racism operated through greater inclusion rather than exclusion from the citizenship category. These unique dynamics could easily be overlooked without a theoretical framework attentive to the socio-historical circumstances underlying distinct racial formations.</w:t>
      </w:r>
      <w:r w:rsidRPr="00ED0695">
        <w:rPr>
          <w:rFonts w:asciiTheme="minorHAnsi" w:hAnsiTheme="minorHAnsi" w:cstheme="minorHAnsi"/>
          <w:sz w:val="14"/>
        </w:rPr>
        <w:t xml:space="preserve"> Finally, </w:t>
      </w:r>
      <w:r w:rsidRPr="00ED0695">
        <w:rPr>
          <w:rStyle w:val="StyleUnderline"/>
          <w:rFonts w:asciiTheme="minorHAnsi" w:hAnsiTheme="minorHAnsi" w:cstheme="minorHAnsi"/>
        </w:rPr>
        <w:t xml:space="preserve">this study contributes to recent research casting doubt on the ability of the state to meaningfully address environmental injustices and reinforces the understanding of environmental racism as a form of state-sanctioned violence </w:t>
      </w:r>
      <w:r w:rsidRPr="00ED0695">
        <w:rPr>
          <w:rFonts w:asciiTheme="minorHAnsi" w:hAnsiTheme="minorHAnsi" w:cstheme="minorHAnsi"/>
          <w:sz w:val="14"/>
        </w:rPr>
        <w:t xml:space="preserve">(Pulido, Kohl, and Cotton 2016). As demonstrated by the NIIP, </w:t>
      </w:r>
      <w:r w:rsidRPr="00ED0695">
        <w:rPr>
          <w:rStyle w:val="StyleUnderline"/>
          <w:rFonts w:asciiTheme="minorHAnsi" w:hAnsiTheme="minorHAnsi" w:cstheme="minorHAnsi"/>
        </w:rPr>
        <w:t xml:space="preserve">even when acting with the express intent of correcting past abuses, the state often reinscribes racial and colonial forms of domination. This underscores the importance of Indigenous models of environmental justice that recognize the need for decolonization, rather than liberal inclusion </w:t>
      </w:r>
      <w:r w:rsidRPr="00ED0695">
        <w:rPr>
          <w:rFonts w:asciiTheme="minorHAnsi" w:hAnsiTheme="minorHAnsi" w:cstheme="minorHAnsi"/>
          <w:sz w:val="14"/>
        </w:rPr>
        <w:t>(Cantzler and Huynh 2016).</w:t>
      </w:r>
    </w:p>
    <w:p w14:paraId="786B3BAE" w14:textId="1E01CB7C" w:rsidR="00B82515" w:rsidRDefault="00B82515" w:rsidP="00B82515">
      <w:pPr>
        <w:pStyle w:val="Heading2"/>
      </w:pPr>
      <w:r>
        <w:t>Case Turns</w:t>
      </w:r>
    </w:p>
    <w:p w14:paraId="58436EE6" w14:textId="0C461A4A" w:rsidR="00B44375" w:rsidRPr="00ED0695" w:rsidRDefault="00ED0695" w:rsidP="00B44375">
      <w:pPr>
        <w:pStyle w:val="Heading3"/>
        <w:rPr>
          <w:rFonts w:asciiTheme="minorHAnsi" w:hAnsiTheme="minorHAnsi" w:cstheme="minorHAnsi"/>
        </w:rPr>
      </w:pPr>
      <w:r>
        <w:rPr>
          <w:rFonts w:asciiTheme="minorHAnsi" w:hAnsiTheme="minorHAnsi" w:cstheme="minorHAnsi"/>
        </w:rPr>
        <w:t xml:space="preserve">1nc- </w:t>
      </w:r>
      <w:r w:rsidR="00B44375" w:rsidRPr="00ED0695">
        <w:rPr>
          <w:rFonts w:asciiTheme="minorHAnsi" w:hAnsiTheme="minorHAnsi" w:cstheme="minorHAnsi"/>
        </w:rPr>
        <w:t>EPA Case Turn</w:t>
      </w:r>
    </w:p>
    <w:p w14:paraId="5709444B" w14:textId="77777777" w:rsidR="00ED0695" w:rsidRPr="00ED0695" w:rsidRDefault="00ED0695" w:rsidP="00ED0695">
      <w:pPr>
        <w:pStyle w:val="Heading4"/>
        <w:rPr>
          <w:rFonts w:asciiTheme="minorHAnsi" w:hAnsiTheme="minorHAnsi" w:cstheme="minorHAnsi"/>
        </w:rPr>
      </w:pPr>
      <w:r w:rsidRPr="00ED0695">
        <w:rPr>
          <w:rFonts w:asciiTheme="minorHAnsi" w:hAnsiTheme="minorHAnsi" w:cstheme="minorHAnsi"/>
        </w:rPr>
        <w:t>EPA enforcement division is stretched to the breaking point. New responsibilities will destroy the division’s effectiveness and its ability to stop major environmental crimes</w:t>
      </w:r>
    </w:p>
    <w:p w14:paraId="198DC8B1" w14:textId="77777777" w:rsidR="00ED0695" w:rsidRPr="00ED0695" w:rsidRDefault="00ED0695" w:rsidP="00ED0695">
      <w:pPr>
        <w:rPr>
          <w:rFonts w:asciiTheme="minorHAnsi" w:hAnsiTheme="minorHAnsi" w:cstheme="minorHAnsi"/>
        </w:rPr>
      </w:pPr>
      <w:r w:rsidRPr="00ED0695">
        <w:rPr>
          <w:rFonts w:asciiTheme="minorHAnsi" w:hAnsiTheme="minorHAnsi" w:cstheme="minorHAnsi"/>
        </w:rPr>
        <w:t xml:space="preserve">Robin </w:t>
      </w:r>
      <w:r w:rsidRPr="00ED0695">
        <w:rPr>
          <w:rStyle w:val="Style13ptBold"/>
          <w:rFonts w:asciiTheme="minorHAnsi" w:hAnsiTheme="minorHAnsi" w:cstheme="minorHAnsi"/>
        </w:rPr>
        <w:t>Bravender 2016</w:t>
      </w:r>
      <w:r w:rsidRPr="00ED0695">
        <w:rPr>
          <w:rFonts w:asciiTheme="minorHAnsi" w:hAnsiTheme="minorHAnsi" w:cstheme="minorHAnsi"/>
        </w:rPr>
        <w:t xml:space="preserve">, E&amp;E reporter, Greenwire: Tuesday, April 12, 2016 </w:t>
      </w:r>
      <w:hyperlink r:id="rId12" w:history="1">
        <w:r w:rsidRPr="00ED0695">
          <w:rPr>
            <w:rStyle w:val="Hyperlink"/>
            <w:rFonts w:asciiTheme="minorHAnsi" w:hAnsiTheme="minorHAnsi" w:cstheme="minorHAnsi"/>
          </w:rPr>
          <w:t>http://www.eenews.net/stories/1060035465</w:t>
        </w:r>
      </w:hyperlink>
      <w:r w:rsidRPr="00ED0695">
        <w:rPr>
          <w:rFonts w:asciiTheme="minorHAnsi" w:hAnsiTheme="minorHAnsi" w:cstheme="minorHAnsi"/>
        </w:rPr>
        <w:t xml:space="preserve"> “EPA: Gumshoes’ depleted ranks worry former enforcers”</w:t>
      </w:r>
    </w:p>
    <w:p w14:paraId="6F58E0CD" w14:textId="77777777" w:rsidR="00ED0695" w:rsidRPr="00ED0695" w:rsidRDefault="00ED0695" w:rsidP="00ED0695">
      <w:pPr>
        <w:rPr>
          <w:rStyle w:val="Emphasis"/>
          <w:rFonts w:asciiTheme="minorHAnsi" w:hAnsiTheme="minorHAnsi" w:cstheme="minorHAnsi"/>
        </w:rPr>
      </w:pPr>
      <w:r w:rsidRPr="00ED0695">
        <w:rPr>
          <w:rFonts w:asciiTheme="minorHAnsi" w:hAnsiTheme="minorHAnsi" w:cstheme="minorHAnsi"/>
          <w:sz w:val="14"/>
        </w:rPr>
        <w:t xml:space="preserve">U.S. </w:t>
      </w:r>
      <w:r w:rsidRPr="00ED0695">
        <w:rPr>
          <w:rStyle w:val="StyleUnderline"/>
          <w:rFonts w:asciiTheme="minorHAnsi" w:hAnsiTheme="minorHAnsi" w:cstheme="minorHAnsi"/>
          <w:highlight w:val="yellow"/>
        </w:rPr>
        <w:t>EPA</w:t>
      </w:r>
      <w:r w:rsidRPr="00ED0695">
        <w:rPr>
          <w:rStyle w:val="StyleUnderline"/>
          <w:rFonts w:asciiTheme="minorHAnsi" w:hAnsiTheme="minorHAnsi" w:cstheme="minorHAnsi"/>
        </w:rPr>
        <w:t xml:space="preserve">'s former top cop </w:t>
      </w:r>
      <w:r w:rsidRPr="00ED0695">
        <w:rPr>
          <w:rStyle w:val="StyleUnderline"/>
          <w:rFonts w:asciiTheme="minorHAnsi" w:hAnsiTheme="minorHAnsi" w:cstheme="minorHAnsi"/>
          <w:highlight w:val="yellow"/>
        </w:rPr>
        <w:t>is worried about the agency's ability to catch lawbreakers</w:t>
      </w:r>
      <w:r w:rsidRPr="00ED0695">
        <w:rPr>
          <w:rFonts w:asciiTheme="minorHAnsi" w:hAnsiTheme="minorHAnsi" w:cstheme="minorHAnsi"/>
          <w:sz w:val="14"/>
          <w:highlight w:val="yellow"/>
        </w:rPr>
        <w:t xml:space="preserve">. </w:t>
      </w:r>
      <w:r w:rsidRPr="00ED0695">
        <w:rPr>
          <w:rStyle w:val="StyleUnderline"/>
          <w:rFonts w:asciiTheme="minorHAnsi" w:hAnsiTheme="minorHAnsi" w:cstheme="minorHAnsi"/>
          <w:highlight w:val="yellow"/>
        </w:rPr>
        <w:t>Budget cuts</w:t>
      </w:r>
      <w:r w:rsidRPr="00ED0695">
        <w:rPr>
          <w:rStyle w:val="StyleUnderline"/>
          <w:rFonts w:asciiTheme="minorHAnsi" w:hAnsiTheme="minorHAnsi" w:cstheme="minorHAnsi"/>
        </w:rPr>
        <w:t xml:space="preserve"> and staff reductions have </w:t>
      </w:r>
      <w:r w:rsidRPr="00ED0695">
        <w:rPr>
          <w:rStyle w:val="StyleUnderline"/>
          <w:rFonts w:asciiTheme="minorHAnsi" w:hAnsiTheme="minorHAnsi" w:cstheme="minorHAnsi"/>
          <w:highlight w:val="yellow"/>
        </w:rPr>
        <w:t>chiseled away at the agency's workforce</w:t>
      </w:r>
      <w:r w:rsidRPr="00ED0695">
        <w:rPr>
          <w:rStyle w:val="StyleUnderline"/>
          <w:rFonts w:asciiTheme="minorHAnsi" w:hAnsiTheme="minorHAnsi" w:cstheme="minorHAnsi"/>
        </w:rPr>
        <w:t xml:space="preserve"> in recent years, </w:t>
      </w:r>
      <w:r w:rsidRPr="00ED0695">
        <w:rPr>
          <w:rStyle w:val="StyleUnderline"/>
          <w:rFonts w:asciiTheme="minorHAnsi" w:hAnsiTheme="minorHAnsi" w:cstheme="minorHAnsi"/>
          <w:highlight w:val="yellow"/>
        </w:rPr>
        <w:t>leaving EPA's criminal enforcement program with fewer cops to track down crooks who dump hazardous</w:t>
      </w:r>
      <w:r w:rsidRPr="00ED0695">
        <w:rPr>
          <w:rStyle w:val="StyleUnderline"/>
          <w:rFonts w:asciiTheme="minorHAnsi" w:hAnsiTheme="minorHAnsi" w:cstheme="minorHAnsi"/>
        </w:rPr>
        <w:t xml:space="preserve"> </w:t>
      </w:r>
      <w:r w:rsidRPr="00ED0695">
        <w:rPr>
          <w:rStyle w:val="StyleUnderline"/>
          <w:rFonts w:asciiTheme="minorHAnsi" w:hAnsiTheme="minorHAnsi" w:cstheme="minorHAnsi"/>
          <w:highlight w:val="yellow"/>
        </w:rPr>
        <w:t>waste, illegally spew air pollution and commit other environmental crimes</w:t>
      </w:r>
      <w:r w:rsidRPr="00ED0695">
        <w:rPr>
          <w:rFonts w:asciiTheme="minorHAnsi" w:hAnsiTheme="minorHAnsi" w:cstheme="minorHAnsi"/>
          <w:sz w:val="14"/>
        </w:rPr>
        <w:t xml:space="preserve">. </w:t>
      </w:r>
      <w:r w:rsidRPr="00ED0695">
        <w:rPr>
          <w:rStyle w:val="StyleUnderline"/>
          <w:rFonts w:asciiTheme="minorHAnsi" w:hAnsiTheme="minorHAnsi" w:cstheme="minorHAnsi"/>
        </w:rPr>
        <w:t>Even as the agency has pushed to staff back up, the criminal program hasn't gotten the necessary support from top agency officials</w:t>
      </w:r>
      <w:r w:rsidRPr="00ED0695">
        <w:rPr>
          <w:rFonts w:asciiTheme="minorHAnsi" w:hAnsiTheme="minorHAnsi" w:cstheme="minorHAnsi"/>
          <w:sz w:val="14"/>
        </w:rPr>
        <w:t xml:space="preserve">, said Doug Parker, who left his post last week as director of EPA's Criminal Investigation Division after two decades working on criminal enforcement. The enforcement program Parker left last week is very different from the one he joined when he became a special agent in 1993, he said in a recent interview. </w:t>
      </w:r>
      <w:r w:rsidRPr="00ED0695">
        <w:rPr>
          <w:rStyle w:val="StyleUnderline"/>
          <w:rFonts w:asciiTheme="minorHAnsi" w:hAnsiTheme="minorHAnsi" w:cstheme="minorHAnsi"/>
        </w:rPr>
        <w:t xml:space="preserve">The ranks of special agents -- EPA's "boots on the ground" -- have been </w:t>
      </w:r>
      <w:r w:rsidRPr="00ED0695">
        <w:rPr>
          <w:rStyle w:val="Emphasis"/>
          <w:rFonts w:asciiTheme="minorHAnsi" w:hAnsiTheme="minorHAnsi" w:cstheme="minorHAnsi"/>
        </w:rPr>
        <w:t>depleted to nearly an all-time low</w:t>
      </w:r>
      <w:r w:rsidRPr="00ED0695">
        <w:rPr>
          <w:rStyle w:val="StyleUnderline"/>
          <w:rFonts w:asciiTheme="minorHAnsi" w:hAnsiTheme="minorHAnsi" w:cstheme="minorHAnsi"/>
        </w:rPr>
        <w:t xml:space="preserve">. </w:t>
      </w:r>
      <w:r w:rsidRPr="00ED0695">
        <w:rPr>
          <w:rStyle w:val="Emphasis"/>
          <w:rFonts w:asciiTheme="minorHAnsi" w:hAnsiTheme="minorHAnsi" w:cstheme="minorHAnsi"/>
        </w:rPr>
        <w:t xml:space="preserve">The </w:t>
      </w:r>
      <w:r w:rsidRPr="00ED0695">
        <w:rPr>
          <w:rStyle w:val="Emphasis"/>
          <w:rFonts w:asciiTheme="minorHAnsi" w:hAnsiTheme="minorHAnsi" w:cstheme="minorHAnsi"/>
          <w:highlight w:val="yellow"/>
        </w:rPr>
        <w:t>staffing depletion could have big consequences</w:t>
      </w:r>
      <w:r w:rsidRPr="00ED0695">
        <w:rPr>
          <w:rStyle w:val="Emphasis"/>
          <w:rFonts w:asciiTheme="minorHAnsi" w:hAnsiTheme="minorHAnsi" w:cstheme="minorHAnsi"/>
        </w:rPr>
        <w:t xml:space="preserve"> for the environment and the public</w:t>
      </w:r>
      <w:r w:rsidRPr="00ED0695">
        <w:rPr>
          <w:rFonts w:asciiTheme="minorHAnsi" w:hAnsiTheme="minorHAnsi" w:cstheme="minorHAnsi"/>
          <w:sz w:val="14"/>
        </w:rPr>
        <w:t>, he said. "</w:t>
      </w:r>
      <w:r w:rsidRPr="00ED0695">
        <w:rPr>
          <w:rStyle w:val="StyleUnderline"/>
          <w:rFonts w:asciiTheme="minorHAnsi" w:hAnsiTheme="minorHAnsi" w:cstheme="minorHAnsi"/>
        </w:rPr>
        <w:t>EPA's criminal enforcement program is the only law enforcement organization that spans the country that focuses on environmental crime</w:t>
      </w:r>
      <w:r w:rsidRPr="00ED0695">
        <w:rPr>
          <w:rFonts w:asciiTheme="minorHAnsi" w:hAnsiTheme="minorHAnsi" w:cstheme="minorHAnsi"/>
          <w:sz w:val="14"/>
        </w:rPr>
        <w:t xml:space="preserve"> and the serious public health impacts that arise from it," said Parker, who starts next week at the law and consulting firm Earth &amp; Water Group (Greenwire, April 11). </w:t>
      </w:r>
    </w:p>
    <w:p w14:paraId="48FCBF5C" w14:textId="77777777" w:rsidR="00ED0695" w:rsidRPr="00ED0695" w:rsidRDefault="00ED0695" w:rsidP="00ED0695">
      <w:pPr>
        <w:pStyle w:val="Heading4"/>
        <w:rPr>
          <w:rFonts w:asciiTheme="minorHAnsi" w:hAnsiTheme="minorHAnsi" w:cstheme="minorHAnsi"/>
        </w:rPr>
      </w:pPr>
      <w:r w:rsidRPr="00ED0695">
        <w:rPr>
          <w:rFonts w:asciiTheme="minorHAnsi" w:hAnsiTheme="minorHAnsi" w:cstheme="minorHAnsi"/>
        </w:rPr>
        <w:t>Enforcement of the CAA is essential for combatting air pollution</w:t>
      </w:r>
    </w:p>
    <w:p w14:paraId="23460597" w14:textId="77777777" w:rsidR="00ED0695" w:rsidRPr="00ED0695" w:rsidRDefault="00ED0695" w:rsidP="00ED0695">
      <w:pPr>
        <w:rPr>
          <w:rFonts w:asciiTheme="minorHAnsi" w:hAnsiTheme="minorHAnsi" w:cstheme="minorHAnsi"/>
        </w:rPr>
      </w:pPr>
      <w:r w:rsidRPr="00ED0695">
        <w:rPr>
          <w:rStyle w:val="Style13ptBold"/>
          <w:rFonts w:asciiTheme="minorHAnsi" w:hAnsiTheme="minorHAnsi" w:cstheme="minorHAnsi"/>
        </w:rPr>
        <w:t>Mendleson and Bows</w:t>
      </w:r>
      <w:r w:rsidRPr="00ED0695">
        <w:rPr>
          <w:rFonts w:asciiTheme="minorHAnsi" w:hAnsiTheme="minorHAnsi" w:cstheme="minorHAnsi"/>
        </w:rPr>
        <w:t>, 20</w:t>
      </w:r>
      <w:r w:rsidRPr="00ED0695">
        <w:rPr>
          <w:rStyle w:val="Style13ptBold"/>
          <w:rFonts w:asciiTheme="minorHAnsi" w:hAnsiTheme="minorHAnsi" w:cstheme="minorHAnsi"/>
        </w:rPr>
        <w:t>10</w:t>
      </w:r>
      <w:r w:rsidRPr="00ED0695">
        <w:rPr>
          <w:rFonts w:asciiTheme="minorHAnsi" w:hAnsiTheme="minorHAnsi" w:cstheme="minorHAnsi"/>
        </w:rPr>
        <w:t xml:space="preserve"> (Joe, NWF Director of Global Warming Policy, and Catherine, Senior Climate Policy Representative, “The clean air act: 40 years of protecting wildlife from pollution,” http://www.nwf.org/~/media/PDFs/Global-Warming/Policy-Solutions/NWFCAAWildlifeFactSheet.ashx)</w:t>
      </w:r>
    </w:p>
    <w:p w14:paraId="50512B2D" w14:textId="77777777" w:rsidR="00ED0695" w:rsidRPr="00ED0695" w:rsidRDefault="00ED0695" w:rsidP="00ED0695">
      <w:pPr>
        <w:rPr>
          <w:rFonts w:asciiTheme="minorHAnsi" w:hAnsiTheme="minorHAnsi" w:cstheme="minorHAnsi"/>
        </w:rPr>
      </w:pPr>
      <w:r w:rsidRPr="00ED0695">
        <w:rPr>
          <w:rStyle w:val="StyleUnderline"/>
          <w:rFonts w:asciiTheme="minorHAnsi" w:hAnsiTheme="minorHAnsi" w:cstheme="minorHAnsi"/>
          <w:highlight w:val="yellow"/>
        </w:rPr>
        <w:t>Since the C</w:t>
      </w:r>
      <w:r w:rsidRPr="00ED0695">
        <w:rPr>
          <w:rFonts w:asciiTheme="minorHAnsi" w:hAnsiTheme="minorHAnsi" w:cstheme="minorHAnsi"/>
          <w:highlight w:val="yellow"/>
        </w:rPr>
        <w:t xml:space="preserve">lean </w:t>
      </w:r>
      <w:r w:rsidRPr="00ED0695">
        <w:rPr>
          <w:rStyle w:val="StyleUnderline"/>
          <w:rFonts w:asciiTheme="minorHAnsi" w:hAnsiTheme="minorHAnsi" w:cstheme="minorHAnsi"/>
          <w:highlight w:val="yellow"/>
        </w:rPr>
        <w:t>A</w:t>
      </w:r>
      <w:r w:rsidRPr="00ED0695">
        <w:rPr>
          <w:rFonts w:asciiTheme="minorHAnsi" w:hAnsiTheme="minorHAnsi" w:cstheme="minorHAnsi"/>
          <w:highlight w:val="yellow"/>
        </w:rPr>
        <w:t xml:space="preserve">ir </w:t>
      </w:r>
      <w:r w:rsidRPr="00ED0695">
        <w:rPr>
          <w:rStyle w:val="StyleUnderline"/>
          <w:rFonts w:asciiTheme="minorHAnsi" w:hAnsiTheme="minorHAnsi" w:cstheme="minorHAnsi"/>
          <w:highlight w:val="yellow"/>
        </w:rPr>
        <w:t>A</w:t>
      </w:r>
      <w:r w:rsidRPr="00ED0695">
        <w:rPr>
          <w:rFonts w:asciiTheme="minorHAnsi" w:hAnsiTheme="minorHAnsi" w:cstheme="minorHAnsi"/>
          <w:highlight w:val="yellow"/>
        </w:rPr>
        <w:t xml:space="preserve">ct </w:t>
      </w:r>
      <w:r w:rsidRPr="00ED0695">
        <w:rPr>
          <w:rStyle w:val="StyleUnderline"/>
          <w:rFonts w:asciiTheme="minorHAnsi" w:hAnsiTheme="minorHAnsi" w:cstheme="minorHAnsi"/>
          <w:highlight w:val="yellow"/>
        </w:rPr>
        <w:t>was</w:t>
      </w:r>
      <w:r w:rsidRPr="00ED0695">
        <w:rPr>
          <w:rFonts w:asciiTheme="minorHAnsi" w:hAnsiTheme="minorHAnsi" w:cstheme="minorHAnsi"/>
        </w:rPr>
        <w:t xml:space="preserve"> amended and </w:t>
      </w:r>
      <w:r w:rsidRPr="00ED0695">
        <w:rPr>
          <w:rStyle w:val="StyleUnderline"/>
          <w:rFonts w:asciiTheme="minorHAnsi" w:hAnsiTheme="minorHAnsi" w:cstheme="minorHAnsi"/>
          <w:highlight w:val="yellow"/>
        </w:rPr>
        <w:t>strengthened</w:t>
      </w:r>
      <w:r w:rsidRPr="00ED0695">
        <w:rPr>
          <w:rFonts w:asciiTheme="minorHAnsi" w:hAnsiTheme="minorHAnsi" w:cstheme="minorHAnsi"/>
        </w:rPr>
        <w:t xml:space="preserve"> in 1990, the public health </w:t>
      </w:r>
      <w:r w:rsidRPr="00ED0695">
        <w:rPr>
          <w:rStyle w:val="StyleUnderline"/>
          <w:rFonts w:asciiTheme="minorHAnsi" w:hAnsiTheme="minorHAnsi" w:cstheme="minorHAnsi"/>
          <w:highlight w:val="yellow"/>
        </w:rPr>
        <w:t>benefits</w:t>
      </w:r>
      <w:r w:rsidRPr="00ED0695">
        <w:rPr>
          <w:rFonts w:asciiTheme="minorHAnsi" w:hAnsiTheme="minorHAnsi" w:cstheme="minorHAnsi"/>
        </w:rPr>
        <w:t xml:space="preserve"> of the legislation </w:t>
      </w:r>
      <w:r w:rsidRPr="00ED0695">
        <w:rPr>
          <w:rStyle w:val="StyleUnderline"/>
          <w:rFonts w:asciiTheme="minorHAnsi" w:hAnsiTheme="minorHAnsi" w:cstheme="minorHAnsi"/>
          <w:highlight w:val="yellow"/>
        </w:rPr>
        <w:t>have increased</w:t>
      </w:r>
      <w:r w:rsidRPr="00ED0695">
        <w:rPr>
          <w:rFonts w:asciiTheme="minorHAnsi" w:hAnsiTheme="minorHAnsi" w:cstheme="minorHAnsi"/>
        </w:rPr>
        <w:t xml:space="preserve">. Preliminary analyses suggest that </w:t>
      </w:r>
      <w:r w:rsidRPr="00ED0695">
        <w:rPr>
          <w:rStyle w:val="StyleUnderline"/>
          <w:rFonts w:asciiTheme="minorHAnsi" w:hAnsiTheme="minorHAnsi" w:cstheme="minorHAnsi"/>
          <w:highlight w:val="yellow"/>
        </w:rPr>
        <w:t>programs</w:t>
      </w:r>
      <w:r w:rsidRPr="00ED0695">
        <w:rPr>
          <w:rFonts w:asciiTheme="minorHAnsi" w:hAnsiTheme="minorHAnsi" w:cstheme="minorHAnsi"/>
        </w:rPr>
        <w:t xml:space="preserve"> implemented after the 1990 reforms </w:t>
      </w:r>
      <w:r w:rsidRPr="00ED0695">
        <w:rPr>
          <w:rStyle w:val="StyleUnderline"/>
          <w:rFonts w:asciiTheme="minorHAnsi" w:hAnsiTheme="minorHAnsi" w:cstheme="minorHAnsi"/>
        </w:rPr>
        <w:t xml:space="preserve">will have </w:t>
      </w:r>
      <w:r w:rsidRPr="00ED0695">
        <w:rPr>
          <w:rStyle w:val="StyleUnderline"/>
          <w:rFonts w:asciiTheme="minorHAnsi" w:hAnsiTheme="minorHAnsi" w:cstheme="minorHAnsi"/>
          <w:highlight w:val="yellow"/>
        </w:rPr>
        <w:t>prevented 160,000 premature deaths</w:t>
      </w:r>
      <w:r w:rsidRPr="00ED0695">
        <w:rPr>
          <w:rStyle w:val="StyleUnderline"/>
          <w:rFonts w:asciiTheme="minorHAnsi" w:hAnsiTheme="minorHAnsi" w:cstheme="minorHAnsi"/>
        </w:rPr>
        <w:t xml:space="preserve"> by the end of 2010</w:t>
      </w:r>
      <w:r w:rsidRPr="00ED0695">
        <w:rPr>
          <w:rFonts w:asciiTheme="minorHAnsi" w:hAnsiTheme="minorHAnsi" w:cstheme="minorHAnsi"/>
        </w:rPr>
        <w:t xml:space="preserve">. Importantly, </w:t>
      </w:r>
      <w:r w:rsidRPr="00ED0695">
        <w:rPr>
          <w:rStyle w:val="StyleUnderline"/>
          <w:rFonts w:asciiTheme="minorHAnsi" w:hAnsiTheme="minorHAnsi" w:cstheme="minorHAnsi"/>
          <w:highlight w:val="yellow"/>
        </w:rPr>
        <w:t>public health protections</w:t>
      </w:r>
      <w:r w:rsidRPr="00ED0695">
        <w:rPr>
          <w:rStyle w:val="StyleUnderline"/>
          <w:rFonts w:asciiTheme="minorHAnsi" w:hAnsiTheme="minorHAnsi" w:cstheme="minorHAnsi"/>
        </w:rPr>
        <w:t xml:space="preserve"> under the C</w:t>
      </w:r>
      <w:r w:rsidRPr="00ED0695">
        <w:rPr>
          <w:rFonts w:asciiTheme="minorHAnsi" w:hAnsiTheme="minorHAnsi" w:cstheme="minorHAnsi"/>
        </w:rPr>
        <w:t xml:space="preserve">lean </w:t>
      </w:r>
      <w:r w:rsidRPr="00ED0695">
        <w:rPr>
          <w:rStyle w:val="StyleUnderline"/>
          <w:rFonts w:asciiTheme="minorHAnsi" w:hAnsiTheme="minorHAnsi" w:cstheme="minorHAnsi"/>
        </w:rPr>
        <w:t>A</w:t>
      </w:r>
      <w:r w:rsidRPr="00ED0695">
        <w:rPr>
          <w:rFonts w:asciiTheme="minorHAnsi" w:hAnsiTheme="minorHAnsi" w:cstheme="minorHAnsi"/>
        </w:rPr>
        <w:t xml:space="preserve">ir </w:t>
      </w:r>
      <w:r w:rsidRPr="00ED0695">
        <w:rPr>
          <w:rStyle w:val="StyleUnderline"/>
          <w:rFonts w:asciiTheme="minorHAnsi" w:hAnsiTheme="minorHAnsi" w:cstheme="minorHAnsi"/>
        </w:rPr>
        <w:t>A</w:t>
      </w:r>
      <w:r w:rsidRPr="00ED0695">
        <w:rPr>
          <w:rFonts w:asciiTheme="minorHAnsi" w:hAnsiTheme="minorHAnsi" w:cstheme="minorHAnsi"/>
        </w:rPr>
        <w:t xml:space="preserve">ct </w:t>
      </w:r>
      <w:r w:rsidRPr="00ED0695">
        <w:rPr>
          <w:rStyle w:val="StyleUnderline"/>
          <w:rFonts w:asciiTheme="minorHAnsi" w:hAnsiTheme="minorHAnsi" w:cstheme="minorHAnsi"/>
          <w:highlight w:val="yellow"/>
        </w:rPr>
        <w:t>go hand in hand with strong economic benefits</w:t>
      </w:r>
      <w:r w:rsidRPr="00ED0695">
        <w:rPr>
          <w:rFonts w:asciiTheme="minorHAnsi" w:hAnsiTheme="minorHAnsi" w:cstheme="minorHAnsi"/>
        </w:rPr>
        <w:t xml:space="preserve">. The Environmental Protection Agency (EPA) estimates that by 2007, </w:t>
      </w:r>
      <w:r w:rsidRPr="00ED0695">
        <w:rPr>
          <w:rStyle w:val="StyleUnderline"/>
          <w:rFonts w:asciiTheme="minorHAnsi" w:hAnsiTheme="minorHAnsi" w:cstheme="minorHAnsi"/>
        </w:rPr>
        <w:t>the environmental technology industry had generated $282 billion in revenue and 1.6 million jobs</w:t>
      </w:r>
      <w:r w:rsidRPr="00ED0695">
        <w:rPr>
          <w:rFonts w:asciiTheme="minorHAnsi" w:hAnsiTheme="minorHAnsi" w:cstheme="minorHAnsi"/>
        </w:rPr>
        <w:t xml:space="preserve">.2 The Clean Air Act is both an effective public health program and a successful environmental program. From New York’s Adirondack State Park, whose lakes are threatened by acid rain, to California’s San Bernardino National Forest, where trees are sickened by ozone, the </w:t>
      </w:r>
      <w:r w:rsidRPr="00ED0695">
        <w:rPr>
          <w:rStyle w:val="StyleUnderline"/>
          <w:rFonts w:asciiTheme="minorHAnsi" w:hAnsiTheme="minorHAnsi" w:cstheme="minorHAnsi"/>
          <w:highlight w:val="yellow"/>
        </w:rPr>
        <w:t>C</w:t>
      </w:r>
      <w:r w:rsidRPr="00ED0695">
        <w:rPr>
          <w:rFonts w:asciiTheme="minorHAnsi" w:hAnsiTheme="minorHAnsi" w:cstheme="minorHAnsi"/>
          <w:highlight w:val="yellow"/>
        </w:rPr>
        <w:t xml:space="preserve">lean </w:t>
      </w:r>
      <w:r w:rsidRPr="00ED0695">
        <w:rPr>
          <w:rStyle w:val="StyleUnderline"/>
          <w:rFonts w:asciiTheme="minorHAnsi" w:hAnsiTheme="minorHAnsi" w:cstheme="minorHAnsi"/>
          <w:highlight w:val="yellow"/>
        </w:rPr>
        <w:t>A</w:t>
      </w:r>
      <w:r w:rsidRPr="00ED0695">
        <w:rPr>
          <w:rFonts w:asciiTheme="minorHAnsi" w:hAnsiTheme="minorHAnsi" w:cstheme="minorHAnsi"/>
          <w:highlight w:val="yellow"/>
        </w:rPr>
        <w:t xml:space="preserve">ir </w:t>
      </w:r>
      <w:r w:rsidRPr="00ED0695">
        <w:rPr>
          <w:rStyle w:val="StyleUnderline"/>
          <w:rFonts w:asciiTheme="minorHAnsi" w:hAnsiTheme="minorHAnsi" w:cstheme="minorHAnsi"/>
          <w:highlight w:val="yellow"/>
        </w:rPr>
        <w:t>A</w:t>
      </w:r>
      <w:r w:rsidRPr="00ED0695">
        <w:rPr>
          <w:rFonts w:asciiTheme="minorHAnsi" w:hAnsiTheme="minorHAnsi" w:cstheme="minorHAnsi"/>
          <w:highlight w:val="yellow"/>
        </w:rPr>
        <w:t xml:space="preserve">ct </w:t>
      </w:r>
      <w:r w:rsidRPr="00ED0695">
        <w:rPr>
          <w:rStyle w:val="StyleUnderline"/>
          <w:rFonts w:asciiTheme="minorHAnsi" w:hAnsiTheme="minorHAnsi" w:cstheme="minorHAnsi"/>
          <w:highlight w:val="yellow"/>
        </w:rPr>
        <w:t>is essential for protecting America’s</w:t>
      </w:r>
      <w:r w:rsidRPr="00ED0695">
        <w:rPr>
          <w:rStyle w:val="StyleUnderline"/>
          <w:rFonts w:asciiTheme="minorHAnsi" w:hAnsiTheme="minorHAnsi" w:cstheme="minorHAnsi"/>
        </w:rPr>
        <w:t xml:space="preserve"> precious </w:t>
      </w:r>
      <w:r w:rsidRPr="00ED0695">
        <w:rPr>
          <w:rStyle w:val="StyleUnderline"/>
          <w:rFonts w:asciiTheme="minorHAnsi" w:hAnsiTheme="minorHAnsi" w:cstheme="minorHAnsi"/>
          <w:highlight w:val="yellow"/>
        </w:rPr>
        <w:t>wildlife and wild places from air</w:t>
      </w:r>
      <w:r w:rsidRPr="00ED0695">
        <w:rPr>
          <w:rStyle w:val="StyleUnderline"/>
          <w:rFonts w:asciiTheme="minorHAnsi" w:hAnsiTheme="minorHAnsi" w:cstheme="minorHAnsi"/>
        </w:rPr>
        <w:t xml:space="preserve">-borne </w:t>
      </w:r>
      <w:r w:rsidRPr="00ED0695">
        <w:rPr>
          <w:rStyle w:val="StyleUnderline"/>
          <w:rFonts w:asciiTheme="minorHAnsi" w:hAnsiTheme="minorHAnsi" w:cstheme="minorHAnsi"/>
          <w:highlight w:val="yellow"/>
        </w:rPr>
        <w:t>pollution</w:t>
      </w:r>
      <w:r w:rsidRPr="00ED0695">
        <w:rPr>
          <w:rFonts w:asciiTheme="minorHAnsi" w:hAnsiTheme="minorHAnsi" w:cstheme="minorHAnsi"/>
        </w:rPr>
        <w:t>.</w:t>
      </w:r>
    </w:p>
    <w:p w14:paraId="368CCD73" w14:textId="77777777" w:rsidR="00ED0695" w:rsidRPr="00ED0695" w:rsidRDefault="00ED0695" w:rsidP="00ED0695">
      <w:pPr>
        <w:pStyle w:val="Heading4"/>
        <w:rPr>
          <w:rFonts w:asciiTheme="minorHAnsi" w:hAnsiTheme="minorHAnsi" w:cstheme="minorHAnsi"/>
        </w:rPr>
      </w:pPr>
      <w:r w:rsidRPr="00ED0695">
        <w:rPr>
          <w:rFonts w:asciiTheme="minorHAnsi" w:hAnsiTheme="minorHAnsi" w:cstheme="minorHAnsi"/>
        </w:rPr>
        <w:t>Pollution kills a lot of people</w:t>
      </w:r>
    </w:p>
    <w:p w14:paraId="52B2906A" w14:textId="77777777" w:rsidR="00ED0695" w:rsidRPr="00ED0695" w:rsidRDefault="00ED0695" w:rsidP="00ED0695">
      <w:pPr>
        <w:rPr>
          <w:rFonts w:asciiTheme="minorHAnsi" w:hAnsiTheme="minorHAnsi" w:cstheme="minorHAnsi"/>
        </w:rPr>
      </w:pPr>
      <w:r w:rsidRPr="00ED0695">
        <w:rPr>
          <w:rStyle w:val="Style13ptBold"/>
          <w:rFonts w:asciiTheme="minorHAnsi" w:hAnsiTheme="minorHAnsi" w:cstheme="minorHAnsi"/>
        </w:rPr>
        <w:t>Roberts 2</w:t>
      </w:r>
      <w:r w:rsidRPr="00ED0695">
        <w:rPr>
          <w:rFonts w:asciiTheme="minorHAnsi" w:hAnsiTheme="minorHAnsi" w:cstheme="minorHAnsi"/>
        </w:rPr>
        <w:t xml:space="preserve"> — Bernie Fischlowitz-Roberts, Analyst at the Earth Policy Institute, 2002 (“Air Pollution Fatalities Now Exceed Traffic Fatalities by 3 to 1,” Earth Policy Institute, September 17</w:t>
      </w:r>
      <w:r w:rsidRPr="00ED0695">
        <w:rPr>
          <w:rFonts w:asciiTheme="minorHAnsi" w:hAnsiTheme="minorHAnsi" w:cstheme="minorHAnsi"/>
          <w:vertAlign w:val="superscript"/>
        </w:rPr>
        <w:t>th</w:t>
      </w:r>
      <w:r w:rsidRPr="00ED0695">
        <w:rPr>
          <w:rFonts w:asciiTheme="minorHAnsi" w:hAnsiTheme="minorHAnsi" w:cstheme="minorHAnsi"/>
        </w:rPr>
        <w:t>, Available Online at http://www.earth-policy.org/plan_b_updates/2002/update17, Accessed 06-10-2012)</w:t>
      </w:r>
    </w:p>
    <w:p w14:paraId="275B11F8" w14:textId="77777777" w:rsidR="00ED0695" w:rsidRPr="00ED0695" w:rsidRDefault="00ED0695" w:rsidP="00ED0695">
      <w:pPr>
        <w:rPr>
          <w:rFonts w:asciiTheme="minorHAnsi" w:hAnsiTheme="minorHAnsi" w:cstheme="minorHAnsi"/>
        </w:rPr>
      </w:pPr>
      <w:r w:rsidRPr="00ED0695">
        <w:rPr>
          <w:rStyle w:val="StyleUnderline"/>
          <w:rFonts w:asciiTheme="minorHAnsi" w:hAnsiTheme="minorHAnsi" w:cstheme="minorHAnsi"/>
        </w:rPr>
        <w:t>The W</w:t>
      </w:r>
      <w:r w:rsidRPr="00ED0695">
        <w:rPr>
          <w:rFonts w:asciiTheme="minorHAnsi" w:hAnsiTheme="minorHAnsi" w:cstheme="minorHAnsi"/>
        </w:rPr>
        <w:t xml:space="preserve">orld </w:t>
      </w:r>
      <w:r w:rsidRPr="00ED0695">
        <w:rPr>
          <w:rStyle w:val="StyleUnderline"/>
          <w:rFonts w:asciiTheme="minorHAnsi" w:hAnsiTheme="minorHAnsi" w:cstheme="minorHAnsi"/>
        </w:rPr>
        <w:t>H</w:t>
      </w:r>
      <w:r w:rsidRPr="00ED0695">
        <w:rPr>
          <w:rFonts w:asciiTheme="minorHAnsi" w:hAnsiTheme="minorHAnsi" w:cstheme="minorHAnsi"/>
        </w:rPr>
        <w:t xml:space="preserve">ealth </w:t>
      </w:r>
      <w:r w:rsidRPr="00ED0695">
        <w:rPr>
          <w:rStyle w:val="StyleUnderline"/>
          <w:rFonts w:asciiTheme="minorHAnsi" w:hAnsiTheme="minorHAnsi" w:cstheme="minorHAnsi"/>
        </w:rPr>
        <w:t>O</w:t>
      </w:r>
      <w:r w:rsidRPr="00ED0695">
        <w:rPr>
          <w:rFonts w:asciiTheme="minorHAnsi" w:hAnsiTheme="minorHAnsi" w:cstheme="minorHAnsi"/>
        </w:rPr>
        <w:t xml:space="preserve">rganization </w:t>
      </w:r>
      <w:r w:rsidRPr="00ED0695">
        <w:rPr>
          <w:rStyle w:val="StyleUnderline"/>
          <w:rFonts w:asciiTheme="minorHAnsi" w:hAnsiTheme="minorHAnsi" w:cstheme="minorHAnsi"/>
        </w:rPr>
        <w:t xml:space="preserve">reports that </w:t>
      </w:r>
      <w:r w:rsidRPr="00ED0695">
        <w:rPr>
          <w:rStyle w:val="Emphasis"/>
          <w:rFonts w:asciiTheme="minorHAnsi" w:hAnsiTheme="minorHAnsi" w:cstheme="minorHAnsi"/>
          <w:highlight w:val="yellow"/>
        </w:rPr>
        <w:t>3 million people now die each year</w:t>
      </w:r>
      <w:r w:rsidRPr="00ED0695">
        <w:rPr>
          <w:rStyle w:val="StyleUnderline"/>
          <w:rFonts w:asciiTheme="minorHAnsi" w:hAnsiTheme="minorHAnsi" w:cstheme="minorHAnsi"/>
          <w:highlight w:val="yellow"/>
        </w:rPr>
        <w:t xml:space="preserve"> from</w:t>
      </w:r>
      <w:r w:rsidRPr="00ED0695">
        <w:rPr>
          <w:rStyle w:val="StyleUnderline"/>
          <w:rFonts w:asciiTheme="minorHAnsi" w:hAnsiTheme="minorHAnsi" w:cstheme="minorHAnsi"/>
        </w:rPr>
        <w:t xml:space="preserve"> the effects of </w:t>
      </w:r>
      <w:r w:rsidRPr="00ED0695">
        <w:rPr>
          <w:rStyle w:val="StyleUnderline"/>
          <w:rFonts w:asciiTheme="minorHAnsi" w:hAnsiTheme="minorHAnsi" w:cstheme="minorHAnsi"/>
          <w:highlight w:val="yellow"/>
        </w:rPr>
        <w:t>air pollution</w:t>
      </w:r>
      <w:r w:rsidRPr="00ED0695">
        <w:rPr>
          <w:rFonts w:asciiTheme="minorHAnsi" w:hAnsiTheme="minorHAnsi" w:cstheme="minorHAnsi"/>
        </w:rPr>
        <w:t>. This is three times the 1 million who die each year in automobile accidents. A study published in The Lancet in 2000 concluded that air pollution in France, Austria, and Switzerland is responsible for more than 40,000 deaths annually in those three countries. About half of these deaths can be traced to air pollution from vehicle emissions.</w:t>
      </w:r>
    </w:p>
    <w:p w14:paraId="6BCD1A4D" w14:textId="77777777" w:rsidR="00ED0695" w:rsidRPr="00ED0695" w:rsidRDefault="00ED0695" w:rsidP="00ED0695">
      <w:pPr>
        <w:rPr>
          <w:rFonts w:asciiTheme="minorHAnsi" w:hAnsiTheme="minorHAnsi" w:cstheme="minorHAnsi"/>
        </w:rPr>
      </w:pPr>
      <w:r w:rsidRPr="00ED0695">
        <w:rPr>
          <w:rStyle w:val="StyleUnderline"/>
          <w:rFonts w:asciiTheme="minorHAnsi" w:hAnsiTheme="minorHAnsi" w:cstheme="minorHAnsi"/>
          <w:highlight w:val="yellow"/>
        </w:rPr>
        <w:t>In the U</w:t>
      </w:r>
      <w:r w:rsidRPr="00ED0695">
        <w:rPr>
          <w:rFonts w:asciiTheme="minorHAnsi" w:hAnsiTheme="minorHAnsi" w:cstheme="minorHAnsi"/>
          <w:highlight w:val="yellow"/>
        </w:rPr>
        <w:t xml:space="preserve">nited </w:t>
      </w:r>
      <w:r w:rsidRPr="00ED0695">
        <w:rPr>
          <w:rStyle w:val="StyleUnderline"/>
          <w:rFonts w:asciiTheme="minorHAnsi" w:hAnsiTheme="minorHAnsi" w:cstheme="minorHAnsi"/>
          <w:highlight w:val="yellow"/>
        </w:rPr>
        <w:t>S</w:t>
      </w:r>
      <w:r w:rsidRPr="00ED0695">
        <w:rPr>
          <w:rFonts w:asciiTheme="minorHAnsi" w:hAnsiTheme="minorHAnsi" w:cstheme="minorHAnsi"/>
          <w:highlight w:val="yellow"/>
        </w:rPr>
        <w:t>tates</w:t>
      </w:r>
      <w:r w:rsidRPr="00ED0695">
        <w:rPr>
          <w:rFonts w:asciiTheme="minorHAnsi" w:hAnsiTheme="minorHAnsi" w:cstheme="minorHAnsi"/>
        </w:rPr>
        <w:t xml:space="preserve">, traffic fatalities total just over 40,000 per year, while </w:t>
      </w:r>
      <w:r w:rsidRPr="00ED0695">
        <w:rPr>
          <w:rStyle w:val="Emphasis"/>
          <w:rFonts w:asciiTheme="minorHAnsi" w:hAnsiTheme="minorHAnsi" w:cstheme="minorHAnsi"/>
          <w:highlight w:val="yellow"/>
        </w:rPr>
        <w:t>air pollution claims 70,000 lives annually</w:t>
      </w:r>
      <w:r w:rsidRPr="00ED0695">
        <w:rPr>
          <w:rFonts w:asciiTheme="minorHAnsi" w:hAnsiTheme="minorHAnsi" w:cstheme="minorHAnsi"/>
        </w:rPr>
        <w:t xml:space="preserve">. U.S. </w:t>
      </w:r>
      <w:r w:rsidRPr="00ED0695">
        <w:rPr>
          <w:rStyle w:val="StyleUnderline"/>
          <w:rFonts w:asciiTheme="minorHAnsi" w:hAnsiTheme="minorHAnsi" w:cstheme="minorHAnsi"/>
        </w:rPr>
        <w:t xml:space="preserve">air pollution deaths are equal to deaths from breast cancer and prostate cancer combined. </w:t>
      </w:r>
      <w:r w:rsidRPr="00ED0695">
        <w:rPr>
          <w:rStyle w:val="StyleUnderline"/>
          <w:rFonts w:asciiTheme="minorHAnsi" w:hAnsiTheme="minorHAnsi" w:cstheme="minorHAnsi"/>
          <w:highlight w:val="yellow"/>
        </w:rPr>
        <w:t>This scourge</w:t>
      </w:r>
      <w:r w:rsidRPr="00ED0695">
        <w:rPr>
          <w:rFonts w:asciiTheme="minorHAnsi" w:hAnsiTheme="minorHAnsi" w:cstheme="minorHAnsi"/>
        </w:rPr>
        <w:t xml:space="preserve"> of cities in industrial and developing countries alike </w:t>
      </w:r>
      <w:r w:rsidRPr="00ED0695">
        <w:rPr>
          <w:rStyle w:val="StyleUnderline"/>
          <w:rFonts w:asciiTheme="minorHAnsi" w:hAnsiTheme="minorHAnsi" w:cstheme="minorHAnsi"/>
          <w:highlight w:val="yellow"/>
        </w:rPr>
        <w:t>threatens the health of billions of people</w:t>
      </w:r>
      <w:r w:rsidRPr="00ED0695">
        <w:rPr>
          <w:rFonts w:asciiTheme="minorHAnsi" w:hAnsiTheme="minorHAnsi" w:cstheme="minorHAnsi"/>
        </w:rPr>
        <w:t>.</w:t>
      </w:r>
    </w:p>
    <w:p w14:paraId="3676F98E" w14:textId="77777777" w:rsidR="00ED0695" w:rsidRPr="00ED0695" w:rsidRDefault="00ED0695" w:rsidP="00ED0695">
      <w:pPr>
        <w:rPr>
          <w:rFonts w:asciiTheme="minorHAnsi" w:hAnsiTheme="minorHAnsi" w:cstheme="minorHAnsi"/>
        </w:rPr>
      </w:pPr>
      <w:r w:rsidRPr="00ED0695">
        <w:rPr>
          <w:rFonts w:asciiTheme="minorHAnsi" w:hAnsiTheme="minorHAnsi" w:cstheme="minorHAnsi"/>
        </w:rPr>
        <w:t xml:space="preserve">Governments go to great lengths to reduce traffic accidents by fining those who drive at dangerous speeds, arresting those who drive under the influence of alcohol, and even sometimes revoking drivers' licenses. But they pay much less attention to the deaths people cause by simply driving the cars. </w:t>
      </w:r>
      <w:r w:rsidRPr="00ED0695">
        <w:rPr>
          <w:rStyle w:val="StyleUnderline"/>
          <w:rFonts w:asciiTheme="minorHAnsi" w:hAnsiTheme="minorHAnsi" w:cstheme="minorHAnsi"/>
          <w:highlight w:val="yellow"/>
        </w:rPr>
        <w:t>While deaths from heart disease and respiratory illness</w:t>
      </w:r>
      <w:r w:rsidRPr="00ED0695">
        <w:rPr>
          <w:rStyle w:val="StyleUnderline"/>
          <w:rFonts w:asciiTheme="minorHAnsi" w:hAnsiTheme="minorHAnsi" w:cstheme="minorHAnsi"/>
        </w:rPr>
        <w:t xml:space="preserve"> from breathing polluted air </w:t>
      </w:r>
      <w:r w:rsidRPr="00ED0695">
        <w:rPr>
          <w:rStyle w:val="StyleUnderline"/>
          <w:rFonts w:asciiTheme="minorHAnsi" w:hAnsiTheme="minorHAnsi" w:cstheme="minorHAnsi"/>
          <w:highlight w:val="yellow"/>
        </w:rPr>
        <w:t xml:space="preserve">may lack the drama </w:t>
      </w:r>
      <w:r w:rsidRPr="00ED0695">
        <w:rPr>
          <w:rStyle w:val="StyleUnderline"/>
          <w:rFonts w:asciiTheme="minorHAnsi" w:hAnsiTheme="minorHAnsi" w:cstheme="minorHAnsi"/>
        </w:rPr>
        <w:t xml:space="preserve">of deaths from an automobile crash, with flashing lights and sirens, </w:t>
      </w:r>
      <w:r w:rsidRPr="00ED0695">
        <w:rPr>
          <w:rStyle w:val="StyleUnderline"/>
          <w:rFonts w:asciiTheme="minorHAnsi" w:hAnsiTheme="minorHAnsi" w:cstheme="minorHAnsi"/>
          <w:highlight w:val="yellow"/>
        </w:rPr>
        <w:t>they are no less real</w:t>
      </w:r>
      <w:r w:rsidRPr="00ED0695">
        <w:rPr>
          <w:rFonts w:asciiTheme="minorHAnsi" w:hAnsiTheme="minorHAnsi" w:cstheme="minorHAnsi"/>
        </w:rPr>
        <w:t>.</w:t>
      </w:r>
    </w:p>
    <w:p w14:paraId="0D50808D" w14:textId="77777777" w:rsidR="00ED0695" w:rsidRPr="00ED0695" w:rsidRDefault="00ED0695" w:rsidP="00ED0695">
      <w:pPr>
        <w:rPr>
          <w:rStyle w:val="StyleUnderline"/>
          <w:rFonts w:asciiTheme="minorHAnsi" w:hAnsiTheme="minorHAnsi" w:cstheme="minorHAnsi"/>
        </w:rPr>
      </w:pPr>
    </w:p>
    <w:p w14:paraId="64604B08" w14:textId="77777777" w:rsidR="00ED0695" w:rsidRPr="00ED0695" w:rsidRDefault="00ED0695" w:rsidP="00ED0695">
      <w:pPr>
        <w:rPr>
          <w:rFonts w:asciiTheme="minorHAnsi" w:hAnsiTheme="minorHAnsi" w:cstheme="minorHAnsi"/>
        </w:rPr>
      </w:pPr>
    </w:p>
    <w:p w14:paraId="5D2B5961" w14:textId="77777777" w:rsidR="00ED0695" w:rsidRPr="00ED0695" w:rsidRDefault="00ED0695" w:rsidP="00ED0695">
      <w:pPr>
        <w:rPr>
          <w:rFonts w:asciiTheme="minorHAnsi" w:hAnsiTheme="minorHAnsi" w:cstheme="minorHAnsi"/>
        </w:rPr>
      </w:pPr>
    </w:p>
    <w:p w14:paraId="184F50F1" w14:textId="76F477AB" w:rsidR="00ED0695" w:rsidRDefault="00ED0695" w:rsidP="00ED0695">
      <w:pPr>
        <w:pStyle w:val="Heading3"/>
      </w:pPr>
      <w:r>
        <w:t>2nc- EPA Case Turn</w:t>
      </w:r>
    </w:p>
    <w:p w14:paraId="2D9B22A0" w14:textId="6310D885" w:rsidR="00A25866" w:rsidRPr="00ED0695" w:rsidRDefault="00A25866" w:rsidP="00A25866">
      <w:pPr>
        <w:pStyle w:val="Heading4"/>
        <w:rPr>
          <w:rFonts w:asciiTheme="minorHAnsi" w:hAnsiTheme="minorHAnsi" w:cstheme="minorHAnsi"/>
        </w:rPr>
      </w:pPr>
      <w:r w:rsidRPr="00ED0695">
        <w:rPr>
          <w:rFonts w:asciiTheme="minorHAnsi" w:hAnsiTheme="minorHAnsi" w:cstheme="minorHAnsi"/>
        </w:rPr>
        <w:t xml:space="preserve">The EPA is facing a staffing shortage in the SQ </w:t>
      </w:r>
    </w:p>
    <w:p w14:paraId="23E04D80" w14:textId="017F8AA7" w:rsidR="00A25866" w:rsidRPr="00ED0695" w:rsidRDefault="00A25866" w:rsidP="00A25866">
      <w:pPr>
        <w:rPr>
          <w:rFonts w:asciiTheme="minorHAnsi" w:hAnsiTheme="minorHAnsi" w:cstheme="minorHAnsi"/>
        </w:rPr>
      </w:pPr>
      <w:r w:rsidRPr="00ED0695">
        <w:rPr>
          <w:rFonts w:asciiTheme="minorHAnsi" w:hAnsiTheme="minorHAnsi" w:cstheme="minorHAnsi"/>
        </w:rPr>
        <w:t xml:space="preserve">Lisa Whitley </w:t>
      </w:r>
      <w:r w:rsidRPr="00ED0695">
        <w:rPr>
          <w:rStyle w:val="Style13ptBold"/>
          <w:rFonts w:asciiTheme="minorHAnsi" w:hAnsiTheme="minorHAnsi" w:cstheme="minorHAnsi"/>
        </w:rPr>
        <w:t>Coleman</w:t>
      </w:r>
      <w:r w:rsidRPr="00ED0695">
        <w:rPr>
          <w:rFonts w:asciiTheme="minorHAnsi" w:hAnsiTheme="minorHAnsi" w:cstheme="minorHAnsi"/>
        </w:rPr>
        <w:t>, 5-25-</w:t>
      </w:r>
      <w:r w:rsidRPr="00ED0695">
        <w:rPr>
          <w:rStyle w:val="Style13ptBold"/>
          <w:rFonts w:asciiTheme="minorHAnsi" w:hAnsiTheme="minorHAnsi" w:cstheme="minorHAnsi"/>
        </w:rPr>
        <w:t>2021</w:t>
      </w:r>
      <w:r w:rsidRPr="00ED0695">
        <w:rPr>
          <w:rFonts w:asciiTheme="minorHAnsi" w:hAnsiTheme="minorHAnsi" w:cstheme="minorHAnsi"/>
        </w:rPr>
        <w:t xml:space="preserve">, "EPA National Enforcement Mission May Be Compromised by Staffing, Safety Concerns," EHS Daily Advisor, https://ehsdailyadvisor.blr.com/2021/05/epa-national-enforcement-mission-may-be-compromised-by-staffing-safety-concerns/" </w:t>
      </w:r>
    </w:p>
    <w:p w14:paraId="6F09E40A" w14:textId="77777777" w:rsidR="00A25866" w:rsidRPr="00ED0695" w:rsidRDefault="00A25866" w:rsidP="00A25866">
      <w:pPr>
        <w:rPr>
          <w:rStyle w:val="StyleUnderline"/>
          <w:rFonts w:asciiTheme="minorHAnsi" w:hAnsiTheme="minorHAnsi" w:cstheme="minorHAnsi"/>
        </w:rPr>
      </w:pPr>
      <w:r w:rsidRPr="00ED0695">
        <w:rPr>
          <w:rFonts w:asciiTheme="minorHAnsi" w:hAnsiTheme="minorHAnsi" w:cstheme="minorHAnsi"/>
          <w:sz w:val="14"/>
        </w:rPr>
        <w:t>In a report dated May 12, 2021, t</w:t>
      </w:r>
      <w:r w:rsidRPr="00ED0695">
        <w:rPr>
          <w:rStyle w:val="StyleUnderline"/>
          <w:rFonts w:asciiTheme="minorHAnsi" w:hAnsiTheme="minorHAnsi" w:cstheme="minorHAnsi"/>
        </w:rPr>
        <w:t>he EPA’s Office of Inspector General</w:t>
      </w:r>
      <w:r w:rsidRPr="00ED0695">
        <w:rPr>
          <w:rFonts w:asciiTheme="minorHAnsi" w:hAnsiTheme="minorHAnsi" w:cstheme="minorHAnsi"/>
          <w:sz w:val="14"/>
        </w:rPr>
        <w:t xml:space="preserve"> (OIG) </w:t>
      </w:r>
      <w:r w:rsidRPr="00ED0695">
        <w:rPr>
          <w:rStyle w:val="StyleUnderline"/>
          <w:rFonts w:asciiTheme="minorHAnsi" w:hAnsiTheme="minorHAnsi" w:cstheme="minorHAnsi"/>
        </w:rPr>
        <w:t xml:space="preserve">concluded that the </w:t>
      </w:r>
      <w:r w:rsidRPr="00ED0695">
        <w:rPr>
          <w:rFonts w:asciiTheme="minorHAnsi" w:hAnsiTheme="minorHAnsi" w:cstheme="minorHAnsi"/>
          <w:sz w:val="14"/>
        </w:rPr>
        <w:t>Office of Criminal Enforcement, Forensics, and Training (</w:t>
      </w:r>
      <w:r w:rsidRPr="00ED0695">
        <w:rPr>
          <w:rStyle w:val="StyleUnderline"/>
          <w:rFonts w:asciiTheme="minorHAnsi" w:hAnsiTheme="minorHAnsi" w:cstheme="minorHAnsi"/>
        </w:rPr>
        <w:t>OCEFT) and its</w:t>
      </w:r>
      <w:r w:rsidRPr="00ED0695">
        <w:rPr>
          <w:rFonts w:asciiTheme="minorHAnsi" w:hAnsiTheme="minorHAnsi" w:cstheme="minorHAnsi"/>
          <w:sz w:val="14"/>
        </w:rPr>
        <w:t xml:space="preserve"> National Enforcement Investigations Center </w:t>
      </w:r>
      <w:r w:rsidRPr="00ED0695">
        <w:rPr>
          <w:rStyle w:val="StyleUnderline"/>
          <w:rFonts w:asciiTheme="minorHAnsi" w:hAnsiTheme="minorHAnsi" w:cstheme="minorHAnsi"/>
        </w:rPr>
        <w:t>(NEIC</w:t>
      </w:r>
      <w:r w:rsidRPr="00ED0695">
        <w:rPr>
          <w:rFonts w:asciiTheme="minorHAnsi" w:hAnsiTheme="minorHAnsi" w:cstheme="minorHAnsi"/>
          <w:sz w:val="14"/>
        </w:rPr>
        <w:t xml:space="preserve">) </w:t>
      </w:r>
      <w:r w:rsidRPr="00ED0695">
        <w:rPr>
          <w:rStyle w:val="StyleUnderline"/>
          <w:rFonts w:asciiTheme="minorHAnsi" w:hAnsiTheme="minorHAnsi" w:cstheme="minorHAnsi"/>
        </w:rPr>
        <w:t>continue to struggle with safety concerns and staffing constraints, which may jeopardize the offices’ ability to achieve their mission of holding criminal polluters accountable for their actions.</w:t>
      </w:r>
      <w:r w:rsidRPr="00ED0695">
        <w:rPr>
          <w:rFonts w:asciiTheme="minorHAnsi" w:hAnsiTheme="minorHAnsi" w:cstheme="minorHAnsi"/>
          <w:sz w:val="14"/>
        </w:rPr>
        <w:t xml:space="preserve"> The </w:t>
      </w:r>
      <w:r w:rsidRPr="00ED0695">
        <w:rPr>
          <w:rStyle w:val="StyleUnderline"/>
          <w:rFonts w:asciiTheme="minorHAnsi" w:hAnsiTheme="minorHAnsi" w:cstheme="minorHAnsi"/>
        </w:rPr>
        <w:t xml:space="preserve">EPA’s OCEFT investigates violations of environmental laws, with the NEIC providing forensic, scientific, and technical support for criminal and civil environmental investigations. </w:t>
      </w:r>
      <w:r w:rsidRPr="00ED0695">
        <w:rPr>
          <w:rFonts w:asciiTheme="minorHAnsi" w:hAnsiTheme="minorHAnsi" w:cstheme="minorHAnsi"/>
          <w:sz w:val="14"/>
        </w:rPr>
        <w:t>The OIG audit was performed in response to a hotline complaint “to determine whether OCEFT and NEIC are addressing findings and implementing corrective actions from prior internal and external audits, inspections, and documented concerns related to NEIC,” according to the OIG report. While the EPA has addressed some prior OIG corrective actions, concerns about “unconducted internal safety and health audits and management reviews, hazardous waste mismanagement, noncompliance with safety procedures, and staff concerns about safety and health at NEIC” remain. “NEIC is addressing findings and implementing corrective actions related to its Quality Management System, which is designed to generate scientifically sound and legally defensible information to support environmental enforcement,” according to the report. The OIG “found that NEIC should improve tracking issues, such as observations, comments, concerns, and opportunities for improvement identified from audits; management review action items; and customer complaints.” “</w:t>
      </w:r>
      <w:r w:rsidRPr="00ED0695">
        <w:rPr>
          <w:rStyle w:val="StyleUnderline"/>
          <w:rFonts w:asciiTheme="minorHAnsi" w:hAnsiTheme="minorHAnsi" w:cstheme="minorHAnsi"/>
        </w:rPr>
        <w:t>NEIC had unresolved action items</w:t>
      </w:r>
      <w:r w:rsidRPr="00ED0695">
        <w:rPr>
          <w:rFonts w:asciiTheme="minorHAnsi" w:hAnsiTheme="minorHAnsi" w:cstheme="minorHAnsi"/>
          <w:sz w:val="14"/>
        </w:rPr>
        <w:t xml:space="preserve"> from OCEFT’s Professional Integrity and Quality Assurance unit’s 2017 inspection report </w:t>
      </w:r>
      <w:r w:rsidRPr="00ED0695">
        <w:rPr>
          <w:rStyle w:val="StyleUnderline"/>
          <w:rFonts w:asciiTheme="minorHAnsi" w:hAnsiTheme="minorHAnsi" w:cstheme="minorHAnsi"/>
        </w:rPr>
        <w:t>related to staffing shortages,</w:t>
      </w:r>
      <w:r w:rsidRPr="00ED0695">
        <w:rPr>
          <w:rFonts w:asciiTheme="minorHAnsi" w:hAnsiTheme="minorHAnsi" w:cstheme="minorHAnsi"/>
          <w:sz w:val="14"/>
        </w:rPr>
        <w:t xml:space="preserve"> trust in management, and hazardous waste management. OCEFT did not conduct a follow-up review to examine the effectiveness of the implemented corrective actions. In 2020, as a result of an inspection by the State of Colorado, NEIC was cited for several hazardous waste violations. Further, NEIC’s 2019 Federal Employee Viewpoint Survey results are 22 percent lower than the EPA’s averages for questions related to management and work environment. “</w:t>
      </w:r>
      <w:r w:rsidRPr="00ED0695">
        <w:rPr>
          <w:rStyle w:val="StyleUnderline"/>
          <w:rFonts w:asciiTheme="minorHAnsi" w:hAnsiTheme="minorHAnsi" w:cstheme="minorHAnsi"/>
        </w:rPr>
        <w:t>NEIC has been challenged by high attrition rates among staff and the inability to backfill vacant positions since 2016. If staffing levels continue to fall, NEIC risks a reduction in analytical capabilities and the ability to accomplish its mission,” according to the watchdog report.</w:t>
      </w:r>
    </w:p>
    <w:p w14:paraId="29AB59A7" w14:textId="77777777" w:rsidR="00A25866" w:rsidRPr="00ED0695" w:rsidRDefault="00A25866" w:rsidP="00931B06">
      <w:pPr>
        <w:rPr>
          <w:rFonts w:asciiTheme="minorHAnsi" w:hAnsiTheme="minorHAnsi" w:cstheme="minorHAnsi"/>
        </w:rPr>
      </w:pPr>
    </w:p>
    <w:p w14:paraId="6EADCD4E" w14:textId="77777777" w:rsidR="007B13AD" w:rsidRPr="00ED0695" w:rsidRDefault="007B13AD" w:rsidP="007B13AD">
      <w:pPr>
        <w:pStyle w:val="Heading4"/>
        <w:rPr>
          <w:rFonts w:asciiTheme="minorHAnsi" w:hAnsiTheme="minorHAnsi" w:cstheme="minorHAnsi"/>
        </w:rPr>
      </w:pPr>
      <w:r w:rsidRPr="00ED0695">
        <w:rPr>
          <w:rFonts w:asciiTheme="minorHAnsi" w:hAnsiTheme="minorHAnsi" w:cstheme="minorHAnsi"/>
        </w:rPr>
        <w:t xml:space="preserve">EPA at the breaking point </w:t>
      </w:r>
    </w:p>
    <w:p w14:paraId="1CAA19E1" w14:textId="77777777" w:rsidR="007B13AD" w:rsidRPr="00ED0695" w:rsidRDefault="007B13AD" w:rsidP="007B13AD">
      <w:pPr>
        <w:rPr>
          <w:rFonts w:asciiTheme="minorHAnsi" w:hAnsiTheme="minorHAnsi" w:cstheme="minorHAnsi"/>
        </w:rPr>
      </w:pPr>
      <w:r w:rsidRPr="00ED0695">
        <w:rPr>
          <w:rFonts w:asciiTheme="minorHAnsi" w:hAnsiTheme="minorHAnsi" w:cstheme="minorHAnsi"/>
        </w:rPr>
        <w:t xml:space="preserve">Naveena </w:t>
      </w:r>
      <w:r w:rsidRPr="00ED0695">
        <w:rPr>
          <w:rStyle w:val="Style13ptBold"/>
          <w:rFonts w:asciiTheme="minorHAnsi" w:hAnsiTheme="minorHAnsi" w:cstheme="minorHAnsi"/>
        </w:rPr>
        <w:t>Sadasivam</w:t>
      </w:r>
      <w:r w:rsidRPr="00ED0695">
        <w:rPr>
          <w:rFonts w:asciiTheme="minorHAnsi" w:hAnsiTheme="minorHAnsi" w:cstheme="minorHAnsi"/>
        </w:rPr>
        <w:t>, Author at Grist, 3-1-</w:t>
      </w:r>
      <w:r w:rsidRPr="00ED0695">
        <w:rPr>
          <w:rStyle w:val="Style13ptBold"/>
          <w:rFonts w:asciiTheme="minorHAnsi" w:hAnsiTheme="minorHAnsi" w:cstheme="minorHAnsi"/>
        </w:rPr>
        <w:t>2021</w:t>
      </w:r>
      <w:r w:rsidRPr="00ED0695">
        <w:rPr>
          <w:rFonts w:asciiTheme="minorHAnsi" w:hAnsiTheme="minorHAnsi" w:cstheme="minorHAnsi"/>
        </w:rPr>
        <w:t>, "Inside Biden’s uphill battle to restore the EPA after Trump," https://grist.org/politics/epa-joe-biden-environmental-law-enforcement-trump/</w:t>
      </w:r>
    </w:p>
    <w:p w14:paraId="44AF9FFC" w14:textId="77777777" w:rsidR="007B13AD" w:rsidRPr="00ED0695" w:rsidRDefault="007B13AD" w:rsidP="007B13AD">
      <w:pPr>
        <w:rPr>
          <w:rStyle w:val="StyleUnderline"/>
          <w:rFonts w:asciiTheme="minorHAnsi" w:hAnsiTheme="minorHAnsi" w:cstheme="minorHAnsi"/>
        </w:rPr>
      </w:pPr>
      <w:r w:rsidRPr="00ED0695">
        <w:rPr>
          <w:rFonts w:asciiTheme="minorHAnsi" w:hAnsiTheme="minorHAnsi" w:cstheme="minorHAnsi"/>
        </w:rPr>
        <w:t xml:space="preserve">Laws are only as good as their enforcement. During his four years in office, former President Donald </w:t>
      </w:r>
      <w:r w:rsidRPr="00ED0695">
        <w:rPr>
          <w:rStyle w:val="StyleUnderline"/>
          <w:rFonts w:asciiTheme="minorHAnsi" w:hAnsiTheme="minorHAnsi" w:cstheme="minorHAnsi"/>
        </w:rPr>
        <w:t xml:space="preserve">Trump’s appointees to the </w:t>
      </w:r>
      <w:r w:rsidRPr="00ED0695">
        <w:rPr>
          <w:rFonts w:asciiTheme="minorHAnsi" w:hAnsiTheme="minorHAnsi" w:cstheme="minorHAnsi"/>
        </w:rPr>
        <w:t xml:space="preserve">Environmental Protection Agency, or </w:t>
      </w:r>
      <w:r w:rsidRPr="00ED0695">
        <w:rPr>
          <w:rStyle w:val="StyleUnderline"/>
          <w:rFonts w:asciiTheme="minorHAnsi" w:hAnsiTheme="minorHAnsi" w:cstheme="minorHAnsi"/>
        </w:rPr>
        <w:t>EPA,</w:t>
      </w:r>
      <w:r w:rsidRPr="00ED0695">
        <w:rPr>
          <w:rFonts w:asciiTheme="minorHAnsi" w:hAnsiTheme="minorHAnsi" w:cstheme="minorHAnsi"/>
        </w:rPr>
        <w:t xml:space="preserve"> </w:t>
      </w:r>
      <w:r w:rsidRPr="00ED0695">
        <w:rPr>
          <w:rStyle w:val="StyleUnderline"/>
          <w:rFonts w:asciiTheme="minorHAnsi" w:hAnsiTheme="minorHAnsi" w:cstheme="minorHAnsi"/>
        </w:rPr>
        <w:t>decimated the agency’s ability to catch and penalize polluters breaking environmental rules</w:t>
      </w:r>
      <w:r w:rsidRPr="00ED0695">
        <w:rPr>
          <w:rFonts w:asciiTheme="minorHAnsi" w:hAnsiTheme="minorHAnsi" w:cstheme="minorHAnsi"/>
        </w:rPr>
        <w:t xml:space="preserve">. </w:t>
      </w:r>
      <w:r w:rsidRPr="00ED0695">
        <w:rPr>
          <w:rStyle w:val="StyleUnderline"/>
          <w:rFonts w:asciiTheme="minorHAnsi" w:hAnsiTheme="minorHAnsi" w:cstheme="minorHAnsi"/>
        </w:rPr>
        <w:t>As a result of this and longer-term trends, facility inspections and civil cases filed against polluting operations like chemical plants and wastewater treatment centers dropped to their lowest levels in a decade last year.</w:t>
      </w:r>
    </w:p>
    <w:p w14:paraId="276290B9" w14:textId="77777777" w:rsidR="00B44375" w:rsidRPr="00ED0695" w:rsidRDefault="00B44375" w:rsidP="00B44375">
      <w:pPr>
        <w:pStyle w:val="Heading4"/>
        <w:rPr>
          <w:rFonts w:asciiTheme="minorHAnsi" w:hAnsiTheme="minorHAnsi" w:cstheme="minorHAnsi"/>
        </w:rPr>
      </w:pPr>
      <w:r w:rsidRPr="00ED0695">
        <w:rPr>
          <w:rFonts w:asciiTheme="minorHAnsi" w:hAnsiTheme="minorHAnsi" w:cstheme="minorHAnsi"/>
        </w:rPr>
        <w:t>The plan strains the enforcement division further – it enforces GHG emissions restrictions</w:t>
      </w:r>
    </w:p>
    <w:p w14:paraId="0B56CB5F" w14:textId="77777777" w:rsidR="00B44375" w:rsidRPr="00ED0695" w:rsidRDefault="00B44375" w:rsidP="00B44375">
      <w:pPr>
        <w:rPr>
          <w:rFonts w:asciiTheme="minorHAnsi" w:hAnsiTheme="minorHAnsi" w:cstheme="minorHAnsi"/>
        </w:rPr>
      </w:pPr>
      <w:r w:rsidRPr="00ED0695">
        <w:rPr>
          <w:rFonts w:asciiTheme="minorHAnsi" w:hAnsiTheme="minorHAnsi" w:cstheme="minorHAnsi"/>
        </w:rPr>
        <w:t xml:space="preserve">Joel A. </w:t>
      </w:r>
      <w:r w:rsidRPr="00ED0695">
        <w:rPr>
          <w:rStyle w:val="Style13ptBold"/>
          <w:rFonts w:asciiTheme="minorHAnsi" w:hAnsiTheme="minorHAnsi" w:cstheme="minorHAnsi"/>
        </w:rPr>
        <w:t>Mintz 2016</w:t>
      </w:r>
      <w:r w:rsidRPr="00ED0695">
        <w:rPr>
          <w:rFonts w:asciiTheme="minorHAnsi" w:hAnsiTheme="minorHAnsi" w:cstheme="minorHAnsi"/>
        </w:rPr>
        <w:t xml:space="preserve"> Professor of Law, Nova Southeastern University Law Center, ENVIRONMENTAL LAW REPORTER, 46:6, “Running on Fumes”: The Development of New EPA Regulations in an Era of Scarcity</w:t>
      </w:r>
    </w:p>
    <w:p w14:paraId="1BC4BDE7" w14:textId="77777777" w:rsidR="00B44375" w:rsidRPr="00ED0695" w:rsidRDefault="00B44375" w:rsidP="00B44375">
      <w:pPr>
        <w:rPr>
          <w:rFonts w:asciiTheme="minorHAnsi" w:hAnsiTheme="minorHAnsi" w:cstheme="minorHAnsi"/>
          <w:sz w:val="14"/>
        </w:rPr>
      </w:pPr>
      <w:r w:rsidRPr="00ED0695">
        <w:rPr>
          <w:rStyle w:val="StyleUnderline"/>
          <w:rFonts w:asciiTheme="minorHAnsi" w:hAnsiTheme="minorHAnsi" w:cstheme="minorHAnsi"/>
          <w:highlight w:val="yellow"/>
        </w:rPr>
        <w:t>Despite</w:t>
      </w:r>
      <w:r w:rsidRPr="00ED0695">
        <w:rPr>
          <w:rStyle w:val="StyleUnderline"/>
          <w:rFonts w:asciiTheme="minorHAnsi" w:hAnsiTheme="minorHAnsi" w:cstheme="minorHAnsi"/>
        </w:rPr>
        <w:t xml:space="preserve"> these notable </w:t>
      </w:r>
      <w:r w:rsidRPr="00ED0695">
        <w:rPr>
          <w:rStyle w:val="StyleUnderline"/>
          <w:rFonts w:asciiTheme="minorHAnsi" w:hAnsiTheme="minorHAnsi" w:cstheme="minorHAnsi"/>
          <w:highlight w:val="yellow"/>
        </w:rPr>
        <w:t>funding decreases</w:t>
      </w:r>
      <w:r w:rsidRPr="00ED0695">
        <w:rPr>
          <w:rStyle w:val="StyleUnderline"/>
          <w:rFonts w:asciiTheme="minorHAnsi" w:hAnsiTheme="minorHAnsi" w:cstheme="minorHAnsi"/>
        </w:rPr>
        <w:t xml:space="preserve">, the </w:t>
      </w:r>
      <w:r w:rsidRPr="00ED0695">
        <w:rPr>
          <w:rStyle w:val="StyleUnderline"/>
          <w:rFonts w:asciiTheme="minorHAnsi" w:hAnsiTheme="minorHAnsi" w:cstheme="minorHAnsi"/>
          <w:highlight w:val="yellow"/>
        </w:rPr>
        <w:t>regulatory responsibilities of environmental agencies at both the state and federal levels have steadily grown</w:t>
      </w:r>
      <w:r w:rsidRPr="00ED0695">
        <w:rPr>
          <w:rFonts w:asciiTheme="minorHAnsi" w:hAnsiTheme="minorHAnsi" w:cstheme="minorHAnsi"/>
          <w:sz w:val="14"/>
        </w:rPr>
        <w:t xml:space="preserve">  EPA’s Office of Inspector General noted </w:t>
      </w:r>
      <w:r w:rsidRPr="00ED0695">
        <w:rPr>
          <w:rStyle w:val="StyleUnderline"/>
          <w:rFonts w:asciiTheme="minorHAnsi" w:hAnsiTheme="minorHAnsi" w:cstheme="minorHAnsi"/>
        </w:rPr>
        <w:t>that the number of pollution sources covered by six programs created under federal pollution control statutes increased by 35% during 2001- 2005 alone</w:t>
      </w:r>
      <w:r w:rsidRPr="00ED0695">
        <w:rPr>
          <w:rFonts w:asciiTheme="minorHAnsi" w:hAnsiTheme="minorHAnsi" w:cstheme="minorHAnsi"/>
          <w:sz w:val="14"/>
        </w:rPr>
        <w:t xml:space="preserve"> 18  The number of point sources required to obtain national pollutant discharge elimination system (NPDES) permits under the Clean Water Act (CWA)19 doubled over a 10-year period20; and EPA’s Office of Water recently reported that </w:t>
      </w:r>
      <w:r w:rsidRPr="00ED0695">
        <w:rPr>
          <w:rStyle w:val="StyleUnderline"/>
          <w:rFonts w:asciiTheme="minorHAnsi" w:hAnsiTheme="minorHAnsi" w:cstheme="minorHAnsi"/>
        </w:rPr>
        <w:t>the NPDES-permitted universe “has grown and diversified without comparable increases in resources</w:t>
      </w:r>
      <w:r w:rsidRPr="00ED0695">
        <w:rPr>
          <w:rFonts w:asciiTheme="minorHAnsi" w:hAnsiTheme="minorHAnsi" w:cstheme="minorHAnsi"/>
          <w:sz w:val="14"/>
        </w:rPr>
        <w:t xml:space="preserve"> ”21  </w:t>
      </w:r>
      <w:r w:rsidRPr="00ED0695">
        <w:rPr>
          <w:rStyle w:val="StyleUnderline"/>
          <w:rFonts w:asciiTheme="minorHAnsi" w:hAnsiTheme="minorHAnsi" w:cstheme="minorHAnsi"/>
        </w:rPr>
        <w:t xml:space="preserve">This conclusion is consistent with GAO’s  finding in 2009 that the CWA “has signi cantly increased EPA’s and the States’ enforcement responsibilities [yet] </w:t>
      </w:r>
      <w:r w:rsidRPr="00ED0695">
        <w:rPr>
          <w:rStyle w:val="Emphasis"/>
          <w:rFonts w:asciiTheme="minorHAnsi" w:hAnsiTheme="minorHAnsi" w:cstheme="minorHAnsi"/>
          <w:highlight w:val="yellow"/>
        </w:rPr>
        <w:t>available resources have not kept pace</w:t>
      </w:r>
      <w:r w:rsidRPr="00ED0695">
        <w:rPr>
          <w:rStyle w:val="Emphasis"/>
          <w:rFonts w:asciiTheme="minorHAnsi" w:hAnsiTheme="minorHAnsi" w:cstheme="minorHAnsi"/>
        </w:rPr>
        <w:t xml:space="preserve"> with these increased needs</w:t>
      </w:r>
      <w:r w:rsidRPr="00ED0695">
        <w:rPr>
          <w:rFonts w:asciiTheme="minorHAnsi" w:hAnsiTheme="minorHAnsi" w:cstheme="minorHAnsi"/>
          <w:sz w:val="14"/>
        </w:rPr>
        <w:t xml:space="preserve"> and actions are needed to further strengthen the enforcement program ”22 Beyond this, the number of regulated entities covered by the Toxic Substances Control Act (TSCA)23 increased 61% in the early 2000s24; and rapid increases in pesticide per- mit applications under the Federal Insecticide, Fungicide, and Rodenticide Act (FIFRA)25 have further strained EPA’s declining sta  26 Moreover, </w:t>
      </w:r>
      <w:r w:rsidRPr="00ED0695">
        <w:rPr>
          <w:rStyle w:val="StyleUnderline"/>
          <w:rFonts w:asciiTheme="minorHAnsi" w:hAnsiTheme="minorHAnsi" w:cstheme="minorHAnsi"/>
          <w:highlight w:val="yellow"/>
        </w:rPr>
        <w:t xml:space="preserve">future </w:t>
      </w:r>
      <w:r w:rsidRPr="00ED0695">
        <w:rPr>
          <w:rStyle w:val="Emphasis"/>
          <w:rFonts w:asciiTheme="minorHAnsi" w:hAnsiTheme="minorHAnsi" w:cstheme="minorHAnsi"/>
          <w:highlight w:val="yellow"/>
        </w:rPr>
        <w:t>regulation of</w:t>
      </w:r>
      <w:r w:rsidRPr="00ED0695">
        <w:rPr>
          <w:rFonts w:asciiTheme="minorHAnsi" w:hAnsiTheme="minorHAnsi" w:cstheme="minorHAnsi"/>
          <w:sz w:val="14"/>
        </w:rPr>
        <w:t xml:space="preserve"> hydraulic fracturing (fracking)27 and, eventually, </w:t>
      </w:r>
      <w:r w:rsidRPr="00ED0695">
        <w:rPr>
          <w:rStyle w:val="Emphasis"/>
          <w:rFonts w:asciiTheme="minorHAnsi" w:hAnsiTheme="minorHAnsi" w:cstheme="minorHAnsi"/>
          <w:highlight w:val="yellow"/>
        </w:rPr>
        <w:t>greenhouse gas emissions may well add still more burdensome responsibilities on EPA’s under-resourced enforcement program</w:t>
      </w:r>
      <w:r w:rsidRPr="00ED0695">
        <w:rPr>
          <w:rFonts w:asciiTheme="minorHAnsi" w:hAnsiTheme="minorHAnsi" w:cstheme="minorHAnsi"/>
          <w:sz w:val="14"/>
          <w:highlight w:val="yellow"/>
        </w:rPr>
        <w:t xml:space="preserve">— </w:t>
      </w:r>
      <w:r w:rsidRPr="00ED0695">
        <w:rPr>
          <w:rStyle w:val="StyleUnderline"/>
          <w:rFonts w:asciiTheme="minorHAnsi" w:hAnsiTheme="minorHAnsi" w:cstheme="minorHAnsi"/>
          <w:highlight w:val="yellow"/>
        </w:rPr>
        <w:t>responsibilities that many individual state environmental agencies remain poorly positioned to ease or assume</w:t>
      </w:r>
      <w:r w:rsidRPr="00ED0695">
        <w:rPr>
          <w:rFonts w:asciiTheme="minorHAnsi" w:hAnsiTheme="minorHAnsi" w:cstheme="minorHAnsi"/>
          <w:sz w:val="14"/>
        </w:rPr>
        <w:t xml:space="preserve"> 28</w:t>
      </w:r>
    </w:p>
    <w:p w14:paraId="5DF2F961" w14:textId="2FF17AAA" w:rsidR="00ED0695" w:rsidRDefault="00ED0695" w:rsidP="00ED0695">
      <w:pPr>
        <w:pStyle w:val="Heading3"/>
      </w:pPr>
      <w:r>
        <w:t>1nc- Rulemaking Bad</w:t>
      </w:r>
    </w:p>
    <w:p w14:paraId="4C05A134" w14:textId="1B9FD675" w:rsidR="00A34CF6" w:rsidRPr="00ED0695" w:rsidRDefault="00A34CF6" w:rsidP="00A34CF6">
      <w:pPr>
        <w:pStyle w:val="Heading4"/>
        <w:rPr>
          <w:rFonts w:asciiTheme="minorHAnsi" w:hAnsiTheme="minorHAnsi" w:cstheme="minorHAnsi"/>
          <w:sz w:val="28"/>
        </w:rPr>
      </w:pPr>
      <w:r w:rsidRPr="00ED0695">
        <w:rPr>
          <w:rFonts w:asciiTheme="minorHAnsi" w:hAnsiTheme="minorHAnsi" w:cstheme="minorHAnsi"/>
          <w:sz w:val="28"/>
        </w:rPr>
        <w:t>Agency rulemaking is uniquely bad for Native America</w:t>
      </w:r>
      <w:r w:rsidR="00ED0695">
        <w:rPr>
          <w:rFonts w:asciiTheme="minorHAnsi" w:hAnsiTheme="minorHAnsi" w:cstheme="minorHAnsi"/>
          <w:sz w:val="28"/>
        </w:rPr>
        <w:t>ns</w:t>
      </w:r>
    </w:p>
    <w:p w14:paraId="0F061632" w14:textId="77777777" w:rsidR="00A34CF6" w:rsidRPr="00ED0695" w:rsidRDefault="00A34CF6" w:rsidP="00A34CF6">
      <w:pPr>
        <w:rPr>
          <w:rStyle w:val="Style13ptBold"/>
          <w:rFonts w:asciiTheme="minorHAnsi" w:hAnsiTheme="minorHAnsi" w:cstheme="minorHAnsi"/>
        </w:rPr>
      </w:pPr>
      <w:r w:rsidRPr="00ED0695">
        <w:rPr>
          <w:rStyle w:val="Style13ptBold"/>
          <w:rFonts w:asciiTheme="minorHAnsi" w:hAnsiTheme="minorHAnsi" w:cstheme="minorHAnsi"/>
        </w:rPr>
        <w:t>Heinecke 1993</w:t>
      </w:r>
    </w:p>
    <w:p w14:paraId="778E2885" w14:textId="77777777" w:rsidR="00A34CF6" w:rsidRPr="00ED0695" w:rsidRDefault="00A34CF6" w:rsidP="00A34CF6">
      <w:pPr>
        <w:rPr>
          <w:rFonts w:asciiTheme="minorHAnsi" w:hAnsiTheme="minorHAnsi" w:cstheme="minorHAnsi"/>
          <w:sz w:val="18"/>
        </w:rPr>
      </w:pPr>
      <w:r w:rsidRPr="00ED0695">
        <w:rPr>
          <w:rFonts w:asciiTheme="minorHAnsi" w:hAnsiTheme="minorHAnsi" w:cstheme="minorHAnsi"/>
          <w:sz w:val="18"/>
        </w:rPr>
        <w:t>[Peter, Princeton University, “Chevron and the Canon Favoring Indians”, University of Chicago Law Review: Vol. 60 : Iss. 3 , Article 8]</w:t>
      </w:r>
    </w:p>
    <w:p w14:paraId="23B5648A" w14:textId="77777777" w:rsidR="00A34CF6" w:rsidRPr="00ED0695" w:rsidRDefault="00A34CF6" w:rsidP="00A34CF6">
      <w:pPr>
        <w:rPr>
          <w:rStyle w:val="Emphasis"/>
          <w:rFonts w:asciiTheme="minorHAnsi" w:hAnsiTheme="minorHAnsi" w:cstheme="minorHAnsi"/>
          <w:sz w:val="24"/>
        </w:rPr>
      </w:pPr>
      <w:r w:rsidRPr="00ED0695">
        <w:rPr>
          <w:rFonts w:asciiTheme="minorHAnsi" w:hAnsiTheme="minorHAnsi" w:cstheme="minorHAnsi"/>
          <w:sz w:val="18"/>
        </w:rPr>
        <w:t xml:space="preserve">The Court has traditionally described the wardship relation as being between the federal government and Native Americans. In practice, however, it has emphasized Congress's role in guiding the relation. In its application of the canon favoring Indians and the trust doctrine, </w:t>
      </w:r>
      <w:r w:rsidRPr="00ED0695">
        <w:rPr>
          <w:rStyle w:val="StyleUnderline"/>
          <w:rFonts w:asciiTheme="minorHAnsi" w:hAnsiTheme="minorHAnsi" w:cstheme="minorHAnsi"/>
          <w:sz w:val="24"/>
          <w:highlight w:val="yellow"/>
        </w:rPr>
        <w:t>the Court</w:t>
      </w:r>
      <w:r w:rsidRPr="00ED0695">
        <w:rPr>
          <w:rStyle w:val="StyleUnderline"/>
          <w:rFonts w:asciiTheme="minorHAnsi" w:hAnsiTheme="minorHAnsi" w:cstheme="minorHAnsi"/>
          <w:sz w:val="24"/>
        </w:rPr>
        <w:t xml:space="preserve"> has d</w:t>
      </w:r>
      <w:r w:rsidRPr="00ED0695">
        <w:rPr>
          <w:rStyle w:val="StyleUnderline"/>
          <w:rFonts w:asciiTheme="minorHAnsi" w:hAnsiTheme="minorHAnsi" w:cstheme="minorHAnsi"/>
          <w:sz w:val="24"/>
          <w:highlight w:val="yellow"/>
        </w:rPr>
        <w:t>emonstrated</w:t>
      </w:r>
      <w:r w:rsidRPr="00ED0695">
        <w:rPr>
          <w:rStyle w:val="StyleUnderline"/>
          <w:rFonts w:asciiTheme="minorHAnsi" w:hAnsiTheme="minorHAnsi" w:cstheme="minorHAnsi"/>
          <w:sz w:val="24"/>
        </w:rPr>
        <w:t xml:space="preserve"> a deep </w:t>
      </w:r>
      <w:r w:rsidRPr="00ED0695">
        <w:rPr>
          <w:rStyle w:val="StyleUnderline"/>
          <w:rFonts w:asciiTheme="minorHAnsi" w:hAnsiTheme="minorHAnsi" w:cstheme="minorHAnsi"/>
          <w:sz w:val="24"/>
          <w:highlight w:val="yellow"/>
        </w:rPr>
        <w:t xml:space="preserve">skepticism of </w:t>
      </w:r>
      <w:r w:rsidRPr="00ED0695">
        <w:rPr>
          <w:rStyle w:val="StyleUnderline"/>
          <w:rFonts w:asciiTheme="minorHAnsi" w:hAnsiTheme="minorHAnsi" w:cstheme="minorHAnsi"/>
          <w:sz w:val="24"/>
        </w:rPr>
        <w:t xml:space="preserve">the </w:t>
      </w:r>
      <w:r w:rsidRPr="00ED0695">
        <w:rPr>
          <w:rStyle w:val="StyleUnderline"/>
          <w:rFonts w:asciiTheme="minorHAnsi" w:hAnsiTheme="minorHAnsi" w:cstheme="minorHAnsi"/>
          <w:sz w:val="24"/>
          <w:highlight w:val="yellow"/>
        </w:rPr>
        <w:t xml:space="preserve">executive </w:t>
      </w:r>
      <w:r w:rsidRPr="00ED0695">
        <w:rPr>
          <w:rStyle w:val="StyleUnderline"/>
          <w:rFonts w:asciiTheme="minorHAnsi" w:hAnsiTheme="minorHAnsi" w:cstheme="minorHAnsi"/>
          <w:sz w:val="24"/>
        </w:rPr>
        <w:t xml:space="preserve">branch's </w:t>
      </w:r>
      <w:r w:rsidRPr="00ED0695">
        <w:rPr>
          <w:rStyle w:val="StyleUnderline"/>
          <w:rFonts w:asciiTheme="minorHAnsi" w:hAnsiTheme="minorHAnsi" w:cstheme="minorHAnsi"/>
          <w:sz w:val="24"/>
          <w:highlight w:val="yellow"/>
        </w:rPr>
        <w:t>ability to administer</w:t>
      </w:r>
      <w:r w:rsidRPr="00ED0695">
        <w:rPr>
          <w:rFonts w:asciiTheme="minorHAnsi" w:hAnsiTheme="minorHAnsi" w:cstheme="minorHAnsi"/>
          <w:sz w:val="18"/>
        </w:rPr>
        <w:t xml:space="preserve"> the </w:t>
      </w:r>
      <w:r w:rsidRPr="00ED0695">
        <w:rPr>
          <w:rStyle w:val="StyleUnderline"/>
          <w:rFonts w:asciiTheme="minorHAnsi" w:hAnsiTheme="minorHAnsi" w:cstheme="minorHAnsi"/>
          <w:sz w:val="24"/>
          <w:highlight w:val="yellow"/>
        </w:rPr>
        <w:t>wardship</w:t>
      </w:r>
      <w:r w:rsidRPr="00ED0695">
        <w:rPr>
          <w:rFonts w:asciiTheme="minorHAnsi" w:hAnsiTheme="minorHAnsi" w:cstheme="minorHAnsi"/>
          <w:sz w:val="18"/>
        </w:rPr>
        <w:t xml:space="preserve"> relation properly. 155 </w:t>
      </w:r>
      <w:r w:rsidRPr="00ED0695">
        <w:rPr>
          <w:rStyle w:val="StyleUnderline"/>
          <w:rFonts w:asciiTheme="minorHAnsi" w:hAnsiTheme="minorHAnsi" w:cstheme="minorHAnsi"/>
          <w:sz w:val="24"/>
        </w:rPr>
        <w:t xml:space="preserve">The </w:t>
      </w:r>
      <w:r w:rsidRPr="00ED0695">
        <w:rPr>
          <w:rStyle w:val="StyleUnderline"/>
          <w:rFonts w:asciiTheme="minorHAnsi" w:hAnsiTheme="minorHAnsi" w:cstheme="minorHAnsi"/>
          <w:sz w:val="24"/>
          <w:highlight w:val="yellow"/>
        </w:rPr>
        <w:t>Chevron</w:t>
      </w:r>
      <w:r w:rsidRPr="00ED0695">
        <w:rPr>
          <w:rStyle w:val="StyleUnderline"/>
          <w:rFonts w:asciiTheme="minorHAnsi" w:hAnsiTheme="minorHAnsi" w:cstheme="minorHAnsi"/>
          <w:sz w:val="24"/>
        </w:rPr>
        <w:t xml:space="preserve"> decision </w:t>
      </w:r>
      <w:r w:rsidRPr="00ED0695">
        <w:rPr>
          <w:rStyle w:val="StyleUnderline"/>
          <w:rFonts w:asciiTheme="minorHAnsi" w:hAnsiTheme="minorHAnsi" w:cstheme="minorHAnsi"/>
          <w:sz w:val="24"/>
          <w:highlight w:val="yellow"/>
        </w:rPr>
        <w:t xml:space="preserve">represents a change in the Court's assessment </w:t>
      </w:r>
      <w:r w:rsidRPr="00ED0695">
        <w:rPr>
          <w:rStyle w:val="StyleUnderline"/>
          <w:rFonts w:asciiTheme="minorHAnsi" w:hAnsiTheme="minorHAnsi" w:cstheme="minorHAnsi"/>
          <w:sz w:val="24"/>
        </w:rPr>
        <w:t>of the relative competency and role of the courts, the executive branch, and Congress, and therefore raises the question of whether that skepticism is still justified</w:t>
      </w:r>
      <w:r w:rsidRPr="00ED0695">
        <w:rPr>
          <w:rFonts w:asciiTheme="minorHAnsi" w:hAnsiTheme="minorHAnsi" w:cstheme="minorHAnsi"/>
          <w:sz w:val="18"/>
        </w:rPr>
        <w:t xml:space="preserve">. As argued below, </w:t>
      </w:r>
      <w:r w:rsidRPr="00ED0695">
        <w:rPr>
          <w:rStyle w:val="StyleUnderline"/>
          <w:rFonts w:asciiTheme="minorHAnsi" w:hAnsiTheme="minorHAnsi" w:cstheme="minorHAnsi"/>
          <w:sz w:val="24"/>
          <w:highlight w:val="yellow"/>
        </w:rPr>
        <w:t>none of the factors motivating Chevron</w:t>
      </w:r>
      <w:r w:rsidRPr="00ED0695">
        <w:rPr>
          <w:rStyle w:val="StyleUnderline"/>
          <w:rFonts w:asciiTheme="minorHAnsi" w:hAnsiTheme="minorHAnsi" w:cstheme="minorHAnsi"/>
          <w:sz w:val="24"/>
        </w:rPr>
        <w:t xml:space="preserve"> </w:t>
      </w:r>
      <w:r w:rsidRPr="00ED0695">
        <w:rPr>
          <w:rStyle w:val="StyleUnderline"/>
          <w:rFonts w:asciiTheme="minorHAnsi" w:hAnsiTheme="minorHAnsi" w:cstheme="minorHAnsi"/>
          <w:sz w:val="24"/>
          <w:highlight w:val="yellow"/>
        </w:rPr>
        <w:t xml:space="preserve">indicate </w:t>
      </w:r>
      <w:r w:rsidRPr="00ED0695">
        <w:rPr>
          <w:rStyle w:val="StyleUnderline"/>
          <w:rFonts w:asciiTheme="minorHAnsi" w:hAnsiTheme="minorHAnsi" w:cstheme="minorHAnsi"/>
          <w:sz w:val="24"/>
        </w:rPr>
        <w:t xml:space="preserve">that </w:t>
      </w:r>
      <w:r w:rsidRPr="00ED0695">
        <w:rPr>
          <w:rStyle w:val="StyleUnderline"/>
          <w:rFonts w:asciiTheme="minorHAnsi" w:hAnsiTheme="minorHAnsi" w:cstheme="minorHAnsi"/>
          <w:sz w:val="24"/>
          <w:highlight w:val="yellow"/>
        </w:rPr>
        <w:t xml:space="preserve">the judiciary should stop using </w:t>
      </w:r>
      <w:r w:rsidRPr="00ED0695">
        <w:rPr>
          <w:rStyle w:val="StyleUnderline"/>
          <w:rFonts w:asciiTheme="minorHAnsi" w:hAnsiTheme="minorHAnsi" w:cstheme="minorHAnsi"/>
          <w:sz w:val="24"/>
        </w:rPr>
        <w:t xml:space="preserve">the </w:t>
      </w:r>
      <w:r w:rsidRPr="00ED0695">
        <w:rPr>
          <w:rStyle w:val="StyleUnderline"/>
          <w:rFonts w:asciiTheme="minorHAnsi" w:hAnsiTheme="minorHAnsi" w:cstheme="minorHAnsi"/>
          <w:sz w:val="24"/>
          <w:highlight w:val="yellow"/>
        </w:rPr>
        <w:t>canon</w:t>
      </w:r>
      <w:r w:rsidRPr="00ED0695">
        <w:rPr>
          <w:rStyle w:val="StyleUnderline"/>
          <w:rFonts w:asciiTheme="minorHAnsi" w:hAnsiTheme="minorHAnsi" w:cstheme="minorHAnsi"/>
          <w:sz w:val="24"/>
        </w:rPr>
        <w:t xml:space="preserve"> to protect the wardship relation</w:t>
      </w:r>
      <w:r w:rsidRPr="00ED0695">
        <w:rPr>
          <w:rFonts w:asciiTheme="minorHAnsi" w:hAnsiTheme="minorHAnsi" w:cstheme="minorHAnsi"/>
          <w:sz w:val="18"/>
        </w:rPr>
        <w:t xml:space="preserve">. </w:t>
      </w:r>
      <w:r w:rsidRPr="00ED0695">
        <w:rPr>
          <w:rStyle w:val="StyleUnderline"/>
          <w:rFonts w:asciiTheme="minorHAnsi" w:hAnsiTheme="minorHAnsi" w:cstheme="minorHAnsi"/>
          <w:sz w:val="24"/>
          <w:highlight w:val="yellow"/>
        </w:rPr>
        <w:t>Agency competence and political accountability</w:t>
      </w:r>
      <w:r w:rsidRPr="00ED0695">
        <w:rPr>
          <w:rFonts w:asciiTheme="minorHAnsi" w:hAnsiTheme="minorHAnsi" w:cstheme="minorHAnsi"/>
          <w:sz w:val="18"/>
        </w:rPr>
        <w:t xml:space="preserve"> are two of the most important factors </w:t>
      </w:r>
      <w:r w:rsidRPr="00ED0695">
        <w:rPr>
          <w:rStyle w:val="StyleUnderline"/>
          <w:rFonts w:asciiTheme="minorHAnsi" w:hAnsiTheme="minorHAnsi" w:cstheme="minorHAnsi"/>
          <w:sz w:val="24"/>
          <w:highlight w:val="yellow"/>
        </w:rPr>
        <w:t>motivat</w:t>
      </w:r>
      <w:r w:rsidRPr="00ED0695">
        <w:rPr>
          <w:rFonts w:asciiTheme="minorHAnsi" w:hAnsiTheme="minorHAnsi" w:cstheme="minorHAnsi"/>
          <w:sz w:val="18"/>
        </w:rPr>
        <w:t xml:space="preserve">ing </w:t>
      </w:r>
      <w:r w:rsidRPr="00ED0695">
        <w:rPr>
          <w:rStyle w:val="StyleUnderline"/>
          <w:rFonts w:asciiTheme="minorHAnsi" w:hAnsiTheme="minorHAnsi" w:cstheme="minorHAnsi"/>
          <w:sz w:val="24"/>
          <w:highlight w:val="yellow"/>
        </w:rPr>
        <w:t>Chevron</w:t>
      </w:r>
      <w:r w:rsidRPr="00ED0695">
        <w:rPr>
          <w:rFonts w:asciiTheme="minorHAnsi" w:hAnsiTheme="minorHAnsi" w:cstheme="minorHAnsi"/>
          <w:sz w:val="18"/>
        </w:rPr>
        <w:t xml:space="preserve"> deference. </w:t>
      </w:r>
      <w:r w:rsidRPr="00ED0695">
        <w:rPr>
          <w:rStyle w:val="StyleUnderline"/>
          <w:rFonts w:asciiTheme="minorHAnsi" w:hAnsiTheme="minorHAnsi" w:cstheme="minorHAnsi"/>
          <w:sz w:val="24"/>
        </w:rPr>
        <w:t xml:space="preserve">156 </w:t>
      </w:r>
      <w:r w:rsidRPr="00ED0695">
        <w:rPr>
          <w:rStyle w:val="StyleUnderline"/>
          <w:rFonts w:asciiTheme="minorHAnsi" w:hAnsiTheme="minorHAnsi" w:cstheme="minorHAnsi"/>
          <w:sz w:val="24"/>
          <w:highlight w:val="yellow"/>
        </w:rPr>
        <w:t xml:space="preserve">In </w:t>
      </w:r>
      <w:r w:rsidRPr="00ED0695">
        <w:rPr>
          <w:rStyle w:val="StyleUnderline"/>
          <w:rFonts w:asciiTheme="minorHAnsi" w:hAnsiTheme="minorHAnsi" w:cstheme="minorHAnsi"/>
          <w:sz w:val="24"/>
        </w:rPr>
        <w:t xml:space="preserve">the context of </w:t>
      </w:r>
      <w:r w:rsidRPr="00ED0695">
        <w:rPr>
          <w:rStyle w:val="StyleUnderline"/>
          <w:rFonts w:asciiTheme="minorHAnsi" w:hAnsiTheme="minorHAnsi" w:cstheme="minorHAnsi"/>
          <w:sz w:val="24"/>
          <w:highlight w:val="yellow"/>
        </w:rPr>
        <w:t xml:space="preserve">Native </w:t>
      </w:r>
      <w:r w:rsidRPr="00ED0695">
        <w:rPr>
          <w:rStyle w:val="StyleUnderline"/>
          <w:rFonts w:asciiTheme="minorHAnsi" w:hAnsiTheme="minorHAnsi" w:cstheme="minorHAnsi"/>
          <w:sz w:val="24"/>
        </w:rPr>
        <w:t xml:space="preserve">American </w:t>
      </w:r>
      <w:r w:rsidRPr="00ED0695">
        <w:rPr>
          <w:rStyle w:val="StyleUnderline"/>
          <w:rFonts w:asciiTheme="minorHAnsi" w:hAnsiTheme="minorHAnsi" w:cstheme="minorHAnsi"/>
          <w:sz w:val="24"/>
          <w:highlight w:val="yellow"/>
        </w:rPr>
        <w:t>affairs, neither</w:t>
      </w:r>
      <w:r w:rsidRPr="00ED0695">
        <w:rPr>
          <w:rFonts w:asciiTheme="minorHAnsi" w:hAnsiTheme="minorHAnsi" w:cstheme="minorHAnsi"/>
          <w:sz w:val="18"/>
        </w:rPr>
        <w:t xml:space="preserve"> of those arguments </w:t>
      </w:r>
      <w:r w:rsidRPr="00ED0695">
        <w:rPr>
          <w:rStyle w:val="StyleUnderline"/>
          <w:rFonts w:asciiTheme="minorHAnsi" w:hAnsiTheme="minorHAnsi" w:cstheme="minorHAnsi"/>
          <w:sz w:val="24"/>
          <w:highlight w:val="yellow"/>
        </w:rPr>
        <w:t>is</w:t>
      </w:r>
      <w:r w:rsidRPr="00ED0695">
        <w:rPr>
          <w:rFonts w:asciiTheme="minorHAnsi" w:hAnsiTheme="minorHAnsi" w:cstheme="minorHAnsi"/>
          <w:sz w:val="18"/>
        </w:rPr>
        <w:t xml:space="preserve"> particularly </w:t>
      </w:r>
      <w:r w:rsidRPr="00ED0695">
        <w:rPr>
          <w:rStyle w:val="StyleUnderline"/>
          <w:rFonts w:asciiTheme="minorHAnsi" w:hAnsiTheme="minorHAnsi" w:cstheme="minorHAnsi"/>
          <w:sz w:val="24"/>
          <w:highlight w:val="yellow"/>
        </w:rPr>
        <w:t>strong</w:t>
      </w:r>
      <w:r w:rsidRPr="00ED0695">
        <w:rPr>
          <w:rFonts w:asciiTheme="minorHAnsi" w:hAnsiTheme="minorHAnsi" w:cstheme="minorHAnsi"/>
          <w:sz w:val="18"/>
        </w:rPr>
        <w:t xml:space="preserve">. </w:t>
      </w:r>
      <w:r w:rsidRPr="00ED0695">
        <w:rPr>
          <w:rStyle w:val="StyleUnderline"/>
          <w:rFonts w:asciiTheme="minorHAnsi" w:hAnsiTheme="minorHAnsi" w:cstheme="minorHAnsi"/>
          <w:sz w:val="24"/>
        </w:rPr>
        <w:t xml:space="preserve">Because Native Americans </w:t>
      </w:r>
      <w:r w:rsidRPr="00ED0695">
        <w:rPr>
          <w:rFonts w:asciiTheme="minorHAnsi" w:hAnsiTheme="minorHAnsi" w:cstheme="minorHAnsi"/>
          <w:sz w:val="18"/>
        </w:rPr>
        <w:t xml:space="preserve">were, and still </w:t>
      </w:r>
      <w:r w:rsidRPr="00ED0695">
        <w:rPr>
          <w:rStyle w:val="StyleUnderline"/>
          <w:rFonts w:asciiTheme="minorHAnsi" w:hAnsiTheme="minorHAnsi" w:cstheme="minorHAnsi"/>
          <w:sz w:val="24"/>
        </w:rPr>
        <w:t>are, relatively powerless politically, they benefit little from the greater political accountability of the agencies</w:t>
      </w:r>
      <w:r w:rsidRPr="00ED0695">
        <w:rPr>
          <w:rFonts w:asciiTheme="minorHAnsi" w:hAnsiTheme="minorHAnsi" w:cstheme="minorHAnsi"/>
          <w:sz w:val="18"/>
        </w:rPr>
        <w:t xml:space="preserve">. 157 Furthermore, </w:t>
      </w:r>
      <w:r w:rsidRPr="00ED0695">
        <w:rPr>
          <w:rStyle w:val="StyleUnderline"/>
          <w:rFonts w:asciiTheme="minorHAnsi" w:hAnsiTheme="minorHAnsi" w:cstheme="minorHAnsi"/>
          <w:sz w:val="24"/>
        </w:rPr>
        <w:t xml:space="preserve">because so much of the legislation that affects Native Americans is directed solely at them, they cannot depend on other affected groups to change agency behavior. </w:t>
      </w:r>
      <w:r w:rsidRPr="00ED0695">
        <w:rPr>
          <w:rStyle w:val="StyleUnderline"/>
          <w:rFonts w:asciiTheme="minorHAnsi" w:hAnsiTheme="minorHAnsi" w:cstheme="minorHAnsi"/>
          <w:sz w:val="24"/>
          <w:highlight w:val="yellow"/>
        </w:rPr>
        <w:t>Agency competence</w:t>
      </w:r>
      <w:r w:rsidRPr="00ED0695">
        <w:rPr>
          <w:rStyle w:val="StyleUnderline"/>
          <w:rFonts w:asciiTheme="minorHAnsi" w:hAnsiTheme="minorHAnsi" w:cstheme="minorHAnsi"/>
          <w:sz w:val="24"/>
        </w:rPr>
        <w:t xml:space="preserve"> cuts both ways</w:t>
      </w:r>
      <w:r w:rsidRPr="00ED0695">
        <w:rPr>
          <w:rFonts w:asciiTheme="minorHAnsi" w:hAnsiTheme="minorHAnsi" w:cstheme="minorHAnsi"/>
          <w:sz w:val="18"/>
        </w:rPr>
        <w:t xml:space="preserve">. Agencies may be better able to discern and implement congressional policy, but </w:t>
      </w:r>
      <w:r w:rsidRPr="00ED0695">
        <w:rPr>
          <w:rStyle w:val="StyleUnderline"/>
          <w:rFonts w:asciiTheme="minorHAnsi" w:hAnsiTheme="minorHAnsi" w:cstheme="minorHAnsi"/>
          <w:sz w:val="24"/>
        </w:rPr>
        <w:t xml:space="preserve">they </w:t>
      </w:r>
      <w:r w:rsidRPr="00ED0695">
        <w:rPr>
          <w:rStyle w:val="StyleUnderline"/>
          <w:rFonts w:asciiTheme="minorHAnsi" w:hAnsiTheme="minorHAnsi" w:cstheme="minorHAnsi"/>
          <w:sz w:val="24"/>
          <w:highlight w:val="yellow"/>
        </w:rPr>
        <w:t>may not</w:t>
      </w:r>
      <w:r w:rsidRPr="00ED0695">
        <w:rPr>
          <w:rStyle w:val="StyleUnderline"/>
          <w:rFonts w:asciiTheme="minorHAnsi" w:hAnsiTheme="minorHAnsi" w:cstheme="minorHAnsi"/>
          <w:sz w:val="24"/>
        </w:rPr>
        <w:t xml:space="preserve"> also </w:t>
      </w:r>
      <w:r w:rsidRPr="00ED0695">
        <w:rPr>
          <w:rStyle w:val="StyleUnderline"/>
          <w:rFonts w:asciiTheme="minorHAnsi" w:hAnsiTheme="minorHAnsi" w:cstheme="minorHAnsi"/>
          <w:sz w:val="24"/>
          <w:highlight w:val="yellow"/>
        </w:rPr>
        <w:t>give Native</w:t>
      </w:r>
      <w:r w:rsidRPr="00ED0695">
        <w:rPr>
          <w:rStyle w:val="StyleUnderline"/>
          <w:rFonts w:asciiTheme="minorHAnsi" w:hAnsiTheme="minorHAnsi" w:cstheme="minorHAnsi"/>
          <w:sz w:val="24"/>
        </w:rPr>
        <w:t xml:space="preserve"> American </w:t>
      </w:r>
      <w:r w:rsidRPr="00ED0695">
        <w:rPr>
          <w:rStyle w:val="StyleUnderline"/>
          <w:rFonts w:asciiTheme="minorHAnsi" w:hAnsiTheme="minorHAnsi" w:cstheme="minorHAnsi"/>
          <w:sz w:val="24"/>
          <w:highlight w:val="yellow"/>
        </w:rPr>
        <w:t>interests</w:t>
      </w:r>
      <w:r w:rsidRPr="00ED0695">
        <w:rPr>
          <w:rStyle w:val="StyleUnderline"/>
          <w:rFonts w:asciiTheme="minorHAnsi" w:hAnsiTheme="minorHAnsi" w:cstheme="minorHAnsi"/>
          <w:sz w:val="24"/>
        </w:rPr>
        <w:t xml:space="preserve"> sufficient </w:t>
      </w:r>
      <w:r w:rsidRPr="00ED0695">
        <w:rPr>
          <w:rStyle w:val="StyleUnderline"/>
          <w:rFonts w:asciiTheme="minorHAnsi" w:hAnsiTheme="minorHAnsi" w:cstheme="minorHAnsi"/>
          <w:sz w:val="24"/>
          <w:highlight w:val="yellow"/>
        </w:rPr>
        <w:t>weight</w:t>
      </w:r>
      <w:r w:rsidRPr="00ED0695">
        <w:rPr>
          <w:rFonts w:asciiTheme="minorHAnsi" w:hAnsiTheme="minorHAnsi" w:cstheme="minorHAnsi"/>
          <w:sz w:val="18"/>
        </w:rPr>
        <w:t>. In the administrative state</w:t>
      </w:r>
      <w:r w:rsidRPr="00ED0695">
        <w:rPr>
          <w:rStyle w:val="StyleUnderline"/>
          <w:rFonts w:asciiTheme="minorHAnsi" w:hAnsiTheme="minorHAnsi" w:cstheme="minorHAnsi"/>
          <w:sz w:val="24"/>
        </w:rPr>
        <w:t>, one of the functions of agencies is to balance competing policy goals. When exercising that function, agencies should give stronger credence to Indian interests</w:t>
      </w:r>
      <w:r w:rsidRPr="00ED0695">
        <w:rPr>
          <w:rFonts w:asciiTheme="minorHAnsi" w:hAnsiTheme="minorHAnsi" w:cstheme="minorHAnsi"/>
          <w:sz w:val="18"/>
        </w:rPr>
        <w:t>: as the Court has repeatedly noted</w:t>
      </w:r>
      <w:r w:rsidRPr="00ED0695">
        <w:rPr>
          <w:rStyle w:val="StyleUnderline"/>
          <w:rFonts w:asciiTheme="minorHAnsi" w:hAnsiTheme="minorHAnsi" w:cstheme="minorHAnsi"/>
          <w:sz w:val="24"/>
        </w:rPr>
        <w:t xml:space="preserve">, </w:t>
      </w:r>
      <w:r w:rsidRPr="00ED0695">
        <w:rPr>
          <w:rStyle w:val="StyleUnderline"/>
          <w:rFonts w:asciiTheme="minorHAnsi" w:hAnsiTheme="minorHAnsi" w:cstheme="minorHAnsi"/>
          <w:sz w:val="24"/>
          <w:highlight w:val="yellow"/>
        </w:rPr>
        <w:t xml:space="preserve">the executive has </w:t>
      </w:r>
      <w:r w:rsidRPr="00ED0695">
        <w:rPr>
          <w:rStyle w:val="StyleUnderline"/>
          <w:rFonts w:asciiTheme="minorHAnsi" w:hAnsiTheme="minorHAnsi" w:cstheme="minorHAnsi"/>
          <w:sz w:val="24"/>
        </w:rPr>
        <w:t xml:space="preserve">strict fiduciary </w:t>
      </w:r>
      <w:r w:rsidRPr="00ED0695">
        <w:rPr>
          <w:rStyle w:val="StyleUnderline"/>
          <w:rFonts w:asciiTheme="minorHAnsi" w:hAnsiTheme="minorHAnsi" w:cstheme="minorHAnsi"/>
          <w:sz w:val="24"/>
          <w:highlight w:val="yellow"/>
        </w:rPr>
        <w:t xml:space="preserve">obligations toward Native Americans. </w:t>
      </w:r>
      <w:r w:rsidRPr="00ED0695">
        <w:rPr>
          <w:rStyle w:val="StyleUnderline"/>
          <w:rFonts w:asciiTheme="minorHAnsi" w:hAnsiTheme="minorHAnsi" w:cstheme="minorHAnsi"/>
          <w:sz w:val="24"/>
        </w:rPr>
        <w:t xml:space="preserve">15 But </w:t>
      </w:r>
      <w:r w:rsidRPr="00ED0695">
        <w:rPr>
          <w:rStyle w:val="StyleUnderline"/>
          <w:rFonts w:asciiTheme="minorHAnsi" w:hAnsiTheme="minorHAnsi" w:cstheme="minorHAnsi"/>
          <w:sz w:val="24"/>
          <w:highlight w:val="yellow"/>
        </w:rPr>
        <w:t>when faced with competing goals</w:t>
      </w:r>
      <w:r w:rsidRPr="00ED0695">
        <w:rPr>
          <w:rFonts w:asciiTheme="minorHAnsi" w:hAnsiTheme="minorHAnsi" w:cstheme="minorHAnsi"/>
          <w:sz w:val="18"/>
        </w:rPr>
        <w:t xml:space="preserve"> (some of which may be backed by powerful political interests)</w:t>
      </w:r>
      <w:r w:rsidRPr="00ED0695">
        <w:rPr>
          <w:rStyle w:val="StyleUnderline"/>
          <w:rFonts w:asciiTheme="minorHAnsi" w:hAnsiTheme="minorHAnsi" w:cstheme="minorHAnsi"/>
          <w:sz w:val="24"/>
        </w:rPr>
        <w:t xml:space="preserve">, </w:t>
      </w:r>
      <w:r w:rsidRPr="00ED0695">
        <w:rPr>
          <w:rStyle w:val="StyleUnderline"/>
          <w:rFonts w:asciiTheme="minorHAnsi" w:hAnsiTheme="minorHAnsi" w:cstheme="minorHAnsi"/>
          <w:sz w:val="24"/>
          <w:highlight w:val="yellow"/>
        </w:rPr>
        <w:t>agencies</w:t>
      </w:r>
      <w:r w:rsidRPr="00ED0695">
        <w:rPr>
          <w:rStyle w:val="StyleUnderline"/>
          <w:rFonts w:asciiTheme="minorHAnsi" w:hAnsiTheme="minorHAnsi" w:cstheme="minorHAnsi"/>
          <w:sz w:val="24"/>
        </w:rPr>
        <w:t xml:space="preserve"> may </w:t>
      </w:r>
      <w:r w:rsidRPr="00ED0695">
        <w:rPr>
          <w:rFonts w:asciiTheme="minorHAnsi" w:hAnsiTheme="minorHAnsi" w:cstheme="minorHAnsi"/>
          <w:sz w:val="18"/>
        </w:rPr>
        <w:t xml:space="preserve">well </w:t>
      </w:r>
      <w:r w:rsidRPr="00ED0695">
        <w:rPr>
          <w:rStyle w:val="StyleUnderline"/>
          <w:rFonts w:asciiTheme="minorHAnsi" w:hAnsiTheme="minorHAnsi" w:cstheme="minorHAnsi"/>
          <w:sz w:val="24"/>
          <w:highlight w:val="yellow"/>
        </w:rPr>
        <w:t xml:space="preserve">disregard </w:t>
      </w:r>
      <w:r w:rsidRPr="00ED0695">
        <w:rPr>
          <w:rStyle w:val="StyleUnderline"/>
          <w:rFonts w:asciiTheme="minorHAnsi" w:hAnsiTheme="minorHAnsi" w:cstheme="minorHAnsi"/>
          <w:sz w:val="24"/>
        </w:rPr>
        <w:t xml:space="preserve">the legitimate </w:t>
      </w:r>
      <w:r w:rsidRPr="00ED0695">
        <w:rPr>
          <w:rStyle w:val="StyleUnderline"/>
          <w:rFonts w:asciiTheme="minorHAnsi" w:hAnsiTheme="minorHAnsi" w:cstheme="minorHAnsi"/>
          <w:sz w:val="24"/>
          <w:highlight w:val="yellow"/>
        </w:rPr>
        <w:t>claims of Native Americans</w:t>
      </w:r>
      <w:r w:rsidRPr="00ED0695">
        <w:rPr>
          <w:rFonts w:asciiTheme="minorHAnsi" w:hAnsiTheme="minorHAnsi" w:cstheme="minorHAnsi"/>
          <w:sz w:val="18"/>
        </w:rPr>
        <w:t>. For example, in Pyramid Lake Paiute Tribe of Indians v Morton, the Secretary of the Interior was responsible for developing a plan for allocating the flow of water from the Truckee River in Nevada.15 9 After receiving recommendations from a variety of public and private sources, including the Paiute Indian Tribe, the Secretary issued regulations which would have diverted substantial water away from the Paiute's lake to the Truckee-Carson Irrigation District.1 60 This diversion would have endangered many of the fish species native to the lake and substantially impaired the utility of the lake.161 Citing the wardship doctrine and noting the federal government's fiduciary duty toward Native Americans, the court ruled that the Secretary was required to develop a plan which allowed enough water to flow to the lake to maintain its current condition. 162 Without the wardship doctrine, the Native Americans' claim would have been just one of many competing claims to the waters of the Truckee River. Pyramid Lake illustrates the special role assigned to the judiciary under the wardship doctrine</w:t>
      </w:r>
      <w:r w:rsidRPr="00ED0695">
        <w:rPr>
          <w:rStyle w:val="StyleUnderline"/>
          <w:rFonts w:asciiTheme="minorHAnsi" w:hAnsiTheme="minorHAnsi" w:cstheme="minorHAnsi"/>
          <w:sz w:val="24"/>
        </w:rPr>
        <w:t>. Generally, in the pre-Chevron era, courts provided an interpretation of an ambiguous statute not because they had any particular interest in the statute itself, but rather because they assumed or determined that Congress had not delegated interpretive power to the agency. In cases involving Native Americans, however, the judiciary's role was different.</w:t>
      </w:r>
      <w:r w:rsidRPr="00ED0695">
        <w:rPr>
          <w:rFonts w:asciiTheme="minorHAnsi" w:hAnsiTheme="minorHAnsi" w:cstheme="minorHAnsi"/>
          <w:sz w:val="18"/>
        </w:rPr>
        <w:t xml:space="preserve"> As the Court noted in Felix v Patrick</w:t>
      </w:r>
      <w:r w:rsidRPr="00ED0695">
        <w:rPr>
          <w:rStyle w:val="StyleUnderline"/>
          <w:rFonts w:asciiTheme="minorHAnsi" w:hAnsiTheme="minorHAnsi" w:cstheme="minorHAnsi"/>
          <w:sz w:val="24"/>
        </w:rPr>
        <w:t>, the wardship doctrine requires</w:t>
      </w:r>
      <w:r w:rsidRPr="00ED0695">
        <w:rPr>
          <w:rFonts w:asciiTheme="minorHAnsi" w:hAnsiTheme="minorHAnsi" w:cstheme="minorHAnsi"/>
          <w:sz w:val="18"/>
        </w:rPr>
        <w:t xml:space="preserve"> the </w:t>
      </w:r>
      <w:r w:rsidRPr="00ED0695">
        <w:rPr>
          <w:rStyle w:val="StyleUnderline"/>
          <w:rFonts w:asciiTheme="minorHAnsi" w:hAnsiTheme="minorHAnsi" w:cstheme="minorHAnsi"/>
          <w:sz w:val="24"/>
        </w:rPr>
        <w:t>courts</w:t>
      </w:r>
      <w:r w:rsidRPr="00ED0695">
        <w:rPr>
          <w:rFonts w:asciiTheme="minorHAnsi" w:hAnsiTheme="minorHAnsi" w:cstheme="minorHAnsi"/>
          <w:sz w:val="18"/>
        </w:rPr>
        <w:t xml:space="preserve"> of the United States </w:t>
      </w:r>
      <w:r w:rsidRPr="00ED0695">
        <w:rPr>
          <w:rStyle w:val="StyleUnderline"/>
          <w:rFonts w:asciiTheme="minorHAnsi" w:hAnsiTheme="minorHAnsi" w:cstheme="minorHAnsi"/>
          <w:sz w:val="24"/>
        </w:rPr>
        <w:t>to provide special protection for Native Americans</w:t>
      </w:r>
      <w:r w:rsidRPr="00ED0695">
        <w:rPr>
          <w:rFonts w:asciiTheme="minorHAnsi" w:hAnsiTheme="minorHAnsi" w:cstheme="minorHAnsi"/>
          <w:sz w:val="18"/>
        </w:rPr>
        <w:t xml:space="preserve">.163 One element of that protection is ensuring the federal government fulfills its fiduciary duty. </w:t>
      </w:r>
      <w:r w:rsidRPr="00ED0695">
        <w:rPr>
          <w:rStyle w:val="StyleUnderline"/>
          <w:rFonts w:asciiTheme="minorHAnsi" w:hAnsiTheme="minorHAnsi" w:cstheme="minorHAnsi"/>
          <w:sz w:val="24"/>
        </w:rPr>
        <w:t>This role rebuts one of the presumptions underlying the Chevron approach. Chevron presumes that judicial monitoring of an agency's exercise of delegated power is unnecessary because the judiciary's tools are not particularly useful for resolving ambiguous questions with political overtones</w:t>
      </w:r>
      <w:r w:rsidRPr="00ED0695">
        <w:rPr>
          <w:rFonts w:asciiTheme="minorHAnsi" w:hAnsiTheme="minorHAnsi" w:cstheme="minorHAnsi"/>
          <w:sz w:val="18"/>
        </w:rPr>
        <w:t xml:space="preserve">. 6 </w:t>
      </w:r>
      <w:r w:rsidRPr="00ED0695">
        <w:rPr>
          <w:rStyle w:val="StyleUnderline"/>
          <w:rFonts w:asciiTheme="minorHAnsi" w:hAnsiTheme="minorHAnsi" w:cstheme="minorHAnsi"/>
          <w:sz w:val="24"/>
        </w:rPr>
        <w:t>But in the area of Indian law, that assumption is undercut by the special duty courts have under the wardship doctrine</w:t>
      </w:r>
      <w:r w:rsidRPr="00ED0695">
        <w:rPr>
          <w:rFonts w:asciiTheme="minorHAnsi" w:hAnsiTheme="minorHAnsi" w:cstheme="minorHAnsi"/>
          <w:sz w:val="18"/>
        </w:rPr>
        <w:t xml:space="preserve">. The Chevron approach presumes that Congress has delegated to agencies the power to interpret ambiguous statutes. Because of the special nature of the wardship relation, that presumption is not valid for laws affecting Native Americans. The </w:t>
      </w:r>
      <w:r w:rsidRPr="00ED0695">
        <w:rPr>
          <w:rStyle w:val="StyleUnderline"/>
          <w:rFonts w:asciiTheme="minorHAnsi" w:hAnsiTheme="minorHAnsi" w:cstheme="minorHAnsi"/>
          <w:sz w:val="24"/>
          <w:highlight w:val="yellow"/>
        </w:rPr>
        <w:t>Chevron</w:t>
      </w:r>
      <w:r w:rsidRPr="00ED0695">
        <w:rPr>
          <w:rFonts w:asciiTheme="minorHAnsi" w:hAnsiTheme="minorHAnsi" w:cstheme="minorHAnsi"/>
          <w:sz w:val="18"/>
        </w:rPr>
        <w:t xml:space="preserve"> presumption </w:t>
      </w:r>
      <w:r w:rsidRPr="00ED0695">
        <w:rPr>
          <w:rStyle w:val="StyleUnderline"/>
          <w:rFonts w:asciiTheme="minorHAnsi" w:hAnsiTheme="minorHAnsi" w:cstheme="minorHAnsi"/>
          <w:sz w:val="24"/>
          <w:highlight w:val="yellow"/>
        </w:rPr>
        <w:t>is motivated by a belief that agencies are more competent</w:t>
      </w:r>
      <w:r w:rsidRPr="00ED0695">
        <w:rPr>
          <w:rStyle w:val="StyleUnderline"/>
          <w:rFonts w:asciiTheme="minorHAnsi" w:hAnsiTheme="minorHAnsi" w:cstheme="minorHAnsi"/>
          <w:sz w:val="24"/>
        </w:rPr>
        <w:t xml:space="preserve">, that they are more </w:t>
      </w:r>
      <w:r w:rsidRPr="00ED0695">
        <w:rPr>
          <w:rStyle w:val="StyleUnderline"/>
          <w:rFonts w:asciiTheme="minorHAnsi" w:hAnsiTheme="minorHAnsi" w:cstheme="minorHAnsi"/>
          <w:sz w:val="24"/>
          <w:highlight w:val="yellow"/>
        </w:rPr>
        <w:t>accountable</w:t>
      </w:r>
      <w:r w:rsidRPr="00ED0695">
        <w:rPr>
          <w:rStyle w:val="StyleUnderline"/>
          <w:rFonts w:asciiTheme="minorHAnsi" w:hAnsiTheme="minorHAnsi" w:cstheme="minorHAnsi"/>
          <w:sz w:val="24"/>
        </w:rPr>
        <w:t xml:space="preserve">, or that judicial monitoring is unnecessary. </w:t>
      </w:r>
      <w:r w:rsidRPr="00ED0695">
        <w:rPr>
          <w:rStyle w:val="StyleUnderline"/>
          <w:rFonts w:asciiTheme="minorHAnsi" w:hAnsiTheme="minorHAnsi" w:cstheme="minorHAnsi"/>
          <w:sz w:val="24"/>
          <w:highlight w:val="yellow"/>
        </w:rPr>
        <w:t xml:space="preserve">For Native </w:t>
      </w:r>
      <w:r w:rsidRPr="00ED0695">
        <w:rPr>
          <w:rStyle w:val="StyleUnderline"/>
          <w:rFonts w:asciiTheme="minorHAnsi" w:hAnsiTheme="minorHAnsi" w:cstheme="minorHAnsi"/>
          <w:sz w:val="24"/>
        </w:rPr>
        <w:t>American</w:t>
      </w:r>
      <w:r w:rsidRPr="00ED0695">
        <w:rPr>
          <w:rStyle w:val="StyleUnderline"/>
          <w:rFonts w:asciiTheme="minorHAnsi" w:hAnsiTheme="minorHAnsi" w:cstheme="minorHAnsi"/>
          <w:sz w:val="24"/>
          <w:highlight w:val="yellow"/>
        </w:rPr>
        <w:t>s</w:t>
      </w:r>
      <w:r w:rsidRPr="00ED0695">
        <w:rPr>
          <w:rFonts w:asciiTheme="minorHAnsi" w:hAnsiTheme="minorHAnsi" w:cstheme="minorHAnsi"/>
          <w:sz w:val="18"/>
        </w:rPr>
        <w:t xml:space="preserve">, however, </w:t>
      </w:r>
      <w:r w:rsidRPr="00ED0695">
        <w:rPr>
          <w:rStyle w:val="StyleUnderline"/>
          <w:rFonts w:asciiTheme="minorHAnsi" w:hAnsiTheme="minorHAnsi" w:cstheme="minorHAnsi"/>
          <w:sz w:val="24"/>
        </w:rPr>
        <w:t xml:space="preserve">political </w:t>
      </w:r>
      <w:r w:rsidRPr="00ED0695">
        <w:rPr>
          <w:rStyle w:val="StyleUnderline"/>
          <w:rFonts w:asciiTheme="minorHAnsi" w:hAnsiTheme="minorHAnsi" w:cstheme="minorHAnsi"/>
          <w:sz w:val="24"/>
          <w:highlight w:val="yellow"/>
        </w:rPr>
        <w:t>accountability is not helpful and</w:t>
      </w:r>
      <w:r w:rsidRPr="00ED0695">
        <w:rPr>
          <w:rStyle w:val="StyleUnderline"/>
          <w:rFonts w:asciiTheme="minorHAnsi" w:hAnsiTheme="minorHAnsi" w:cstheme="minorHAnsi"/>
          <w:sz w:val="24"/>
        </w:rPr>
        <w:t xml:space="preserve"> agency </w:t>
      </w:r>
      <w:r w:rsidRPr="00ED0695">
        <w:rPr>
          <w:rStyle w:val="StyleUnderline"/>
          <w:rFonts w:asciiTheme="minorHAnsi" w:hAnsiTheme="minorHAnsi" w:cstheme="minorHAnsi"/>
          <w:sz w:val="24"/>
          <w:highlight w:val="yellow"/>
        </w:rPr>
        <w:t>competency may work against them</w:t>
      </w:r>
      <w:r w:rsidRPr="00ED0695">
        <w:rPr>
          <w:rFonts w:asciiTheme="minorHAnsi" w:hAnsiTheme="minorHAnsi" w:cstheme="minorHAnsi"/>
          <w:sz w:val="18"/>
        </w:rPr>
        <w:t>. Furthermore</w:t>
      </w:r>
      <w:r w:rsidRPr="00ED0695">
        <w:rPr>
          <w:rStyle w:val="StyleUnderline"/>
          <w:rFonts w:asciiTheme="minorHAnsi" w:hAnsiTheme="minorHAnsi" w:cstheme="minorHAnsi"/>
          <w:sz w:val="24"/>
        </w:rPr>
        <w:t xml:space="preserve">, </w:t>
      </w:r>
      <w:r w:rsidRPr="00ED0695">
        <w:rPr>
          <w:rStyle w:val="StyleUnderline"/>
          <w:rFonts w:asciiTheme="minorHAnsi" w:hAnsiTheme="minorHAnsi" w:cstheme="minorHAnsi"/>
          <w:sz w:val="24"/>
          <w:highlight w:val="yellow"/>
        </w:rPr>
        <w:t xml:space="preserve">a crucial element </w:t>
      </w:r>
      <w:r w:rsidRPr="00ED0695">
        <w:rPr>
          <w:rStyle w:val="StyleUnderline"/>
          <w:rFonts w:asciiTheme="minorHAnsi" w:hAnsiTheme="minorHAnsi" w:cstheme="minorHAnsi"/>
          <w:sz w:val="24"/>
        </w:rPr>
        <w:t xml:space="preserve">of the wardship relation </w:t>
      </w:r>
      <w:r w:rsidRPr="00ED0695">
        <w:rPr>
          <w:rStyle w:val="StyleUnderline"/>
          <w:rFonts w:asciiTheme="minorHAnsi" w:hAnsiTheme="minorHAnsi" w:cstheme="minorHAnsi"/>
          <w:sz w:val="24"/>
          <w:highlight w:val="yellow"/>
        </w:rPr>
        <w:t xml:space="preserve">is judicial monitoring </w:t>
      </w:r>
      <w:r w:rsidRPr="00ED0695">
        <w:rPr>
          <w:rStyle w:val="StyleUnderline"/>
          <w:rFonts w:asciiTheme="minorHAnsi" w:hAnsiTheme="minorHAnsi" w:cstheme="minorHAnsi"/>
          <w:sz w:val="24"/>
        </w:rPr>
        <w:t>of the executive</w:t>
      </w:r>
      <w:r w:rsidRPr="00ED0695">
        <w:rPr>
          <w:rStyle w:val="Emphasis"/>
          <w:rFonts w:asciiTheme="minorHAnsi" w:hAnsiTheme="minorHAnsi" w:cstheme="minorHAnsi"/>
          <w:sz w:val="24"/>
        </w:rPr>
        <w:t xml:space="preserve">. Because </w:t>
      </w:r>
      <w:r w:rsidRPr="00ED0695">
        <w:rPr>
          <w:rStyle w:val="Emphasis"/>
          <w:rFonts w:asciiTheme="minorHAnsi" w:hAnsiTheme="minorHAnsi" w:cstheme="minorHAnsi"/>
          <w:sz w:val="24"/>
          <w:highlight w:val="yellow"/>
        </w:rPr>
        <w:t>the presumption that Congress has delegated power appears implausible, courts should apply the canon favoring Indians when reviewing agency interp</w:t>
      </w:r>
      <w:r w:rsidRPr="00ED0695">
        <w:rPr>
          <w:rStyle w:val="Emphasis"/>
          <w:rFonts w:asciiTheme="minorHAnsi" w:hAnsiTheme="minorHAnsi" w:cstheme="minorHAnsi"/>
          <w:sz w:val="24"/>
        </w:rPr>
        <w:t xml:space="preserve">retations. </w:t>
      </w:r>
    </w:p>
    <w:p w14:paraId="5783E629" w14:textId="77777777" w:rsidR="00B44375" w:rsidRPr="00ED0695" w:rsidRDefault="00B44375" w:rsidP="00B44375">
      <w:pPr>
        <w:rPr>
          <w:rFonts w:asciiTheme="minorHAnsi" w:hAnsiTheme="minorHAnsi" w:cstheme="minorHAnsi"/>
        </w:rPr>
      </w:pPr>
    </w:p>
    <w:p w14:paraId="393226C3" w14:textId="2DD0DD95" w:rsidR="0040040A" w:rsidRDefault="0040040A" w:rsidP="0040040A">
      <w:pPr>
        <w:pStyle w:val="Heading1"/>
      </w:pPr>
      <w:r>
        <w:t xml:space="preserve">Topicality </w:t>
      </w:r>
    </w:p>
    <w:p w14:paraId="40D17745" w14:textId="57C0B50A" w:rsidR="0040040A" w:rsidRPr="0040040A" w:rsidRDefault="0040040A" w:rsidP="0040040A">
      <w:pPr>
        <w:pStyle w:val="Heading2"/>
      </w:pPr>
      <w:r>
        <w:t>Effects T</w:t>
      </w:r>
      <w:bookmarkStart w:id="0" w:name="_GoBack"/>
      <w:bookmarkEnd w:id="0"/>
    </w:p>
    <w:p w14:paraId="5405CEC5" w14:textId="77777777" w:rsidR="0040040A" w:rsidRDefault="0040040A" w:rsidP="0040040A">
      <w:pPr>
        <w:pStyle w:val="Heading3"/>
      </w:pPr>
      <w:r>
        <w:t>1nc</w:t>
      </w:r>
    </w:p>
    <w:p w14:paraId="7DDA43CA" w14:textId="77777777" w:rsidR="0040040A" w:rsidRPr="00E96909" w:rsidRDefault="0040040A" w:rsidP="0040040A">
      <w:pPr>
        <w:pStyle w:val="Heading4"/>
      </w:pPr>
      <w:r>
        <w:t xml:space="preserve">Interpretation-- </w:t>
      </w:r>
      <w:r w:rsidRPr="00E96909">
        <w:t>The topic is water treatment and pollution prevention – exhaustive and exclusive</w:t>
      </w:r>
    </w:p>
    <w:p w14:paraId="39678FA0" w14:textId="77777777" w:rsidR="0040040A" w:rsidRPr="00E96909" w:rsidRDefault="0040040A" w:rsidP="0040040A">
      <w:pPr>
        <w:rPr>
          <w:rStyle w:val="Style13ptBold"/>
        </w:rPr>
      </w:pPr>
      <w:r w:rsidRPr="00E96909">
        <w:rPr>
          <w:rStyle w:val="Style13ptBold"/>
        </w:rPr>
        <w:t xml:space="preserve">Cody et al 2017 </w:t>
      </w:r>
    </w:p>
    <w:p w14:paraId="54FDAEB0" w14:textId="77777777" w:rsidR="0040040A" w:rsidRPr="00E96909" w:rsidRDefault="0040040A" w:rsidP="0040040A">
      <w:pPr>
        <w:rPr>
          <w:sz w:val="18"/>
          <w:szCs w:val="18"/>
        </w:rPr>
      </w:pPr>
      <w:r w:rsidRPr="00E96909">
        <w:rPr>
          <w:sz w:val="18"/>
          <w:szCs w:val="18"/>
        </w:rPr>
        <w:t>[Betsy A., Specialist in Natural Resources Policy. Judy Schneider, Specialist on the Congress. Mary Tiemann, Specialist in Environmental Policy. Congressional Research Service. May 24. "Selected Federal Water Activities: Agencies, Authorities, and Congressional Committees" https://fas.org/sgp/crs/misc/R42653.pdf]</w:t>
      </w:r>
    </w:p>
    <w:p w14:paraId="23236D4E" w14:textId="77777777" w:rsidR="0040040A" w:rsidRPr="00D15D4C" w:rsidRDefault="0040040A" w:rsidP="0040040A">
      <w:pPr>
        <w:rPr>
          <w:sz w:val="16"/>
        </w:rPr>
      </w:pPr>
      <w:r w:rsidRPr="00E96909">
        <w:rPr>
          <w:sz w:val="16"/>
        </w:rPr>
        <w:t xml:space="preserve">Each thematic area begins with a brief introduction and is followed by a table(s) of relevant agencies, activities and programs, and House and Senate committees of jurisdiction.5 Each table covers more focused areas of water issues—subtopics—based on agency function and the historical development of federal water programs. In organizing these tables, </w:t>
      </w:r>
      <w:r w:rsidRPr="00E96909">
        <w:rPr>
          <w:b/>
          <w:bCs/>
          <w:u w:val="single"/>
        </w:rPr>
        <w:t>a series of topic terms was developed under which both members of the general public and those more familiar with water policy might categorize federal water-related activities</w:t>
      </w:r>
      <w:r w:rsidRPr="00E96909">
        <w:rPr>
          <w:sz w:val="16"/>
        </w:rPr>
        <w:t xml:space="preserve">. These topic terms were determined by the CRS analysts and legislative attorneys involved in developing the report. The “Water Resources </w:t>
      </w:r>
      <w:r w:rsidRPr="00E96909">
        <w:rPr>
          <w:b/>
          <w:bCs/>
          <w:u w:val="single"/>
        </w:rPr>
        <w:t xml:space="preserve">Development, Management, and Use” </w:t>
      </w:r>
      <w:r w:rsidRPr="00E96909">
        <w:rPr>
          <w:sz w:val="16"/>
        </w:rPr>
        <w:t xml:space="preserve">theme </w:t>
      </w:r>
      <w:r w:rsidRPr="00E96909">
        <w:rPr>
          <w:b/>
          <w:bCs/>
          <w:u w:val="single"/>
        </w:rPr>
        <w:t>includes</w:t>
      </w:r>
      <w:r w:rsidRPr="00E96909">
        <w:rPr>
          <w:sz w:val="16"/>
        </w:rPr>
        <w:t xml:space="preserve"> subtopics that relate to </w:t>
      </w:r>
      <w:r w:rsidRPr="00E96909">
        <w:rPr>
          <w:b/>
          <w:bCs/>
          <w:u w:val="single"/>
        </w:rPr>
        <w:t>supply</w:t>
      </w:r>
      <w:r w:rsidRPr="00E96909">
        <w:rPr>
          <w:sz w:val="16"/>
        </w:rPr>
        <w:t xml:space="preserve"> and reservoir </w:t>
      </w:r>
      <w:r w:rsidRPr="00E96909">
        <w:rPr>
          <w:b/>
          <w:bCs/>
          <w:u w:val="single"/>
        </w:rPr>
        <w:t>development</w:t>
      </w:r>
      <w:r w:rsidRPr="00E96909">
        <w:rPr>
          <w:sz w:val="16"/>
        </w:rPr>
        <w:t xml:space="preserve">, </w:t>
      </w:r>
      <w:r w:rsidRPr="00E96909">
        <w:rPr>
          <w:b/>
          <w:bCs/>
          <w:u w:val="single"/>
        </w:rPr>
        <w:t>drought and flood management, hydropower, and navigation</w:t>
      </w:r>
      <w:r w:rsidRPr="00E96909">
        <w:rPr>
          <w:sz w:val="16"/>
        </w:rPr>
        <w:t xml:space="preserve">. The “Water Quality, </w:t>
      </w:r>
      <w:r w:rsidRPr="00E96909">
        <w:rPr>
          <w:b/>
          <w:bCs/>
          <w:u w:val="single"/>
        </w:rPr>
        <w:t>Protection</w:t>
      </w:r>
      <w:r w:rsidRPr="00E96909">
        <w:rPr>
          <w:sz w:val="16"/>
        </w:rPr>
        <w:t xml:space="preserve">, and Restoration” theme </w:t>
      </w:r>
      <w:r w:rsidRPr="00E96909">
        <w:rPr>
          <w:b/>
          <w:bCs/>
          <w:u w:val="single"/>
        </w:rPr>
        <w:t>addresses issues relating to water quality and aquatic resources protection and management, including selected regional aquatic ecosystem restoration authorities</w:t>
      </w:r>
      <w:r w:rsidRPr="00E96909">
        <w:rPr>
          <w:sz w:val="16"/>
        </w:rPr>
        <w:t xml:space="preserve">. The “Water </w:t>
      </w:r>
      <w:r w:rsidRPr="00E96909">
        <w:rPr>
          <w:b/>
          <w:bCs/>
          <w:u w:val="single"/>
        </w:rPr>
        <w:t>Rights and Allocation</w:t>
      </w:r>
      <w:r w:rsidRPr="00E96909">
        <w:rPr>
          <w:sz w:val="16"/>
        </w:rPr>
        <w:t xml:space="preserve">” theme </w:t>
      </w:r>
      <w:r w:rsidRPr="00E96909">
        <w:rPr>
          <w:b/>
          <w:bCs/>
          <w:u w:val="single"/>
        </w:rPr>
        <w:t>addresses water allocation and interstate compacts, river basin commissions, federal reserved water rights, and tribal water rights.</w:t>
      </w:r>
      <w:r w:rsidRPr="00E96909">
        <w:rPr>
          <w:sz w:val="16"/>
        </w:rPr>
        <w:t xml:space="preserve"> The “</w:t>
      </w:r>
      <w:r w:rsidRPr="00E96909">
        <w:rPr>
          <w:b/>
          <w:bCs/>
          <w:u w:val="single"/>
        </w:rPr>
        <w:t>Research and Planning”</w:t>
      </w:r>
      <w:r w:rsidRPr="00E96909">
        <w:rPr>
          <w:sz w:val="16"/>
        </w:rPr>
        <w:t xml:space="preserve"> theme </w:t>
      </w:r>
      <w:r w:rsidRPr="00E96909">
        <w:rPr>
          <w:b/>
          <w:bCs/>
          <w:u w:val="single"/>
        </w:rPr>
        <w:t>includes</w:t>
      </w:r>
      <w:r w:rsidRPr="00E96909">
        <w:rPr>
          <w:sz w:val="16"/>
        </w:rPr>
        <w:t xml:space="preserve"> subtopics related to </w:t>
      </w:r>
      <w:r w:rsidRPr="00E96909">
        <w:rPr>
          <w:b/>
          <w:bCs/>
          <w:u w:val="single"/>
        </w:rPr>
        <w:t>research and data collection</w:t>
      </w:r>
      <w:r w:rsidRPr="00E96909">
        <w:rPr>
          <w:sz w:val="16"/>
        </w:rPr>
        <w:t xml:space="preserve">, such as water cycle and climate change research, water-related technologies, and watershed planning. Significant overlaps occur both within and among the different categories. </w:t>
      </w:r>
      <w:r w:rsidRPr="00E96909">
        <w:rPr>
          <w:b/>
          <w:bCs/>
          <w:u w:val="single"/>
        </w:rPr>
        <w:t>This analysis generally excludes marine or ocean issues and international and boundary water issues</w:t>
      </w:r>
      <w:r w:rsidRPr="00E96909">
        <w:rPr>
          <w:sz w:val="16"/>
        </w:rPr>
        <w:t xml:space="preserve">, except for jointly managed dams at the U.S.-Mexican border and Environmental Protection Agency (EPA) programs along the U.S.-Mexican border. Additionally, Congress has established various economic development programs that include water supply and/or treatment projects among the categories of purposes eligible for federal assistance; however, this report does not include programs for which water-related activities are not the major focus. </w:t>
      </w:r>
      <w:r w:rsidRPr="00E96909">
        <w:rPr>
          <w:b/>
          <w:bCs/>
          <w:u w:val="single"/>
        </w:rPr>
        <w:t>Also excluded are broad environmental remediation or waste management statutes</w:t>
      </w:r>
      <w:r w:rsidRPr="00E96909">
        <w:rPr>
          <w:sz w:val="16"/>
        </w:rPr>
        <w:t xml:space="preserve">, such as the Comprehensive Environmental Response, Compensation, and Liability Act (CERCLA) and the Solid Waste Disposal Act. </w:t>
      </w:r>
      <w:r w:rsidRPr="00E96909">
        <w:rPr>
          <w:b/>
          <w:bCs/>
          <w:u w:val="single"/>
        </w:rPr>
        <w:t>Water activities affecting Indian tribes are also not uniformly addressed in the accompanying tables but instead are covered where they are known to interact with broader federal agency water-related programs and activities</w:t>
      </w:r>
      <w:r w:rsidRPr="00E96909">
        <w:rPr>
          <w:sz w:val="16"/>
        </w:rPr>
        <w:t xml:space="preserve">, such as water supply development and water quality infrastructure. Because federal environmental laws, such as the Endangered Species Act and the National Environmental Policy Act, 6 apply to all federal agencies, federal agency activities under those laws are not identified in this report. Appendix A discusses considerations in determining House and Senate committee jurisdictions and provides an example of the complexity in water topics and jurisdictional coverage. Appendix B and Appendix C present the official language from House Rule X and Senate Rule XXV, respectively, as indicators of congressional jurisdiction over water resources. Both the House and the Senate tables also address subcommittee jurisdiction, and the Senate table provides information on executive branch nominations handled by Senate committees. Appendix D provides a glossary of abbreviations for federal agencies and House and Senate committees. Program abbreviations generally are spelled out where they first occur in each table. In sum, the nine tables that make up the body of </w:t>
      </w:r>
      <w:r w:rsidRPr="00E96909">
        <w:rPr>
          <w:b/>
          <w:bCs/>
          <w:u w:val="single"/>
        </w:rPr>
        <w:t>the report define water based on the topic terms determined by CRS. These tables underscore the intricacy of the federal programs affecting water resource development, management, protection, and use</w:t>
      </w:r>
      <w:r w:rsidRPr="00E96909">
        <w:rPr>
          <w:sz w:val="16"/>
        </w:rPr>
        <w:t xml:space="preserve"> in the United States. As apparent throughout the tables, numerous standing committees in the House and Senate have jurisdiction over various components of federal water policy; moreover, committees listed here generally exclude the extensive responsibilities of the appropriations committees in both chambers, as well as the direct and indirect activities of other committees in the relevant chambers that deal with banking, taxes, and finance issues. Water Resources </w:t>
      </w:r>
      <w:r w:rsidRPr="00E96909">
        <w:rPr>
          <w:b/>
          <w:bCs/>
          <w:u w:val="single"/>
        </w:rPr>
        <w:t>Development, Management, and Use</w:t>
      </w:r>
      <w:r w:rsidRPr="00E96909">
        <w:rPr>
          <w:sz w:val="16"/>
        </w:rPr>
        <w:t xml:space="preserve"> Historically, the federal government played a large role in development of the nation’s water resources—in particular constructing large water resource </w:t>
      </w:r>
      <w:r w:rsidRPr="00E96909">
        <w:rPr>
          <w:b/>
          <w:bCs/>
          <w:u w:val="single"/>
        </w:rPr>
        <w:t>infrastructure projects</w:t>
      </w:r>
      <w:r w:rsidRPr="00E96909">
        <w:rPr>
          <w:sz w:val="16"/>
        </w:rPr>
        <w:t xml:space="preserve"> (e.g., canals, locks, levees, and dams)—</w:t>
      </w:r>
      <w:r w:rsidRPr="00E96909">
        <w:rPr>
          <w:b/>
          <w:bCs/>
          <w:u w:val="single"/>
        </w:rPr>
        <w:t>for navigation, flood damage reduction, and irrigation</w:t>
      </w:r>
      <w:r w:rsidRPr="00E96909">
        <w:rPr>
          <w:sz w:val="16"/>
        </w:rPr>
        <w:t xml:space="preserve"> water supply in the West. The largest federal </w:t>
      </w:r>
      <w:r w:rsidRPr="00E96909">
        <w:rPr>
          <w:b/>
          <w:bCs/>
          <w:u w:val="single"/>
        </w:rPr>
        <w:t>dams</w:t>
      </w:r>
      <w:r w:rsidRPr="00E96909">
        <w:rPr>
          <w:sz w:val="16"/>
        </w:rPr>
        <w:t xml:space="preserve"> typically serve multiple purposes, including those noted above, as well as producing </w:t>
      </w:r>
      <w:r w:rsidRPr="00E96909">
        <w:rPr>
          <w:b/>
          <w:bCs/>
          <w:u w:val="single"/>
        </w:rPr>
        <w:t>hydropower</w:t>
      </w:r>
      <w:r w:rsidRPr="00E96909">
        <w:rPr>
          <w:sz w:val="16"/>
        </w:rPr>
        <w:t xml:space="preserve"> and providing water supplies for municipal and industrial uses. More recently, Congress has authorized activities and programs to augment water supplies via </w:t>
      </w:r>
      <w:r w:rsidRPr="00E96909">
        <w:rPr>
          <w:b/>
          <w:bCs/>
          <w:u w:val="single"/>
        </w:rPr>
        <w:t>water conservation</w:t>
      </w:r>
      <w:r w:rsidRPr="00E96909">
        <w:rPr>
          <w:sz w:val="16"/>
        </w:rPr>
        <w:t xml:space="preserve"> programs, including groundwater recharge (aquifer storage and recovery), </w:t>
      </w:r>
      <w:r w:rsidRPr="00E96909">
        <w:rPr>
          <w:b/>
          <w:bCs/>
          <w:u w:val="single"/>
        </w:rPr>
        <w:t>and</w:t>
      </w:r>
      <w:r w:rsidRPr="00E96909">
        <w:rPr>
          <w:sz w:val="16"/>
        </w:rPr>
        <w:t xml:space="preserve"> water </w:t>
      </w:r>
      <w:r w:rsidRPr="00E96909">
        <w:rPr>
          <w:b/>
          <w:bCs/>
          <w:u w:val="single"/>
        </w:rPr>
        <w:t>reclamation</w:t>
      </w:r>
      <w:r w:rsidRPr="00E96909">
        <w:rPr>
          <w:sz w:val="16"/>
        </w:rPr>
        <w:t xml:space="preserve"> and reuse programs, </w:t>
      </w:r>
      <w:r w:rsidRPr="00E96909">
        <w:rPr>
          <w:b/>
          <w:bCs/>
          <w:u w:val="single"/>
        </w:rPr>
        <w:t>including desalination</w:t>
      </w:r>
      <w:r w:rsidRPr="00E96909">
        <w:rPr>
          <w:sz w:val="16"/>
        </w:rPr>
        <w:t xml:space="preserve">. This section focuses on federal activities related to water resource development, management, and use and includes three tables: Table 1 lists activities related to water supply and reservoir development and includes topic areas such as dams and dam safety; general water supply development; groundwater supply; irrigation assistance; rural water supply; water conservation; and water reclamation, reuse and desalination. Table 2 lists activities related to drought and flood management and includes topic areas such as drought planning, mitigation, and response; emergency flood response; flood damage reduction; and flood mitigation. Table 3 lists activities related to hydropower and navigation and includes topic areas such as federal hydropower development; nonfederal hydropower development; and navigation. Water </w:t>
      </w:r>
      <w:r w:rsidRPr="00E96909">
        <w:rPr>
          <w:b/>
          <w:bCs/>
          <w:u w:val="single"/>
        </w:rPr>
        <w:t>Quality, Protection, and Restoration</w:t>
      </w:r>
      <w:r w:rsidRPr="00E96909">
        <w:rPr>
          <w:sz w:val="16"/>
        </w:rPr>
        <w:t xml:space="preserve"> </w:t>
      </w:r>
      <w:r w:rsidRPr="00E96909">
        <w:rPr>
          <w:b/>
          <w:bCs/>
          <w:u w:val="single"/>
        </w:rPr>
        <w:t>Federal efforts</w:t>
      </w:r>
      <w:r w:rsidRPr="00E96909">
        <w:rPr>
          <w:sz w:val="16"/>
        </w:rPr>
        <w:t xml:space="preserve"> </w:t>
      </w:r>
      <w:r w:rsidRPr="00E96909">
        <w:rPr>
          <w:b/>
          <w:bCs/>
          <w:u w:val="single"/>
        </w:rPr>
        <w:t>to protect</w:t>
      </w:r>
      <w:r w:rsidRPr="00E96909">
        <w:rPr>
          <w:sz w:val="16"/>
        </w:rPr>
        <w:t xml:space="preserve"> and improve water quality and water </w:t>
      </w:r>
      <w:r w:rsidRPr="00E96909">
        <w:rPr>
          <w:b/>
          <w:bCs/>
          <w:u w:val="single"/>
        </w:rPr>
        <w:t>resources range from technical and financial assistance programs to help communities build sewage treatment and drinking water treatment works, to regulatory programs for preventing or controlling water pollution</w:t>
      </w:r>
      <w:r w:rsidRPr="00E96909">
        <w:rPr>
          <w:sz w:val="16"/>
        </w:rPr>
        <w:t>. Most federal programs focus on surface water quality, while states have a dominant role in matters related to groundwater protection. One exception is where Congress has authorized EPA to regulate the underground injection of fluids to protect underground sources of drinking water.</w:t>
      </w:r>
    </w:p>
    <w:p w14:paraId="21251B3C" w14:textId="77777777" w:rsidR="0040040A" w:rsidRDefault="0040040A" w:rsidP="0040040A">
      <w:pPr>
        <w:pStyle w:val="Heading4"/>
      </w:pPr>
      <w:r>
        <w:t xml:space="preserve">Violation—the plan creates mechanisms for pollution prevention by fostering tribal WQS but doesn’t actually act to reduce pollutants. It’s only effectually topical. </w:t>
      </w:r>
    </w:p>
    <w:p w14:paraId="279294BB" w14:textId="77777777" w:rsidR="0040040A" w:rsidRDefault="0040040A" w:rsidP="0040040A">
      <w:pPr>
        <w:pStyle w:val="Heading4"/>
      </w:pPr>
      <w:r>
        <w:t>Standards—</w:t>
      </w:r>
    </w:p>
    <w:p w14:paraId="3D608BCC" w14:textId="77777777" w:rsidR="0040040A" w:rsidRDefault="0040040A" w:rsidP="0040040A">
      <w:pPr>
        <w:pStyle w:val="Heading4"/>
        <w:numPr>
          <w:ilvl w:val="0"/>
          <w:numId w:val="12"/>
        </w:numPr>
      </w:pPr>
      <w:r>
        <w:t xml:space="preserve">Ground—they shift the scope of the debate from the act of water protections to broad environmental protection frameworks—means we can’t access our da’s and cp’s </w:t>
      </w:r>
    </w:p>
    <w:p w14:paraId="3BDFDDFD" w14:textId="77777777" w:rsidR="0040040A" w:rsidRDefault="0040040A" w:rsidP="0040040A">
      <w:pPr>
        <w:pStyle w:val="Heading4"/>
        <w:numPr>
          <w:ilvl w:val="0"/>
          <w:numId w:val="12"/>
        </w:numPr>
      </w:pPr>
      <w:r>
        <w:t>Limits—they shift the center of controversy—explodes neg burden and makes it impossible to be negative</w:t>
      </w:r>
    </w:p>
    <w:p w14:paraId="1653F453" w14:textId="77777777" w:rsidR="0040040A" w:rsidRPr="00016CE9" w:rsidRDefault="0040040A" w:rsidP="0040040A">
      <w:pPr>
        <w:pStyle w:val="Heading4"/>
      </w:pPr>
      <w:r>
        <w:t xml:space="preserve">Topicality is a voter for fairness and education </w:t>
      </w:r>
    </w:p>
    <w:p w14:paraId="66402D37" w14:textId="2F5BAF4A" w:rsidR="003F3657" w:rsidRPr="00ED0695" w:rsidRDefault="003F3657" w:rsidP="003F3657">
      <w:pPr>
        <w:pStyle w:val="Heading1"/>
        <w:rPr>
          <w:rFonts w:asciiTheme="minorHAnsi" w:hAnsiTheme="minorHAnsi" w:cstheme="minorHAnsi"/>
        </w:rPr>
      </w:pPr>
      <w:r w:rsidRPr="00ED0695">
        <w:rPr>
          <w:rFonts w:asciiTheme="minorHAnsi" w:hAnsiTheme="minorHAnsi" w:cstheme="minorHAnsi"/>
        </w:rPr>
        <w:t xml:space="preserve">CPs </w:t>
      </w:r>
    </w:p>
    <w:p w14:paraId="471375EA" w14:textId="77777777" w:rsidR="003F3657" w:rsidRPr="00ED0695" w:rsidRDefault="003F3657" w:rsidP="003F3657">
      <w:pPr>
        <w:pStyle w:val="Heading2"/>
        <w:rPr>
          <w:rFonts w:asciiTheme="minorHAnsi" w:hAnsiTheme="minorHAnsi" w:cstheme="minorHAnsi"/>
        </w:rPr>
      </w:pPr>
      <w:r w:rsidRPr="00ED0695">
        <w:rPr>
          <w:rFonts w:asciiTheme="minorHAnsi" w:hAnsiTheme="minorHAnsi" w:cstheme="minorHAnsi"/>
        </w:rPr>
        <w:t xml:space="preserve">Consult </w:t>
      </w:r>
    </w:p>
    <w:p w14:paraId="509F712B" w14:textId="77777777" w:rsidR="003F3657" w:rsidRPr="00ED0695" w:rsidRDefault="003F3657" w:rsidP="003F3657">
      <w:pPr>
        <w:pStyle w:val="Heading3"/>
        <w:rPr>
          <w:rFonts w:asciiTheme="minorHAnsi" w:hAnsiTheme="minorHAnsi" w:cstheme="minorHAnsi"/>
        </w:rPr>
      </w:pPr>
      <w:r w:rsidRPr="00ED0695">
        <w:rPr>
          <w:rFonts w:asciiTheme="minorHAnsi" w:hAnsiTheme="minorHAnsi" w:cstheme="minorHAnsi"/>
        </w:rPr>
        <w:t>1nc</w:t>
      </w:r>
    </w:p>
    <w:p w14:paraId="1F0DCD7E" w14:textId="77777777" w:rsidR="003F3657" w:rsidRPr="00ED0695" w:rsidRDefault="003F3657" w:rsidP="003F3657">
      <w:pPr>
        <w:pStyle w:val="Heading4"/>
        <w:rPr>
          <w:rFonts w:asciiTheme="minorHAnsi" w:hAnsiTheme="minorHAnsi" w:cstheme="minorHAnsi"/>
        </w:rPr>
      </w:pPr>
      <w:r w:rsidRPr="00ED0695">
        <w:rPr>
          <w:rFonts w:asciiTheme="minorHAnsi" w:hAnsiTheme="minorHAnsi" w:cstheme="minorHAnsi"/>
        </w:rPr>
        <w:t>Counterplan: The United States Federal Government should propose that, &lt;PLAN&gt; , to all Native American governments in the United States for binding consultation. The United States Federal Government should support its proposal during consultation. The United States Federal Government should abide by the results of consultation pertaining to the proposal.</w:t>
      </w:r>
    </w:p>
    <w:p w14:paraId="2D1B650F" w14:textId="77777777" w:rsidR="003F3657" w:rsidRPr="00ED0695" w:rsidRDefault="003F3657" w:rsidP="003F3657">
      <w:pPr>
        <w:pStyle w:val="Heading4"/>
        <w:rPr>
          <w:rFonts w:asciiTheme="minorHAnsi" w:hAnsiTheme="minorHAnsi" w:cstheme="minorHAnsi"/>
        </w:rPr>
      </w:pPr>
      <w:r w:rsidRPr="00ED0695">
        <w:rPr>
          <w:rFonts w:asciiTheme="minorHAnsi" w:hAnsiTheme="minorHAnsi" w:cstheme="minorHAnsi"/>
        </w:rPr>
        <w:t>The plan must be unconditional-</w:t>
      </w:r>
    </w:p>
    <w:p w14:paraId="0F00B769" w14:textId="77777777" w:rsidR="003F3657" w:rsidRPr="00ED0695" w:rsidRDefault="003F3657" w:rsidP="003F3657">
      <w:pPr>
        <w:pStyle w:val="Heading4"/>
        <w:rPr>
          <w:rFonts w:asciiTheme="minorHAnsi" w:hAnsiTheme="minorHAnsi" w:cstheme="minorHAnsi"/>
        </w:rPr>
      </w:pPr>
      <w:r w:rsidRPr="00ED0695">
        <w:rPr>
          <w:rFonts w:asciiTheme="minorHAnsi" w:hAnsiTheme="minorHAnsi" w:cstheme="minorHAnsi"/>
        </w:rPr>
        <w:t>A. Resolved means to make a firm decision</w:t>
      </w:r>
    </w:p>
    <w:p w14:paraId="2988EB25" w14:textId="77777777" w:rsidR="003F3657" w:rsidRPr="00ED0695" w:rsidRDefault="003F3657" w:rsidP="003F3657">
      <w:pPr>
        <w:pStyle w:val="Heading4"/>
        <w:rPr>
          <w:rFonts w:asciiTheme="minorHAnsi" w:hAnsiTheme="minorHAnsi" w:cstheme="minorHAnsi"/>
        </w:rPr>
      </w:pPr>
      <w:r w:rsidRPr="00ED0695">
        <w:rPr>
          <w:rFonts w:asciiTheme="minorHAnsi" w:hAnsiTheme="minorHAnsi" w:cstheme="minorHAnsi"/>
          <w:highlight w:val="yellow"/>
        </w:rPr>
        <w:t>American Heritage, 2009</w:t>
      </w:r>
    </w:p>
    <w:p w14:paraId="04B1C688" w14:textId="77777777" w:rsidR="003F3657" w:rsidRPr="00ED0695" w:rsidRDefault="003F3657" w:rsidP="003F3657">
      <w:pPr>
        <w:rPr>
          <w:rStyle w:val="StyleUnderline"/>
          <w:rFonts w:asciiTheme="minorHAnsi" w:hAnsiTheme="minorHAnsi" w:cstheme="minorHAnsi"/>
          <w:b/>
          <w:sz w:val="16"/>
        </w:rPr>
      </w:pPr>
      <w:r w:rsidRPr="00ED0695">
        <w:rPr>
          <w:rStyle w:val="StyleUnderline"/>
          <w:rFonts w:asciiTheme="minorHAnsi" w:hAnsiTheme="minorHAnsi" w:cstheme="minorHAnsi"/>
          <w:sz w:val="16"/>
        </w:rPr>
        <w:t>[American Heritage Dictionary, 4th Edition "resolved," http://dictionary.reference.com/browse/Resolved, mss]</w:t>
      </w:r>
    </w:p>
    <w:p w14:paraId="331A0BF3" w14:textId="77777777" w:rsidR="003F3657" w:rsidRPr="00ED0695" w:rsidRDefault="003F3657" w:rsidP="003F3657">
      <w:pPr>
        <w:rPr>
          <w:rStyle w:val="StyleUnderline"/>
          <w:rFonts w:asciiTheme="minorHAnsi" w:hAnsiTheme="minorHAnsi" w:cstheme="minorHAnsi"/>
          <w:sz w:val="16"/>
        </w:rPr>
      </w:pPr>
      <w:r w:rsidRPr="00ED0695">
        <w:rPr>
          <w:rStyle w:val="StyleUnderline"/>
          <w:rFonts w:asciiTheme="minorHAnsi" w:hAnsiTheme="minorHAnsi" w:cstheme="minorHAnsi"/>
          <w:sz w:val="16"/>
        </w:rPr>
        <w:t>re·solve (rĭ-zŏlv') v. tr.</w:t>
      </w:r>
    </w:p>
    <w:p w14:paraId="5947B717" w14:textId="544839C4" w:rsidR="003F3657" w:rsidRPr="00ED0695" w:rsidRDefault="003F3657" w:rsidP="003F3657">
      <w:pPr>
        <w:rPr>
          <w:rStyle w:val="StyleUnderline"/>
          <w:rFonts w:asciiTheme="minorHAnsi" w:hAnsiTheme="minorHAnsi" w:cstheme="minorHAnsi"/>
        </w:rPr>
      </w:pPr>
      <w:r w:rsidRPr="00ED0695">
        <w:rPr>
          <w:rStyle w:val="StyleUnderline"/>
          <w:rFonts w:asciiTheme="minorHAnsi" w:hAnsiTheme="minorHAnsi" w:cstheme="minorHAnsi"/>
        </w:rPr>
        <w:t>1. To make a firm decision about.</w:t>
      </w:r>
    </w:p>
    <w:p w14:paraId="2F47C28D" w14:textId="77777777" w:rsidR="003F3657" w:rsidRPr="00ED0695" w:rsidRDefault="003F3657" w:rsidP="003F3657">
      <w:pPr>
        <w:pStyle w:val="Heading4"/>
        <w:rPr>
          <w:rFonts w:asciiTheme="minorHAnsi" w:hAnsiTheme="minorHAnsi" w:cstheme="minorHAnsi"/>
        </w:rPr>
      </w:pPr>
      <w:r w:rsidRPr="00ED0695">
        <w:rPr>
          <w:rFonts w:asciiTheme="minorHAnsi" w:hAnsiTheme="minorHAnsi" w:cstheme="minorHAnsi"/>
        </w:rPr>
        <w:t>B. Should implies obligation</w:t>
      </w:r>
    </w:p>
    <w:p w14:paraId="6EFF62DA" w14:textId="77777777" w:rsidR="003F3657" w:rsidRPr="00ED0695" w:rsidRDefault="003F3657" w:rsidP="003F3657">
      <w:pPr>
        <w:pStyle w:val="Heading4"/>
        <w:rPr>
          <w:rFonts w:asciiTheme="minorHAnsi" w:hAnsiTheme="minorHAnsi" w:cstheme="minorHAnsi"/>
        </w:rPr>
      </w:pPr>
      <w:r w:rsidRPr="00ED0695">
        <w:rPr>
          <w:rFonts w:asciiTheme="minorHAnsi" w:hAnsiTheme="minorHAnsi" w:cstheme="minorHAnsi"/>
          <w:highlight w:val="yellow"/>
        </w:rPr>
        <w:t>American Heritage, 2009</w:t>
      </w:r>
    </w:p>
    <w:p w14:paraId="568037E9" w14:textId="77777777" w:rsidR="003F3657" w:rsidRPr="00ED0695" w:rsidRDefault="003F3657" w:rsidP="003F3657">
      <w:pPr>
        <w:rPr>
          <w:rStyle w:val="StyleUnderline"/>
          <w:rFonts w:asciiTheme="minorHAnsi" w:hAnsiTheme="minorHAnsi" w:cstheme="minorHAnsi"/>
          <w:b/>
          <w:sz w:val="16"/>
        </w:rPr>
      </w:pPr>
      <w:r w:rsidRPr="00ED0695">
        <w:rPr>
          <w:rStyle w:val="StyleUnderline"/>
          <w:rFonts w:asciiTheme="minorHAnsi" w:hAnsiTheme="minorHAnsi" w:cstheme="minorHAnsi"/>
          <w:sz w:val="16"/>
        </w:rPr>
        <w:t>[American Heritage Dictionary, 4th Edition, "Should," http://dictionary.reference.com/browse/should, mss]</w:t>
      </w:r>
    </w:p>
    <w:p w14:paraId="0FEDC315" w14:textId="77777777" w:rsidR="003F3657" w:rsidRPr="00ED0695" w:rsidRDefault="003F3657" w:rsidP="003F3657">
      <w:pPr>
        <w:rPr>
          <w:rStyle w:val="StyleUnderline"/>
          <w:rFonts w:asciiTheme="minorHAnsi" w:hAnsiTheme="minorHAnsi" w:cstheme="minorHAnsi"/>
          <w:sz w:val="16"/>
        </w:rPr>
      </w:pPr>
      <w:r w:rsidRPr="00ED0695">
        <w:rPr>
          <w:rStyle w:val="StyleUnderline"/>
          <w:rFonts w:asciiTheme="minorHAnsi" w:hAnsiTheme="minorHAnsi" w:cstheme="minorHAnsi"/>
          <w:sz w:val="16"/>
        </w:rPr>
        <w:t>should (shŏŏd) aux.v. Past tense of shall</w:t>
      </w:r>
    </w:p>
    <w:p w14:paraId="2F61C383" w14:textId="77777777" w:rsidR="003F3657" w:rsidRPr="00ED0695" w:rsidRDefault="003F3657" w:rsidP="003F3657">
      <w:pPr>
        <w:rPr>
          <w:rStyle w:val="StyleUnderline"/>
          <w:rFonts w:asciiTheme="minorHAnsi" w:hAnsiTheme="minorHAnsi" w:cstheme="minorHAnsi"/>
          <w:sz w:val="16"/>
        </w:rPr>
      </w:pPr>
      <w:r w:rsidRPr="00ED0695">
        <w:rPr>
          <w:rStyle w:val="StyleUnderline"/>
          <w:rFonts w:asciiTheme="minorHAnsi" w:hAnsiTheme="minorHAnsi" w:cstheme="minorHAnsi"/>
          <w:sz w:val="16"/>
        </w:rPr>
        <w:t xml:space="preserve">1. </w:t>
      </w:r>
      <w:r w:rsidRPr="00ED0695">
        <w:rPr>
          <w:rStyle w:val="StyleUnderline"/>
          <w:rFonts w:asciiTheme="minorHAnsi" w:hAnsiTheme="minorHAnsi" w:cstheme="minorHAnsi"/>
        </w:rPr>
        <w:t>Used to express obligation or duty</w:t>
      </w:r>
      <w:r w:rsidRPr="00ED0695">
        <w:rPr>
          <w:rStyle w:val="StyleUnderline"/>
          <w:rFonts w:asciiTheme="minorHAnsi" w:hAnsiTheme="minorHAnsi" w:cstheme="minorHAnsi"/>
          <w:sz w:val="16"/>
        </w:rPr>
        <w:t>: You should send her a note.</w:t>
      </w:r>
    </w:p>
    <w:p w14:paraId="6506D11F" w14:textId="16EA994F" w:rsidR="008C3F3C" w:rsidRPr="00ED0695" w:rsidRDefault="00807E0B" w:rsidP="00807E0B">
      <w:pPr>
        <w:pStyle w:val="Heading4"/>
        <w:rPr>
          <w:rFonts w:asciiTheme="minorHAnsi" w:hAnsiTheme="minorHAnsi" w:cstheme="minorHAnsi"/>
        </w:rPr>
      </w:pPr>
      <w:r>
        <w:rPr>
          <w:rFonts w:asciiTheme="minorHAnsi" w:hAnsiTheme="minorHAnsi" w:cstheme="minorHAnsi"/>
        </w:rPr>
        <w:t>That solves and is net better than the plan</w:t>
      </w:r>
    </w:p>
    <w:p w14:paraId="48B9F0D5" w14:textId="0A880A32" w:rsidR="008C3F3C" w:rsidRPr="00ED0695" w:rsidRDefault="008C3F3C" w:rsidP="008C3F3C">
      <w:pPr>
        <w:pStyle w:val="Heading4"/>
        <w:numPr>
          <w:ilvl w:val="0"/>
          <w:numId w:val="11"/>
        </w:numPr>
        <w:rPr>
          <w:rFonts w:asciiTheme="minorHAnsi" w:hAnsiTheme="minorHAnsi" w:cstheme="minorHAnsi"/>
        </w:rPr>
      </w:pPr>
      <w:r w:rsidRPr="00ED0695">
        <w:rPr>
          <w:rFonts w:asciiTheme="minorHAnsi" w:hAnsiTheme="minorHAnsi" w:cstheme="minorHAnsi"/>
        </w:rPr>
        <w:t>Tribes would say yes</w:t>
      </w:r>
    </w:p>
    <w:p w14:paraId="2058FFA3" w14:textId="77777777" w:rsidR="008C3F3C" w:rsidRPr="00ED0695" w:rsidRDefault="008C3F3C" w:rsidP="008C3F3C">
      <w:pPr>
        <w:rPr>
          <w:rFonts w:asciiTheme="minorHAnsi" w:hAnsiTheme="minorHAnsi" w:cstheme="minorHAnsi"/>
        </w:rPr>
      </w:pPr>
      <w:r w:rsidRPr="00ED0695">
        <w:rPr>
          <w:rFonts w:asciiTheme="minorHAnsi" w:hAnsiTheme="minorHAnsi" w:cstheme="minorHAnsi"/>
        </w:rPr>
        <w:t xml:space="preserve">Tarah </w:t>
      </w:r>
      <w:r w:rsidRPr="00ED0695">
        <w:rPr>
          <w:rStyle w:val="Style13ptBold"/>
          <w:rFonts w:asciiTheme="minorHAnsi" w:hAnsiTheme="minorHAnsi" w:cstheme="minorHAnsi"/>
        </w:rPr>
        <w:t>Bailey</w:t>
      </w:r>
      <w:r w:rsidRPr="00ED0695">
        <w:rPr>
          <w:rFonts w:asciiTheme="minorHAnsi" w:hAnsiTheme="minorHAnsi" w:cstheme="minorHAnsi"/>
        </w:rPr>
        <w:t xml:space="preserve">* (Winter, </w:t>
      </w:r>
      <w:r w:rsidRPr="00ED0695">
        <w:rPr>
          <w:rStyle w:val="Style13ptBold"/>
          <w:rFonts w:asciiTheme="minorHAnsi" w:hAnsiTheme="minorHAnsi" w:cstheme="minorHAnsi"/>
        </w:rPr>
        <w:t>2018</w:t>
      </w:r>
      <w:r w:rsidRPr="00ED0695">
        <w:rPr>
          <w:rFonts w:asciiTheme="minorHAnsi" w:hAnsiTheme="minorHAnsi" w:cstheme="minorHAnsi"/>
        </w:rPr>
        <w:t>). Note &amp; Comment: Consultation with American Indian Tribes: Resolving Ambiguity and Inconsistency in Government-to-Government Relations. Colorado Natural Resources, Energy &amp; Environmental Law Review, 29, 195. https://advance-lexis-com.libproxy.utdallas.edu/api/document?collection=analytical-materials&amp;id=urn:contentItem:5RX8-N1M0-00CV-H0BT-00000-00&amp;context=1516831.</w:t>
      </w:r>
    </w:p>
    <w:p w14:paraId="76228FFF" w14:textId="7127C16E" w:rsidR="008C3F3C" w:rsidRPr="00ED0695" w:rsidRDefault="008C3F3C" w:rsidP="008C3F3C">
      <w:pPr>
        <w:rPr>
          <w:rFonts w:asciiTheme="minorHAnsi" w:hAnsiTheme="minorHAnsi" w:cstheme="minorHAnsi"/>
        </w:rPr>
      </w:pPr>
      <w:r w:rsidRPr="00ED0695">
        <w:rPr>
          <w:rFonts w:asciiTheme="minorHAnsi" w:hAnsiTheme="minorHAnsi" w:cstheme="minorHAnsi"/>
        </w:rPr>
        <w:t xml:space="preserve">The Report also </w:t>
      </w:r>
      <w:r w:rsidRPr="00ED0695">
        <w:rPr>
          <w:rStyle w:val="StyleUnderline"/>
          <w:rFonts w:asciiTheme="minorHAnsi" w:hAnsiTheme="minorHAnsi" w:cstheme="minorHAnsi"/>
        </w:rPr>
        <w:t>details key principles, as expressed by the tribes themselves, for effective communication and consultation</w:t>
      </w:r>
      <w:r w:rsidRPr="00ED0695">
        <w:rPr>
          <w:rFonts w:asciiTheme="minorHAnsi" w:hAnsiTheme="minorHAnsi" w:cstheme="minorHAnsi"/>
        </w:rPr>
        <w:t xml:space="preserve">. 126Link to the text of the note </w:t>
      </w:r>
      <w:r w:rsidRPr="00ED0695">
        <w:rPr>
          <w:rStyle w:val="StyleUnderline"/>
          <w:rFonts w:asciiTheme="minorHAnsi" w:hAnsiTheme="minorHAnsi" w:cstheme="minorHAnsi"/>
        </w:rPr>
        <w:t>The tribes suggest that agencies should: (1) act consistently with tribes in their consultation process; (2) establish staff-level and leadership-level relationships with tribes; (3) initiate consultation at the earliest possible time; (4) make good faith efforts to communicate with tribe and gain [*217] a response; (5) exchange information with tribe; (6) seek to fully understand tribal concerns; and (7) customize the consultation.</w:t>
      </w:r>
      <w:r w:rsidRPr="00ED0695">
        <w:rPr>
          <w:rFonts w:asciiTheme="minorHAnsi" w:hAnsiTheme="minorHAnsi" w:cstheme="minorHAnsi"/>
        </w:rPr>
        <w:t xml:space="preserve"> 127Link to the text of the note </w:t>
      </w:r>
      <w:r w:rsidRPr="00ED0695">
        <w:rPr>
          <w:rStyle w:val="StyleUnderline"/>
          <w:rFonts w:asciiTheme="minorHAnsi" w:hAnsiTheme="minorHAnsi" w:cstheme="minorHAnsi"/>
        </w:rPr>
        <w:t>By following these key principles during consultations, federal agencies will strengthen the trust relationships with tribes, establish an open line of communication with tribes, and turn federal projects affecting tribes into a more collaborative management regime that reflects and considers tribal interest.</w:t>
      </w:r>
      <w:r w:rsidRPr="00ED0695">
        <w:rPr>
          <w:rFonts w:asciiTheme="minorHAnsi" w:hAnsiTheme="minorHAnsi" w:cstheme="minorHAnsi"/>
        </w:rPr>
        <w:t xml:space="preserve"> 128Link to the text of the note.</w:t>
      </w:r>
    </w:p>
    <w:p w14:paraId="7EA56146" w14:textId="20CF772E" w:rsidR="008C3F3C" w:rsidRPr="00ED0695" w:rsidRDefault="008C3F3C" w:rsidP="008C3F3C">
      <w:pPr>
        <w:pStyle w:val="Heading4"/>
        <w:numPr>
          <w:ilvl w:val="0"/>
          <w:numId w:val="11"/>
        </w:numPr>
        <w:rPr>
          <w:rFonts w:asciiTheme="minorHAnsi" w:hAnsiTheme="minorHAnsi" w:cstheme="minorHAnsi"/>
        </w:rPr>
      </w:pPr>
      <w:r w:rsidRPr="00ED0695">
        <w:rPr>
          <w:rFonts w:asciiTheme="minorHAnsi" w:hAnsiTheme="minorHAnsi" w:cstheme="minorHAnsi"/>
        </w:rPr>
        <w:t>D-rule--Indigenous knowledge is key to solve environmental crises that lead to extinction- BUT independently there is a moral imperative to recognize Native voices</w:t>
      </w:r>
    </w:p>
    <w:p w14:paraId="2991B9F6" w14:textId="77777777" w:rsidR="008C3F3C" w:rsidRPr="00ED0695" w:rsidRDefault="008C3F3C" w:rsidP="008C3F3C">
      <w:pPr>
        <w:rPr>
          <w:rStyle w:val="Heading4Char"/>
          <w:rFonts w:asciiTheme="minorHAnsi" w:hAnsiTheme="minorHAnsi" w:cstheme="minorHAnsi"/>
        </w:rPr>
      </w:pPr>
      <w:r w:rsidRPr="00B82515">
        <w:rPr>
          <w:rStyle w:val="Heading4Char"/>
          <w:rFonts w:asciiTheme="minorHAnsi" w:hAnsiTheme="minorHAnsi" w:cstheme="minorHAnsi"/>
        </w:rPr>
        <w:t>Suagee</w:t>
      </w:r>
      <w:r w:rsidRPr="00B82515">
        <w:rPr>
          <w:rStyle w:val="StyleUnderline"/>
          <w:rFonts w:asciiTheme="minorHAnsi" w:hAnsiTheme="minorHAnsi" w:cstheme="minorHAnsi"/>
        </w:rPr>
        <w:t>, J.D., University of North Carolina, 19</w:t>
      </w:r>
      <w:r w:rsidRPr="00B82515">
        <w:rPr>
          <w:rStyle w:val="Heading4Char"/>
          <w:rFonts w:asciiTheme="minorHAnsi" w:hAnsiTheme="minorHAnsi" w:cstheme="minorHAnsi"/>
        </w:rPr>
        <w:t>92</w:t>
      </w:r>
      <w:r w:rsidRPr="00B82515">
        <w:rPr>
          <w:rStyle w:val="StyleUnderline"/>
          <w:rFonts w:asciiTheme="minorHAnsi" w:hAnsiTheme="minorHAnsi" w:cstheme="minorHAnsi"/>
        </w:rPr>
        <w:t xml:space="preserve"> [Dean B., University of Michigan Journal of Law Reform, "Self-Determination for Indigenous Peoples at the Dawn of the Solar Age," 25 U. Mich</w:t>
      </w:r>
      <w:r w:rsidRPr="00ED0695">
        <w:rPr>
          <w:rStyle w:val="StyleUnderline"/>
          <w:rFonts w:asciiTheme="minorHAnsi" w:hAnsiTheme="minorHAnsi" w:cstheme="minorHAnsi"/>
        </w:rPr>
        <w:t>. J.L. Reform 671, l/n, accessed 12-31-10, mss]</w:t>
      </w:r>
    </w:p>
    <w:p w14:paraId="1873B6CC" w14:textId="1D348157" w:rsidR="008C3F3C" w:rsidRDefault="008C3F3C" w:rsidP="008C3F3C">
      <w:pPr>
        <w:rPr>
          <w:rStyle w:val="StyleUnderline"/>
          <w:rFonts w:asciiTheme="minorHAnsi" w:hAnsiTheme="minorHAnsi" w:cstheme="minorHAnsi"/>
          <w:sz w:val="16"/>
        </w:rPr>
      </w:pPr>
      <w:r w:rsidRPr="00ED0695">
        <w:rPr>
          <w:rStyle w:val="StyleUnderline"/>
          <w:rFonts w:asciiTheme="minorHAnsi" w:hAnsiTheme="minorHAnsi" w:cstheme="minorHAnsi"/>
        </w:rPr>
        <w:t>The global environmental crisis is real -- unless we make some fundamental changes</w:t>
      </w:r>
      <w:r w:rsidRPr="00ED0695">
        <w:rPr>
          <w:rStyle w:val="StyleUnderline"/>
          <w:rFonts w:asciiTheme="minorHAnsi" w:hAnsiTheme="minorHAnsi" w:cstheme="minorHAnsi"/>
          <w:sz w:val="16"/>
        </w:rPr>
        <w:t xml:space="preserve"> in the ways that our global economy extracts resources from the earth and gives off pollution and wastes, the </w:t>
      </w:r>
      <w:r w:rsidRPr="00ED0695">
        <w:rPr>
          <w:rStyle w:val="StyleUnderline"/>
          <w:rFonts w:asciiTheme="minorHAnsi" w:hAnsiTheme="minorHAnsi" w:cstheme="minorHAnsi"/>
        </w:rPr>
        <w:t>natural systems</w:t>
      </w:r>
      <w:r w:rsidRPr="00ED0695">
        <w:rPr>
          <w:rStyle w:val="StyleUnderline"/>
          <w:rFonts w:asciiTheme="minorHAnsi" w:hAnsiTheme="minorHAnsi" w:cstheme="minorHAnsi"/>
          <w:sz w:val="16"/>
        </w:rPr>
        <w:t xml:space="preserve"> </w:t>
      </w:r>
      <w:r w:rsidRPr="00ED0695">
        <w:rPr>
          <w:rStyle w:val="StyleUnderline"/>
          <w:rFonts w:asciiTheme="minorHAnsi" w:hAnsiTheme="minorHAnsi" w:cstheme="minorHAnsi"/>
          <w:bdr w:val="single" w:sz="4" w:space="0" w:color="auto" w:frame="1"/>
        </w:rPr>
        <w:t>that support human societies</w:t>
      </w:r>
      <w:r w:rsidRPr="00ED0695">
        <w:rPr>
          <w:rStyle w:val="StyleUnderline"/>
          <w:rFonts w:asciiTheme="minorHAnsi" w:hAnsiTheme="minorHAnsi" w:cstheme="minorHAnsi"/>
        </w:rPr>
        <w:t xml:space="preserve"> will </w:t>
      </w:r>
      <w:r w:rsidRPr="00ED0695">
        <w:rPr>
          <w:rStyle w:val="StyleUnderline"/>
          <w:rFonts w:asciiTheme="minorHAnsi" w:hAnsiTheme="minorHAnsi" w:cstheme="minorHAnsi"/>
          <w:bdr w:val="single" w:sz="4" w:space="0" w:color="auto" w:frame="1"/>
        </w:rPr>
        <w:t>collapse</w:t>
      </w:r>
      <w:r w:rsidRPr="00ED0695">
        <w:rPr>
          <w:rStyle w:val="StyleUnderline"/>
          <w:rFonts w:asciiTheme="minorHAnsi" w:hAnsiTheme="minorHAnsi" w:cstheme="minorHAnsi"/>
          <w:sz w:val="16"/>
        </w:rPr>
        <w:t xml:space="preserve">. 6 Even if we do succeed in expeditiously making the fundamental changes that are necessary, there still is no guarantee that we can avoid the widespread collapse of ecosystems. 7 In his bestselling book on the global environmental crisis, Senator Albert Gore includes some indigenous peoples [*677] among examples of "resistance fighters" who are on "the front lines of the war against nature now raging throughout the world," 8 Senator Gore argues that </w:t>
      </w:r>
      <w:r w:rsidRPr="00ED0695">
        <w:rPr>
          <w:rStyle w:val="StyleUnderline"/>
          <w:rFonts w:asciiTheme="minorHAnsi" w:hAnsiTheme="minorHAnsi" w:cstheme="minorHAnsi"/>
        </w:rPr>
        <w:t>the global environmental crisis is "rooted in the dysfunctional pattern of our civilization's relationship to the natural world</w:t>
      </w:r>
      <w:r w:rsidRPr="00ED0695">
        <w:rPr>
          <w:rStyle w:val="StyleUnderline"/>
          <w:rFonts w:asciiTheme="minorHAnsi" w:hAnsiTheme="minorHAnsi" w:cstheme="minorHAnsi"/>
          <w:sz w:val="16"/>
        </w:rPr>
        <w:t xml:space="preserve">," 9 </w:t>
      </w:r>
      <w:r w:rsidRPr="00ED0695">
        <w:rPr>
          <w:rStyle w:val="StyleUnderline"/>
          <w:rFonts w:asciiTheme="minorHAnsi" w:hAnsiTheme="minorHAnsi" w:cstheme="minorHAnsi"/>
        </w:rPr>
        <w:t>in which people have lost their sense of connection to the natural world</w:t>
      </w:r>
      <w:r w:rsidRPr="00ED0695">
        <w:rPr>
          <w:rStyle w:val="StyleUnderline"/>
          <w:rFonts w:asciiTheme="minorHAnsi" w:hAnsiTheme="minorHAnsi" w:cstheme="minorHAnsi"/>
          <w:sz w:val="16"/>
        </w:rPr>
        <w:t xml:space="preserve">. He believes that healing the damage we have done to the earth and changing our dysfunctional civilization into one that is based on stewardship rather than exploitation must be, in essence, spiritual endeavors. 10 </w:t>
      </w:r>
      <w:r w:rsidRPr="00ED0695">
        <w:rPr>
          <w:rStyle w:val="StyleUnderline"/>
          <w:rFonts w:asciiTheme="minorHAnsi" w:hAnsiTheme="minorHAnsi" w:cstheme="minorHAnsi"/>
        </w:rPr>
        <w:t>Indigenous peoples</w:t>
      </w:r>
      <w:r w:rsidRPr="00ED0695">
        <w:rPr>
          <w:rStyle w:val="StyleUnderline"/>
          <w:rFonts w:asciiTheme="minorHAnsi" w:hAnsiTheme="minorHAnsi" w:cstheme="minorHAnsi"/>
          <w:sz w:val="16"/>
        </w:rPr>
        <w:t xml:space="preserve">, where their cultures remain substantially intact, </w:t>
      </w:r>
      <w:r w:rsidRPr="00ED0695">
        <w:rPr>
          <w:rStyle w:val="StyleUnderline"/>
          <w:rFonts w:asciiTheme="minorHAnsi" w:hAnsiTheme="minorHAnsi" w:cstheme="minorHAnsi"/>
        </w:rPr>
        <w:t>have not lost their spiritual connections to the natural world</w:t>
      </w:r>
      <w:r w:rsidRPr="00ED0695">
        <w:rPr>
          <w:rStyle w:val="StyleUnderline"/>
          <w:rFonts w:asciiTheme="minorHAnsi" w:hAnsiTheme="minorHAnsi" w:cstheme="minorHAnsi"/>
          <w:sz w:val="16"/>
        </w:rPr>
        <w:t xml:space="preserve">. Rather, </w:t>
      </w:r>
      <w:r w:rsidRPr="00ED0695">
        <w:rPr>
          <w:rStyle w:val="StyleUnderline"/>
          <w:rFonts w:asciiTheme="minorHAnsi" w:hAnsiTheme="minorHAnsi" w:cstheme="minorHAnsi"/>
        </w:rPr>
        <w:t>they maintain connections to the natural world</w:t>
      </w:r>
      <w:r w:rsidRPr="00ED0695">
        <w:rPr>
          <w:rStyle w:val="StyleUnderline"/>
          <w:rFonts w:asciiTheme="minorHAnsi" w:hAnsiTheme="minorHAnsi" w:cstheme="minorHAnsi"/>
          <w:sz w:val="16"/>
        </w:rPr>
        <w:t xml:space="preserve">. Rather, </w:t>
      </w:r>
      <w:r w:rsidRPr="00ED0695">
        <w:rPr>
          <w:rStyle w:val="StyleUnderline"/>
          <w:rFonts w:asciiTheme="minorHAnsi" w:hAnsiTheme="minorHAnsi" w:cstheme="minorHAnsi"/>
        </w:rPr>
        <w:t xml:space="preserve">they maintain connections to the earth which are fundamentally sacred in nature, and they know a great deal about stewardship that could be of benefit </w:t>
      </w:r>
      <w:r w:rsidRPr="00ED0695">
        <w:rPr>
          <w:rStyle w:val="StyleUnderline"/>
          <w:rFonts w:asciiTheme="minorHAnsi" w:hAnsiTheme="minorHAnsi" w:cstheme="minorHAnsi"/>
          <w:bdr w:val="single" w:sz="4" w:space="0" w:color="auto" w:frame="1"/>
        </w:rPr>
        <w:t>to the rest of humankind</w:t>
      </w:r>
      <w:r w:rsidRPr="00ED0695">
        <w:rPr>
          <w:rStyle w:val="StyleUnderline"/>
          <w:rFonts w:asciiTheme="minorHAnsi" w:hAnsiTheme="minorHAnsi" w:cstheme="minorHAnsi"/>
          <w:sz w:val="16"/>
        </w:rPr>
        <w:t xml:space="preserve">. 11 Over the next several decades, sustainable energy technologies will figure prominently in a worldwide social movement -- the "sustainability revolution" -- that will change human life on earth as profoundly as did the agricultural revolution of eight thousand years ago or the industrial revolution of two hundred years ago. 12 The natural world will be changed profoundly in any event, through global warming, the loss of biodiversity, the thinning of the ozone layer, and other global trends that are already underway. </w:t>
      </w:r>
      <w:r w:rsidRPr="00ED0695">
        <w:rPr>
          <w:rStyle w:val="StyleUnderline"/>
          <w:rFonts w:asciiTheme="minorHAnsi" w:hAnsiTheme="minorHAnsi" w:cstheme="minorHAnsi"/>
        </w:rPr>
        <w:t>If humankind is to accomplish the sustainability revolution, we need to be able to envision a future world in which we would like to live and which we would wish for future generations</w:t>
      </w:r>
      <w:r w:rsidRPr="00ED0695">
        <w:rPr>
          <w:rStyle w:val="StyleUnderline"/>
          <w:rFonts w:asciiTheme="minorHAnsi" w:hAnsiTheme="minorHAnsi" w:cstheme="minorHAnsi"/>
          <w:sz w:val="16"/>
        </w:rPr>
        <w:t xml:space="preserve">. 13 Our collective vision of </w:t>
      </w:r>
      <w:r w:rsidRPr="00ED0695">
        <w:rPr>
          <w:rStyle w:val="StyleUnderline"/>
          <w:rFonts w:asciiTheme="minorHAnsi" w:hAnsiTheme="minorHAnsi" w:cstheme="minorHAnsi"/>
        </w:rPr>
        <w:t>a sustainable future</w:t>
      </w:r>
      <w:r w:rsidRPr="00ED0695">
        <w:rPr>
          <w:rStyle w:val="StyleUnderline"/>
          <w:rFonts w:asciiTheme="minorHAnsi" w:hAnsiTheme="minorHAnsi" w:cstheme="minorHAnsi"/>
          <w:sz w:val="16"/>
        </w:rPr>
        <w:t xml:space="preserve"> also </w:t>
      </w:r>
      <w:r w:rsidRPr="00ED0695">
        <w:rPr>
          <w:rStyle w:val="StyleUnderline"/>
          <w:rFonts w:asciiTheme="minorHAnsi" w:hAnsiTheme="minorHAnsi" w:cstheme="minorHAnsi"/>
        </w:rPr>
        <w:t>must include</w:t>
      </w:r>
      <w:r w:rsidRPr="00ED0695">
        <w:rPr>
          <w:rStyle w:val="StyleUnderline"/>
          <w:rFonts w:asciiTheme="minorHAnsi" w:hAnsiTheme="minorHAnsi" w:cstheme="minorHAnsi"/>
          <w:sz w:val="16"/>
        </w:rPr>
        <w:t xml:space="preserve"> room for the remaining </w:t>
      </w:r>
      <w:r w:rsidRPr="00ED0695">
        <w:rPr>
          <w:rStyle w:val="StyleUnderline"/>
          <w:rFonts w:asciiTheme="minorHAnsi" w:hAnsiTheme="minorHAnsi" w:cstheme="minorHAnsi"/>
        </w:rPr>
        <w:t>indigenous peoples</w:t>
      </w:r>
      <w:r w:rsidRPr="00ED0695">
        <w:rPr>
          <w:rStyle w:val="StyleUnderline"/>
          <w:rFonts w:asciiTheme="minorHAnsi" w:hAnsiTheme="minorHAnsi" w:cstheme="minorHAnsi"/>
          <w:sz w:val="16"/>
        </w:rPr>
        <w:t xml:space="preserve"> of the world to carry on their ancient cultures and to decide for themselves how much of the "modern" world to allow into their cultures. In addition to challenging readers to help make the principle of self-determination a reality for indigenous peoples, this [*678] Article challenges indigenous leaders, especially those in the United States, to help formulate our collective vision of a sustainable future and to provide leadership in making that vision a reality. 14 The United Nations has designated 1993 the International Year for the World's Indigenous Peoples, 15 and this event will provide tribal leaders with opportunities to have their voices heard. Tribal leaders in the United States should take full advantage of these opportunities and step to the forefront of the movement to hasten the dawning of the solar age. I. HUMAN RIGHTS FOR INDIGENOUS PEOPLES All over the world, indigenous peoples 16 are fighting for their lives and for their ways of life. 17 Some indigenous peoples have been engaged in these struggles for hundreds of years, while other peoples, because of the remoteness of the environments in which they live, have been spared from such struggles until more recent times. But remoteness no longer ensures protection. The industrialized countries of the world and transnational corporations now have the technological capability to extract oil from the once untouchable Arctic and Amazon, to build massive hydropower dams, to rearrange river systems from the tundra to the tropics, and to clearcut forests virtually anywhere in the world. The governments of the less developed countries also have access to this brutal technological capability. </w:t>
      </w:r>
      <w:r w:rsidRPr="00ED0695">
        <w:rPr>
          <w:rStyle w:val="StyleUnderline"/>
          <w:rFonts w:asciiTheme="minorHAnsi" w:hAnsiTheme="minorHAnsi" w:cstheme="minorHAnsi"/>
        </w:rPr>
        <w:t>The economies, the cultures, and the religious world views of indigenous peoples are based upon the environments in</w:t>
      </w:r>
      <w:r w:rsidRPr="00ED0695">
        <w:rPr>
          <w:rStyle w:val="StyleUnderline"/>
          <w:rFonts w:asciiTheme="minorHAnsi" w:hAnsiTheme="minorHAnsi" w:cstheme="minorHAnsi"/>
          <w:sz w:val="16"/>
        </w:rPr>
        <w:t xml:space="preserve"> [*679] </w:t>
      </w:r>
      <w:r w:rsidRPr="00ED0695">
        <w:rPr>
          <w:rStyle w:val="StyleUnderline"/>
          <w:rFonts w:asciiTheme="minorHAnsi" w:hAnsiTheme="minorHAnsi" w:cstheme="minorHAnsi"/>
        </w:rPr>
        <w:t>which they live</w:t>
      </w:r>
      <w:r w:rsidRPr="00ED0695">
        <w:rPr>
          <w:rStyle w:val="StyleUnderline"/>
          <w:rFonts w:asciiTheme="minorHAnsi" w:hAnsiTheme="minorHAnsi" w:cstheme="minorHAnsi"/>
          <w:sz w:val="16"/>
        </w:rPr>
        <w:t xml:space="preserve">. 18 The </w:t>
      </w:r>
      <w:r w:rsidRPr="00ED0695">
        <w:rPr>
          <w:rStyle w:val="StyleUnderline"/>
          <w:rFonts w:asciiTheme="minorHAnsi" w:hAnsiTheme="minorHAnsi" w:cstheme="minorHAnsi"/>
        </w:rPr>
        <w:t>destruction</w:t>
      </w:r>
      <w:r w:rsidRPr="00ED0695">
        <w:rPr>
          <w:rStyle w:val="StyleUnderline"/>
          <w:rFonts w:asciiTheme="minorHAnsi" w:hAnsiTheme="minorHAnsi" w:cstheme="minorHAnsi"/>
          <w:sz w:val="16"/>
        </w:rPr>
        <w:t xml:space="preserve"> of these environments </w:t>
      </w:r>
      <w:r w:rsidRPr="00ED0695">
        <w:rPr>
          <w:rStyle w:val="StyleUnderline"/>
          <w:rFonts w:asciiTheme="minorHAnsi" w:hAnsiTheme="minorHAnsi" w:cstheme="minorHAnsi"/>
        </w:rPr>
        <w:t>renders the survival of these peoples</w:t>
      </w:r>
      <w:r w:rsidRPr="00ED0695">
        <w:rPr>
          <w:rStyle w:val="StyleUnderline"/>
          <w:rFonts w:asciiTheme="minorHAnsi" w:hAnsiTheme="minorHAnsi" w:cstheme="minorHAnsi"/>
          <w:sz w:val="16"/>
        </w:rPr>
        <w:t xml:space="preserve"> as distinct societies difficult or </w:t>
      </w:r>
      <w:r w:rsidRPr="00ED0695">
        <w:rPr>
          <w:rStyle w:val="StyleUnderline"/>
          <w:rFonts w:asciiTheme="minorHAnsi" w:hAnsiTheme="minorHAnsi" w:cstheme="minorHAnsi"/>
          <w:bdr w:val="single" w:sz="4" w:space="0" w:color="auto" w:frame="1"/>
        </w:rPr>
        <w:t>impossible</w:t>
      </w:r>
      <w:r w:rsidRPr="00ED0695">
        <w:rPr>
          <w:rStyle w:val="StyleUnderline"/>
          <w:rFonts w:asciiTheme="minorHAnsi" w:hAnsiTheme="minorHAnsi" w:cstheme="minorHAnsi"/>
          <w:sz w:val="16"/>
        </w:rPr>
        <w:t xml:space="preserve">. Despite the forces that threaten their survival, however, indigenous peoples in many parts of the world somehow have managed to carry on. With a total estimated population of some 200 to 300 million, indigenous peoples constitute about four or five percent of the world's population. 19 Even though indigenous peoples are minority cultures, 20 they rightly insist that we draw a distinction between them and ethnic or national minorities. Generally, the distinction reflects the legacy of the age of colonialism. One definition of the term "indigenous" was proposed by the Special Rapporteur on the Problem of Discrimination against Indigenous Populations, who was appointed under the auspices of the United Nations Sub-Commission on Prevention of Discrimination and Protection of Minorities: Indigenous communities, peoples and nations are those which, having a historical continuity with pre-invasion and pre-colonial societies that developed on their territories, consider themselves distinct from other sectors of the societies now prevailing in those territories, or parts of them. They form at present non-dominant sectors of society and are determined to preserve, develop and transmit to future generations their ancestral territories, [*680] and their ethnic identity, as the basis of their continued existence as peoples, in accordance with their own cultural patterns, social institutions and legal systems. 21 Although no commonly accepted definition of indigenous peoples has yet been fashioned, 22 the Special Rapporteur's definition includes some of the key concepts that fit most cases. Particularly, it includes the concepts that indigenous peoples identify themselves as indigenous, that their ways of life are tied to their ancestral territories, that peoples who are relative newcomers exercise some degree of political domination over them, and that they are determined to remain distinct peoples. Although some of these factors also apply to many ethnic minorities, the cultural connection to ancestral lands generally serves to distinguish indigenous peoples from ethnic minorities. 23 </w:t>
      </w:r>
      <w:r w:rsidRPr="00ED0695">
        <w:rPr>
          <w:rStyle w:val="StyleUnderline"/>
          <w:rFonts w:asciiTheme="minorHAnsi" w:hAnsiTheme="minorHAnsi" w:cstheme="minorHAnsi"/>
        </w:rPr>
        <w:t>All over the world, indigenous peoples express their connection to their lands and their respect for the environment in spiritual terms</w:t>
      </w:r>
      <w:r w:rsidRPr="00ED0695">
        <w:rPr>
          <w:rStyle w:val="StyleUnderline"/>
          <w:rFonts w:asciiTheme="minorHAnsi" w:hAnsiTheme="minorHAnsi" w:cstheme="minorHAnsi"/>
          <w:sz w:val="16"/>
        </w:rPr>
        <w:t xml:space="preserve">. 24 </w:t>
      </w:r>
      <w:r w:rsidRPr="00ED0695">
        <w:rPr>
          <w:rStyle w:val="StyleUnderline"/>
          <w:rFonts w:asciiTheme="minorHAnsi" w:hAnsiTheme="minorHAnsi" w:cstheme="minorHAnsi"/>
        </w:rPr>
        <w:t>They provide living proof that it is possible</w:t>
      </w:r>
      <w:r w:rsidRPr="00ED0695">
        <w:rPr>
          <w:rStyle w:val="StyleUnderline"/>
          <w:rFonts w:asciiTheme="minorHAnsi" w:hAnsiTheme="minorHAnsi" w:cstheme="minorHAnsi"/>
          <w:sz w:val="16"/>
        </w:rPr>
        <w:t xml:space="preserve"> [*681] </w:t>
      </w:r>
      <w:r w:rsidRPr="00ED0695">
        <w:rPr>
          <w:rStyle w:val="StyleUnderline"/>
          <w:rFonts w:asciiTheme="minorHAnsi" w:hAnsiTheme="minorHAnsi" w:cstheme="minorHAnsi"/>
        </w:rPr>
        <w:t>for human societies to provide for their needs over countless generations without destroying the ecosystems on which they depend</w:t>
      </w:r>
      <w:r w:rsidRPr="00ED0695">
        <w:rPr>
          <w:rStyle w:val="StyleUnderline"/>
          <w:rFonts w:asciiTheme="minorHAnsi" w:hAnsiTheme="minorHAnsi" w:cstheme="minorHAnsi"/>
          <w:sz w:val="16"/>
        </w:rPr>
        <w:t xml:space="preserve">, and that religious teachings can serve at least as well as science in setting the rules for living in balance with the natural world. Although some indigenous peoples do not face imminent threats to their survival as distinct peoples, many do, and the forces that threaten them are largely beyond their control. </w:t>
      </w:r>
      <w:r w:rsidRPr="00ED0695">
        <w:rPr>
          <w:rStyle w:val="StyleUnderline"/>
          <w:rFonts w:asciiTheme="minorHAnsi" w:hAnsiTheme="minorHAnsi" w:cstheme="minorHAnsi"/>
        </w:rPr>
        <w:t>To a large extent, the peoples of the industrialized</w:t>
      </w:r>
      <w:r w:rsidRPr="00ED0695">
        <w:rPr>
          <w:rStyle w:val="StyleUnderline"/>
          <w:rFonts w:asciiTheme="minorHAnsi" w:hAnsiTheme="minorHAnsi" w:cstheme="minorHAnsi"/>
          <w:sz w:val="16"/>
        </w:rPr>
        <w:t xml:space="preserve"> (and industrializing) </w:t>
      </w:r>
      <w:r w:rsidRPr="00ED0695">
        <w:rPr>
          <w:rStyle w:val="StyleUnderline"/>
          <w:rFonts w:asciiTheme="minorHAnsi" w:hAnsiTheme="minorHAnsi" w:cstheme="minorHAnsi"/>
        </w:rPr>
        <w:t>world have the power to decide whether indigenous peoples will survive. Utilitarian reasons can be advanced for ensuring indigenous peoples' survival.</w:t>
      </w:r>
      <w:r w:rsidRPr="00ED0695">
        <w:rPr>
          <w:rStyle w:val="StyleUnderline"/>
          <w:rFonts w:asciiTheme="minorHAnsi" w:hAnsiTheme="minorHAnsi" w:cstheme="minorHAnsi"/>
          <w:sz w:val="16"/>
        </w:rPr>
        <w:t xml:space="preserve"> For instance, we can learn from their experience in balancing human needs with environmental preservation and from their knowledge of herbal medicine. To do this, however, </w:t>
      </w:r>
      <w:r w:rsidRPr="00ED0695">
        <w:rPr>
          <w:rStyle w:val="StyleUnderline"/>
          <w:rFonts w:asciiTheme="minorHAnsi" w:hAnsiTheme="minorHAnsi" w:cstheme="minorHAnsi"/>
        </w:rPr>
        <w:t>we need to take some time to appreciate the subtleties of teachings which have been handed down over countless generations since mythic time</w:t>
      </w:r>
      <w:r w:rsidRPr="00ED0695">
        <w:rPr>
          <w:rStyle w:val="StyleUnderline"/>
          <w:rFonts w:asciiTheme="minorHAnsi" w:hAnsiTheme="minorHAnsi" w:cstheme="minorHAnsi"/>
          <w:sz w:val="16"/>
        </w:rPr>
        <w:t xml:space="preserve">. </w:t>
      </w:r>
      <w:r w:rsidRPr="00ED0695">
        <w:rPr>
          <w:rStyle w:val="StyleUnderline"/>
          <w:rFonts w:asciiTheme="minorHAnsi" w:hAnsiTheme="minorHAnsi" w:cstheme="minorHAnsi"/>
        </w:rPr>
        <w:t>At another level</w:t>
      </w:r>
      <w:r w:rsidRPr="00ED0695">
        <w:rPr>
          <w:rStyle w:val="StyleUnderline"/>
          <w:rFonts w:asciiTheme="minorHAnsi" w:hAnsiTheme="minorHAnsi" w:cstheme="minorHAnsi"/>
          <w:sz w:val="16"/>
        </w:rPr>
        <w:t xml:space="preserve">, however, </w:t>
      </w:r>
      <w:r w:rsidRPr="00ED0695">
        <w:rPr>
          <w:rStyle w:val="StyleUnderline"/>
          <w:rFonts w:asciiTheme="minorHAnsi" w:hAnsiTheme="minorHAnsi" w:cstheme="minorHAnsi"/>
        </w:rPr>
        <w:t>one can argue that we should not be governed by utilitarian thinking alone. We should act instead on principle. Indigenous peoples are part of the human family and we should treat them as such. We should recognize that they are entitled to</w:t>
      </w:r>
      <w:r w:rsidRPr="00ED0695">
        <w:rPr>
          <w:rStyle w:val="StyleUnderline"/>
          <w:rFonts w:asciiTheme="minorHAnsi" w:hAnsiTheme="minorHAnsi" w:cstheme="minorHAnsi"/>
          <w:sz w:val="16"/>
        </w:rPr>
        <w:t xml:space="preserve"> human </w:t>
      </w:r>
      <w:r w:rsidRPr="00ED0695">
        <w:rPr>
          <w:rStyle w:val="StyleUnderline"/>
          <w:rFonts w:asciiTheme="minorHAnsi" w:hAnsiTheme="minorHAnsi" w:cstheme="minorHAnsi"/>
        </w:rPr>
        <w:t>rights</w:t>
      </w:r>
      <w:r w:rsidRPr="00ED0695">
        <w:rPr>
          <w:rStyle w:val="StyleUnderline"/>
          <w:rFonts w:asciiTheme="minorHAnsi" w:hAnsiTheme="minorHAnsi" w:cstheme="minorHAnsi"/>
          <w:sz w:val="16"/>
        </w:rPr>
        <w:t xml:space="preserve"> under international law </w:t>
      </w:r>
      <w:r w:rsidRPr="00ED0695">
        <w:rPr>
          <w:rStyle w:val="StyleUnderline"/>
          <w:rFonts w:asciiTheme="minorHAnsi" w:hAnsiTheme="minorHAnsi" w:cstheme="minorHAnsi"/>
        </w:rPr>
        <w:t>as a matter of principle</w:t>
      </w:r>
      <w:r w:rsidRPr="00ED0695">
        <w:rPr>
          <w:rStyle w:val="StyleUnderline"/>
          <w:rFonts w:asciiTheme="minorHAnsi" w:hAnsiTheme="minorHAnsi" w:cstheme="minorHAnsi"/>
          <w:sz w:val="16"/>
        </w:rPr>
        <w:t>.</w:t>
      </w:r>
    </w:p>
    <w:p w14:paraId="13F60759" w14:textId="77777777" w:rsidR="00C75EDC" w:rsidRPr="00ED0695" w:rsidRDefault="00C75EDC" w:rsidP="00C75EDC">
      <w:pPr>
        <w:pStyle w:val="Heading3"/>
        <w:rPr>
          <w:rFonts w:asciiTheme="minorHAnsi" w:hAnsiTheme="minorHAnsi" w:cstheme="minorHAnsi"/>
        </w:rPr>
      </w:pPr>
      <w:r>
        <w:rPr>
          <w:rFonts w:asciiTheme="minorHAnsi" w:hAnsiTheme="minorHAnsi" w:cstheme="minorHAnsi"/>
        </w:rPr>
        <w:t>2nc</w:t>
      </w:r>
      <w:r w:rsidRPr="00ED0695">
        <w:rPr>
          <w:rFonts w:asciiTheme="minorHAnsi" w:hAnsiTheme="minorHAnsi" w:cstheme="minorHAnsi"/>
        </w:rPr>
        <w:t>-</w:t>
      </w:r>
      <w:r>
        <w:rPr>
          <w:rFonts w:asciiTheme="minorHAnsi" w:hAnsiTheme="minorHAnsi" w:cstheme="minorHAnsi"/>
        </w:rPr>
        <w:t xml:space="preserve"> </w:t>
      </w:r>
      <w:r w:rsidRPr="00ED0695">
        <w:rPr>
          <w:rFonts w:asciiTheme="minorHAnsi" w:hAnsiTheme="minorHAnsi" w:cstheme="minorHAnsi"/>
        </w:rPr>
        <w:t xml:space="preserve">Solvency </w:t>
      </w:r>
    </w:p>
    <w:p w14:paraId="6084A6DD" w14:textId="77777777" w:rsidR="00C75EDC" w:rsidRPr="00ED0695" w:rsidRDefault="00C75EDC" w:rsidP="00C75EDC">
      <w:pPr>
        <w:pStyle w:val="Heading4"/>
        <w:rPr>
          <w:rFonts w:asciiTheme="minorHAnsi" w:hAnsiTheme="minorHAnsi" w:cstheme="minorHAnsi"/>
        </w:rPr>
      </w:pPr>
      <w:r w:rsidRPr="00ED0695">
        <w:rPr>
          <w:rFonts w:asciiTheme="minorHAnsi" w:hAnsiTheme="minorHAnsi" w:cstheme="minorHAnsi"/>
        </w:rPr>
        <w:t xml:space="preserve">Must have a genuine consultative framework—if the plan is going to solve </w:t>
      </w:r>
    </w:p>
    <w:p w14:paraId="5C025BB4" w14:textId="77777777" w:rsidR="00C75EDC" w:rsidRPr="00ED0695" w:rsidRDefault="00C75EDC" w:rsidP="00C75EDC">
      <w:pPr>
        <w:rPr>
          <w:rFonts w:asciiTheme="minorHAnsi" w:hAnsiTheme="minorHAnsi" w:cstheme="minorHAnsi"/>
        </w:rPr>
      </w:pPr>
      <w:r w:rsidRPr="00ED0695">
        <w:rPr>
          <w:rFonts w:asciiTheme="minorHAnsi" w:hAnsiTheme="minorHAnsi" w:cstheme="minorHAnsi"/>
        </w:rPr>
        <w:t xml:space="preserve">Elizabeth Kronk </w:t>
      </w:r>
      <w:r w:rsidRPr="00ED0695">
        <w:rPr>
          <w:rStyle w:val="Style13ptBold"/>
          <w:rFonts w:asciiTheme="minorHAnsi" w:hAnsiTheme="minorHAnsi" w:cstheme="minorHAnsi"/>
        </w:rPr>
        <w:t>Warner</w:t>
      </w:r>
      <w:r w:rsidRPr="00ED0695">
        <w:rPr>
          <w:rFonts w:asciiTheme="minorHAnsi" w:hAnsiTheme="minorHAnsi" w:cstheme="minorHAnsi"/>
        </w:rPr>
        <w:t>, 3-15-</w:t>
      </w:r>
      <w:r w:rsidRPr="00ED0695">
        <w:rPr>
          <w:rStyle w:val="Style13ptBold"/>
          <w:rFonts w:asciiTheme="minorHAnsi" w:hAnsiTheme="minorHAnsi" w:cstheme="minorHAnsi"/>
        </w:rPr>
        <w:t>2021</w:t>
      </w:r>
      <w:r w:rsidRPr="00ED0695">
        <w:rPr>
          <w:rFonts w:asciiTheme="minorHAnsi" w:hAnsiTheme="minorHAnsi" w:cstheme="minorHAnsi"/>
        </w:rPr>
        <w:t xml:space="preserve">, "Complicated Environmental Regulation in Indian Country," </w:t>
      </w:r>
      <w:hyperlink r:id="rId13" w:history="1">
        <w:r w:rsidRPr="00ED0695">
          <w:rPr>
            <w:rStyle w:val="Hyperlink"/>
            <w:rFonts w:asciiTheme="minorHAnsi" w:hAnsiTheme="minorHAnsi" w:cstheme="minorHAnsi"/>
          </w:rPr>
          <w:t>https://www.theregreview.org/2021/03/15/kronk-warner-environmental-regulation-indian-country/</w:t>
        </w:r>
      </w:hyperlink>
      <w:r w:rsidRPr="00ED0695">
        <w:rPr>
          <w:rFonts w:asciiTheme="minorHAnsi" w:hAnsiTheme="minorHAnsi" w:cstheme="minorHAnsi"/>
        </w:rPr>
        <w:t xml:space="preserve">, Elizabeth Kronk Warner is the Jefferson B. &amp; Rita E. Fordham Presidential Dean at the S.J. Quinney College of Law, University of Utah, </w:t>
      </w:r>
    </w:p>
    <w:p w14:paraId="6184E60D" w14:textId="77777777" w:rsidR="00C75EDC" w:rsidRPr="00ED0695" w:rsidRDefault="00C75EDC" w:rsidP="00C75EDC">
      <w:pPr>
        <w:rPr>
          <w:rStyle w:val="StyleUnderline"/>
          <w:rFonts w:asciiTheme="minorHAnsi" w:hAnsiTheme="minorHAnsi" w:cstheme="minorHAnsi"/>
        </w:rPr>
      </w:pPr>
      <w:r w:rsidRPr="00ED0695">
        <w:rPr>
          <w:rStyle w:val="StyleUnderline"/>
          <w:rFonts w:asciiTheme="minorHAnsi" w:hAnsiTheme="minorHAnsi" w:cstheme="minorHAnsi"/>
        </w:rPr>
        <w:t xml:space="preserve">Federal and state environmental regulations ignore and exclude Native perspectives. It is complicated! This common euphemism could not be more apropos for describing environmental regulation in Indian country. Tribal, federal, and state governments may all have regulatory authority in Indian country depending on the subject matter, which means that confusion and uncertainty are not uncommon. The environmental regulatory scheme that applies to Indian country demonstrates this point, and this scheme also reveals how existing systems of power ignore and exclude tribal governments from effective environmental regulation. </w:t>
      </w:r>
      <w:r w:rsidRPr="00C75EDC">
        <w:rPr>
          <w:rFonts w:asciiTheme="minorHAnsi" w:hAnsiTheme="minorHAnsi" w:cstheme="minorHAnsi"/>
          <w:sz w:val="14"/>
        </w:rPr>
        <w:t xml:space="preserve">We start with tribal sovereignty. Tribal sovereignty persists unless it has been explicitly divested by the U.S. Congress or unless the federal courts have found an implicit divestiture of this authority. In the realm of environmental law, tribes possess the capacity to regulate unless they have been divested, and this regulatory authority is the strongest over a tribe’s own citizens and territory. </w:t>
      </w:r>
      <w:r w:rsidRPr="00ED0695">
        <w:rPr>
          <w:rStyle w:val="StyleUnderline"/>
          <w:rFonts w:asciiTheme="minorHAnsi" w:hAnsiTheme="minorHAnsi" w:cstheme="minorHAnsi"/>
        </w:rPr>
        <w:t>It is not uncommon, however, for non-Indians to bring environmental pollution to tribal communities.</w:t>
      </w:r>
      <w:r w:rsidRPr="00C75EDC">
        <w:rPr>
          <w:rFonts w:asciiTheme="minorHAnsi" w:hAnsiTheme="minorHAnsi" w:cstheme="minorHAnsi"/>
          <w:sz w:val="14"/>
        </w:rPr>
        <w:t xml:space="preserve"> For example, non-Native polluters target Indian country for waste disposal and for the establishment of polluting industries, such as natural resource extraction. Tribes may want to regulate non-Indians and non-Indian-owned land that may be located within Indian country to mitigate the effects of pollution in their communities. Starting in 1981, however, </w:t>
      </w:r>
      <w:r w:rsidRPr="00ED0695">
        <w:rPr>
          <w:rStyle w:val="StyleUnderline"/>
          <w:rFonts w:asciiTheme="minorHAnsi" w:hAnsiTheme="minorHAnsi" w:cstheme="minorHAnsi"/>
        </w:rPr>
        <w:t>the U.S. Supreme Court found that tribal governments no longer had the authority to regulate non-Indians on non-Indian land within Indian country</w:t>
      </w:r>
      <w:r w:rsidRPr="00C75EDC">
        <w:rPr>
          <w:rFonts w:asciiTheme="minorHAnsi" w:hAnsiTheme="minorHAnsi" w:cstheme="minorHAnsi"/>
          <w:sz w:val="14"/>
        </w:rPr>
        <w:t xml:space="preserve">, unless one of two exceptions applied. In Montana v. United States, the Court declined to authorize general tribal regulatory authority over non-Indians despite the reality that non-Indian actions within Indian country could have significant ramifications, especially in the environmental context. The Court explained that a tribal government could only regulate where, first, a consensual agreement existed—that is, where the non-Indian actor agreed to the regulation. The Court also recognized, however, that a tribe “may also retain inherent power to exercise civil authority over the conduct of non-Indians on fee lands within its reservation when that conduct threatens or has some direct effect on the political integrity, the economic security, or the health or welfare of the tribe.” This second Montana exception is commonly known as the “direct effects” test. Some tribal governments have successfully demonstrated that environmental pollution has some “direct effect” on “the health or welfare of the tribe,” consistent with this second exception. Other tribes have started to require that non-Indians who wish to conduct environment-related activities within their territories obtain a tribal permit that indicates the non-Indians’ consent to the tribe’s regulatory authority. Although the Montana decision places a limitation on tribal regulatory authority, some tribes have found creative ways to continue such regulation. </w:t>
      </w:r>
      <w:r w:rsidRPr="00ED0695">
        <w:rPr>
          <w:rStyle w:val="StyleUnderline"/>
          <w:rFonts w:asciiTheme="minorHAnsi" w:hAnsiTheme="minorHAnsi" w:cstheme="minorHAnsi"/>
        </w:rPr>
        <w:t>But tribes are not the only regulatory actors within Indian country. The federal government has enacted numerous environmental statutes, such as the Clean Water Act</w:t>
      </w:r>
      <w:r w:rsidRPr="00C75EDC">
        <w:rPr>
          <w:rFonts w:asciiTheme="minorHAnsi" w:hAnsiTheme="minorHAnsi" w:cstheme="minorHAnsi"/>
          <w:sz w:val="14"/>
        </w:rPr>
        <w:t xml:space="preserve"> and the Clean Air Act, that courts typically </w:t>
      </w:r>
      <w:r w:rsidRPr="00ED0695">
        <w:rPr>
          <w:rStyle w:val="StyleUnderline"/>
          <w:rFonts w:asciiTheme="minorHAnsi" w:hAnsiTheme="minorHAnsi" w:cstheme="minorHAnsi"/>
        </w:rPr>
        <w:t>have held to be statutes of general applicability covering Indian country. As a result, tribal governments may not use their inherent sovereignty in a way that conflicts with the mandates of these federal environmental statutes. Several of these statutes have tribes-as-states (TAS) provisions.</w:t>
      </w:r>
      <w:r w:rsidRPr="00C75EDC">
        <w:rPr>
          <w:rFonts w:asciiTheme="minorHAnsi" w:hAnsiTheme="minorHAnsi" w:cstheme="minorHAnsi"/>
          <w:sz w:val="14"/>
        </w:rPr>
        <w:t xml:space="preserve"> </w:t>
      </w:r>
      <w:r w:rsidRPr="00ED0695">
        <w:rPr>
          <w:rStyle w:val="StyleUnderline"/>
          <w:rFonts w:asciiTheme="minorHAnsi" w:hAnsiTheme="minorHAnsi" w:cstheme="minorHAnsi"/>
        </w:rPr>
        <w:t>As the name of these provisions suggests, tribal governments that have TAS status may act like states and regulate according to certain provisions of federal law in a cooperative federalism format.</w:t>
      </w:r>
      <w:r w:rsidRPr="00C75EDC">
        <w:rPr>
          <w:rFonts w:asciiTheme="minorHAnsi" w:hAnsiTheme="minorHAnsi" w:cstheme="minorHAnsi"/>
          <w:sz w:val="14"/>
        </w:rPr>
        <w:t xml:space="preserve"> For example, under Section 303 of the Clean Water Act, </w:t>
      </w:r>
      <w:r w:rsidRPr="00ED0695">
        <w:rPr>
          <w:rStyle w:val="StyleUnderline"/>
          <w:rFonts w:asciiTheme="minorHAnsi" w:hAnsiTheme="minorHAnsi" w:cstheme="minorHAnsi"/>
        </w:rPr>
        <w:t xml:space="preserve">tribes with TAS status may establish the designated water criteria for waters falling within their territories, instead of relying only on federal standards. </w:t>
      </w:r>
      <w:r w:rsidRPr="00C75EDC">
        <w:rPr>
          <w:rFonts w:asciiTheme="minorHAnsi" w:hAnsiTheme="minorHAnsi" w:cstheme="minorHAnsi"/>
          <w:sz w:val="14"/>
        </w:rPr>
        <w:t xml:space="preserve">Accordingly, </w:t>
      </w:r>
      <w:r w:rsidRPr="00ED0695">
        <w:rPr>
          <w:rStyle w:val="StyleUnderline"/>
          <w:rFonts w:asciiTheme="minorHAnsi" w:hAnsiTheme="minorHAnsi" w:cstheme="minorHAnsi"/>
        </w:rPr>
        <w:t>TAS provisions allow tribes to express their environmental ethics through the federal environmental provisions. But TAS provisions are relatively limited, and tribal governments must still comply with federal mandates. If a tribe does not have TAS status—and most do not—the U.S. Environmental Protection Agency generally regulates air quality within Indian country. Although federal regulation is common, most states have limited environmental regulatory authority in Indian country—</w:t>
      </w:r>
      <w:r w:rsidRPr="00C75EDC">
        <w:rPr>
          <w:rFonts w:asciiTheme="minorHAnsi" w:hAnsiTheme="minorHAnsi" w:cstheme="minorHAnsi"/>
          <w:sz w:val="14"/>
        </w:rPr>
        <w:t xml:space="preserve">although one significant exception is Oklahoma. Last June, the Supreme Court decided the case of McGirt v. Oklahoma, finding that the Muscogee (Creek) Reservation had not been diminished. Following the Court’s decision, Oklahoma Governor Kevin Stitt requested, and the Trump Administration approved, that the state of Oklahoma have environmental regulatory control in Indian country. Another exception to the general lack of state regulation is that </w:t>
      </w:r>
      <w:r w:rsidRPr="00ED0695">
        <w:rPr>
          <w:rStyle w:val="StyleUnderline"/>
          <w:rFonts w:asciiTheme="minorHAnsi" w:hAnsiTheme="minorHAnsi" w:cstheme="minorHAnsi"/>
        </w:rPr>
        <w:t xml:space="preserve">tribes are treated the same as municipalities, rather than states, under the federal Resource Conservation and Recovery Act, which results in the application of state regulatory control to Indian country for </w:t>
      </w:r>
      <w:r w:rsidRPr="00ED0695">
        <w:rPr>
          <w:rStyle w:val="Emphasis"/>
          <w:rFonts w:asciiTheme="minorHAnsi" w:hAnsiTheme="minorHAnsi" w:cstheme="minorHAnsi"/>
        </w:rPr>
        <w:t xml:space="preserve">waste disposal. </w:t>
      </w:r>
      <w:r w:rsidRPr="00C75EDC">
        <w:rPr>
          <w:rFonts w:asciiTheme="minorHAnsi" w:hAnsiTheme="minorHAnsi" w:cstheme="minorHAnsi"/>
          <w:sz w:val="14"/>
        </w:rPr>
        <w:t xml:space="preserve">But, in many other contexts, courts have limited how state environmental regulatory authority intrudes on tribal authority. With a broad understanding of the environmental regulatory scheme applicable to Indian country, </w:t>
      </w:r>
      <w:r w:rsidRPr="00ED0695">
        <w:rPr>
          <w:rStyle w:val="StyleUnderline"/>
          <w:rFonts w:asciiTheme="minorHAnsi" w:hAnsiTheme="minorHAnsi" w:cstheme="minorHAnsi"/>
        </w:rPr>
        <w:t>we can now consider how this structure perpetuates systems of power that effectively ignore and sometimes exclude tribal governments. An example of this power imbalance is the practice of tribal consultation. The federal government has enacted federal consultation regulations, but such provisions are wholly inadequate.</w:t>
      </w:r>
      <w:r w:rsidRPr="00C75EDC">
        <w:rPr>
          <w:rFonts w:asciiTheme="minorHAnsi" w:hAnsiTheme="minorHAnsi" w:cstheme="minorHAnsi"/>
          <w:sz w:val="14"/>
        </w:rPr>
        <w:t xml:space="preserve"> For instance, Section 106 of the National Historic Preservation Act of 1966 requires “tribal consultation in all steps of the process when a federal agency project or effort may affect historic properties that are either located on tribal lands, or when any Native American tribe or Native Hawaiian organization attaches religious or cultural significance to the historic property, regardless of the property’s location.” Section 106 and related regulations provide guidance about when consultation is triggered and how the federal government should conduct itself when consulting with tribes. </w:t>
      </w:r>
      <w:r w:rsidRPr="00ED0695">
        <w:rPr>
          <w:rStyle w:val="Emphasis"/>
          <w:rFonts w:asciiTheme="minorHAnsi" w:hAnsiTheme="minorHAnsi" w:cstheme="minorHAnsi"/>
        </w:rPr>
        <w:t xml:space="preserve">The regulations, however, do not take into consideration how a tribal government may wish to interact, nor do the regulations give tribal governments the opportunity to consent to federal acts. Although President Biden released a memorandum signaling his commitment to effective consultation and to strengthening the relationship between the federal government and tribal governments, there is still nothing requiring the federal government to conduct consultation </w:t>
      </w:r>
      <w:r w:rsidRPr="00C75EDC">
        <w:rPr>
          <w:rFonts w:asciiTheme="minorHAnsi" w:hAnsiTheme="minorHAnsi" w:cstheme="minorHAnsi"/>
          <w:sz w:val="14"/>
        </w:rPr>
        <w:t xml:space="preserve">in a certain way. </w:t>
      </w:r>
      <w:r w:rsidRPr="00ED0695">
        <w:rPr>
          <w:rStyle w:val="StyleUnderline"/>
          <w:rFonts w:asciiTheme="minorHAnsi" w:hAnsiTheme="minorHAnsi" w:cstheme="minorHAnsi"/>
        </w:rPr>
        <w:t xml:space="preserve">As a result, tribal governments regularly complain that federal consultation is, at best, ineffective and, at worst, violative of tribal sovereignty and the international obligation that Indigenous communities give free and informed consent prior to government actions on their territories. </w:t>
      </w:r>
      <w:r w:rsidRPr="00C75EDC">
        <w:rPr>
          <w:rFonts w:asciiTheme="minorHAnsi" w:hAnsiTheme="minorHAnsi" w:cstheme="minorHAnsi"/>
          <w:sz w:val="14"/>
        </w:rPr>
        <w:t xml:space="preserve">One of the primary arguments raised by the Standing Rock Sioux and Cheyenne River Sioux Tribes in their efforts to halt construction of the Dakota Access Pipeline was that the federal government failed to consult with the Tribes in a manner that the Tribes deemed appropriate. As a result, the Tribes did not have an opportunity to contribute meaningfully to the suitability of the then-proposed project. The Tribes argued that they were ignored and excluded. </w:t>
      </w:r>
      <w:r w:rsidRPr="00ED0695">
        <w:rPr>
          <w:rStyle w:val="StyleUnderline"/>
          <w:rFonts w:asciiTheme="minorHAnsi" w:hAnsiTheme="minorHAnsi" w:cstheme="minorHAnsi"/>
        </w:rPr>
        <w:t>The environmental regulatory structure applicable to Indian country is certainly complicated—with tribal, federal, and, on occasion, state environmental regulations in place. This structure ignores and excludes tribes from existing systems of power. Regulators at every level can—and should—certainly do better by tribal governments moving forward.</w:t>
      </w:r>
    </w:p>
    <w:p w14:paraId="427A5C83" w14:textId="77777777" w:rsidR="00C75EDC" w:rsidRPr="00ED0695" w:rsidRDefault="00C75EDC" w:rsidP="00C75EDC">
      <w:pPr>
        <w:pStyle w:val="Heading4"/>
        <w:rPr>
          <w:rFonts w:asciiTheme="minorHAnsi" w:hAnsiTheme="minorHAnsi" w:cstheme="minorHAnsi"/>
        </w:rPr>
      </w:pPr>
      <w:r w:rsidRPr="00ED0695">
        <w:rPr>
          <w:rFonts w:asciiTheme="minorHAnsi" w:hAnsiTheme="minorHAnsi" w:cstheme="minorHAnsi"/>
        </w:rPr>
        <w:t>Only prior, genuine consultation solves</w:t>
      </w:r>
    </w:p>
    <w:p w14:paraId="6B3BD49F" w14:textId="77777777" w:rsidR="00C75EDC" w:rsidRPr="00ED0695" w:rsidRDefault="00C75EDC" w:rsidP="00C75EDC">
      <w:pPr>
        <w:rPr>
          <w:rFonts w:asciiTheme="minorHAnsi" w:hAnsiTheme="minorHAnsi" w:cstheme="minorHAnsi"/>
          <w:b/>
        </w:rPr>
      </w:pPr>
      <w:r w:rsidRPr="00ED0695">
        <w:rPr>
          <w:rFonts w:asciiTheme="minorHAnsi" w:hAnsiTheme="minorHAnsi" w:cstheme="minorHAnsi"/>
          <w:b/>
        </w:rPr>
        <w:t>Brunner and Quintana 12</w:t>
      </w:r>
    </w:p>
    <w:p w14:paraId="7158B917" w14:textId="77777777" w:rsidR="00C75EDC" w:rsidRPr="00ED0695" w:rsidRDefault="00C75EDC" w:rsidP="00C75EDC">
      <w:pPr>
        <w:rPr>
          <w:rFonts w:asciiTheme="minorHAnsi" w:hAnsiTheme="minorHAnsi" w:cstheme="minorHAnsi"/>
        </w:rPr>
      </w:pPr>
      <w:r w:rsidRPr="00ED0695">
        <w:rPr>
          <w:rFonts w:asciiTheme="minorHAnsi" w:hAnsiTheme="minorHAnsi" w:cstheme="minorHAnsi"/>
        </w:rPr>
        <w:t>Lisl and Karla, Human Rights Specialists, Inter-American Commission on Human Rights, “The Duty to Consult in the Inter-American System: Legal Standards after Sarayaku,” http://www.asil.org/insights121128.cfm</w:t>
      </w:r>
    </w:p>
    <w:p w14:paraId="73C1A5C2" w14:textId="77777777" w:rsidR="00C75EDC" w:rsidRPr="00ED0695" w:rsidRDefault="00C75EDC" w:rsidP="00C75EDC">
      <w:pPr>
        <w:rPr>
          <w:rFonts w:asciiTheme="minorHAnsi" w:hAnsiTheme="minorHAnsi" w:cstheme="minorHAnsi"/>
        </w:rPr>
      </w:pPr>
      <w:r w:rsidRPr="00ED0695">
        <w:rPr>
          <w:rStyle w:val="StyleUnderline"/>
          <w:rFonts w:asciiTheme="minorHAnsi" w:hAnsiTheme="minorHAnsi" w:cstheme="minorHAnsi"/>
        </w:rPr>
        <w:t>In the Inter-American syst</w:t>
      </w:r>
      <w:r w:rsidRPr="00B804AE">
        <w:rPr>
          <w:rStyle w:val="StyleUnderline"/>
          <w:rFonts w:asciiTheme="minorHAnsi" w:hAnsiTheme="minorHAnsi" w:cstheme="minorHAnsi"/>
        </w:rPr>
        <w:t>em of human rights, the state’s duty to consult with indigenous and tribal communities prior to taking action</w:t>
      </w:r>
      <w:r w:rsidRPr="00B804AE">
        <w:rPr>
          <w:rFonts w:asciiTheme="minorHAnsi" w:hAnsiTheme="minorHAnsi" w:cstheme="minorHAnsi"/>
        </w:rPr>
        <w:t xml:space="preserve"> </w:t>
      </w:r>
      <w:r w:rsidRPr="00B804AE">
        <w:rPr>
          <w:rStyle w:val="StyleUnderline"/>
          <w:rFonts w:asciiTheme="minorHAnsi" w:hAnsiTheme="minorHAnsi" w:cstheme="minorHAnsi"/>
        </w:rPr>
        <w:t>likely to affect their traditional lands</w:t>
      </w:r>
      <w:r w:rsidRPr="00B804AE">
        <w:rPr>
          <w:rFonts w:asciiTheme="minorHAnsi" w:hAnsiTheme="minorHAnsi" w:cstheme="minorHAnsi"/>
        </w:rPr>
        <w:t xml:space="preserve">, </w:t>
      </w:r>
      <w:r w:rsidRPr="00B804AE">
        <w:rPr>
          <w:rStyle w:val="StyleUnderline"/>
          <w:rFonts w:asciiTheme="minorHAnsi" w:hAnsiTheme="minorHAnsi" w:cstheme="minorHAnsi"/>
        </w:rPr>
        <w:t>and to obtain their prior consent</w:t>
      </w:r>
      <w:r w:rsidRPr="00B804AE">
        <w:rPr>
          <w:rFonts w:asciiTheme="minorHAnsi" w:hAnsiTheme="minorHAnsi" w:cstheme="minorHAnsi"/>
        </w:rPr>
        <w:t xml:space="preserve"> in certain cases, </w:t>
      </w:r>
      <w:r w:rsidRPr="00B804AE">
        <w:rPr>
          <w:rStyle w:val="StyleUnderline"/>
          <w:rFonts w:asciiTheme="minorHAnsi" w:hAnsiTheme="minorHAnsi" w:cstheme="minorHAnsi"/>
        </w:rPr>
        <w:t>has been expressed as the right to effective participation in decision-making</w:t>
      </w:r>
      <w:r w:rsidRPr="00B804AE">
        <w:rPr>
          <w:rFonts w:asciiTheme="minorHAnsi" w:hAnsiTheme="minorHAnsi" w:cstheme="minorHAnsi"/>
        </w:rPr>
        <w:t xml:space="preserve"> </w:t>
      </w:r>
      <w:r w:rsidRPr="00B804AE">
        <w:rPr>
          <w:rStyle w:val="StyleUnderline"/>
          <w:rFonts w:asciiTheme="minorHAnsi" w:hAnsiTheme="minorHAnsi" w:cstheme="minorHAnsi"/>
        </w:rPr>
        <w:t>that has an impact on these communities’ lifestyles</w:t>
      </w:r>
      <w:r w:rsidRPr="00B804AE">
        <w:rPr>
          <w:rFonts w:asciiTheme="minorHAnsi" w:hAnsiTheme="minorHAnsi" w:cstheme="minorHAnsi"/>
        </w:rPr>
        <w:t>. The Inter-American Commission and Court have defined the contours of this right in harmony with principles of international law that have evolved since the 1960s and 1970s. The right has its origins in the right to self-determination contained in Common Article 1 of the Human Rights Covenants, which came into effect in 1976.[1] It has also been interpreted as an aspect of the right of minorities to practice their culture and to be free from discrimination, as expressed in Article 27 of the International Covenant on Civil and Political Rights (“ICCPR”) and in the International Convention on the Elimination of All Forms of Racial Discrimination.</w:t>
      </w:r>
      <w:r w:rsidRPr="00B804AE">
        <w:rPr>
          <w:rFonts w:asciiTheme="minorHAnsi" w:hAnsiTheme="minorHAnsi" w:cstheme="minorHAnsi"/>
          <w:sz w:val="12"/>
        </w:rPr>
        <w:t>¶</w:t>
      </w:r>
      <w:r w:rsidRPr="00B804AE">
        <w:rPr>
          <w:rFonts w:asciiTheme="minorHAnsi" w:hAnsiTheme="minorHAnsi" w:cstheme="minorHAnsi"/>
        </w:rPr>
        <w:t xml:space="preserve"> In 1989, </w:t>
      </w:r>
      <w:r w:rsidRPr="00B804AE">
        <w:rPr>
          <w:rStyle w:val="StyleUnderline"/>
          <w:rFonts w:asciiTheme="minorHAnsi" w:hAnsiTheme="minorHAnsi" w:cstheme="minorHAnsi"/>
        </w:rPr>
        <w:t>ILO Convention No. 169 enshrined the rights of indigenous peoples to</w:t>
      </w:r>
      <w:r w:rsidRPr="00B804AE">
        <w:rPr>
          <w:rFonts w:asciiTheme="minorHAnsi" w:hAnsiTheme="minorHAnsi" w:cstheme="minorHAnsi"/>
        </w:rPr>
        <w:t xml:space="preserve"> enjoy the full measure of human rights, including economic, social, and cultural rights, without discrimination, and to </w:t>
      </w:r>
      <w:r w:rsidRPr="00B804AE">
        <w:rPr>
          <w:rStyle w:val="StyleUnderline"/>
          <w:rFonts w:asciiTheme="minorHAnsi" w:hAnsiTheme="minorHAnsi" w:cstheme="minorHAnsi"/>
        </w:rPr>
        <w:t>participate in decision-making when state actions may directly affect them</w:t>
      </w:r>
      <w:r w:rsidRPr="00B804AE">
        <w:rPr>
          <w:rFonts w:asciiTheme="minorHAnsi" w:hAnsiTheme="minorHAnsi" w:cstheme="minorHAnsi"/>
        </w:rPr>
        <w:t xml:space="preserve">.[2] It also recognized indigenous and tribal peoples’ rights of ownership to the lands that they traditionally occupy </w:t>
      </w:r>
      <w:r w:rsidRPr="00B804AE">
        <w:rPr>
          <w:rStyle w:val="StyleUnderline"/>
          <w:rFonts w:asciiTheme="minorHAnsi" w:hAnsiTheme="minorHAnsi" w:cstheme="minorHAnsi"/>
        </w:rPr>
        <w:t>and established the state’s duty to consult them “in good faith and . . . with the objective of achieving consent”</w:t>
      </w:r>
      <w:r w:rsidRPr="00B804AE">
        <w:rPr>
          <w:rFonts w:asciiTheme="minorHAnsi" w:hAnsiTheme="minorHAnsi" w:cstheme="minorHAnsi"/>
        </w:rPr>
        <w:t xml:space="preserve"> when decisions affecting their lands or the resources contained therein are being made. The Convention clearly requires that indigenous peoples give “free and informed consent” if it is necessary to relocate them from their traditional lands.[3] In a General Comment issued in 1994, the UN Human Rights Committee also recognized the right of indigenous</w:t>
      </w:r>
      <w:r w:rsidRPr="00ED0695">
        <w:rPr>
          <w:rFonts w:asciiTheme="minorHAnsi" w:hAnsiTheme="minorHAnsi" w:cstheme="minorHAnsi"/>
        </w:rPr>
        <w:t xml:space="preserve"> peoples and other minorities to effective participation in decisions that could have an impact on their lands and resources,[4] and three years later, the Committee on the Elimination of Racial Discrimination (“CERD”) also indicated that development and use of indigenous lands and resources should only take place with their “free and informed consent.”[5] These principles have been enunciated with increasing frequency in UN reports since 2001.[6]</w:t>
      </w:r>
    </w:p>
    <w:p w14:paraId="6700EDCC" w14:textId="77777777" w:rsidR="00C75EDC" w:rsidRPr="00ED0695" w:rsidRDefault="00C75EDC" w:rsidP="00C75EDC">
      <w:pPr>
        <w:pStyle w:val="Heading4"/>
        <w:rPr>
          <w:rFonts w:asciiTheme="minorHAnsi" w:hAnsiTheme="minorHAnsi" w:cstheme="minorHAnsi"/>
        </w:rPr>
      </w:pPr>
      <w:r w:rsidRPr="00ED0695">
        <w:rPr>
          <w:rFonts w:asciiTheme="minorHAnsi" w:hAnsiTheme="minorHAnsi" w:cstheme="minorHAnsi"/>
        </w:rPr>
        <w:t>Genuine consultation is critical to broadly incorporate the views of indigenous peoples</w:t>
      </w:r>
    </w:p>
    <w:p w14:paraId="29AFA1B9" w14:textId="77777777" w:rsidR="00C75EDC" w:rsidRPr="00B804AE" w:rsidRDefault="00C75EDC" w:rsidP="00C75EDC">
      <w:pPr>
        <w:rPr>
          <w:rStyle w:val="Heading4Char"/>
          <w:rFonts w:asciiTheme="minorHAnsi" w:hAnsiTheme="minorHAnsi" w:cstheme="minorHAnsi"/>
        </w:rPr>
      </w:pPr>
      <w:r w:rsidRPr="00B804AE">
        <w:rPr>
          <w:rStyle w:val="Heading4Char"/>
          <w:rFonts w:asciiTheme="minorHAnsi" w:hAnsiTheme="minorHAnsi" w:cstheme="minorHAnsi"/>
        </w:rPr>
        <w:t>Haskew 2k</w:t>
      </w:r>
      <w:r w:rsidRPr="00B804AE">
        <w:rPr>
          <w:rStyle w:val="StyleUnderline"/>
          <w:rFonts w:asciiTheme="minorHAnsi" w:hAnsiTheme="minorHAnsi" w:cstheme="minorHAnsi"/>
        </w:rPr>
        <w:t>, DNA People's Legal Services, Inc., managaing attorney (Navajo Nation) [Derek C., American Indian Law Review, "Federal Consultation With Indian Tribes: The Foundation of Enlightened Policy Decisions, or Another Badge of Shame?," 24 Am. Indian L. Rev. 21, 1999/2000, l/n, accessed 12-31-10, mss]</w:t>
      </w:r>
    </w:p>
    <w:p w14:paraId="51DBFE4A" w14:textId="77777777" w:rsidR="00C75EDC" w:rsidRPr="00B804AE" w:rsidRDefault="00C75EDC" w:rsidP="00C75EDC">
      <w:pPr>
        <w:rPr>
          <w:rStyle w:val="StyleUnderline"/>
          <w:rFonts w:asciiTheme="minorHAnsi" w:hAnsiTheme="minorHAnsi" w:cstheme="minorHAnsi"/>
        </w:rPr>
      </w:pPr>
      <w:r w:rsidRPr="00B804AE">
        <w:rPr>
          <w:rStyle w:val="StyleUnderline"/>
          <w:rFonts w:asciiTheme="minorHAnsi" w:hAnsiTheme="minorHAnsi" w:cstheme="minorHAnsi"/>
        </w:rPr>
        <w:t>The image of an Indian and a white man meeting to talk is evocative of the romanticized negotiations of yesteryear</w:t>
      </w:r>
      <w:r w:rsidRPr="00B804AE">
        <w:rPr>
          <w:rStyle w:val="StyleUnderline"/>
          <w:rFonts w:asciiTheme="minorHAnsi" w:hAnsiTheme="minorHAnsi" w:cstheme="minorHAnsi"/>
          <w:sz w:val="16"/>
        </w:rPr>
        <w:t xml:space="preserve">. This image in turn is inextricably linked to lore of the Indian, defeated by fate yet participating in good faith, and the white man's subsequent betrayals. I will not examine the lore,9 but offer the image as a starting point for the argument that consultations may be one method by which that betrayal is perpetrated today. </w:t>
      </w:r>
      <w:r w:rsidRPr="00B804AE">
        <w:rPr>
          <w:rStyle w:val="StyleUnderline"/>
          <w:rFonts w:asciiTheme="minorHAnsi" w:hAnsiTheme="minorHAnsi" w:cstheme="minorHAnsi"/>
        </w:rPr>
        <w:t xml:space="preserve">By this view, the purpose of consultation requirements is to satisfy the desires of Native Americans to be involved in decisions that affect them, </w:t>
      </w:r>
      <w:r w:rsidRPr="00B804AE">
        <w:rPr>
          <w:rStyle w:val="StyleUnderline"/>
          <w:rFonts w:asciiTheme="minorHAnsi" w:hAnsiTheme="minorHAnsi" w:cstheme="minorHAnsi"/>
          <w:bdr w:val="single" w:sz="4" w:space="0" w:color="auto" w:frame="1"/>
        </w:rPr>
        <w:t>while not binding the government to anything resembling a commitment.</w:t>
      </w:r>
      <w:r w:rsidRPr="00B804AE">
        <w:rPr>
          <w:rStyle w:val="StyleUnderline"/>
          <w:rFonts w:asciiTheme="minorHAnsi" w:hAnsiTheme="minorHAnsi" w:cstheme="minorHAnsi"/>
        </w:rPr>
        <w:t xml:space="preserve"> Consultations</w:t>
      </w:r>
      <w:r w:rsidRPr="00B804AE">
        <w:rPr>
          <w:rStyle w:val="StyleUnderline"/>
          <w:rFonts w:asciiTheme="minorHAnsi" w:hAnsiTheme="minorHAnsi" w:cstheme="minorHAnsi"/>
          <w:sz w:val="16"/>
        </w:rPr>
        <w:t xml:space="preserve">, therefore, </w:t>
      </w:r>
      <w:r w:rsidRPr="00B804AE">
        <w:rPr>
          <w:rStyle w:val="StyleUnderline"/>
          <w:rFonts w:asciiTheme="minorHAnsi" w:hAnsiTheme="minorHAnsi" w:cstheme="minorHAnsi"/>
        </w:rPr>
        <w:t xml:space="preserve">may confuse the real consent of Indian communities to federal actions with the procedural illusion of participation, in which Indian consent is </w:t>
      </w:r>
      <w:r w:rsidRPr="00B804AE">
        <w:rPr>
          <w:rStyle w:val="StyleUnderline"/>
          <w:rFonts w:asciiTheme="minorHAnsi" w:hAnsiTheme="minorHAnsi" w:cstheme="minorHAnsi"/>
          <w:bdr w:val="single" w:sz="4" w:space="0" w:color="auto" w:frame="1"/>
        </w:rPr>
        <w:t>never really asked for</w:t>
      </w:r>
      <w:r w:rsidRPr="00B804AE">
        <w:rPr>
          <w:rStyle w:val="StyleUnderline"/>
          <w:rFonts w:asciiTheme="minorHAnsi" w:hAnsiTheme="minorHAnsi" w:cstheme="minorHAnsi"/>
        </w:rPr>
        <w:t xml:space="preserve">, and advice is </w:t>
      </w:r>
      <w:r w:rsidRPr="00B804AE">
        <w:rPr>
          <w:rStyle w:val="StyleUnderline"/>
          <w:rFonts w:asciiTheme="minorHAnsi" w:hAnsiTheme="minorHAnsi" w:cstheme="minorHAnsi"/>
          <w:bdr w:val="single" w:sz="4" w:space="0" w:color="auto" w:frame="1"/>
        </w:rPr>
        <w:t>never really heeded</w:t>
      </w:r>
      <w:r w:rsidRPr="00B804AE">
        <w:rPr>
          <w:rStyle w:val="StyleUnderline"/>
          <w:rFonts w:asciiTheme="minorHAnsi" w:hAnsiTheme="minorHAnsi" w:cstheme="minorHAnsi"/>
          <w:sz w:val="16"/>
          <w:bdr w:val="single" w:sz="4" w:space="0" w:color="auto" w:frame="1"/>
        </w:rPr>
        <w:t>.</w:t>
      </w:r>
      <w:r w:rsidRPr="00B804AE">
        <w:rPr>
          <w:rStyle w:val="StyleUnderline"/>
          <w:rFonts w:asciiTheme="minorHAnsi" w:hAnsiTheme="minorHAnsi" w:cstheme="minorHAnsi"/>
          <w:sz w:val="16"/>
        </w:rPr>
        <w:t xml:space="preserve"> </w:t>
      </w:r>
      <w:r w:rsidRPr="00B804AE">
        <w:rPr>
          <w:rStyle w:val="StyleUnderline"/>
          <w:rFonts w:asciiTheme="minorHAnsi" w:hAnsiTheme="minorHAnsi" w:cstheme="minorHAnsi"/>
        </w:rPr>
        <w:t>A more savory view of consultations is that government recognizes the wisdom of considering the unique perspectives of Native Americans during policy debate, and is making every effort to incorporate those views and interests in federal planning</w:t>
      </w:r>
      <w:r w:rsidRPr="00B804AE">
        <w:rPr>
          <w:rStyle w:val="StyleUnderline"/>
          <w:rFonts w:asciiTheme="minorHAnsi" w:hAnsiTheme="minorHAnsi" w:cstheme="minorHAnsi"/>
          <w:sz w:val="16"/>
        </w:rPr>
        <w:t xml:space="preserve">. Or, finally, consultations might be described in both of these ways, depending on which players and which projects are being discussed. Whichever view we choose to adopt at the outset of this inquiry, it should be clear that </w:t>
      </w:r>
      <w:r w:rsidRPr="00B804AE">
        <w:rPr>
          <w:rStyle w:val="StyleUnderline"/>
          <w:rFonts w:asciiTheme="minorHAnsi" w:hAnsiTheme="minorHAnsi" w:cstheme="minorHAnsi"/>
        </w:rPr>
        <w:t xml:space="preserve">what may be at stake in consultations is the heart of this nation's relationship with its indigenous population. </w:t>
      </w:r>
    </w:p>
    <w:p w14:paraId="6720CC4E" w14:textId="0A7C853E" w:rsidR="00807E0B" w:rsidRDefault="00807E0B" w:rsidP="00807E0B">
      <w:pPr>
        <w:pStyle w:val="Heading3"/>
      </w:pPr>
      <w:r>
        <w:t xml:space="preserve">2nc- </w:t>
      </w:r>
      <w:r>
        <w:t>environment/climate</w:t>
      </w:r>
    </w:p>
    <w:p w14:paraId="68BE8DFA" w14:textId="3A8B7D5A" w:rsidR="00807E0B" w:rsidRDefault="00807E0B" w:rsidP="00807E0B">
      <w:pPr>
        <w:pStyle w:val="Heading4"/>
        <w:rPr>
          <w:rStyle w:val="Style13ptBold"/>
        </w:rPr>
      </w:pPr>
      <w:r>
        <w:rPr>
          <w:rStyle w:val="Style13ptBold"/>
        </w:rPr>
        <w:t>The CP</w:t>
      </w:r>
      <w:r>
        <w:rPr>
          <w:rStyle w:val="Style13ptBold"/>
        </w:rPr>
        <w:t xml:space="preserve"> creates better environmental outcomes</w:t>
      </w:r>
    </w:p>
    <w:p w14:paraId="7159A3BB" w14:textId="77777777" w:rsidR="00807E0B" w:rsidRPr="007D139E" w:rsidRDefault="00807E0B" w:rsidP="00807E0B">
      <w:r w:rsidRPr="007D139E">
        <w:rPr>
          <w:rStyle w:val="Style13ptBold"/>
        </w:rPr>
        <w:t>SSN 17</w:t>
      </w:r>
      <w:r>
        <w:t xml:space="preserve"> (</w:t>
      </w:r>
      <w:r w:rsidRPr="007D139E">
        <w:t>Scholars Strategy Network, 9-29-2017, "How the Traditional Knowledge of Native Americans Can Inform Environmental Policy," https://scholars.org/contribution/how-traditional-knowledge-native-americans-can-inform-environmental-policy</w:t>
      </w:r>
      <w:r>
        <w:t>)</w:t>
      </w:r>
    </w:p>
    <w:p w14:paraId="16EB3D10" w14:textId="77777777" w:rsidR="00807E0B" w:rsidRDefault="00807E0B" w:rsidP="00807E0B">
      <w:pPr>
        <w:rPr>
          <w:sz w:val="14"/>
        </w:rPr>
      </w:pPr>
      <w:r w:rsidRPr="007D139E">
        <w:rPr>
          <w:u w:val="single"/>
        </w:rPr>
        <w:t>The native peoples of the Americas have a long and rich history of striving to understand the natural environment. Their traditional ecological knowledge includes everything from oral narratives describing hunting practices to observations about abundant or scarce natural resources and the migration patterns of wildlife.</w:t>
      </w:r>
      <w:r>
        <w:rPr>
          <w:u w:val="single"/>
        </w:rPr>
        <w:t xml:space="preserve"> </w:t>
      </w:r>
      <w:r w:rsidRPr="007D139E">
        <w:rPr>
          <w:b/>
          <w:u w:val="single"/>
        </w:rPr>
        <w:t>Traditional knowledge is a misunderstood and underappreciated resource for modern policymakers and other government officials working on environmental issues</w:t>
      </w:r>
      <w:r w:rsidRPr="007D139E">
        <w:rPr>
          <w:sz w:val="14"/>
        </w:rPr>
        <w:t xml:space="preserve">. To tap its potential, </w:t>
      </w:r>
      <w:r w:rsidRPr="007D139E">
        <w:rPr>
          <w:u w:val="single"/>
        </w:rPr>
        <w:t>civic leaders and officials must learn what traditional ecological knowledge is, study the legal precedents that potentially support it, and appreciate the ways this body of knowledge can be used today and tomorrow in a respectful and effective manner.</w:t>
      </w:r>
      <w:r>
        <w:rPr>
          <w:u w:val="single"/>
        </w:rPr>
        <w:t xml:space="preserve"> </w:t>
      </w:r>
      <w:r w:rsidRPr="007D139E">
        <w:rPr>
          <w:sz w:val="14"/>
        </w:rPr>
        <w:t xml:space="preserve">Forms and Value of Traditional Ecological Knowledge </w:t>
      </w:r>
      <w:r w:rsidRPr="007D139E">
        <w:rPr>
          <w:u w:val="single"/>
        </w:rPr>
        <w:t>Traditional ecological knowledge represents a particular category of tribal understanding focused on the health of the environment</w:t>
      </w:r>
      <w:r w:rsidRPr="007D139E">
        <w:rPr>
          <w:sz w:val="14"/>
        </w:rPr>
        <w:t xml:space="preserve">. Such understandings come in the form of verbal comments, visual representations, written records, oral storytelling, and other narrative forms. </w:t>
      </w:r>
      <w:r w:rsidRPr="007D139E">
        <w:rPr>
          <w:u w:val="single"/>
        </w:rPr>
        <w:t>By noticing and learning to make sense of such sources, policymakers have the opportunity to involve indigenous communities in decision-making to improve the environment for all</w:t>
      </w:r>
      <w:r w:rsidRPr="007D139E">
        <w:rPr>
          <w:sz w:val="14"/>
        </w:rPr>
        <w:t xml:space="preserve">. Equity is also at stake. Many indigenous communities depend on the land and sea to sustain their livelihoods and cultural ways of life, and they stand at risk for suffering the harshest impacts of environmental woes accompanying climate change. Thus </w:t>
      </w:r>
      <w:r w:rsidRPr="007D139E">
        <w:rPr>
          <w:b/>
          <w:u w:val="single"/>
        </w:rPr>
        <w:t>it is vital that policy decisions include native voices and wisdom in efforts to confront environmental challenges.</w:t>
      </w:r>
      <w:r>
        <w:rPr>
          <w:b/>
          <w:u w:val="single"/>
        </w:rPr>
        <w:t xml:space="preserve"> </w:t>
      </w:r>
      <w:r w:rsidRPr="007D139E">
        <w:rPr>
          <w:sz w:val="14"/>
        </w:rPr>
        <w:t xml:space="preserve">Legal Precedents In Chevron v. Natural Resources Defense Council, Inc., </w:t>
      </w:r>
      <w:r w:rsidRPr="007D139E">
        <w:rPr>
          <w:u w:val="single"/>
        </w:rPr>
        <w:t>the Supreme Court famously laid out the boundaries of official discretion for government agencies. This ruling set the precedent that courts will accept reasonable agency interpretations of unclear laws they are charged to implement</w:t>
      </w:r>
      <w:r w:rsidRPr="007D139E">
        <w:rPr>
          <w:sz w:val="14"/>
        </w:rPr>
        <w:t xml:space="preserve">. Judicial deference to agencies is the open door through which traditional ecological knowledge can enter the rulemaking process, because in many cases agency officials may be able to include traditional knowledge as part of the information they assemble when making rules about climate change, wildlife and fisheries, environmental impacts, water quality, and environmental cleanups. </w:t>
      </w:r>
      <w:r w:rsidRPr="007D139E">
        <w:rPr>
          <w:u w:val="single"/>
        </w:rPr>
        <w:t>Is such agency reliance on traditional ecological knowledge arbitrary, as some might claim?</w:t>
      </w:r>
      <w:r w:rsidRPr="007D139E">
        <w:rPr>
          <w:sz w:val="14"/>
        </w:rPr>
        <w:t xml:space="preserve"> When policymakers or other government officials face scientific uncertainty, </w:t>
      </w:r>
      <w:r w:rsidRPr="007D139E">
        <w:rPr>
          <w:u w:val="single"/>
        </w:rPr>
        <w:t>legal precedent suggests that courts will support the use of a wide range of available information, without requiring that only the most technologically advanced or complex studies serve as the basis for agency decisions.</w:t>
      </w:r>
      <w:r w:rsidRPr="007D139E">
        <w:rPr>
          <w:sz w:val="14"/>
        </w:rPr>
        <w:t xml:space="preserve"> In the Supreme Court case Baltimore Gas &amp; Electric Co. v. Natural Resources Defense Council, Inc., the Court upheld this type of agency discretion. How to Tap Traditional Ecological Knowledge Responsibly </w:t>
      </w:r>
      <w:r w:rsidRPr="007D139E">
        <w:rPr>
          <w:u w:val="single"/>
        </w:rPr>
        <w:t>Traditional ecological knowledge must be combined with other sources such as experimental science in a transparent and fair way. Such an approach requires:</w:t>
      </w:r>
      <w:r>
        <w:rPr>
          <w:u w:val="single"/>
        </w:rPr>
        <w:t xml:space="preserve"> </w:t>
      </w:r>
      <w:r w:rsidRPr="007D139E">
        <w:rPr>
          <w:u w:val="single"/>
        </w:rPr>
        <w:t>Clear presentations of traditional knowledge in documents supporting policy decisions.</w:t>
      </w:r>
      <w:r>
        <w:rPr>
          <w:u w:val="single"/>
        </w:rPr>
        <w:t xml:space="preserve"> </w:t>
      </w:r>
      <w:r w:rsidRPr="007D139E">
        <w:rPr>
          <w:u w:val="single"/>
        </w:rPr>
        <w:t>Respecting the rights of the tribal members who provide the information – and using such knowledge only when tribal members offer it.</w:t>
      </w:r>
      <w:r>
        <w:rPr>
          <w:u w:val="single"/>
        </w:rPr>
        <w:t xml:space="preserve"> </w:t>
      </w:r>
      <w:r w:rsidRPr="007D139E">
        <w:rPr>
          <w:u w:val="single"/>
        </w:rPr>
        <w:t>Ensuring that native views are solicited as part of a meaningful consultation that includes a discussion of what must be part of the public record.</w:t>
      </w:r>
      <w:r>
        <w:rPr>
          <w:u w:val="single"/>
        </w:rPr>
        <w:t xml:space="preserve"> </w:t>
      </w:r>
      <w:r w:rsidRPr="007D139E">
        <w:rPr>
          <w:u w:val="single"/>
        </w:rPr>
        <w:t>Some traditional ecological knowledge is observational, directly applicable, and easy to lay out in public documents. For example, accounts from Selawik elders describe caribou migration patterns in Northern Alaska that could be vital to the preservation of the species and could inform decisions about whether or not to permit activities like logging.</w:t>
      </w:r>
      <w:r>
        <w:rPr>
          <w:u w:val="single"/>
        </w:rPr>
        <w:t xml:space="preserve"> </w:t>
      </w:r>
      <w:r w:rsidRPr="007D139E">
        <w:rPr>
          <w:sz w:val="14"/>
        </w:rPr>
        <w:t xml:space="preserve">In the 1980s, Inupiat hunters told the International Whaling Commission that, based on traditional ecological knowledge, they believed the population of Bowhead whales in the Pacific Ocean to be in the thousands. The International Whaling Commission had estimated much lower figures, and instead of using their traditional ecological knowledge spent a decade and $10 million on Western scientific research to confirm that the population was actually close to 10,000 whales. At other times, </w:t>
      </w:r>
      <w:r w:rsidRPr="007D139E">
        <w:rPr>
          <w:u w:val="single"/>
        </w:rPr>
        <w:t>traditional and other sources of knowledge must be balanced and assessed</w:t>
      </w:r>
      <w:r w:rsidRPr="007D139E">
        <w:rPr>
          <w:sz w:val="14"/>
        </w:rPr>
        <w:t xml:space="preserve">. Certain sources of traditional ecological knowledge are less directly observational and, from a Western perspective, are probably more akin to art or literature than science. The Kwakiutl people of British Columbia have a cautionary allegory, warning those who peel the bark from trees about a curse that would befall them if they harvest too much. The story teaches the proper care for and harvesting of cedar trees. This story and stories like it could inspire new approaches to environmental stewardship. New Opportunities </w:t>
      </w:r>
      <w:r w:rsidRPr="007D139E">
        <w:rPr>
          <w:u w:val="single"/>
        </w:rPr>
        <w:t>Legal precedents combined with guidelines such as those just presented for respectful use of traditional knowledge sources can form the basis for innovative and deeply informed environmental policymaking</w:t>
      </w:r>
      <w:r w:rsidRPr="007D139E">
        <w:rPr>
          <w:sz w:val="14"/>
        </w:rPr>
        <w:t xml:space="preserve">. This proposition may soon be put to the test. In July of 2015, the Commission for Environmental Cooperation, an international organization comprised of representatives from Mexico, Canada, and the United States, set up a new panel of traditional ecological knowledge experts to advise policymaking. </w:t>
      </w:r>
      <w:r w:rsidRPr="007D139E">
        <w:rPr>
          <w:u w:val="single"/>
        </w:rPr>
        <w:t>The work of that panel has jump-started international discussions and may very well open doors to the wider deployment of traditional ecological knowledge in the United States and beyond – in an era of unprecedented environmental challenges for all societies.</w:t>
      </w:r>
      <w:r w:rsidRPr="007D139E">
        <w:rPr>
          <w:sz w:val="14"/>
        </w:rPr>
        <w:t xml:space="preserve"> </w:t>
      </w:r>
    </w:p>
    <w:p w14:paraId="704AAB91" w14:textId="77777777" w:rsidR="00807E0B" w:rsidRDefault="00807E0B" w:rsidP="00807E0B">
      <w:pPr>
        <w:pStyle w:val="Heading4"/>
      </w:pPr>
      <w:r>
        <w:t>CP solves environmental protections better—creates interconnected understanding of ecosystem integrations</w:t>
      </w:r>
    </w:p>
    <w:p w14:paraId="7BA4D4B4" w14:textId="77777777" w:rsidR="00807E0B" w:rsidRPr="000238FB" w:rsidRDefault="00807E0B" w:rsidP="00807E0B">
      <w:r w:rsidRPr="000238FB">
        <w:rPr>
          <w:rStyle w:val="Style13ptBold"/>
        </w:rPr>
        <w:t>Moffa 16</w:t>
      </w:r>
      <w:r>
        <w:t xml:space="preserve"> (Anthony Moffa- Attorney-Advisor, United States Environmental Protection Agency, “Traditional Ecological Rulemaking,” STANFORD ENVIRONMENTAL LAW JOURNAL [Vol. 35:2, 2016], </w:t>
      </w:r>
      <w:hyperlink r:id="rId14" w:history="1">
        <w:r w:rsidRPr="001B6793">
          <w:rPr>
            <w:rStyle w:val="Hyperlink"/>
          </w:rPr>
          <w:t>https://law.stanford.edu/wp-content/uploads/2017/01/moffa.pdf</w:t>
        </w:r>
      </w:hyperlink>
      <w:r>
        <w:t>) RK</w:t>
      </w:r>
    </w:p>
    <w:p w14:paraId="7D81077B" w14:textId="77777777" w:rsidR="00807E0B" w:rsidRDefault="00807E0B" w:rsidP="00807E0B">
      <w:pPr>
        <w:rPr>
          <w:u w:val="single"/>
        </w:rPr>
      </w:pPr>
      <w:r w:rsidRPr="000238FB">
        <w:rPr>
          <w:sz w:val="16"/>
        </w:rPr>
        <w:t xml:space="preserve">Whatever form it takes or name it goes by, </w:t>
      </w:r>
      <w:r w:rsidRPr="000238FB">
        <w:rPr>
          <w:u w:val="single"/>
        </w:rPr>
        <w:t>the substance of indigenous peoples’ understanding of ecosystem dynamics offers tremendous potential to advance the environmental policy goals of sustainability, resilience, and biological diversity, among others</w:t>
      </w:r>
      <w:r w:rsidRPr="000238FB">
        <w:rPr>
          <w:sz w:val="16"/>
        </w:rPr>
        <w:t>. Although TEK has existed for centuries</w:t>
      </w:r>
      <w:r w:rsidRPr="000238FB">
        <w:rPr>
          <w:u w:val="single"/>
        </w:rPr>
        <w:t xml:space="preserve">, it is only relatively recently that environmental scientists and policymakers have begun to recognize its potential. </w:t>
      </w:r>
      <w:r w:rsidRPr="000238FB">
        <w:rPr>
          <w:sz w:val="16"/>
        </w:rPr>
        <w:t xml:space="preserve">The 1980s and 1990s saw a marked increase in scholarly discussion of TEK and acknowledgement of its usefulness to environmental stewardship.25 Perhaps as a result of this growing interest and attention, researchers now generally agree that “involvement of local people and their local, traditional, or indigenous forms of knowledge in decision making is critical.”26 </w:t>
      </w:r>
      <w:r w:rsidRPr="000238FB">
        <w:rPr>
          <w:u w:val="single"/>
        </w:rPr>
        <w:t>Despite this consensus among academics, policymakers have nonetheless been reluctant to fully embrace TEK as a substantive basis for decisions</w:t>
      </w:r>
      <w:r w:rsidRPr="000238FB">
        <w:rPr>
          <w:sz w:val="16"/>
        </w:rPr>
        <w:t xml:space="preserve">.27 </w:t>
      </w:r>
      <w:r w:rsidRPr="000238FB">
        <w:rPr>
          <w:b/>
          <w:u w:val="single"/>
        </w:rPr>
        <w:t>The current state of the environment suggests that must change</w:t>
      </w:r>
      <w:r w:rsidRPr="000238FB">
        <w:rPr>
          <w:sz w:val="16"/>
        </w:rPr>
        <w:t xml:space="preserve">. Climate change has put the interconnectivity of the global environmental system front and center. </w:t>
      </w:r>
      <w:r w:rsidRPr="000238FB">
        <w:rPr>
          <w:u w:val="single"/>
        </w:rPr>
        <w:t>Understanding ecosystem dynamics on local and global scales is essential to modern environmental policy.</w:t>
      </w:r>
      <w:r w:rsidRPr="000238FB">
        <w:rPr>
          <w:sz w:val="16"/>
        </w:rPr>
        <w:t xml:space="preserve"> Fortunately, indigenous peoples were the planet’s “first practical ecologists,” and TEK has evolved from a long history of ecological awareness that teaches harmonious coexistence with natural resources rather than exploitive extraction.28 Through TEK, “[</w:t>
      </w:r>
      <w:r w:rsidRPr="000238FB">
        <w:rPr>
          <w:u w:val="single"/>
        </w:rPr>
        <w:t>i]ndigenous people have preserved ways of ecologically based living that have evolved over 40,000 years of continuous relationship with special environments</w:t>
      </w:r>
      <w:r w:rsidRPr="000238FB">
        <w:rPr>
          <w:sz w:val="16"/>
        </w:rPr>
        <w:t xml:space="preserve">.”29 Indeed, at least one scholar has argued that indigenous knowledge of environmental planning far surpasses the scientific analysis of dominant Western societies.30 </w:t>
      </w:r>
      <w:r w:rsidRPr="000238FB">
        <w:rPr>
          <w:u w:val="single"/>
        </w:rPr>
        <w:t>Whether or not policymakers agree wholeheartedly with that assessment (most likely do not), they must at least acknowledge that the inherent complexity of ecosystems has proved a poor match for reductionist science that takes the form of controlled experiments</w:t>
      </w:r>
      <w:r w:rsidRPr="000238FB">
        <w:rPr>
          <w:sz w:val="16"/>
        </w:rPr>
        <w:t xml:space="preserve">.31 This mismatch evidences the potential utility of TEK, which, “with its holistic approach [,] might be able to offer insights into complex, nonlinear systems.”32 As the priorities of resource management policies shift towards identifying the sustainable yields of interconnected resources and ecosystem services, as well as the resiliency of the ecosystem as a whole,33 TEK can offer insights in a number of important ways, providing “taxonomic, spatial, temporal, and social/cultural frames of reference.”34 The new paradigm of resource management places a premium on understanding ecosystem dynamics, focusing on adaptive management and nonequilibirum systems— subjects that Western science has largely understudied, but TEK has addressed from time immemorial.35 </w:t>
      </w:r>
      <w:r w:rsidRPr="000238FB">
        <w:rPr>
          <w:u w:val="single"/>
        </w:rPr>
        <w:t>Federal and state agencies have only come to this ecosystem management approach in the last few decades, and thus TEK could help advance their policy agendas more rapidly</w:t>
      </w:r>
      <w:r w:rsidRPr="000238FB">
        <w:rPr>
          <w:sz w:val="16"/>
        </w:rPr>
        <w:t xml:space="preserve">.36 Relatedly, </w:t>
      </w:r>
      <w:r w:rsidRPr="000238FB">
        <w:rPr>
          <w:u w:val="single"/>
        </w:rPr>
        <w:t>the loss of ecosystem resilience, a problem that has belatedly come to the fore, might better be understood through T</w:t>
      </w:r>
      <w:r w:rsidRPr="000238FB">
        <w:rPr>
          <w:sz w:val="16"/>
        </w:rPr>
        <w:t xml:space="preserve">EK. Developments in technology, products of Western science, have had a habit of masking resiliency loss (for example, larger fishing vessels and improved gear masking diminished stocks, synthetic fertilizers masking soil nutrient depletion).37 </w:t>
      </w:r>
      <w:r w:rsidRPr="000238FB">
        <w:rPr>
          <w:u w:val="single"/>
        </w:rPr>
        <w:t>TEK comes from an understanding that predates, and often outwardly rejects, Western technological advances in natural resource exploration and extraction</w:t>
      </w:r>
      <w:r w:rsidRPr="000238FB">
        <w:rPr>
          <w:sz w:val="16"/>
        </w:rPr>
        <w:t xml:space="preserve">. For that reason, </w:t>
      </w:r>
      <w:r w:rsidRPr="000238FB">
        <w:rPr>
          <w:u w:val="single"/>
        </w:rPr>
        <w:t>TEK likely offers a better picture of resiliency loss than some Western science studies based on data collected by industries that have consistently been improving their technology.</w:t>
      </w:r>
    </w:p>
    <w:p w14:paraId="5A08F0E5" w14:textId="77777777" w:rsidR="00807E0B" w:rsidRDefault="00807E0B" w:rsidP="00807E0B">
      <w:pPr>
        <w:pStyle w:val="Heading4"/>
      </w:pPr>
      <w:r>
        <w:t xml:space="preserve">TEK creates better environmental regulations </w:t>
      </w:r>
    </w:p>
    <w:p w14:paraId="240E5ABC" w14:textId="77777777" w:rsidR="00807E0B" w:rsidRPr="000238FB" w:rsidRDefault="00807E0B" w:rsidP="00807E0B">
      <w:r w:rsidRPr="000238FB">
        <w:rPr>
          <w:rStyle w:val="Style13ptBold"/>
        </w:rPr>
        <w:t>Moffa 16</w:t>
      </w:r>
      <w:r>
        <w:t xml:space="preserve"> (Anthony Moffa- Attorney-Advisor, United States Environmental Protection Agency, “Traditional Ecological Rulemaking,” STANFORD ENVIRONMENTAL LAW JOURNAL [Vol. 35:2, 2016], </w:t>
      </w:r>
      <w:hyperlink r:id="rId15" w:history="1">
        <w:r w:rsidRPr="001B6793">
          <w:rPr>
            <w:rStyle w:val="Hyperlink"/>
          </w:rPr>
          <w:t>https://law.stanford.edu/wp-content/uploads/2017/01/moffa.pdf</w:t>
        </w:r>
      </w:hyperlink>
      <w:r>
        <w:t>) RK</w:t>
      </w:r>
    </w:p>
    <w:p w14:paraId="55BB9418" w14:textId="77777777" w:rsidR="00807E0B" w:rsidRPr="000238FB" w:rsidRDefault="00807E0B" w:rsidP="00807E0B">
      <w:pPr>
        <w:rPr>
          <w:b/>
          <w:u w:val="single"/>
        </w:rPr>
      </w:pPr>
      <w:r w:rsidRPr="000238FB">
        <w:rPr>
          <w:b/>
          <w:u w:val="single"/>
        </w:rPr>
        <w:t>The other area where TEK could improve environmental policymaking is part substantive and part procedural</w:t>
      </w:r>
      <w:r w:rsidRPr="000238FB">
        <w:rPr>
          <w:sz w:val="14"/>
        </w:rPr>
        <w:t xml:space="preserve">. </w:t>
      </w:r>
      <w:r w:rsidRPr="000238FB">
        <w:rPr>
          <w:u w:val="single"/>
        </w:rPr>
        <w:t>Environmental justice principles counsel involvement of the full range of perspectives in the public participation process</w:t>
      </w:r>
      <w:r w:rsidRPr="000238FB">
        <w:rPr>
          <w:sz w:val="14"/>
        </w:rPr>
        <w:t xml:space="preserve">, with a special emphasis on providing space for the voices of previously underrepresented groups to be heard. </w:t>
      </w:r>
      <w:r w:rsidRPr="000238FB">
        <w:rPr>
          <w:b/>
          <w:u w:val="single"/>
        </w:rPr>
        <w:t>The communities directly affected by environmental regulations should have a say in the crafting of those rules; this is especially true when the affected community is itself a sovereign tribal nation.</w:t>
      </w:r>
      <w:r w:rsidRPr="000238FB">
        <w:rPr>
          <w:sz w:val="14"/>
        </w:rPr>
        <w:t xml:space="preserve">38 </w:t>
      </w:r>
      <w:r w:rsidRPr="000238FB">
        <w:rPr>
          <w:u w:val="single"/>
        </w:rPr>
        <w:t xml:space="preserve">Giving increased consideration to TEK would help move towards this participation ideal. </w:t>
      </w:r>
      <w:r w:rsidRPr="000238FB">
        <w:rPr>
          <w:sz w:val="14"/>
        </w:rPr>
        <w:t xml:space="preserve">As commentators and climate change litigants have astutely and loudly pointed out, indigenous communities stand to bear the harshest climate impacts—from the actual loss of territory due to permafrost melting and sea-level rise to the magnification of existing problems with basic municipal infrastructure like drinking water systems and landfills.39 In Alaska, where these climate impacts are already felt, at least some federal agencies have recognized the potential benefits of “community knowledge” in decisionmaking.40 </w:t>
      </w:r>
      <w:r w:rsidRPr="000238FB">
        <w:rPr>
          <w:u w:val="single"/>
        </w:rPr>
        <w:t>This type of thinking must go beyond the communities already being harmed and help frame climate policy across the nation and the world</w:t>
      </w:r>
      <w:r w:rsidRPr="000238FB">
        <w:rPr>
          <w:sz w:val="14"/>
        </w:rPr>
        <w:t xml:space="preserve">.41 </w:t>
      </w:r>
      <w:r w:rsidRPr="000238FB">
        <w:rPr>
          <w:u w:val="single"/>
        </w:rPr>
        <w:t>The United States sadly lags behind in finding ways to involve indigenous communities in environmental decisionmaking that utilize the knowledge they share to improve the environment for all</w:t>
      </w:r>
      <w:r w:rsidRPr="000238FB">
        <w:rPr>
          <w:sz w:val="14"/>
        </w:rPr>
        <w:t>.42 Though the United States has a well-established consultation obligation,</w:t>
      </w:r>
      <w:r w:rsidRPr="000238FB">
        <w:rPr>
          <w:u w:val="single"/>
        </w:rPr>
        <w:t>43 that obligation does not give equal weight to tribal knowledge or preferences in the final analysis of whether or not a government action should be taken.</w:t>
      </w:r>
      <w:r w:rsidRPr="000238FB">
        <w:rPr>
          <w:sz w:val="14"/>
        </w:rPr>
        <w:t xml:space="preserve">44 </w:t>
      </w:r>
      <w:r w:rsidRPr="000238FB">
        <w:rPr>
          <w:b/>
          <w:u w:val="single"/>
        </w:rPr>
        <w:t>Through increased reliance on TEK, climate policy and environmental policy more broadly would move towards the ecosystem management approach now favored by experts, and do so in a powerfully inclusive way</w:t>
      </w:r>
    </w:p>
    <w:p w14:paraId="12CC0FBB" w14:textId="0F7836B8" w:rsidR="008C3F3C" w:rsidRPr="00B804AE" w:rsidRDefault="00B804AE" w:rsidP="008C3F3C">
      <w:pPr>
        <w:pStyle w:val="Heading3"/>
        <w:rPr>
          <w:rFonts w:asciiTheme="minorHAnsi" w:hAnsiTheme="minorHAnsi" w:cstheme="minorHAnsi"/>
        </w:rPr>
      </w:pPr>
      <w:r w:rsidRPr="00B804AE">
        <w:rPr>
          <w:rFonts w:asciiTheme="minorHAnsi" w:hAnsiTheme="minorHAnsi" w:cstheme="minorHAnsi"/>
        </w:rPr>
        <w:t>2nc</w:t>
      </w:r>
      <w:r w:rsidR="008C3F3C" w:rsidRPr="00B804AE">
        <w:rPr>
          <w:rFonts w:asciiTheme="minorHAnsi" w:hAnsiTheme="minorHAnsi" w:cstheme="minorHAnsi"/>
        </w:rPr>
        <w:t>-</w:t>
      </w:r>
      <w:r w:rsidRPr="00B804AE">
        <w:rPr>
          <w:rFonts w:asciiTheme="minorHAnsi" w:hAnsiTheme="minorHAnsi" w:cstheme="minorHAnsi"/>
        </w:rPr>
        <w:t xml:space="preserve"> </w:t>
      </w:r>
      <w:r w:rsidR="008C3F3C" w:rsidRPr="00B804AE">
        <w:rPr>
          <w:rFonts w:asciiTheme="minorHAnsi" w:hAnsiTheme="minorHAnsi" w:cstheme="minorHAnsi"/>
        </w:rPr>
        <w:t xml:space="preserve">I/Law </w:t>
      </w:r>
    </w:p>
    <w:p w14:paraId="56D8720B" w14:textId="521BE279" w:rsidR="00823A90" w:rsidRPr="00B804AE" w:rsidRDefault="00823A90" w:rsidP="00823A90">
      <w:pPr>
        <w:pStyle w:val="Heading4"/>
        <w:rPr>
          <w:rFonts w:asciiTheme="minorHAnsi" w:hAnsiTheme="minorHAnsi" w:cstheme="minorHAnsi"/>
        </w:rPr>
      </w:pPr>
      <w:r w:rsidRPr="00B804AE">
        <w:rPr>
          <w:rFonts w:asciiTheme="minorHAnsi" w:hAnsiTheme="minorHAnsi" w:cstheme="minorHAnsi"/>
        </w:rPr>
        <w:t>International law requires prior consultation of indigenous communities, but it is not normal means.</w:t>
      </w:r>
    </w:p>
    <w:p w14:paraId="489BE1BE" w14:textId="77777777" w:rsidR="00823A90" w:rsidRPr="00B804AE" w:rsidRDefault="00823A90" w:rsidP="00823A90">
      <w:pPr>
        <w:rPr>
          <w:rFonts w:asciiTheme="minorHAnsi" w:hAnsiTheme="minorHAnsi" w:cstheme="minorHAnsi"/>
          <w:b/>
        </w:rPr>
      </w:pPr>
      <w:r w:rsidRPr="00B804AE">
        <w:rPr>
          <w:rFonts w:asciiTheme="minorHAnsi" w:hAnsiTheme="minorHAnsi" w:cstheme="minorHAnsi"/>
          <w:b/>
        </w:rPr>
        <w:t>Brunner and Quintana 12</w:t>
      </w:r>
    </w:p>
    <w:p w14:paraId="12D777B5" w14:textId="62D190FF" w:rsidR="00823A90" w:rsidRPr="00B804AE" w:rsidRDefault="00823A90" w:rsidP="00823A90">
      <w:pPr>
        <w:rPr>
          <w:rFonts w:asciiTheme="minorHAnsi" w:hAnsiTheme="minorHAnsi" w:cstheme="minorHAnsi"/>
        </w:rPr>
      </w:pPr>
      <w:r w:rsidRPr="00B804AE">
        <w:rPr>
          <w:rFonts w:asciiTheme="minorHAnsi" w:hAnsiTheme="minorHAnsi" w:cstheme="minorHAnsi"/>
        </w:rPr>
        <w:t>Lisl and Karla, Human Rights Specialists, Inter-American Commission on Human Rights, “The Duty to Consult in the Inter-American System: Legal Standards after Sarayaku,” http://www.asil.org/insights121128.cfm</w:t>
      </w:r>
    </w:p>
    <w:p w14:paraId="6F1826E1" w14:textId="08BD8EF5" w:rsidR="00823A90" w:rsidRPr="00B804AE" w:rsidRDefault="00823A90" w:rsidP="00823A90">
      <w:pPr>
        <w:rPr>
          <w:rFonts w:asciiTheme="minorHAnsi" w:hAnsiTheme="minorHAnsi" w:cstheme="minorHAnsi"/>
        </w:rPr>
      </w:pPr>
      <w:r w:rsidRPr="00B804AE">
        <w:rPr>
          <w:rFonts w:asciiTheme="minorHAnsi" w:hAnsiTheme="minorHAnsi" w:cstheme="minorHAnsi"/>
        </w:rPr>
        <w:t xml:space="preserve">Throughout the Americas, large-scale </w:t>
      </w:r>
      <w:r w:rsidRPr="00B804AE">
        <w:rPr>
          <w:rStyle w:val="StyleUnderline"/>
          <w:rFonts w:asciiTheme="minorHAnsi" w:hAnsiTheme="minorHAnsi" w:cstheme="minorHAnsi"/>
        </w:rPr>
        <w:t>development projects are underway that affect the lands of indigenous peoples who may have played no role in the decision-making process</w:t>
      </w:r>
      <w:r w:rsidRPr="00B804AE">
        <w:rPr>
          <w:rFonts w:asciiTheme="minorHAnsi" w:hAnsiTheme="minorHAnsi" w:cstheme="minorHAnsi"/>
        </w:rPr>
        <w:t xml:space="preserve"> that led to their approval. </w:t>
      </w:r>
      <w:r w:rsidRPr="00B804AE">
        <w:rPr>
          <w:rStyle w:val="StyleUnderline"/>
          <w:rFonts w:asciiTheme="minorHAnsi" w:hAnsiTheme="minorHAnsi" w:cstheme="minorHAnsi"/>
        </w:rPr>
        <w:t>In a decision issued on June 27, 2012, the Inter-American Court of Human Rights declared the international responsibility</w:t>
      </w:r>
      <w:r w:rsidRPr="00B804AE">
        <w:rPr>
          <w:rFonts w:asciiTheme="minorHAnsi" w:hAnsiTheme="minorHAnsi" w:cstheme="minorHAnsi"/>
        </w:rPr>
        <w:t xml:space="preserve"> </w:t>
      </w:r>
      <w:r w:rsidRPr="00B804AE">
        <w:rPr>
          <w:rStyle w:val="StyleUnderline"/>
          <w:rFonts w:asciiTheme="minorHAnsi" w:hAnsiTheme="minorHAnsi" w:cstheme="minorHAnsi"/>
        </w:rPr>
        <w:t>of the State of Ecuador for failing</w:t>
      </w:r>
      <w:r w:rsidRPr="00B804AE">
        <w:rPr>
          <w:rFonts w:asciiTheme="minorHAnsi" w:hAnsiTheme="minorHAnsi" w:cstheme="minorHAnsi"/>
        </w:rPr>
        <w:t xml:space="preserve"> </w:t>
      </w:r>
      <w:r w:rsidRPr="00B804AE">
        <w:rPr>
          <w:rStyle w:val="StyleUnderline"/>
          <w:rFonts w:asciiTheme="minorHAnsi" w:hAnsiTheme="minorHAnsi" w:cstheme="minorHAnsi"/>
        </w:rPr>
        <w:t>to consult the</w:t>
      </w:r>
      <w:r w:rsidRPr="00B804AE">
        <w:rPr>
          <w:rFonts w:asciiTheme="minorHAnsi" w:hAnsiTheme="minorHAnsi" w:cstheme="minorHAnsi"/>
        </w:rPr>
        <w:t xml:space="preserve"> </w:t>
      </w:r>
      <w:r w:rsidRPr="00B804AE">
        <w:rPr>
          <w:rStyle w:val="StyleUnderline"/>
          <w:rFonts w:asciiTheme="minorHAnsi" w:hAnsiTheme="minorHAnsi" w:cstheme="minorHAnsi"/>
        </w:rPr>
        <w:t>Sarayaku indigenous community when it granted oil concessions in the community’s ancestral lands</w:t>
      </w:r>
      <w:r w:rsidRPr="00B804AE">
        <w:rPr>
          <w:rFonts w:asciiTheme="minorHAnsi" w:hAnsiTheme="minorHAnsi" w:cstheme="minorHAnsi"/>
        </w:rPr>
        <w:t xml:space="preserve">. Several elements of the decision are noteworthy: for the first time, the Court acknowledges the violation of the collective rights of the Sarayaku rather than the individual rights of the community’s members. </w:t>
      </w:r>
      <w:r w:rsidRPr="00B804AE">
        <w:rPr>
          <w:rStyle w:val="StyleUnderline"/>
          <w:rFonts w:asciiTheme="minorHAnsi" w:hAnsiTheme="minorHAnsi" w:cstheme="minorHAnsi"/>
        </w:rPr>
        <w:t>The Court held that the duty to consult with indigenous communities about legal or administrative measures that will affect them directly has become a general principle of international law</w:t>
      </w:r>
      <w:r w:rsidRPr="00B804AE">
        <w:rPr>
          <w:rFonts w:asciiTheme="minorHAnsi" w:hAnsiTheme="minorHAnsi" w:cstheme="minorHAnsi"/>
        </w:rPr>
        <w:t>. The decision also further elucidates the source of the duty to consult in the Inter-American system, a point that this Insight will explore.</w:t>
      </w:r>
    </w:p>
    <w:p w14:paraId="11DD174D" w14:textId="0B9B14DD" w:rsidR="00A34CF6" w:rsidRPr="00B804AE" w:rsidRDefault="00B804AE" w:rsidP="00A34CF6">
      <w:pPr>
        <w:pStyle w:val="Heading3"/>
        <w:rPr>
          <w:rStyle w:val="Style13ptBold"/>
          <w:rFonts w:asciiTheme="minorHAnsi" w:hAnsiTheme="minorHAnsi" w:cstheme="minorHAnsi"/>
          <w:b/>
          <w:bCs w:val="0"/>
          <w:sz w:val="32"/>
          <w:u w:val="single"/>
        </w:rPr>
      </w:pPr>
      <w:r w:rsidRPr="00B804AE">
        <w:rPr>
          <w:rFonts w:asciiTheme="minorHAnsi" w:hAnsiTheme="minorHAnsi" w:cstheme="minorHAnsi"/>
        </w:rPr>
        <w:t xml:space="preserve">2nc- </w:t>
      </w:r>
      <w:r w:rsidR="00A34CF6" w:rsidRPr="00B804AE">
        <w:rPr>
          <w:rFonts w:asciiTheme="minorHAnsi" w:hAnsiTheme="minorHAnsi" w:cstheme="minorHAnsi"/>
        </w:rPr>
        <w:t>Human rights Framework</w:t>
      </w:r>
    </w:p>
    <w:p w14:paraId="69D3A5A2" w14:textId="3FF5D4C4" w:rsidR="00A34CF6" w:rsidRPr="00B804AE" w:rsidRDefault="00A34CF6" w:rsidP="00A34CF6">
      <w:pPr>
        <w:pStyle w:val="Heading4"/>
        <w:rPr>
          <w:rFonts w:asciiTheme="minorHAnsi" w:hAnsiTheme="minorHAnsi" w:cstheme="minorHAnsi"/>
        </w:rPr>
      </w:pPr>
      <w:r w:rsidRPr="00B804AE">
        <w:rPr>
          <w:rFonts w:asciiTheme="minorHAnsi" w:hAnsiTheme="minorHAnsi" w:cstheme="minorHAnsi"/>
        </w:rPr>
        <w:t>The cplan solves—only through a whole of government approach that consults with the tribes can the USFG deliver access to clean water to Indigenous Americans</w:t>
      </w:r>
    </w:p>
    <w:p w14:paraId="77862EAF" w14:textId="77777777" w:rsidR="00A34CF6" w:rsidRPr="00B804AE" w:rsidRDefault="00A34CF6" w:rsidP="00A34CF6">
      <w:pPr>
        <w:rPr>
          <w:rFonts w:asciiTheme="minorHAnsi" w:hAnsiTheme="minorHAnsi" w:cstheme="minorHAnsi"/>
        </w:rPr>
      </w:pPr>
      <w:r w:rsidRPr="00B804AE">
        <w:rPr>
          <w:rStyle w:val="Style13ptBold"/>
          <w:rFonts w:asciiTheme="minorHAnsi" w:hAnsiTheme="minorHAnsi" w:cstheme="minorHAnsi"/>
        </w:rPr>
        <w:t>Professor Tanana</w:t>
      </w:r>
      <w:r w:rsidRPr="00B804AE">
        <w:rPr>
          <w:rFonts w:asciiTheme="minorHAnsi" w:hAnsiTheme="minorHAnsi" w:cstheme="minorHAnsi"/>
        </w:rPr>
        <w:t xml:space="preserve"> and the </w:t>
      </w:r>
      <w:r w:rsidRPr="00B804AE">
        <w:rPr>
          <w:rStyle w:val="Emphasis"/>
          <w:rFonts w:asciiTheme="minorHAnsi" w:hAnsiTheme="minorHAnsi" w:cstheme="minorHAnsi"/>
        </w:rPr>
        <w:t>W</w:t>
      </w:r>
      <w:r w:rsidRPr="00B804AE">
        <w:rPr>
          <w:rFonts w:asciiTheme="minorHAnsi" w:hAnsiTheme="minorHAnsi" w:cstheme="minorHAnsi"/>
        </w:rPr>
        <w:t xml:space="preserve">ater and </w:t>
      </w:r>
      <w:r w:rsidRPr="00B804AE">
        <w:rPr>
          <w:rStyle w:val="Emphasis"/>
          <w:rFonts w:asciiTheme="minorHAnsi" w:hAnsiTheme="minorHAnsi" w:cstheme="minorHAnsi"/>
        </w:rPr>
        <w:t>T</w:t>
      </w:r>
      <w:r w:rsidRPr="00B804AE">
        <w:rPr>
          <w:rFonts w:asciiTheme="minorHAnsi" w:hAnsiTheme="minorHAnsi" w:cstheme="minorHAnsi"/>
        </w:rPr>
        <w:t xml:space="preserve">ribes </w:t>
      </w:r>
      <w:r w:rsidRPr="00B804AE">
        <w:rPr>
          <w:rStyle w:val="Emphasis"/>
          <w:rFonts w:asciiTheme="minorHAnsi" w:hAnsiTheme="minorHAnsi" w:cstheme="minorHAnsi"/>
        </w:rPr>
        <w:t>I</w:t>
      </w:r>
      <w:r w:rsidRPr="00B804AE">
        <w:rPr>
          <w:rFonts w:asciiTheme="minorHAnsi" w:hAnsiTheme="minorHAnsi" w:cstheme="minorHAnsi"/>
        </w:rPr>
        <w:t xml:space="preserve">nitiative in </w:t>
      </w:r>
      <w:r w:rsidRPr="00B804AE">
        <w:rPr>
          <w:rStyle w:val="Style13ptBold"/>
          <w:rFonts w:asciiTheme="minorHAnsi" w:hAnsiTheme="minorHAnsi" w:cstheme="minorHAnsi"/>
        </w:rPr>
        <w:t>2021</w:t>
      </w:r>
    </w:p>
    <w:p w14:paraId="71B9F2EC" w14:textId="77777777" w:rsidR="00A34CF6" w:rsidRPr="00B804AE" w:rsidRDefault="00A34CF6" w:rsidP="00A34CF6">
      <w:pPr>
        <w:rPr>
          <w:rFonts w:asciiTheme="minorHAnsi" w:hAnsiTheme="minorHAnsi" w:cstheme="minorHAnsi"/>
        </w:rPr>
      </w:pPr>
      <w:r w:rsidRPr="00B804AE">
        <w:rPr>
          <w:rFonts w:asciiTheme="minorHAnsi" w:hAnsiTheme="minorHAnsi" w:cstheme="minorHAnsi"/>
        </w:rPr>
        <w:t>This report was produced for the Water &amp; Tribes Initiative: Universal Access to Clean Water for Tribes in the Colorado River Basin, http://naturalresourcespolicy.org/projects/water-tribes-colorado-river-basin/3.20-wti-report-executive-summary-final.pdf, April 2021 Water &amp; Tribes Initiative//PS</w:t>
      </w:r>
    </w:p>
    <w:p w14:paraId="46E0FA79" w14:textId="73EBFA39" w:rsidR="00A34CF6" w:rsidRPr="00B804AE" w:rsidRDefault="00A34CF6" w:rsidP="00A34CF6">
      <w:pPr>
        <w:tabs>
          <w:tab w:val="left" w:pos="1490"/>
        </w:tabs>
        <w:rPr>
          <w:rStyle w:val="StyleUnderline"/>
          <w:rFonts w:asciiTheme="minorHAnsi" w:hAnsiTheme="minorHAnsi" w:cstheme="minorHAnsi"/>
        </w:rPr>
      </w:pPr>
      <w:r w:rsidRPr="00B804AE">
        <w:rPr>
          <w:rStyle w:val="StyleUnderline"/>
          <w:rFonts w:asciiTheme="minorHAnsi" w:hAnsiTheme="minorHAnsi" w:cstheme="minorHAnsi"/>
        </w:rPr>
        <w:t>There are multiple challenges to ensuring universal access to clean water for Tribes</w:t>
      </w:r>
      <w:r w:rsidRPr="00B804AE">
        <w:rPr>
          <w:rFonts w:asciiTheme="minorHAnsi" w:hAnsiTheme="minorHAnsi" w:cstheme="minorHAnsi"/>
        </w:rPr>
        <w:t xml:space="preserve">. Some of these challenges could be addressed by more thoughtful consideration and selection of infrastructure projects aimed at increasing access to clean water. While the various programs highlighted are well intentioned, the current system does not adequately meet current needs and fails to acknowledge the stark differences between existing water access for Tribal communities and non-Tribal communities. </w:t>
      </w:r>
      <w:r w:rsidRPr="00B804AE">
        <w:rPr>
          <w:rStyle w:val="StyleUnderline"/>
          <w:rFonts w:asciiTheme="minorHAnsi" w:hAnsiTheme="minorHAnsi" w:cstheme="minorHAnsi"/>
        </w:rPr>
        <w:t>Achieving water equity requires the delivery of clean, affordable, and reliable running water through indoor plumbing to all American homes. To be successful, the federal government must engage in meaningful consultation with Tribes and ensure that the different federal agencies coordinate with one another to pool and leverage existing federal resources. It must also be recognized that the existing need far exceeds present funding levels. An increase in federal funding to support Tribal infrastructure development and capacity—together with new solutions to address the substantial O&amp;M challenges facing Tribal communities—is critical to allow real progress to be made.</w:t>
      </w:r>
    </w:p>
    <w:p w14:paraId="29BAAD2A" w14:textId="78A7172B" w:rsidR="008C3F3C" w:rsidRPr="00B804AE" w:rsidRDefault="00B804AE" w:rsidP="008C3F3C">
      <w:pPr>
        <w:pStyle w:val="Heading3"/>
        <w:rPr>
          <w:rFonts w:asciiTheme="minorHAnsi" w:hAnsiTheme="minorHAnsi" w:cstheme="minorHAnsi"/>
        </w:rPr>
      </w:pPr>
      <w:r w:rsidRPr="00B804AE">
        <w:rPr>
          <w:rFonts w:asciiTheme="minorHAnsi" w:hAnsiTheme="minorHAnsi" w:cstheme="minorHAnsi"/>
        </w:rPr>
        <w:t>2nc-</w:t>
      </w:r>
      <w:r w:rsidR="008C3F3C" w:rsidRPr="00B804AE">
        <w:rPr>
          <w:rFonts w:asciiTheme="minorHAnsi" w:hAnsiTheme="minorHAnsi" w:cstheme="minorHAnsi"/>
        </w:rPr>
        <w:t xml:space="preserve">Moral obligation </w:t>
      </w:r>
    </w:p>
    <w:p w14:paraId="0C987490" w14:textId="08C9331E" w:rsidR="00823A90" w:rsidRPr="00B804AE" w:rsidRDefault="00823A90" w:rsidP="00823A90">
      <w:pPr>
        <w:pStyle w:val="Heading4"/>
        <w:rPr>
          <w:rFonts w:asciiTheme="minorHAnsi" w:hAnsiTheme="minorHAnsi" w:cstheme="minorHAnsi"/>
        </w:rPr>
      </w:pPr>
      <w:r w:rsidRPr="00B804AE">
        <w:rPr>
          <w:rFonts w:asciiTheme="minorHAnsi" w:hAnsiTheme="minorHAnsi" w:cstheme="minorHAnsi"/>
        </w:rPr>
        <w:t xml:space="preserve">Moral obligation of the USFG to act </w:t>
      </w:r>
    </w:p>
    <w:p w14:paraId="4FBC5E4D" w14:textId="77777777" w:rsidR="00823A90" w:rsidRPr="00B804AE" w:rsidRDefault="00823A90" w:rsidP="00823A90">
      <w:pPr>
        <w:rPr>
          <w:rFonts w:asciiTheme="minorHAnsi" w:hAnsiTheme="minorHAnsi" w:cstheme="minorHAnsi"/>
        </w:rPr>
      </w:pPr>
      <w:r w:rsidRPr="00B804AE">
        <w:rPr>
          <w:rFonts w:asciiTheme="minorHAnsi" w:hAnsiTheme="minorHAnsi" w:cstheme="minorHAnsi"/>
        </w:rPr>
        <w:t xml:space="preserve">Professor </w:t>
      </w:r>
      <w:r w:rsidRPr="00B804AE">
        <w:rPr>
          <w:rStyle w:val="Style13ptBold"/>
          <w:rFonts w:asciiTheme="minorHAnsi" w:hAnsiTheme="minorHAnsi" w:cstheme="minorHAnsi"/>
        </w:rPr>
        <w:t>Tanana</w:t>
      </w:r>
      <w:r w:rsidRPr="00B804AE">
        <w:rPr>
          <w:rFonts w:asciiTheme="minorHAnsi" w:hAnsiTheme="minorHAnsi" w:cstheme="minorHAnsi"/>
        </w:rPr>
        <w:t xml:space="preserve"> and the Water and Tribes Initiative in </w:t>
      </w:r>
      <w:r w:rsidRPr="00B804AE">
        <w:rPr>
          <w:rStyle w:val="Style13ptBold"/>
          <w:rFonts w:asciiTheme="minorHAnsi" w:hAnsiTheme="minorHAnsi" w:cstheme="minorHAnsi"/>
        </w:rPr>
        <w:t>2021</w:t>
      </w:r>
    </w:p>
    <w:p w14:paraId="087A8D56" w14:textId="77777777" w:rsidR="00823A90" w:rsidRPr="00ED0695" w:rsidRDefault="00823A90" w:rsidP="00823A90">
      <w:pPr>
        <w:rPr>
          <w:rFonts w:asciiTheme="minorHAnsi" w:hAnsiTheme="minorHAnsi" w:cstheme="minorHAnsi"/>
        </w:rPr>
      </w:pPr>
      <w:r w:rsidRPr="00B804AE">
        <w:rPr>
          <w:rFonts w:asciiTheme="minorHAnsi" w:hAnsiTheme="minorHAnsi" w:cstheme="minorHAnsi"/>
        </w:rPr>
        <w:t>This report was produced for the Water &amp; Tribes Initiative: Universal Access to Clean Water for Tribes in the Colorado River Basin, http://naturalresourcespolicy.org/projects/water-tribes-colorado-river-basin/3.20-wti-report-executive-summary-final.pdf, April 2021 Water &amp; Tribes Initiative//PS</w:t>
      </w:r>
    </w:p>
    <w:p w14:paraId="16E6C20D" w14:textId="77777777" w:rsidR="00823A90" w:rsidRPr="00B804AE" w:rsidRDefault="00823A90" w:rsidP="00823A90">
      <w:pPr>
        <w:rPr>
          <w:rFonts w:asciiTheme="minorHAnsi" w:hAnsiTheme="minorHAnsi" w:cstheme="minorHAnsi"/>
          <w:sz w:val="14"/>
        </w:rPr>
      </w:pPr>
      <w:r w:rsidRPr="00B804AE">
        <w:rPr>
          <w:rFonts w:asciiTheme="minorHAnsi" w:hAnsiTheme="minorHAnsi" w:cstheme="minorHAnsi"/>
          <w:sz w:val="14"/>
        </w:rPr>
        <w:t xml:space="preserve">The challenges described above existed prior to the pandemic. </w:t>
      </w:r>
      <w:r w:rsidRPr="00ED0695">
        <w:rPr>
          <w:rStyle w:val="StyleUnderline"/>
          <w:rFonts w:asciiTheme="minorHAnsi" w:hAnsiTheme="minorHAnsi" w:cstheme="minorHAnsi"/>
        </w:rPr>
        <w:t xml:space="preserve">When COVID-19 spread into Indian country, many Tribal communities were hit particularly hard because of their lack of water access. </w:t>
      </w:r>
      <w:r w:rsidRPr="00B804AE">
        <w:rPr>
          <w:rFonts w:asciiTheme="minorHAnsi" w:hAnsiTheme="minorHAnsi" w:cstheme="minorHAnsi"/>
          <w:sz w:val="14"/>
        </w:rPr>
        <w:t xml:space="preserve">A recent analysis reveals a strong association between COVID-19 incidence rates and the lack of indoor plumbing on reservations.7 </w:t>
      </w:r>
      <w:r w:rsidRPr="00ED0695">
        <w:rPr>
          <w:rStyle w:val="StyleUnderline"/>
          <w:rFonts w:asciiTheme="minorHAnsi" w:hAnsiTheme="minorHAnsi" w:cstheme="minorHAnsi"/>
        </w:rPr>
        <w:t>Given that one in three Navajo homes does not have running water, it is not surprising that the Navajo Nation has suffered one of the highest infection rates in the country.</w:t>
      </w:r>
      <w:r w:rsidRPr="00B804AE">
        <w:rPr>
          <w:rFonts w:asciiTheme="minorHAnsi" w:hAnsiTheme="minorHAnsi" w:cstheme="minorHAnsi"/>
          <w:sz w:val="14"/>
        </w:rPr>
        <w:t xml:space="preserve"> The White Mountain Apache Tribe has also been disproportionately impacted by the pandemic, in part due to limited water access, and all of the CRB Tribes have experienced some degree of health, economic, and other impacts that have exacerbated pre-existing challenges. Beyond water security, the pandemic has highlighted other historical inequities, such as the lack of utility services in general, underfunded and limited public health services, food deserts, housing shortages, and limited economic opportunities. The stark and disproportionate lack of access to clean water on reservations is particularly egregious because the federal government has treaty and trust responsibilities to provide clean water to Tribes. In exchange for the cession of millions of acres of lands, Tribes received certain promises from the federal government. These promises often included the establishment of a reservation as a permanent homeland for Tribes. </w:t>
      </w:r>
      <w:r w:rsidRPr="00ED0695">
        <w:rPr>
          <w:rStyle w:val="StyleUnderline"/>
          <w:rFonts w:asciiTheme="minorHAnsi" w:hAnsiTheme="minorHAnsi" w:cstheme="minorHAnsi"/>
        </w:rPr>
        <w:t>Based upon an underlying trust responsibility, the federal government has a duty “to protect Tribal treaty rights, lands, assets, and resources[.]”8 In Winters v. United States, the U.S. Supreme Court addressed Tribal water rights, holding that when reservations were created, the United States and Tribes reserved water rights—enough to fulfill the purposes of the reservation, from domestic to agricultural to hunting and fishing.</w:t>
      </w:r>
      <w:r w:rsidRPr="00B804AE">
        <w:rPr>
          <w:rFonts w:asciiTheme="minorHAnsi" w:hAnsiTheme="minorHAnsi" w:cstheme="minorHAnsi"/>
          <w:sz w:val="14"/>
        </w:rPr>
        <w:t xml:space="preserve"> </w:t>
      </w:r>
      <w:r w:rsidRPr="00ED0695">
        <w:rPr>
          <w:rStyle w:val="Emphasis"/>
          <w:rFonts w:asciiTheme="minorHAnsi" w:hAnsiTheme="minorHAnsi" w:cstheme="minorHAnsi"/>
        </w:rPr>
        <w:t>The Winters decision was a moral statement as well as a legal ruling,</w:t>
      </w:r>
      <w:r w:rsidRPr="00B804AE">
        <w:rPr>
          <w:rFonts w:asciiTheme="minorHAnsi" w:hAnsiTheme="minorHAnsi" w:cstheme="minorHAnsi"/>
          <w:sz w:val="14"/>
        </w:rPr>
        <w:t xml:space="preserve"> for the heart of Indian water rights involves the United States’ trust obligation to provide true homelands to Tribes. “Access to a clean, reliable supply of water is basic to human health,”9 and clearly a necessary component to making a homeland habitable and permanent. Several of the CRB Tribes entered into treaties with the federal government. In these treaties, the federal government promised to establish a reservation as a permanent home for the Tribe and to enact laws “as may be deemed conducive to the prosperity and happiness of [the] Indians.”10 Unfortunately</w:t>
      </w:r>
      <w:r w:rsidRPr="00ED0695">
        <w:rPr>
          <w:rStyle w:val="StyleUnderline"/>
          <w:rFonts w:asciiTheme="minorHAnsi" w:hAnsiTheme="minorHAnsi" w:cstheme="minorHAnsi"/>
        </w:rPr>
        <w:t>, the federal government has largely failed to fulfill its duty to provide access to clean water for Tribes, and in many cases, actively undermined Tribal water rights by constructing projects and providing water principally or entirely for the benefit of non-Indians.</w:t>
      </w:r>
      <w:r w:rsidRPr="00B804AE">
        <w:rPr>
          <w:rFonts w:asciiTheme="minorHAnsi" w:hAnsiTheme="minorHAnsi" w:cstheme="minorHAnsi"/>
          <w:sz w:val="14"/>
        </w:rPr>
        <w:t xml:space="preserve"> However, in at least partial recognition and fulfillment of its treaty and trust responsibility to provide access to clean water for Tribes, various federal agencies have established programs that provide support for water related projects. </w:t>
      </w:r>
    </w:p>
    <w:p w14:paraId="6BB64011" w14:textId="77777777" w:rsidR="00823A90" w:rsidRPr="00ED0695" w:rsidRDefault="00823A90" w:rsidP="003F3657">
      <w:pPr>
        <w:rPr>
          <w:rStyle w:val="StyleUnderline"/>
          <w:rFonts w:asciiTheme="minorHAnsi" w:hAnsiTheme="minorHAnsi" w:cstheme="minorHAnsi"/>
          <w:sz w:val="16"/>
        </w:rPr>
      </w:pPr>
    </w:p>
    <w:p w14:paraId="7C4B18D9" w14:textId="77777777" w:rsidR="003F3657" w:rsidRPr="00ED0695" w:rsidRDefault="003F3657" w:rsidP="003F3657">
      <w:pPr>
        <w:rPr>
          <w:rStyle w:val="StyleUnderline"/>
          <w:rFonts w:asciiTheme="minorHAnsi" w:hAnsiTheme="minorHAnsi" w:cstheme="minorHAnsi"/>
          <w:sz w:val="16"/>
        </w:rPr>
      </w:pPr>
    </w:p>
    <w:p w14:paraId="6A3DB778" w14:textId="77777777" w:rsidR="003F3657" w:rsidRPr="00ED0695" w:rsidRDefault="003F3657" w:rsidP="003F3657">
      <w:pPr>
        <w:rPr>
          <w:rFonts w:asciiTheme="minorHAnsi" w:hAnsiTheme="minorHAnsi" w:cstheme="minorHAnsi"/>
        </w:rPr>
      </w:pPr>
    </w:p>
    <w:p w14:paraId="206192A1" w14:textId="77777777" w:rsidR="00125381" w:rsidRPr="00ED0695" w:rsidRDefault="00125381" w:rsidP="00B44375">
      <w:pPr>
        <w:rPr>
          <w:rFonts w:asciiTheme="minorHAnsi" w:hAnsiTheme="minorHAnsi" w:cstheme="minorHAnsi"/>
        </w:rPr>
      </w:pPr>
    </w:p>
    <w:p w14:paraId="2296507A" w14:textId="7B9A2FC2" w:rsidR="00823A90" w:rsidRPr="00ED0695" w:rsidRDefault="00823A90" w:rsidP="00823A90">
      <w:pPr>
        <w:rPr>
          <w:rFonts w:asciiTheme="minorHAnsi" w:hAnsiTheme="minorHAnsi" w:cstheme="minorHAnsi"/>
        </w:rPr>
      </w:pPr>
    </w:p>
    <w:p w14:paraId="2F43750D" w14:textId="77777777" w:rsidR="00B44375" w:rsidRPr="00ED0695" w:rsidRDefault="00B44375" w:rsidP="00823A90">
      <w:pPr>
        <w:rPr>
          <w:rStyle w:val="StyleUnderline"/>
          <w:rFonts w:asciiTheme="minorHAnsi" w:hAnsiTheme="minorHAnsi" w:cstheme="minorHAnsi"/>
        </w:rPr>
      </w:pPr>
    </w:p>
    <w:sectPr w:rsidR="00B44375" w:rsidRPr="00ED0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FB1AB6"/>
    <w:multiLevelType w:val="hybridMultilevel"/>
    <w:tmpl w:val="54C2EC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5F553A"/>
    <w:multiLevelType w:val="hybridMultilevel"/>
    <w:tmpl w:val="3E801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70158514128"/>
    <w:docVar w:name="VerbatimVersion" w:val="5.1"/>
  </w:docVars>
  <w:rsids>
    <w:rsidRoot w:val="003F3657"/>
    <w:rsid w:val="000139A3"/>
    <w:rsid w:val="00063071"/>
    <w:rsid w:val="000F6FBB"/>
    <w:rsid w:val="00100833"/>
    <w:rsid w:val="00101025"/>
    <w:rsid w:val="00104529"/>
    <w:rsid w:val="00105942"/>
    <w:rsid w:val="00107396"/>
    <w:rsid w:val="00125381"/>
    <w:rsid w:val="00127902"/>
    <w:rsid w:val="00144A4C"/>
    <w:rsid w:val="00145B8F"/>
    <w:rsid w:val="00176AB0"/>
    <w:rsid w:val="00177B7D"/>
    <w:rsid w:val="0018322D"/>
    <w:rsid w:val="001B5776"/>
    <w:rsid w:val="001E527A"/>
    <w:rsid w:val="001F78CE"/>
    <w:rsid w:val="00216A92"/>
    <w:rsid w:val="00251FC7"/>
    <w:rsid w:val="002855A7"/>
    <w:rsid w:val="002B146A"/>
    <w:rsid w:val="002B5E17"/>
    <w:rsid w:val="002D301C"/>
    <w:rsid w:val="00303F85"/>
    <w:rsid w:val="00315690"/>
    <w:rsid w:val="00316B75"/>
    <w:rsid w:val="00325646"/>
    <w:rsid w:val="00335C90"/>
    <w:rsid w:val="003460F2"/>
    <w:rsid w:val="0038158C"/>
    <w:rsid w:val="003902BA"/>
    <w:rsid w:val="003A09E2"/>
    <w:rsid w:val="003F3657"/>
    <w:rsid w:val="0040040A"/>
    <w:rsid w:val="00407037"/>
    <w:rsid w:val="004605D6"/>
    <w:rsid w:val="004C60E8"/>
    <w:rsid w:val="004E3579"/>
    <w:rsid w:val="004E728B"/>
    <w:rsid w:val="004F39E0"/>
    <w:rsid w:val="00537BD5"/>
    <w:rsid w:val="0057268A"/>
    <w:rsid w:val="005A56F0"/>
    <w:rsid w:val="005D2912"/>
    <w:rsid w:val="006065BD"/>
    <w:rsid w:val="00645FA9"/>
    <w:rsid w:val="00647866"/>
    <w:rsid w:val="00665003"/>
    <w:rsid w:val="006A2AD0"/>
    <w:rsid w:val="006C2375"/>
    <w:rsid w:val="006D4ECC"/>
    <w:rsid w:val="00713D1F"/>
    <w:rsid w:val="00722258"/>
    <w:rsid w:val="007243E5"/>
    <w:rsid w:val="00766EA0"/>
    <w:rsid w:val="007A2226"/>
    <w:rsid w:val="007B13AD"/>
    <w:rsid w:val="007F5B66"/>
    <w:rsid w:val="00807E0B"/>
    <w:rsid w:val="00823A1C"/>
    <w:rsid w:val="00823A90"/>
    <w:rsid w:val="00845B9D"/>
    <w:rsid w:val="00860984"/>
    <w:rsid w:val="00871CEF"/>
    <w:rsid w:val="008B3ECB"/>
    <w:rsid w:val="008B4E85"/>
    <w:rsid w:val="008C1B2E"/>
    <w:rsid w:val="008C3F3C"/>
    <w:rsid w:val="0091627E"/>
    <w:rsid w:val="00931B06"/>
    <w:rsid w:val="00952B18"/>
    <w:rsid w:val="0097032B"/>
    <w:rsid w:val="009C6FD7"/>
    <w:rsid w:val="009D2EAD"/>
    <w:rsid w:val="009D54B2"/>
    <w:rsid w:val="009E1922"/>
    <w:rsid w:val="009F7ED2"/>
    <w:rsid w:val="00A23EB6"/>
    <w:rsid w:val="00A25866"/>
    <w:rsid w:val="00A34CF6"/>
    <w:rsid w:val="00A60C1C"/>
    <w:rsid w:val="00A93661"/>
    <w:rsid w:val="00A95652"/>
    <w:rsid w:val="00AC0AB8"/>
    <w:rsid w:val="00B11F94"/>
    <w:rsid w:val="00B33C6D"/>
    <w:rsid w:val="00B44375"/>
    <w:rsid w:val="00B4508F"/>
    <w:rsid w:val="00B55AD5"/>
    <w:rsid w:val="00B804AE"/>
    <w:rsid w:val="00B8057C"/>
    <w:rsid w:val="00B82515"/>
    <w:rsid w:val="00BD6238"/>
    <w:rsid w:val="00BF593B"/>
    <w:rsid w:val="00BF6E74"/>
    <w:rsid w:val="00BF773A"/>
    <w:rsid w:val="00BF7E81"/>
    <w:rsid w:val="00C13773"/>
    <w:rsid w:val="00C17CC8"/>
    <w:rsid w:val="00C23728"/>
    <w:rsid w:val="00C75EDC"/>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0375"/>
    <w:rsid w:val="00E5262C"/>
    <w:rsid w:val="00EC1AEE"/>
    <w:rsid w:val="00EC7DC4"/>
    <w:rsid w:val="00ED0695"/>
    <w:rsid w:val="00ED30CF"/>
    <w:rsid w:val="00EE547D"/>
    <w:rsid w:val="00F176EF"/>
    <w:rsid w:val="00F45E10"/>
    <w:rsid w:val="00F539F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3BE1"/>
  <w15:chartTrackingRefBased/>
  <w15:docId w15:val="{1DDD210F-C7AC-4469-8DC0-C38A2E875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D0695"/>
    <w:rPr>
      <w:rFonts w:ascii="Calibri" w:hAnsi="Calibri"/>
    </w:rPr>
  </w:style>
  <w:style w:type="paragraph" w:styleId="Heading1">
    <w:name w:val="heading 1"/>
    <w:aliases w:val="Pocket"/>
    <w:basedOn w:val="Normal"/>
    <w:next w:val="Normal"/>
    <w:link w:val="Heading1Char"/>
    <w:qFormat/>
    <w:rsid w:val="00ED06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06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Char1 Char,n"/>
    <w:basedOn w:val="Normal"/>
    <w:next w:val="Normal"/>
    <w:link w:val="Heading3Char"/>
    <w:uiPriority w:val="2"/>
    <w:unhideWhenUsed/>
    <w:qFormat/>
    <w:rsid w:val="00ED06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no read,heading 2,Ch,Heading 2 Char1 Char Char,No Spacing211,No Spacing12,No Spacing2111,No Spacing4,No Spacing11111,No Spacing5,No Spacing21,body,Card,Tags,tags,No Spacing1111,ta,No Spacing111111,TA,tag, Ch"/>
    <w:basedOn w:val="Normal"/>
    <w:next w:val="Normal"/>
    <w:link w:val="Heading4Char"/>
    <w:uiPriority w:val="3"/>
    <w:unhideWhenUsed/>
    <w:qFormat/>
    <w:rsid w:val="00ED069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D06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0695"/>
  </w:style>
  <w:style w:type="character" w:customStyle="1" w:styleId="Heading1Char">
    <w:name w:val="Heading 1 Char"/>
    <w:aliases w:val="Pocket Char"/>
    <w:basedOn w:val="DefaultParagraphFont"/>
    <w:link w:val="Heading1"/>
    <w:rsid w:val="00ED06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0695"/>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Foldover Char,3: Cite Char,Heading 3 Char1 Char Char Char,Citation Char Char Char Char Char,Citation Char1 Char Char Char,Bold Cite Char1,Tag Char Char Char,Cite 1 Char,Read Char Char,no Char"/>
    <w:basedOn w:val="DefaultParagraphFont"/>
    <w:link w:val="Heading3"/>
    <w:uiPriority w:val="2"/>
    <w:rsid w:val="00ED0695"/>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no read Char,heading 2 Char,Ch Char,Heading 2 Char1 Char Char Char,No Spacing211 Char,No Spacing12 Char,No Spacing2111 Char,No Spacing4 Char,No Spacing11111 Char,No Spacing5 Char"/>
    <w:basedOn w:val="DefaultParagraphFont"/>
    <w:link w:val="Heading4"/>
    <w:uiPriority w:val="3"/>
    <w:rsid w:val="00ED0695"/>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7"/>
    <w:qFormat/>
    <w:rsid w:val="00ED069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D0695"/>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Cards + Font: 12 pt Char,Style,Bold Cite Char,Citation Char Char Char"/>
    <w:basedOn w:val="DefaultParagraphFont"/>
    <w:uiPriority w:val="6"/>
    <w:qFormat/>
    <w:rsid w:val="00ED0695"/>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ED0695"/>
    <w:rPr>
      <w:color w:val="auto"/>
      <w:u w:val="none"/>
    </w:rPr>
  </w:style>
  <w:style w:type="character" w:styleId="FollowedHyperlink">
    <w:name w:val="FollowedHyperlink"/>
    <w:basedOn w:val="DefaultParagraphFont"/>
    <w:uiPriority w:val="99"/>
    <w:semiHidden/>
    <w:unhideWhenUsed/>
    <w:rsid w:val="00ED0695"/>
    <w:rPr>
      <w:color w:val="auto"/>
      <w:u w:val="none"/>
    </w:rPr>
  </w:style>
  <w:style w:type="paragraph" w:customStyle="1" w:styleId="textbold">
    <w:name w:val="text bold"/>
    <w:basedOn w:val="Normal"/>
    <w:link w:val="Emphasis"/>
    <w:uiPriority w:val="7"/>
    <w:qFormat/>
    <w:rsid w:val="003F3657"/>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231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heregreview.org/2021/03/15/kronk-warner-environmental-regulation-indian-countr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enews.net/stories/1060035465"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libproxy.utdallas.edu/10.1111/ruso.12366" TargetMode="External"/><Relationship Id="rId5" Type="http://schemas.openxmlformats.org/officeDocument/2006/relationships/numbering" Target="numbering.xml"/><Relationship Id="rId15" Type="http://schemas.openxmlformats.org/officeDocument/2006/relationships/hyperlink" Target="https://law.stanford.edu/wp-content/uploads/2017/01/moffa.pdf" TargetMode="External"/><Relationship Id="rId10" Type="http://schemas.openxmlformats.org/officeDocument/2006/relationships/hyperlink" Target="https://doi-org.libproxy.utdallas.edu/10.1111/ruso.12366" TargetMode="External"/><Relationship Id="rId4" Type="http://schemas.openxmlformats.org/officeDocument/2006/relationships/customXml" Target="../customXml/item4.xml"/><Relationship Id="rId9" Type="http://schemas.openxmlformats.org/officeDocument/2006/relationships/hyperlink" Target="https://www.theregreview.org/2021/03/15/kronk-warner-environmental-regulation-indian-country/" TargetMode="External"/><Relationship Id="rId14" Type="http://schemas.openxmlformats.org/officeDocument/2006/relationships/hyperlink" Target="https://law.stanford.edu/wp-content/uploads/2017/01/moff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g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16E05C1DFA3A4E8F6622DCB7A22F0C" ma:contentTypeVersion="10" ma:contentTypeDescription="Create a new document." ma:contentTypeScope="" ma:versionID="17861bc4ff4d17974fb62e7d4b3cfd35">
  <xsd:schema xmlns:xsd="http://www.w3.org/2001/XMLSchema" xmlns:xs="http://www.w3.org/2001/XMLSchema" xmlns:p="http://schemas.microsoft.com/office/2006/metadata/properties" xmlns:ns2="99af32b8-b50a-4b3a-bdaa-f19a3df50f3f" xmlns:ns3="c3eb58b3-9ca2-4f7f-b92a-701f9bdd9cbc" targetNamespace="http://schemas.microsoft.com/office/2006/metadata/properties" ma:root="true" ma:fieldsID="8db50d47731a2714070e6e7affe773c0" ns2:_="" ns3:_="">
    <xsd:import namespace="99af32b8-b50a-4b3a-bdaa-f19a3df50f3f"/>
    <xsd:import namespace="c3eb58b3-9ca2-4f7f-b92a-701f9bdd9c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af32b8-b50a-4b3a-bdaa-f19a3df50f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eb58b3-9ca2-4f7f-b92a-701f9bdd9c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8BE3F-4355-470B-B290-D400188A63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AD77CC-E846-4B71-9156-B919BAE70980}">
  <ds:schemaRefs>
    <ds:schemaRef ds:uri="http://schemas.microsoft.com/sharepoint/v3/contenttype/forms"/>
  </ds:schemaRefs>
</ds:datastoreItem>
</file>

<file path=customXml/itemProps3.xml><?xml version="1.0" encoding="utf-8"?>
<ds:datastoreItem xmlns:ds="http://schemas.openxmlformats.org/officeDocument/2006/customXml" ds:itemID="{0CD986DC-C071-4EED-B1BD-1C11B0ABB3E7}"/>
</file>

<file path=customXml/itemProps4.xml><?xml version="1.0" encoding="utf-8"?>
<ds:datastoreItem xmlns:ds="http://schemas.openxmlformats.org/officeDocument/2006/customXml" ds:itemID="{E8BA52BC-93E8-43EE-925E-9768E48F9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673</TotalTime>
  <Pages>1</Pages>
  <Words>20232</Words>
  <Characters>115328</Characters>
  <Application>Microsoft Office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 Phillip</dc:creator>
  <cp:keywords>5.1.1</cp:keywords>
  <dc:description/>
  <cp:lastModifiedBy>Ragya Kaul</cp:lastModifiedBy>
  <cp:revision>18</cp:revision>
  <dcterms:created xsi:type="dcterms:W3CDTF">2021-06-25T21:59:00Z</dcterms:created>
  <dcterms:modified xsi:type="dcterms:W3CDTF">2021-06-29T17:28:00Z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0x010100E116E05C1DFA3A4E8F6622DCB7A22F0C</vt:lpwstr>
  </property>
</Properties>
</file>