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72D67B" w14:textId="4FD4D62B" w:rsidR="0053253E" w:rsidRDefault="0053253E" w:rsidP="0053253E"/>
    <w:p w14:paraId="2881EBE6" w14:textId="6BF0AD70" w:rsidR="005F66C4" w:rsidRPr="005F66C4" w:rsidRDefault="0053253E" w:rsidP="005F66C4">
      <w:pPr>
        <w:pStyle w:val="Heading4"/>
      </w:pPr>
      <w:r>
        <w:t>Oil Prices High Now</w:t>
      </w:r>
      <w:r w:rsidR="005F66C4">
        <w:t xml:space="preserve"> but many alternative risks – OPEC and Covid strains</w:t>
      </w:r>
    </w:p>
    <w:p w14:paraId="03CD1FA0" w14:textId="36AD06C6" w:rsidR="0053253E" w:rsidRDefault="0053253E" w:rsidP="0053253E">
      <w:r w:rsidRPr="0053253E">
        <w:rPr>
          <w:b/>
          <w:bCs/>
        </w:rPr>
        <w:t>Singh and Ramkumar, 7-12</w:t>
      </w:r>
      <w:r w:rsidRPr="0053253E">
        <w:t xml:space="preserve">-2021, "Wave of Bullish Oil Bets Drives Big Price Moves," WSJ, </w:t>
      </w:r>
      <w:hyperlink r:id="rId5" w:history="1">
        <w:r w:rsidR="00DA0D83" w:rsidRPr="00956C1D">
          <w:rPr>
            <w:rStyle w:val="Hyperlink"/>
          </w:rPr>
          <w:t>https://www.wsj.com/articles/wave-of-bullish-oil-bets-drives-big-price-moves-11626038191?mod=hp_lista_pos2</w:t>
        </w:r>
      </w:hyperlink>
      <w:r w:rsidR="00DA0D83">
        <w:t xml:space="preserve"> [MT]</w:t>
      </w:r>
    </w:p>
    <w:p w14:paraId="76F54DF4" w14:textId="6DE65ACC" w:rsidR="0053253E" w:rsidRPr="005F66C4" w:rsidRDefault="0053253E" w:rsidP="0053253E">
      <w:pPr>
        <w:rPr>
          <w:b/>
          <w:bCs/>
          <w:u w:val="single"/>
        </w:rPr>
      </w:pPr>
      <w:r w:rsidRPr="005F66C4">
        <w:rPr>
          <w:b/>
          <w:bCs/>
          <w:u w:val="single"/>
        </w:rPr>
        <w:t xml:space="preserve">Hedge funds and other speculative investors recently pushed </w:t>
      </w:r>
      <w:r w:rsidRPr="005F66C4">
        <w:rPr>
          <w:b/>
          <w:bCs/>
          <w:highlight w:val="cyan"/>
          <w:u w:val="single"/>
        </w:rPr>
        <w:t>bets on rising oil prices</w:t>
      </w:r>
      <w:r w:rsidRPr="005F66C4">
        <w:rPr>
          <w:b/>
          <w:bCs/>
          <w:u w:val="single"/>
        </w:rPr>
        <w:t xml:space="preserve"> to their </w:t>
      </w:r>
      <w:r w:rsidRPr="005F66C4">
        <w:rPr>
          <w:b/>
          <w:bCs/>
          <w:highlight w:val="cyan"/>
          <w:u w:val="single"/>
        </w:rPr>
        <w:t>highest level in years,</w:t>
      </w:r>
      <w:r w:rsidRPr="005F66C4">
        <w:rPr>
          <w:b/>
          <w:bCs/>
          <w:u w:val="single"/>
        </w:rPr>
        <w:t xml:space="preserve"> a sign that </w:t>
      </w:r>
      <w:r w:rsidRPr="005F66C4">
        <w:rPr>
          <w:b/>
          <w:bCs/>
          <w:highlight w:val="cyan"/>
          <w:u w:val="single"/>
        </w:rPr>
        <w:t>one-sided positioning</w:t>
      </w:r>
      <w:r w:rsidRPr="005F66C4">
        <w:rPr>
          <w:b/>
          <w:bCs/>
          <w:u w:val="single"/>
        </w:rPr>
        <w:t xml:space="preserve"> is sparking big moves in the world’s busiest commodity market. </w:t>
      </w:r>
    </w:p>
    <w:p w14:paraId="48941126" w14:textId="3936278A" w:rsidR="0053253E" w:rsidRPr="005F66C4" w:rsidRDefault="0053253E" w:rsidP="0053253E">
      <w:pPr>
        <w:rPr>
          <w:u w:val="single"/>
        </w:rPr>
      </w:pPr>
      <w:r w:rsidRPr="005F66C4">
        <w:rPr>
          <w:u w:val="single"/>
        </w:rPr>
        <w:t xml:space="preserve">The </w:t>
      </w:r>
      <w:r w:rsidRPr="005F66C4">
        <w:rPr>
          <w:b/>
          <w:bCs/>
          <w:highlight w:val="cyan"/>
          <w:u w:val="single"/>
        </w:rPr>
        <w:t>ratio of bullish bets on U.S. crude</w:t>
      </w:r>
      <w:r w:rsidRPr="005F66C4">
        <w:rPr>
          <w:b/>
          <w:bCs/>
          <w:u w:val="single"/>
        </w:rPr>
        <w:t xml:space="preserve"> to bearish wagers surged to 23-to-1 during the week of June 15, the </w:t>
      </w:r>
      <w:r w:rsidRPr="005F66C4">
        <w:rPr>
          <w:b/>
          <w:bCs/>
          <w:highlight w:val="cyan"/>
          <w:u w:val="single"/>
        </w:rPr>
        <w:t>highest</w:t>
      </w:r>
      <w:r w:rsidRPr="005F66C4">
        <w:rPr>
          <w:b/>
          <w:bCs/>
          <w:u w:val="single"/>
        </w:rPr>
        <w:t xml:space="preserve"> level </w:t>
      </w:r>
      <w:r w:rsidRPr="005F66C4">
        <w:rPr>
          <w:b/>
          <w:bCs/>
          <w:highlight w:val="cyan"/>
          <w:u w:val="single"/>
        </w:rPr>
        <w:t>since</w:t>
      </w:r>
      <w:r w:rsidRPr="005F66C4">
        <w:rPr>
          <w:b/>
          <w:bCs/>
          <w:u w:val="single"/>
        </w:rPr>
        <w:t xml:space="preserve"> the summer of </w:t>
      </w:r>
      <w:r w:rsidRPr="005F66C4">
        <w:rPr>
          <w:b/>
          <w:bCs/>
          <w:highlight w:val="cyan"/>
          <w:u w:val="single"/>
        </w:rPr>
        <w:t>2018</w:t>
      </w:r>
      <w:r w:rsidRPr="005F66C4">
        <w:rPr>
          <w:u w:val="single"/>
        </w:rPr>
        <w:t xml:space="preserve"> and </w:t>
      </w:r>
      <w:r w:rsidRPr="005F66C4">
        <w:rPr>
          <w:b/>
          <w:bCs/>
          <w:u w:val="single"/>
        </w:rPr>
        <w:t>nearly triple the figure from five weeks earlier</w:t>
      </w:r>
      <w:r w:rsidRPr="005F66C4">
        <w:rPr>
          <w:u w:val="single"/>
        </w:rPr>
        <w:t>, Commodity Futures Trading Commission data show. While the ratio has edged lower in more recent weeks, it has stayed at levels considered elevated by many analysts and well above 6-to-1, where it started the year.</w:t>
      </w:r>
    </w:p>
    <w:p w14:paraId="7362C6F4" w14:textId="77777777" w:rsidR="0053253E" w:rsidRDefault="0053253E" w:rsidP="0053253E">
      <w:r>
        <w:t xml:space="preserve">The upbeat sentiment has made oil one of the hottest trades on Wall Street, briefly pushing U.S. crude prices earlier this month above $75 a barrel and to the highest closing level since late 2018. Prices have roughly doubled since the end of October. </w:t>
      </w:r>
    </w:p>
    <w:p w14:paraId="6B52553A" w14:textId="6D97B478" w:rsidR="0053253E" w:rsidRDefault="0053253E" w:rsidP="0053253E">
      <w:r w:rsidRPr="005F66C4">
        <w:rPr>
          <w:u w:val="single"/>
        </w:rPr>
        <w:t>B</w:t>
      </w:r>
      <w:r w:rsidRPr="005F66C4">
        <w:rPr>
          <w:b/>
          <w:bCs/>
          <w:u w:val="single"/>
        </w:rPr>
        <w:t xml:space="preserve">ut </w:t>
      </w:r>
      <w:r w:rsidRPr="005F66C4">
        <w:rPr>
          <w:b/>
          <w:bCs/>
          <w:highlight w:val="cyan"/>
          <w:u w:val="single"/>
        </w:rPr>
        <w:t>investors crowding into the market</w:t>
      </w:r>
      <w:r w:rsidRPr="005F66C4">
        <w:rPr>
          <w:b/>
          <w:bCs/>
          <w:u w:val="single"/>
        </w:rPr>
        <w:t xml:space="preserve"> are also </w:t>
      </w:r>
      <w:r w:rsidRPr="005F66C4">
        <w:rPr>
          <w:b/>
          <w:bCs/>
          <w:highlight w:val="cyan"/>
          <w:u w:val="single"/>
        </w:rPr>
        <w:t>fueling concerns</w:t>
      </w:r>
      <w:r w:rsidRPr="005F66C4">
        <w:rPr>
          <w:b/>
          <w:bCs/>
          <w:u w:val="single"/>
        </w:rPr>
        <w:t xml:space="preserve"> that </w:t>
      </w:r>
      <w:r w:rsidRPr="005F66C4">
        <w:rPr>
          <w:b/>
          <w:bCs/>
          <w:highlight w:val="cyan"/>
          <w:u w:val="single"/>
        </w:rPr>
        <w:t>oil has risen too quickly,</w:t>
      </w:r>
      <w:r w:rsidRPr="005F66C4">
        <w:rPr>
          <w:b/>
          <w:bCs/>
          <w:u w:val="single"/>
        </w:rPr>
        <w:t xml:space="preserve"> a force that can cause </w:t>
      </w:r>
      <w:r w:rsidRPr="005F66C4">
        <w:rPr>
          <w:b/>
          <w:bCs/>
          <w:highlight w:val="cyan"/>
          <w:u w:val="single"/>
        </w:rPr>
        <w:t>market turbulence</w:t>
      </w:r>
      <w:r w:rsidRPr="005F66C4">
        <w:rPr>
          <w:b/>
          <w:bCs/>
          <w:u w:val="single"/>
        </w:rPr>
        <w:t>.</w:t>
      </w:r>
      <w:r>
        <w:t xml:space="preserve"> The CFTC data measure futures and options, which are commonly used by professional investors to wager on oil-price movements and by energy producers to hedge against volatility. </w:t>
      </w:r>
    </w:p>
    <w:p w14:paraId="1FAD4FBC" w14:textId="6FF3498A" w:rsidR="0053253E" w:rsidRDefault="0053253E" w:rsidP="0053253E">
      <w:r>
        <w:t xml:space="preserve">Last week, prices briefly hit their highest point in more than six years on July 6 before ending the day down more than 2%. The volatility continued, with oil frequently changing directions before surging Friday and ending the week down slightly at about $74.50 a barrel.  Prices slipped again Monday, to $74.10 a barrel, which is still the fourth highest settle value this year. </w:t>
      </w:r>
    </w:p>
    <w:p w14:paraId="5209F37C" w14:textId="63592D57" w:rsidR="0053253E" w:rsidRPr="005F66C4" w:rsidRDefault="0053253E" w:rsidP="0053253E">
      <w:r w:rsidRPr="005F66C4">
        <w:t xml:space="preserve">One reason investors cited for sharp reversals in a matter of minutes during trading sessions was the bullish positioning. With so many analysts anticipating further gains, the slightest bit of bad news can prompt traders to unwind some of their holdings. </w:t>
      </w:r>
    </w:p>
    <w:p w14:paraId="2D670B2F" w14:textId="56506641" w:rsidR="0053253E" w:rsidRPr="005F66C4" w:rsidRDefault="0053253E" w:rsidP="0053253E">
      <w:pPr>
        <w:rPr>
          <w:u w:val="single"/>
        </w:rPr>
      </w:pPr>
      <w:r w:rsidRPr="005F66C4">
        <w:rPr>
          <w:u w:val="single"/>
        </w:rPr>
        <w:t xml:space="preserve">As investors weigh </w:t>
      </w:r>
      <w:r w:rsidRPr="005F66C4">
        <w:rPr>
          <w:b/>
          <w:bCs/>
          <w:highlight w:val="cyan"/>
          <w:u w:val="single"/>
        </w:rPr>
        <w:t>uncertainty about</w:t>
      </w:r>
      <w:r w:rsidRPr="005F66C4">
        <w:rPr>
          <w:b/>
          <w:bCs/>
          <w:u w:val="single"/>
        </w:rPr>
        <w:t xml:space="preserve"> future supply levels from the Organization of the Petroleum Exporting Countries and allies including </w:t>
      </w:r>
      <w:r w:rsidRPr="005F66C4">
        <w:rPr>
          <w:b/>
          <w:bCs/>
          <w:highlight w:val="cyan"/>
          <w:u w:val="single"/>
        </w:rPr>
        <w:t>Russia</w:t>
      </w:r>
      <w:r w:rsidRPr="005F66C4">
        <w:rPr>
          <w:b/>
          <w:bCs/>
          <w:u w:val="single"/>
        </w:rPr>
        <w:t>, some say conditions are ripe for more price gyrations.</w:t>
      </w:r>
      <w:r w:rsidRPr="005F66C4">
        <w:rPr>
          <w:u w:val="single"/>
        </w:rPr>
        <w:t xml:space="preserve"> The division within </w:t>
      </w:r>
      <w:r w:rsidRPr="005F66C4">
        <w:rPr>
          <w:highlight w:val="cyan"/>
          <w:u w:val="single"/>
        </w:rPr>
        <w:t>OPEC</w:t>
      </w:r>
      <w:r w:rsidRPr="005F66C4">
        <w:rPr>
          <w:u w:val="single"/>
        </w:rPr>
        <w:t xml:space="preserve"> comes as the United Arab Emirates pushes to produce more crude, prompting the cancellation of a recent meeting. </w:t>
      </w:r>
      <w:r w:rsidRPr="005F66C4">
        <w:rPr>
          <w:b/>
          <w:bCs/>
          <w:u w:val="single"/>
        </w:rPr>
        <w:t xml:space="preserve">The threat of </w:t>
      </w:r>
      <w:r w:rsidRPr="005F66C4">
        <w:rPr>
          <w:b/>
          <w:bCs/>
          <w:highlight w:val="cyan"/>
          <w:u w:val="single"/>
        </w:rPr>
        <w:t>new coronavirus variants slowing the global economy</w:t>
      </w:r>
      <w:r w:rsidRPr="005F66C4">
        <w:rPr>
          <w:b/>
          <w:bCs/>
          <w:u w:val="single"/>
        </w:rPr>
        <w:t xml:space="preserve"> and hitting demand could also halt the recent rally, some analysts say.</w:t>
      </w:r>
      <w:r w:rsidRPr="005F66C4">
        <w:rPr>
          <w:u w:val="single"/>
        </w:rPr>
        <w:t xml:space="preserve"> </w:t>
      </w:r>
    </w:p>
    <w:p w14:paraId="5134919B" w14:textId="656FC299" w:rsidR="0053253E" w:rsidRDefault="0053253E" w:rsidP="0053253E">
      <w:r w:rsidRPr="005F66C4">
        <w:rPr>
          <w:u w:val="single"/>
        </w:rPr>
        <w:t xml:space="preserve">Even though </w:t>
      </w:r>
      <w:r w:rsidRPr="005F66C4">
        <w:rPr>
          <w:b/>
          <w:bCs/>
          <w:u w:val="single"/>
        </w:rPr>
        <w:t xml:space="preserve">many investors still predict that </w:t>
      </w:r>
      <w:r w:rsidRPr="005F66C4">
        <w:rPr>
          <w:b/>
          <w:bCs/>
          <w:highlight w:val="cyan"/>
          <w:u w:val="single"/>
        </w:rPr>
        <w:t>prices will find support</w:t>
      </w:r>
      <w:r w:rsidRPr="005F66C4">
        <w:rPr>
          <w:b/>
          <w:bCs/>
          <w:u w:val="single"/>
        </w:rPr>
        <w:t xml:space="preserve"> as more </w:t>
      </w:r>
      <w:r w:rsidRPr="005F66C4">
        <w:rPr>
          <w:b/>
          <w:bCs/>
          <w:highlight w:val="cyan"/>
          <w:u w:val="single"/>
        </w:rPr>
        <w:t>consumers travel</w:t>
      </w:r>
      <w:r w:rsidRPr="005F66C4">
        <w:rPr>
          <w:u w:val="single"/>
        </w:rPr>
        <w:t xml:space="preserve"> </w:t>
      </w:r>
      <w:r w:rsidRPr="005F66C4">
        <w:rPr>
          <w:b/>
          <w:bCs/>
          <w:u w:val="single"/>
        </w:rPr>
        <w:t xml:space="preserve">and </w:t>
      </w:r>
      <w:r w:rsidRPr="005F66C4">
        <w:rPr>
          <w:b/>
          <w:bCs/>
          <w:highlight w:val="cyan"/>
          <w:u w:val="single"/>
        </w:rPr>
        <w:t>producers limit new supply</w:t>
      </w:r>
      <w:r w:rsidRPr="005F66C4">
        <w:rPr>
          <w:highlight w:val="cyan"/>
          <w:u w:val="single"/>
        </w:rPr>
        <w:t>,</w:t>
      </w:r>
      <w:r w:rsidRPr="005F66C4">
        <w:rPr>
          <w:u w:val="single"/>
        </w:rPr>
        <w:t xml:space="preserve"> some are bracing for oil’s wild ride to continue</w:t>
      </w:r>
      <w:r>
        <w:t xml:space="preserve">. </w:t>
      </w:r>
    </w:p>
    <w:p w14:paraId="2329E37A" w14:textId="0B895282" w:rsidR="0053253E" w:rsidRDefault="0053253E" w:rsidP="0053253E">
      <w:r>
        <w:t xml:space="preserve">“When everyone gets overly bullish, it’s time to start thinking about what the downside risks are,” said Rebecca </w:t>
      </w:r>
      <w:proofErr w:type="spellStart"/>
      <w:r>
        <w:t>Babin</w:t>
      </w:r>
      <w:proofErr w:type="spellEnd"/>
      <w:r>
        <w:t xml:space="preserve">, senior energy trader at CIBC Private Wealth Management. </w:t>
      </w:r>
    </w:p>
    <w:p w14:paraId="742E8D85" w14:textId="3D5CBA0C" w:rsidR="0053253E" w:rsidRDefault="0053253E" w:rsidP="0053253E">
      <w:r>
        <w:t>An increase in travel and congested traffic patterns in some cities are fueling bullish bets on oil.</w:t>
      </w:r>
    </w:p>
    <w:p w14:paraId="21C37A11" w14:textId="2E2F006C" w:rsidR="0053253E" w:rsidRDefault="0053253E" w:rsidP="0053253E">
      <w:r>
        <w:t xml:space="preserve">Many Americans are closely watching energy markets because higher oil prices translate to elevated gasoline prices at the pump, squeezing consumers, who are already facing rising prices for many products. This year’s gasoline-price surge has even contributed to some investors’ anxiety about a murky inflation picture and possible interest-rate increases. </w:t>
      </w:r>
    </w:p>
    <w:p w14:paraId="1036FB92" w14:textId="5C2FF5BE" w:rsidR="0053253E" w:rsidRDefault="0053253E" w:rsidP="0053253E">
      <w:r>
        <w:t xml:space="preserve">As demand surges alongside Covid-19 vaccination rates in the U.S. and other developed economies, some traders in recent months have been using options—which give the holder the right to buy or sell an asset at a specific price in the future—to bet on U.S. crude soaring to $100 a barrel by the end of next year. </w:t>
      </w:r>
    </w:p>
    <w:p w14:paraId="31CEBD5B" w14:textId="36F350F1" w:rsidR="0053253E" w:rsidRDefault="0053253E" w:rsidP="0053253E">
      <w:r>
        <w:t xml:space="preserve">Many analysts worry about a large buildup of such bullish wagers because a sudden reversal and wave of selling can spread financial pain across Wall Street, potentially dealing a blow to investors and even the economy if many traders are forced to sell unrelated assets to cover losses. </w:t>
      </w:r>
    </w:p>
    <w:p w14:paraId="63432539" w14:textId="77777777" w:rsidR="0053253E" w:rsidRDefault="0053253E" w:rsidP="0053253E">
      <w:r>
        <w:t>U.S. crude-oil futures price</w:t>
      </w:r>
    </w:p>
    <w:p w14:paraId="327E3727" w14:textId="2F74FC01" w:rsidR="0053253E" w:rsidRDefault="0053253E" w:rsidP="0053253E">
      <w:r>
        <w:t xml:space="preserve">In another example of how one-sided positions can drive market swings, the yield on the 10-year Treasury note has retreated to around 1.35% from its March peak of 1.75%, wrong-footing many speculators who had positioned for longer-term government-bond yields to climb. Yields fall as bond prices rise. The decline has followed some mixed economic data points and signals that the Federal Reserve plans to gradually pare back its easy-money policies, prompting bets on slower growth. </w:t>
      </w:r>
    </w:p>
    <w:p w14:paraId="10EFDA52" w14:textId="35F46CA9" w:rsidR="0053253E" w:rsidRDefault="0053253E" w:rsidP="0053253E">
      <w:r>
        <w:t xml:space="preserve">Still, few expect an extreme drop in crude prices. Under pressure from investors to limit spending and emissions, U.S. shale producers have recently held supply lower than some analysts expected in a rising price environment. </w:t>
      </w:r>
    </w:p>
    <w:p w14:paraId="5BC2E3BC" w14:textId="7CF94F01" w:rsidR="0053253E" w:rsidRPr="0053253E" w:rsidRDefault="0053253E" w:rsidP="0053253E">
      <w:pPr>
        <w:rPr>
          <w:u w:val="single"/>
        </w:rPr>
      </w:pPr>
      <w:r w:rsidRPr="0053253E">
        <w:rPr>
          <w:u w:val="single"/>
        </w:rPr>
        <w:t>Some investors also anticipate that Wall Street’s focus on limiting new fossil-fuel spending to fight climate change will starve companies such as Devon Energy Corp. and Pioneer Natural Resources Corp. of new project funding, limiting their production in the years ahead.</w:t>
      </w:r>
    </w:p>
    <w:p w14:paraId="5EFEE544" w14:textId="0358E1BD" w:rsidR="0053253E" w:rsidRPr="0053253E" w:rsidRDefault="0053253E" w:rsidP="0053253E">
      <w:pPr>
        <w:rPr>
          <w:b/>
          <w:bCs/>
          <w:u w:val="single"/>
        </w:rPr>
      </w:pPr>
      <w:r w:rsidRPr="0053253E">
        <w:rPr>
          <w:b/>
          <w:bCs/>
          <w:u w:val="single"/>
        </w:rPr>
        <w:t xml:space="preserve">Even though </w:t>
      </w:r>
      <w:r w:rsidRPr="0053253E">
        <w:rPr>
          <w:b/>
          <w:bCs/>
          <w:highlight w:val="cyan"/>
          <w:u w:val="single"/>
        </w:rPr>
        <w:t>OPEC</w:t>
      </w:r>
      <w:r w:rsidRPr="0053253E">
        <w:rPr>
          <w:b/>
          <w:bCs/>
          <w:u w:val="single"/>
        </w:rPr>
        <w:t xml:space="preserve"> recently failed to come to an agreement about future output figures, the group has so far remained </w:t>
      </w:r>
      <w:r w:rsidRPr="0053253E">
        <w:rPr>
          <w:b/>
          <w:bCs/>
          <w:highlight w:val="cyan"/>
          <w:u w:val="single"/>
        </w:rPr>
        <w:t>cautious about flooding the market</w:t>
      </w:r>
      <w:r w:rsidRPr="0053253E">
        <w:rPr>
          <w:u w:val="single"/>
        </w:rPr>
        <w:t xml:space="preserve">. As a result, </w:t>
      </w:r>
      <w:r w:rsidRPr="0053253E">
        <w:rPr>
          <w:b/>
          <w:bCs/>
          <w:u w:val="single"/>
        </w:rPr>
        <w:t xml:space="preserve">many </w:t>
      </w:r>
      <w:r w:rsidRPr="0053253E">
        <w:rPr>
          <w:b/>
          <w:bCs/>
          <w:highlight w:val="cyan"/>
          <w:u w:val="single"/>
        </w:rPr>
        <w:t>investors</w:t>
      </w:r>
      <w:r w:rsidRPr="0053253E">
        <w:rPr>
          <w:b/>
          <w:bCs/>
          <w:u w:val="single"/>
        </w:rPr>
        <w:t xml:space="preserve"> are </w:t>
      </w:r>
      <w:r w:rsidRPr="0053253E">
        <w:rPr>
          <w:b/>
          <w:bCs/>
          <w:highlight w:val="cyan"/>
          <w:u w:val="single"/>
        </w:rPr>
        <w:t>looking past near-term swings</w:t>
      </w:r>
      <w:r w:rsidRPr="0053253E">
        <w:rPr>
          <w:b/>
          <w:bCs/>
          <w:u w:val="single"/>
        </w:rPr>
        <w:t xml:space="preserve"> and </w:t>
      </w:r>
      <w:r w:rsidRPr="0053253E">
        <w:rPr>
          <w:b/>
          <w:bCs/>
          <w:highlight w:val="cyan"/>
          <w:u w:val="single"/>
        </w:rPr>
        <w:t>sticking with optimistic forecasts.</w:t>
      </w:r>
      <w:r w:rsidRPr="0053253E">
        <w:rPr>
          <w:b/>
          <w:bCs/>
          <w:u w:val="single"/>
        </w:rPr>
        <w:t xml:space="preserve"> </w:t>
      </w:r>
    </w:p>
    <w:p w14:paraId="02314701" w14:textId="03D8B341" w:rsidR="0053253E" w:rsidRPr="0053253E" w:rsidRDefault="0053253E" w:rsidP="0053253E">
      <w:pPr>
        <w:rPr>
          <w:b/>
          <w:bCs/>
          <w:u w:val="single"/>
        </w:rPr>
      </w:pPr>
      <w:r w:rsidRPr="0053253E">
        <w:rPr>
          <w:b/>
          <w:bCs/>
          <w:u w:val="single"/>
        </w:rPr>
        <w:t xml:space="preserve">“The </w:t>
      </w:r>
      <w:r w:rsidRPr="0053253E">
        <w:rPr>
          <w:b/>
          <w:bCs/>
          <w:highlight w:val="cyan"/>
          <w:u w:val="single"/>
        </w:rPr>
        <w:t>oil market</w:t>
      </w:r>
      <w:r w:rsidRPr="0053253E">
        <w:rPr>
          <w:b/>
          <w:bCs/>
          <w:u w:val="single"/>
        </w:rPr>
        <w:t xml:space="preserve"> has been on a </w:t>
      </w:r>
      <w:r w:rsidRPr="0053253E">
        <w:rPr>
          <w:b/>
          <w:bCs/>
          <w:highlight w:val="cyan"/>
          <w:u w:val="single"/>
        </w:rPr>
        <w:t>one-way ripper since November</w:t>
      </w:r>
      <w:r w:rsidRPr="0053253E">
        <w:rPr>
          <w:b/>
          <w:bCs/>
          <w:u w:val="single"/>
        </w:rPr>
        <w:t>,”</w:t>
      </w:r>
      <w:r w:rsidRPr="0053253E">
        <w:rPr>
          <w:u w:val="single"/>
        </w:rPr>
        <w:t xml:space="preserve"> said Bob </w:t>
      </w:r>
      <w:proofErr w:type="spellStart"/>
      <w:r w:rsidRPr="0053253E">
        <w:rPr>
          <w:u w:val="single"/>
        </w:rPr>
        <w:t>Yawger</w:t>
      </w:r>
      <w:proofErr w:type="spellEnd"/>
      <w:r w:rsidRPr="0053253E">
        <w:rPr>
          <w:u w:val="single"/>
        </w:rPr>
        <w:t xml:space="preserve">, executive director of energy futures at Mizuho Securities. </w:t>
      </w:r>
      <w:r w:rsidRPr="0053253E">
        <w:rPr>
          <w:b/>
          <w:bCs/>
          <w:u w:val="single"/>
        </w:rPr>
        <w:t xml:space="preserve">“We </w:t>
      </w:r>
      <w:r w:rsidRPr="0053253E">
        <w:rPr>
          <w:b/>
          <w:bCs/>
          <w:highlight w:val="cyan"/>
          <w:u w:val="single"/>
        </w:rPr>
        <w:t>could go a lot higher</w:t>
      </w:r>
      <w:r w:rsidRPr="0053253E">
        <w:rPr>
          <w:b/>
          <w:bCs/>
          <w:u w:val="single"/>
        </w:rPr>
        <w:t>.”</w:t>
      </w:r>
    </w:p>
    <w:p w14:paraId="6818B593" w14:textId="0D550193" w:rsidR="0053253E" w:rsidRDefault="0053253E" w:rsidP="0053253E">
      <w:r>
        <w:t xml:space="preserve">Shares of many energy companies are still up 40% or more for the year, despite some recent turbulence, and 18 large exchange-traded funds that track the sector recorded their biggest one-day combined inflow on June 22 in data going back to April 2019, according to Dow Jones Market Data. That day’s inflow for the Energy Select SPDR Fund was the highest in more than five years. </w:t>
      </w:r>
    </w:p>
    <w:p w14:paraId="20B1FB1B" w14:textId="112A1602" w:rsidR="0053253E" w:rsidRDefault="0053253E" w:rsidP="0053253E">
      <w:r>
        <w:t xml:space="preserve">Some investors have also been buying energy bonds that offer higher yields because ultrasafe assets such as cash and government debt currently offer muted returns. The extra yield, or spread, over U.S. </w:t>
      </w:r>
      <w:proofErr w:type="spellStart"/>
      <w:r>
        <w:t>Treasurys</w:t>
      </w:r>
      <w:proofErr w:type="spellEnd"/>
      <w:r>
        <w:t xml:space="preserve"> that investors demand to hold speculative-grade bonds of energy firms recently hit its lowest level in 3½ years, according to Bloomberg Barclays data.</w:t>
      </w:r>
    </w:p>
    <w:p w14:paraId="46011C42" w14:textId="169B07A5" w:rsidR="0053253E" w:rsidRPr="0053253E" w:rsidRDefault="0053253E" w:rsidP="0053253E">
      <w:pPr>
        <w:rPr>
          <w:u w:val="single"/>
        </w:rPr>
      </w:pPr>
      <w:r w:rsidRPr="0053253E">
        <w:rPr>
          <w:u w:val="single"/>
        </w:rPr>
        <w:t xml:space="preserve">While </w:t>
      </w:r>
      <w:r w:rsidRPr="0053253E">
        <w:rPr>
          <w:b/>
          <w:bCs/>
          <w:u w:val="single"/>
        </w:rPr>
        <w:t xml:space="preserve">many </w:t>
      </w:r>
      <w:r w:rsidRPr="0053253E">
        <w:rPr>
          <w:b/>
          <w:bCs/>
          <w:highlight w:val="cyan"/>
          <w:u w:val="single"/>
        </w:rPr>
        <w:t>large investment firms</w:t>
      </w:r>
      <w:r w:rsidRPr="0053253E">
        <w:rPr>
          <w:b/>
          <w:bCs/>
          <w:u w:val="single"/>
        </w:rPr>
        <w:t xml:space="preserve"> are </w:t>
      </w:r>
      <w:r w:rsidRPr="0053253E">
        <w:rPr>
          <w:b/>
          <w:bCs/>
          <w:highlight w:val="cyan"/>
          <w:u w:val="single"/>
        </w:rPr>
        <w:t>paring back</w:t>
      </w:r>
      <w:r w:rsidRPr="0053253E">
        <w:rPr>
          <w:b/>
          <w:bCs/>
          <w:u w:val="single"/>
        </w:rPr>
        <w:t xml:space="preserve"> their </w:t>
      </w:r>
      <w:r w:rsidRPr="0053253E">
        <w:rPr>
          <w:b/>
          <w:bCs/>
          <w:highlight w:val="cyan"/>
          <w:u w:val="single"/>
        </w:rPr>
        <w:t>energy investments</w:t>
      </w:r>
      <w:r w:rsidRPr="0053253E">
        <w:rPr>
          <w:b/>
          <w:bCs/>
          <w:u w:val="single"/>
        </w:rPr>
        <w:t xml:space="preserve"> for </w:t>
      </w:r>
      <w:r w:rsidRPr="0053253E">
        <w:rPr>
          <w:b/>
          <w:bCs/>
          <w:highlight w:val="cyan"/>
          <w:u w:val="single"/>
        </w:rPr>
        <w:t>climate-focused reasons</w:t>
      </w:r>
      <w:r w:rsidRPr="0053253E">
        <w:rPr>
          <w:u w:val="single"/>
        </w:rPr>
        <w:t xml:space="preserve">, the trends indicate that some on Wall Street are still willing to chase profits in the sector. </w:t>
      </w:r>
    </w:p>
    <w:p w14:paraId="6A1F8A07" w14:textId="418E9DB3" w:rsidR="00066869" w:rsidRDefault="0053253E" w:rsidP="0053253E">
      <w:pPr>
        <w:rPr>
          <w:u w:val="single"/>
        </w:rPr>
      </w:pPr>
      <w:r w:rsidRPr="0053253E">
        <w:rPr>
          <w:u w:val="single"/>
        </w:rPr>
        <w:t xml:space="preserve">“I think </w:t>
      </w:r>
      <w:r w:rsidRPr="0053253E">
        <w:rPr>
          <w:b/>
          <w:bCs/>
          <w:u w:val="single"/>
        </w:rPr>
        <w:t>overall energy sentiment is going to continue to be positive</w:t>
      </w:r>
      <w:r w:rsidRPr="0053253E">
        <w:rPr>
          <w:u w:val="single"/>
        </w:rPr>
        <w:t>,” said Noah Barrett, research analyst at Janus Henderson Investors.</w:t>
      </w:r>
    </w:p>
    <w:p w14:paraId="1744C288" w14:textId="43E7A177" w:rsidR="00DA0D83" w:rsidRDefault="00DA0D83" w:rsidP="0053253E">
      <w:pPr>
        <w:rPr>
          <w:u w:val="single"/>
        </w:rPr>
      </w:pPr>
    </w:p>
    <w:p w14:paraId="282A25B4" w14:textId="73F52B33" w:rsidR="00DA0D83" w:rsidRDefault="00DA0D83" w:rsidP="0053253E">
      <w:pPr>
        <w:rPr>
          <w:u w:val="single"/>
        </w:rPr>
      </w:pPr>
    </w:p>
    <w:p w14:paraId="3E592969" w14:textId="053DED26" w:rsidR="00DA0D83" w:rsidRPr="00DA0D83" w:rsidRDefault="00DA0D83" w:rsidP="00DA0D83">
      <w:pPr>
        <w:pStyle w:val="Heading4"/>
      </w:pPr>
      <w:r>
        <w:t xml:space="preserve">Europe outweighs – it’s the largest purchaser of Russian oil and switching to renewables now </w:t>
      </w:r>
      <w:r>
        <w:rPr>
          <w:i/>
          <w:iCs w:val="0"/>
        </w:rPr>
        <w:t>AND</w:t>
      </w:r>
      <w:r>
        <w:t xml:space="preserve"> the </w:t>
      </w:r>
      <w:proofErr w:type="spellStart"/>
      <w:r>
        <w:t>aff</w:t>
      </w:r>
      <w:proofErr w:type="spellEnd"/>
      <w:r>
        <w:t xml:space="preserve"> is a link-turn: transition to renewables is key to future Russian economy competitiveness</w:t>
      </w:r>
    </w:p>
    <w:p w14:paraId="45850EFC" w14:textId="31B58C45" w:rsidR="00DA0D83" w:rsidRDefault="00DA0D83">
      <w:r w:rsidRPr="00DA0D83">
        <w:rPr>
          <w:b/>
          <w:bCs/>
        </w:rPr>
        <w:t>Sharma 7-1</w:t>
      </w:r>
      <w:r w:rsidRPr="00DA0D83">
        <w:rPr>
          <w:b/>
          <w:bCs/>
        </w:rPr>
        <w:t>2</w:t>
      </w:r>
      <w:r w:rsidRPr="00DA0D83">
        <w:t xml:space="preserve">-2021, </w:t>
      </w:r>
      <w:r w:rsidR="00655897">
        <w:t>(</w:t>
      </w:r>
      <w:proofErr w:type="spellStart"/>
      <w:r w:rsidR="00655897">
        <w:t>Trivun</w:t>
      </w:r>
      <w:proofErr w:type="spellEnd"/>
      <w:r w:rsidR="00655897">
        <w:t xml:space="preserve"> – </w:t>
      </w:r>
      <w:r w:rsidR="00655897" w:rsidRPr="00655897">
        <w:t>Ph.D. Scholar at the Faculty of Political Science and International Studies, University of Warsaw</w:t>
      </w:r>
      <w:r w:rsidR="00655897">
        <w:t xml:space="preserve">), </w:t>
      </w:r>
      <w:r w:rsidRPr="00DA0D83">
        <w:t xml:space="preserve">"The European Green Deal has implications for Russia," mint, </w:t>
      </w:r>
      <w:hyperlink r:id="rId6" w:history="1">
        <w:r w:rsidRPr="00956C1D">
          <w:rPr>
            <w:rStyle w:val="Hyperlink"/>
          </w:rPr>
          <w:t>https://www.livemint.com/opinion/online-views/the-european-green-deal-has-implications-for-russia-11626104918655.html</w:t>
        </w:r>
      </w:hyperlink>
      <w:r>
        <w:t xml:space="preserve"> [MT]</w:t>
      </w:r>
    </w:p>
    <w:p w14:paraId="32EAA63D" w14:textId="66F7B6A9" w:rsidR="00DA0D83" w:rsidRPr="00DA0D83" w:rsidRDefault="00DA0D83" w:rsidP="00DA0D83">
      <w:pPr>
        <w:rPr>
          <w:b/>
          <w:bCs/>
        </w:rPr>
      </w:pPr>
      <w:r w:rsidRPr="00DA0D83">
        <w:rPr>
          <w:b/>
          <w:bCs/>
          <w:highlight w:val="cyan"/>
          <w:u w:val="single"/>
        </w:rPr>
        <w:t>On 14 July</w:t>
      </w:r>
      <w:r w:rsidRPr="00DA0D83">
        <w:rPr>
          <w:b/>
          <w:bCs/>
          <w:u w:val="single"/>
        </w:rPr>
        <w:t xml:space="preserve">, as part of its ‘Fit for 55’ package, the </w:t>
      </w:r>
      <w:r w:rsidRPr="00DA0D83">
        <w:rPr>
          <w:b/>
          <w:bCs/>
          <w:highlight w:val="cyan"/>
          <w:u w:val="single"/>
        </w:rPr>
        <w:t>European Commission will propose</w:t>
      </w:r>
      <w:r w:rsidRPr="00DA0D83">
        <w:rPr>
          <w:b/>
          <w:bCs/>
          <w:u w:val="single"/>
        </w:rPr>
        <w:t xml:space="preserve"> a </w:t>
      </w:r>
      <w:r w:rsidRPr="00DA0D83">
        <w:rPr>
          <w:b/>
          <w:bCs/>
          <w:highlight w:val="cyan"/>
          <w:u w:val="single"/>
        </w:rPr>
        <w:t>dozen climate policies,</w:t>
      </w:r>
      <w:r w:rsidRPr="00DA0D83">
        <w:rPr>
          <w:b/>
          <w:bCs/>
          <w:u w:val="single"/>
        </w:rPr>
        <w:t xml:space="preserve"> each with the ambition </w:t>
      </w:r>
      <w:r w:rsidRPr="00DA0D83">
        <w:rPr>
          <w:b/>
          <w:bCs/>
          <w:highlight w:val="cyan"/>
          <w:u w:val="single"/>
        </w:rPr>
        <w:t>to curtail greenhouse gases</w:t>
      </w:r>
      <w:r w:rsidRPr="00DA0D83">
        <w:rPr>
          <w:u w:val="single"/>
        </w:rPr>
        <w:t>, in line with the goals stated in the European green deal program</w:t>
      </w:r>
      <w:r>
        <w:t xml:space="preserve">. The idea behind the green deal is to </w:t>
      </w:r>
      <w:r w:rsidRPr="00DA0D83">
        <w:rPr>
          <w:u w:val="single"/>
        </w:rPr>
        <w:t xml:space="preserve">change how energy is produced and consumed in the EU. Going by the targets set in the green deal the EU plans to cut greenhouse gas emissions by at least 50% compared to the 1990 levels by 2030 and </w:t>
      </w:r>
      <w:r w:rsidRPr="00DA0D83">
        <w:rPr>
          <w:b/>
          <w:bCs/>
          <w:u w:val="single"/>
        </w:rPr>
        <w:t xml:space="preserve">become </w:t>
      </w:r>
      <w:r w:rsidRPr="00DA0D83">
        <w:rPr>
          <w:b/>
          <w:bCs/>
          <w:highlight w:val="cyan"/>
          <w:u w:val="single"/>
        </w:rPr>
        <w:t>climate neutral by 2050</w:t>
      </w:r>
      <w:r w:rsidRPr="00DA0D83">
        <w:rPr>
          <w:b/>
          <w:bCs/>
          <w:u w:val="single"/>
        </w:rPr>
        <w:t>.</w:t>
      </w:r>
      <w:r w:rsidRPr="00DA0D83">
        <w:t xml:space="preserve"> </w:t>
      </w:r>
      <w:r w:rsidRPr="00DA0D83">
        <w:rPr>
          <w:u w:val="single"/>
        </w:rPr>
        <w:t xml:space="preserve">Such an ambitious program </w:t>
      </w:r>
      <w:r w:rsidRPr="00DA0D83">
        <w:rPr>
          <w:b/>
          <w:bCs/>
          <w:highlight w:val="cyan"/>
          <w:u w:val="single"/>
        </w:rPr>
        <w:t>will no doubt impact EU’s relations with</w:t>
      </w:r>
      <w:r w:rsidRPr="00DA0D83">
        <w:rPr>
          <w:b/>
          <w:bCs/>
          <w:u w:val="single"/>
        </w:rPr>
        <w:t xml:space="preserve"> most energy-producing countries, most importantly, </w:t>
      </w:r>
      <w:r w:rsidRPr="00DA0D83">
        <w:rPr>
          <w:b/>
          <w:bCs/>
          <w:highlight w:val="cyan"/>
          <w:u w:val="single"/>
        </w:rPr>
        <w:t>Russia.</w:t>
      </w:r>
    </w:p>
    <w:p w14:paraId="447A6557" w14:textId="3B77334C" w:rsidR="00DA0D83" w:rsidRPr="00DA0D83" w:rsidRDefault="00DA0D83" w:rsidP="00DA0D83">
      <w:pPr>
        <w:rPr>
          <w:b/>
          <w:bCs/>
          <w:u w:val="single"/>
        </w:rPr>
      </w:pPr>
      <w:r w:rsidRPr="00DA0D83">
        <w:rPr>
          <w:u w:val="single"/>
        </w:rPr>
        <w:t xml:space="preserve">According to the International Energy Agency report on EU’s Energy Policy Review 2020, renewables accounted an 18% share in the EU’s gross final consumption in 2018. This means that over three-quarters of energy consumed in the EU comes from fossil fuels. Oil dominates the energy mix with a 34.8% share, followed by natural gas and coal at 23.8 and 13.6%. </w:t>
      </w:r>
      <w:r w:rsidRPr="00DA0D83">
        <w:rPr>
          <w:b/>
          <w:bCs/>
          <w:u w:val="single"/>
        </w:rPr>
        <w:t>With the implementation of the European Green Deal, the composition of the current energy mix will undergo serious change.</w:t>
      </w:r>
    </w:p>
    <w:p w14:paraId="44DC425D" w14:textId="168D07F6" w:rsidR="00DA0D83" w:rsidRPr="00DA0D83" w:rsidRDefault="00DA0D83" w:rsidP="00DA0D83">
      <w:pPr>
        <w:rPr>
          <w:b/>
          <w:bCs/>
          <w:u w:val="single"/>
        </w:rPr>
      </w:pPr>
      <w:r>
        <w:t xml:space="preserve">As per the projections by the European Commission, dependence on fossil fuels would be curtailed by half by the end of the decade. The use of coal will be reduced sharply by 2030 while the phasing out of oil and natural gas is planned between 2030 and 2050. </w:t>
      </w:r>
      <w:r w:rsidRPr="00DA0D83">
        <w:rPr>
          <w:b/>
          <w:bCs/>
          <w:u w:val="single"/>
        </w:rPr>
        <w:t xml:space="preserve">By the middle of the century, the </w:t>
      </w:r>
      <w:r w:rsidRPr="00DA0D83">
        <w:rPr>
          <w:b/>
          <w:bCs/>
          <w:highlight w:val="cyan"/>
          <w:u w:val="single"/>
        </w:rPr>
        <w:t>EU plans to phase out oil completely</w:t>
      </w:r>
      <w:r w:rsidRPr="00DA0D83">
        <w:rPr>
          <w:b/>
          <w:bCs/>
          <w:u w:val="single"/>
        </w:rPr>
        <w:t xml:space="preserve"> and </w:t>
      </w:r>
      <w:r w:rsidRPr="00DA0D83">
        <w:rPr>
          <w:b/>
          <w:bCs/>
          <w:highlight w:val="cyan"/>
          <w:u w:val="single"/>
        </w:rPr>
        <w:t>limit the share of natural gas</w:t>
      </w:r>
      <w:r w:rsidRPr="00DA0D83">
        <w:rPr>
          <w:b/>
          <w:bCs/>
          <w:u w:val="single"/>
        </w:rPr>
        <w:t xml:space="preserve"> to about a </w:t>
      </w:r>
      <w:r w:rsidRPr="00DA0D83">
        <w:rPr>
          <w:b/>
          <w:bCs/>
          <w:highlight w:val="cyan"/>
          <w:u w:val="single"/>
        </w:rPr>
        <w:t>tenth</w:t>
      </w:r>
      <w:r w:rsidRPr="00DA0D83">
        <w:rPr>
          <w:b/>
          <w:bCs/>
          <w:u w:val="single"/>
        </w:rPr>
        <w:t xml:space="preserve"> of the overall current energy </w:t>
      </w:r>
      <w:r w:rsidRPr="00DA0D83">
        <w:rPr>
          <w:u w:val="single"/>
        </w:rPr>
        <w:t xml:space="preserve">mix. It is, therefore, the </w:t>
      </w:r>
      <w:r w:rsidRPr="00DA0D83">
        <w:rPr>
          <w:b/>
          <w:bCs/>
          <w:u w:val="single"/>
        </w:rPr>
        <w:t xml:space="preserve">long-term </w:t>
      </w:r>
      <w:r w:rsidRPr="00DA0D83">
        <w:rPr>
          <w:b/>
          <w:bCs/>
          <w:highlight w:val="cyan"/>
          <w:u w:val="single"/>
        </w:rPr>
        <w:t>phasing out of oil</w:t>
      </w:r>
      <w:r w:rsidRPr="00DA0D83">
        <w:rPr>
          <w:b/>
          <w:bCs/>
          <w:u w:val="single"/>
        </w:rPr>
        <w:t xml:space="preserve"> and natural gas that will have implications </w:t>
      </w:r>
      <w:r w:rsidRPr="00DA0D83">
        <w:rPr>
          <w:b/>
          <w:bCs/>
          <w:highlight w:val="cyan"/>
          <w:u w:val="single"/>
        </w:rPr>
        <w:t>for</w:t>
      </w:r>
      <w:r w:rsidRPr="00DA0D83">
        <w:rPr>
          <w:b/>
          <w:bCs/>
          <w:u w:val="single"/>
        </w:rPr>
        <w:t xml:space="preserve"> both the political and </w:t>
      </w:r>
      <w:r w:rsidRPr="00DA0D83">
        <w:rPr>
          <w:b/>
          <w:bCs/>
          <w:highlight w:val="cyan"/>
          <w:u w:val="single"/>
        </w:rPr>
        <w:t>economic</w:t>
      </w:r>
      <w:r w:rsidRPr="00DA0D83">
        <w:rPr>
          <w:b/>
          <w:bCs/>
          <w:u w:val="single"/>
        </w:rPr>
        <w:t xml:space="preserve"> relationship with </w:t>
      </w:r>
      <w:r w:rsidRPr="00DA0D83">
        <w:rPr>
          <w:b/>
          <w:bCs/>
          <w:highlight w:val="cyan"/>
          <w:u w:val="single"/>
        </w:rPr>
        <w:t>Russia.</w:t>
      </w:r>
    </w:p>
    <w:p w14:paraId="5B3CCD54" w14:textId="12FD32A8" w:rsidR="00DA0D83" w:rsidRDefault="00DA0D83" w:rsidP="00DA0D83">
      <w:r w:rsidRPr="00DA0D83">
        <w:rPr>
          <w:b/>
          <w:bCs/>
          <w:u w:val="single"/>
        </w:rPr>
        <w:t>There are two important ways in which the European green deal concerns Russia</w:t>
      </w:r>
      <w:r w:rsidRPr="00DA0D83">
        <w:rPr>
          <w:u w:val="single"/>
        </w:rPr>
        <w:t xml:space="preserve">. First, </w:t>
      </w:r>
      <w:r w:rsidRPr="00DA0D83">
        <w:rPr>
          <w:highlight w:val="cyan"/>
          <w:u w:val="single"/>
        </w:rPr>
        <w:t xml:space="preserve">the </w:t>
      </w:r>
      <w:r w:rsidRPr="00DA0D83">
        <w:rPr>
          <w:b/>
          <w:bCs/>
          <w:highlight w:val="cyan"/>
          <w:u w:val="single"/>
        </w:rPr>
        <w:t>future demand for Russian fossil fuels will shrink</w:t>
      </w:r>
      <w:r w:rsidRPr="00DA0D83">
        <w:rPr>
          <w:b/>
          <w:bCs/>
          <w:u w:val="single"/>
        </w:rPr>
        <w:t>.</w:t>
      </w:r>
      <w:r w:rsidRPr="00DA0D83">
        <w:rPr>
          <w:u w:val="single"/>
        </w:rPr>
        <w:t xml:space="preserve"> As per the stated goals, the demand for coal will fall, followed by oil and natural gas. Oil and natural gas export form a major part of the Russian budget</w:t>
      </w:r>
      <w:r>
        <w:t xml:space="preserve">. According to the data published by the Russian Federal State Statistics Service, the share of oil and gas production in the Russian economy increased from 34.3% in 2010 to 38.9% in 2018. </w:t>
      </w:r>
      <w:r w:rsidRPr="00DA0D83">
        <w:rPr>
          <w:u w:val="single"/>
        </w:rPr>
        <w:t xml:space="preserve">Nearly </w:t>
      </w:r>
      <w:r w:rsidRPr="00DA0D83">
        <w:rPr>
          <w:b/>
          <w:bCs/>
          <w:highlight w:val="cyan"/>
          <w:u w:val="single"/>
        </w:rPr>
        <w:t>half of Russia’s fossil fuel exports go to the European markets</w:t>
      </w:r>
      <w:r w:rsidRPr="00DA0D83">
        <w:rPr>
          <w:u w:val="single"/>
        </w:rPr>
        <w:t xml:space="preserve">, making it vulnerable to policy shocks and changes in consumption patterns. Russia can substantiate its loss for energy demand by diversifying its export product and market. Nevertheless, given the fact that </w:t>
      </w:r>
      <w:r w:rsidRPr="00DA0D83">
        <w:rPr>
          <w:b/>
          <w:bCs/>
          <w:highlight w:val="cyan"/>
          <w:u w:val="single"/>
        </w:rPr>
        <w:t>Europe</w:t>
      </w:r>
      <w:r w:rsidRPr="00DA0D83">
        <w:rPr>
          <w:b/>
          <w:bCs/>
          <w:u w:val="single"/>
        </w:rPr>
        <w:t xml:space="preserve"> remains </w:t>
      </w:r>
      <w:r w:rsidRPr="00DA0D83">
        <w:rPr>
          <w:b/>
          <w:bCs/>
          <w:highlight w:val="cyan"/>
          <w:u w:val="single"/>
        </w:rPr>
        <w:t>Russia’s largest purchaser of oil</w:t>
      </w:r>
      <w:r w:rsidRPr="00DA0D83">
        <w:rPr>
          <w:b/>
          <w:bCs/>
          <w:u w:val="single"/>
        </w:rPr>
        <w:t>, coal and gas</w:t>
      </w:r>
      <w:r w:rsidRPr="00DA0D83">
        <w:rPr>
          <w:u w:val="single"/>
        </w:rPr>
        <w:t>, the impact on its economy will be severe.</w:t>
      </w:r>
    </w:p>
    <w:p w14:paraId="33F40F63" w14:textId="6EA03424" w:rsidR="00DA0D83" w:rsidRDefault="00DA0D83" w:rsidP="00DA0D83">
      <w:r w:rsidRPr="00DA0D83">
        <w:rPr>
          <w:u w:val="single"/>
        </w:rPr>
        <w:t>The sec</w:t>
      </w:r>
      <w:r w:rsidRPr="00DA0D83">
        <w:rPr>
          <w:b/>
          <w:bCs/>
          <w:u w:val="single"/>
        </w:rPr>
        <w:t>ond challenge for Russia is in the form of a carbon border adjustment mechanism that the EU plans to introduce.</w:t>
      </w:r>
      <w:r w:rsidRPr="00DA0D83">
        <w:rPr>
          <w:u w:val="single"/>
        </w:rPr>
        <w:t xml:space="preserve"> Simply put, the </w:t>
      </w:r>
      <w:r w:rsidRPr="00DA0D83">
        <w:rPr>
          <w:b/>
          <w:bCs/>
          <w:u w:val="single"/>
        </w:rPr>
        <w:t>EU wants to introduce a tax related to the volume of emissions caused by the production of imported good</w:t>
      </w:r>
      <w:r w:rsidRPr="00DA0D83">
        <w:rPr>
          <w:u w:val="single"/>
        </w:rPr>
        <w:t>s</w:t>
      </w:r>
      <w:r>
        <w:t>. The idea behind the tax mechanism is to prevent countries from shifting carbon-intensive production units to countries with weaker environmental laws and standards and to motivate them to adopted environmental standards similar to those of the EU.</w:t>
      </w:r>
    </w:p>
    <w:p w14:paraId="376BF29A" w14:textId="56EA1E7B" w:rsidR="00DA0D83" w:rsidRPr="00DA0D83" w:rsidRDefault="00DA0D83" w:rsidP="00DA0D83">
      <w:pPr>
        <w:rPr>
          <w:b/>
          <w:bCs/>
          <w:u w:val="single"/>
        </w:rPr>
      </w:pPr>
      <w:r w:rsidRPr="00DA0D83">
        <w:rPr>
          <w:u w:val="single"/>
        </w:rPr>
        <w:t xml:space="preserve">The tax mechanism concerns goods that consume a significant amount of energy to produce and transport. In the case of Russian exports to European countries, these include metals, fertilizers and chemicals. </w:t>
      </w:r>
      <w:r w:rsidRPr="00DA0D83">
        <w:rPr>
          <w:b/>
          <w:bCs/>
          <w:u w:val="single"/>
        </w:rPr>
        <w:t xml:space="preserve">With the introduction of the </w:t>
      </w:r>
      <w:r w:rsidRPr="00DA0D83">
        <w:rPr>
          <w:b/>
          <w:bCs/>
          <w:highlight w:val="cyan"/>
          <w:u w:val="single"/>
        </w:rPr>
        <w:t>cross-border tax mechanism</w:t>
      </w:r>
      <w:r w:rsidRPr="00DA0D83">
        <w:rPr>
          <w:b/>
          <w:bCs/>
          <w:u w:val="single"/>
        </w:rPr>
        <w:t xml:space="preserve">, </w:t>
      </w:r>
      <w:r w:rsidRPr="00DA0D83">
        <w:rPr>
          <w:b/>
          <w:bCs/>
          <w:highlight w:val="cyan"/>
          <w:u w:val="single"/>
        </w:rPr>
        <w:t>42% of all Russian exports to</w:t>
      </w:r>
      <w:r w:rsidRPr="00DA0D83">
        <w:rPr>
          <w:b/>
          <w:bCs/>
          <w:u w:val="single"/>
        </w:rPr>
        <w:t xml:space="preserve"> the </w:t>
      </w:r>
      <w:r w:rsidRPr="00DA0D83">
        <w:rPr>
          <w:b/>
          <w:bCs/>
          <w:highlight w:val="cyan"/>
          <w:u w:val="single"/>
        </w:rPr>
        <w:t>EU</w:t>
      </w:r>
      <w:r w:rsidRPr="00DA0D83">
        <w:rPr>
          <w:b/>
          <w:bCs/>
          <w:u w:val="single"/>
        </w:rPr>
        <w:t xml:space="preserve"> are estimated to be </w:t>
      </w:r>
      <w:r w:rsidRPr="00DA0D83">
        <w:rPr>
          <w:b/>
          <w:bCs/>
          <w:highlight w:val="cyan"/>
          <w:u w:val="single"/>
        </w:rPr>
        <w:t>impacted</w:t>
      </w:r>
      <w:r>
        <w:t xml:space="preserve">. Moreover, </w:t>
      </w:r>
      <w:r w:rsidRPr="00DA0D83">
        <w:rPr>
          <w:b/>
          <w:bCs/>
          <w:u w:val="single"/>
        </w:rPr>
        <w:t xml:space="preserve">not only will the </w:t>
      </w:r>
      <w:r w:rsidRPr="00DA0D83">
        <w:rPr>
          <w:b/>
          <w:bCs/>
          <w:highlight w:val="cyan"/>
          <w:u w:val="single"/>
        </w:rPr>
        <w:t>production cost</w:t>
      </w:r>
      <w:r w:rsidRPr="00DA0D83">
        <w:rPr>
          <w:b/>
          <w:bCs/>
          <w:u w:val="single"/>
        </w:rPr>
        <w:t xml:space="preserve"> of such goods </w:t>
      </w:r>
      <w:r w:rsidRPr="00DA0D83">
        <w:rPr>
          <w:b/>
          <w:bCs/>
          <w:highlight w:val="cyan"/>
          <w:u w:val="single"/>
        </w:rPr>
        <w:t>increase</w:t>
      </w:r>
      <w:r w:rsidRPr="00DA0D83">
        <w:rPr>
          <w:b/>
          <w:bCs/>
          <w:u w:val="single"/>
        </w:rPr>
        <w:t xml:space="preserve">, making them </w:t>
      </w:r>
      <w:r w:rsidRPr="00DA0D83">
        <w:rPr>
          <w:b/>
          <w:bCs/>
          <w:highlight w:val="cyan"/>
          <w:u w:val="single"/>
        </w:rPr>
        <w:t>less competitive globally</w:t>
      </w:r>
      <w:r w:rsidRPr="00DA0D83">
        <w:rPr>
          <w:b/>
          <w:bCs/>
          <w:u w:val="single"/>
        </w:rPr>
        <w:t xml:space="preserve">, but a </w:t>
      </w:r>
      <w:r w:rsidRPr="00DA0D83">
        <w:rPr>
          <w:b/>
          <w:bCs/>
          <w:highlight w:val="cyan"/>
          <w:u w:val="single"/>
        </w:rPr>
        <w:t>precedent</w:t>
      </w:r>
      <w:r w:rsidRPr="00DA0D83">
        <w:rPr>
          <w:b/>
          <w:bCs/>
          <w:u w:val="single"/>
        </w:rPr>
        <w:t xml:space="preserve"> would be </w:t>
      </w:r>
      <w:r w:rsidRPr="00DA0D83">
        <w:rPr>
          <w:b/>
          <w:bCs/>
          <w:highlight w:val="cyan"/>
          <w:u w:val="single"/>
        </w:rPr>
        <w:t>set</w:t>
      </w:r>
      <w:r w:rsidRPr="00DA0D83">
        <w:rPr>
          <w:b/>
          <w:bCs/>
          <w:u w:val="single"/>
        </w:rPr>
        <w:t xml:space="preserve"> wherein exports to European markets</w:t>
      </w:r>
      <w:r w:rsidRPr="00DA0D83">
        <w:rPr>
          <w:u w:val="single"/>
        </w:rPr>
        <w:t xml:space="preserve"> will become </w:t>
      </w:r>
      <w:r w:rsidRPr="00DA0D83">
        <w:rPr>
          <w:b/>
          <w:bCs/>
          <w:highlight w:val="cyan"/>
          <w:u w:val="single"/>
        </w:rPr>
        <w:t>subject to the standards set by</w:t>
      </w:r>
      <w:r w:rsidRPr="00DA0D83">
        <w:rPr>
          <w:b/>
          <w:bCs/>
          <w:u w:val="single"/>
        </w:rPr>
        <w:t xml:space="preserve"> the </w:t>
      </w:r>
      <w:r w:rsidRPr="00DA0D83">
        <w:rPr>
          <w:b/>
          <w:bCs/>
          <w:highlight w:val="cyan"/>
          <w:u w:val="single"/>
        </w:rPr>
        <w:t>EU</w:t>
      </w:r>
      <w:r w:rsidRPr="00DA0D83">
        <w:rPr>
          <w:b/>
          <w:bCs/>
          <w:u w:val="single"/>
        </w:rPr>
        <w:t>.</w:t>
      </w:r>
    </w:p>
    <w:p w14:paraId="0BBABAC5" w14:textId="154D70B9" w:rsidR="00DA0D83" w:rsidRPr="00DA0D83" w:rsidRDefault="00DA0D83" w:rsidP="00DA0D83">
      <w:pPr>
        <w:rPr>
          <w:u w:val="single"/>
        </w:rPr>
      </w:pPr>
      <w:r w:rsidRPr="00DA0D83">
        <w:rPr>
          <w:u w:val="single"/>
        </w:rPr>
        <w:t xml:space="preserve">The long-term risks associated with the European green deal put </w:t>
      </w:r>
      <w:r w:rsidRPr="00DA0D83">
        <w:rPr>
          <w:b/>
          <w:bCs/>
          <w:highlight w:val="cyan"/>
          <w:u w:val="single"/>
        </w:rPr>
        <w:t>Russia</w:t>
      </w:r>
      <w:r w:rsidRPr="00DA0D83">
        <w:rPr>
          <w:b/>
          <w:bCs/>
          <w:u w:val="single"/>
        </w:rPr>
        <w:t xml:space="preserve"> at the crossroads</w:t>
      </w:r>
      <w:r w:rsidRPr="00DA0D83">
        <w:rPr>
          <w:u w:val="single"/>
        </w:rPr>
        <w:t xml:space="preserve">. It can </w:t>
      </w:r>
      <w:r w:rsidRPr="00DA0D83">
        <w:rPr>
          <w:b/>
          <w:bCs/>
          <w:highlight w:val="cyan"/>
          <w:u w:val="single"/>
        </w:rPr>
        <w:t>try to decrease its dependence on</w:t>
      </w:r>
      <w:r w:rsidRPr="00DA0D83">
        <w:rPr>
          <w:b/>
          <w:bCs/>
          <w:u w:val="single"/>
        </w:rPr>
        <w:t xml:space="preserve"> the </w:t>
      </w:r>
      <w:r w:rsidRPr="00DA0D83">
        <w:rPr>
          <w:b/>
          <w:bCs/>
          <w:highlight w:val="cyan"/>
          <w:u w:val="single"/>
        </w:rPr>
        <w:t>Europe</w:t>
      </w:r>
      <w:r w:rsidRPr="00DA0D83">
        <w:rPr>
          <w:b/>
          <w:bCs/>
          <w:u w:val="single"/>
        </w:rPr>
        <w:t xml:space="preserve">an market by </w:t>
      </w:r>
      <w:r w:rsidRPr="00DA0D83">
        <w:rPr>
          <w:b/>
          <w:bCs/>
          <w:highlight w:val="cyan"/>
          <w:u w:val="single"/>
        </w:rPr>
        <w:t>increasing exports to Asia</w:t>
      </w:r>
      <w:r w:rsidRPr="00DA0D83">
        <w:rPr>
          <w:u w:val="single"/>
        </w:rPr>
        <w:t xml:space="preserve">, targeting countries like China, Japan and Korea. However, </w:t>
      </w:r>
      <w:r w:rsidRPr="00DA0D83">
        <w:rPr>
          <w:b/>
          <w:bCs/>
          <w:highlight w:val="cyan"/>
          <w:u w:val="single"/>
        </w:rPr>
        <w:t>these countries</w:t>
      </w:r>
      <w:r w:rsidRPr="00DA0D83">
        <w:rPr>
          <w:b/>
          <w:bCs/>
          <w:u w:val="single"/>
        </w:rPr>
        <w:t xml:space="preserve"> themselves </w:t>
      </w:r>
      <w:r w:rsidRPr="00DA0D83">
        <w:rPr>
          <w:b/>
          <w:bCs/>
          <w:highlight w:val="cyan"/>
          <w:u w:val="single"/>
        </w:rPr>
        <w:t>plan to achieve climate neutrality by 2050</w:t>
      </w:r>
      <w:r w:rsidRPr="00DA0D83">
        <w:rPr>
          <w:u w:val="single"/>
        </w:rPr>
        <w:t xml:space="preserve"> and in China’s case by 2060. Moreover, </w:t>
      </w:r>
      <w:r w:rsidRPr="00DA0D83">
        <w:rPr>
          <w:b/>
          <w:bCs/>
          <w:highlight w:val="cyan"/>
          <w:u w:val="single"/>
        </w:rPr>
        <w:t>simply shifting markets would not solve</w:t>
      </w:r>
      <w:r w:rsidRPr="00DA0D83">
        <w:rPr>
          <w:b/>
          <w:bCs/>
          <w:u w:val="single"/>
        </w:rPr>
        <w:t xml:space="preserve"> the problem for Russia </w:t>
      </w:r>
      <w:r w:rsidRPr="00DA0D83">
        <w:rPr>
          <w:b/>
          <w:bCs/>
          <w:highlight w:val="cyan"/>
          <w:u w:val="single"/>
        </w:rPr>
        <w:t>if it is not paired with a green transformation of</w:t>
      </w:r>
      <w:r w:rsidRPr="00DA0D83">
        <w:rPr>
          <w:b/>
          <w:bCs/>
          <w:u w:val="single"/>
        </w:rPr>
        <w:t xml:space="preserve"> its e</w:t>
      </w:r>
      <w:r w:rsidRPr="00DA0D83">
        <w:rPr>
          <w:b/>
          <w:bCs/>
          <w:highlight w:val="cyan"/>
          <w:u w:val="single"/>
        </w:rPr>
        <w:t>nergy</w:t>
      </w:r>
      <w:r w:rsidRPr="00DA0D83">
        <w:rPr>
          <w:b/>
          <w:bCs/>
          <w:u w:val="single"/>
        </w:rPr>
        <w:t xml:space="preserve"> production that would </w:t>
      </w:r>
      <w:r w:rsidRPr="00DA0D83">
        <w:rPr>
          <w:b/>
          <w:bCs/>
          <w:highlight w:val="cyan"/>
          <w:u w:val="single"/>
        </w:rPr>
        <w:t>allow it to service</w:t>
      </w:r>
      <w:r w:rsidRPr="00DA0D83">
        <w:rPr>
          <w:b/>
          <w:bCs/>
          <w:u w:val="single"/>
        </w:rPr>
        <w:t xml:space="preserve"> the </w:t>
      </w:r>
      <w:r w:rsidRPr="00DA0D83">
        <w:rPr>
          <w:b/>
          <w:bCs/>
          <w:highlight w:val="cyan"/>
          <w:u w:val="single"/>
        </w:rPr>
        <w:t>European market</w:t>
      </w:r>
      <w:r w:rsidRPr="00DA0D83">
        <w:rPr>
          <w:b/>
          <w:bCs/>
          <w:highlight w:val="cyan"/>
        </w:rPr>
        <w:t>.</w:t>
      </w:r>
      <w:r>
        <w:t xml:space="preserve"> In the next two decades, demand for Russian natural gas in Europe will increase due to the phasing out of coal and oil. </w:t>
      </w:r>
      <w:r w:rsidRPr="00DA0D83">
        <w:rPr>
          <w:b/>
          <w:bCs/>
          <w:u w:val="single"/>
        </w:rPr>
        <w:t xml:space="preserve">Russia can use this period to prioritize technological restructuring of its economy by </w:t>
      </w:r>
      <w:r w:rsidRPr="00DA0D83">
        <w:rPr>
          <w:b/>
          <w:bCs/>
          <w:highlight w:val="cyan"/>
          <w:u w:val="single"/>
        </w:rPr>
        <w:t>initiating energy transition policies</w:t>
      </w:r>
      <w:r w:rsidRPr="00DA0D83">
        <w:rPr>
          <w:b/>
          <w:bCs/>
          <w:u w:val="single"/>
        </w:rPr>
        <w:t xml:space="preserve"> that </w:t>
      </w:r>
      <w:r w:rsidRPr="00DA0D83">
        <w:rPr>
          <w:b/>
          <w:bCs/>
          <w:highlight w:val="cyan"/>
          <w:u w:val="single"/>
        </w:rPr>
        <w:t>incentivize</w:t>
      </w:r>
      <w:r w:rsidRPr="00DA0D83">
        <w:rPr>
          <w:b/>
          <w:bCs/>
          <w:u w:val="single"/>
        </w:rPr>
        <w:t xml:space="preserve"> the </w:t>
      </w:r>
      <w:r w:rsidRPr="00DA0D83">
        <w:rPr>
          <w:b/>
          <w:bCs/>
          <w:highlight w:val="cyan"/>
          <w:u w:val="single"/>
        </w:rPr>
        <w:t>growth of clean energy</w:t>
      </w:r>
      <w:r w:rsidRPr="00DA0D83">
        <w:rPr>
          <w:b/>
          <w:bCs/>
          <w:u w:val="single"/>
        </w:rPr>
        <w:t xml:space="preserve"> technologies</w:t>
      </w:r>
      <w:r w:rsidRPr="00DA0D83">
        <w:rPr>
          <w:u w:val="single"/>
        </w:rPr>
        <w:t xml:space="preserve">. Not only will this </w:t>
      </w:r>
      <w:r w:rsidRPr="00DA0D83">
        <w:rPr>
          <w:b/>
          <w:bCs/>
          <w:highlight w:val="cyan"/>
          <w:u w:val="single"/>
        </w:rPr>
        <w:t>allow Russia to retain</w:t>
      </w:r>
      <w:r w:rsidRPr="00DA0D83">
        <w:rPr>
          <w:b/>
          <w:bCs/>
          <w:u w:val="single"/>
        </w:rPr>
        <w:t xml:space="preserve"> a </w:t>
      </w:r>
      <w:r w:rsidRPr="00DA0D83">
        <w:rPr>
          <w:b/>
          <w:bCs/>
          <w:highlight w:val="cyan"/>
          <w:u w:val="single"/>
        </w:rPr>
        <w:t>share of</w:t>
      </w:r>
      <w:r w:rsidRPr="00DA0D83">
        <w:rPr>
          <w:b/>
          <w:bCs/>
          <w:u w:val="single"/>
        </w:rPr>
        <w:t xml:space="preserve"> the </w:t>
      </w:r>
      <w:r w:rsidRPr="00DA0D83">
        <w:rPr>
          <w:b/>
          <w:bCs/>
          <w:highlight w:val="cyan"/>
          <w:u w:val="single"/>
        </w:rPr>
        <w:t>future global market</w:t>
      </w:r>
      <w:r w:rsidRPr="00DA0D83">
        <w:rPr>
          <w:b/>
          <w:bCs/>
          <w:u w:val="single"/>
        </w:rPr>
        <w:t xml:space="preserve">, but also </w:t>
      </w:r>
      <w:r w:rsidRPr="00DA0D83">
        <w:rPr>
          <w:b/>
          <w:bCs/>
          <w:highlight w:val="cyan"/>
          <w:u w:val="single"/>
        </w:rPr>
        <w:t>keep its door open for trade with</w:t>
      </w:r>
      <w:r w:rsidRPr="00DA0D83">
        <w:rPr>
          <w:b/>
          <w:bCs/>
          <w:u w:val="single"/>
        </w:rPr>
        <w:t xml:space="preserve"> western </w:t>
      </w:r>
      <w:r w:rsidRPr="00DA0D83">
        <w:rPr>
          <w:b/>
          <w:bCs/>
          <w:highlight w:val="cyan"/>
          <w:u w:val="single"/>
        </w:rPr>
        <w:t>Europe</w:t>
      </w:r>
      <w:r w:rsidRPr="00DA0D83">
        <w:rPr>
          <w:b/>
          <w:bCs/>
          <w:u w:val="single"/>
        </w:rPr>
        <w:t>an countries.</w:t>
      </w:r>
    </w:p>
    <w:p w14:paraId="413BFE6A" w14:textId="159BCE7E" w:rsidR="00DA0D83" w:rsidRPr="00DA0D83" w:rsidRDefault="00DA0D83" w:rsidP="00DA0D83">
      <w:pPr>
        <w:rPr>
          <w:b/>
          <w:bCs/>
          <w:u w:val="single"/>
        </w:rPr>
      </w:pPr>
      <w:r w:rsidRPr="00DA0D83">
        <w:rPr>
          <w:b/>
          <w:bCs/>
          <w:highlight w:val="cyan"/>
          <w:u w:val="single"/>
        </w:rPr>
        <w:t>Russian companies</w:t>
      </w:r>
      <w:r w:rsidRPr="00DA0D83">
        <w:rPr>
          <w:b/>
          <w:bCs/>
          <w:u w:val="single"/>
        </w:rPr>
        <w:t xml:space="preserve"> have showcased their </w:t>
      </w:r>
      <w:r w:rsidRPr="00DA0D83">
        <w:rPr>
          <w:b/>
          <w:bCs/>
          <w:highlight w:val="cyan"/>
          <w:u w:val="single"/>
        </w:rPr>
        <w:t>willingness to work</w:t>
      </w:r>
      <w:r w:rsidRPr="00DA0D83">
        <w:rPr>
          <w:b/>
          <w:bCs/>
          <w:u w:val="single"/>
        </w:rPr>
        <w:t xml:space="preserve"> with foreign players</w:t>
      </w:r>
      <w:r w:rsidRPr="00DA0D83">
        <w:rPr>
          <w:u w:val="single"/>
        </w:rPr>
        <w:t xml:space="preserve"> like BP, Shell and Total to </w:t>
      </w:r>
      <w:r w:rsidRPr="00DA0D83">
        <w:rPr>
          <w:b/>
          <w:bCs/>
          <w:highlight w:val="cyan"/>
          <w:u w:val="single"/>
        </w:rPr>
        <w:t>transition to</w:t>
      </w:r>
      <w:r w:rsidRPr="00DA0D83">
        <w:rPr>
          <w:b/>
          <w:bCs/>
          <w:u w:val="single"/>
        </w:rPr>
        <w:t xml:space="preserve"> low and </w:t>
      </w:r>
      <w:r w:rsidRPr="00DA0D83">
        <w:rPr>
          <w:b/>
          <w:bCs/>
          <w:highlight w:val="cyan"/>
          <w:u w:val="single"/>
        </w:rPr>
        <w:t>zero-carbon tech</w:t>
      </w:r>
      <w:r w:rsidRPr="00DA0D83">
        <w:rPr>
          <w:b/>
          <w:bCs/>
          <w:u w:val="single"/>
        </w:rPr>
        <w:t>nologies</w:t>
      </w:r>
      <w:r w:rsidRPr="00DA0D83">
        <w:rPr>
          <w:u w:val="single"/>
        </w:rPr>
        <w:t>.</w:t>
      </w:r>
      <w:r>
        <w:t xml:space="preserve"> In October 2020</w:t>
      </w:r>
      <w:r w:rsidRPr="00DA0D83">
        <w:rPr>
          <w:u w:val="single"/>
        </w:rPr>
        <w:t xml:space="preserve">, </w:t>
      </w:r>
      <w:r w:rsidRPr="00DA0D83">
        <w:rPr>
          <w:b/>
          <w:bCs/>
          <w:highlight w:val="cyan"/>
          <w:u w:val="single"/>
        </w:rPr>
        <w:t>Russia adopted</w:t>
      </w:r>
      <w:r w:rsidRPr="00DA0D83">
        <w:rPr>
          <w:b/>
          <w:bCs/>
          <w:u w:val="single"/>
        </w:rPr>
        <w:t xml:space="preserve"> a </w:t>
      </w:r>
      <w:r w:rsidRPr="00DA0D83">
        <w:rPr>
          <w:b/>
          <w:bCs/>
          <w:highlight w:val="cyan"/>
          <w:u w:val="single"/>
        </w:rPr>
        <w:t>roadmap for</w:t>
      </w:r>
      <w:r w:rsidRPr="00DA0D83">
        <w:rPr>
          <w:b/>
          <w:bCs/>
          <w:u w:val="single"/>
        </w:rPr>
        <w:t xml:space="preserve"> its </w:t>
      </w:r>
      <w:r w:rsidRPr="00DA0D83">
        <w:rPr>
          <w:b/>
          <w:bCs/>
          <w:highlight w:val="cyan"/>
          <w:u w:val="single"/>
        </w:rPr>
        <w:t>hydrogen development strategy to replace fossil fuel</w:t>
      </w:r>
      <w:r w:rsidRPr="00DA0D83">
        <w:rPr>
          <w:b/>
          <w:bCs/>
          <w:u w:val="single"/>
        </w:rPr>
        <w:t xml:space="preserve">, possibly hinting at a </w:t>
      </w:r>
      <w:r w:rsidRPr="00DA0D83">
        <w:rPr>
          <w:b/>
          <w:bCs/>
          <w:highlight w:val="cyan"/>
          <w:u w:val="single"/>
        </w:rPr>
        <w:t>new kind of energy relationship with Europe</w:t>
      </w:r>
      <w:r w:rsidRPr="00DA0D83">
        <w:rPr>
          <w:u w:val="single"/>
        </w:rPr>
        <w:t xml:space="preserve">. </w:t>
      </w:r>
      <w:r w:rsidRPr="00DA0D83">
        <w:rPr>
          <w:b/>
          <w:bCs/>
          <w:u w:val="single"/>
        </w:rPr>
        <w:t xml:space="preserve">Amid the steadily worsening political relations with the West, </w:t>
      </w:r>
      <w:r w:rsidRPr="00DA0D83">
        <w:rPr>
          <w:b/>
          <w:bCs/>
          <w:highlight w:val="cyan"/>
          <w:u w:val="single"/>
        </w:rPr>
        <w:t>coop</w:t>
      </w:r>
      <w:r w:rsidRPr="00DA0D83">
        <w:rPr>
          <w:b/>
          <w:bCs/>
          <w:u w:val="single"/>
        </w:rPr>
        <w:t xml:space="preserve">eration </w:t>
      </w:r>
      <w:r w:rsidRPr="00DA0D83">
        <w:rPr>
          <w:b/>
          <w:bCs/>
          <w:highlight w:val="cyan"/>
          <w:u w:val="single"/>
        </w:rPr>
        <w:t>in clean energy</w:t>
      </w:r>
      <w:r w:rsidRPr="00DA0D83">
        <w:rPr>
          <w:b/>
          <w:bCs/>
          <w:u w:val="single"/>
        </w:rPr>
        <w:t xml:space="preserve"> technologies</w:t>
      </w:r>
      <w:r w:rsidRPr="00DA0D83">
        <w:rPr>
          <w:u w:val="single"/>
        </w:rPr>
        <w:t xml:space="preserve">, particularly in hydrogen production, </w:t>
      </w:r>
      <w:r w:rsidRPr="00DA0D83">
        <w:rPr>
          <w:highlight w:val="cyan"/>
          <w:u w:val="single"/>
        </w:rPr>
        <w:t>can</w:t>
      </w:r>
      <w:r w:rsidRPr="00DA0D83">
        <w:rPr>
          <w:u w:val="single"/>
        </w:rPr>
        <w:t xml:space="preserve"> turn out to </w:t>
      </w:r>
      <w:r w:rsidRPr="00DA0D83">
        <w:rPr>
          <w:highlight w:val="cyan"/>
          <w:u w:val="single"/>
        </w:rPr>
        <w:t>be</w:t>
      </w:r>
      <w:r w:rsidRPr="00DA0D83">
        <w:rPr>
          <w:u w:val="single"/>
        </w:rPr>
        <w:t xml:space="preserve"> </w:t>
      </w:r>
      <w:r w:rsidRPr="00DA0D83">
        <w:rPr>
          <w:b/>
          <w:bCs/>
          <w:u w:val="single"/>
        </w:rPr>
        <w:t xml:space="preserve">one of the few </w:t>
      </w:r>
      <w:r w:rsidRPr="00DA0D83">
        <w:rPr>
          <w:b/>
          <w:bCs/>
          <w:highlight w:val="cyan"/>
          <w:u w:val="single"/>
        </w:rPr>
        <w:t>promising area</w:t>
      </w:r>
      <w:r w:rsidRPr="00DA0D83">
        <w:rPr>
          <w:b/>
          <w:bCs/>
          <w:u w:val="single"/>
        </w:rPr>
        <w:t xml:space="preserve">s </w:t>
      </w:r>
      <w:r w:rsidRPr="00DA0D83">
        <w:rPr>
          <w:b/>
          <w:bCs/>
          <w:highlight w:val="cyan"/>
          <w:u w:val="single"/>
        </w:rPr>
        <w:t>of coop</w:t>
      </w:r>
      <w:r w:rsidRPr="00DA0D83">
        <w:rPr>
          <w:b/>
          <w:bCs/>
          <w:u w:val="single"/>
        </w:rPr>
        <w:t xml:space="preserve">eration between </w:t>
      </w:r>
      <w:r w:rsidRPr="00DA0D83">
        <w:rPr>
          <w:b/>
          <w:bCs/>
          <w:highlight w:val="cyan"/>
          <w:u w:val="single"/>
        </w:rPr>
        <w:t>Russia and Europe.</w:t>
      </w:r>
    </w:p>
    <w:sectPr w:rsidR="00DA0D83" w:rsidRPr="00DA0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3E"/>
    <w:rsid w:val="00066869"/>
    <w:rsid w:val="0053253E"/>
    <w:rsid w:val="005F66C4"/>
    <w:rsid w:val="00655897"/>
    <w:rsid w:val="00DA0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8DE78"/>
  <w15:chartTrackingRefBased/>
  <w15:docId w15:val="{4BEC2029-0A4A-4B3C-B324-9FEB518DA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A0D83"/>
    <w:rPr>
      <w:rFonts w:ascii="Calibri" w:hAnsi="Calibri"/>
    </w:rPr>
  </w:style>
  <w:style w:type="paragraph" w:styleId="Heading1">
    <w:name w:val="heading 1"/>
    <w:aliases w:val="Pocket"/>
    <w:basedOn w:val="Normal"/>
    <w:next w:val="Normal"/>
    <w:link w:val="Heading1Char"/>
    <w:qFormat/>
    <w:rsid w:val="00DA0D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0D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A0D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A0D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0D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D83"/>
  </w:style>
  <w:style w:type="character" w:customStyle="1" w:styleId="Heading4Char">
    <w:name w:val="Heading 4 Char"/>
    <w:aliases w:val="Tag Char"/>
    <w:basedOn w:val="DefaultParagraphFont"/>
    <w:link w:val="Heading4"/>
    <w:uiPriority w:val="3"/>
    <w:rsid w:val="00DA0D83"/>
    <w:rPr>
      <w:rFonts w:ascii="Calibri" w:eastAsiaTheme="majorEastAsia" w:hAnsi="Calibri" w:cstheme="majorBidi"/>
      <w:b/>
      <w:iCs/>
      <w:sz w:val="26"/>
    </w:rPr>
  </w:style>
  <w:style w:type="paragraph" w:styleId="NormalWeb">
    <w:name w:val="Normal (Web)"/>
    <w:basedOn w:val="Normal"/>
    <w:uiPriority w:val="99"/>
    <w:semiHidden/>
    <w:unhideWhenUsed/>
    <w:rsid w:val="0053253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A0D83"/>
    <w:rPr>
      <w:color w:val="auto"/>
      <w:u w:val="none"/>
    </w:rPr>
  </w:style>
  <w:style w:type="character" w:customStyle="1" w:styleId="wsj-article-credit">
    <w:name w:val="wsj-article-credit"/>
    <w:basedOn w:val="DefaultParagraphFont"/>
    <w:rsid w:val="0053253E"/>
  </w:style>
  <w:style w:type="character" w:customStyle="1" w:styleId="wsj-article-credit-tag">
    <w:name w:val="wsj-article-credit-tag"/>
    <w:basedOn w:val="DefaultParagraphFont"/>
    <w:rsid w:val="0053253E"/>
  </w:style>
  <w:style w:type="character" w:customStyle="1" w:styleId="company-name-type">
    <w:name w:val="company-name-type"/>
    <w:basedOn w:val="DefaultParagraphFont"/>
    <w:rsid w:val="0053253E"/>
  </w:style>
  <w:style w:type="character" w:styleId="Emphasis">
    <w:name w:val="Emphasis"/>
    <w:basedOn w:val="DefaultParagraphFont"/>
    <w:uiPriority w:val="7"/>
    <w:qFormat/>
    <w:rsid w:val="00DA0D83"/>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DA0D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0D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A0D83"/>
    <w:rPr>
      <w:rFonts w:ascii="Calibri" w:eastAsiaTheme="majorEastAsia" w:hAnsi="Calibri" w:cstheme="majorBidi"/>
      <w:b/>
      <w:sz w:val="32"/>
      <w:szCs w:val="24"/>
      <w:u w:val="single"/>
    </w:rPr>
  </w:style>
  <w:style w:type="character" w:customStyle="1" w:styleId="Style13ptBold">
    <w:name w:val="Style 13 pt Bold"/>
    <w:aliases w:val="Cite"/>
    <w:basedOn w:val="DefaultParagraphFont"/>
    <w:uiPriority w:val="5"/>
    <w:qFormat/>
    <w:rsid w:val="00DA0D83"/>
    <w:rPr>
      <w:b/>
      <w:bCs/>
      <w:sz w:val="26"/>
      <w:u w:val="none"/>
    </w:rPr>
  </w:style>
  <w:style w:type="character" w:customStyle="1" w:styleId="StyleUnderline">
    <w:name w:val="Style Underline"/>
    <w:aliases w:val="Underline"/>
    <w:basedOn w:val="DefaultParagraphFont"/>
    <w:uiPriority w:val="6"/>
    <w:qFormat/>
    <w:rsid w:val="00DA0D83"/>
    <w:rPr>
      <w:b w:val="0"/>
      <w:sz w:val="22"/>
      <w:u w:val="single"/>
    </w:rPr>
  </w:style>
  <w:style w:type="character" w:styleId="FollowedHyperlink">
    <w:name w:val="FollowedHyperlink"/>
    <w:basedOn w:val="DefaultParagraphFont"/>
    <w:uiPriority w:val="99"/>
    <w:semiHidden/>
    <w:unhideWhenUsed/>
    <w:rsid w:val="00DA0D83"/>
    <w:rPr>
      <w:color w:val="auto"/>
      <w:u w:val="none"/>
    </w:rPr>
  </w:style>
  <w:style w:type="character" w:styleId="UnresolvedMention">
    <w:name w:val="Unresolved Mention"/>
    <w:basedOn w:val="DefaultParagraphFont"/>
    <w:uiPriority w:val="99"/>
    <w:semiHidden/>
    <w:unhideWhenUsed/>
    <w:rsid w:val="00DA0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764339">
      <w:bodyDiv w:val="1"/>
      <w:marLeft w:val="0"/>
      <w:marRight w:val="0"/>
      <w:marTop w:val="0"/>
      <w:marBottom w:val="0"/>
      <w:divBdr>
        <w:top w:val="none" w:sz="0" w:space="0" w:color="auto"/>
        <w:left w:val="none" w:sz="0" w:space="0" w:color="auto"/>
        <w:bottom w:val="none" w:sz="0" w:space="0" w:color="auto"/>
        <w:right w:val="none" w:sz="0" w:space="0" w:color="auto"/>
      </w:divBdr>
      <w:divsChild>
        <w:div w:id="1045328112">
          <w:marLeft w:val="75"/>
          <w:marRight w:val="75"/>
          <w:marTop w:val="75"/>
          <w:marBottom w:val="75"/>
          <w:divBdr>
            <w:top w:val="none" w:sz="0" w:space="0" w:color="auto"/>
            <w:left w:val="none" w:sz="0" w:space="0" w:color="auto"/>
            <w:bottom w:val="none" w:sz="0" w:space="0" w:color="auto"/>
            <w:right w:val="none" w:sz="0" w:space="0" w:color="auto"/>
          </w:divBdr>
          <w:divsChild>
            <w:div w:id="24006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0302">
      <w:bodyDiv w:val="1"/>
      <w:marLeft w:val="0"/>
      <w:marRight w:val="0"/>
      <w:marTop w:val="0"/>
      <w:marBottom w:val="0"/>
      <w:divBdr>
        <w:top w:val="none" w:sz="0" w:space="0" w:color="auto"/>
        <w:left w:val="none" w:sz="0" w:space="0" w:color="auto"/>
        <w:bottom w:val="none" w:sz="0" w:space="0" w:color="auto"/>
        <w:right w:val="none" w:sz="0" w:space="0" w:color="auto"/>
      </w:divBdr>
      <w:divsChild>
        <w:div w:id="119151818">
          <w:marLeft w:val="0"/>
          <w:marRight w:val="0"/>
          <w:marTop w:val="0"/>
          <w:marBottom w:val="0"/>
          <w:divBdr>
            <w:top w:val="none" w:sz="0" w:space="0" w:color="auto"/>
            <w:left w:val="none" w:sz="0" w:space="0" w:color="auto"/>
            <w:bottom w:val="none" w:sz="0" w:space="0" w:color="auto"/>
            <w:right w:val="none" w:sz="0" w:space="0" w:color="auto"/>
          </w:divBdr>
          <w:divsChild>
            <w:div w:id="1178615200">
              <w:marLeft w:val="0"/>
              <w:marRight w:val="0"/>
              <w:marTop w:val="0"/>
              <w:marBottom w:val="0"/>
              <w:divBdr>
                <w:top w:val="none" w:sz="0" w:space="0" w:color="auto"/>
                <w:left w:val="none" w:sz="0" w:space="0" w:color="auto"/>
                <w:bottom w:val="none" w:sz="0" w:space="0" w:color="auto"/>
                <w:right w:val="none" w:sz="0" w:space="0" w:color="auto"/>
              </w:divBdr>
              <w:divsChild>
                <w:div w:id="1690982962">
                  <w:marLeft w:val="0"/>
                  <w:marRight w:val="0"/>
                  <w:marTop w:val="0"/>
                  <w:marBottom w:val="0"/>
                  <w:divBdr>
                    <w:top w:val="none" w:sz="0" w:space="0" w:color="auto"/>
                    <w:left w:val="none" w:sz="0" w:space="0" w:color="auto"/>
                    <w:bottom w:val="none" w:sz="0" w:space="0" w:color="auto"/>
                    <w:right w:val="none" w:sz="0" w:space="0" w:color="auto"/>
                  </w:divBdr>
                  <w:divsChild>
                    <w:div w:id="1994989129">
                      <w:marLeft w:val="0"/>
                      <w:marRight w:val="0"/>
                      <w:marTop w:val="0"/>
                      <w:marBottom w:val="0"/>
                      <w:divBdr>
                        <w:top w:val="none" w:sz="0" w:space="0" w:color="auto"/>
                        <w:left w:val="none" w:sz="0" w:space="0" w:color="auto"/>
                        <w:bottom w:val="none" w:sz="0" w:space="0" w:color="auto"/>
                        <w:right w:val="none" w:sz="0" w:space="0" w:color="auto"/>
                      </w:divBdr>
                      <w:divsChild>
                        <w:div w:id="324169662">
                          <w:marLeft w:val="0"/>
                          <w:marRight w:val="0"/>
                          <w:marTop w:val="0"/>
                          <w:marBottom w:val="0"/>
                          <w:divBdr>
                            <w:top w:val="none" w:sz="0" w:space="0" w:color="auto"/>
                            <w:left w:val="none" w:sz="0" w:space="0" w:color="auto"/>
                            <w:bottom w:val="none" w:sz="0" w:space="0" w:color="auto"/>
                            <w:right w:val="none" w:sz="0" w:space="0" w:color="auto"/>
                          </w:divBdr>
                          <w:divsChild>
                            <w:div w:id="10911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932405">
              <w:marLeft w:val="0"/>
              <w:marRight w:val="0"/>
              <w:marTop w:val="0"/>
              <w:marBottom w:val="0"/>
              <w:divBdr>
                <w:top w:val="none" w:sz="0" w:space="0" w:color="auto"/>
                <w:left w:val="none" w:sz="0" w:space="0" w:color="auto"/>
                <w:bottom w:val="none" w:sz="0" w:space="0" w:color="auto"/>
                <w:right w:val="none" w:sz="0" w:space="0" w:color="auto"/>
              </w:divBdr>
              <w:divsChild>
                <w:div w:id="1225602888">
                  <w:marLeft w:val="0"/>
                  <w:marRight w:val="0"/>
                  <w:marTop w:val="0"/>
                  <w:marBottom w:val="0"/>
                  <w:divBdr>
                    <w:top w:val="none" w:sz="0" w:space="0" w:color="auto"/>
                    <w:left w:val="none" w:sz="0" w:space="0" w:color="auto"/>
                    <w:bottom w:val="none" w:sz="0" w:space="0" w:color="auto"/>
                    <w:right w:val="none" w:sz="0" w:space="0" w:color="auto"/>
                  </w:divBdr>
                </w:div>
              </w:divsChild>
            </w:div>
            <w:div w:id="1585260252">
              <w:marLeft w:val="0"/>
              <w:marRight w:val="0"/>
              <w:marTop w:val="0"/>
              <w:marBottom w:val="0"/>
              <w:divBdr>
                <w:top w:val="none" w:sz="0" w:space="0" w:color="auto"/>
                <w:left w:val="none" w:sz="0" w:space="0" w:color="auto"/>
                <w:bottom w:val="none" w:sz="0" w:space="0" w:color="auto"/>
                <w:right w:val="none" w:sz="0" w:space="0" w:color="auto"/>
              </w:divBdr>
              <w:divsChild>
                <w:div w:id="2132747035">
                  <w:marLeft w:val="0"/>
                  <w:marRight w:val="0"/>
                  <w:marTop w:val="0"/>
                  <w:marBottom w:val="0"/>
                  <w:divBdr>
                    <w:top w:val="none" w:sz="0" w:space="0" w:color="auto"/>
                    <w:left w:val="none" w:sz="0" w:space="0" w:color="auto"/>
                    <w:bottom w:val="none" w:sz="0" w:space="0" w:color="auto"/>
                    <w:right w:val="none" w:sz="0" w:space="0" w:color="auto"/>
                  </w:divBdr>
                  <w:divsChild>
                    <w:div w:id="1185898189">
                      <w:marLeft w:val="0"/>
                      <w:marRight w:val="0"/>
                      <w:marTop w:val="0"/>
                      <w:marBottom w:val="0"/>
                      <w:divBdr>
                        <w:top w:val="none" w:sz="0" w:space="0" w:color="auto"/>
                        <w:left w:val="none" w:sz="0" w:space="0" w:color="auto"/>
                        <w:bottom w:val="none" w:sz="0" w:space="0" w:color="auto"/>
                        <w:right w:val="none" w:sz="0" w:space="0" w:color="auto"/>
                      </w:divBdr>
                      <w:divsChild>
                        <w:div w:id="6099557">
                          <w:marLeft w:val="0"/>
                          <w:marRight w:val="0"/>
                          <w:marTop w:val="0"/>
                          <w:marBottom w:val="0"/>
                          <w:divBdr>
                            <w:top w:val="none" w:sz="0" w:space="0" w:color="auto"/>
                            <w:left w:val="none" w:sz="0" w:space="0" w:color="auto"/>
                            <w:bottom w:val="none" w:sz="0" w:space="0" w:color="auto"/>
                            <w:right w:val="none" w:sz="0" w:space="0" w:color="auto"/>
                          </w:divBdr>
                          <w:divsChild>
                            <w:div w:id="3811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367928">
              <w:marLeft w:val="0"/>
              <w:marRight w:val="0"/>
              <w:marTop w:val="0"/>
              <w:marBottom w:val="0"/>
              <w:divBdr>
                <w:top w:val="none" w:sz="0" w:space="0" w:color="auto"/>
                <w:left w:val="none" w:sz="0" w:space="0" w:color="auto"/>
                <w:bottom w:val="none" w:sz="0" w:space="0" w:color="auto"/>
                <w:right w:val="none" w:sz="0" w:space="0" w:color="auto"/>
              </w:divBdr>
              <w:divsChild>
                <w:div w:id="1671984465">
                  <w:marLeft w:val="0"/>
                  <w:marRight w:val="0"/>
                  <w:marTop w:val="0"/>
                  <w:marBottom w:val="0"/>
                  <w:divBdr>
                    <w:top w:val="none" w:sz="0" w:space="0" w:color="auto"/>
                    <w:left w:val="none" w:sz="0" w:space="0" w:color="auto"/>
                    <w:bottom w:val="none" w:sz="0" w:space="0" w:color="auto"/>
                    <w:right w:val="none" w:sz="0" w:space="0" w:color="auto"/>
                  </w:divBdr>
                </w:div>
              </w:divsChild>
            </w:div>
            <w:div w:id="1800415832">
              <w:marLeft w:val="0"/>
              <w:marRight w:val="0"/>
              <w:marTop w:val="0"/>
              <w:marBottom w:val="0"/>
              <w:divBdr>
                <w:top w:val="none" w:sz="0" w:space="0" w:color="auto"/>
                <w:left w:val="none" w:sz="0" w:space="0" w:color="auto"/>
                <w:bottom w:val="none" w:sz="0" w:space="0" w:color="auto"/>
                <w:right w:val="none" w:sz="0" w:space="0" w:color="auto"/>
              </w:divBdr>
              <w:divsChild>
                <w:div w:id="1193231214">
                  <w:marLeft w:val="0"/>
                  <w:marRight w:val="0"/>
                  <w:marTop w:val="0"/>
                  <w:marBottom w:val="0"/>
                  <w:divBdr>
                    <w:top w:val="none" w:sz="0" w:space="0" w:color="auto"/>
                    <w:left w:val="none" w:sz="0" w:space="0" w:color="auto"/>
                    <w:bottom w:val="none" w:sz="0" w:space="0" w:color="auto"/>
                    <w:right w:val="none" w:sz="0" w:space="0" w:color="auto"/>
                  </w:divBdr>
                  <w:divsChild>
                    <w:div w:id="772365430">
                      <w:marLeft w:val="0"/>
                      <w:marRight w:val="0"/>
                      <w:marTop w:val="0"/>
                      <w:marBottom w:val="0"/>
                      <w:divBdr>
                        <w:top w:val="none" w:sz="0" w:space="0" w:color="auto"/>
                        <w:left w:val="none" w:sz="0" w:space="0" w:color="auto"/>
                        <w:bottom w:val="none" w:sz="0" w:space="0" w:color="auto"/>
                        <w:right w:val="none" w:sz="0" w:space="0" w:color="auto"/>
                      </w:divBdr>
                      <w:divsChild>
                        <w:div w:id="459345535">
                          <w:marLeft w:val="0"/>
                          <w:marRight w:val="0"/>
                          <w:marTop w:val="0"/>
                          <w:marBottom w:val="0"/>
                          <w:divBdr>
                            <w:top w:val="none" w:sz="0" w:space="0" w:color="auto"/>
                            <w:left w:val="none" w:sz="0" w:space="0" w:color="auto"/>
                            <w:bottom w:val="none" w:sz="0" w:space="0" w:color="auto"/>
                            <w:right w:val="none" w:sz="0" w:space="0" w:color="auto"/>
                          </w:divBdr>
                          <w:divsChild>
                            <w:div w:id="81568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124109">
      <w:bodyDiv w:val="1"/>
      <w:marLeft w:val="0"/>
      <w:marRight w:val="0"/>
      <w:marTop w:val="0"/>
      <w:marBottom w:val="0"/>
      <w:divBdr>
        <w:top w:val="none" w:sz="0" w:space="0" w:color="auto"/>
        <w:left w:val="none" w:sz="0" w:space="0" w:color="auto"/>
        <w:bottom w:val="none" w:sz="0" w:space="0" w:color="auto"/>
        <w:right w:val="none" w:sz="0" w:space="0" w:color="auto"/>
      </w:divBdr>
      <w:divsChild>
        <w:div w:id="189028839">
          <w:marLeft w:val="75"/>
          <w:marRight w:val="75"/>
          <w:marTop w:val="75"/>
          <w:marBottom w:val="75"/>
          <w:divBdr>
            <w:top w:val="none" w:sz="0" w:space="0" w:color="auto"/>
            <w:left w:val="none" w:sz="0" w:space="0" w:color="auto"/>
            <w:bottom w:val="none" w:sz="0" w:space="0" w:color="auto"/>
            <w:right w:val="none" w:sz="0" w:space="0" w:color="auto"/>
          </w:divBdr>
          <w:divsChild>
            <w:div w:id="3456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9949">
      <w:bodyDiv w:val="1"/>
      <w:marLeft w:val="0"/>
      <w:marRight w:val="0"/>
      <w:marTop w:val="0"/>
      <w:marBottom w:val="0"/>
      <w:divBdr>
        <w:top w:val="none" w:sz="0" w:space="0" w:color="auto"/>
        <w:left w:val="none" w:sz="0" w:space="0" w:color="auto"/>
        <w:bottom w:val="none" w:sz="0" w:space="0" w:color="auto"/>
        <w:right w:val="none" w:sz="0" w:space="0" w:color="auto"/>
      </w:divBdr>
      <w:divsChild>
        <w:div w:id="562108810">
          <w:marLeft w:val="0"/>
          <w:marRight w:val="0"/>
          <w:marTop w:val="0"/>
          <w:marBottom w:val="0"/>
          <w:divBdr>
            <w:top w:val="none" w:sz="0" w:space="0" w:color="auto"/>
            <w:left w:val="none" w:sz="0" w:space="0" w:color="auto"/>
            <w:bottom w:val="none" w:sz="0" w:space="0" w:color="auto"/>
            <w:right w:val="none" w:sz="0" w:space="0" w:color="auto"/>
          </w:divBdr>
          <w:divsChild>
            <w:div w:id="504174638">
              <w:marLeft w:val="0"/>
              <w:marRight w:val="0"/>
              <w:marTop w:val="0"/>
              <w:marBottom w:val="0"/>
              <w:divBdr>
                <w:top w:val="none" w:sz="0" w:space="0" w:color="auto"/>
                <w:left w:val="none" w:sz="0" w:space="0" w:color="auto"/>
                <w:bottom w:val="none" w:sz="0" w:space="0" w:color="auto"/>
                <w:right w:val="none" w:sz="0" w:space="0" w:color="auto"/>
              </w:divBdr>
              <w:divsChild>
                <w:div w:id="1175192924">
                  <w:marLeft w:val="0"/>
                  <w:marRight w:val="0"/>
                  <w:marTop w:val="0"/>
                  <w:marBottom w:val="0"/>
                  <w:divBdr>
                    <w:top w:val="none" w:sz="0" w:space="0" w:color="auto"/>
                    <w:left w:val="none" w:sz="0" w:space="0" w:color="auto"/>
                    <w:bottom w:val="none" w:sz="0" w:space="0" w:color="auto"/>
                    <w:right w:val="none" w:sz="0" w:space="0" w:color="auto"/>
                  </w:divBdr>
                  <w:divsChild>
                    <w:div w:id="464546442">
                      <w:marLeft w:val="0"/>
                      <w:marRight w:val="0"/>
                      <w:marTop w:val="0"/>
                      <w:marBottom w:val="0"/>
                      <w:divBdr>
                        <w:top w:val="none" w:sz="0" w:space="0" w:color="auto"/>
                        <w:left w:val="none" w:sz="0" w:space="0" w:color="auto"/>
                        <w:bottom w:val="none" w:sz="0" w:space="0" w:color="auto"/>
                        <w:right w:val="none" w:sz="0" w:space="0" w:color="auto"/>
                      </w:divBdr>
                      <w:divsChild>
                        <w:div w:id="2017927351">
                          <w:marLeft w:val="0"/>
                          <w:marRight w:val="0"/>
                          <w:marTop w:val="0"/>
                          <w:marBottom w:val="0"/>
                          <w:divBdr>
                            <w:top w:val="none" w:sz="0" w:space="0" w:color="auto"/>
                            <w:left w:val="none" w:sz="0" w:space="0" w:color="auto"/>
                            <w:bottom w:val="none" w:sz="0" w:space="0" w:color="auto"/>
                            <w:right w:val="none" w:sz="0" w:space="0" w:color="auto"/>
                          </w:divBdr>
                          <w:divsChild>
                            <w:div w:id="110935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495531">
              <w:marLeft w:val="0"/>
              <w:marRight w:val="0"/>
              <w:marTop w:val="0"/>
              <w:marBottom w:val="0"/>
              <w:divBdr>
                <w:top w:val="none" w:sz="0" w:space="0" w:color="auto"/>
                <w:left w:val="none" w:sz="0" w:space="0" w:color="auto"/>
                <w:bottom w:val="none" w:sz="0" w:space="0" w:color="auto"/>
                <w:right w:val="none" w:sz="0" w:space="0" w:color="auto"/>
              </w:divBdr>
              <w:divsChild>
                <w:div w:id="963076485">
                  <w:marLeft w:val="0"/>
                  <w:marRight w:val="0"/>
                  <w:marTop w:val="0"/>
                  <w:marBottom w:val="0"/>
                  <w:divBdr>
                    <w:top w:val="none" w:sz="0" w:space="0" w:color="auto"/>
                    <w:left w:val="none" w:sz="0" w:space="0" w:color="auto"/>
                    <w:bottom w:val="none" w:sz="0" w:space="0" w:color="auto"/>
                    <w:right w:val="none" w:sz="0" w:space="0" w:color="auto"/>
                  </w:divBdr>
                </w:div>
              </w:divsChild>
            </w:div>
            <w:div w:id="978846674">
              <w:marLeft w:val="0"/>
              <w:marRight w:val="0"/>
              <w:marTop w:val="0"/>
              <w:marBottom w:val="0"/>
              <w:divBdr>
                <w:top w:val="none" w:sz="0" w:space="0" w:color="auto"/>
                <w:left w:val="none" w:sz="0" w:space="0" w:color="auto"/>
                <w:bottom w:val="none" w:sz="0" w:space="0" w:color="auto"/>
                <w:right w:val="none" w:sz="0" w:space="0" w:color="auto"/>
              </w:divBdr>
              <w:divsChild>
                <w:div w:id="742139384">
                  <w:marLeft w:val="0"/>
                  <w:marRight w:val="0"/>
                  <w:marTop w:val="0"/>
                  <w:marBottom w:val="0"/>
                  <w:divBdr>
                    <w:top w:val="none" w:sz="0" w:space="0" w:color="auto"/>
                    <w:left w:val="none" w:sz="0" w:space="0" w:color="auto"/>
                    <w:bottom w:val="none" w:sz="0" w:space="0" w:color="auto"/>
                    <w:right w:val="none" w:sz="0" w:space="0" w:color="auto"/>
                  </w:divBdr>
                  <w:divsChild>
                    <w:div w:id="1740445775">
                      <w:marLeft w:val="0"/>
                      <w:marRight w:val="0"/>
                      <w:marTop w:val="0"/>
                      <w:marBottom w:val="0"/>
                      <w:divBdr>
                        <w:top w:val="none" w:sz="0" w:space="0" w:color="auto"/>
                        <w:left w:val="none" w:sz="0" w:space="0" w:color="auto"/>
                        <w:bottom w:val="none" w:sz="0" w:space="0" w:color="auto"/>
                        <w:right w:val="none" w:sz="0" w:space="0" w:color="auto"/>
                      </w:divBdr>
                      <w:divsChild>
                        <w:div w:id="1866403974">
                          <w:marLeft w:val="0"/>
                          <w:marRight w:val="0"/>
                          <w:marTop w:val="0"/>
                          <w:marBottom w:val="0"/>
                          <w:divBdr>
                            <w:top w:val="none" w:sz="0" w:space="0" w:color="auto"/>
                            <w:left w:val="none" w:sz="0" w:space="0" w:color="auto"/>
                            <w:bottom w:val="none" w:sz="0" w:space="0" w:color="auto"/>
                            <w:right w:val="none" w:sz="0" w:space="0" w:color="auto"/>
                          </w:divBdr>
                          <w:divsChild>
                            <w:div w:id="20975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86468">
              <w:marLeft w:val="0"/>
              <w:marRight w:val="0"/>
              <w:marTop w:val="0"/>
              <w:marBottom w:val="0"/>
              <w:divBdr>
                <w:top w:val="none" w:sz="0" w:space="0" w:color="auto"/>
                <w:left w:val="none" w:sz="0" w:space="0" w:color="auto"/>
                <w:bottom w:val="none" w:sz="0" w:space="0" w:color="auto"/>
                <w:right w:val="none" w:sz="0" w:space="0" w:color="auto"/>
              </w:divBdr>
              <w:divsChild>
                <w:div w:id="177693166">
                  <w:marLeft w:val="0"/>
                  <w:marRight w:val="0"/>
                  <w:marTop w:val="0"/>
                  <w:marBottom w:val="0"/>
                  <w:divBdr>
                    <w:top w:val="none" w:sz="0" w:space="0" w:color="auto"/>
                    <w:left w:val="none" w:sz="0" w:space="0" w:color="auto"/>
                    <w:bottom w:val="none" w:sz="0" w:space="0" w:color="auto"/>
                    <w:right w:val="none" w:sz="0" w:space="0" w:color="auto"/>
                  </w:divBdr>
                </w:div>
              </w:divsChild>
            </w:div>
            <w:div w:id="1796677878">
              <w:marLeft w:val="0"/>
              <w:marRight w:val="0"/>
              <w:marTop w:val="0"/>
              <w:marBottom w:val="0"/>
              <w:divBdr>
                <w:top w:val="none" w:sz="0" w:space="0" w:color="auto"/>
                <w:left w:val="none" w:sz="0" w:space="0" w:color="auto"/>
                <w:bottom w:val="none" w:sz="0" w:space="0" w:color="auto"/>
                <w:right w:val="none" w:sz="0" w:space="0" w:color="auto"/>
              </w:divBdr>
              <w:divsChild>
                <w:div w:id="810095173">
                  <w:marLeft w:val="0"/>
                  <w:marRight w:val="0"/>
                  <w:marTop w:val="0"/>
                  <w:marBottom w:val="0"/>
                  <w:divBdr>
                    <w:top w:val="none" w:sz="0" w:space="0" w:color="auto"/>
                    <w:left w:val="none" w:sz="0" w:space="0" w:color="auto"/>
                    <w:bottom w:val="none" w:sz="0" w:space="0" w:color="auto"/>
                    <w:right w:val="none" w:sz="0" w:space="0" w:color="auto"/>
                  </w:divBdr>
                  <w:divsChild>
                    <w:div w:id="1715420369">
                      <w:marLeft w:val="0"/>
                      <w:marRight w:val="0"/>
                      <w:marTop w:val="0"/>
                      <w:marBottom w:val="0"/>
                      <w:divBdr>
                        <w:top w:val="none" w:sz="0" w:space="0" w:color="auto"/>
                        <w:left w:val="none" w:sz="0" w:space="0" w:color="auto"/>
                        <w:bottom w:val="none" w:sz="0" w:space="0" w:color="auto"/>
                        <w:right w:val="none" w:sz="0" w:space="0" w:color="auto"/>
                      </w:divBdr>
                      <w:divsChild>
                        <w:div w:id="769424849">
                          <w:marLeft w:val="0"/>
                          <w:marRight w:val="0"/>
                          <w:marTop w:val="0"/>
                          <w:marBottom w:val="0"/>
                          <w:divBdr>
                            <w:top w:val="none" w:sz="0" w:space="0" w:color="auto"/>
                            <w:left w:val="none" w:sz="0" w:space="0" w:color="auto"/>
                            <w:bottom w:val="none" w:sz="0" w:space="0" w:color="auto"/>
                            <w:right w:val="none" w:sz="0" w:space="0" w:color="auto"/>
                          </w:divBdr>
                          <w:divsChild>
                            <w:div w:id="16855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892397">
      <w:bodyDiv w:val="1"/>
      <w:marLeft w:val="0"/>
      <w:marRight w:val="0"/>
      <w:marTop w:val="0"/>
      <w:marBottom w:val="0"/>
      <w:divBdr>
        <w:top w:val="none" w:sz="0" w:space="0" w:color="auto"/>
        <w:left w:val="none" w:sz="0" w:space="0" w:color="auto"/>
        <w:bottom w:val="none" w:sz="0" w:space="0" w:color="auto"/>
        <w:right w:val="none" w:sz="0" w:space="0" w:color="auto"/>
      </w:divBdr>
      <w:divsChild>
        <w:div w:id="1168670136">
          <w:marLeft w:val="0"/>
          <w:marRight w:val="0"/>
          <w:marTop w:val="0"/>
          <w:marBottom w:val="0"/>
          <w:divBdr>
            <w:top w:val="none" w:sz="0" w:space="0" w:color="auto"/>
            <w:left w:val="none" w:sz="0" w:space="0" w:color="auto"/>
            <w:bottom w:val="none" w:sz="0" w:space="0" w:color="auto"/>
            <w:right w:val="none" w:sz="0" w:space="0" w:color="auto"/>
          </w:divBdr>
        </w:div>
        <w:div w:id="929781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vemint.com/opinion/online-views/the-european-green-deal-has-implications-for-russia-11626104918655.html" TargetMode="External"/><Relationship Id="rId5" Type="http://schemas.openxmlformats.org/officeDocument/2006/relationships/hyperlink" Target="https://www.wsj.com/articles/wave-of-bullish-oil-bets-drives-big-price-moves-11626038191?mod=hp_lista_pos2"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d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25</TotalTime>
  <Pages>1</Pages>
  <Words>1854</Words>
  <Characters>10572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Maddock Thomas</dc:creator>
  <cp:keywords/>
  <dc:description/>
  <cp:lastModifiedBy>Maddock Thomas</cp:lastModifiedBy>
  <cp:revision>3</cp:revision>
  <dcterms:created xsi:type="dcterms:W3CDTF">2021-07-12T23:11:00Z</dcterms:created>
  <dcterms:modified xsi:type="dcterms:W3CDTF">2021-07-12T23:46:00Z</dcterms:modified>
</cp:coreProperties>
</file>