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38570" w14:textId="68E529D0" w:rsidR="00B33870" w:rsidRDefault="00B33870" w:rsidP="00B33870">
      <w:pPr>
        <w:pStyle w:val="Heading2"/>
      </w:pPr>
      <w:r>
        <w:t xml:space="preserve">T Supplement </w:t>
      </w:r>
      <w:r w:rsidR="00F31C9F">
        <w:t>2</w:t>
      </w:r>
      <w:r>
        <w:t xml:space="preserve"> – </w:t>
      </w:r>
      <w:r w:rsidR="00F31C9F">
        <w:t>BFHPR</w:t>
      </w:r>
    </w:p>
    <w:p w14:paraId="74E30834" w14:textId="77777777" w:rsidR="00B33870" w:rsidRPr="002222E7" w:rsidRDefault="00B33870" w:rsidP="00B33870">
      <w:pPr>
        <w:pStyle w:val="Heading3"/>
      </w:pPr>
      <w:r>
        <w:t>2nc MPA’s T – Oceans Violation</w:t>
      </w:r>
    </w:p>
    <w:p w14:paraId="44BEB019" w14:textId="77777777" w:rsidR="00B33870" w:rsidRPr="00364F52" w:rsidRDefault="00B33870" w:rsidP="00B33870">
      <w:pPr>
        <w:pStyle w:val="Heading4"/>
      </w:pPr>
      <w:r>
        <w:t xml:space="preserve">MPAs are designated areas </w:t>
      </w:r>
      <w:r w:rsidRPr="002222E7">
        <w:rPr>
          <w:u w:val="single"/>
        </w:rPr>
        <w:t>in the ocean</w:t>
      </w:r>
    </w:p>
    <w:p w14:paraId="627676A3" w14:textId="77777777" w:rsidR="00B33870" w:rsidRDefault="00B33870" w:rsidP="00B33870">
      <w:r>
        <w:t xml:space="preserve">Ussif R. </w:t>
      </w:r>
      <w:r w:rsidRPr="00A74379">
        <w:rPr>
          <w:rStyle w:val="Style13ptBold"/>
        </w:rPr>
        <w:t>Sumaila and</w:t>
      </w:r>
      <w:r>
        <w:t xml:space="preserve"> Gordon R. </w:t>
      </w:r>
      <w:r w:rsidRPr="00A74379">
        <w:rPr>
          <w:rStyle w:val="Style13ptBold"/>
        </w:rPr>
        <w:t>Munro 19</w:t>
      </w:r>
      <w:r>
        <w:t xml:space="preserve">, (2019, Rashid Sumaila is a Professor and Canada Research Chair (Tier 1) in Interdisciplinary Ocean and Fisheries Economics at the Institute for the Oceans and Fisheries, and the School of Public Policy and Global Affairs, University of British Columbia. Monro is a Professor Emeritus in the Vancouver School of Economics and an Associate of the Institute for Oceans and Fisheries at the University of British Columbia. "Marine Protected Area", Encyclopedia of Ocean Sciences (Third Edition), </w:t>
      </w:r>
      <w:proofErr w:type="gramStart"/>
      <w:r>
        <w:t>https://www.sciencedirect.com/topics/earth-and-planetary-sciences/marine-protected-area )</w:t>
      </w:r>
      <w:proofErr w:type="gramEnd"/>
      <w:r>
        <w:t xml:space="preserve"> //BW</w:t>
      </w:r>
    </w:p>
    <w:p w14:paraId="75B236F5" w14:textId="77777777" w:rsidR="00B33870" w:rsidRPr="005A743C" w:rsidRDefault="00B33870" w:rsidP="00B33870">
      <w:pPr>
        <w:rPr>
          <w:sz w:val="16"/>
        </w:rPr>
      </w:pPr>
      <w:r w:rsidRPr="005A743C">
        <w:rPr>
          <w:rStyle w:val="StyleUnderline"/>
        </w:rPr>
        <w:t>Marine protected areas</w:t>
      </w:r>
      <w:r w:rsidRPr="005A743C">
        <w:rPr>
          <w:sz w:val="16"/>
        </w:rPr>
        <w:t xml:space="preserve"> (</w:t>
      </w:r>
      <w:r w:rsidRPr="00A66943">
        <w:rPr>
          <w:rStyle w:val="StyleUnderline"/>
          <w:highlight w:val="green"/>
        </w:rPr>
        <w:t>MPAs</w:t>
      </w:r>
      <w:r w:rsidRPr="00A66943">
        <w:rPr>
          <w:sz w:val="16"/>
          <w:highlight w:val="green"/>
        </w:rPr>
        <w:t xml:space="preserve">) </w:t>
      </w:r>
      <w:r w:rsidRPr="00A66943">
        <w:rPr>
          <w:rStyle w:val="StyleUnderline"/>
          <w:highlight w:val="green"/>
        </w:rPr>
        <w:t xml:space="preserve">are, </w:t>
      </w:r>
      <w:r w:rsidRPr="00A66943">
        <w:rPr>
          <w:rStyle w:val="Emphasis"/>
          <w:highlight w:val="green"/>
        </w:rPr>
        <w:t>as the name implies</w:t>
      </w:r>
      <w:r w:rsidRPr="00A66943">
        <w:rPr>
          <w:sz w:val="16"/>
          <w:highlight w:val="green"/>
        </w:rPr>
        <w:t xml:space="preserve">, </w:t>
      </w:r>
      <w:r w:rsidRPr="00A66943">
        <w:rPr>
          <w:rStyle w:val="StyleUnderline"/>
          <w:highlight w:val="green"/>
        </w:rPr>
        <w:t xml:space="preserve">designated areas </w:t>
      </w:r>
      <w:r w:rsidRPr="00A66943">
        <w:rPr>
          <w:rStyle w:val="Emphasis"/>
          <w:highlight w:val="green"/>
        </w:rPr>
        <w:t>in the ocean</w:t>
      </w:r>
      <w:r w:rsidRPr="005A743C">
        <w:rPr>
          <w:sz w:val="16"/>
        </w:rPr>
        <w:t xml:space="preserve"> </w:t>
      </w:r>
      <w:r w:rsidRPr="005A743C">
        <w:rPr>
          <w:rStyle w:val="StyleUnderline"/>
        </w:rPr>
        <w:t xml:space="preserve">within which human activities are regulated more stringently than elsewhere in the </w:t>
      </w:r>
      <w:r w:rsidRPr="005A743C">
        <w:rPr>
          <w:rStyle w:val="Emphasis"/>
        </w:rPr>
        <w:t>marine environment</w:t>
      </w:r>
      <w:r w:rsidRPr="005A743C">
        <w:rPr>
          <w:sz w:val="16"/>
        </w:rPr>
        <w:t>. The protection afforded by MPAs can vary widely, from minimal protection to full protection, that is, no-take reserves. Such areas are carved out to maintain, at least to some extent, the natural environment of the designated area for ecological, economic, cultural, social, recreational, and other reasons.</w:t>
      </w:r>
    </w:p>
    <w:p w14:paraId="50F35CD9" w14:textId="77777777" w:rsidR="00B33870" w:rsidRPr="005A743C" w:rsidRDefault="00B33870" w:rsidP="00B33870">
      <w:pPr>
        <w:pStyle w:val="Heading4"/>
        <w:rPr>
          <w:rStyle w:val="Style13ptBold"/>
          <w:b/>
          <w:bCs w:val="0"/>
        </w:rPr>
      </w:pPr>
      <w:r w:rsidRPr="005A743C">
        <w:rPr>
          <w:rStyle w:val="Style13ptBold"/>
          <w:b/>
          <w:bCs w:val="0"/>
        </w:rPr>
        <w:t xml:space="preserve">They can be intertidal, sub-tidal, and/or pelagic, but are </w:t>
      </w:r>
      <w:r w:rsidRPr="005A743C">
        <w:rPr>
          <w:rStyle w:val="Style13ptBold"/>
          <w:b/>
          <w:bCs w:val="0"/>
          <w:u w:val="single"/>
        </w:rPr>
        <w:t>exclusively oceanic</w:t>
      </w:r>
    </w:p>
    <w:p w14:paraId="233DD6D0" w14:textId="77777777" w:rsidR="00B33870" w:rsidRPr="00A74379" w:rsidRDefault="00B33870" w:rsidP="00B33870">
      <w:r w:rsidRPr="00A74379">
        <w:rPr>
          <w:rStyle w:val="Style13ptBold"/>
        </w:rPr>
        <w:t>OHI ND,</w:t>
      </w:r>
      <w:r>
        <w:t xml:space="preserve"> (No date," Marine Protected Areas (MPAs)", Ocean Health Index, </w:t>
      </w:r>
      <w:proofErr w:type="gramStart"/>
      <w:r>
        <w:t>http://www.oceanhealthindex.org/methodology/components/marine-protected-areas-coastal )</w:t>
      </w:r>
      <w:proofErr w:type="gramEnd"/>
      <w:r>
        <w:t xml:space="preserve"> //BW</w:t>
      </w:r>
    </w:p>
    <w:p w14:paraId="1666A535" w14:textId="77777777" w:rsidR="00B33870" w:rsidRPr="005A743C" w:rsidRDefault="00B33870" w:rsidP="00B33870">
      <w:pPr>
        <w:rPr>
          <w:sz w:val="16"/>
        </w:rPr>
      </w:pPr>
      <w:r w:rsidRPr="005A743C">
        <w:rPr>
          <w:rStyle w:val="StyleUnderline"/>
        </w:rPr>
        <w:t>Marine Protected Areas</w:t>
      </w:r>
      <w:r w:rsidRPr="005A743C">
        <w:rPr>
          <w:sz w:val="16"/>
        </w:rPr>
        <w:t xml:space="preserve"> (</w:t>
      </w:r>
      <w:r w:rsidRPr="00A66943">
        <w:rPr>
          <w:rStyle w:val="StyleUnderline"/>
          <w:highlight w:val="green"/>
        </w:rPr>
        <w:t>MPAs</w:t>
      </w:r>
      <w:r w:rsidRPr="005A743C">
        <w:rPr>
          <w:sz w:val="16"/>
        </w:rPr>
        <w:t xml:space="preserve">) </w:t>
      </w:r>
      <w:r w:rsidRPr="00A66943">
        <w:rPr>
          <w:rStyle w:val="StyleUnderline"/>
          <w:highlight w:val="green"/>
        </w:rPr>
        <w:t xml:space="preserve">are </w:t>
      </w:r>
      <w:r w:rsidRPr="00A66943">
        <w:rPr>
          <w:rStyle w:val="Emphasis"/>
          <w:highlight w:val="green"/>
        </w:rPr>
        <w:t>geographically defined areas in the ocean</w:t>
      </w:r>
      <w:r w:rsidRPr="005A743C">
        <w:rPr>
          <w:sz w:val="16"/>
        </w:rPr>
        <w:t xml:space="preserve"> that are </w:t>
      </w:r>
      <w:r w:rsidRPr="00A66943">
        <w:rPr>
          <w:rStyle w:val="StyleUnderline"/>
          <w:highlight w:val="green"/>
        </w:rPr>
        <w:t>designated for</w:t>
      </w:r>
      <w:r w:rsidRPr="005A743C">
        <w:rPr>
          <w:rStyle w:val="StyleUnderline"/>
        </w:rPr>
        <w:t xml:space="preserve"> conservation as part of an ecosystem-based management</w:t>
      </w:r>
      <w:r w:rsidRPr="005A743C">
        <w:rPr>
          <w:sz w:val="16"/>
        </w:rPr>
        <w:t xml:space="preserve"> (EBM) </w:t>
      </w:r>
      <w:r w:rsidRPr="005A743C">
        <w:rPr>
          <w:rStyle w:val="StyleUnderline"/>
        </w:rPr>
        <w:t xml:space="preserve">approach to </w:t>
      </w:r>
      <w:r w:rsidRPr="00A66943">
        <w:rPr>
          <w:rStyle w:val="StyleUnderline"/>
          <w:highlight w:val="green"/>
        </w:rPr>
        <w:t xml:space="preserve">protecting </w:t>
      </w:r>
      <w:r w:rsidRPr="00A66943">
        <w:rPr>
          <w:rStyle w:val="Emphasis"/>
          <w:highlight w:val="green"/>
        </w:rPr>
        <w:t>marine</w:t>
      </w:r>
      <w:r w:rsidRPr="00A66943">
        <w:rPr>
          <w:rStyle w:val="StyleUnderline"/>
          <w:highlight w:val="green"/>
        </w:rPr>
        <w:t xml:space="preserve"> resources</w:t>
      </w:r>
      <w:r w:rsidRPr="005A743C">
        <w:rPr>
          <w:rStyle w:val="StyleUnderline"/>
        </w:rPr>
        <w:t xml:space="preserve">. MPAs are demarcated by law and </w:t>
      </w:r>
      <w:r w:rsidRPr="00A66943">
        <w:rPr>
          <w:rStyle w:val="StyleUnderline"/>
          <w:highlight w:val="green"/>
        </w:rPr>
        <w:t>can include intertidal, sub-tidal, and pelagic environments</w:t>
      </w:r>
      <w:r w:rsidRPr="005A743C">
        <w:rPr>
          <w:sz w:val="16"/>
        </w:rPr>
        <w:t>. Within these environments, governance systems are implemented to protect the relevant body of water, bottom, marine/terrestrial flora and fauna and notable historical and cultural features.</w:t>
      </w:r>
    </w:p>
    <w:p w14:paraId="7ADCAC34" w14:textId="77777777" w:rsidR="00B33870" w:rsidRPr="0047784A" w:rsidRDefault="00B33870" w:rsidP="00B33870">
      <w:pPr>
        <w:pStyle w:val="Heading4"/>
      </w:pPr>
      <w:r>
        <w:t>Their author</w:t>
      </w:r>
    </w:p>
    <w:p w14:paraId="7EC751CE" w14:textId="77777777" w:rsidR="00B33870" w:rsidRPr="004B5DCC" w:rsidRDefault="00B33870" w:rsidP="00B33870">
      <w:r w:rsidRPr="0047784A">
        <w:rPr>
          <w:rStyle w:val="Style13ptBold"/>
        </w:rPr>
        <w:t>Horrox et al. 21</w:t>
      </w:r>
      <w:r>
        <w:t xml:space="preserve">, (Feb 2021, James Horrox, Frontier Group, Steve Blackledge and Kelsey Lamp, Environment America Research &amp; Policy Center "How Marine Protections Keep Our Waters Wild: New Life for the Ocean", No Publication, </w:t>
      </w:r>
      <w:proofErr w:type="gramStart"/>
      <w:r>
        <w:t>https://environmentamerica.org/sites/environment/files/reports/New-Life-For-The-Ocean/EA_Oceans%20Report_scrn.pdf )</w:t>
      </w:r>
      <w:proofErr w:type="gramEnd"/>
      <w:r>
        <w:t xml:space="preserve"> //BW</w:t>
      </w:r>
    </w:p>
    <w:p w14:paraId="3F9A430C" w14:textId="77777777" w:rsidR="00B33870" w:rsidRDefault="00B33870" w:rsidP="00B33870">
      <w:pPr>
        <w:rPr>
          <w:sz w:val="16"/>
        </w:rPr>
      </w:pPr>
      <w:r w:rsidRPr="00A74379">
        <w:rPr>
          <w:sz w:val="16"/>
        </w:rPr>
        <w:t xml:space="preserve">A growing number of scientists and conservationists are coalescing around the </w:t>
      </w:r>
      <w:r w:rsidRPr="00A66943">
        <w:rPr>
          <w:rStyle w:val="StyleUnderline"/>
          <w:highlight w:val="green"/>
        </w:rPr>
        <w:t>goal of protecting</w:t>
      </w:r>
      <w:r w:rsidRPr="0047784A">
        <w:rPr>
          <w:rStyle w:val="StyleUnderline"/>
        </w:rPr>
        <w:t xml:space="preserve"> at least 30 percent of the </w:t>
      </w:r>
      <w:r w:rsidRPr="00A66943">
        <w:rPr>
          <w:rStyle w:val="StyleUnderline"/>
          <w:highlight w:val="green"/>
        </w:rPr>
        <w:t>world’s ocean</w:t>
      </w:r>
      <w:r w:rsidRPr="0047784A">
        <w:rPr>
          <w:rStyle w:val="StyleUnderline"/>
        </w:rPr>
        <w:t xml:space="preserve"> by 2030 </w:t>
      </w:r>
      <w:r w:rsidRPr="00A66943">
        <w:rPr>
          <w:rStyle w:val="StyleUnderline"/>
          <w:highlight w:val="green"/>
        </w:rPr>
        <w:t>through</w:t>
      </w:r>
      <w:r w:rsidRPr="00A74379">
        <w:rPr>
          <w:sz w:val="16"/>
        </w:rPr>
        <w:t xml:space="preserve"> networks of </w:t>
      </w:r>
      <w:r w:rsidRPr="00A66943">
        <w:rPr>
          <w:rStyle w:val="Emphasis"/>
          <w:highlight w:val="green"/>
        </w:rPr>
        <w:t>marine</w:t>
      </w:r>
      <w:r w:rsidRPr="00A66943">
        <w:rPr>
          <w:rStyle w:val="StyleUnderline"/>
          <w:highlight w:val="green"/>
        </w:rPr>
        <w:t xml:space="preserve"> protected areas</w:t>
      </w:r>
      <w:r w:rsidRPr="00A74379">
        <w:rPr>
          <w:sz w:val="16"/>
        </w:rPr>
        <w:t xml:space="preserve"> (</w:t>
      </w:r>
      <w:r w:rsidRPr="0047784A">
        <w:rPr>
          <w:rStyle w:val="Emphasis"/>
        </w:rPr>
        <w:t>MPAs</w:t>
      </w:r>
      <w:r w:rsidRPr="00A74379">
        <w:rPr>
          <w:sz w:val="16"/>
        </w:rPr>
        <w:t xml:space="preserve">) – </w:t>
      </w:r>
      <w:r w:rsidRPr="00A66943">
        <w:rPr>
          <w:rStyle w:val="Emphasis"/>
          <w:highlight w:val="green"/>
        </w:rPr>
        <w:t>protected zones of ocean</w:t>
      </w:r>
      <w:r w:rsidRPr="00A66943">
        <w:rPr>
          <w:sz w:val="16"/>
          <w:highlight w:val="green"/>
        </w:rPr>
        <w:t xml:space="preserve"> </w:t>
      </w:r>
      <w:r w:rsidRPr="00A66943">
        <w:rPr>
          <w:rStyle w:val="StyleUnderline"/>
          <w:highlight w:val="green"/>
        </w:rPr>
        <w:t>where</w:t>
      </w:r>
      <w:r w:rsidRPr="0047784A">
        <w:rPr>
          <w:rStyle w:val="StyleUnderline"/>
        </w:rPr>
        <w:t xml:space="preserve"> extractive and destructive </w:t>
      </w:r>
      <w:r w:rsidRPr="00A66943">
        <w:rPr>
          <w:rStyle w:val="StyleUnderline"/>
          <w:highlight w:val="green"/>
        </w:rPr>
        <w:t>human activity is limited</w:t>
      </w:r>
      <w:r w:rsidRPr="0047784A">
        <w:rPr>
          <w:rStyle w:val="StyleUnderline"/>
        </w:rPr>
        <w:t>.</w:t>
      </w:r>
      <w:r>
        <w:rPr>
          <w:rStyle w:val="StyleUnderline"/>
        </w:rPr>
        <w:t xml:space="preserve"> </w:t>
      </w:r>
      <w:r w:rsidRPr="00A74379">
        <w:rPr>
          <w:sz w:val="16"/>
        </w:rPr>
        <w:t xml:space="preserve">The experience of six MPAs in the United States and around the world shows that </w:t>
      </w:r>
      <w:r w:rsidRPr="0047784A">
        <w:rPr>
          <w:rStyle w:val="StyleUnderline"/>
        </w:rPr>
        <w:t xml:space="preserve">marine protected areas are effective tools </w:t>
      </w:r>
      <w:r w:rsidRPr="00A74379">
        <w:rPr>
          <w:rStyle w:val="StyleUnderline"/>
        </w:rPr>
        <w:t xml:space="preserve">to conserve and revive </w:t>
      </w:r>
      <w:r w:rsidRPr="00A74379">
        <w:rPr>
          <w:rStyle w:val="Emphasis"/>
        </w:rPr>
        <w:t>marine ecosystems</w:t>
      </w:r>
      <w:r w:rsidRPr="00A74379">
        <w:rPr>
          <w:sz w:val="16"/>
        </w:rPr>
        <w:t xml:space="preserve">. </w:t>
      </w:r>
      <w:r w:rsidRPr="00A66943">
        <w:rPr>
          <w:rStyle w:val="StyleUnderline"/>
          <w:highlight w:val="green"/>
        </w:rPr>
        <w:t xml:space="preserve">To restore our </w:t>
      </w:r>
      <w:r w:rsidRPr="00A66943">
        <w:rPr>
          <w:rStyle w:val="Emphasis"/>
          <w:highlight w:val="green"/>
        </w:rPr>
        <w:t>ocean</w:t>
      </w:r>
      <w:r w:rsidRPr="00A74379">
        <w:rPr>
          <w:sz w:val="16"/>
        </w:rPr>
        <w:t xml:space="preserve"> to health, governments should take a strategic, science-based approach to planning and implementing MPAs and regional MPA networks.</w:t>
      </w:r>
    </w:p>
    <w:p w14:paraId="1C0AFCE7" w14:textId="77777777" w:rsidR="00B33870" w:rsidRPr="00826CFC" w:rsidRDefault="00B33870" w:rsidP="00B33870">
      <w:pPr>
        <w:pStyle w:val="Heading4"/>
        <w:rPr>
          <w:rStyle w:val="Style13ptBold"/>
          <w:b/>
          <w:bCs w:val="0"/>
        </w:rPr>
      </w:pPr>
      <w:r>
        <w:rPr>
          <w:rStyle w:val="Style13ptBold"/>
          <w:b/>
          <w:bCs w:val="0"/>
        </w:rPr>
        <w:t>“</w:t>
      </w:r>
      <w:r w:rsidRPr="00826CFC">
        <w:rPr>
          <w:rStyle w:val="Style13ptBold"/>
          <w:b/>
          <w:bCs w:val="0"/>
        </w:rPr>
        <w:t>Marine</w:t>
      </w:r>
      <w:r>
        <w:rPr>
          <w:rStyle w:val="Style13ptBold"/>
          <w:b/>
          <w:bCs w:val="0"/>
        </w:rPr>
        <w:t>”</w:t>
      </w:r>
      <w:r w:rsidRPr="00826CFC">
        <w:rPr>
          <w:rStyle w:val="Style13ptBold"/>
          <w:b/>
          <w:bCs w:val="0"/>
        </w:rPr>
        <w:t xml:space="preserve"> </w:t>
      </w:r>
      <w:r>
        <w:rPr>
          <w:rStyle w:val="Style13ptBold"/>
          <w:b/>
          <w:bCs w:val="0"/>
        </w:rPr>
        <w:t xml:space="preserve">requires high levels of </w:t>
      </w:r>
      <w:r w:rsidRPr="00DC12FA">
        <w:rPr>
          <w:rStyle w:val="Style13ptBold"/>
          <w:b/>
          <w:bCs w:val="0"/>
          <w:u w:val="single"/>
        </w:rPr>
        <w:t>dissolved salt</w:t>
      </w:r>
      <w:r>
        <w:rPr>
          <w:rStyle w:val="Style13ptBold"/>
          <w:b/>
          <w:bCs w:val="0"/>
        </w:rPr>
        <w:t xml:space="preserve"> – includes oceanic and coastal ecosystems</w:t>
      </w:r>
    </w:p>
    <w:p w14:paraId="6C94DFB7" w14:textId="77777777" w:rsidR="00B33870" w:rsidRDefault="00B33870" w:rsidP="00B33870">
      <w:r w:rsidRPr="00826CFC">
        <w:rPr>
          <w:rStyle w:val="Style13ptBold"/>
        </w:rPr>
        <w:t>NGS ND</w:t>
      </w:r>
      <w:r>
        <w:t xml:space="preserve">, (No date,"Marine Ecosystems", National Geographic Society, </w:t>
      </w:r>
      <w:proofErr w:type="gramStart"/>
      <w:r>
        <w:t>https://www.nationalgeographic.org/encyclopedia/marine-ecosystems/ )</w:t>
      </w:r>
      <w:proofErr w:type="gramEnd"/>
      <w:r>
        <w:t xml:space="preserve"> //BW</w:t>
      </w:r>
    </w:p>
    <w:p w14:paraId="2657595B" w14:textId="77777777" w:rsidR="00B33870" w:rsidRPr="00DC12FA" w:rsidRDefault="00B33870" w:rsidP="00B33870">
      <w:pPr>
        <w:rPr>
          <w:sz w:val="16"/>
        </w:rPr>
      </w:pPr>
      <w:r w:rsidRPr="00A66943">
        <w:rPr>
          <w:rStyle w:val="StyleUnderline"/>
          <w:highlight w:val="green"/>
        </w:rPr>
        <w:t xml:space="preserve">Marine ecosystems are aquatic environments with </w:t>
      </w:r>
      <w:r w:rsidRPr="00A66943">
        <w:rPr>
          <w:rStyle w:val="Emphasis"/>
          <w:highlight w:val="green"/>
        </w:rPr>
        <w:t>high levels of dissolved salt</w:t>
      </w:r>
      <w:r w:rsidRPr="00DC12FA">
        <w:rPr>
          <w:sz w:val="16"/>
        </w:rPr>
        <w:t xml:space="preserve">. These </w:t>
      </w:r>
      <w:r w:rsidRPr="00A66943">
        <w:rPr>
          <w:rStyle w:val="StyleUnderline"/>
          <w:highlight w:val="green"/>
        </w:rPr>
        <w:t>include the</w:t>
      </w:r>
      <w:r w:rsidRPr="00DC12FA">
        <w:rPr>
          <w:rStyle w:val="StyleUnderline"/>
        </w:rPr>
        <w:t xml:space="preserve"> open </w:t>
      </w:r>
      <w:r w:rsidRPr="00A66943">
        <w:rPr>
          <w:rStyle w:val="StyleUnderline"/>
          <w:highlight w:val="green"/>
        </w:rPr>
        <w:t>ocean</w:t>
      </w:r>
      <w:r w:rsidRPr="00DC12FA">
        <w:rPr>
          <w:rStyle w:val="StyleUnderline"/>
        </w:rPr>
        <w:t xml:space="preserve">, the deep-sea ocean, </w:t>
      </w:r>
      <w:r w:rsidRPr="00A66943">
        <w:rPr>
          <w:rStyle w:val="StyleUnderline"/>
          <w:highlight w:val="green"/>
        </w:rPr>
        <w:t>and coastal marine ecosystems</w:t>
      </w:r>
      <w:r w:rsidRPr="00DC12FA">
        <w:rPr>
          <w:sz w:val="16"/>
        </w:rPr>
        <w:t>, each of which have different physical and biological characteristics.</w:t>
      </w:r>
    </w:p>
    <w:p w14:paraId="000BC4DD" w14:textId="77777777" w:rsidR="00B33870" w:rsidRPr="00A74379" w:rsidRDefault="00B33870" w:rsidP="00B33870"/>
    <w:p w14:paraId="5E8C0CBA" w14:textId="77777777" w:rsidR="00B33870" w:rsidRPr="004149F8" w:rsidRDefault="00B33870" w:rsidP="00B33870">
      <w:pPr>
        <w:pStyle w:val="Heading3"/>
      </w:pPr>
      <w:r w:rsidRPr="004149F8">
        <w:t>AT: Sercombe says ‘development’</w:t>
      </w:r>
    </w:p>
    <w:p w14:paraId="3DD12F7C" w14:textId="77777777" w:rsidR="00B33870" w:rsidRPr="004149F8" w:rsidRDefault="00B33870" w:rsidP="00B33870">
      <w:pPr>
        <w:pStyle w:val="Heading4"/>
      </w:pPr>
      <w:r>
        <w:t>Development in this context means any uses of the land</w:t>
      </w:r>
    </w:p>
    <w:p w14:paraId="1D178F73" w14:textId="77777777" w:rsidR="00B33870" w:rsidRDefault="00B33870" w:rsidP="00B33870">
      <w:r w:rsidRPr="00C560BD">
        <w:rPr>
          <w:rStyle w:val="Style13ptBold"/>
        </w:rPr>
        <w:t>Sercombe 10</w:t>
      </w:r>
      <w:r>
        <w:t xml:space="preserve">, (11-3-2010, Timothy J. Sercombe, judge on the Oregon Court of Appeals. "Columbia Riverkeeper v. Clatsop County", Oregon Court of Appeals, </w:t>
      </w:r>
      <w:proofErr w:type="gramStart"/>
      <w:r>
        <w:t>https://law.justia.com/cases/oregon/court-of-appeals/2010/a145336.html )</w:t>
      </w:r>
      <w:proofErr w:type="gramEnd"/>
      <w:r>
        <w:t xml:space="preserve"> //BW</w:t>
      </w:r>
    </w:p>
    <w:p w14:paraId="2BE6FBBB" w14:textId="77777777" w:rsidR="00B33870" w:rsidRPr="004149F8" w:rsidRDefault="00B33870" w:rsidP="00B33870">
      <w:pPr>
        <w:rPr>
          <w:b/>
          <w:bCs/>
        </w:rPr>
      </w:pPr>
      <w:r>
        <w:rPr>
          <w:b/>
          <w:bCs/>
        </w:rPr>
        <w:t>**LWDUO – Land and Water Development and Use Ordinance</w:t>
      </w:r>
    </w:p>
    <w:p w14:paraId="5753FD50" w14:textId="77777777" w:rsidR="00B33870" w:rsidRPr="004149F8" w:rsidRDefault="00B33870" w:rsidP="00B33870">
      <w:pPr>
        <w:rPr>
          <w:sz w:val="16"/>
        </w:rPr>
      </w:pPr>
      <w:r w:rsidRPr="004149F8">
        <w:rPr>
          <w:sz w:val="16"/>
        </w:rPr>
        <w:t>"</w:t>
      </w:r>
      <w:r w:rsidRPr="004149F8">
        <w:rPr>
          <w:rStyle w:val="StyleUnderline"/>
        </w:rPr>
        <w:t xml:space="preserve">The LWDUO </w:t>
      </w:r>
      <w:r w:rsidRPr="00A66943">
        <w:rPr>
          <w:rStyle w:val="StyleUnderline"/>
          <w:highlight w:val="green"/>
        </w:rPr>
        <w:t>define</w:t>
      </w:r>
      <w:r w:rsidRPr="004149F8">
        <w:rPr>
          <w:rStyle w:val="StyleUnderline"/>
        </w:rPr>
        <w:t xml:space="preserve">s </w:t>
      </w:r>
      <w:r w:rsidRPr="00A66943">
        <w:rPr>
          <w:rStyle w:val="StyleUnderline"/>
          <w:highlight w:val="green"/>
        </w:rPr>
        <w:t xml:space="preserve">'development' as '[a]ny </w:t>
      </w:r>
      <w:r w:rsidRPr="00A66943">
        <w:rPr>
          <w:rStyle w:val="Emphasis"/>
          <w:highlight w:val="green"/>
        </w:rPr>
        <w:t>man-made</w:t>
      </w:r>
      <w:r w:rsidRPr="00A66943">
        <w:rPr>
          <w:rStyle w:val="StyleUnderline"/>
          <w:highlight w:val="green"/>
        </w:rPr>
        <w:t xml:space="preserve"> change to</w:t>
      </w:r>
      <w:r w:rsidRPr="004149F8">
        <w:rPr>
          <w:sz w:val="16"/>
        </w:rPr>
        <w:t xml:space="preserve"> improved or unimproved </w:t>
      </w:r>
      <w:r w:rsidRPr="00A66943">
        <w:rPr>
          <w:rStyle w:val="StyleUnderline"/>
          <w:highlight w:val="green"/>
        </w:rPr>
        <w:t>real estate, including</w:t>
      </w:r>
      <w:r w:rsidRPr="004149F8">
        <w:rPr>
          <w:sz w:val="16"/>
        </w:rPr>
        <w:t xml:space="preserve"> but not limited </w:t>
      </w:r>
      <w:proofErr w:type="gramStart"/>
      <w:r w:rsidRPr="004149F8">
        <w:rPr>
          <w:sz w:val="16"/>
        </w:rPr>
        <w:t>to:</w:t>
      </w:r>
      <w:proofErr w:type="gramEnd"/>
      <w:r w:rsidRPr="004149F8">
        <w:rPr>
          <w:sz w:val="16"/>
        </w:rPr>
        <w:t xml:space="preserve"> </w:t>
      </w:r>
      <w:r w:rsidRPr="001C5C53">
        <w:rPr>
          <w:rStyle w:val="StyleUnderline"/>
        </w:rPr>
        <w:t>construction, reconstruction, conversion, relocation</w:t>
      </w:r>
      <w:r w:rsidRPr="004149F8">
        <w:rPr>
          <w:sz w:val="16"/>
        </w:rPr>
        <w:t xml:space="preserve"> or enlargement of any structure; any </w:t>
      </w:r>
      <w:r w:rsidRPr="001C5C53">
        <w:rPr>
          <w:rStyle w:val="StyleUnderline"/>
        </w:rPr>
        <w:t>mining, excavation, landfill or land disturbance</w:t>
      </w:r>
      <w:r w:rsidRPr="004149F8">
        <w:rPr>
          <w:sz w:val="16"/>
        </w:rPr>
        <w:t xml:space="preserve">, </w:t>
      </w:r>
      <w:r w:rsidRPr="00A66943">
        <w:rPr>
          <w:rStyle w:val="StyleUnderline"/>
          <w:highlight w:val="green"/>
        </w:rPr>
        <w:t xml:space="preserve">any </w:t>
      </w:r>
      <w:r w:rsidRPr="00A66943">
        <w:rPr>
          <w:rStyle w:val="Emphasis"/>
          <w:highlight w:val="green"/>
        </w:rPr>
        <w:t>use</w:t>
      </w:r>
      <w:r w:rsidRPr="004149F8">
        <w:rPr>
          <w:sz w:val="16"/>
        </w:rPr>
        <w:t xml:space="preserve"> </w:t>
      </w:r>
      <w:r w:rsidRPr="004149F8">
        <w:rPr>
          <w:rStyle w:val="StyleUnderline"/>
        </w:rPr>
        <w:t xml:space="preserve">or extension </w:t>
      </w:r>
      <w:r w:rsidRPr="00A66943">
        <w:rPr>
          <w:rStyle w:val="StyleUnderline"/>
          <w:highlight w:val="green"/>
        </w:rPr>
        <w:t>of the</w:t>
      </w:r>
      <w:r w:rsidRPr="004149F8">
        <w:rPr>
          <w:rStyle w:val="StyleUnderline"/>
        </w:rPr>
        <w:t xml:space="preserve"> use of </w:t>
      </w:r>
      <w:r w:rsidRPr="00A66943">
        <w:rPr>
          <w:rStyle w:val="StyleUnderline"/>
          <w:highlight w:val="green"/>
        </w:rPr>
        <w:t>land</w:t>
      </w:r>
      <w:r w:rsidRPr="004149F8">
        <w:rPr>
          <w:sz w:val="16"/>
        </w:rPr>
        <w:t>.' That term would clearly encompass construction of powerlines and gas pipelines. It is less clear that it would encompass dredging of the estuary, although it would presumably include the pilings and other structures necessary to offload the LNG container ships.</w:t>
      </w:r>
    </w:p>
    <w:p w14:paraId="4C29D1BC" w14:textId="77777777" w:rsidR="00B33870" w:rsidRPr="002E3B98" w:rsidRDefault="00B33870" w:rsidP="00B33870"/>
    <w:p w14:paraId="649DA96F" w14:textId="60B92B04" w:rsidR="00EF4EBA" w:rsidRDefault="00EF4EBA" w:rsidP="00EF4EBA">
      <w:pPr>
        <w:pStyle w:val="Heading3"/>
      </w:pPr>
      <w:r>
        <w:t>AT: Stras 20</w:t>
      </w:r>
    </w:p>
    <w:p w14:paraId="08E6BD62" w14:textId="2A0388A3" w:rsidR="00EF4EBA" w:rsidRDefault="00EF4EBA" w:rsidP="00EF4EBA">
      <w:pPr>
        <w:pStyle w:val="Heading4"/>
      </w:pPr>
      <w:r>
        <w:t xml:space="preserve">Dictionary definitions are </w:t>
      </w:r>
      <w:r w:rsidRPr="00C25D6F">
        <w:rPr>
          <w:u w:val="single"/>
        </w:rPr>
        <w:t>misused</w:t>
      </w:r>
      <w:r>
        <w:t xml:space="preserve"> and inapplicable to </w:t>
      </w:r>
      <w:r w:rsidRPr="00C25D6F">
        <w:rPr>
          <w:u w:val="single"/>
        </w:rPr>
        <w:t>technical terms</w:t>
      </w:r>
      <w:r>
        <w:t xml:space="preserve"> – judges interpreting statutes themselves are </w:t>
      </w:r>
      <w:r w:rsidRPr="00C25D6F">
        <w:rPr>
          <w:u w:val="single"/>
        </w:rPr>
        <w:t>comparatively better</w:t>
      </w:r>
      <w:r>
        <w:t xml:space="preserve"> than dictionaries.</w:t>
      </w:r>
    </w:p>
    <w:p w14:paraId="16FC1825" w14:textId="77777777" w:rsidR="00EF4EBA" w:rsidRPr="00C25D6F" w:rsidRDefault="00EF4EBA" w:rsidP="00EF4EBA">
      <w:r>
        <w:t xml:space="preserve">Daniel C. </w:t>
      </w:r>
      <w:r w:rsidRPr="00376073">
        <w:rPr>
          <w:rStyle w:val="Style13ptBold"/>
        </w:rPr>
        <w:t>Tankersley</w:t>
      </w:r>
      <w:r>
        <w:t>, 20</w:t>
      </w:r>
      <w:r w:rsidRPr="00376073">
        <w:rPr>
          <w:rStyle w:val="Style13ptBold"/>
        </w:rPr>
        <w:t>18</w:t>
      </w:r>
      <w:r>
        <w:t xml:space="preserve"> [Associate attorney. “Beyond The Dictionary: Why Sua Sponte Judicial Use </w:t>
      </w:r>
      <w:proofErr w:type="gramStart"/>
      <w:r>
        <w:t>Of</w:t>
      </w:r>
      <w:proofErr w:type="gramEnd"/>
      <w:r>
        <w:t xml:space="preserve"> Corpus Linguistics Is Not Appropriate For Statutory Interpretation” Mississippi Law Review – Accessed via Hein Online via UMich //DMcD]</w:t>
      </w:r>
    </w:p>
    <w:p w14:paraId="6036F81D" w14:textId="77777777" w:rsidR="00EF4EBA" w:rsidRPr="00C25D6F" w:rsidRDefault="00EF4EBA" w:rsidP="00EF4EBA">
      <w:pPr>
        <w:rPr>
          <w:sz w:val="16"/>
        </w:rPr>
      </w:pPr>
      <w:r w:rsidRPr="00C25D6F">
        <w:rPr>
          <w:sz w:val="16"/>
        </w:rPr>
        <w:t xml:space="preserve">B. The </w:t>
      </w:r>
      <w:r w:rsidRPr="00C25D6F">
        <w:rPr>
          <w:rStyle w:val="StyleUnderline"/>
        </w:rPr>
        <w:t>Rise of Dictionary Usage as a Tool for Ordinary Meaning</w:t>
      </w:r>
    </w:p>
    <w:p w14:paraId="37D964F9" w14:textId="77777777" w:rsidR="00EF4EBA" w:rsidRPr="006E7189" w:rsidRDefault="00EF4EBA" w:rsidP="00EF4EBA">
      <w:pPr>
        <w:rPr>
          <w:sz w:val="16"/>
        </w:rPr>
      </w:pPr>
      <w:r w:rsidRPr="00C25D6F">
        <w:rPr>
          <w:sz w:val="16"/>
        </w:rPr>
        <w:t xml:space="preserve">The Court's </w:t>
      </w:r>
      <w:r w:rsidRPr="00C25D6F">
        <w:rPr>
          <w:rStyle w:val="StyleUnderline"/>
        </w:rPr>
        <w:t>use of dictionaries has experienced an exponential rise</w:t>
      </w:r>
      <w:r w:rsidRPr="00C25D6F">
        <w:rPr>
          <w:sz w:val="16"/>
        </w:rPr>
        <w:t xml:space="preserve"> in recent years. </w:t>
      </w:r>
      <w:r w:rsidRPr="00C25D6F">
        <w:rPr>
          <w:rStyle w:val="StyleUnderline"/>
        </w:rPr>
        <w:t>At the historical outset</w:t>
      </w:r>
      <w:r w:rsidRPr="00C25D6F">
        <w:rPr>
          <w:sz w:val="16"/>
        </w:rPr>
        <w:t xml:space="preserve">, </w:t>
      </w:r>
      <w:r w:rsidRPr="00C25D6F">
        <w:rPr>
          <w:rStyle w:val="StyleUnderline"/>
        </w:rPr>
        <w:t>citation to dictionaries was very sparse</w:t>
      </w:r>
      <w:r w:rsidRPr="00C25D6F">
        <w:rPr>
          <w:sz w:val="16"/>
        </w:rPr>
        <w:t xml:space="preserve">. 46 At different times in the Court's jurisprudence, jurists have pointed to a few different historical and interpretive developments to explain the rise in dictionary usage. The first explanation came from the historical decrease in the Court's role in legislating common law, as more and more cases became tied to statutory language and interpretation. 47 The most recent explanation, which grew out of this phenomenon, was the </w:t>
      </w:r>
      <w:r w:rsidRPr="00C25D6F">
        <w:rPr>
          <w:rStyle w:val="StyleUnderline"/>
        </w:rPr>
        <w:t>rise of</w:t>
      </w:r>
      <w:r w:rsidRPr="00C25D6F">
        <w:rPr>
          <w:sz w:val="16"/>
        </w:rPr>
        <w:t xml:space="preserve"> "</w:t>
      </w:r>
      <w:r w:rsidRPr="00C25D6F">
        <w:rPr>
          <w:rStyle w:val="StyleUnderline"/>
        </w:rPr>
        <w:t>new textualism</w:t>
      </w:r>
      <w:r w:rsidRPr="00C25D6F">
        <w:rPr>
          <w:sz w:val="16"/>
        </w:rPr>
        <w:t xml:space="preserve">" as the Court's primary interpretive methodology. 48 Coupled with this movement was the </w:t>
      </w:r>
      <w:r w:rsidRPr="00C25D6F">
        <w:rPr>
          <w:rStyle w:val="StyleUnderline"/>
        </w:rPr>
        <w:t>preference of</w:t>
      </w:r>
      <w:r w:rsidRPr="00C25D6F">
        <w:rPr>
          <w:sz w:val="16"/>
        </w:rPr>
        <w:t xml:space="preserve"> "</w:t>
      </w:r>
      <w:r w:rsidRPr="00C25D6F">
        <w:rPr>
          <w:rStyle w:val="StyleUnderline"/>
        </w:rPr>
        <w:t>original plain meaning'</w:t>
      </w:r>
      <w:r w:rsidRPr="00C25D6F">
        <w:rPr>
          <w:sz w:val="16"/>
        </w:rPr>
        <w:t xml:space="preserve"> of the statutory terms </w:t>
      </w:r>
      <w:r w:rsidRPr="00C25D6F">
        <w:rPr>
          <w:rStyle w:val="StyleUnderline"/>
        </w:rPr>
        <w:t>over</w:t>
      </w:r>
      <w:r w:rsidRPr="00C25D6F">
        <w:rPr>
          <w:sz w:val="16"/>
        </w:rPr>
        <w:t xml:space="preserve"> </w:t>
      </w:r>
      <w:r w:rsidRPr="00C25D6F">
        <w:rPr>
          <w:rStyle w:val="StyleUnderline"/>
        </w:rPr>
        <w:t>'original intent</w:t>
      </w:r>
      <w:r w:rsidRPr="00C25D6F">
        <w:rPr>
          <w:sz w:val="16"/>
        </w:rPr>
        <w:t xml:space="preserve">' . . . of the drafters."49 This movement, championed by Justice Scalia, called for examination of the statutory text alone, and only limited reference to extrinsic material. 50 The movement is </w:t>
      </w:r>
      <w:r w:rsidRPr="00C25D6F">
        <w:rPr>
          <w:rStyle w:val="StyleUnderline"/>
        </w:rPr>
        <w:t>evidenced by the exponential increase in dictionary usage beginning in the 1970s</w:t>
      </w:r>
      <w:r w:rsidRPr="00C25D6F">
        <w:rPr>
          <w:sz w:val="16"/>
        </w:rPr>
        <w:t xml:space="preserve">. 51 A recent study has found that this </w:t>
      </w:r>
      <w:r w:rsidRPr="00C25D6F">
        <w:rPr>
          <w:rStyle w:val="StyleUnderline"/>
        </w:rPr>
        <w:t>rise in dictionary usage correlates to the increased use of the term</w:t>
      </w:r>
      <w:r w:rsidRPr="00C25D6F">
        <w:rPr>
          <w:sz w:val="16"/>
        </w:rPr>
        <w:t xml:space="preserve"> "</w:t>
      </w:r>
      <w:r w:rsidRPr="00C25D6F">
        <w:rPr>
          <w:rStyle w:val="StyleUnderline"/>
        </w:rPr>
        <w:t>ambiguous</w:t>
      </w:r>
      <w:r w:rsidRPr="00C25D6F">
        <w:rPr>
          <w:sz w:val="16"/>
        </w:rPr>
        <w:t xml:space="preserve">" or a variation thereof </w:t>
      </w:r>
      <w:r w:rsidRPr="00C25D6F">
        <w:rPr>
          <w:rStyle w:val="StyleUnderline"/>
        </w:rPr>
        <w:t>in the Court's language</w:t>
      </w:r>
      <w:r w:rsidRPr="00C25D6F">
        <w:rPr>
          <w:sz w:val="16"/>
        </w:rPr>
        <w:t xml:space="preserve"> usage in opinions, noting that between 1970 and 2005, the term "ambiguous" increased to an occurrence of over one-hundred words per million, from only eleven to thirteen words per million from its inception until 1969.52 In updating this study of the Court's use of the term "ambiguous," a search in the Corpus of U.S. Supreme Court Opinions reveals that while the decade average so far in the 2010s is close to as high as it has ever been (65.49 words per million), the term's frequency was only 21.38 words per million in the year 2016, which is the lowest frequency since the 1970s.53 1. How </w:t>
      </w:r>
      <w:r w:rsidRPr="00C25D6F">
        <w:rPr>
          <w:rStyle w:val="Emphasis"/>
        </w:rPr>
        <w:t>Courts</w:t>
      </w:r>
      <w:r w:rsidRPr="00C25D6F">
        <w:rPr>
          <w:sz w:val="16"/>
        </w:rPr>
        <w:t xml:space="preserve"> Use (and </w:t>
      </w:r>
      <w:r w:rsidRPr="00C25D6F">
        <w:rPr>
          <w:rStyle w:val="Emphasis"/>
        </w:rPr>
        <w:t>Misuse</w:t>
      </w:r>
      <w:r w:rsidRPr="00C25D6F">
        <w:rPr>
          <w:sz w:val="16"/>
        </w:rPr>
        <w:t xml:space="preserve">) </w:t>
      </w:r>
      <w:r w:rsidRPr="00C25D6F">
        <w:rPr>
          <w:rStyle w:val="Emphasis"/>
        </w:rPr>
        <w:t>Dictionaries</w:t>
      </w:r>
      <w:r w:rsidRPr="00C25D6F">
        <w:rPr>
          <w:sz w:val="16"/>
        </w:rPr>
        <w:t xml:space="preserve"> </w:t>
      </w:r>
      <w:r w:rsidRPr="00C25D6F">
        <w:rPr>
          <w:rStyle w:val="StyleUnderline"/>
        </w:rPr>
        <w:t>Initially</w:t>
      </w:r>
      <w:r w:rsidRPr="00C25D6F">
        <w:rPr>
          <w:sz w:val="16"/>
        </w:rPr>
        <w:t xml:space="preserve">, </w:t>
      </w:r>
      <w:r w:rsidRPr="00C25D6F">
        <w:rPr>
          <w:rStyle w:val="StyleUnderline"/>
        </w:rPr>
        <w:t>dictionaries played a minimal role in the Court's interpretive analysis</w:t>
      </w:r>
      <w:r w:rsidRPr="00C25D6F">
        <w:rPr>
          <w:sz w:val="16"/>
        </w:rPr>
        <w:t xml:space="preserve">. Specifically, dictionary definitions </w:t>
      </w:r>
      <w:r w:rsidRPr="00C25D6F">
        <w:rPr>
          <w:rStyle w:val="StyleUnderline"/>
        </w:rPr>
        <w:t>served as a memory aid for judges</w:t>
      </w:r>
      <w:r w:rsidRPr="00C25D6F">
        <w:rPr>
          <w:sz w:val="16"/>
        </w:rPr>
        <w:t xml:space="preserve">, </w:t>
      </w:r>
      <w:r w:rsidRPr="00C25D6F">
        <w:rPr>
          <w:rStyle w:val="StyleUnderline"/>
        </w:rPr>
        <w:t xml:space="preserve">for those </w:t>
      </w:r>
      <w:r w:rsidRPr="00C25D6F">
        <w:rPr>
          <w:rStyle w:val="Emphasis"/>
        </w:rPr>
        <w:t>terms that were not technical in nature</w:t>
      </w:r>
      <w:r w:rsidRPr="00C25D6F">
        <w:rPr>
          <w:sz w:val="16"/>
        </w:rPr>
        <w:t xml:space="preserve">, but that judges had forgotten or did not understand.5 4 In other cases, judges used dictionaries as a source for a selection of definitions from which to choose, as a vehicle for context-based arguments, stemming from the intent or purpose of the statute in question. 55 Another early function of dictionaries was in an "instantiating" capacity.56 In this context, </w:t>
      </w:r>
      <w:r w:rsidRPr="00C25D6F">
        <w:rPr>
          <w:rStyle w:val="StyleUnderline"/>
        </w:rPr>
        <w:t>dictionaries were used by judges whose proffered meanings had been challenged</w:t>
      </w:r>
      <w:r w:rsidRPr="00C25D6F">
        <w:rPr>
          <w:sz w:val="16"/>
        </w:rPr>
        <w:t xml:space="preserve">, </w:t>
      </w:r>
      <w:r w:rsidRPr="00C25D6F">
        <w:rPr>
          <w:rStyle w:val="StyleUnderline"/>
        </w:rPr>
        <w:t>and who looked to dictionaries to prove that the proffered sense of a term had been employed in the everyday lexicon</w:t>
      </w:r>
      <w:r w:rsidRPr="00C25D6F">
        <w:rPr>
          <w:sz w:val="16"/>
        </w:rPr>
        <w:t xml:space="preserve">. 57 This latter function is consistent with both the "linguistically permissible" ordinary meaning philosophy discussed above (in Part I.A),58 as well as the intended use of dictionaries. </w:t>
      </w:r>
      <w:r w:rsidRPr="00C25D6F">
        <w:rPr>
          <w:rStyle w:val="StyleUnderline"/>
        </w:rPr>
        <w:t>Almost all modern dictionaries are</w:t>
      </w:r>
      <w:r w:rsidRPr="00C25D6F">
        <w:rPr>
          <w:sz w:val="16"/>
        </w:rPr>
        <w:t xml:space="preserve"> "</w:t>
      </w:r>
      <w:r w:rsidRPr="00C25D6F">
        <w:rPr>
          <w:rStyle w:val="StyleUnderline"/>
        </w:rPr>
        <w:t>descriptive</w:t>
      </w:r>
      <w:r w:rsidRPr="00C25D6F">
        <w:rPr>
          <w:sz w:val="16"/>
        </w:rPr>
        <w:t xml:space="preserve">," meaning they are historical records of a term's existing usage, and do not purport to lay out how a term should be used or what meaning it must always have </w:t>
      </w:r>
      <w:proofErr w:type="gramStart"/>
      <w:r w:rsidRPr="00C25D6F">
        <w:rPr>
          <w:sz w:val="16"/>
        </w:rPr>
        <w:t>in a given</w:t>
      </w:r>
      <w:proofErr w:type="gramEnd"/>
      <w:r w:rsidRPr="00C25D6F">
        <w:rPr>
          <w:sz w:val="16"/>
        </w:rPr>
        <w:t xml:space="preserve"> context. 59 </w:t>
      </w:r>
      <w:r w:rsidRPr="00C25D6F">
        <w:rPr>
          <w:rStyle w:val="Emphasis"/>
        </w:rPr>
        <w:t>Recently</w:t>
      </w:r>
      <w:r w:rsidRPr="00C25D6F">
        <w:rPr>
          <w:sz w:val="16"/>
        </w:rPr>
        <w:t xml:space="preserve">, however, </w:t>
      </w:r>
      <w:r w:rsidRPr="00C25D6F">
        <w:rPr>
          <w:rStyle w:val="Emphasis"/>
        </w:rPr>
        <w:t>judges have misused dictionaries</w:t>
      </w:r>
      <w:r w:rsidRPr="00C25D6F">
        <w:rPr>
          <w:rStyle w:val="StyleUnderline"/>
        </w:rPr>
        <w:t xml:space="preserve"> in ways that take them outside of their descriptivist function</w:t>
      </w:r>
      <w:r w:rsidRPr="00C25D6F">
        <w:rPr>
          <w:sz w:val="16"/>
        </w:rPr>
        <w:t xml:space="preserve">. The first way judges have </w:t>
      </w:r>
      <w:r w:rsidRPr="00C25D6F">
        <w:rPr>
          <w:rStyle w:val="StyleUnderline"/>
        </w:rPr>
        <w:t>misused dictionaries is by attempting to make persuasive arguments about a term's</w:t>
      </w:r>
      <w:r w:rsidRPr="00C25D6F">
        <w:rPr>
          <w:sz w:val="16"/>
        </w:rPr>
        <w:t xml:space="preserve"> "</w:t>
      </w:r>
      <w:r w:rsidRPr="00C25D6F">
        <w:rPr>
          <w:rStyle w:val="StyleUnderline"/>
        </w:rPr>
        <w:t>primary</w:t>
      </w:r>
      <w:r w:rsidRPr="00C25D6F">
        <w:rPr>
          <w:sz w:val="16"/>
        </w:rPr>
        <w:t xml:space="preserve">" </w:t>
      </w:r>
      <w:r w:rsidRPr="00C25D6F">
        <w:rPr>
          <w:rStyle w:val="StyleUnderline"/>
        </w:rPr>
        <w:t>meaning</w:t>
      </w:r>
      <w:r w:rsidRPr="00C25D6F">
        <w:rPr>
          <w:sz w:val="16"/>
        </w:rPr>
        <w:t xml:space="preserve"> by the definition's placement in the hierarchy of definitions, called the "Sense-Ranking Fallacy."60 An example of an instance when this flawed analysis was dispositive was in Smith v. United States, in which the </w:t>
      </w:r>
      <w:r w:rsidRPr="00C25D6F">
        <w:rPr>
          <w:rStyle w:val="StyleUnderline"/>
        </w:rPr>
        <w:t>Court was interpreting the term</w:t>
      </w:r>
      <w:r w:rsidRPr="00C25D6F">
        <w:rPr>
          <w:sz w:val="16"/>
        </w:rPr>
        <w:t xml:space="preserve"> "</w:t>
      </w:r>
      <w:r w:rsidRPr="00C25D6F">
        <w:rPr>
          <w:rStyle w:val="StyleUnderline"/>
        </w:rPr>
        <w:t>foreign country</w:t>
      </w:r>
      <w:r w:rsidRPr="00C25D6F">
        <w:rPr>
          <w:sz w:val="16"/>
        </w:rPr>
        <w:t xml:space="preserve">" in the Federal Tort Claims Act. 61 The question before the Court was whether Antarctica, which had no recognized government, fell within the statutory meaning of "foreign country." </w:t>
      </w:r>
      <w:r w:rsidRPr="00C25D6F">
        <w:rPr>
          <w:rStyle w:val="StyleUnderline"/>
        </w:rPr>
        <w:t>In finding that Antarctica was within the category covered by the term</w:t>
      </w:r>
      <w:r w:rsidRPr="00C25D6F">
        <w:rPr>
          <w:sz w:val="16"/>
        </w:rPr>
        <w:t xml:space="preserve"> "</w:t>
      </w:r>
      <w:r w:rsidRPr="00C25D6F">
        <w:rPr>
          <w:rStyle w:val="StyleUnderline"/>
        </w:rPr>
        <w:t>country</w:t>
      </w:r>
      <w:r w:rsidRPr="00C25D6F">
        <w:rPr>
          <w:sz w:val="16"/>
        </w:rPr>
        <w:t xml:space="preserve">," the </w:t>
      </w:r>
      <w:r w:rsidRPr="00C25D6F">
        <w:rPr>
          <w:rStyle w:val="StyleUnderline"/>
        </w:rPr>
        <w:t>Court gave weight to the first dictionary definition of</w:t>
      </w:r>
      <w:r w:rsidRPr="00C25D6F">
        <w:rPr>
          <w:sz w:val="16"/>
        </w:rPr>
        <w:t xml:space="preserve"> "</w:t>
      </w:r>
      <w:r w:rsidRPr="00C25D6F">
        <w:rPr>
          <w:rStyle w:val="StyleUnderline"/>
        </w:rPr>
        <w:t>country</w:t>
      </w:r>
      <w:r w:rsidRPr="00C25D6F">
        <w:rPr>
          <w:sz w:val="16"/>
        </w:rPr>
        <w:t xml:space="preserve">" </w:t>
      </w:r>
      <w:r w:rsidRPr="00C25D6F">
        <w:rPr>
          <w:rStyle w:val="StyleUnderline"/>
        </w:rPr>
        <w:t>as a</w:t>
      </w:r>
      <w:r w:rsidRPr="00C25D6F">
        <w:rPr>
          <w:sz w:val="16"/>
        </w:rPr>
        <w:t xml:space="preserve"> "</w:t>
      </w:r>
      <w:r w:rsidRPr="00C25D6F">
        <w:rPr>
          <w:rStyle w:val="StyleUnderline"/>
        </w:rPr>
        <w:t>region or tract of land</w:t>
      </w:r>
      <w:r w:rsidRPr="00C25D6F">
        <w:rPr>
          <w:sz w:val="16"/>
        </w:rPr>
        <w:t xml:space="preserve">," </w:t>
      </w:r>
      <w:r w:rsidRPr="00C25D6F">
        <w:rPr>
          <w:rStyle w:val="StyleUnderline"/>
        </w:rPr>
        <w:t>to the exclusion of the second definition</w:t>
      </w:r>
      <w:r w:rsidRPr="00C25D6F">
        <w:rPr>
          <w:sz w:val="16"/>
        </w:rPr>
        <w:t>, "</w:t>
      </w:r>
      <w:r w:rsidRPr="00C25D6F">
        <w:rPr>
          <w:rStyle w:val="StyleUnderline"/>
        </w:rPr>
        <w:t>a political state or nation</w:t>
      </w:r>
      <w:r w:rsidRPr="00C25D6F">
        <w:rPr>
          <w:sz w:val="16"/>
        </w:rPr>
        <w:t xml:space="preserve">."6 2 To understand why "sense-ranking" is a fallacy, one must look at the purpose of dictionaries as well as how they are compiled. Today, </w:t>
      </w:r>
      <w:r w:rsidRPr="00C25D6F">
        <w:rPr>
          <w:rStyle w:val="StyleUnderline"/>
        </w:rPr>
        <w:t>lexicographers compile dictionaries from a corpus</w:t>
      </w:r>
      <w:r w:rsidRPr="00C25D6F">
        <w:rPr>
          <w:sz w:val="16"/>
        </w:rPr>
        <w:t xml:space="preserve">, which is "a collection of whole or partial texts or recorded speech stored and indexed electronically so that individual words can be found quickly."6 3 </w:t>
      </w:r>
      <w:r w:rsidRPr="00C25D6F">
        <w:rPr>
          <w:rStyle w:val="StyleUnderline"/>
        </w:rPr>
        <w:t>Since it is impossible to compile every real-world use</w:t>
      </w:r>
      <w:r w:rsidRPr="00C25D6F">
        <w:rPr>
          <w:sz w:val="16"/>
        </w:rPr>
        <w:t xml:space="preserve"> of a term for the corpus, </w:t>
      </w:r>
      <w:r w:rsidRPr="00C25D6F">
        <w:rPr>
          <w:rStyle w:val="StyleUnderline"/>
        </w:rPr>
        <w:t>lexicographers have discretion in choosing the samples</w:t>
      </w:r>
      <w:r w:rsidRPr="00C25D6F">
        <w:rPr>
          <w:sz w:val="16"/>
        </w:rPr>
        <w:t xml:space="preserve">, </w:t>
      </w:r>
      <w:r w:rsidRPr="00C25D6F">
        <w:rPr>
          <w:rStyle w:val="StyleUnderline"/>
        </w:rPr>
        <w:t>as well as in choosing how many to include</w:t>
      </w:r>
      <w:r w:rsidRPr="00C25D6F">
        <w:rPr>
          <w:sz w:val="16"/>
        </w:rPr>
        <w:t xml:space="preserve">, in order to have a collection of samples that is accurately representative of the lexicon. 64 </w:t>
      </w:r>
      <w:r w:rsidRPr="00C25D6F">
        <w:rPr>
          <w:rStyle w:val="StyleUnderline"/>
        </w:rPr>
        <w:t>It is through this lens that the purpose of dictionaries in statutory interpretation must be viewed</w:t>
      </w:r>
      <w:r w:rsidRPr="00C25D6F">
        <w:rPr>
          <w:sz w:val="16"/>
        </w:rPr>
        <w:t xml:space="preserve">. </w:t>
      </w:r>
      <w:r w:rsidRPr="00C25D6F">
        <w:rPr>
          <w:rStyle w:val="Emphasis"/>
        </w:rPr>
        <w:t>In addition to limitations imposed by their descriptivist function as historical records of language usage</w:t>
      </w:r>
      <w:r w:rsidRPr="00C25D6F">
        <w:rPr>
          <w:sz w:val="16"/>
        </w:rPr>
        <w:t xml:space="preserve">,6 5 </w:t>
      </w:r>
      <w:r w:rsidRPr="00C25D6F">
        <w:rPr>
          <w:rStyle w:val="StyleUnderline"/>
        </w:rPr>
        <w:t>dictionaries are also limited in that they are merely a</w:t>
      </w:r>
      <w:r w:rsidRPr="00C25D6F">
        <w:rPr>
          <w:sz w:val="16"/>
        </w:rPr>
        <w:t xml:space="preserve"> "</w:t>
      </w:r>
      <w:r w:rsidRPr="00C25D6F">
        <w:rPr>
          <w:rStyle w:val="StyleUnderline"/>
        </w:rPr>
        <w:t>proxy for the lexicon</w:t>
      </w:r>
      <w:r w:rsidRPr="00C25D6F">
        <w:rPr>
          <w:sz w:val="16"/>
        </w:rPr>
        <w:t xml:space="preserve">" </w:t>
      </w:r>
      <w:r w:rsidRPr="00C25D6F">
        <w:rPr>
          <w:rStyle w:val="Emphasis"/>
        </w:rPr>
        <w:t>since they are merely representative</w:t>
      </w:r>
      <w:r w:rsidRPr="00C25D6F">
        <w:rPr>
          <w:sz w:val="16"/>
        </w:rPr>
        <w:t xml:space="preserve">. 66 Furthermore, </w:t>
      </w:r>
      <w:r w:rsidRPr="00C25D6F">
        <w:rPr>
          <w:rStyle w:val="StyleUnderline"/>
        </w:rPr>
        <w:t>lexicographers do not necessarily list the most common</w:t>
      </w:r>
      <w:r w:rsidRPr="00C25D6F">
        <w:rPr>
          <w:sz w:val="16"/>
        </w:rPr>
        <w:t xml:space="preserve"> (or "</w:t>
      </w:r>
      <w:r w:rsidRPr="00C25D6F">
        <w:rPr>
          <w:rStyle w:val="StyleUnderline"/>
        </w:rPr>
        <w:t>primary</w:t>
      </w:r>
      <w:r w:rsidRPr="00C25D6F">
        <w:rPr>
          <w:sz w:val="16"/>
        </w:rPr>
        <w:t xml:space="preserve">") </w:t>
      </w:r>
      <w:r w:rsidRPr="00C25D6F">
        <w:rPr>
          <w:rStyle w:val="StyleUnderline"/>
        </w:rPr>
        <w:t>sense of a word as the first definition</w:t>
      </w:r>
      <w:r w:rsidRPr="00C25D6F">
        <w:rPr>
          <w:sz w:val="16"/>
        </w:rPr>
        <w:t xml:space="preserve">, and </w:t>
      </w:r>
      <w:r w:rsidRPr="00C25D6F">
        <w:rPr>
          <w:rStyle w:val="StyleUnderline"/>
        </w:rPr>
        <w:t>instead often elect the</w:t>
      </w:r>
      <w:r w:rsidRPr="00C25D6F">
        <w:rPr>
          <w:sz w:val="16"/>
        </w:rPr>
        <w:t xml:space="preserve"> "</w:t>
      </w:r>
      <w:r w:rsidRPr="00C25D6F">
        <w:rPr>
          <w:rStyle w:val="StyleUnderline"/>
        </w:rPr>
        <w:t>most literal and typical meaning of the word</w:t>
      </w:r>
      <w:r w:rsidRPr="00C25D6F">
        <w:rPr>
          <w:sz w:val="16"/>
        </w:rPr>
        <w:t xml:space="preserve">." 67 For these reasons, </w:t>
      </w:r>
      <w:r w:rsidRPr="00C25D6F">
        <w:rPr>
          <w:rStyle w:val="StyleUnderline"/>
        </w:rPr>
        <w:t>ranking definitions by placement in the hierarchy is an overstep on the proper function of dictionaries</w:t>
      </w:r>
      <w:r w:rsidRPr="00C25D6F">
        <w:rPr>
          <w:sz w:val="16"/>
        </w:rPr>
        <w:t xml:space="preserve">. A </w:t>
      </w:r>
      <w:r w:rsidRPr="00C25D6F">
        <w:rPr>
          <w:rStyle w:val="StyleUnderline"/>
        </w:rPr>
        <w:t>second common misuse of dictionaries in the context of statutory interpretation is analysis of the word's etymological roots</w:t>
      </w:r>
      <w:r w:rsidRPr="00C25D6F">
        <w:rPr>
          <w:sz w:val="16"/>
        </w:rPr>
        <w:t xml:space="preserve">. Muscarello also provides an example of this fallacious analysis, by </w:t>
      </w:r>
      <w:r w:rsidRPr="00C25D6F">
        <w:rPr>
          <w:rStyle w:val="StyleUnderline"/>
        </w:rPr>
        <w:t>examining etymological</w:t>
      </w:r>
      <w:r w:rsidRPr="00C25D6F">
        <w:rPr>
          <w:sz w:val="16"/>
        </w:rPr>
        <w:t xml:space="preserve"> dictionary entries to </w:t>
      </w:r>
      <w:r w:rsidRPr="00C25D6F">
        <w:rPr>
          <w:rStyle w:val="StyleUnderline"/>
        </w:rPr>
        <w:t>argue that the ordinary meaning of</w:t>
      </w:r>
      <w:r w:rsidRPr="00C25D6F">
        <w:rPr>
          <w:sz w:val="16"/>
        </w:rPr>
        <w:t xml:space="preserve"> "</w:t>
      </w:r>
      <w:r w:rsidRPr="00C25D6F">
        <w:rPr>
          <w:rStyle w:val="StyleUnderline"/>
        </w:rPr>
        <w:t>carry</w:t>
      </w:r>
      <w:r w:rsidRPr="00C25D6F">
        <w:rPr>
          <w:sz w:val="16"/>
        </w:rPr>
        <w:t xml:space="preserve">" </w:t>
      </w:r>
      <w:r w:rsidRPr="00C25D6F">
        <w:rPr>
          <w:rStyle w:val="StyleUnderline"/>
        </w:rPr>
        <w:t>encompasses to</w:t>
      </w:r>
      <w:r w:rsidRPr="00C25D6F">
        <w:rPr>
          <w:sz w:val="16"/>
        </w:rPr>
        <w:t xml:space="preserve"> "</w:t>
      </w:r>
      <w:r w:rsidRPr="00C25D6F">
        <w:rPr>
          <w:rStyle w:val="StyleUnderline"/>
        </w:rPr>
        <w:t>convey in a car</w:t>
      </w:r>
      <w:r w:rsidRPr="00C25D6F">
        <w:rPr>
          <w:sz w:val="16"/>
        </w:rPr>
        <w:t xml:space="preserve">."68 Both legal scholars and linguistic experts have pointed out that, in the analysis of ordinary meaning, </w:t>
      </w:r>
      <w:r w:rsidRPr="00C25D6F">
        <w:rPr>
          <w:rStyle w:val="StyleUnderline"/>
        </w:rPr>
        <w:t xml:space="preserve">a term's earlier or original meaning offers </w:t>
      </w:r>
      <w:r w:rsidRPr="00C25D6F">
        <w:rPr>
          <w:rStyle w:val="Emphasis"/>
        </w:rPr>
        <w:t>no assistance in determining present usage</w:t>
      </w:r>
      <w:r w:rsidRPr="00C25D6F">
        <w:rPr>
          <w:sz w:val="16"/>
        </w:rPr>
        <w:t xml:space="preserve">. 69 Citing to the etymological origins of a term (often involving </w:t>
      </w:r>
      <w:r w:rsidRPr="00C25D6F">
        <w:rPr>
          <w:rStyle w:val="StyleUnderline"/>
        </w:rPr>
        <w:t>examining its roots</w:t>
      </w:r>
      <w:r w:rsidRPr="00C25D6F">
        <w:rPr>
          <w:sz w:val="16"/>
        </w:rPr>
        <w:t xml:space="preserve"> in other languages, such as Latin) is a "</w:t>
      </w:r>
      <w:r w:rsidRPr="00C25D6F">
        <w:rPr>
          <w:rStyle w:val="StyleUnderline"/>
        </w:rPr>
        <w:t>much-practiced folly</w:t>
      </w:r>
      <w:r w:rsidRPr="00C25D6F">
        <w:rPr>
          <w:sz w:val="16"/>
        </w:rPr>
        <w:t xml:space="preserve">" that can </w:t>
      </w:r>
      <w:r w:rsidRPr="00C25D6F">
        <w:rPr>
          <w:rStyle w:val="StyleUnderline"/>
        </w:rPr>
        <w:t>lead to deceptive and anachronistic evidence of word meaning</w:t>
      </w:r>
      <w:r w:rsidRPr="00C25D6F">
        <w:rPr>
          <w:sz w:val="16"/>
        </w:rPr>
        <w:t xml:space="preserve">. 70 A third issue with the use of dictionaries is the </w:t>
      </w:r>
      <w:r w:rsidRPr="00C25D6F">
        <w:rPr>
          <w:rStyle w:val="StyleUnderline"/>
        </w:rPr>
        <w:t>lack of consistency with which judges cite specialized legal dictionaries</w:t>
      </w:r>
      <w:r w:rsidRPr="00C25D6F">
        <w:rPr>
          <w:sz w:val="16"/>
        </w:rPr>
        <w:t xml:space="preserve">, </w:t>
      </w:r>
      <w:r w:rsidRPr="00C25D6F">
        <w:rPr>
          <w:rStyle w:val="StyleUnderline"/>
        </w:rPr>
        <w:t>as opposed to general use dictionaries</w:t>
      </w:r>
      <w:r w:rsidRPr="00C25D6F">
        <w:rPr>
          <w:sz w:val="16"/>
        </w:rPr>
        <w:t>. While judges have acknowledged that the ordinary meaning analysis begins with the assertion that nontechnical words are to be given their "ordinary meaning," judges often include technical dictionaries in their analysis of nontechnical terms. 71 In doing so, the Court "undermine[s] the textualists' claim that they seek to find the meaning of ordinary language for the ordinary speaker."72 While judges may have some basis for analysis of two different dictionary types in the ordinary meaning analysis of a nontechnical term, such a basis has consistently gone unstated, and seemingly amounts to nothing more than an unchecked aggregation of definitions. 73</w:t>
      </w:r>
    </w:p>
    <w:p w14:paraId="0B7B011F" w14:textId="77777777" w:rsidR="00EF4EBA" w:rsidRPr="00EF4EBA" w:rsidRDefault="00EF4EBA" w:rsidP="00EF4EBA"/>
    <w:sectPr w:rsidR="00EF4EBA" w:rsidRPr="00EF4E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F4EBA"/>
    <w:rsid w:val="000139A3"/>
    <w:rsid w:val="00040D0D"/>
    <w:rsid w:val="00100833"/>
    <w:rsid w:val="00104529"/>
    <w:rsid w:val="00105942"/>
    <w:rsid w:val="00107396"/>
    <w:rsid w:val="00144A4C"/>
    <w:rsid w:val="00176AB0"/>
    <w:rsid w:val="00177B7D"/>
    <w:rsid w:val="0018322D"/>
    <w:rsid w:val="001B5776"/>
    <w:rsid w:val="001C5808"/>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06368"/>
    <w:rsid w:val="00531E3F"/>
    <w:rsid w:val="00537BD5"/>
    <w:rsid w:val="0057268A"/>
    <w:rsid w:val="005D2912"/>
    <w:rsid w:val="006065BD"/>
    <w:rsid w:val="00645FA9"/>
    <w:rsid w:val="00647866"/>
    <w:rsid w:val="00665003"/>
    <w:rsid w:val="006A2AD0"/>
    <w:rsid w:val="006C2375"/>
    <w:rsid w:val="006D4ECC"/>
    <w:rsid w:val="006D6302"/>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D3C24"/>
    <w:rsid w:val="00B33870"/>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E31E0"/>
    <w:rsid w:val="00EF4EBA"/>
    <w:rsid w:val="00F176EF"/>
    <w:rsid w:val="00F31C9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55AAB"/>
  <w15:chartTrackingRefBased/>
  <w15:docId w15:val="{4F8D0BC6-A19B-41E3-8A61-95B9EE813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F4EBA"/>
    <w:pPr>
      <w:spacing w:after="0" w:line="240" w:lineRule="auto"/>
    </w:pPr>
    <w:rPr>
      <w:rFonts w:ascii="Georgia" w:hAnsi="Georgia"/>
    </w:rPr>
  </w:style>
  <w:style w:type="paragraph" w:styleId="Heading1">
    <w:name w:val="heading 1"/>
    <w:aliases w:val="Pocket"/>
    <w:basedOn w:val="Normal"/>
    <w:next w:val="Normal"/>
    <w:link w:val="Heading1Char"/>
    <w:qFormat/>
    <w:rsid w:val="00EF4EBA"/>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EF4EBA"/>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EF4EBA"/>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unhideWhenUsed/>
    <w:qFormat/>
    <w:rsid w:val="00EF4EBA"/>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EF4E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4EBA"/>
  </w:style>
  <w:style w:type="character" w:customStyle="1" w:styleId="Heading1Char">
    <w:name w:val="Heading 1 Char"/>
    <w:aliases w:val="Pocket Char"/>
    <w:basedOn w:val="DefaultParagraphFont"/>
    <w:link w:val="Heading1"/>
    <w:rsid w:val="00EF4EBA"/>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EF4EBA"/>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EF4EBA"/>
    <w:rPr>
      <w:rFonts w:ascii="Georgia" w:eastAsiaTheme="majorEastAsia" w:hAnsi="Georgia" w:cstheme="majorBidi"/>
      <w:b/>
      <w:caps/>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EF4EBA"/>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smal,s"/>
    <w:basedOn w:val="DefaultParagraphFont"/>
    <w:link w:val="textbold"/>
    <w:uiPriority w:val="7"/>
    <w:qFormat/>
    <w:rsid w:val="00EF4EBA"/>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F4EBA"/>
    <w:rPr>
      <w:rFonts w:ascii="Georgia" w:hAnsi="Georgia"/>
      <w:b/>
      <w:bCs/>
      <w:sz w:val="22"/>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Style,Bold Cite Char,Citation Char Char Char,ci,c,Underline Char"/>
    <w:basedOn w:val="DefaultParagraphFont"/>
    <w:uiPriority w:val="6"/>
    <w:qFormat/>
    <w:rsid w:val="00EF4EBA"/>
    <w:rPr>
      <w:rFonts w:ascii="Georgia" w:hAnsi="Georgia"/>
      <w:b w:val="0"/>
      <w:sz w:val="22"/>
      <w:u w:val="single"/>
    </w:rPr>
  </w:style>
  <w:style w:type="character" w:styleId="Hyperlink">
    <w:name w:val="Hyperlink"/>
    <w:basedOn w:val="DefaultParagraphFont"/>
    <w:uiPriority w:val="99"/>
    <w:semiHidden/>
    <w:unhideWhenUsed/>
    <w:rsid w:val="00EF4EBA"/>
    <w:rPr>
      <w:color w:val="auto"/>
      <w:u w:val="none"/>
    </w:rPr>
  </w:style>
  <w:style w:type="character" w:styleId="FollowedHyperlink">
    <w:name w:val="FollowedHyperlink"/>
    <w:basedOn w:val="DefaultParagraphFont"/>
    <w:uiPriority w:val="99"/>
    <w:semiHidden/>
    <w:unhideWhenUsed/>
    <w:rsid w:val="00EF4EBA"/>
    <w:rPr>
      <w:color w:val="auto"/>
      <w:u w:val="none"/>
    </w:rPr>
  </w:style>
  <w:style w:type="paragraph" w:customStyle="1" w:styleId="textbold">
    <w:name w:val="text bold"/>
    <w:basedOn w:val="Normal"/>
    <w:link w:val="Emphasis"/>
    <w:uiPriority w:val="7"/>
    <w:qFormat/>
    <w:rsid w:val="00EF4EBA"/>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Emphasis1">
    <w:name w:val="Emphasis1"/>
    <w:basedOn w:val="Normal"/>
    <w:uiPriority w:val="7"/>
    <w:qFormat/>
    <w:rsid w:val="00B3387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1730</Words>
  <Characters>9867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2</cp:revision>
  <dcterms:created xsi:type="dcterms:W3CDTF">2021-07-26T20:14:00Z</dcterms:created>
  <dcterms:modified xsi:type="dcterms:W3CDTF">2021-07-26T20:53:00Z</dcterms:modified>
</cp:coreProperties>
</file>