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CF1B3" w14:textId="4826773F" w:rsidR="005D388F" w:rsidRDefault="00AB5CF2" w:rsidP="00AF1FED">
      <w:pPr>
        <w:pStyle w:val="Heading1"/>
      </w:pPr>
      <w:r>
        <w:t xml:space="preserve">Answers to </w:t>
      </w:r>
      <w:r w:rsidR="00AF1FED">
        <w:t>T</w:t>
      </w:r>
      <w:r>
        <w:t>opicality</w:t>
      </w:r>
      <w:r w:rsidR="00AF1FED">
        <w:t xml:space="preserve"> – Redistribution</w:t>
      </w:r>
    </w:p>
    <w:p w14:paraId="7DCA7CF1" w14:textId="77777777" w:rsidR="008D11C4" w:rsidRDefault="008D11C4" w:rsidP="008D11C4">
      <w:pPr>
        <w:pStyle w:val="Heading3"/>
      </w:pPr>
      <w:r>
        <w:t>2AC Shell</w:t>
      </w:r>
    </w:p>
    <w:p w14:paraId="5C28178B" w14:textId="77777777" w:rsidR="008D11C4" w:rsidRDefault="008D11C4" w:rsidP="008D11C4">
      <w:pPr>
        <w:pStyle w:val="Heading4"/>
      </w:pPr>
      <w:r>
        <w:t xml:space="preserve">We meet—progressive taxation redistributes wealth by taxing high incomes more. </w:t>
      </w:r>
    </w:p>
    <w:p w14:paraId="091C2237" w14:textId="77777777" w:rsidR="008D11C4" w:rsidRDefault="008D11C4" w:rsidP="008D11C4">
      <w:r w:rsidRPr="006114CA">
        <w:t>Thomas</w:t>
      </w:r>
      <w:r>
        <w:rPr>
          <w:rStyle w:val="Style13ptBold"/>
        </w:rPr>
        <w:t xml:space="preserve"> </w:t>
      </w:r>
      <w:r w:rsidRPr="00605DDB">
        <w:rPr>
          <w:rStyle w:val="Style13ptBold"/>
        </w:rPr>
        <w:t>Piketty 14</w:t>
      </w:r>
      <w:r w:rsidRPr="006114CA">
        <w:t>.</w:t>
      </w:r>
      <w:r>
        <w:t xml:space="preserve"> Professor of economics at the School for Advanced Studies in the Social Sciences, Associate Chair at the Paris School of Economics, and Centennial Professor of Economics in the International Inequalities Institute at the London School of Economics, 2014. </w:t>
      </w:r>
      <w:r w:rsidRPr="00605DDB">
        <w:rPr>
          <w:i/>
          <w:iCs/>
        </w:rPr>
        <w:t>Capital in the Twenty-First Century</w:t>
      </w:r>
      <w:r>
        <w:t>, p. 495-496.</w:t>
      </w:r>
    </w:p>
    <w:p w14:paraId="17594EFB" w14:textId="77777777" w:rsidR="008D11C4" w:rsidRDefault="008D11C4" w:rsidP="008D11C4">
      <w:pPr>
        <w:rPr>
          <w:sz w:val="16"/>
        </w:rPr>
      </w:pPr>
      <w:r w:rsidRPr="00605DDB">
        <w:rPr>
          <w:rStyle w:val="StyleUnderline"/>
        </w:rPr>
        <w:t>It would be wrong</w:t>
      </w:r>
      <w:r w:rsidRPr="00605DDB">
        <w:rPr>
          <w:sz w:val="16"/>
        </w:rPr>
        <w:t xml:space="preserve">, however, </w:t>
      </w:r>
      <w:r w:rsidRPr="00605DDB">
        <w:rPr>
          <w:rStyle w:val="StyleUnderline"/>
        </w:rPr>
        <w:t>to conclude that progressive taxation plays only a limited role in modern redistribution</w:t>
      </w:r>
      <w:r w:rsidRPr="00605DDB">
        <w:rPr>
          <w:sz w:val="16"/>
        </w:rPr>
        <w:t xml:space="preserve">. First, even if taxation overall is </w:t>
      </w:r>
      <w:proofErr w:type="gramStart"/>
      <w:r w:rsidRPr="00605DDB">
        <w:rPr>
          <w:sz w:val="16"/>
        </w:rPr>
        <w:t>fairly close</w:t>
      </w:r>
      <w:proofErr w:type="gramEnd"/>
      <w:r w:rsidRPr="00605DDB">
        <w:rPr>
          <w:sz w:val="16"/>
        </w:rPr>
        <w:t xml:space="preserve"> to proportional for the majority of the population, </w:t>
      </w:r>
      <w:r w:rsidRPr="00605DDB">
        <w:rPr>
          <w:rStyle w:val="StyleUnderline"/>
        </w:rPr>
        <w:t>the fact that the highest incomes and largest fortunes are taxed at significantly higher</w:t>
      </w:r>
      <w:r w:rsidRPr="00605DDB">
        <w:rPr>
          <w:sz w:val="16"/>
        </w:rPr>
        <w:t xml:space="preserve"> (or lower) </w:t>
      </w:r>
      <w:r w:rsidRPr="00605DDB">
        <w:rPr>
          <w:rStyle w:val="StyleUnderline"/>
        </w:rPr>
        <w:t>rates can have a strong influence on the structure of inequality</w:t>
      </w:r>
      <w:r w:rsidRPr="00605DDB">
        <w:rPr>
          <w:sz w:val="16"/>
        </w:rPr>
        <w:t>. In particular, the evidence suggests that progressive taxation of very high incomes and very large estates partly explains why the concentration of wealth never regained its astronomic Belle Époque levels after the shocks of 1914–1945. Conversely, the spectacular decrease in the progressivity of the income tax in the United States and Britain since 1980, even though both countries had been among the leaders in progressive taxation after World War II, probably explains much of the increase in the very highest earned incomes. At the same time, the recent rise of tax competition in a world of free-flowing capital has led many governments to exempt capital income from the progressive income tax. This is particularly true in Europe, whose relatively small states have thus far proved incapable of achieving a coordinated tax policy. The result is an endless race to the bottom, leading, for example, to cuts in corporate tax rates and to the exemption of interest, dividends, and other financial revenues from the taxes to which labor incomes are subject.</w:t>
      </w:r>
    </w:p>
    <w:p w14:paraId="5837B319" w14:textId="77777777" w:rsidR="008D11C4" w:rsidRPr="00550553" w:rsidRDefault="008D11C4" w:rsidP="008D11C4"/>
    <w:p w14:paraId="6BDE9D99" w14:textId="77777777" w:rsidR="008D11C4" w:rsidRPr="00053052" w:rsidRDefault="008D11C4" w:rsidP="008D11C4">
      <w:pPr>
        <w:pStyle w:val="Heading4"/>
      </w:pPr>
      <w:r>
        <w:t>Counterinterpretation—fiscal redistribution refers to tax-and-transfer policies for fighting income inequality.</w:t>
      </w:r>
    </w:p>
    <w:p w14:paraId="5650D66A" w14:textId="77777777" w:rsidR="008D11C4" w:rsidRDefault="008D11C4" w:rsidP="008D11C4">
      <w:r w:rsidRPr="00BB15A9">
        <w:t>Malte</w:t>
      </w:r>
      <w:r>
        <w:rPr>
          <w:rStyle w:val="Style13ptBold"/>
        </w:rPr>
        <w:t xml:space="preserve"> </w:t>
      </w:r>
      <w:r w:rsidRPr="00E153BA">
        <w:rPr>
          <w:rStyle w:val="Style13ptBold"/>
        </w:rPr>
        <w:t>Luebker 15</w:t>
      </w:r>
      <w:r w:rsidRPr="00BB15A9">
        <w:t>.</w:t>
      </w:r>
      <w:r>
        <w:t xml:space="preserve"> Senior Researcher at the Institute of Social and Economic Research (WSI) with a doctoral degree in political science from the University of Bamberg, 1-14-2015. “Redistribution policies” in </w:t>
      </w:r>
      <w:r w:rsidRPr="007043BB">
        <w:rPr>
          <w:i/>
          <w:iCs/>
        </w:rPr>
        <w:t xml:space="preserve">Labour Markets, </w:t>
      </w:r>
      <w:proofErr w:type="gramStart"/>
      <w:r w:rsidRPr="007043BB">
        <w:rPr>
          <w:i/>
          <w:iCs/>
        </w:rPr>
        <w:t>Institutions</w:t>
      </w:r>
      <w:proofErr w:type="gramEnd"/>
      <w:r w:rsidRPr="007043BB">
        <w:rPr>
          <w:i/>
          <w:iCs/>
        </w:rPr>
        <w:t xml:space="preserve"> and Inequality: Building Just Societies in the 21st Century</w:t>
      </w:r>
      <w:r>
        <w:t>, p.214-215, edited by Janine Berg, published by International Labor Office.</w:t>
      </w:r>
    </w:p>
    <w:p w14:paraId="763E86A2" w14:textId="77777777" w:rsidR="008D11C4" w:rsidRPr="004A7F7A" w:rsidRDefault="008D11C4" w:rsidP="008D11C4">
      <w:pPr>
        <w:rPr>
          <w:sz w:val="16"/>
        </w:rPr>
      </w:pPr>
      <w:r w:rsidRPr="004A7F7A">
        <w:rPr>
          <w:sz w:val="16"/>
        </w:rPr>
        <w:t xml:space="preserve">Such a broad definition of redistribution underlines the fact that most government action has redistributive consequences. To gain support for unpopular decisions such as the opening of trade, governments sometimes try to compensate the losers and impose a corresponding tax on the winners (ibid.). At this stage, redistribution becomes more apparent since it directly alters the primary distribution of incomes. This </w:t>
      </w:r>
      <w:r w:rsidRPr="004A7F7A">
        <w:rPr>
          <w:rStyle w:val="StyleUnderline"/>
        </w:rPr>
        <w:t>direct intervention in the form of taxes and transfers is commonly at the heart of public debates over redistribution</w:t>
      </w:r>
      <w:r w:rsidRPr="004A7F7A">
        <w:rPr>
          <w:sz w:val="16"/>
        </w:rPr>
        <w:t xml:space="preserve">, simply because it is more visible, even though the impact can be minuscule when compared with the original policy decision. For example, trade compensation schemes are commonly thought to redistribute less than 5 per cent of the gains from trade (ibid., p. 75). The concept of </w:t>
      </w:r>
      <w:r w:rsidRPr="004F6EAD">
        <w:rPr>
          <w:rStyle w:val="Emphasis"/>
        </w:rPr>
        <w:t>‘fiscal redistribution’ captures these direct interventions that governments make through taxes and transfers</w:t>
      </w:r>
      <w:r w:rsidRPr="004A7F7A">
        <w:rPr>
          <w:sz w:val="16"/>
        </w:rPr>
        <w:t xml:space="preserve">. </w:t>
      </w:r>
      <w:r w:rsidRPr="004F6EAD">
        <w:rPr>
          <w:rStyle w:val="StyleUnderline"/>
        </w:rPr>
        <w:t>A key policy concern is often their net effect on income inequality</w:t>
      </w:r>
      <w:r w:rsidRPr="004A7F7A">
        <w:rPr>
          <w:sz w:val="16"/>
        </w:rPr>
        <w:t>, usually expressed as the change in a summary measure such as the Gini coefficient between the primary and secondary distribution. The impact can be further disaggregated into the direct effect of taxes and mandatory social contributions and the contribution of transfers (see section 8.6).</w:t>
      </w:r>
    </w:p>
    <w:p w14:paraId="57BFE4CB" w14:textId="77777777" w:rsidR="008D11C4" w:rsidRDefault="008D11C4" w:rsidP="008D11C4">
      <w:pPr>
        <w:pStyle w:val="Heading4"/>
      </w:pPr>
      <w:r>
        <w:t>Prefer our interpretation—</w:t>
      </w:r>
    </w:p>
    <w:p w14:paraId="77B927F8" w14:textId="77777777" w:rsidR="008D11C4" w:rsidRDefault="008D11C4" w:rsidP="008D11C4">
      <w:pPr>
        <w:pStyle w:val="Heading4"/>
        <w:numPr>
          <w:ilvl w:val="0"/>
          <w:numId w:val="45"/>
        </w:numPr>
      </w:pPr>
      <w:r>
        <w:t>Predictability—our interpretation uses the generally accepted meaning of fiscal redistribution among economists. There’s no reason a team wouldn’t expect the resolution to include UBI. Predictability is key to preparation and clash, which ensures fairness and education.</w:t>
      </w:r>
    </w:p>
    <w:p w14:paraId="153F4856" w14:textId="77777777" w:rsidR="008D11C4" w:rsidRPr="004829B2" w:rsidRDefault="008D11C4" w:rsidP="008D11C4">
      <w:pPr>
        <w:pStyle w:val="Heading4"/>
        <w:numPr>
          <w:ilvl w:val="0"/>
          <w:numId w:val="45"/>
        </w:numPr>
      </w:pPr>
      <w:r>
        <w:t xml:space="preserve">Limits—we still provide a reasonable limit on the topic. We don’t justify every economic policy, just ones that use a specific mechanism designed to reduce economic inequality. </w:t>
      </w:r>
    </w:p>
    <w:p w14:paraId="37C6CCCE" w14:textId="77777777" w:rsidR="008D11C4" w:rsidRPr="0069372E" w:rsidRDefault="008D11C4" w:rsidP="008D11C4">
      <w:pPr>
        <w:pStyle w:val="Heading4"/>
      </w:pPr>
      <w:r>
        <w:t xml:space="preserve">Don’t vote us down if you think the aff is reasonably topical. Competing interpretations is bad for debate because it encourages cherry-picking the most self-serving definitions instead of ones that </w:t>
      </w:r>
      <w:proofErr w:type="gramStart"/>
      <w:r>
        <w:t>actually produce</w:t>
      </w:r>
      <w:proofErr w:type="gramEnd"/>
      <w:r>
        <w:t xml:space="preserve"> fair and educational debates. </w:t>
      </w:r>
    </w:p>
    <w:p w14:paraId="60ABD233" w14:textId="77777777" w:rsidR="008D11C4" w:rsidRDefault="008D11C4" w:rsidP="008D11C4">
      <w:pPr>
        <w:rPr>
          <w:sz w:val="16"/>
        </w:rPr>
      </w:pPr>
    </w:p>
    <w:p w14:paraId="3AABE6CA" w14:textId="77777777" w:rsidR="008D11C4" w:rsidRDefault="008D11C4" w:rsidP="008D11C4">
      <w:pPr>
        <w:pStyle w:val="Heading3"/>
      </w:pPr>
      <w:r>
        <w:t>1AR – XT We Meet</w:t>
      </w:r>
    </w:p>
    <w:p w14:paraId="6FC19B50" w14:textId="77777777" w:rsidR="008D11C4" w:rsidRDefault="008D11C4" w:rsidP="008D11C4">
      <w:pPr>
        <w:pStyle w:val="Heading4"/>
      </w:pPr>
      <w:r>
        <w:t>Yes, we meet—progressive taxation is an established redistributional policy to reduce inequality.</w:t>
      </w:r>
    </w:p>
    <w:p w14:paraId="71703449" w14:textId="77777777" w:rsidR="008D11C4" w:rsidRPr="00550553" w:rsidRDefault="008D11C4" w:rsidP="008D11C4">
      <w:r w:rsidRPr="001E6F42">
        <w:t xml:space="preserve">Thomas </w:t>
      </w:r>
      <w:r w:rsidRPr="00550553">
        <w:rPr>
          <w:rStyle w:val="Style13ptBold"/>
        </w:rPr>
        <w:t xml:space="preserve">Piketty </w:t>
      </w:r>
      <w:r>
        <w:rPr>
          <w:rStyle w:val="Style13ptBold"/>
        </w:rPr>
        <w:t>22</w:t>
      </w:r>
      <w:r w:rsidRPr="001E6F42">
        <w:t>.</w:t>
      </w:r>
      <w:r>
        <w:t xml:space="preserve"> Professor of economics at the School for Advanced Studies in the Social Sciences, Associate Chair at the Paris School of Economics, and Centennial Professor of Economics in the International Inequalities Institute at the London School of Economics, 2022. </w:t>
      </w:r>
      <w:r w:rsidRPr="00833BCD">
        <w:rPr>
          <w:i/>
          <w:iCs/>
        </w:rPr>
        <w:t>A Brief History of Equality</w:t>
      </w:r>
      <w:r>
        <w:t>, p. 263-264.</w:t>
      </w:r>
    </w:p>
    <w:p w14:paraId="7892C7D5" w14:textId="77777777" w:rsidR="008D11C4" w:rsidRPr="009042E6" w:rsidRDefault="008D11C4" w:rsidP="008D11C4">
      <w:pPr>
        <w:rPr>
          <w:sz w:val="16"/>
        </w:rPr>
      </w:pPr>
      <w:r w:rsidRPr="00487C5E">
        <w:rPr>
          <w:sz w:val="16"/>
        </w:rPr>
        <w:t xml:space="preserve">We must also remember that </w:t>
      </w:r>
      <w:r w:rsidRPr="00D13A54">
        <w:rPr>
          <w:rStyle w:val="StyleUnderline"/>
        </w:rPr>
        <w:t>progressive taxation</w:t>
      </w:r>
      <w:r w:rsidRPr="00487C5E">
        <w:rPr>
          <w:sz w:val="16"/>
        </w:rPr>
        <w:t xml:space="preserve">, as it functioned </w:t>
      </w:r>
      <w:proofErr w:type="gramStart"/>
      <w:r w:rsidRPr="00487C5E">
        <w:rPr>
          <w:sz w:val="16"/>
        </w:rPr>
        <w:t>in the course of</w:t>
      </w:r>
      <w:proofErr w:type="gramEnd"/>
      <w:r w:rsidRPr="00487C5E">
        <w:rPr>
          <w:sz w:val="16"/>
        </w:rPr>
        <w:t xml:space="preserve"> the twentieth century, </w:t>
      </w:r>
      <w:r w:rsidRPr="00D13A54">
        <w:rPr>
          <w:rStyle w:val="StyleUnderline"/>
        </w:rPr>
        <w:t>enabled us not only to more fairly distribute taxes on wealth and income but also to impose narrow limits on inequalities before taxe</w:t>
      </w:r>
      <w:r w:rsidRPr="00A01E84">
        <w:rPr>
          <w:rStyle w:val="StyleUnderline"/>
        </w:rPr>
        <w:t>s</w:t>
      </w:r>
      <w:r w:rsidRPr="00487C5E">
        <w:rPr>
          <w:sz w:val="16"/>
        </w:rPr>
        <w:t xml:space="preserve">. This role of predistribution and not just redistribution was </w:t>
      </w:r>
      <w:proofErr w:type="gramStart"/>
      <w:r w:rsidRPr="00487C5E">
        <w:rPr>
          <w:sz w:val="16"/>
        </w:rPr>
        <w:t>absolutely central</w:t>
      </w:r>
      <w:proofErr w:type="gramEnd"/>
      <w:r w:rsidRPr="00487C5E">
        <w:rPr>
          <w:sz w:val="16"/>
        </w:rPr>
        <w:t xml:space="preserve">. It shows to what extent progressive taxation is also a form of intervention at the very heart of the process of production—together, of course, with other practices, such as labor law or the presence of employees on boards of directors. Let us stress that the drastic reduction of the salary </w:t>
      </w:r>
      <w:proofErr w:type="gramStart"/>
      <w:r w:rsidRPr="00487C5E">
        <w:rPr>
          <w:sz w:val="16"/>
        </w:rPr>
        <w:t>scale</w:t>
      </w:r>
      <w:proofErr w:type="gramEnd"/>
      <w:r w:rsidRPr="00487C5E">
        <w:rPr>
          <w:sz w:val="16"/>
        </w:rPr>
        <w:t xml:space="preserve"> that progressive taxation permits, particularly the 30—90 percent rates applied to the highest incomes, is also an indispensable tool for confronting the commercial sector on equal terms. If capitalist enterprises in the information technology sector pay extravagant remunerations </w:t>
      </w:r>
      <w:proofErr w:type="gramStart"/>
      <w:r w:rsidRPr="00487C5E">
        <w:rPr>
          <w:sz w:val="16"/>
        </w:rPr>
        <w:t>in order to</w:t>
      </w:r>
      <w:proofErr w:type="gramEnd"/>
      <w:r w:rsidRPr="00487C5E">
        <w:rPr>
          <w:sz w:val="16"/>
        </w:rPr>
        <w:t xml:space="preserve"> poach almost all the most expert computer scientists on the market, that can seriously complicate the task of the public agencies entrusted with regulating them (unless they choose to encourage the race toward ever greater differences in pay). The same holds true in finance or law. The fact that salaries have been reduced to a scale of one to five and no longer one to twenty, or even one to a hundred, is not only a matter of distributive justice. It is also a matter of efficiency for public regulation, and it contributes to the construction of alternative modes of economic organization. </w:t>
      </w:r>
    </w:p>
    <w:p w14:paraId="32092533" w14:textId="77777777" w:rsidR="008D11C4" w:rsidRDefault="008D11C4" w:rsidP="008D11C4">
      <w:pPr>
        <w:pStyle w:val="Heading3"/>
      </w:pPr>
      <w:r>
        <w:t>2AC – Predictability</w:t>
      </w:r>
    </w:p>
    <w:p w14:paraId="23E4E1E2" w14:textId="77777777" w:rsidR="008D11C4" w:rsidRDefault="008D11C4" w:rsidP="008D11C4">
      <w:pPr>
        <w:pStyle w:val="Heading4"/>
      </w:pPr>
      <w:r>
        <w:t>UBI is extremely predictable—it’s already in the public and political consciousness because of the 2020 primaries and COVID relief.</w:t>
      </w:r>
    </w:p>
    <w:p w14:paraId="1EBA521A" w14:textId="77777777" w:rsidR="008D11C4" w:rsidRPr="00C76ADD" w:rsidRDefault="008D11C4" w:rsidP="008D11C4">
      <w:r>
        <w:t xml:space="preserve">Yelena </w:t>
      </w:r>
      <w:r w:rsidRPr="00C76ADD">
        <w:rPr>
          <w:rStyle w:val="Style13ptBold"/>
        </w:rPr>
        <w:t>Dzhanova 20</w:t>
      </w:r>
      <w:r>
        <w:t xml:space="preserve">. CNBC news associate covering breaking news and politics with a </w:t>
      </w:r>
      <w:proofErr w:type="gramStart"/>
      <w:r>
        <w:t>Bachelor’s</w:t>
      </w:r>
      <w:proofErr w:type="gramEnd"/>
      <w:r>
        <w:t xml:space="preserve"> degree in English, political science, and journalism from Baruch College, 7-29-2020. “Why Andrew Yang’s push for a universal basic income is making a comeback”, CNBC. https://www.cnbc.com/2020/07/29/why-andrew-yangs-push-for-a-universal-basic-income-is-making-a-comeback.html </w:t>
      </w:r>
    </w:p>
    <w:p w14:paraId="6CEC6F5B" w14:textId="77777777" w:rsidR="008D11C4" w:rsidRPr="0008611E" w:rsidRDefault="008D11C4" w:rsidP="008D11C4">
      <w:r w:rsidRPr="00085A6C">
        <w:rPr>
          <w:sz w:val="16"/>
        </w:rPr>
        <w:t xml:space="preserve">For months, </w:t>
      </w:r>
      <w:r w:rsidRPr="002D5D7F">
        <w:rPr>
          <w:rStyle w:val="StyleUnderline"/>
        </w:rPr>
        <w:t>lawmakers have been paying attention to and pushing for some form of a universal basic income as the coronavirus pandemic roiled the economy</w:t>
      </w:r>
      <w:r w:rsidRPr="00085A6C">
        <w:rPr>
          <w:sz w:val="16"/>
        </w:rPr>
        <w:t xml:space="preserve"> and forced millions of Americans out of a job. </w:t>
      </w:r>
      <w:r w:rsidRPr="002D5D7F">
        <w:rPr>
          <w:rStyle w:val="StyleUnderline"/>
        </w:rPr>
        <w:t>It’s the main pillar that former presidential candidate Andrew Yang took up in his campaign</w:t>
      </w:r>
      <w:r w:rsidRPr="00085A6C">
        <w:rPr>
          <w:sz w:val="16"/>
        </w:rPr>
        <w:t xml:space="preserve">, centered around the premise that a UBI could alleviate or resolve many American issues. The gravity with which a UBI is now regarded is a complete reversal of the reaction Yang first got when unveiling his platform. Pundits and Democratic strategists didn’t take his campaign seriously, but suddenly the push for a UBI does not seem so far-fetched. </w:t>
      </w:r>
      <w:r w:rsidRPr="00085A6C">
        <w:rPr>
          <w:rStyle w:val="StyleUnderline"/>
        </w:rPr>
        <w:t>Just as the pandemic was taking full shape in the United States, progressives who’ve long criticized Yang’s UBI stance urged in March for direct payments to workers around the country</w:t>
      </w:r>
      <w:r>
        <w:t>. Among them was Sen. Bernie Sanders of Vermont, who in August of last year found fault with instituting a UBI. Shortly after Sanders and other lawmakers spoke up, President Donald Trump signed into law a coronavirus stimulus package that offered a $1,200 payment to struggling Americans to offset any economic damage brought on by the virus. And now Congress is in discussions about the next round of stimulus relief, with the potential for another $1,200 direct payment.</w:t>
      </w:r>
    </w:p>
    <w:p w14:paraId="4578F3F0" w14:textId="77777777" w:rsidR="008D11C4" w:rsidRDefault="008D11C4" w:rsidP="008D11C4">
      <w:pPr>
        <w:pStyle w:val="Heading3"/>
      </w:pPr>
      <w:r>
        <w:t>1AR – XT Predictability</w:t>
      </w:r>
    </w:p>
    <w:p w14:paraId="4C331E05" w14:textId="77777777" w:rsidR="008D11C4" w:rsidRPr="00B0696B" w:rsidRDefault="008D11C4" w:rsidP="008D11C4">
      <w:pPr>
        <w:pStyle w:val="Heading4"/>
      </w:pPr>
      <w:r>
        <w:t xml:space="preserve">UBI is a core aff for this topic that teams know to prepare for. Being able to predict and prep for affs is key to being able to research specific responses, which solves their fairness and education impacts. </w:t>
      </w:r>
    </w:p>
    <w:p w14:paraId="69124ABF" w14:textId="77777777" w:rsidR="008D11C4" w:rsidRPr="008D11C4" w:rsidRDefault="008D11C4" w:rsidP="008D11C4"/>
    <w:sectPr w:rsidR="008D11C4" w:rsidRPr="008D11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12C9B" w14:textId="77777777" w:rsidR="00793905" w:rsidRDefault="00793905" w:rsidP="00066D2C">
      <w:pPr>
        <w:spacing w:after="0" w:line="240" w:lineRule="auto"/>
      </w:pPr>
      <w:r>
        <w:separator/>
      </w:r>
    </w:p>
  </w:endnote>
  <w:endnote w:type="continuationSeparator" w:id="0">
    <w:p w14:paraId="7AACFC74" w14:textId="77777777" w:rsidR="00793905" w:rsidRDefault="0079390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5A08C" w14:textId="77777777" w:rsidR="00793905" w:rsidRDefault="00793905" w:rsidP="00066D2C">
      <w:pPr>
        <w:spacing w:after="0" w:line="240" w:lineRule="auto"/>
      </w:pPr>
      <w:r>
        <w:separator/>
      </w:r>
    </w:p>
  </w:footnote>
  <w:footnote w:type="continuationSeparator" w:id="0">
    <w:p w14:paraId="3BF4E630" w14:textId="77777777" w:rsidR="00793905" w:rsidRDefault="0079390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6540C9"/>
    <w:multiLevelType w:val="hybridMultilevel"/>
    <w:tmpl w:val="48FA34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0C5EC2"/>
    <w:multiLevelType w:val="hybridMultilevel"/>
    <w:tmpl w:val="80FCB0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BC13DD"/>
    <w:multiLevelType w:val="hybridMultilevel"/>
    <w:tmpl w:val="38DCCC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983778289">
    <w:abstractNumId w:val="10"/>
  </w:num>
  <w:num w:numId="46" w16cid:durableId="831801452">
    <w:abstractNumId w:val="11"/>
  </w:num>
  <w:num w:numId="47" w16cid:durableId="7382070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F1FE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905"/>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F9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1C4"/>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CF2"/>
    <w:rsid w:val="00AB6F32"/>
    <w:rsid w:val="00AC46C7"/>
    <w:rsid w:val="00AC5B71"/>
    <w:rsid w:val="00AC5F18"/>
    <w:rsid w:val="00AC6ED5"/>
    <w:rsid w:val="00AE00AE"/>
    <w:rsid w:val="00AE56E1"/>
    <w:rsid w:val="00AE6C9A"/>
    <w:rsid w:val="00AF1FE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B88"/>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40C42F"/>
  <w15:chartTrackingRefBased/>
  <w15:docId w15:val="{31689119-723A-4AEE-8BEF-5A39B76F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5CF2"/>
    <w:rPr>
      <w:rFonts w:ascii="Calibri" w:hAnsi="Calibri" w:cs="Calibri"/>
    </w:rPr>
  </w:style>
  <w:style w:type="paragraph" w:styleId="Heading1">
    <w:name w:val="heading 1"/>
    <w:aliases w:val="Pocket"/>
    <w:basedOn w:val="Normal"/>
    <w:next w:val="Normal"/>
    <w:link w:val="Heading1Char"/>
    <w:qFormat/>
    <w:rsid w:val="00AB5C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B5C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B5C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ard,No Spacing1,tags,No Spacing11111,No Spacing111111,Medium Grid 21,Very Small Text,Debate Text,No Spacing4,No Spacing21,CD - Cite,no read,C,TAG,No Spacing211,No Spacing12,No Spacing2111"/>
    <w:basedOn w:val="Normal"/>
    <w:next w:val="Normal"/>
    <w:link w:val="Heading4Char"/>
    <w:uiPriority w:val="3"/>
    <w:qFormat/>
    <w:rsid w:val="00AB5C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B5C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B5C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5CF2"/>
  </w:style>
  <w:style w:type="character" w:styleId="Emphasis">
    <w:name w:val="Emphasis"/>
    <w:aliases w:val="Minimized,minimized,tag2,Size 10,emphasis in card,Evidence,Highlighted,CD Card,ED - Tag,emphasis,Underlined,small,Bold Underline,Emphasis!!,Qualifications,bold underline,normal card text,Shrunk,qualifications in card,qualifications,Box,Style1"/>
    <w:basedOn w:val="DefaultParagraphFont"/>
    <w:link w:val="textbold"/>
    <w:uiPriority w:val="8"/>
    <w:qFormat/>
    <w:rsid w:val="00AB5CF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B5CF2"/>
    <w:rPr>
      <w:color w:val="auto"/>
      <w:u w:val="none"/>
    </w:rPr>
  </w:style>
  <w:style w:type="character" w:customStyle="1" w:styleId="Heading1Char">
    <w:name w:val="Heading 1 Char"/>
    <w:aliases w:val="Pocket Char"/>
    <w:basedOn w:val="DefaultParagraphFont"/>
    <w:link w:val="Heading1"/>
    <w:rsid w:val="00AB5C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5CF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5C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ard Char,No Spacing1 Char,tags Char,No Spacing11111 Char,No Spacing111111 Char,Medium Grid 21 Char,Very Small Text Char,Debate Text Char,no read Char"/>
    <w:basedOn w:val="DefaultParagraphFont"/>
    <w:link w:val="Heading4"/>
    <w:uiPriority w:val="3"/>
    <w:rsid w:val="00AB5CF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B5CF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ci,c,Bo,Title Cha,B,cite,Intense Emphasis111"/>
    <w:basedOn w:val="DefaultParagraphFont"/>
    <w:uiPriority w:val="7"/>
    <w:qFormat/>
    <w:rsid w:val="00AB5CF2"/>
    <w:rPr>
      <w:b w:val="0"/>
      <w:sz w:val="22"/>
      <w:u w:val="single"/>
    </w:rPr>
  </w:style>
  <w:style w:type="character" w:styleId="Strong">
    <w:name w:val="Strong"/>
    <w:basedOn w:val="DefaultParagraphFont"/>
    <w:uiPriority w:val="22"/>
    <w:semiHidden/>
    <w:qFormat/>
    <w:rsid w:val="00AB5CF2"/>
    <w:rPr>
      <w:b/>
      <w:bCs/>
    </w:rPr>
  </w:style>
  <w:style w:type="character" w:styleId="BookTitle">
    <w:name w:val="Book Title"/>
    <w:basedOn w:val="DefaultParagraphFont"/>
    <w:uiPriority w:val="33"/>
    <w:semiHidden/>
    <w:qFormat/>
    <w:rsid w:val="00AB5CF2"/>
    <w:rPr>
      <w:b/>
      <w:bCs/>
      <w:i/>
      <w:iCs/>
      <w:spacing w:val="5"/>
    </w:rPr>
  </w:style>
  <w:style w:type="character" w:customStyle="1" w:styleId="Heading5Char">
    <w:name w:val="Heading 5 Char"/>
    <w:basedOn w:val="DefaultParagraphFont"/>
    <w:link w:val="Heading5"/>
    <w:uiPriority w:val="9"/>
    <w:semiHidden/>
    <w:rsid w:val="00AB5C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B5CF2"/>
  </w:style>
  <w:style w:type="paragraph" w:styleId="Header">
    <w:name w:val="header"/>
    <w:basedOn w:val="Normal"/>
    <w:link w:val="HeaderChar"/>
    <w:uiPriority w:val="99"/>
    <w:semiHidden/>
    <w:rsid w:val="00AB5C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5CF2"/>
    <w:rPr>
      <w:rFonts w:ascii="Calibri" w:hAnsi="Calibri" w:cs="Calibri"/>
    </w:rPr>
  </w:style>
  <w:style w:type="paragraph" w:styleId="Footer">
    <w:name w:val="footer"/>
    <w:basedOn w:val="Normal"/>
    <w:link w:val="FooterChar"/>
    <w:uiPriority w:val="99"/>
    <w:semiHidden/>
    <w:rsid w:val="00AB5C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5CF2"/>
    <w:rPr>
      <w:rFonts w:ascii="Calibri" w:hAnsi="Calibri" w:cs="Calibri"/>
    </w:rPr>
  </w:style>
  <w:style w:type="paragraph" w:styleId="BodyText">
    <w:name w:val="Body Text"/>
    <w:basedOn w:val="Normal"/>
    <w:link w:val="BodyTextChar"/>
    <w:uiPriority w:val="99"/>
    <w:semiHidden/>
    <w:unhideWhenUsed/>
    <w:rsid w:val="00AB5CF2"/>
    <w:pPr>
      <w:spacing w:after="120"/>
    </w:pPr>
  </w:style>
  <w:style w:type="character" w:customStyle="1" w:styleId="BodyTextChar">
    <w:name w:val="Body Text Char"/>
    <w:basedOn w:val="DefaultParagraphFont"/>
    <w:link w:val="BodyText"/>
    <w:uiPriority w:val="99"/>
    <w:semiHidden/>
    <w:rsid w:val="00AB5CF2"/>
    <w:rPr>
      <w:rFonts w:ascii="Calibri" w:hAnsi="Calibri" w:cs="Calibri"/>
    </w:rPr>
  </w:style>
  <w:style w:type="paragraph" w:styleId="NoSpacing">
    <w:name w:val="No Spacing"/>
    <w:link w:val="NoSpacingChar"/>
    <w:uiPriority w:val="99"/>
    <w:semiHidden/>
    <w:unhideWhenUsed/>
    <w:qFormat/>
    <w:rsid w:val="00AB5CF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B5CF2"/>
    <w:rPr>
      <w:rFonts w:ascii="Calibri" w:hAnsi="Calibri" w:cs="Calibri"/>
    </w:rPr>
  </w:style>
  <w:style w:type="character" w:styleId="Hyperlink">
    <w:name w:val="Hyperlink"/>
    <w:aliases w:val="heading 1 (block title),Card Text,Important,Read,Internet Link,Analytic Text,Internet link,Heading 3 Char1 Char1,No Underline Char1,Text 7 Char1,3: Cite Char1,Index Headers Char1,Underline Char Char Char Char1,Char Char1,Heading 1 Char1"/>
    <w:basedOn w:val="DefaultParagraphFont"/>
    <w:uiPriority w:val="99"/>
    <w:unhideWhenUsed/>
    <w:rsid w:val="00AB5CF2"/>
    <w:rPr>
      <w:color w:val="0563C1" w:themeColor="hyperlink"/>
      <w:u w:val="single"/>
    </w:rPr>
  </w:style>
  <w:style w:type="character" w:styleId="UnresolvedMention">
    <w:name w:val="Unresolved Mention"/>
    <w:basedOn w:val="DefaultParagraphFont"/>
    <w:uiPriority w:val="99"/>
    <w:semiHidden/>
    <w:unhideWhenUsed/>
    <w:rsid w:val="00AB5CF2"/>
    <w:rPr>
      <w:color w:val="605E5C"/>
      <w:shd w:val="clear" w:color="auto" w:fill="E1DFDD"/>
    </w:rPr>
  </w:style>
  <w:style w:type="paragraph" w:customStyle="1" w:styleId="textbold">
    <w:name w:val="text bold"/>
    <w:basedOn w:val="Normal"/>
    <w:link w:val="Emphasis"/>
    <w:uiPriority w:val="8"/>
    <w:qFormat/>
    <w:rsid w:val="00E54B88"/>
    <w:pPr>
      <w:widowControl w:val="0"/>
      <w:ind w:left="720"/>
      <w:jc w:val="both"/>
    </w:pPr>
    <w:rPr>
      <w:b/>
      <w:iCs/>
      <w:u w:val="single"/>
      <w:bdr w:val="single" w:sz="8" w:space="0" w:color="auto"/>
    </w:rPr>
  </w:style>
  <w:style w:type="character" w:customStyle="1" w:styleId="TitleChar">
    <w:name w:val="Title Char"/>
    <w:aliases w:val="UNDERLINE Char,Cites and Cards Char,Bold Underlined Char"/>
    <w:basedOn w:val="DefaultParagraphFont"/>
    <w:link w:val="Title"/>
    <w:uiPriority w:val="1"/>
    <w:qFormat/>
    <w:rsid w:val="00E54B88"/>
    <w:rPr>
      <w:u w:val="single"/>
    </w:rPr>
  </w:style>
  <w:style w:type="paragraph" w:styleId="Title">
    <w:name w:val="Title"/>
    <w:aliases w:val="UNDERLINE,Cites and Cards,Bold Underlined"/>
    <w:basedOn w:val="Normal"/>
    <w:next w:val="Normal"/>
    <w:link w:val="TitleChar"/>
    <w:uiPriority w:val="1"/>
    <w:qFormat/>
    <w:rsid w:val="00E54B88"/>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E54B88"/>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E54B8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54B88"/>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StyleBold12pt1">
    <w:name w:val="Style Style Bold + 12 pt1"/>
    <w:aliases w:val="Cite1,Style Style Bold1,Style Style Bold + 12pt1,Style Style + 12 pt1,Style Style Bo... +1"/>
    <w:basedOn w:val="DefaultParagraphFont"/>
    <w:uiPriority w:val="5"/>
    <w:qFormat/>
    <w:rsid w:val="00E54B88"/>
    <w:rPr>
      <w:b/>
      <w:bCs/>
      <w:strike w:val="0"/>
      <w:dstrike w:val="0"/>
      <w:sz w:val="2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till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1251</Words>
  <Characters>7135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Tillman, Elysia Morgan</dc:creator>
  <cp:keywords>6.0.0</cp:keywords>
  <dc:description/>
  <cp:lastModifiedBy>Tillman, Elysia Morgan</cp:lastModifiedBy>
  <cp:revision>2</cp:revision>
  <dcterms:created xsi:type="dcterms:W3CDTF">2023-05-30T22:03:00Z</dcterms:created>
  <dcterms:modified xsi:type="dcterms:W3CDTF">2023-05-31T13:38:00Z</dcterms:modified>
</cp:coreProperties>
</file>