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D675A1" w14:textId="77777777" w:rsidR="00C84922" w:rsidRDefault="00C84922" w:rsidP="00C84922">
      <w:pPr>
        <w:pStyle w:val="Heading1"/>
      </w:pPr>
      <w:r>
        <w:t>Aff Answers</w:t>
      </w:r>
    </w:p>
    <w:p w14:paraId="086B9149" w14:textId="77777777" w:rsidR="00C84922" w:rsidRDefault="00C84922" w:rsidP="00C84922">
      <w:pPr>
        <w:pStyle w:val="Heading2"/>
      </w:pPr>
      <w:r>
        <w:t>Aff Key</w:t>
      </w:r>
    </w:p>
    <w:p w14:paraId="21B1514C" w14:textId="77777777" w:rsidR="00C84922" w:rsidRDefault="00C84922" w:rsidP="00C84922">
      <w:pPr>
        <w:pStyle w:val="Heading3"/>
      </w:pPr>
      <w:r>
        <w:t>2AC---Perm Do Both/Aff Key</w:t>
      </w:r>
    </w:p>
    <w:p w14:paraId="2A8897CB" w14:textId="77777777" w:rsidR="00C84922" w:rsidRPr="003403A8" w:rsidRDefault="00C84922" w:rsidP="00C84922">
      <w:pPr>
        <w:pStyle w:val="Heading4"/>
      </w:pPr>
      <w:r>
        <w:t>Monetary policy fails absent the plan’s intervention to solve inequality</w:t>
      </w:r>
    </w:p>
    <w:p w14:paraId="55340FA6" w14:textId="77777777" w:rsidR="00C84922" w:rsidRPr="003403A8" w:rsidRDefault="00C84922" w:rsidP="00C84922">
      <w:r>
        <w:rPr>
          <w:rStyle w:val="Style13ptBold"/>
        </w:rPr>
        <w:t>BIS</w:t>
      </w:r>
      <w:r w:rsidRPr="003403A8">
        <w:rPr>
          <w:rStyle w:val="Style13ptBold"/>
        </w:rPr>
        <w:t xml:space="preserve"> </w:t>
      </w:r>
      <w:r>
        <w:rPr>
          <w:rStyle w:val="Style13ptBold"/>
        </w:rPr>
        <w:t>21</w:t>
      </w:r>
      <w:r w:rsidRPr="003403A8">
        <w:t xml:space="preserve"> – </w:t>
      </w:r>
      <w:r w:rsidRPr="0098106F">
        <w:t>Bank for International Settlements</w:t>
      </w:r>
    </w:p>
    <w:p w14:paraId="49494964" w14:textId="77777777" w:rsidR="00C84922" w:rsidRDefault="00C84922" w:rsidP="00C84922">
      <w:r w:rsidRPr="003403A8">
        <w:t>“</w:t>
      </w:r>
      <w:r>
        <w:t xml:space="preserve">2021 </w:t>
      </w:r>
      <w:r w:rsidRPr="0098106F">
        <w:t>Annual Economic</w:t>
      </w:r>
      <w:r>
        <w:t xml:space="preserve"> Report</w:t>
      </w:r>
      <w:r w:rsidRPr="003403A8">
        <w:t xml:space="preserve">,” </w:t>
      </w:r>
      <w:r w:rsidRPr="0098106F">
        <w:t>Bank for International Settlements</w:t>
      </w:r>
      <w:r w:rsidRPr="003403A8">
        <w:t xml:space="preserve">, </w:t>
      </w:r>
      <w:r>
        <w:t>June 2021</w:t>
      </w:r>
      <w:r w:rsidRPr="003403A8">
        <w:t>,</w:t>
      </w:r>
      <w:r>
        <w:t xml:space="preserve"> </w:t>
      </w:r>
      <w:r w:rsidRPr="0098106F">
        <w:t>https://www.bis.org/publ/arpdf/ar2021e.pdf</w:t>
      </w:r>
    </w:p>
    <w:p w14:paraId="1B91655C" w14:textId="77777777" w:rsidR="00C84922" w:rsidRPr="00672CCB" w:rsidRDefault="00C84922" w:rsidP="00C84922">
      <w:pPr>
        <w:rPr>
          <w:sz w:val="16"/>
        </w:rPr>
      </w:pPr>
      <w:r w:rsidRPr="00672CCB">
        <w:rPr>
          <w:sz w:val="16"/>
        </w:rPr>
        <w:t>The impact of inequality on the transmission of monetary policy</w:t>
      </w:r>
    </w:p>
    <w:p w14:paraId="33EA40B5" w14:textId="77777777" w:rsidR="00C84922" w:rsidRPr="00672CCB" w:rsidRDefault="00C84922" w:rsidP="00C84922">
      <w:pPr>
        <w:rPr>
          <w:sz w:val="16"/>
        </w:rPr>
      </w:pPr>
      <w:r w:rsidRPr="00672CCB">
        <w:rPr>
          <w:sz w:val="16"/>
        </w:rPr>
        <w:t xml:space="preserve">Beyond a certain point, </w:t>
      </w:r>
      <w:r w:rsidRPr="00672CCB">
        <w:rPr>
          <w:rStyle w:val="StyleUnderline"/>
        </w:rPr>
        <w:t>inequality</w:t>
      </w:r>
      <w:r w:rsidRPr="00672CCB">
        <w:rPr>
          <w:sz w:val="16"/>
        </w:rPr>
        <w:t xml:space="preserve"> across households </w:t>
      </w:r>
      <w:r w:rsidRPr="00672CCB">
        <w:rPr>
          <w:rStyle w:val="StyleUnderline"/>
        </w:rPr>
        <w:t xml:space="preserve">may </w:t>
      </w:r>
      <w:r w:rsidRPr="00672CCB">
        <w:rPr>
          <w:rStyle w:val="Emphasis"/>
        </w:rPr>
        <w:t>weaken the transmission</w:t>
      </w:r>
      <w:r w:rsidRPr="00672CCB">
        <w:rPr>
          <w:rStyle w:val="StyleUnderline"/>
        </w:rPr>
        <w:t xml:space="preserve"> of </w:t>
      </w:r>
      <w:r w:rsidRPr="00672CCB">
        <w:rPr>
          <w:rStyle w:val="Emphasis"/>
        </w:rPr>
        <w:t>monetary policy</w:t>
      </w:r>
      <w:r w:rsidRPr="00672CCB">
        <w:rPr>
          <w:rStyle w:val="StyleUnderline"/>
        </w:rPr>
        <w:t>. Households at the bottom and at the very top</w:t>
      </w:r>
      <w:r w:rsidRPr="00672CCB">
        <w:rPr>
          <w:sz w:val="16"/>
        </w:rPr>
        <w:t xml:space="preserve"> of the income distribution </w:t>
      </w:r>
      <w:r w:rsidRPr="00672CCB">
        <w:rPr>
          <w:rStyle w:val="StyleUnderline"/>
        </w:rPr>
        <w:t xml:space="preserve">exhibit </w:t>
      </w:r>
      <w:r w:rsidRPr="00672CCB">
        <w:rPr>
          <w:rStyle w:val="Emphasis"/>
        </w:rPr>
        <w:t>low sensitivity</w:t>
      </w:r>
      <w:r w:rsidRPr="00672CCB">
        <w:rPr>
          <w:rStyle w:val="StyleUnderline"/>
        </w:rPr>
        <w:t xml:space="preserve"> of consumption to </w:t>
      </w:r>
      <w:r w:rsidRPr="00672CCB">
        <w:rPr>
          <w:rStyle w:val="Emphasis"/>
        </w:rPr>
        <w:t>changes in interest rates</w:t>
      </w:r>
      <w:r w:rsidRPr="00672CCB">
        <w:rPr>
          <w:rStyle w:val="StyleUnderline"/>
        </w:rPr>
        <w:t xml:space="preserve">: the former may be </w:t>
      </w:r>
      <w:r w:rsidRPr="00672CCB">
        <w:rPr>
          <w:rStyle w:val="Emphasis"/>
        </w:rPr>
        <w:t>unable to take advantage</w:t>
      </w:r>
      <w:r w:rsidRPr="00672CCB">
        <w:rPr>
          <w:sz w:val="16"/>
        </w:rPr>
        <w:t xml:space="preserve"> of easier credit conditions </w:t>
      </w:r>
      <w:r w:rsidRPr="00672CCB">
        <w:rPr>
          <w:rStyle w:val="StyleUnderline"/>
        </w:rPr>
        <w:t xml:space="preserve">due to tight borrowing constraints, while the latter have a </w:t>
      </w:r>
      <w:r w:rsidRPr="00672CCB">
        <w:rPr>
          <w:rStyle w:val="Emphasis"/>
        </w:rPr>
        <w:t>low propensity</w:t>
      </w:r>
      <w:r w:rsidRPr="00672CCB">
        <w:rPr>
          <w:rStyle w:val="StyleUnderline"/>
        </w:rPr>
        <w:t xml:space="preserve"> to increase</w:t>
      </w:r>
      <w:r w:rsidRPr="00672CCB">
        <w:rPr>
          <w:sz w:val="16"/>
        </w:rPr>
        <w:t xml:space="preserve"> their already </w:t>
      </w:r>
      <w:r w:rsidRPr="00672CCB">
        <w:rPr>
          <w:rStyle w:val="StyleUnderline"/>
        </w:rPr>
        <w:t>high consumption</w:t>
      </w:r>
      <w:r w:rsidRPr="00672CCB">
        <w:rPr>
          <w:sz w:val="16"/>
        </w:rPr>
        <w:t>.16 By contrast, households at the bottom of the income distribution have higher marginal propensity to consume, and hence are more sensitive to changes in their disposable income.</w:t>
      </w:r>
    </w:p>
    <w:p w14:paraId="3CC121C4" w14:textId="77777777" w:rsidR="00C84922" w:rsidRPr="00672CCB" w:rsidRDefault="00C84922" w:rsidP="00C84922">
      <w:pPr>
        <w:rPr>
          <w:sz w:val="16"/>
        </w:rPr>
      </w:pPr>
      <w:r w:rsidRPr="00672CCB">
        <w:rPr>
          <w:sz w:val="16"/>
        </w:rPr>
        <w:t xml:space="preserve">Empirical evidence suggests that </w:t>
      </w:r>
      <w:r w:rsidRPr="00672CCB">
        <w:rPr>
          <w:rStyle w:val="StyleUnderline"/>
        </w:rPr>
        <w:t xml:space="preserve">inequality tends to </w:t>
      </w:r>
      <w:r w:rsidRPr="00672CCB">
        <w:rPr>
          <w:rStyle w:val="Emphasis"/>
        </w:rPr>
        <w:t>dampen the transmission</w:t>
      </w:r>
      <w:r w:rsidRPr="00672CCB">
        <w:rPr>
          <w:rStyle w:val="StyleUnderline"/>
        </w:rPr>
        <w:t xml:space="preserve"> of monetary policy</w:t>
      </w:r>
      <w:r w:rsidRPr="00672CCB">
        <w:rPr>
          <w:sz w:val="16"/>
        </w:rPr>
        <w:t xml:space="preserve"> (Graph II.9). Across countries and time, </w:t>
      </w:r>
      <w:r w:rsidRPr="00672CCB">
        <w:rPr>
          <w:rStyle w:val="StyleUnderline"/>
        </w:rPr>
        <w:t xml:space="preserve">consumption responds </w:t>
      </w:r>
      <w:r w:rsidRPr="00672CCB">
        <w:rPr>
          <w:rStyle w:val="Emphasis"/>
        </w:rPr>
        <w:t>less to</w:t>
      </w:r>
      <w:r w:rsidRPr="00672CCB">
        <w:rPr>
          <w:rStyle w:val="StyleUnderline"/>
        </w:rPr>
        <w:t xml:space="preserve"> </w:t>
      </w:r>
      <w:r w:rsidRPr="00672CCB">
        <w:rPr>
          <w:sz w:val="16"/>
        </w:rPr>
        <w:t xml:space="preserve">an unanticipated </w:t>
      </w:r>
      <w:r w:rsidRPr="00672CCB">
        <w:rPr>
          <w:rStyle w:val="Emphasis"/>
        </w:rPr>
        <w:t>monetary policy easing</w:t>
      </w:r>
      <w:r w:rsidRPr="00672CCB">
        <w:rPr>
          <w:rStyle w:val="StyleUnderline"/>
        </w:rPr>
        <w:t xml:space="preserve"> when income inequality is </w:t>
      </w:r>
      <w:r w:rsidRPr="00672CCB">
        <w:rPr>
          <w:rStyle w:val="Emphasis"/>
        </w:rPr>
        <w:t>greater</w:t>
      </w:r>
      <w:r w:rsidRPr="00672CCB">
        <w:rPr>
          <w:sz w:val="16"/>
        </w:rPr>
        <w:t xml:space="preserve"> – here measured by the share of income accruing to the top 10% of earners. Two years after such an easing, the cumulative difference in consumption growth between a country at the first and the third quartiles of the income inequality measure is estimated to be 0.8 percentage points. </w:t>
      </w:r>
      <w:r w:rsidRPr="00672CCB">
        <w:rPr>
          <w:rStyle w:val="StyleUnderline"/>
        </w:rPr>
        <w:t>This empirical result complements theoretical findings</w:t>
      </w:r>
      <w:r w:rsidRPr="00672CCB">
        <w:rPr>
          <w:sz w:val="16"/>
        </w:rPr>
        <w:t xml:space="preserve"> in the recent academic literature, </w:t>
      </w:r>
      <w:r w:rsidRPr="00672CCB">
        <w:rPr>
          <w:rStyle w:val="StyleUnderline"/>
        </w:rPr>
        <w:t xml:space="preserve">which highlight the importance of household characteristics as a </w:t>
      </w:r>
      <w:r w:rsidRPr="00354FB6">
        <w:rPr>
          <w:rStyle w:val="Emphasis"/>
        </w:rPr>
        <w:t>determinant</w:t>
      </w:r>
      <w:r w:rsidRPr="00672CCB">
        <w:rPr>
          <w:rStyle w:val="StyleUnderline"/>
        </w:rPr>
        <w:t xml:space="preserve"> </w:t>
      </w:r>
      <w:r w:rsidRPr="00354FB6">
        <w:rPr>
          <w:rStyle w:val="Emphasis"/>
        </w:rPr>
        <w:t>of</w:t>
      </w:r>
      <w:r w:rsidRPr="00672CCB">
        <w:rPr>
          <w:rStyle w:val="StyleUnderline"/>
        </w:rPr>
        <w:t xml:space="preserve"> </w:t>
      </w:r>
      <w:r w:rsidRPr="00672CCB">
        <w:rPr>
          <w:sz w:val="16"/>
        </w:rPr>
        <w:t xml:space="preserve">the </w:t>
      </w:r>
      <w:r w:rsidRPr="00354FB6">
        <w:rPr>
          <w:rStyle w:val="Emphasis"/>
        </w:rPr>
        <w:t>transmission</w:t>
      </w:r>
      <w:r w:rsidRPr="00672CCB">
        <w:rPr>
          <w:rStyle w:val="StyleUnderline"/>
        </w:rPr>
        <w:t xml:space="preserve"> of monetary policy to economic activity</w:t>
      </w:r>
      <w:r w:rsidRPr="00672CCB">
        <w:rPr>
          <w:sz w:val="16"/>
        </w:rPr>
        <w:t xml:space="preserve"> (Box II.B).</w:t>
      </w:r>
    </w:p>
    <w:p w14:paraId="58393704" w14:textId="77777777" w:rsidR="00C84922" w:rsidRPr="00672CCB" w:rsidRDefault="00C84922" w:rsidP="00C84922">
      <w:pPr>
        <w:rPr>
          <w:sz w:val="16"/>
        </w:rPr>
      </w:pPr>
      <w:r w:rsidRPr="00672CCB">
        <w:t>[[Figure Omitted]]</w:t>
      </w:r>
    </w:p>
    <w:p w14:paraId="260073FD" w14:textId="77777777" w:rsidR="00C84922" w:rsidRPr="00672CCB" w:rsidRDefault="00C84922" w:rsidP="00C84922">
      <w:pPr>
        <w:rPr>
          <w:sz w:val="16"/>
        </w:rPr>
      </w:pPr>
      <w:r w:rsidRPr="00672CCB">
        <w:rPr>
          <w:sz w:val="16"/>
        </w:rPr>
        <w:t xml:space="preserve">More broadly, inequality may influence central bank decisions by shaping the political economy environment. </w:t>
      </w:r>
      <w:r w:rsidRPr="00672CCB">
        <w:rPr>
          <w:rStyle w:val="StyleUnderline"/>
        </w:rPr>
        <w:t xml:space="preserve">Growing inequality can make the public </w:t>
      </w:r>
      <w:r w:rsidRPr="00354FB6">
        <w:rPr>
          <w:rStyle w:val="Emphasis"/>
        </w:rPr>
        <w:t>less receptive</w:t>
      </w:r>
      <w:r w:rsidRPr="00672CCB">
        <w:rPr>
          <w:rStyle w:val="StyleUnderline"/>
        </w:rPr>
        <w:t xml:space="preserve"> to central bank actions perceived to increase it. This can </w:t>
      </w:r>
      <w:r w:rsidRPr="00354FB6">
        <w:rPr>
          <w:rStyle w:val="Emphasis"/>
        </w:rPr>
        <w:t>constrain the central bank</w:t>
      </w:r>
      <w:r w:rsidRPr="00672CCB">
        <w:rPr>
          <w:rStyle w:val="StyleUnderline"/>
        </w:rPr>
        <w:t>’s choices and</w:t>
      </w:r>
      <w:r w:rsidRPr="00672CCB">
        <w:rPr>
          <w:sz w:val="16"/>
        </w:rPr>
        <w:t xml:space="preserve"> eventually </w:t>
      </w:r>
      <w:r w:rsidRPr="00354FB6">
        <w:rPr>
          <w:rStyle w:val="Emphasis"/>
        </w:rPr>
        <w:t>hamper its ability</w:t>
      </w:r>
      <w:r w:rsidRPr="00672CCB">
        <w:rPr>
          <w:rStyle w:val="StyleUnderline"/>
        </w:rPr>
        <w:t xml:space="preserve"> to achieve</w:t>
      </w:r>
      <w:r w:rsidRPr="00672CCB">
        <w:rPr>
          <w:sz w:val="16"/>
        </w:rPr>
        <w:t xml:space="preserve"> its mandated </w:t>
      </w:r>
      <w:r w:rsidRPr="00672CCB">
        <w:rPr>
          <w:rStyle w:val="StyleUnderline"/>
        </w:rPr>
        <w:t>goals</w:t>
      </w:r>
      <w:r w:rsidRPr="00672CCB">
        <w:rPr>
          <w:sz w:val="16"/>
        </w:rPr>
        <w:t xml:space="preserve">. </w:t>
      </w:r>
      <w:r w:rsidRPr="00672CCB">
        <w:rPr>
          <w:rStyle w:val="StyleUnderline"/>
        </w:rPr>
        <w:t xml:space="preserve">For example, out of concerns about the impact of higher asset prices on wealth inequality, the central bank could </w:t>
      </w:r>
      <w:r w:rsidRPr="00354FB6">
        <w:rPr>
          <w:rStyle w:val="Emphasis"/>
        </w:rPr>
        <w:t>come under criticism</w:t>
      </w:r>
      <w:r w:rsidRPr="00672CCB">
        <w:rPr>
          <w:rStyle w:val="StyleUnderline"/>
        </w:rPr>
        <w:t xml:space="preserve"> for keeping interest rates very low</w:t>
      </w:r>
      <w:r w:rsidRPr="00672CCB">
        <w:rPr>
          <w:sz w:val="16"/>
        </w:rPr>
        <w:t xml:space="preserve"> for long periods as it tries to engineer the needed recovery in the wake of a financial recession.</w:t>
      </w:r>
    </w:p>
    <w:p w14:paraId="7A6E7B16" w14:textId="77777777" w:rsidR="00C84922" w:rsidRDefault="00C84922" w:rsidP="00C84922"/>
    <w:p w14:paraId="7B74F473" w14:textId="77777777" w:rsidR="00C84922" w:rsidRPr="00354FB6" w:rsidRDefault="00C84922" w:rsidP="00C84922">
      <w:pPr>
        <w:pStyle w:val="Heading3"/>
      </w:pPr>
      <w:r>
        <w:t>1AR---Perm Do Both/Aff Key</w:t>
      </w:r>
    </w:p>
    <w:p w14:paraId="50D2CA8D" w14:textId="77777777" w:rsidR="00C84922" w:rsidRPr="003403A8" w:rsidRDefault="00C84922" w:rsidP="00C84922">
      <w:pPr>
        <w:pStyle w:val="Heading4"/>
      </w:pPr>
      <w:r>
        <w:t>Perm solves best---monetary policy is ineffective absent fiscal interventions</w:t>
      </w:r>
    </w:p>
    <w:p w14:paraId="41B156EB" w14:textId="77777777" w:rsidR="00C84922" w:rsidRPr="003403A8" w:rsidRDefault="00C84922" w:rsidP="00C84922">
      <w:r>
        <w:rPr>
          <w:rStyle w:val="Style13ptBold"/>
        </w:rPr>
        <w:t>Ravenna and Walsh</w:t>
      </w:r>
      <w:r w:rsidRPr="003403A8">
        <w:rPr>
          <w:rStyle w:val="Style13ptBold"/>
        </w:rPr>
        <w:t xml:space="preserve"> 0</w:t>
      </w:r>
      <w:r>
        <w:rPr>
          <w:rStyle w:val="Style13ptBold"/>
        </w:rPr>
        <w:t>9</w:t>
      </w:r>
      <w:r w:rsidRPr="003403A8">
        <w:t xml:space="preserve"> – </w:t>
      </w:r>
      <w:r w:rsidRPr="00F27DC6">
        <w:t>Department of Economics, University of California, Santa Cruz</w:t>
      </w:r>
      <w:r>
        <w:t>, and Federal Reserve Bank of San Francisco</w:t>
      </w:r>
    </w:p>
    <w:p w14:paraId="4B604B17" w14:textId="77777777" w:rsidR="00C84922" w:rsidRPr="00E53FBF" w:rsidRDefault="00C84922" w:rsidP="00C84922">
      <w:r w:rsidRPr="00F27DC6">
        <w:t>Federico Ravenna and Carl E. Walsh</w:t>
      </w:r>
      <w:r w:rsidRPr="003403A8">
        <w:t>, “</w:t>
      </w:r>
      <w:r>
        <w:t>The Welfare Consequences of Monetary Policy and the Role of the Labor Market: a Tax Interpretation</w:t>
      </w:r>
      <w:r w:rsidRPr="003403A8">
        <w:t xml:space="preserve">,” </w:t>
      </w:r>
      <w:r>
        <w:t>Federal Reserve Bank of San Francisco</w:t>
      </w:r>
      <w:r w:rsidRPr="003403A8">
        <w:t xml:space="preserve">, </w:t>
      </w:r>
      <w:r w:rsidRPr="00E53FBF">
        <w:t>April 2009</w:t>
      </w:r>
      <w:r w:rsidRPr="003403A8">
        <w:t xml:space="preserve">, </w:t>
      </w:r>
      <w:r w:rsidRPr="00E53FBF">
        <w:t>https://www.frbsf.org/economic-research/publications/working-papers/2009/12/</w:t>
      </w:r>
    </w:p>
    <w:p w14:paraId="482D8367" w14:textId="77777777" w:rsidR="00C84922" w:rsidRPr="00F27DC6" w:rsidRDefault="00C84922" w:rsidP="00C84922">
      <w:pPr>
        <w:rPr>
          <w:sz w:val="16"/>
        </w:rPr>
      </w:pPr>
      <w:r w:rsidRPr="00F27DC6">
        <w:rPr>
          <w:rStyle w:val="StyleUnderline"/>
        </w:rPr>
        <w:t>Our results can be summarized as follows.</w:t>
      </w:r>
      <w:r w:rsidRPr="00F27DC6">
        <w:rPr>
          <w:sz w:val="16"/>
        </w:rPr>
        <w:t xml:space="preserve"> In our model, </w:t>
      </w:r>
      <w:r w:rsidRPr="00F27DC6">
        <w:rPr>
          <w:rStyle w:val="StyleUnderline"/>
        </w:rPr>
        <w:t>it is feasible for monetary policy to</w:t>
      </w:r>
      <w:r w:rsidRPr="00F27DC6">
        <w:rPr>
          <w:sz w:val="16"/>
        </w:rPr>
        <w:t xml:space="preserve"> completely </w:t>
      </w:r>
      <w:r w:rsidRPr="00F27DC6">
        <w:rPr>
          <w:rStyle w:val="StyleUnderline"/>
        </w:rPr>
        <w:t>undo the price setting restriction</w:t>
      </w:r>
      <w:r w:rsidRPr="00F27DC6">
        <w:rPr>
          <w:sz w:val="16"/>
        </w:rPr>
        <w:t xml:space="preserve">. </w:t>
      </w:r>
      <w:r w:rsidRPr="00F27DC6">
        <w:rPr>
          <w:rStyle w:val="StyleUnderline"/>
        </w:rPr>
        <w:t>However</w:t>
      </w:r>
      <w:r w:rsidRPr="00F27DC6">
        <w:rPr>
          <w:sz w:val="16"/>
        </w:rPr>
        <w:t xml:space="preserve">, because the incentive to search responds to movements in the markup, but not to movements in nominal variables, we find that </w:t>
      </w:r>
      <w:r w:rsidRPr="00F27DC6">
        <w:rPr>
          <w:rStyle w:val="StyleUnderline"/>
        </w:rPr>
        <w:t xml:space="preserve">the policymaker can </w:t>
      </w:r>
      <w:r w:rsidRPr="00F27DC6">
        <w:rPr>
          <w:rStyle w:val="Emphasis"/>
        </w:rPr>
        <w:t>achieve higher welfare</w:t>
      </w:r>
      <w:r w:rsidRPr="00F27DC6">
        <w:rPr>
          <w:rStyle w:val="StyleUnderline"/>
        </w:rPr>
        <w:t xml:space="preserve"> in the economy with </w:t>
      </w:r>
      <w:r w:rsidRPr="00F27DC6">
        <w:rPr>
          <w:rStyle w:val="Emphasis"/>
        </w:rPr>
        <w:t>staggered price setting</w:t>
      </w:r>
      <w:r w:rsidRPr="00F27DC6">
        <w:rPr>
          <w:rStyle w:val="StyleUnderline"/>
        </w:rPr>
        <w:t xml:space="preserve"> rather than in one where price setting is unconstrained</w:t>
      </w:r>
      <w:r w:rsidRPr="00F27DC6">
        <w:rPr>
          <w:sz w:val="16"/>
        </w:rPr>
        <w:t xml:space="preserve"> and one of the distortions relative to the first best is absent.</w:t>
      </w:r>
    </w:p>
    <w:p w14:paraId="1516DC4A" w14:textId="77777777" w:rsidR="00C84922" w:rsidRPr="00F27DC6" w:rsidRDefault="00C84922" w:rsidP="00C84922">
      <w:pPr>
        <w:rPr>
          <w:sz w:val="16"/>
        </w:rPr>
      </w:pPr>
      <w:r w:rsidRPr="00F27DC6">
        <w:rPr>
          <w:sz w:val="16"/>
        </w:rPr>
        <w:t>At the same time, while the cost of the search inefficiency is large, the welfare attained by the optimal policy deviates very little from the one achieved under flexible prices. In practice, the policymaker finds little incentive in trying to correct for the search inefficiency, and to deviate from a policy of price stability. Monetary policy is of limited effectiveness because it works through the retail sector markup, which simultaneously affects all of the distortions present in the economy, and because Nash bargaining implies low volatility of employment. In this sense, our result is the welfare implication of the Shimer’s (2004) puzzle. Yet, introducing real wage rigidity does not, in itself, modify this result. This is in stark contrast with models including staggered wage and price contracts (Erceg, Henderson and Levin, 2000, Thomas, 2008). It is only with a wage norm fixed at a level very different from the efficient steady state that deviations from price stability yield high return in terms of welfare, and the trade-off faced by the policymaker can be favorably exploited to increase search efficiency. In this case, there exist gains from accounting for the labor market’s structure in selecting monetary policy, even without introducing an explicit cost of wage dispersion. Additionally, in our model the hours margin plays a minor role in the welfare results. We conjecture that the explicit introduction of overtime labor would change this result.</w:t>
      </w:r>
    </w:p>
    <w:p w14:paraId="290DBC81" w14:textId="77777777" w:rsidR="00C84922" w:rsidRDefault="00C84922" w:rsidP="00C84922">
      <w:pPr>
        <w:rPr>
          <w:sz w:val="16"/>
        </w:rPr>
      </w:pPr>
      <w:r w:rsidRPr="00F27DC6">
        <w:rPr>
          <w:rStyle w:val="Emphasis"/>
        </w:rPr>
        <w:t>Monetary policy</w:t>
      </w:r>
      <w:r w:rsidRPr="00F27DC6">
        <w:rPr>
          <w:rStyle w:val="StyleUnderline"/>
        </w:rPr>
        <w:t xml:space="preserve"> interacts in complex way with fiscal and labor market policies</w:t>
      </w:r>
      <w:r w:rsidRPr="00F27DC6">
        <w:rPr>
          <w:sz w:val="16"/>
        </w:rPr>
        <w:t xml:space="preserve">. We find that the welfare gain of deviation from price stability is larger, the more volatile are labor market flows over the business cycle. Higher firing and hiring costs, as in the EU, make price stability a relatively closer approximation to the optimal policy. </w:t>
      </w:r>
      <w:r w:rsidRPr="00F27DC6">
        <w:rPr>
          <w:rStyle w:val="StyleUnderline"/>
        </w:rPr>
        <w:t xml:space="preserve">The same labor market characteristics that </w:t>
      </w:r>
      <w:r w:rsidRPr="00F27DC6">
        <w:rPr>
          <w:rStyle w:val="Emphasis"/>
        </w:rPr>
        <w:t>lower steady-state employment</w:t>
      </w:r>
      <w:r w:rsidRPr="00F27DC6">
        <w:rPr>
          <w:rStyle w:val="StyleUnderline"/>
        </w:rPr>
        <w:t xml:space="preserve">, and leave </w:t>
      </w:r>
      <w:r w:rsidRPr="00F27DC6">
        <w:rPr>
          <w:rStyle w:val="Emphasis"/>
        </w:rPr>
        <w:t>more to be gained</w:t>
      </w:r>
      <w:r w:rsidRPr="00F27DC6">
        <w:rPr>
          <w:rStyle w:val="StyleUnderline"/>
        </w:rPr>
        <w:t xml:space="preserve"> from </w:t>
      </w:r>
      <w:r w:rsidRPr="00F27DC6">
        <w:rPr>
          <w:rStyle w:val="Emphasis"/>
        </w:rPr>
        <w:t>long-term policy intervention</w:t>
      </w:r>
      <w:r w:rsidRPr="00F27DC6">
        <w:rPr>
          <w:rStyle w:val="StyleUnderline"/>
        </w:rPr>
        <w:t xml:space="preserve">, make cyclical monetary policy </w:t>
      </w:r>
      <w:r w:rsidRPr="00F27DC6">
        <w:rPr>
          <w:rStyle w:val="Emphasis"/>
        </w:rPr>
        <w:t>less effective</w:t>
      </w:r>
      <w:r w:rsidRPr="00F27DC6">
        <w:rPr>
          <w:sz w:val="16"/>
        </w:rPr>
        <w:t>. How fiscal and monetary policies should coordinate once the distortions from the financing of taxes and subsidies is taken into account is a question left open for future research.</w:t>
      </w:r>
    </w:p>
    <w:p w14:paraId="0F056E7E" w14:textId="77777777" w:rsidR="00C84922" w:rsidRDefault="00C84922" w:rsidP="00C84922"/>
    <w:p w14:paraId="5E6C9224" w14:textId="77777777" w:rsidR="00C84922" w:rsidRPr="003403A8" w:rsidRDefault="00C84922" w:rsidP="00C84922">
      <w:pPr>
        <w:pStyle w:val="Heading4"/>
      </w:pPr>
      <w:r>
        <w:t>Monetary policy alone is insufficient</w:t>
      </w:r>
    </w:p>
    <w:p w14:paraId="062F5C07" w14:textId="77777777" w:rsidR="00C84922" w:rsidRPr="003403A8" w:rsidRDefault="00C84922" w:rsidP="00C84922">
      <w:r>
        <w:rPr>
          <w:rStyle w:val="Style13ptBold"/>
        </w:rPr>
        <w:t>BIS</w:t>
      </w:r>
      <w:r w:rsidRPr="003403A8">
        <w:rPr>
          <w:rStyle w:val="Style13ptBold"/>
        </w:rPr>
        <w:t xml:space="preserve"> </w:t>
      </w:r>
      <w:r>
        <w:rPr>
          <w:rStyle w:val="Style13ptBold"/>
        </w:rPr>
        <w:t>21</w:t>
      </w:r>
      <w:r w:rsidRPr="003403A8">
        <w:t xml:space="preserve"> – </w:t>
      </w:r>
      <w:r w:rsidRPr="0098106F">
        <w:t>Bank for International Settlements</w:t>
      </w:r>
    </w:p>
    <w:p w14:paraId="61EA3010" w14:textId="77777777" w:rsidR="00C84922" w:rsidRDefault="00C84922" w:rsidP="00C84922">
      <w:r w:rsidRPr="003403A8">
        <w:t>“</w:t>
      </w:r>
      <w:r>
        <w:t xml:space="preserve">2021 </w:t>
      </w:r>
      <w:r w:rsidRPr="0098106F">
        <w:t>Annual Economic</w:t>
      </w:r>
      <w:r>
        <w:t xml:space="preserve"> Report</w:t>
      </w:r>
      <w:r w:rsidRPr="003403A8">
        <w:t xml:space="preserve">,” </w:t>
      </w:r>
      <w:r w:rsidRPr="0098106F">
        <w:t>Bank for International Settlements</w:t>
      </w:r>
      <w:r w:rsidRPr="003403A8">
        <w:t xml:space="preserve">, </w:t>
      </w:r>
      <w:r>
        <w:t>June 2021</w:t>
      </w:r>
      <w:r w:rsidRPr="003403A8">
        <w:t>,</w:t>
      </w:r>
      <w:r>
        <w:t xml:space="preserve"> </w:t>
      </w:r>
      <w:r w:rsidRPr="0098106F">
        <w:t>https://www.bis.org/publ/arpdf/ar2021e.pdf</w:t>
      </w:r>
    </w:p>
    <w:p w14:paraId="7042C681" w14:textId="77777777" w:rsidR="00C84922" w:rsidRPr="00966BD1" w:rsidRDefault="00C84922" w:rsidP="00C84922">
      <w:pPr>
        <w:rPr>
          <w:sz w:val="16"/>
        </w:rPr>
      </w:pPr>
      <w:r w:rsidRPr="00966BD1">
        <w:rPr>
          <w:sz w:val="16"/>
        </w:rPr>
        <w:t>Macroeconomic stability</w:t>
      </w:r>
    </w:p>
    <w:p w14:paraId="4CC623E5" w14:textId="77777777" w:rsidR="00C84922" w:rsidRPr="00966BD1" w:rsidRDefault="00C84922" w:rsidP="00C84922">
      <w:pPr>
        <w:rPr>
          <w:sz w:val="16"/>
        </w:rPr>
      </w:pPr>
      <w:r w:rsidRPr="00966BD1">
        <w:rPr>
          <w:rStyle w:val="StyleUnderline"/>
        </w:rPr>
        <w:t>While monetary policy plays a key role in promoting</w:t>
      </w:r>
      <w:r w:rsidRPr="00966BD1">
        <w:rPr>
          <w:sz w:val="16"/>
        </w:rPr>
        <w:t xml:space="preserve"> macroeconomic </w:t>
      </w:r>
      <w:r w:rsidRPr="00966BD1">
        <w:rPr>
          <w:rStyle w:val="StyleUnderline"/>
        </w:rPr>
        <w:t xml:space="preserve">stability, it </w:t>
      </w:r>
      <w:r w:rsidRPr="00966BD1">
        <w:rPr>
          <w:rStyle w:val="Emphasis"/>
        </w:rPr>
        <w:t>cannot deliver it on its own</w:t>
      </w:r>
      <w:r w:rsidRPr="00966BD1">
        <w:rPr>
          <w:rStyle w:val="StyleUnderline"/>
        </w:rPr>
        <w:t xml:space="preserve">. This is true </w:t>
      </w:r>
      <w:r w:rsidRPr="00966BD1">
        <w:rPr>
          <w:rStyle w:val="Emphasis"/>
        </w:rPr>
        <w:t>regardless</w:t>
      </w:r>
      <w:r w:rsidRPr="00966BD1">
        <w:rPr>
          <w:rStyle w:val="StyleUnderline"/>
        </w:rPr>
        <w:t xml:space="preserve"> of the</w:t>
      </w:r>
      <w:r w:rsidRPr="00966BD1">
        <w:rPr>
          <w:sz w:val="16"/>
        </w:rPr>
        <w:t xml:space="preserve"> nature of the </w:t>
      </w:r>
      <w:r w:rsidRPr="00966BD1">
        <w:rPr>
          <w:rStyle w:val="StyleUnderline"/>
        </w:rPr>
        <w:t>business cycle</w:t>
      </w:r>
      <w:r w:rsidRPr="00966BD1">
        <w:rPr>
          <w:sz w:val="16"/>
        </w:rPr>
        <w:t xml:space="preserve">. It is well known, for instance, that </w:t>
      </w:r>
      <w:r w:rsidRPr="00966BD1">
        <w:rPr>
          <w:rStyle w:val="Emphasis"/>
        </w:rPr>
        <w:t>fiscal sustainability</w:t>
      </w:r>
      <w:r w:rsidRPr="00966BD1">
        <w:rPr>
          <w:rStyle w:val="StyleUnderline"/>
        </w:rPr>
        <w:t xml:space="preserve"> is a </w:t>
      </w:r>
      <w:r w:rsidRPr="00966BD1">
        <w:rPr>
          <w:rStyle w:val="Emphasis"/>
        </w:rPr>
        <w:t>prerequisite</w:t>
      </w:r>
      <w:r w:rsidRPr="00966BD1">
        <w:rPr>
          <w:rStyle w:val="StyleUnderline"/>
        </w:rPr>
        <w:t xml:space="preserve"> for macroeconomic stability</w:t>
      </w:r>
      <w:r w:rsidRPr="00966BD1">
        <w:rPr>
          <w:sz w:val="16"/>
        </w:rPr>
        <w:t xml:space="preserve">, and that it can be especially constraining in EMEs (Chapter I). But </w:t>
      </w:r>
      <w:r w:rsidRPr="00966BD1">
        <w:rPr>
          <w:rStyle w:val="StyleUnderline"/>
        </w:rPr>
        <w:t xml:space="preserve">changes in the nature of the business cycle have brought the </w:t>
      </w:r>
      <w:r w:rsidRPr="00966BD1">
        <w:rPr>
          <w:rStyle w:val="Emphasis"/>
        </w:rPr>
        <w:t>limits</w:t>
      </w:r>
      <w:r w:rsidRPr="00966BD1">
        <w:rPr>
          <w:rStyle w:val="StyleUnderline"/>
        </w:rPr>
        <w:t xml:space="preserve"> of what monetary policy can do into </w:t>
      </w:r>
      <w:r w:rsidRPr="00966BD1">
        <w:rPr>
          <w:rStyle w:val="Emphasis"/>
        </w:rPr>
        <w:t>starker relief</w:t>
      </w:r>
      <w:r w:rsidRPr="00966BD1">
        <w:rPr>
          <w:rStyle w:val="StyleUnderline"/>
        </w:rPr>
        <w:t>.</w:t>
      </w:r>
      <w:r w:rsidRPr="00966BD1">
        <w:rPr>
          <w:sz w:val="16"/>
        </w:rPr>
        <w:t xml:space="preserve"> In order to better understand the need for complementary policies, consider a stylised business cycle associated with a financial recession.</w:t>
      </w:r>
    </w:p>
    <w:p w14:paraId="685BEAB8" w14:textId="77777777" w:rsidR="00C84922" w:rsidRPr="00F7279C" w:rsidRDefault="00C84922" w:rsidP="00C84922"/>
    <w:p w14:paraId="29488F94" w14:textId="77777777" w:rsidR="00C84922" w:rsidRDefault="00C84922" w:rsidP="00C84922">
      <w:pPr>
        <w:pStyle w:val="Heading3"/>
      </w:pPr>
      <w:r>
        <w:t>2AC---Monetary Policy Fails</w:t>
      </w:r>
    </w:p>
    <w:p w14:paraId="5FB8E878" w14:textId="77777777" w:rsidR="00C84922" w:rsidRPr="003403A8" w:rsidRDefault="00C84922" w:rsidP="00C84922">
      <w:pPr>
        <w:pStyle w:val="Heading4"/>
      </w:pPr>
      <w:r>
        <w:t>Only fiscal policy can solve</w:t>
      </w:r>
    </w:p>
    <w:p w14:paraId="53BB3D47" w14:textId="77777777" w:rsidR="00C84922" w:rsidRPr="003403A8" w:rsidRDefault="00C84922" w:rsidP="00C84922">
      <w:r>
        <w:rPr>
          <w:rStyle w:val="Style13ptBold"/>
        </w:rPr>
        <w:t>BIS</w:t>
      </w:r>
      <w:r w:rsidRPr="003403A8">
        <w:rPr>
          <w:rStyle w:val="Style13ptBold"/>
        </w:rPr>
        <w:t xml:space="preserve"> </w:t>
      </w:r>
      <w:r>
        <w:rPr>
          <w:rStyle w:val="Style13ptBold"/>
        </w:rPr>
        <w:t>21</w:t>
      </w:r>
      <w:r w:rsidRPr="003403A8">
        <w:t xml:space="preserve"> – </w:t>
      </w:r>
      <w:r w:rsidRPr="0098106F">
        <w:t>Bank for International Settlements</w:t>
      </w:r>
    </w:p>
    <w:p w14:paraId="512AA608" w14:textId="77777777" w:rsidR="00C84922" w:rsidRDefault="00C84922" w:rsidP="00C84922">
      <w:r w:rsidRPr="003403A8">
        <w:t>“</w:t>
      </w:r>
      <w:r>
        <w:t xml:space="preserve">2021 </w:t>
      </w:r>
      <w:r w:rsidRPr="0098106F">
        <w:t>Annual Economic</w:t>
      </w:r>
      <w:r>
        <w:t xml:space="preserve"> Report</w:t>
      </w:r>
      <w:r w:rsidRPr="003403A8">
        <w:t xml:space="preserve">,” </w:t>
      </w:r>
      <w:r w:rsidRPr="0098106F">
        <w:t>Bank for International Settlements</w:t>
      </w:r>
      <w:r w:rsidRPr="003403A8">
        <w:t xml:space="preserve">, </w:t>
      </w:r>
      <w:r>
        <w:t>June 2021</w:t>
      </w:r>
      <w:r w:rsidRPr="003403A8">
        <w:t>,</w:t>
      </w:r>
      <w:r>
        <w:t xml:space="preserve"> </w:t>
      </w:r>
      <w:r w:rsidRPr="0098106F">
        <w:t>https://www.bis.org/publ/arpdf/ar2021e.pdf</w:t>
      </w:r>
    </w:p>
    <w:p w14:paraId="6C30678E" w14:textId="77777777" w:rsidR="00C84922" w:rsidRDefault="00C84922" w:rsidP="00C84922">
      <w:r>
        <w:t>***Note: this report distinguishes between “governments” in charge of fiscal policy and “central banks” in charge of monetary policy***</w:t>
      </w:r>
    </w:p>
    <w:p w14:paraId="1801ACF2" w14:textId="77777777" w:rsidR="00C84922" w:rsidRPr="003212F0" w:rsidRDefault="00C84922" w:rsidP="00C84922">
      <w:pPr>
        <w:rPr>
          <w:sz w:val="16"/>
        </w:rPr>
      </w:pPr>
      <w:r w:rsidRPr="003212F0">
        <w:rPr>
          <w:sz w:val="16"/>
        </w:rPr>
        <w:t>Structural inequality</w:t>
      </w:r>
    </w:p>
    <w:p w14:paraId="13548B38" w14:textId="77777777" w:rsidR="00C84922" w:rsidRPr="003212F0" w:rsidRDefault="00C84922" w:rsidP="00C84922">
      <w:pPr>
        <w:rPr>
          <w:rStyle w:val="StyleUnderline"/>
        </w:rPr>
      </w:pPr>
      <w:r w:rsidRPr="00966BD1">
        <w:rPr>
          <w:rStyle w:val="StyleUnderline"/>
        </w:rPr>
        <w:t xml:space="preserve">Addressing the </w:t>
      </w:r>
      <w:r w:rsidRPr="003212F0">
        <w:rPr>
          <w:rStyle w:val="Emphasis"/>
        </w:rPr>
        <w:t>structural trends</w:t>
      </w:r>
      <w:r w:rsidRPr="00966BD1">
        <w:rPr>
          <w:rStyle w:val="StyleUnderline"/>
        </w:rPr>
        <w:t xml:space="preserve"> in inequality is </w:t>
      </w:r>
      <w:r w:rsidRPr="003212F0">
        <w:rPr>
          <w:rStyle w:val="Emphasis"/>
        </w:rPr>
        <w:t>first and foremost</w:t>
      </w:r>
      <w:r w:rsidRPr="00966BD1">
        <w:rPr>
          <w:rStyle w:val="StyleUnderline"/>
        </w:rPr>
        <w:t xml:space="preserve"> a task for </w:t>
      </w:r>
      <w:r w:rsidRPr="003212F0">
        <w:rPr>
          <w:rStyle w:val="Emphasis"/>
        </w:rPr>
        <w:t>governments</w:t>
      </w:r>
      <w:r w:rsidRPr="003212F0">
        <w:rPr>
          <w:sz w:val="16"/>
        </w:rPr>
        <w:t xml:space="preserve">. They can avail themselves of a better and broader set of tools to tackle inequality, ranging from taxation to transfers as well as to policies aimed at improving education, property rights, health, competition and trade, among others. Moreover, politically, </w:t>
      </w:r>
      <w:r w:rsidRPr="003212F0">
        <w:rPr>
          <w:rStyle w:val="Emphasis"/>
        </w:rPr>
        <w:t>governments</w:t>
      </w:r>
      <w:r w:rsidRPr="003212F0">
        <w:rPr>
          <w:rStyle w:val="StyleUnderline"/>
        </w:rPr>
        <w:t xml:space="preserve"> bear the responsibility for achieving a desirable distribution of resources.</w:t>
      </w:r>
    </w:p>
    <w:p w14:paraId="2D6DABE0" w14:textId="77777777" w:rsidR="00C84922" w:rsidRPr="003212F0" w:rsidRDefault="00C84922" w:rsidP="00C84922">
      <w:pPr>
        <w:rPr>
          <w:sz w:val="16"/>
        </w:rPr>
      </w:pPr>
      <w:r w:rsidRPr="003212F0">
        <w:rPr>
          <w:rStyle w:val="Emphasis"/>
        </w:rPr>
        <w:t>Fiscal policy</w:t>
      </w:r>
      <w:r w:rsidRPr="003212F0">
        <w:rPr>
          <w:rStyle w:val="StyleUnderline"/>
        </w:rPr>
        <w:t xml:space="preserve"> is </w:t>
      </w:r>
      <w:r w:rsidRPr="003212F0">
        <w:rPr>
          <w:rStyle w:val="Emphasis"/>
        </w:rPr>
        <w:t>best suited</w:t>
      </w:r>
      <w:r w:rsidRPr="003212F0">
        <w:rPr>
          <w:rStyle w:val="StyleUnderline"/>
        </w:rPr>
        <w:t xml:space="preserve"> to offset the </w:t>
      </w:r>
      <w:r w:rsidRPr="003212F0">
        <w:rPr>
          <w:rStyle w:val="Emphasis"/>
        </w:rPr>
        <w:t>distributional impact</w:t>
      </w:r>
      <w:r w:rsidRPr="003212F0">
        <w:rPr>
          <w:rStyle w:val="StyleUnderline"/>
        </w:rPr>
        <w:t xml:space="preserve"> of long-term real factors. </w:t>
      </w:r>
      <w:r w:rsidRPr="003212F0">
        <w:rPr>
          <w:rStyle w:val="Emphasis"/>
        </w:rPr>
        <w:t>Government spending and support programmes</w:t>
      </w:r>
      <w:r w:rsidRPr="003212F0">
        <w:rPr>
          <w:sz w:val="16"/>
        </w:rPr>
        <w:t xml:space="preserve">, such as unemployment benefits and retraining, </w:t>
      </w:r>
      <w:r w:rsidRPr="003212F0">
        <w:rPr>
          <w:rStyle w:val="StyleUnderline"/>
        </w:rPr>
        <w:t xml:space="preserve">can help the most disadvantaged cope with </w:t>
      </w:r>
      <w:r w:rsidRPr="003212F0">
        <w:rPr>
          <w:rStyle w:val="Emphasis"/>
        </w:rPr>
        <w:t>adverse structural forces</w:t>
      </w:r>
      <w:r w:rsidRPr="003212F0">
        <w:rPr>
          <w:sz w:val="16"/>
        </w:rPr>
        <w:t xml:space="preserve">. More generally, </w:t>
      </w:r>
      <w:r w:rsidRPr="003212F0">
        <w:rPr>
          <w:rStyle w:val="StyleUnderline"/>
        </w:rPr>
        <w:t xml:space="preserve">tax and transfer systems can be </w:t>
      </w:r>
      <w:r w:rsidRPr="003212F0">
        <w:rPr>
          <w:rStyle w:val="Emphasis"/>
        </w:rPr>
        <w:t>calibrated and targeted</w:t>
      </w:r>
      <w:r w:rsidRPr="003212F0">
        <w:rPr>
          <w:rStyle w:val="StyleUnderline"/>
        </w:rPr>
        <w:t xml:space="preserve"> to redistribute income and wealth</w:t>
      </w:r>
      <w:r w:rsidRPr="003212F0">
        <w:rPr>
          <w:sz w:val="16"/>
        </w:rPr>
        <w:t xml:space="preserve"> across different segments of the population (Box II.E). In AEs, </w:t>
      </w:r>
      <w:r w:rsidRPr="003212F0">
        <w:rPr>
          <w:rStyle w:val="StyleUnderline"/>
        </w:rPr>
        <w:t xml:space="preserve">such policies have </w:t>
      </w:r>
      <w:r w:rsidRPr="003212F0">
        <w:rPr>
          <w:rStyle w:val="Emphasis"/>
        </w:rPr>
        <w:t>indeed</w:t>
      </w:r>
      <w:r w:rsidRPr="003212F0">
        <w:rPr>
          <w:rStyle w:val="StyleUnderline"/>
        </w:rPr>
        <w:t xml:space="preserve"> contributed to </w:t>
      </w:r>
      <w:r w:rsidRPr="003212F0">
        <w:rPr>
          <w:rStyle w:val="Emphasis"/>
        </w:rPr>
        <w:t>mitigating income inequality</w:t>
      </w:r>
      <w:r w:rsidRPr="003212F0">
        <w:rPr>
          <w:rStyle w:val="StyleUnderline"/>
        </w:rPr>
        <w:t>.</w:t>
      </w:r>
      <w:r w:rsidRPr="003212F0">
        <w:rPr>
          <w:sz w:val="16"/>
        </w:rPr>
        <w:t xml:space="preserve"> Measures of income inequality based on the Gini coefficient are typically much higher pre- than post-taxes and transfers (Graph II.11, left-hand panel). The difference is more limited in EMEs (right-hand panel), one possible reason being the lower share of direct taxes in those jurisdictions.</w:t>
      </w:r>
    </w:p>
    <w:p w14:paraId="6367839E" w14:textId="77777777" w:rsidR="00C84922" w:rsidRDefault="00C84922" w:rsidP="00C84922">
      <w:pPr>
        <w:pStyle w:val="Heading3"/>
      </w:pPr>
      <w:r>
        <w:t>1AR---Monetary Policy Fails</w:t>
      </w:r>
    </w:p>
    <w:p w14:paraId="15313D09" w14:textId="77777777" w:rsidR="00C84922" w:rsidRPr="003403A8" w:rsidRDefault="00C84922" w:rsidP="00C84922">
      <w:pPr>
        <w:pStyle w:val="Heading4"/>
      </w:pPr>
      <w:r>
        <w:t>Only fiscal policy can solve---any change to monetary policy is disequalizing</w:t>
      </w:r>
    </w:p>
    <w:p w14:paraId="1CFF46AE" w14:textId="77777777" w:rsidR="00C84922" w:rsidRPr="003403A8" w:rsidRDefault="00C84922" w:rsidP="00C84922">
      <w:r>
        <w:rPr>
          <w:rStyle w:val="Style13ptBold"/>
        </w:rPr>
        <w:t>Montecino and Epstein</w:t>
      </w:r>
      <w:r w:rsidRPr="003403A8">
        <w:rPr>
          <w:rStyle w:val="Style13ptBold"/>
        </w:rPr>
        <w:t xml:space="preserve"> </w:t>
      </w:r>
      <w:r>
        <w:rPr>
          <w:rStyle w:val="Style13ptBold"/>
        </w:rPr>
        <w:t>17</w:t>
      </w:r>
      <w:r w:rsidRPr="003403A8">
        <w:t xml:space="preserve"> – </w:t>
      </w:r>
      <w:r w:rsidRPr="000948F0">
        <w:t>Department of Economics, UMass Amherst</w:t>
      </w:r>
      <w:r>
        <w:t xml:space="preserve">; </w:t>
      </w:r>
      <w:r w:rsidRPr="000948F0">
        <w:t>Department of Economics and Political Economy Research Institute (PERI), UMass Amherst</w:t>
      </w:r>
    </w:p>
    <w:p w14:paraId="084754D6" w14:textId="77777777" w:rsidR="00C84922" w:rsidRDefault="00C84922" w:rsidP="00C84922">
      <w:r w:rsidRPr="000948F0">
        <w:t>Juan Antonio Montecino</w:t>
      </w:r>
      <w:r>
        <w:t xml:space="preserve"> and </w:t>
      </w:r>
      <w:r w:rsidRPr="000948F0">
        <w:t>Gerald Epstein</w:t>
      </w:r>
      <w:r w:rsidRPr="003403A8">
        <w:t>, “</w:t>
      </w:r>
      <w:r w:rsidRPr="000948F0">
        <w:t>Did Quantitative Easing Increase Income Inequality?</w:t>
      </w:r>
      <w:r w:rsidRPr="003403A8">
        <w:t xml:space="preserve">” Publisher, </w:t>
      </w:r>
      <w:r>
        <w:t>4-24-17</w:t>
      </w:r>
      <w:r w:rsidRPr="003403A8">
        <w:t xml:space="preserve">, </w:t>
      </w:r>
      <w:r w:rsidRPr="000948F0">
        <w:t>https://www.cepweb.org/wp-content/uploads/2017/11/Montecino-paper.pdf</w:t>
      </w:r>
    </w:p>
    <w:p w14:paraId="338E3E21" w14:textId="77777777" w:rsidR="00C84922" w:rsidRPr="000948F0" w:rsidRDefault="00C84922" w:rsidP="00C84922">
      <w:pPr>
        <w:rPr>
          <w:u w:val="single"/>
        </w:rPr>
      </w:pPr>
      <w:r w:rsidRPr="000948F0">
        <w:rPr>
          <w:rStyle w:val="StyleUnderline"/>
        </w:rPr>
        <w:t xml:space="preserve">This suggests a </w:t>
      </w:r>
      <w:r w:rsidRPr="000948F0">
        <w:rPr>
          <w:rStyle w:val="Emphasis"/>
        </w:rPr>
        <w:t>paradox</w:t>
      </w:r>
      <w:r w:rsidRPr="000948F0">
        <w:rPr>
          <w:rStyle w:val="StyleUnderline"/>
        </w:rPr>
        <w:t xml:space="preserve">. Given the current structure of the economy and monetary policy strategies, </w:t>
      </w:r>
      <w:r w:rsidRPr="000948F0">
        <w:rPr>
          <w:rStyle w:val="Emphasis"/>
        </w:rPr>
        <w:t>both loose and tight</w:t>
      </w:r>
      <w:r w:rsidRPr="000948F0">
        <w:rPr>
          <w:rStyle w:val="StyleUnderline"/>
        </w:rPr>
        <w:t xml:space="preserve"> monetary policy are likely to be </w:t>
      </w:r>
      <w:r w:rsidRPr="000948F0">
        <w:rPr>
          <w:rStyle w:val="Emphasis"/>
        </w:rPr>
        <w:t>disequalizing</w:t>
      </w:r>
      <w:r w:rsidRPr="000948F0">
        <w:rPr>
          <w:rStyle w:val="StyleUnderline"/>
        </w:rPr>
        <w:t xml:space="preserve">. </w:t>
      </w:r>
      <w:r w:rsidRPr="000948F0">
        <w:rPr>
          <w:sz w:val="16"/>
        </w:rPr>
        <w:t xml:space="preserve">Future research should focus on better understanding the reason for this paradoxical situation. </w:t>
      </w:r>
      <w:r w:rsidRPr="000948F0">
        <w:rPr>
          <w:rStyle w:val="StyleUnderline"/>
        </w:rPr>
        <w:t xml:space="preserve">It is likely that </w:t>
      </w:r>
      <w:r w:rsidRPr="000948F0">
        <w:rPr>
          <w:rStyle w:val="Emphasis"/>
        </w:rPr>
        <w:t>more direct tools</w:t>
      </w:r>
      <w:r w:rsidRPr="000948F0">
        <w:rPr>
          <w:rStyle w:val="StyleUnderline"/>
        </w:rPr>
        <w:t xml:space="preserve"> of monetary policy are </w:t>
      </w:r>
      <w:r w:rsidRPr="000948F0">
        <w:rPr>
          <w:rStyle w:val="Emphasis"/>
        </w:rPr>
        <w:t>needed</w:t>
      </w:r>
      <w:r w:rsidRPr="000948F0">
        <w:rPr>
          <w:rStyle w:val="StyleUnderline"/>
        </w:rPr>
        <w:t>.</w:t>
      </w:r>
      <w:r w:rsidRPr="000948F0">
        <w:rPr>
          <w:sz w:val="16"/>
        </w:rPr>
        <w:t xml:space="preserve"> Perhaps </w:t>
      </w:r>
      <w:r w:rsidRPr="000948F0">
        <w:rPr>
          <w:rStyle w:val="StyleUnderline"/>
        </w:rPr>
        <w:t xml:space="preserve">more importantly, </w:t>
      </w:r>
      <w:r w:rsidRPr="000948F0">
        <w:rPr>
          <w:rStyle w:val="Emphasis"/>
        </w:rPr>
        <w:t>fiscal policy</w:t>
      </w:r>
      <w:r w:rsidRPr="000948F0">
        <w:rPr>
          <w:sz w:val="16"/>
        </w:rPr>
        <w:t xml:space="preserve">, and labor market policies such as changes in labor laws, tax laws, and minimum wage legislation </w:t>
      </w:r>
      <w:r w:rsidRPr="000948F0">
        <w:rPr>
          <w:rStyle w:val="Emphasis"/>
        </w:rPr>
        <w:t>will be needed</w:t>
      </w:r>
      <w:r w:rsidRPr="000948F0">
        <w:rPr>
          <w:rStyle w:val="StyleUnderline"/>
        </w:rPr>
        <w:t xml:space="preserve"> to reduce the </w:t>
      </w:r>
      <w:r w:rsidRPr="000948F0">
        <w:rPr>
          <w:rStyle w:val="Emphasis"/>
        </w:rPr>
        <w:t>massive levels of inequality</w:t>
      </w:r>
      <w:r w:rsidRPr="000948F0">
        <w:rPr>
          <w:rStyle w:val="StyleUnderline"/>
        </w:rPr>
        <w:t xml:space="preserve"> that we are experiencing today.</w:t>
      </w:r>
    </w:p>
    <w:p w14:paraId="72F24E27" w14:textId="77777777" w:rsidR="00C84922" w:rsidRPr="000948F0" w:rsidRDefault="00C84922" w:rsidP="00C84922"/>
    <w:p w14:paraId="54AD2A06" w14:textId="77777777" w:rsidR="00C84922" w:rsidRPr="003403A8" w:rsidRDefault="00C84922" w:rsidP="00C84922">
      <w:pPr>
        <w:pStyle w:val="Heading4"/>
      </w:pPr>
      <w:r>
        <w:t>Given monetary policy’s inadequacy in addressing structural factors, the aff’s fiscal reform is key</w:t>
      </w:r>
    </w:p>
    <w:p w14:paraId="12320BC3" w14:textId="77777777" w:rsidR="00C84922" w:rsidRPr="003403A8" w:rsidRDefault="00C84922" w:rsidP="00C84922">
      <w:r>
        <w:rPr>
          <w:rStyle w:val="Style13ptBold"/>
        </w:rPr>
        <w:t>BIS</w:t>
      </w:r>
      <w:r w:rsidRPr="003403A8">
        <w:rPr>
          <w:rStyle w:val="Style13ptBold"/>
        </w:rPr>
        <w:t xml:space="preserve"> </w:t>
      </w:r>
      <w:r>
        <w:rPr>
          <w:rStyle w:val="Style13ptBold"/>
        </w:rPr>
        <w:t>21</w:t>
      </w:r>
      <w:r w:rsidRPr="003403A8">
        <w:t xml:space="preserve"> – </w:t>
      </w:r>
      <w:r w:rsidRPr="0098106F">
        <w:t>Bank for International Settlements</w:t>
      </w:r>
    </w:p>
    <w:p w14:paraId="24F9FAAE" w14:textId="77777777" w:rsidR="00C84922" w:rsidRDefault="00C84922" w:rsidP="00C84922">
      <w:r w:rsidRPr="003403A8">
        <w:t>“</w:t>
      </w:r>
      <w:r>
        <w:t xml:space="preserve">2021 </w:t>
      </w:r>
      <w:r w:rsidRPr="0098106F">
        <w:t>Annual Economic</w:t>
      </w:r>
      <w:r>
        <w:t xml:space="preserve"> Report</w:t>
      </w:r>
      <w:r w:rsidRPr="003403A8">
        <w:t xml:space="preserve">,” </w:t>
      </w:r>
      <w:r w:rsidRPr="0098106F">
        <w:t>Bank for International Settlements</w:t>
      </w:r>
      <w:r w:rsidRPr="003403A8">
        <w:t xml:space="preserve">, </w:t>
      </w:r>
      <w:r>
        <w:t>June 2021</w:t>
      </w:r>
      <w:r w:rsidRPr="003403A8">
        <w:t>,</w:t>
      </w:r>
      <w:r>
        <w:t xml:space="preserve"> </w:t>
      </w:r>
      <w:r w:rsidRPr="0098106F">
        <w:t>https://www.bis.org/publ/arpdf/ar2021e.pdf</w:t>
      </w:r>
    </w:p>
    <w:p w14:paraId="25129996" w14:textId="77777777" w:rsidR="00C84922" w:rsidRPr="00DF1AFF" w:rsidRDefault="00C84922" w:rsidP="00C84922">
      <w:pPr>
        <w:rPr>
          <w:sz w:val="16"/>
        </w:rPr>
      </w:pPr>
      <w:r w:rsidRPr="00DF1AFF">
        <w:rPr>
          <w:sz w:val="16"/>
        </w:rPr>
        <w:t>Conclusion</w:t>
      </w:r>
    </w:p>
    <w:p w14:paraId="559AE80E" w14:textId="77777777" w:rsidR="00C84922" w:rsidRPr="00DF1AFF" w:rsidRDefault="00C84922" w:rsidP="00C84922">
      <w:pPr>
        <w:rPr>
          <w:sz w:val="16"/>
        </w:rPr>
      </w:pPr>
      <w:r w:rsidRPr="00DF1AFF">
        <w:rPr>
          <w:rStyle w:val="StyleUnderline"/>
        </w:rPr>
        <w:t xml:space="preserve">Inequality is </w:t>
      </w:r>
      <w:r w:rsidRPr="00DF1AFF">
        <w:rPr>
          <w:rStyle w:val="Emphasis"/>
        </w:rPr>
        <w:t>largely the result</w:t>
      </w:r>
      <w:r w:rsidRPr="00DF1AFF">
        <w:rPr>
          <w:rStyle w:val="StyleUnderline"/>
        </w:rPr>
        <w:t xml:space="preserve"> of </w:t>
      </w:r>
      <w:r w:rsidRPr="00DF1AFF">
        <w:rPr>
          <w:rStyle w:val="Emphasis"/>
        </w:rPr>
        <w:t>long-term structural forces</w:t>
      </w:r>
      <w:r w:rsidRPr="00DF1AFF">
        <w:rPr>
          <w:rStyle w:val="StyleUnderline"/>
        </w:rPr>
        <w:t xml:space="preserve"> that are </w:t>
      </w:r>
      <w:r w:rsidRPr="00DF1AFF">
        <w:rPr>
          <w:rStyle w:val="Emphasis"/>
        </w:rPr>
        <w:t>independent</w:t>
      </w:r>
      <w:r w:rsidRPr="00DF1AFF">
        <w:rPr>
          <w:rStyle w:val="StyleUnderline"/>
        </w:rPr>
        <w:t xml:space="preserve"> of </w:t>
      </w:r>
      <w:r w:rsidRPr="00DF1AFF">
        <w:rPr>
          <w:rStyle w:val="Emphasis"/>
        </w:rPr>
        <w:t>monetary policy</w:t>
      </w:r>
      <w:r w:rsidRPr="00DF1AFF">
        <w:rPr>
          <w:sz w:val="16"/>
        </w:rPr>
        <w:t xml:space="preserve">. Over the past few decades, globalisation and technology have played a prominent role. </w:t>
      </w:r>
      <w:r w:rsidRPr="00DF1AFF">
        <w:rPr>
          <w:rStyle w:val="StyleUnderline"/>
        </w:rPr>
        <w:t xml:space="preserve">Policies that foster more equal opportunities or redistribute income are </w:t>
      </w:r>
      <w:r w:rsidRPr="00DF1AFF">
        <w:rPr>
          <w:rStyle w:val="Emphasis"/>
        </w:rPr>
        <w:t>best suited to counteract</w:t>
      </w:r>
      <w:r w:rsidRPr="00DF1AFF">
        <w:rPr>
          <w:rStyle w:val="StyleUnderline"/>
        </w:rPr>
        <w:t xml:space="preserve"> the impact of long-term forces on income and wealth inequality. </w:t>
      </w:r>
      <w:r w:rsidRPr="00DF1AFF">
        <w:rPr>
          <w:rStyle w:val="Emphasis"/>
        </w:rPr>
        <w:t>Structural policies</w:t>
      </w:r>
      <w:r w:rsidRPr="00DF1AFF">
        <w:rPr>
          <w:sz w:val="16"/>
        </w:rPr>
        <w:t xml:space="preserve">, including those targeted to education, health and competition, </w:t>
      </w:r>
      <w:r w:rsidRPr="00DF1AFF">
        <w:rPr>
          <w:rStyle w:val="StyleUnderline"/>
        </w:rPr>
        <w:t xml:space="preserve">give the relatively poor of today the instruments to become the well-off of tomorrow, promoting </w:t>
      </w:r>
      <w:r w:rsidRPr="00DF1AFF">
        <w:rPr>
          <w:rStyle w:val="Emphasis"/>
        </w:rPr>
        <w:t>social mobility</w:t>
      </w:r>
      <w:r w:rsidRPr="00DF1AFF">
        <w:rPr>
          <w:rStyle w:val="StyleUnderline"/>
        </w:rPr>
        <w:t xml:space="preserve"> and </w:t>
      </w:r>
      <w:r w:rsidRPr="00DF1AFF">
        <w:rPr>
          <w:rStyle w:val="Emphasis"/>
        </w:rPr>
        <w:t>equitable growth</w:t>
      </w:r>
      <w:r w:rsidRPr="00DF1AFF">
        <w:rPr>
          <w:rStyle w:val="StyleUnderline"/>
        </w:rPr>
        <w:t xml:space="preserve">. Fiscal policies, notably through </w:t>
      </w:r>
      <w:r w:rsidRPr="00DF1AFF">
        <w:rPr>
          <w:rStyle w:val="Emphasis"/>
        </w:rPr>
        <w:t>redistribution</w:t>
      </w:r>
      <w:r w:rsidRPr="00DF1AFF">
        <w:rPr>
          <w:rStyle w:val="StyleUnderline"/>
        </w:rPr>
        <w:t xml:space="preserve">, help correct the </w:t>
      </w:r>
      <w:r w:rsidRPr="00DF1AFF">
        <w:rPr>
          <w:rStyle w:val="Emphasis"/>
        </w:rPr>
        <w:t>uneven distribution</w:t>
      </w:r>
      <w:r w:rsidRPr="00DF1AFF">
        <w:rPr>
          <w:sz w:val="16"/>
        </w:rPr>
        <w:t xml:space="preserve"> of the aggregate gains from growth.</w:t>
      </w:r>
    </w:p>
    <w:p w14:paraId="32C555C0" w14:textId="77777777" w:rsidR="00C84922" w:rsidRPr="00DF1AFF" w:rsidRDefault="00C84922" w:rsidP="00C84922">
      <w:pPr>
        <w:rPr>
          <w:sz w:val="16"/>
        </w:rPr>
      </w:pPr>
      <w:r w:rsidRPr="00DF1AFF">
        <w:rPr>
          <w:rStyle w:val="StyleUnderline"/>
        </w:rPr>
        <w:t xml:space="preserve">Monetary policy </w:t>
      </w:r>
      <w:r w:rsidRPr="00DF1AFF">
        <w:rPr>
          <w:rStyle w:val="Emphasis"/>
        </w:rPr>
        <w:t>does not have adequate tools</w:t>
      </w:r>
      <w:r w:rsidRPr="00DF1AFF">
        <w:rPr>
          <w:rStyle w:val="StyleUnderline"/>
        </w:rPr>
        <w:t xml:space="preserve"> to offset the long-term distributional consequences of </w:t>
      </w:r>
      <w:r w:rsidRPr="00DF1AFF">
        <w:rPr>
          <w:rStyle w:val="Emphasis"/>
        </w:rPr>
        <w:t>evolving structural factors</w:t>
      </w:r>
      <w:r w:rsidRPr="00DF1AFF">
        <w:rPr>
          <w:sz w:val="16"/>
        </w:rPr>
        <w:t>. Nevertheless, depending on statutory responsibilities, central banks can make a significant contribution by wearing their “non-monetary hats”, to an extent that depends on the tools available. Promoting financial development, inclusion and literacy, protecting against unfair financial practices, and furthering low-cost payment services all contribute to a more equitable society.</w:t>
      </w:r>
    </w:p>
    <w:p w14:paraId="57777978" w14:textId="77777777" w:rsidR="00C84922" w:rsidRPr="00DF1AFF" w:rsidRDefault="00C84922" w:rsidP="00C84922">
      <w:pPr>
        <w:rPr>
          <w:sz w:val="16"/>
        </w:rPr>
      </w:pPr>
      <w:r w:rsidRPr="00DF1AFF">
        <w:rPr>
          <w:sz w:val="16"/>
        </w:rPr>
        <w:t xml:space="preserve">This is not to say that monetary policy cannot foster a more equitable society; far from it. </w:t>
      </w:r>
      <w:r w:rsidRPr="00DF1AFF">
        <w:rPr>
          <w:rStyle w:val="StyleUnderline"/>
        </w:rPr>
        <w:t xml:space="preserve">Monetary policy can make an important contribution by </w:t>
      </w:r>
      <w:r w:rsidRPr="00DF1AFF">
        <w:rPr>
          <w:sz w:val="16"/>
        </w:rPr>
        <w:t xml:space="preserve">keeping the economy on an even keel in fulfilment of its mandate, ie by </w:t>
      </w:r>
      <w:r w:rsidRPr="00DF1AFF">
        <w:rPr>
          <w:rStyle w:val="StyleUnderline"/>
        </w:rPr>
        <w:t xml:space="preserve">tackling </w:t>
      </w:r>
      <w:r w:rsidRPr="00DF1AFF">
        <w:rPr>
          <w:rStyle w:val="Emphasis"/>
        </w:rPr>
        <w:t>macroeconomic</w:t>
      </w:r>
      <w:r w:rsidRPr="00DF1AFF">
        <w:rPr>
          <w:sz w:val="16"/>
        </w:rPr>
        <w:t xml:space="preserve">, including financial, </w:t>
      </w:r>
      <w:r w:rsidRPr="00DF1AFF">
        <w:rPr>
          <w:rStyle w:val="Emphasis"/>
        </w:rPr>
        <w:t>instability</w:t>
      </w:r>
      <w:r w:rsidRPr="00DF1AFF">
        <w:rPr>
          <w:sz w:val="16"/>
        </w:rPr>
        <w:t xml:space="preserve">. Macroeconomic instability can have a first-order impact on inequality over business cycle fluctuations. </w:t>
      </w:r>
      <w:r w:rsidRPr="00DF1AFF">
        <w:rPr>
          <w:rStyle w:val="StyleUnderline"/>
        </w:rPr>
        <w:t>The two major forms of instability are high inflation</w:t>
      </w:r>
      <w:r w:rsidRPr="00DF1AFF">
        <w:rPr>
          <w:sz w:val="16"/>
        </w:rPr>
        <w:t xml:space="preserve">, which disproportionately erodes income of households at the bottom of the distribution, </w:t>
      </w:r>
      <w:r w:rsidRPr="00DF1AFF">
        <w:rPr>
          <w:rStyle w:val="StyleUnderline"/>
        </w:rPr>
        <w:t>and recessions</w:t>
      </w:r>
      <w:r w:rsidRPr="00DF1AFF">
        <w:rPr>
          <w:sz w:val="16"/>
        </w:rPr>
        <w:t>, which hurt the poor through unemployment spells.</w:t>
      </w:r>
    </w:p>
    <w:p w14:paraId="1D7BDED1" w14:textId="77777777" w:rsidR="00C84922" w:rsidRPr="00DF1AFF" w:rsidRDefault="00C84922" w:rsidP="00C84922">
      <w:pPr>
        <w:rPr>
          <w:sz w:val="16"/>
        </w:rPr>
      </w:pPr>
      <w:r w:rsidRPr="00DF1AFF">
        <w:rPr>
          <w:sz w:val="16"/>
        </w:rPr>
        <w:t>Changes in the nature of the business cycle over the recent decades have complicated monetary policy’s ability to counteract macroeconomic instability and its impact on inequality. To be sure, inflation has largely been conquered – a major achievement. But financial factors have come to the fore as a key force amplifying business cycle fluctuations. Financial recessions tend to be deeper and longer, especially if a financial crisis breaks out, and therefore much more costly in terms of inequality. Moreover, they require the central bank to keep interest rates low for longer to nurture a recovery: by boosting asset prices, especially those of equities, this may raise wealth inequality in the short run even as it delivers substantial benefits by bolstering employment and reducing income inequality. The intertemporal trade-offs that arise pose a key challenge. With inflation less responsive to economic slack, the central bank can keep the monetary policy stance easier for longer. This brings more people into the labour force, supports employment and reduces inequality. But it may also contribute to a slow build-up of financial imbalances that sow the seeds of costlier financial recessions down the road.</w:t>
      </w:r>
    </w:p>
    <w:p w14:paraId="341FB2D2" w14:textId="77777777" w:rsidR="00C84922" w:rsidRPr="00DF1AFF" w:rsidRDefault="00C84922" w:rsidP="00C84922">
      <w:pPr>
        <w:rPr>
          <w:sz w:val="16"/>
        </w:rPr>
      </w:pPr>
      <w:r w:rsidRPr="00DF1AFF">
        <w:rPr>
          <w:sz w:val="16"/>
        </w:rPr>
        <w:t xml:space="preserve">In order to better address these trade-offs, </w:t>
      </w:r>
      <w:r w:rsidRPr="00DF1AFF">
        <w:rPr>
          <w:rStyle w:val="StyleUnderline"/>
        </w:rPr>
        <w:t xml:space="preserve">a more </w:t>
      </w:r>
      <w:r w:rsidRPr="00DF1AFF">
        <w:rPr>
          <w:rStyle w:val="Emphasis"/>
        </w:rPr>
        <w:t>balanced policy approach is needed</w:t>
      </w:r>
      <w:r w:rsidRPr="00DF1AFF">
        <w:rPr>
          <w:rStyle w:val="StyleUnderline"/>
        </w:rPr>
        <w:t xml:space="preserve">. Prudential, </w:t>
      </w:r>
      <w:r w:rsidRPr="00DF1AFF">
        <w:rPr>
          <w:rStyle w:val="Emphasis"/>
        </w:rPr>
        <w:t>fiscal and structural policies are important</w:t>
      </w:r>
      <w:r w:rsidRPr="00DF1AFF">
        <w:rPr>
          <w:rStyle w:val="StyleUnderline"/>
        </w:rPr>
        <w:t xml:space="preserve"> in this context, as part of a comprehensive macro-financial stability framework</w:t>
      </w:r>
      <w:r w:rsidRPr="00DF1AFF">
        <w:rPr>
          <w:sz w:val="16"/>
        </w:rPr>
        <w:t>.</w:t>
      </w:r>
    </w:p>
    <w:p w14:paraId="3F1BF349" w14:textId="77777777" w:rsidR="00C84922" w:rsidRDefault="00C84922" w:rsidP="00C84922"/>
    <w:p w14:paraId="2E511EEC" w14:textId="77777777" w:rsidR="00C84922" w:rsidRPr="003403A8" w:rsidRDefault="00C84922" w:rsidP="00C84922">
      <w:pPr>
        <w:pStyle w:val="Heading4"/>
      </w:pPr>
      <w:r>
        <w:t>Even advocates of the counterplan agree</w:t>
      </w:r>
    </w:p>
    <w:p w14:paraId="791C10AF" w14:textId="77777777" w:rsidR="00C84922" w:rsidRPr="003403A8" w:rsidRDefault="00C84922" w:rsidP="00C84922">
      <w:r>
        <w:rPr>
          <w:rStyle w:val="Style13ptBold"/>
        </w:rPr>
        <w:t>Jacobs</w:t>
      </w:r>
      <w:r w:rsidRPr="003403A8">
        <w:rPr>
          <w:rStyle w:val="Style13ptBold"/>
        </w:rPr>
        <w:t xml:space="preserve"> </w:t>
      </w:r>
      <w:r>
        <w:rPr>
          <w:rStyle w:val="Style13ptBold"/>
        </w:rPr>
        <w:t>23</w:t>
      </w:r>
      <w:r w:rsidRPr="003403A8">
        <w:t xml:space="preserve"> – </w:t>
      </w:r>
      <w:r>
        <w:t>Economist at the Official Monetary and Financial Institutions Forum</w:t>
      </w:r>
    </w:p>
    <w:p w14:paraId="44B8F851" w14:textId="77777777" w:rsidR="00C84922" w:rsidRDefault="00C84922" w:rsidP="00C84922">
      <w:r>
        <w:t>Julian Jacobs</w:t>
      </w:r>
      <w:r w:rsidRPr="003403A8">
        <w:t>, “</w:t>
      </w:r>
      <w:r w:rsidRPr="00B33EFE">
        <w:t>Should reducing inequality be a central bank mandate?</w:t>
      </w:r>
      <w:r w:rsidRPr="003403A8">
        <w:t xml:space="preserve">” </w:t>
      </w:r>
      <w:r>
        <w:t>Official Monetary and Financial Institutions Forum</w:t>
      </w:r>
      <w:r w:rsidRPr="003403A8">
        <w:t xml:space="preserve">, </w:t>
      </w:r>
      <w:r>
        <w:t>1-27-23</w:t>
      </w:r>
      <w:r w:rsidRPr="003403A8">
        <w:t xml:space="preserve">, </w:t>
      </w:r>
      <w:r w:rsidRPr="001945AC">
        <w:t>https://www.omfif.org/2023/01/should-reducing-inequality-be-a-central-bank-mandate/</w:t>
      </w:r>
    </w:p>
    <w:p w14:paraId="071B2740" w14:textId="77777777" w:rsidR="00C84922" w:rsidRPr="00B33EFE" w:rsidRDefault="00C84922" w:rsidP="00C84922">
      <w:pPr>
        <w:rPr>
          <w:rStyle w:val="StyleUnderline"/>
        </w:rPr>
      </w:pPr>
      <w:r w:rsidRPr="00B33EFE">
        <w:rPr>
          <w:sz w:val="16"/>
        </w:rPr>
        <w:t xml:space="preserve">Beyond this, however, central banks’ job should remain the imposing task of maintaining price stability and financial stability in the interest of maximising public welfare. The fair and efficient distribution of economic resources is a public good and </w:t>
      </w:r>
      <w:r w:rsidRPr="00B33EFE">
        <w:rPr>
          <w:rStyle w:val="StyleUnderline"/>
        </w:rPr>
        <w:t xml:space="preserve">central banks’ growing interest in </w:t>
      </w:r>
      <w:r w:rsidRPr="00B33EFE">
        <w:rPr>
          <w:sz w:val="16"/>
        </w:rPr>
        <w:t xml:space="preserve">discussing and reporting on </w:t>
      </w:r>
      <w:r w:rsidRPr="00B33EFE">
        <w:rPr>
          <w:rStyle w:val="StyleUnderline"/>
        </w:rPr>
        <w:t xml:space="preserve">inequality is a positive development that should be encouraged. But </w:t>
      </w:r>
      <w:r w:rsidRPr="00B33EFE">
        <w:rPr>
          <w:rStyle w:val="Emphasis"/>
        </w:rPr>
        <w:t>central bank policy is no substitute</w:t>
      </w:r>
      <w:r w:rsidRPr="00B33EFE">
        <w:rPr>
          <w:rStyle w:val="StyleUnderline"/>
        </w:rPr>
        <w:t xml:space="preserve"> for </w:t>
      </w:r>
      <w:r w:rsidRPr="00B33EFE">
        <w:rPr>
          <w:rStyle w:val="Emphasis"/>
        </w:rPr>
        <w:t>effective social security</w:t>
      </w:r>
      <w:r w:rsidRPr="00B33EFE">
        <w:rPr>
          <w:rStyle w:val="StyleUnderline"/>
          <w:sz w:val="16"/>
          <w:szCs w:val="16"/>
        </w:rPr>
        <w:t>, shock adjustment assistance and financial market regulation.</w:t>
      </w:r>
    </w:p>
    <w:p w14:paraId="37BD8456" w14:textId="77777777" w:rsidR="00C84922" w:rsidRPr="00DF1AFF" w:rsidRDefault="00C84922" w:rsidP="00C84922"/>
    <w:p w14:paraId="7C8AB905" w14:textId="77777777" w:rsidR="00C84922" w:rsidRDefault="00C84922" w:rsidP="00C84922">
      <w:pPr>
        <w:pStyle w:val="Heading2"/>
      </w:pPr>
      <w:r>
        <w:t>Solvency</w:t>
      </w:r>
    </w:p>
    <w:p w14:paraId="70E8F697" w14:textId="77777777" w:rsidR="00C84922" w:rsidRPr="006A64BA" w:rsidRDefault="00C84922" w:rsidP="00C84922">
      <w:pPr>
        <w:pStyle w:val="Heading3"/>
      </w:pPr>
      <w:r>
        <w:t>2AC---Can’t Solve Inequality</w:t>
      </w:r>
    </w:p>
    <w:p w14:paraId="3448EFC6" w14:textId="77777777" w:rsidR="00C84922" w:rsidRPr="003403A8" w:rsidRDefault="00C84922" w:rsidP="00C84922">
      <w:pPr>
        <w:pStyle w:val="Heading4"/>
      </w:pPr>
      <w:r>
        <w:t>The Fed can’t influence inequality</w:t>
      </w:r>
    </w:p>
    <w:p w14:paraId="6D234E93" w14:textId="77777777" w:rsidR="00C84922" w:rsidRPr="003403A8" w:rsidRDefault="00C84922" w:rsidP="00C84922">
      <w:r>
        <w:rPr>
          <w:rStyle w:val="Style13ptBold"/>
        </w:rPr>
        <w:t>Worstall</w:t>
      </w:r>
      <w:r w:rsidRPr="003403A8">
        <w:rPr>
          <w:rStyle w:val="Style13ptBold"/>
        </w:rPr>
        <w:t xml:space="preserve"> </w:t>
      </w:r>
      <w:r>
        <w:rPr>
          <w:rStyle w:val="Style13ptBold"/>
        </w:rPr>
        <w:t>14</w:t>
      </w:r>
      <w:r w:rsidRPr="003403A8">
        <w:t xml:space="preserve"> – </w:t>
      </w:r>
      <w:r w:rsidRPr="00DD79E2">
        <w:t>senior fellow at the Adam Smith Institute</w:t>
      </w:r>
    </w:p>
    <w:p w14:paraId="7E8A60D3" w14:textId="77777777" w:rsidR="00C84922" w:rsidRDefault="00C84922" w:rsidP="00C84922">
      <w:r>
        <w:t>T</w:t>
      </w:r>
      <w:r w:rsidRPr="00DD79E2">
        <w:t>im Worstall</w:t>
      </w:r>
      <w:r w:rsidRPr="003403A8">
        <w:t>, “</w:t>
      </w:r>
      <w:r w:rsidRPr="00DD79E2">
        <w:t>Inequality Is Not the Fed’s Priority</w:t>
      </w:r>
      <w:r w:rsidRPr="003403A8">
        <w:t xml:space="preserve">,” </w:t>
      </w:r>
      <w:r>
        <w:t>The New York Times</w:t>
      </w:r>
      <w:r w:rsidRPr="003403A8">
        <w:t xml:space="preserve">, </w:t>
      </w:r>
      <w:r>
        <w:t>10-27-14</w:t>
      </w:r>
      <w:r w:rsidRPr="003403A8">
        <w:t xml:space="preserve">, </w:t>
      </w:r>
      <w:r w:rsidRPr="00DD79E2">
        <w:t>https://www.nytimes.com/roomfordebate/2014/10/27/what-could-the-fed-do-to-address-inequality/inequality-is-not-the-feds-priority</w:t>
      </w:r>
    </w:p>
    <w:p w14:paraId="1DB16F92" w14:textId="77777777" w:rsidR="00C84922" w:rsidRPr="006A64BA" w:rsidRDefault="00C84922" w:rsidP="00C84922">
      <w:pPr>
        <w:rPr>
          <w:rStyle w:val="StyleUnderline"/>
        </w:rPr>
      </w:pPr>
      <w:r w:rsidRPr="00DD79E2">
        <w:rPr>
          <w:rStyle w:val="StyleUnderline"/>
        </w:rPr>
        <w:t xml:space="preserve">There's </w:t>
      </w:r>
      <w:r w:rsidRPr="006A64BA">
        <w:rPr>
          <w:rStyle w:val="Emphasis"/>
        </w:rPr>
        <w:t>very little</w:t>
      </w:r>
      <w:r w:rsidRPr="00DD79E2">
        <w:rPr>
          <w:rStyle w:val="StyleUnderline"/>
        </w:rPr>
        <w:t xml:space="preserve"> in the </w:t>
      </w:r>
      <w:r w:rsidRPr="006A64BA">
        <w:rPr>
          <w:rStyle w:val="Emphasis"/>
        </w:rPr>
        <w:t>monetary toolbox</w:t>
      </w:r>
      <w:r w:rsidRPr="00DD79E2">
        <w:rPr>
          <w:rStyle w:val="StyleUnderline"/>
        </w:rPr>
        <w:t xml:space="preserve"> of a central banker that can </w:t>
      </w:r>
      <w:r w:rsidRPr="006A64BA">
        <w:rPr>
          <w:rStyle w:val="Emphasis"/>
        </w:rPr>
        <w:t>affect inequality</w:t>
      </w:r>
      <w:r w:rsidRPr="006A64BA">
        <w:rPr>
          <w:sz w:val="16"/>
        </w:rPr>
        <w:t xml:space="preserve">. True, </w:t>
      </w:r>
      <w:r w:rsidRPr="006A64BA">
        <w:rPr>
          <w:rStyle w:val="StyleUnderline"/>
        </w:rPr>
        <w:t xml:space="preserve">quantitative easing and low interest rates are </w:t>
      </w:r>
      <w:r w:rsidRPr="006A64BA">
        <w:rPr>
          <w:rStyle w:val="Emphasis"/>
        </w:rPr>
        <w:t>great</w:t>
      </w:r>
      <w:r w:rsidRPr="006A64BA">
        <w:rPr>
          <w:rStyle w:val="StyleUnderline"/>
        </w:rPr>
        <w:t xml:space="preserve"> for those </w:t>
      </w:r>
      <w:r w:rsidRPr="006A64BA">
        <w:rPr>
          <w:rStyle w:val="Emphasis"/>
        </w:rPr>
        <w:t>who own assets</w:t>
      </w:r>
      <w:r w:rsidRPr="006A64BA">
        <w:rPr>
          <w:rStyle w:val="StyleUnderline"/>
        </w:rPr>
        <w:t xml:space="preserve">, as they can soar in value. But the Fed is doing that to </w:t>
      </w:r>
      <w:r w:rsidRPr="006A64BA">
        <w:rPr>
          <w:sz w:val="16"/>
        </w:rPr>
        <w:t xml:space="preserve">try to </w:t>
      </w:r>
      <w:r w:rsidRPr="006A64BA">
        <w:rPr>
          <w:rStyle w:val="Emphasis"/>
        </w:rPr>
        <w:t>stop the economy from worsening</w:t>
      </w:r>
      <w:r w:rsidRPr="006A64BA">
        <w:rPr>
          <w:rStyle w:val="StyleUnderline"/>
        </w:rPr>
        <w:t xml:space="preserve">, which would be bad for </w:t>
      </w:r>
      <w:r w:rsidRPr="006A64BA">
        <w:rPr>
          <w:rStyle w:val="Emphasis"/>
        </w:rPr>
        <w:t>rich and poor alike</w:t>
      </w:r>
      <w:r w:rsidRPr="006A64BA">
        <w:rPr>
          <w:rStyle w:val="StyleUnderline"/>
        </w:rPr>
        <w:t xml:space="preserve">. The </w:t>
      </w:r>
      <w:r w:rsidRPr="006A64BA">
        <w:rPr>
          <w:rStyle w:val="Emphasis"/>
        </w:rPr>
        <w:t>impact on inequality</w:t>
      </w:r>
      <w:r w:rsidRPr="006A64BA">
        <w:rPr>
          <w:rStyle w:val="StyleUnderline"/>
        </w:rPr>
        <w:t xml:space="preserve"> is a</w:t>
      </w:r>
      <w:r w:rsidRPr="006A64BA">
        <w:rPr>
          <w:sz w:val="16"/>
        </w:rPr>
        <w:t xml:space="preserve"> very second, even </w:t>
      </w:r>
      <w:r w:rsidRPr="006A64BA">
        <w:rPr>
          <w:rStyle w:val="Emphasis"/>
        </w:rPr>
        <w:t>third</w:t>
      </w:r>
      <w:r w:rsidRPr="006A64BA">
        <w:rPr>
          <w:sz w:val="16"/>
        </w:rPr>
        <w:t xml:space="preserve">, </w:t>
      </w:r>
      <w:r w:rsidRPr="006A64BA">
        <w:rPr>
          <w:rStyle w:val="Emphasis"/>
        </w:rPr>
        <w:t>order effect</w:t>
      </w:r>
      <w:r w:rsidRPr="006A64BA">
        <w:rPr>
          <w:sz w:val="16"/>
        </w:rPr>
        <w:t xml:space="preserve">. Other than that, </w:t>
      </w:r>
      <w:r w:rsidRPr="006A64BA">
        <w:rPr>
          <w:rStyle w:val="StyleUnderline"/>
        </w:rPr>
        <w:t xml:space="preserve">there's </w:t>
      </w:r>
      <w:r w:rsidRPr="006A64BA">
        <w:rPr>
          <w:rStyle w:val="Emphasis"/>
        </w:rPr>
        <w:t>not really</w:t>
      </w:r>
      <w:r w:rsidRPr="006A64BA">
        <w:rPr>
          <w:rStyle w:val="StyleUnderline"/>
        </w:rPr>
        <w:t xml:space="preserve"> a great deal that the Fed can do about it.</w:t>
      </w:r>
    </w:p>
    <w:p w14:paraId="3B1203B0" w14:textId="77777777" w:rsidR="00C84922" w:rsidRPr="006A64BA" w:rsidRDefault="00C84922" w:rsidP="00C84922">
      <w:pPr>
        <w:rPr>
          <w:sz w:val="16"/>
        </w:rPr>
      </w:pPr>
    </w:p>
    <w:p w14:paraId="3D245400" w14:textId="77777777" w:rsidR="00C84922" w:rsidRDefault="00C84922" w:rsidP="00C84922">
      <w:pPr>
        <w:rPr>
          <w:sz w:val="16"/>
        </w:rPr>
      </w:pPr>
    </w:p>
    <w:p w14:paraId="35B74E68" w14:textId="77777777" w:rsidR="00C84922" w:rsidRDefault="00C84922" w:rsidP="00C84922">
      <w:pPr>
        <w:pStyle w:val="Heading3"/>
      </w:pPr>
      <w:r>
        <w:t>1AR---Can’t Solve Inequality</w:t>
      </w:r>
    </w:p>
    <w:p w14:paraId="5447AD6B" w14:textId="77777777" w:rsidR="00C84922" w:rsidRPr="003403A8" w:rsidRDefault="00C84922" w:rsidP="00C84922">
      <w:pPr>
        <w:pStyle w:val="Heading4"/>
      </w:pPr>
      <w:r>
        <w:t xml:space="preserve">There is </w:t>
      </w:r>
      <w:r w:rsidRPr="00F7279C">
        <w:rPr>
          <w:u w:val="single"/>
        </w:rPr>
        <w:t>no consensus</w:t>
      </w:r>
      <w:r>
        <w:t xml:space="preserve"> on whether the counterplan even moves in the </w:t>
      </w:r>
      <w:r w:rsidRPr="00F7279C">
        <w:rPr>
          <w:u w:val="single"/>
        </w:rPr>
        <w:t>right direction</w:t>
      </w:r>
    </w:p>
    <w:p w14:paraId="5CD4C034" w14:textId="77777777" w:rsidR="00C84922" w:rsidRPr="003403A8" w:rsidRDefault="00C84922" w:rsidP="00C84922">
      <w:r>
        <w:rPr>
          <w:rStyle w:val="Style13ptBold"/>
        </w:rPr>
        <w:t>Vereckey</w:t>
      </w:r>
      <w:r w:rsidRPr="003403A8">
        <w:rPr>
          <w:rStyle w:val="Style13ptBold"/>
        </w:rPr>
        <w:t xml:space="preserve"> </w:t>
      </w:r>
      <w:r>
        <w:rPr>
          <w:rStyle w:val="Style13ptBold"/>
        </w:rPr>
        <w:t>21</w:t>
      </w:r>
      <w:r w:rsidRPr="003403A8">
        <w:t xml:space="preserve"> – </w:t>
      </w:r>
      <w:r>
        <w:t xml:space="preserve">editor, citing </w:t>
      </w:r>
      <w:r w:rsidRPr="00F7279C">
        <w:t>James Bullard, president and CEO of the Federal Reserve Bank of St. Louis</w:t>
      </w:r>
    </w:p>
    <w:p w14:paraId="68DE7F07" w14:textId="77777777" w:rsidR="00C84922" w:rsidRDefault="00C84922" w:rsidP="00C84922">
      <w:r w:rsidRPr="00792381">
        <w:t>Betsy Vereckey</w:t>
      </w:r>
      <w:r w:rsidRPr="003403A8">
        <w:t>, “</w:t>
      </w:r>
      <w:r w:rsidRPr="00792381">
        <w:t>Should central banks address inequality? Experts weigh in</w:t>
      </w:r>
      <w:r w:rsidRPr="003403A8">
        <w:t xml:space="preserve">,” </w:t>
      </w:r>
      <w:r w:rsidRPr="00792381">
        <w:t>MIT Sloan School of Management</w:t>
      </w:r>
      <w:r w:rsidRPr="003403A8">
        <w:t xml:space="preserve">, </w:t>
      </w:r>
      <w:r>
        <w:t>8-3-21</w:t>
      </w:r>
      <w:r w:rsidRPr="003403A8">
        <w:t xml:space="preserve">, </w:t>
      </w:r>
      <w:r w:rsidRPr="00792381">
        <w:t>https://mitsloan.mit.edu/ideas-made-to-matter/should-central-banks-address-inequality-experts-weigh</w:t>
      </w:r>
    </w:p>
    <w:p w14:paraId="3ABC1E36" w14:textId="77777777" w:rsidR="00C84922" w:rsidRPr="00F7279C" w:rsidRDefault="00C84922" w:rsidP="00C84922">
      <w:pPr>
        <w:rPr>
          <w:rStyle w:val="StyleUnderline"/>
        </w:rPr>
      </w:pPr>
      <w:r w:rsidRPr="00F7279C">
        <w:rPr>
          <w:rStyle w:val="StyleUnderline"/>
        </w:rPr>
        <w:t>Bullard acknowledged</w:t>
      </w:r>
      <w:r w:rsidRPr="00F7279C">
        <w:rPr>
          <w:sz w:val="16"/>
        </w:rPr>
        <w:t xml:space="preserve"> that </w:t>
      </w:r>
      <w:r w:rsidRPr="00F7279C">
        <w:rPr>
          <w:rStyle w:val="StyleUnderline"/>
        </w:rPr>
        <w:t xml:space="preserve">it’s </w:t>
      </w:r>
      <w:r w:rsidRPr="00F7279C">
        <w:rPr>
          <w:rStyle w:val="Emphasis"/>
        </w:rPr>
        <w:t>not easy reaching consensus</w:t>
      </w:r>
      <w:r w:rsidRPr="00F7279C">
        <w:rPr>
          <w:rStyle w:val="StyleUnderline"/>
        </w:rPr>
        <w:t xml:space="preserve"> on</w:t>
      </w:r>
      <w:r w:rsidRPr="00F7279C">
        <w:rPr>
          <w:sz w:val="16"/>
        </w:rPr>
        <w:t xml:space="preserve"> the issue of </w:t>
      </w:r>
      <w:r w:rsidRPr="00F7279C">
        <w:rPr>
          <w:rStyle w:val="StyleUnderline"/>
        </w:rPr>
        <w:t>interest rates.</w:t>
      </w:r>
    </w:p>
    <w:p w14:paraId="5DDFE252" w14:textId="77777777" w:rsidR="00C84922" w:rsidRPr="00F7279C" w:rsidRDefault="00C84922" w:rsidP="00C84922">
      <w:pPr>
        <w:rPr>
          <w:sz w:val="16"/>
        </w:rPr>
      </w:pPr>
      <w:r w:rsidRPr="00F7279C">
        <w:rPr>
          <w:sz w:val="16"/>
        </w:rPr>
        <w:t>“</w:t>
      </w:r>
      <w:r w:rsidRPr="00F7279C">
        <w:rPr>
          <w:rStyle w:val="StyleUnderline"/>
        </w:rPr>
        <w:t xml:space="preserve">Are the low interest rates </w:t>
      </w:r>
      <w:r w:rsidRPr="00F7279C">
        <w:rPr>
          <w:rStyle w:val="Emphasis"/>
        </w:rPr>
        <w:t>helping poor people</w:t>
      </w:r>
      <w:r w:rsidRPr="00F7279C">
        <w:rPr>
          <w:rStyle w:val="StyleUnderline"/>
        </w:rPr>
        <w:t xml:space="preserve">, or are low interest rates </w:t>
      </w:r>
      <w:r w:rsidRPr="00F7279C">
        <w:rPr>
          <w:rStyle w:val="Emphasis"/>
        </w:rPr>
        <w:t>helping rich people?</w:t>
      </w:r>
      <w:r w:rsidRPr="00F7279C">
        <w:rPr>
          <w:sz w:val="16"/>
        </w:rPr>
        <w:t xml:space="preserve"> I think </w:t>
      </w:r>
      <w:r w:rsidRPr="00F7279C">
        <w:rPr>
          <w:rStyle w:val="StyleUnderline"/>
        </w:rPr>
        <w:t xml:space="preserve">we need to get </w:t>
      </w:r>
      <w:r w:rsidRPr="00F7279C">
        <w:rPr>
          <w:rStyle w:val="Emphasis"/>
        </w:rPr>
        <w:t>clarity</w:t>
      </w:r>
      <w:r w:rsidRPr="00F7279C">
        <w:rPr>
          <w:sz w:val="16"/>
        </w:rPr>
        <w:t xml:space="preserve"> on which one is it,” he said. “</w:t>
      </w:r>
      <w:r w:rsidRPr="00F7279C">
        <w:rPr>
          <w:rStyle w:val="StyleUnderline"/>
        </w:rPr>
        <w:t xml:space="preserve">There's a powerful argument on both sides. </w:t>
      </w:r>
      <w:r w:rsidRPr="00F7279C">
        <w:rPr>
          <w:rStyle w:val="Emphasis"/>
        </w:rPr>
        <w:t>We need models</w:t>
      </w:r>
      <w:r w:rsidRPr="00F7279C">
        <w:rPr>
          <w:sz w:val="16"/>
        </w:rPr>
        <w:t xml:space="preserve"> that will help disentangle that.”</w:t>
      </w:r>
    </w:p>
    <w:p w14:paraId="70FA426C" w14:textId="77777777" w:rsidR="00C84922" w:rsidRPr="00C570B0" w:rsidRDefault="00C84922" w:rsidP="00C84922"/>
    <w:p w14:paraId="4BD312E2" w14:textId="77777777" w:rsidR="00C84922" w:rsidRPr="00F7279C" w:rsidRDefault="00C84922" w:rsidP="00C84922">
      <w:pPr>
        <w:pStyle w:val="Heading3"/>
      </w:pPr>
      <w:r>
        <w:t>2AC---Can’t Solve Unemployment</w:t>
      </w:r>
    </w:p>
    <w:p w14:paraId="7B88466F" w14:textId="77777777" w:rsidR="00C84922" w:rsidRPr="003403A8" w:rsidRDefault="00C84922" w:rsidP="00C84922">
      <w:pPr>
        <w:pStyle w:val="Heading4"/>
      </w:pPr>
      <w:r>
        <w:t xml:space="preserve">Monetary policy fails---the labor market is </w:t>
      </w:r>
      <w:r w:rsidRPr="00CE1333">
        <w:rPr>
          <w:u w:val="single"/>
        </w:rPr>
        <w:t>disconnected</w:t>
      </w:r>
      <w:r>
        <w:t xml:space="preserve"> from macroeconomic policy</w:t>
      </w:r>
    </w:p>
    <w:p w14:paraId="36030477" w14:textId="77777777" w:rsidR="00C84922" w:rsidRPr="003403A8" w:rsidRDefault="00C84922" w:rsidP="00C84922">
      <w:r>
        <w:rPr>
          <w:rStyle w:val="Style13ptBold"/>
        </w:rPr>
        <w:t>Albertini et al.</w:t>
      </w:r>
      <w:r w:rsidRPr="003403A8">
        <w:rPr>
          <w:rStyle w:val="Style13ptBold"/>
        </w:rPr>
        <w:t xml:space="preserve"> </w:t>
      </w:r>
      <w:r>
        <w:rPr>
          <w:rStyle w:val="Style13ptBold"/>
        </w:rPr>
        <w:t>12</w:t>
      </w:r>
      <w:r w:rsidRPr="003403A8">
        <w:t xml:space="preserve"> – </w:t>
      </w:r>
      <w:r w:rsidRPr="00CE1333">
        <w:t>University of Every</w:t>
      </w:r>
      <w:r>
        <w:t xml:space="preserve">; </w:t>
      </w:r>
      <w:r w:rsidRPr="00CE1333">
        <w:t>Reserve Bank of New Zealand</w:t>
      </w:r>
      <w:r>
        <w:t xml:space="preserve">; </w:t>
      </w:r>
      <w:r w:rsidRPr="00CE1333">
        <w:t>Reserve Bank of New Zealand</w:t>
      </w:r>
    </w:p>
    <w:p w14:paraId="2CCF11B0" w14:textId="77777777" w:rsidR="00C84922" w:rsidRDefault="00C84922" w:rsidP="00C84922">
      <w:r w:rsidRPr="00CE1333">
        <w:t xml:space="preserve">Julien Albertini, Güneş Kamber, </w:t>
      </w:r>
      <w:r>
        <w:t xml:space="preserve">and </w:t>
      </w:r>
      <w:r w:rsidRPr="00CE1333">
        <w:t>Michael Kirker</w:t>
      </w:r>
      <w:r w:rsidRPr="003403A8">
        <w:t>, “</w:t>
      </w:r>
      <w:r w:rsidRPr="00CE1333">
        <w:t>Estimated Small Open Economy Model With Frictional Unemployment</w:t>
      </w:r>
      <w:r w:rsidRPr="003403A8">
        <w:t xml:space="preserve">,” </w:t>
      </w:r>
      <w:r>
        <w:t>Pacific Economic Review, Vol. 17, Iss. 2</w:t>
      </w:r>
      <w:r w:rsidRPr="003403A8">
        <w:t xml:space="preserve">, </w:t>
      </w:r>
      <w:r>
        <w:t>Pg. 326-353, 5-17-12</w:t>
      </w:r>
      <w:r w:rsidRPr="003403A8">
        <w:t xml:space="preserve">, </w:t>
      </w:r>
      <w:r w:rsidRPr="00135DEE">
        <w:t>https://onlinelibrary.wiley.com/doi/10.1111/j.1468-0106.2012.00585.x</w:t>
      </w:r>
    </w:p>
    <w:p w14:paraId="1EE65938" w14:textId="77777777" w:rsidR="00C84922" w:rsidRPr="00CE1333" w:rsidRDefault="00C84922" w:rsidP="00C84922">
      <w:pPr>
        <w:rPr>
          <w:sz w:val="16"/>
        </w:rPr>
      </w:pPr>
      <w:r w:rsidRPr="00CE1333">
        <w:rPr>
          <w:sz w:val="16"/>
        </w:rPr>
        <w:t xml:space="preserve">6. </w:t>
      </w:r>
      <w:r w:rsidRPr="00CE1333">
        <w:rPr>
          <w:rStyle w:val="Emphasis"/>
        </w:rPr>
        <w:t>Dynamics of unemployment</w:t>
      </w:r>
      <w:r w:rsidRPr="00CE1333">
        <w:rPr>
          <w:rStyle w:val="StyleUnderline"/>
        </w:rPr>
        <w:t xml:space="preserve"> and vacancies</w:t>
      </w:r>
    </w:p>
    <w:p w14:paraId="05F96960" w14:textId="77777777" w:rsidR="00C84922" w:rsidRPr="00CE1333" w:rsidRDefault="00C84922" w:rsidP="00C84922">
      <w:pPr>
        <w:rPr>
          <w:sz w:val="16"/>
        </w:rPr>
      </w:pPr>
      <w:r w:rsidRPr="00CE1333">
        <w:rPr>
          <w:sz w:val="16"/>
        </w:rPr>
        <w:t xml:space="preserve">In the previous section, we show that our model provides a fairly good description of macroeconomic and labour market variables in New Zealand. In this section, </w:t>
      </w:r>
      <w:r w:rsidRPr="00CE1333">
        <w:rPr>
          <w:rStyle w:val="StyleUnderline"/>
        </w:rPr>
        <w:t xml:space="preserve">our objective is to use our structural model to investigate </w:t>
      </w:r>
      <w:r w:rsidRPr="00CE1333">
        <w:rPr>
          <w:rStyle w:val="Emphasis"/>
        </w:rPr>
        <w:t>which shocks</w:t>
      </w:r>
      <w:r w:rsidRPr="00CE1333">
        <w:rPr>
          <w:rStyle w:val="StyleUnderline"/>
        </w:rPr>
        <w:t xml:space="preserve"> are the </w:t>
      </w:r>
      <w:r w:rsidRPr="00CE1333">
        <w:rPr>
          <w:rStyle w:val="Emphasis"/>
        </w:rPr>
        <w:t>drivers of unemployment</w:t>
      </w:r>
      <w:r w:rsidRPr="00CE1333">
        <w:rPr>
          <w:sz w:val="16"/>
        </w:rPr>
        <w:t xml:space="preserve"> and vacancies in New Zealand. To do so, we analyze the variance decomposition of unemployment and vacancies.</w:t>
      </w:r>
    </w:p>
    <w:p w14:paraId="4C4C4BE9" w14:textId="77777777" w:rsidR="00C84922" w:rsidRPr="00CE1333" w:rsidRDefault="00C84922" w:rsidP="00C84922">
      <w:pPr>
        <w:rPr>
          <w:rStyle w:val="StyleUnderline"/>
        </w:rPr>
      </w:pPr>
      <w:r w:rsidRPr="00CE1333">
        <w:rPr>
          <w:sz w:val="16"/>
        </w:rPr>
        <w:t xml:space="preserve">7, 8 present the variance decomposition of vacancies and unemployment. </w:t>
      </w:r>
      <w:r w:rsidRPr="00CE1333">
        <w:rPr>
          <w:rStyle w:val="StyleUnderline"/>
        </w:rPr>
        <w:t xml:space="preserve">The model is driven by 11 structural shocks. Three of these shocks are </w:t>
      </w:r>
      <w:r w:rsidRPr="00CE1333">
        <w:rPr>
          <w:rStyle w:val="Emphasis"/>
        </w:rPr>
        <w:t>directly related</w:t>
      </w:r>
      <w:r w:rsidRPr="00CE1333">
        <w:rPr>
          <w:rStyle w:val="StyleUnderline"/>
        </w:rPr>
        <w:t xml:space="preserve"> to the labour market of the model; namely, the </w:t>
      </w:r>
      <w:r w:rsidRPr="00CE1333">
        <w:rPr>
          <w:rStyle w:val="Emphasis"/>
        </w:rPr>
        <w:t>matching efficiency</w:t>
      </w:r>
      <w:r w:rsidRPr="00CE1333">
        <w:rPr>
          <w:rStyle w:val="StyleUnderline"/>
        </w:rPr>
        <w:t xml:space="preserve"> shock, the </w:t>
      </w:r>
      <w:r w:rsidRPr="00CE1333">
        <w:rPr>
          <w:rStyle w:val="Emphasis"/>
        </w:rPr>
        <w:t>bargaining power</w:t>
      </w:r>
      <w:r w:rsidRPr="00CE1333">
        <w:rPr>
          <w:rStyle w:val="StyleUnderline"/>
        </w:rPr>
        <w:t xml:space="preserve"> shock and the </w:t>
      </w:r>
      <w:r w:rsidRPr="00CE1333">
        <w:rPr>
          <w:rStyle w:val="Emphasis"/>
        </w:rPr>
        <w:t>vacancy posting</w:t>
      </w:r>
      <w:r w:rsidRPr="00CE1333">
        <w:rPr>
          <w:rStyle w:val="StyleUnderline"/>
        </w:rPr>
        <w:t xml:space="preserve"> cost shock.</w:t>
      </w:r>
      <w:r w:rsidRPr="00CE1333">
        <w:rPr>
          <w:sz w:val="16"/>
        </w:rPr>
        <w:t xml:space="preserve"> In 7, 8, while we detail the contribution of labour market shocks to the fluctuations in unemployment and vacancies, </w:t>
      </w:r>
      <w:r w:rsidRPr="00CE1333">
        <w:rPr>
          <w:rStyle w:val="StyleUnderline"/>
        </w:rPr>
        <w:t xml:space="preserve">we </w:t>
      </w:r>
      <w:r w:rsidRPr="00CE1333">
        <w:rPr>
          <w:rStyle w:val="Emphasis"/>
        </w:rPr>
        <w:t>group together</w:t>
      </w:r>
      <w:r w:rsidRPr="00CE1333">
        <w:rPr>
          <w:rStyle w:val="StyleUnderline"/>
        </w:rPr>
        <w:t xml:space="preserve"> the contribution of all the other shocks</w:t>
      </w:r>
      <w:r w:rsidRPr="00CE1333">
        <w:rPr>
          <w:sz w:val="16"/>
        </w:rPr>
        <w:t xml:space="preserve">. An inspection of 7, 8 makes it clear that </w:t>
      </w:r>
      <w:r w:rsidRPr="00CE1333">
        <w:rPr>
          <w:rStyle w:val="StyleUnderline"/>
        </w:rPr>
        <w:t xml:space="preserve">the </w:t>
      </w:r>
      <w:r w:rsidRPr="00CE1333">
        <w:rPr>
          <w:rStyle w:val="Emphasis"/>
        </w:rPr>
        <w:t>bulk of variation</w:t>
      </w:r>
      <w:r w:rsidRPr="00CE1333">
        <w:rPr>
          <w:rStyle w:val="StyleUnderline"/>
        </w:rPr>
        <w:t xml:space="preserve"> in both series is due to the disturbances pertaining to the </w:t>
      </w:r>
      <w:r w:rsidRPr="00CE1333">
        <w:rPr>
          <w:rStyle w:val="Emphasis"/>
        </w:rPr>
        <w:t>labour market</w:t>
      </w:r>
      <w:r w:rsidRPr="00CE1333">
        <w:rPr>
          <w:sz w:val="16"/>
        </w:rPr>
        <w:t xml:space="preserve">. In particular, most of the variation in unemployment is due to shocks to matching efficiency (which is in line with the results of Krause et al., 2008a in a closed economy model), while most of the variation in vacancies is due to the vacancy posting cost shock. </w:t>
      </w:r>
      <w:r w:rsidRPr="00CE1333">
        <w:rPr>
          <w:rStyle w:val="StyleUnderline"/>
        </w:rPr>
        <w:t>All the other shocks</w:t>
      </w:r>
      <w:r w:rsidRPr="00CE1333">
        <w:rPr>
          <w:sz w:val="16"/>
        </w:rPr>
        <w:t xml:space="preserve">, foreign, domestic and policy, </w:t>
      </w:r>
      <w:r w:rsidRPr="00CE1333">
        <w:rPr>
          <w:rStyle w:val="Emphasis"/>
        </w:rPr>
        <w:t>play only a marginal role</w:t>
      </w:r>
      <w:r w:rsidRPr="00CE1333">
        <w:rPr>
          <w:rStyle w:val="StyleUnderline"/>
        </w:rPr>
        <w:t xml:space="preserve"> in explaining cyclical variations in these </w:t>
      </w:r>
      <w:r w:rsidRPr="00CE1333">
        <w:rPr>
          <w:rStyle w:val="Emphasis"/>
        </w:rPr>
        <w:t>two key labour market variables</w:t>
      </w:r>
      <w:r w:rsidRPr="00CE1333">
        <w:rPr>
          <w:rStyle w:val="StyleUnderline"/>
        </w:rPr>
        <w:t>.</w:t>
      </w:r>
    </w:p>
    <w:p w14:paraId="260900CA" w14:textId="77777777" w:rsidR="00C84922" w:rsidRDefault="00C84922" w:rsidP="00C84922"/>
    <w:p w14:paraId="42700260" w14:textId="77777777" w:rsidR="00C84922" w:rsidRDefault="00C84922" w:rsidP="00C84922"/>
    <w:p w14:paraId="5E17F12B" w14:textId="77777777" w:rsidR="00C84922" w:rsidRDefault="00C84922" w:rsidP="00C84922">
      <w:pPr>
        <w:pStyle w:val="Heading3"/>
      </w:pPr>
      <w:r>
        <w:t>2AC---AT: Fed Regulations</w:t>
      </w:r>
    </w:p>
    <w:p w14:paraId="578BE5B9" w14:textId="77777777" w:rsidR="00C84922" w:rsidRPr="003403A8" w:rsidRDefault="00C84922" w:rsidP="00C84922">
      <w:pPr>
        <w:pStyle w:val="Heading4"/>
      </w:pPr>
      <w:r>
        <w:t>Split authority overwhelms the Fed’s regulations</w:t>
      </w:r>
    </w:p>
    <w:p w14:paraId="2CF8C1A6" w14:textId="77777777" w:rsidR="00C84922" w:rsidRPr="003403A8" w:rsidRDefault="00C84922" w:rsidP="00C84922">
      <w:r>
        <w:rPr>
          <w:rStyle w:val="Style13ptBold"/>
        </w:rPr>
        <w:t>Worstall</w:t>
      </w:r>
      <w:r w:rsidRPr="003403A8">
        <w:rPr>
          <w:rStyle w:val="Style13ptBold"/>
        </w:rPr>
        <w:t xml:space="preserve"> </w:t>
      </w:r>
      <w:r>
        <w:rPr>
          <w:rStyle w:val="Style13ptBold"/>
        </w:rPr>
        <w:t>14</w:t>
      </w:r>
      <w:r w:rsidRPr="003403A8">
        <w:t xml:space="preserve"> – </w:t>
      </w:r>
      <w:r w:rsidRPr="00DD79E2">
        <w:t>senior fellow at the Adam Smith Institute</w:t>
      </w:r>
    </w:p>
    <w:p w14:paraId="5E29D62B" w14:textId="77777777" w:rsidR="00C84922" w:rsidRDefault="00C84922" w:rsidP="00C84922">
      <w:r>
        <w:t>T</w:t>
      </w:r>
      <w:r w:rsidRPr="00DD79E2">
        <w:t>im Worstall</w:t>
      </w:r>
      <w:r w:rsidRPr="003403A8">
        <w:t>, “</w:t>
      </w:r>
      <w:r w:rsidRPr="00DD79E2">
        <w:t>Inequality Is Not the Fed’s Priority</w:t>
      </w:r>
      <w:r w:rsidRPr="003403A8">
        <w:t xml:space="preserve">,” </w:t>
      </w:r>
      <w:r>
        <w:t>The New York Times</w:t>
      </w:r>
      <w:r w:rsidRPr="003403A8">
        <w:t xml:space="preserve">, </w:t>
      </w:r>
      <w:r>
        <w:t>10-27-14</w:t>
      </w:r>
      <w:r w:rsidRPr="003403A8">
        <w:t xml:space="preserve">, </w:t>
      </w:r>
      <w:r w:rsidRPr="00DD79E2">
        <w:t>https://www.nytimes.com/roomfordebate/2014/10/27/what-could-the-fed-do-to-address-inequality/inequality-is-not-the-feds-priority</w:t>
      </w:r>
    </w:p>
    <w:p w14:paraId="060A19CC" w14:textId="77777777" w:rsidR="00C84922" w:rsidRPr="006A64BA" w:rsidRDefault="00C84922" w:rsidP="00C84922">
      <w:pPr>
        <w:rPr>
          <w:rStyle w:val="Emphasis"/>
        </w:rPr>
      </w:pPr>
      <w:r w:rsidRPr="006A64BA">
        <w:rPr>
          <w:rStyle w:val="StyleUnderline"/>
        </w:rPr>
        <w:t>The Fed does have a regulatory role in banking</w:t>
      </w:r>
      <w:r w:rsidRPr="006A64BA">
        <w:rPr>
          <w:sz w:val="16"/>
        </w:rPr>
        <w:t xml:space="preserve">, so it could at least try to intervene in such areas as small business lending, risky investment and bank involvement in derivatives. </w:t>
      </w:r>
      <w:r w:rsidRPr="006A64BA">
        <w:rPr>
          <w:rStyle w:val="StyleUnderline"/>
        </w:rPr>
        <w:t xml:space="preserve">But </w:t>
      </w:r>
      <w:r w:rsidRPr="006A64BA">
        <w:rPr>
          <w:rStyle w:val="Emphasis"/>
        </w:rPr>
        <w:t>split authority</w:t>
      </w:r>
      <w:r w:rsidRPr="006A64BA">
        <w:rPr>
          <w:sz w:val="16"/>
        </w:rPr>
        <w:t xml:space="preserve"> in this area </w:t>
      </w:r>
      <w:r w:rsidRPr="006A64BA">
        <w:rPr>
          <w:rStyle w:val="StyleUnderline"/>
        </w:rPr>
        <w:t xml:space="preserve">means that could </w:t>
      </w:r>
      <w:r w:rsidRPr="006A64BA">
        <w:rPr>
          <w:rStyle w:val="Emphasis"/>
        </w:rPr>
        <w:t>also fall</w:t>
      </w:r>
      <w:r w:rsidRPr="006A64BA">
        <w:rPr>
          <w:rStyle w:val="StyleUnderline"/>
        </w:rPr>
        <w:t xml:space="preserve">, dependent upon the bank and or the product, under the remit of the C.F.T.C., F.D.I.C., O.C.C. and </w:t>
      </w:r>
      <w:r w:rsidRPr="006A64BA">
        <w:rPr>
          <w:rStyle w:val="Emphasis"/>
        </w:rPr>
        <w:t>numerous other agencies</w:t>
      </w:r>
      <w:r w:rsidRPr="006A64BA">
        <w:rPr>
          <w:rStyle w:val="StyleUnderline"/>
        </w:rPr>
        <w:t xml:space="preserve"> that make up the</w:t>
      </w:r>
      <w:r w:rsidRPr="006A64BA">
        <w:rPr>
          <w:sz w:val="16"/>
        </w:rPr>
        <w:t xml:space="preserve"> alphabet soup of the </w:t>
      </w:r>
      <w:r w:rsidRPr="006A64BA">
        <w:rPr>
          <w:rStyle w:val="StyleUnderline"/>
        </w:rPr>
        <w:t xml:space="preserve">regulatory structure. The Fed's bully pulpit is </w:t>
      </w:r>
      <w:r w:rsidRPr="006A64BA">
        <w:rPr>
          <w:sz w:val="16"/>
        </w:rPr>
        <w:t xml:space="preserve">therefore </w:t>
      </w:r>
      <w:r w:rsidRPr="006A64BA">
        <w:rPr>
          <w:rStyle w:val="StyleUnderline"/>
        </w:rPr>
        <w:t xml:space="preserve">powerful – its </w:t>
      </w:r>
      <w:r w:rsidRPr="006A64BA">
        <w:rPr>
          <w:rStyle w:val="Emphasis"/>
        </w:rPr>
        <w:t>direct regulatory control</w:t>
      </w:r>
      <w:r w:rsidRPr="006A64BA">
        <w:rPr>
          <w:rStyle w:val="StyleUnderline"/>
        </w:rPr>
        <w:t xml:space="preserve"> of the system </w:t>
      </w:r>
      <w:r w:rsidRPr="006A64BA">
        <w:rPr>
          <w:rStyle w:val="Emphasis"/>
        </w:rPr>
        <w:t>less so.</w:t>
      </w:r>
    </w:p>
    <w:p w14:paraId="4C8C6958" w14:textId="77777777" w:rsidR="00C84922" w:rsidRDefault="00C84922" w:rsidP="00C84922"/>
    <w:p w14:paraId="41B244B0" w14:textId="77777777" w:rsidR="00C84922" w:rsidRPr="006A64BA" w:rsidRDefault="00C84922" w:rsidP="00C84922"/>
    <w:p w14:paraId="6F01E71B" w14:textId="77777777" w:rsidR="00C84922" w:rsidRDefault="00C84922" w:rsidP="00C84922">
      <w:pPr>
        <w:pStyle w:val="Heading3"/>
      </w:pPr>
      <w:r>
        <w:t>2AC---AT: Rates Affect Housing Prices</w:t>
      </w:r>
    </w:p>
    <w:p w14:paraId="370BE87A" w14:textId="77777777" w:rsidR="00C84922" w:rsidRPr="003403A8" w:rsidRDefault="00C84922" w:rsidP="00C84922">
      <w:pPr>
        <w:pStyle w:val="Heading4"/>
      </w:pPr>
      <w:r>
        <w:t>Inequality effects on housing prices are only temporary</w:t>
      </w:r>
    </w:p>
    <w:p w14:paraId="5EE258ED" w14:textId="77777777" w:rsidR="00C84922" w:rsidRPr="003403A8" w:rsidRDefault="00C84922" w:rsidP="00C84922">
      <w:r>
        <w:rPr>
          <w:rStyle w:val="Style13ptBold"/>
        </w:rPr>
        <w:t>He and Cava</w:t>
      </w:r>
      <w:r w:rsidRPr="003403A8">
        <w:rPr>
          <w:rStyle w:val="Style13ptBold"/>
        </w:rPr>
        <w:t xml:space="preserve"> </w:t>
      </w:r>
      <w:r>
        <w:rPr>
          <w:rStyle w:val="Style13ptBold"/>
        </w:rPr>
        <w:t>2</w:t>
      </w:r>
      <w:r w:rsidRPr="003403A8">
        <w:rPr>
          <w:rStyle w:val="Style13ptBold"/>
        </w:rPr>
        <w:t>0</w:t>
      </w:r>
      <w:r w:rsidRPr="003403A8">
        <w:t xml:space="preserve"> – </w:t>
      </w:r>
      <w:r w:rsidRPr="00C570B0">
        <w:t>research economist</w:t>
      </w:r>
      <w:r>
        <w:t xml:space="preserve"> at the Reserve Bank of Australia, </w:t>
      </w:r>
      <w:r w:rsidRPr="0023306B">
        <w:t>Bachelor of Economics and Commerce a</w:t>
      </w:r>
      <w:r>
        <w:t xml:space="preserve">t University of New South Wales; lead of the </w:t>
      </w:r>
      <w:r w:rsidRPr="0023306B">
        <w:t>Micro Analysis and Data</w:t>
      </w:r>
      <w:r>
        <w:t xml:space="preserve"> research team at the Reserve Bank of Australia, </w:t>
      </w:r>
      <w:r w:rsidRPr="0023306B">
        <w:t>PhD in Economics from the London School of Economics</w:t>
      </w:r>
    </w:p>
    <w:p w14:paraId="2C7A5650" w14:textId="77777777" w:rsidR="00C84922" w:rsidRDefault="00C84922" w:rsidP="00C84922">
      <w:r w:rsidRPr="00C570B0">
        <w:t>Calvin He and Gianni La Cava</w:t>
      </w:r>
      <w:r w:rsidRPr="003403A8">
        <w:t>, “</w:t>
      </w:r>
      <w:r w:rsidRPr="00C570B0">
        <w:t>The Distributional Effects of Monetary Policy: Evidence from Local Housing Markets</w:t>
      </w:r>
      <w:r w:rsidRPr="003403A8">
        <w:t xml:space="preserve">,” </w:t>
      </w:r>
      <w:r w:rsidRPr="00C570B0">
        <w:t>Research Discussion Paper</w:t>
      </w:r>
      <w:r>
        <w:t>, Reserve Bank of Australia</w:t>
      </w:r>
      <w:r w:rsidRPr="003403A8">
        <w:t xml:space="preserve">, </w:t>
      </w:r>
      <w:r w:rsidRPr="00C570B0">
        <w:t>February 2020</w:t>
      </w:r>
      <w:r w:rsidRPr="003403A8">
        <w:t xml:space="preserve">, </w:t>
      </w:r>
      <w:r w:rsidRPr="00C570B0">
        <w:t>https://www.rba.gov.au/publications/rdp/2020/2020-02.html</w:t>
      </w:r>
    </w:p>
    <w:p w14:paraId="6C4E0936" w14:textId="77777777" w:rsidR="00C84922" w:rsidRPr="00787E2E" w:rsidRDefault="00C84922" w:rsidP="00C84922">
      <w:pPr>
        <w:rPr>
          <w:sz w:val="16"/>
        </w:rPr>
      </w:pPr>
      <w:r w:rsidRPr="00787E2E">
        <w:rPr>
          <w:rStyle w:val="StyleUnderline"/>
        </w:rPr>
        <w:t xml:space="preserve">The </w:t>
      </w:r>
      <w:r w:rsidRPr="00787E2E">
        <w:rPr>
          <w:rStyle w:val="Emphasis"/>
        </w:rPr>
        <w:t>differential effects</w:t>
      </w:r>
      <w:r w:rsidRPr="00787E2E">
        <w:rPr>
          <w:rStyle w:val="StyleUnderline"/>
        </w:rPr>
        <w:t xml:space="preserve"> of </w:t>
      </w:r>
      <w:r w:rsidRPr="00787E2E">
        <w:rPr>
          <w:rStyle w:val="Emphasis"/>
        </w:rPr>
        <w:t>monetary policy changes</w:t>
      </w:r>
      <w:r w:rsidRPr="00787E2E">
        <w:rPr>
          <w:rStyle w:val="StyleUnderline"/>
        </w:rPr>
        <w:t xml:space="preserve"> on </w:t>
      </w:r>
      <w:r w:rsidRPr="00787E2E">
        <w:rPr>
          <w:rStyle w:val="Emphasis"/>
        </w:rPr>
        <w:t>housing prices</w:t>
      </w:r>
      <w:r w:rsidRPr="00787E2E">
        <w:rPr>
          <w:rStyle w:val="StyleUnderline"/>
        </w:rPr>
        <w:t xml:space="preserve"> appear to be </w:t>
      </w:r>
      <w:r w:rsidRPr="00787E2E">
        <w:rPr>
          <w:rStyle w:val="Emphasis"/>
        </w:rPr>
        <w:t>temporary</w:t>
      </w:r>
      <w:r w:rsidRPr="00787E2E">
        <w:rPr>
          <w:rStyle w:val="StyleUnderline"/>
        </w:rPr>
        <w:t xml:space="preserve">. The differences across all price deciles becomes </w:t>
      </w:r>
      <w:r w:rsidRPr="00787E2E">
        <w:rPr>
          <w:rStyle w:val="Emphasis"/>
        </w:rPr>
        <w:t>statistically insignificant</w:t>
      </w:r>
      <w:r w:rsidRPr="00787E2E">
        <w:rPr>
          <w:rStyle w:val="StyleUnderline"/>
        </w:rPr>
        <w:t xml:space="preserve"> beyond </w:t>
      </w:r>
      <w:r w:rsidRPr="00787E2E">
        <w:rPr>
          <w:rStyle w:val="Emphasis"/>
        </w:rPr>
        <w:t>two years</w:t>
      </w:r>
      <w:r w:rsidRPr="00787E2E">
        <w:rPr>
          <w:rStyle w:val="StyleUnderline"/>
        </w:rPr>
        <w:t>.</w:t>
      </w:r>
      <w:r w:rsidRPr="00787E2E">
        <w:rPr>
          <w:sz w:val="16"/>
        </w:rPr>
        <w:t xml:space="preserve"> These </w:t>
      </w:r>
      <w:r w:rsidRPr="00787E2E">
        <w:rPr>
          <w:rStyle w:val="StyleUnderline"/>
        </w:rPr>
        <w:t>spatial deviations in prices are indicative of housing market frictions</w:t>
      </w:r>
      <w:r w:rsidRPr="00787E2E">
        <w:rPr>
          <w:sz w:val="16"/>
        </w:rPr>
        <w:t xml:space="preserve">, as price differentials should not be observed in efficient markets. These frictions could reflect transaction costs, home bias of buyers or asymmetric information. However, </w:t>
      </w:r>
      <w:r w:rsidRPr="00787E2E">
        <w:rPr>
          <w:rStyle w:val="StyleUnderline"/>
        </w:rPr>
        <w:t xml:space="preserve">the </w:t>
      </w:r>
      <w:r w:rsidRPr="00787E2E">
        <w:rPr>
          <w:rStyle w:val="Emphasis"/>
        </w:rPr>
        <w:t>temporary nature</w:t>
      </w:r>
      <w:r w:rsidRPr="00787E2E">
        <w:rPr>
          <w:rStyle w:val="StyleUnderline"/>
        </w:rPr>
        <w:t xml:space="preserve"> of the price differentials suggest that the frictions </w:t>
      </w:r>
      <w:r w:rsidRPr="00787E2E">
        <w:rPr>
          <w:rStyle w:val="Emphasis"/>
        </w:rPr>
        <w:t>dissipate over time</w:t>
      </w:r>
      <w:r w:rsidRPr="00787E2E">
        <w:rPr>
          <w:sz w:val="16"/>
        </w:rPr>
        <w:t>.22</w:t>
      </w:r>
    </w:p>
    <w:p w14:paraId="08C447C5" w14:textId="77777777" w:rsidR="00C84922" w:rsidRPr="00787E2E" w:rsidRDefault="00C84922" w:rsidP="00C84922"/>
    <w:p w14:paraId="6D01FA73" w14:textId="77777777" w:rsidR="00C84922" w:rsidRDefault="00C84922" w:rsidP="00C84922">
      <w:pPr>
        <w:pStyle w:val="Heading3"/>
      </w:pPr>
      <w:r>
        <w:t>2AC---AT: High Rates Good</w:t>
      </w:r>
    </w:p>
    <w:p w14:paraId="7FF1FC38" w14:textId="77777777" w:rsidR="00C84922" w:rsidRPr="003403A8" w:rsidRDefault="00C84922" w:rsidP="00C84922">
      <w:pPr>
        <w:pStyle w:val="Heading4"/>
      </w:pPr>
      <w:r>
        <w:t>Raising interest rates also increases inequality</w:t>
      </w:r>
    </w:p>
    <w:p w14:paraId="0165E6A9" w14:textId="77777777" w:rsidR="00C84922" w:rsidRPr="003403A8" w:rsidRDefault="00C84922" w:rsidP="00C84922">
      <w:r>
        <w:rPr>
          <w:rStyle w:val="Style13ptBold"/>
        </w:rPr>
        <w:t>Montecino and Epstein</w:t>
      </w:r>
      <w:r w:rsidRPr="003403A8">
        <w:rPr>
          <w:rStyle w:val="Style13ptBold"/>
        </w:rPr>
        <w:t xml:space="preserve"> </w:t>
      </w:r>
      <w:r>
        <w:rPr>
          <w:rStyle w:val="Style13ptBold"/>
        </w:rPr>
        <w:t>17</w:t>
      </w:r>
      <w:r w:rsidRPr="003403A8">
        <w:t xml:space="preserve"> – </w:t>
      </w:r>
      <w:r w:rsidRPr="000948F0">
        <w:t>Department of Economics, UMass Amherst</w:t>
      </w:r>
      <w:r>
        <w:t xml:space="preserve">; </w:t>
      </w:r>
      <w:r w:rsidRPr="000948F0">
        <w:t>Department of Economics and Political Economy Research Institute (PERI), UMass Amherst</w:t>
      </w:r>
    </w:p>
    <w:p w14:paraId="3D4E8DAD" w14:textId="77777777" w:rsidR="00C84922" w:rsidRDefault="00C84922" w:rsidP="00C84922">
      <w:r w:rsidRPr="000948F0">
        <w:t>Juan Antonio Montecino</w:t>
      </w:r>
      <w:r>
        <w:t xml:space="preserve"> and </w:t>
      </w:r>
      <w:r w:rsidRPr="000948F0">
        <w:t>Gerald Epstein</w:t>
      </w:r>
      <w:r w:rsidRPr="003403A8">
        <w:t>, “</w:t>
      </w:r>
      <w:r w:rsidRPr="000948F0">
        <w:t>Did Quantitative Easing Increase Income Inequality?</w:t>
      </w:r>
      <w:r w:rsidRPr="003403A8">
        <w:t xml:space="preserve">” Publisher, </w:t>
      </w:r>
      <w:r>
        <w:t>4-24-17</w:t>
      </w:r>
      <w:r w:rsidRPr="003403A8">
        <w:t xml:space="preserve">, </w:t>
      </w:r>
      <w:r w:rsidRPr="000948F0">
        <w:t>https://www.cepweb.org/wp-content/uploads/2017/11/Montecino-paper.pdf</w:t>
      </w:r>
    </w:p>
    <w:p w14:paraId="099E0D1B" w14:textId="77777777" w:rsidR="00C84922" w:rsidRPr="000948F0" w:rsidRDefault="00C84922" w:rsidP="00C84922">
      <w:pPr>
        <w:rPr>
          <w:sz w:val="16"/>
        </w:rPr>
      </w:pPr>
      <w:r w:rsidRPr="000948F0">
        <w:rPr>
          <w:sz w:val="16"/>
        </w:rPr>
        <w:t xml:space="preserve">Finally, </w:t>
      </w:r>
      <w:r w:rsidRPr="000948F0">
        <w:rPr>
          <w:rStyle w:val="StyleUnderline"/>
        </w:rPr>
        <w:t>while our results</w:t>
      </w:r>
      <w:r w:rsidRPr="000948F0">
        <w:rPr>
          <w:sz w:val="16"/>
        </w:rPr>
        <w:t xml:space="preserve"> tend to </w:t>
      </w:r>
      <w:r w:rsidRPr="000948F0">
        <w:rPr>
          <w:rStyle w:val="StyleUnderline"/>
        </w:rPr>
        <w:t>support</w:t>
      </w:r>
      <w:r w:rsidRPr="000948F0">
        <w:rPr>
          <w:sz w:val="16"/>
        </w:rPr>
        <w:t xml:space="preserve"> the </w:t>
      </w:r>
      <w:r w:rsidRPr="000948F0">
        <w:rPr>
          <w:rStyle w:val="StyleUnderline"/>
        </w:rPr>
        <w:t xml:space="preserve">critics who argue that QE </w:t>
      </w:r>
      <w:r w:rsidRPr="000948F0">
        <w:rPr>
          <w:rStyle w:val="Emphasis"/>
        </w:rPr>
        <w:t>did increase inequality</w:t>
      </w:r>
      <w:r w:rsidRPr="000948F0">
        <w:rPr>
          <w:rStyle w:val="StyleUnderline"/>
        </w:rPr>
        <w:t xml:space="preserve">, there is </w:t>
      </w:r>
      <w:r w:rsidRPr="000948F0">
        <w:rPr>
          <w:rStyle w:val="Emphasis"/>
        </w:rPr>
        <w:t>nothing</w:t>
      </w:r>
      <w:r w:rsidRPr="000948F0">
        <w:rPr>
          <w:sz w:val="16"/>
        </w:rPr>
        <w:t xml:space="preserve"> in our analysis </w:t>
      </w:r>
      <w:r w:rsidRPr="000948F0">
        <w:rPr>
          <w:rStyle w:val="StyleUnderline"/>
        </w:rPr>
        <w:t xml:space="preserve">which supports those who argue that </w:t>
      </w:r>
      <w:r w:rsidRPr="000948F0">
        <w:rPr>
          <w:rStyle w:val="Emphasis"/>
        </w:rPr>
        <w:t>raising interest rates</w:t>
      </w:r>
      <w:r w:rsidRPr="000948F0">
        <w:rPr>
          <w:rStyle w:val="StyleUnderline"/>
        </w:rPr>
        <w:t xml:space="preserve"> will have a</w:t>
      </w:r>
      <w:r w:rsidRPr="000948F0">
        <w:rPr>
          <w:sz w:val="16"/>
        </w:rPr>
        <w:t xml:space="preserve"> desirable, </w:t>
      </w:r>
      <w:r w:rsidRPr="000948F0">
        <w:rPr>
          <w:rStyle w:val="Emphasis"/>
        </w:rPr>
        <w:t>equalizing impact</w:t>
      </w:r>
      <w:r w:rsidRPr="000948F0">
        <w:rPr>
          <w:rStyle w:val="StyleUnderline"/>
        </w:rPr>
        <w:t xml:space="preserve">. Tighter monetary policy would likely </w:t>
      </w:r>
      <w:r w:rsidRPr="000948F0">
        <w:rPr>
          <w:rStyle w:val="Emphasis"/>
        </w:rPr>
        <w:t>reduce employment growth</w:t>
      </w:r>
      <w:r w:rsidRPr="000948F0">
        <w:rPr>
          <w:rStyle w:val="StyleUnderline"/>
        </w:rPr>
        <w:t xml:space="preserve">, and make mortgage refinancing </w:t>
      </w:r>
      <w:r w:rsidRPr="000948F0">
        <w:rPr>
          <w:rStyle w:val="Emphasis"/>
        </w:rPr>
        <w:t>more expensive</w:t>
      </w:r>
      <w:r w:rsidRPr="000948F0">
        <w:rPr>
          <w:rStyle w:val="StyleUnderline"/>
        </w:rPr>
        <w:t>. While it might reduce asset price growth</w:t>
      </w:r>
      <w:r w:rsidRPr="000948F0">
        <w:rPr>
          <w:sz w:val="16"/>
        </w:rPr>
        <w:t xml:space="preserve"> and raise returns on short term assets, </w:t>
      </w:r>
      <w:r w:rsidRPr="000948F0">
        <w:rPr>
          <w:rStyle w:val="StyleUnderline"/>
        </w:rPr>
        <w:t xml:space="preserve">the </w:t>
      </w:r>
      <w:r w:rsidRPr="000948F0">
        <w:rPr>
          <w:rStyle w:val="Emphasis"/>
        </w:rPr>
        <w:t>employment</w:t>
      </w:r>
      <w:r w:rsidRPr="000948F0">
        <w:rPr>
          <w:rStyle w:val="StyleUnderline"/>
        </w:rPr>
        <w:t xml:space="preserve"> and </w:t>
      </w:r>
      <w:r w:rsidRPr="000948F0">
        <w:rPr>
          <w:rStyle w:val="Emphasis"/>
        </w:rPr>
        <w:t>refinancing impacts</w:t>
      </w:r>
      <w:r w:rsidRPr="000948F0">
        <w:rPr>
          <w:rStyle w:val="StyleUnderline"/>
        </w:rPr>
        <w:t xml:space="preserve"> are likely to be </w:t>
      </w:r>
      <w:r w:rsidRPr="000948F0">
        <w:rPr>
          <w:rStyle w:val="Emphasis"/>
        </w:rPr>
        <w:t>dominant</w:t>
      </w:r>
      <w:r w:rsidRPr="000948F0">
        <w:rPr>
          <w:sz w:val="16"/>
        </w:rPr>
        <w:t xml:space="preserve"> as earlier work on monetary policy and income distribution has demonstrated (e.g. Coibion et al., 2012).</w:t>
      </w:r>
    </w:p>
    <w:p w14:paraId="0F6968ED" w14:textId="77777777" w:rsidR="00C84922" w:rsidRPr="000948F0" w:rsidRDefault="00C84922" w:rsidP="00C84922"/>
    <w:p w14:paraId="59EB14B4" w14:textId="77777777" w:rsidR="00C84922" w:rsidRDefault="00C84922" w:rsidP="00C84922">
      <w:pPr>
        <w:pStyle w:val="Heading2"/>
      </w:pPr>
      <w:r>
        <w:t>Offense</w:t>
      </w:r>
    </w:p>
    <w:p w14:paraId="2A86179B" w14:textId="77777777" w:rsidR="00C84922" w:rsidRDefault="00C84922" w:rsidP="00C84922">
      <w:pPr>
        <w:pStyle w:val="Heading3"/>
      </w:pPr>
      <w:r>
        <w:t>2AC---Stability Trade-Off</w:t>
      </w:r>
    </w:p>
    <w:p w14:paraId="75446375" w14:textId="77777777" w:rsidR="00C84922" w:rsidRPr="003403A8" w:rsidRDefault="00C84922" w:rsidP="00C84922">
      <w:pPr>
        <w:pStyle w:val="Heading4"/>
      </w:pPr>
      <w:r>
        <w:t>The counterplan ruins the flexibility and effectiveness of monetary policy---ensures economic instability and turns inequality</w:t>
      </w:r>
    </w:p>
    <w:p w14:paraId="5BA86AA6" w14:textId="77777777" w:rsidR="00C84922" w:rsidRPr="003403A8" w:rsidRDefault="00C84922" w:rsidP="00C84922">
      <w:r>
        <w:rPr>
          <w:rStyle w:val="Style13ptBold"/>
        </w:rPr>
        <w:t>BIS</w:t>
      </w:r>
      <w:r w:rsidRPr="003403A8">
        <w:rPr>
          <w:rStyle w:val="Style13ptBold"/>
        </w:rPr>
        <w:t xml:space="preserve"> </w:t>
      </w:r>
      <w:r>
        <w:rPr>
          <w:rStyle w:val="Style13ptBold"/>
        </w:rPr>
        <w:t>21</w:t>
      </w:r>
      <w:r w:rsidRPr="003403A8">
        <w:t xml:space="preserve"> – </w:t>
      </w:r>
      <w:r w:rsidRPr="0098106F">
        <w:t>Bank for International Settlements</w:t>
      </w:r>
    </w:p>
    <w:p w14:paraId="671058EA" w14:textId="77777777" w:rsidR="00C84922" w:rsidRDefault="00C84922" w:rsidP="00C84922">
      <w:r w:rsidRPr="003403A8">
        <w:t>“</w:t>
      </w:r>
      <w:r>
        <w:t xml:space="preserve">2021 </w:t>
      </w:r>
      <w:r w:rsidRPr="0098106F">
        <w:t>Annual Economic</w:t>
      </w:r>
      <w:r>
        <w:t xml:space="preserve"> Report</w:t>
      </w:r>
      <w:r w:rsidRPr="003403A8">
        <w:t xml:space="preserve">,” </w:t>
      </w:r>
      <w:r w:rsidRPr="0098106F">
        <w:t>Bank for International Settlements</w:t>
      </w:r>
      <w:r w:rsidRPr="003403A8">
        <w:t xml:space="preserve">, </w:t>
      </w:r>
      <w:r>
        <w:t>June 2021</w:t>
      </w:r>
      <w:r w:rsidRPr="003403A8">
        <w:t>,</w:t>
      </w:r>
      <w:r>
        <w:t xml:space="preserve"> </w:t>
      </w:r>
      <w:r w:rsidRPr="0098106F">
        <w:t>https://www.bis.org/publ/arpdf/ar2021e.pdf</w:t>
      </w:r>
    </w:p>
    <w:p w14:paraId="792FF773" w14:textId="77777777" w:rsidR="00C84922" w:rsidRPr="00966BD1" w:rsidRDefault="00C84922" w:rsidP="00C84922">
      <w:pPr>
        <w:rPr>
          <w:sz w:val="16"/>
        </w:rPr>
      </w:pPr>
      <w:r w:rsidRPr="00966BD1">
        <w:rPr>
          <w:sz w:val="16"/>
        </w:rPr>
        <w:t>Beyond monetary policy</w:t>
      </w:r>
    </w:p>
    <w:p w14:paraId="4034ECF1" w14:textId="77777777" w:rsidR="00C84922" w:rsidRPr="00966BD1" w:rsidRDefault="00C84922" w:rsidP="00C84922">
      <w:pPr>
        <w:rPr>
          <w:rStyle w:val="Emphasis"/>
        </w:rPr>
      </w:pPr>
      <w:r w:rsidRPr="00966BD1">
        <w:rPr>
          <w:sz w:val="16"/>
        </w:rPr>
        <w:t xml:space="preserve">The previous analysis indicates that </w:t>
      </w:r>
      <w:r w:rsidRPr="00966BD1">
        <w:rPr>
          <w:rStyle w:val="StyleUnderline"/>
        </w:rPr>
        <w:t xml:space="preserve">the </w:t>
      </w:r>
      <w:r w:rsidRPr="00966BD1">
        <w:rPr>
          <w:rStyle w:val="Emphasis"/>
        </w:rPr>
        <w:t>best contribution</w:t>
      </w:r>
      <w:r w:rsidRPr="00966BD1">
        <w:rPr>
          <w:rStyle w:val="StyleUnderline"/>
        </w:rPr>
        <w:t xml:space="preserve"> monetary policy can make to a</w:t>
      </w:r>
      <w:r w:rsidRPr="00966BD1">
        <w:rPr>
          <w:sz w:val="16"/>
        </w:rPr>
        <w:t xml:space="preserve"> more </w:t>
      </w:r>
      <w:r w:rsidRPr="00966BD1">
        <w:rPr>
          <w:rStyle w:val="StyleUnderline"/>
        </w:rPr>
        <w:t>equitable distribution of income and wealth is to</w:t>
      </w:r>
      <w:r w:rsidRPr="00966BD1">
        <w:rPr>
          <w:sz w:val="16"/>
        </w:rPr>
        <w:t xml:space="preserve"> deliver on its mandate – seeking to </w:t>
      </w:r>
      <w:r w:rsidRPr="00966BD1">
        <w:rPr>
          <w:rStyle w:val="Emphasis"/>
        </w:rPr>
        <w:t>ensure macroeconomic stability</w:t>
      </w:r>
      <w:r w:rsidRPr="00966BD1">
        <w:rPr>
          <w:rStyle w:val="StyleUnderline"/>
        </w:rPr>
        <w:t xml:space="preserve">, for which </w:t>
      </w:r>
      <w:r w:rsidRPr="00966BD1">
        <w:rPr>
          <w:rStyle w:val="Emphasis"/>
        </w:rPr>
        <w:t>price</w:t>
      </w:r>
      <w:r w:rsidRPr="00966BD1">
        <w:rPr>
          <w:rStyle w:val="StyleUnderline"/>
        </w:rPr>
        <w:t xml:space="preserve"> </w:t>
      </w:r>
      <w:r w:rsidRPr="00966BD1">
        <w:rPr>
          <w:rStyle w:val="Emphasis"/>
        </w:rPr>
        <w:t>and</w:t>
      </w:r>
      <w:r w:rsidRPr="00966BD1">
        <w:rPr>
          <w:rStyle w:val="StyleUnderline"/>
        </w:rPr>
        <w:t xml:space="preserve"> </w:t>
      </w:r>
      <w:r w:rsidRPr="00966BD1">
        <w:rPr>
          <w:rStyle w:val="Emphasis"/>
        </w:rPr>
        <w:t>financial stability</w:t>
      </w:r>
      <w:r w:rsidRPr="00966BD1">
        <w:rPr>
          <w:rStyle w:val="StyleUnderline"/>
        </w:rPr>
        <w:t xml:space="preserve"> are </w:t>
      </w:r>
      <w:r w:rsidRPr="00966BD1">
        <w:rPr>
          <w:rStyle w:val="Emphasis"/>
        </w:rPr>
        <w:t>prerequisites</w:t>
      </w:r>
      <w:r w:rsidRPr="00966BD1">
        <w:rPr>
          <w:sz w:val="16"/>
        </w:rPr>
        <w:t xml:space="preserve">. By keeping the economy on an even keel, central banks facilitate sustainable growth. </w:t>
      </w:r>
      <w:r w:rsidRPr="00966BD1">
        <w:rPr>
          <w:rStyle w:val="StyleUnderline"/>
        </w:rPr>
        <w:t xml:space="preserve">The benefits of doing so are </w:t>
      </w:r>
      <w:r w:rsidRPr="00966BD1">
        <w:rPr>
          <w:rStyle w:val="Emphasis"/>
        </w:rPr>
        <w:t>first-order.</w:t>
      </w:r>
    </w:p>
    <w:p w14:paraId="49729E43" w14:textId="77777777" w:rsidR="00C84922" w:rsidRPr="00966BD1" w:rsidRDefault="00C84922" w:rsidP="00C84922">
      <w:pPr>
        <w:rPr>
          <w:rStyle w:val="StyleUnderline"/>
        </w:rPr>
      </w:pPr>
      <w:r w:rsidRPr="00966BD1">
        <w:rPr>
          <w:rStyle w:val="StyleUnderline"/>
        </w:rPr>
        <w:t xml:space="preserve">It would be </w:t>
      </w:r>
      <w:r w:rsidRPr="00966BD1">
        <w:rPr>
          <w:rStyle w:val="Emphasis"/>
        </w:rPr>
        <w:t>unrealistic</w:t>
      </w:r>
      <w:r w:rsidRPr="00966BD1">
        <w:rPr>
          <w:rStyle w:val="StyleUnderline"/>
        </w:rPr>
        <w:t xml:space="preserve">, and indeed </w:t>
      </w:r>
      <w:r w:rsidRPr="00966BD1">
        <w:rPr>
          <w:rStyle w:val="Emphasis"/>
        </w:rPr>
        <w:t>counterproductive</w:t>
      </w:r>
      <w:r w:rsidRPr="00966BD1">
        <w:rPr>
          <w:rStyle w:val="StyleUnderline"/>
        </w:rPr>
        <w:t xml:space="preserve">, to gear monetary policy more </w:t>
      </w:r>
      <w:r w:rsidRPr="00966BD1">
        <w:rPr>
          <w:rStyle w:val="Emphasis"/>
        </w:rPr>
        <w:t>squarely</w:t>
      </w:r>
      <w:r w:rsidRPr="00966BD1">
        <w:rPr>
          <w:rStyle w:val="StyleUnderline"/>
        </w:rPr>
        <w:t xml:space="preserve"> towards </w:t>
      </w:r>
      <w:r w:rsidRPr="00966BD1">
        <w:rPr>
          <w:rStyle w:val="Emphasis"/>
        </w:rPr>
        <w:t>tackling inequality</w:t>
      </w:r>
      <w:r w:rsidRPr="00966BD1">
        <w:rPr>
          <w:rStyle w:val="StyleUnderline"/>
        </w:rPr>
        <w:t xml:space="preserve">. Monetary tools, by their very nature, act primarily on cyclical developments. That is why they are </w:t>
      </w:r>
      <w:r w:rsidRPr="00966BD1">
        <w:rPr>
          <w:rStyle w:val="Emphasis"/>
        </w:rPr>
        <w:t>well suited</w:t>
      </w:r>
      <w:r w:rsidRPr="00966BD1">
        <w:rPr>
          <w:rStyle w:val="StyleUnderline"/>
        </w:rPr>
        <w:t xml:space="preserve"> to achieving</w:t>
      </w:r>
      <w:r w:rsidRPr="00966BD1">
        <w:rPr>
          <w:sz w:val="16"/>
        </w:rPr>
        <w:t xml:space="preserve"> macroeconomic </w:t>
      </w:r>
      <w:r w:rsidRPr="00966BD1">
        <w:rPr>
          <w:rStyle w:val="StyleUnderline"/>
        </w:rPr>
        <w:t>stabilisation</w:t>
      </w:r>
      <w:r w:rsidRPr="00966BD1">
        <w:rPr>
          <w:sz w:val="16"/>
        </w:rPr>
        <w:t xml:space="preserve"> objectives. </w:t>
      </w:r>
      <w:r w:rsidRPr="00966BD1">
        <w:rPr>
          <w:rStyle w:val="Emphasis"/>
        </w:rPr>
        <w:t>By contrast</w:t>
      </w:r>
      <w:r w:rsidRPr="00966BD1">
        <w:rPr>
          <w:rStyle w:val="StyleUnderline"/>
        </w:rPr>
        <w:t xml:space="preserve">, a meaningful impact on </w:t>
      </w:r>
      <w:r w:rsidRPr="00966BD1">
        <w:rPr>
          <w:rStyle w:val="Emphasis"/>
        </w:rPr>
        <w:t>slowmoving inequality trends</w:t>
      </w:r>
      <w:r w:rsidRPr="00966BD1">
        <w:rPr>
          <w:rStyle w:val="StyleUnderline"/>
        </w:rPr>
        <w:t xml:space="preserve"> would </w:t>
      </w:r>
      <w:r w:rsidRPr="00966BD1">
        <w:rPr>
          <w:rStyle w:val="Emphasis"/>
        </w:rPr>
        <w:t>entail sustained application</w:t>
      </w:r>
      <w:r w:rsidRPr="00966BD1">
        <w:rPr>
          <w:sz w:val="16"/>
        </w:rPr>
        <w:t xml:space="preserve"> of the tools in particular ways. </w:t>
      </w:r>
      <w:r w:rsidRPr="00966BD1">
        <w:rPr>
          <w:rStyle w:val="StyleUnderline"/>
        </w:rPr>
        <w:t xml:space="preserve">This would </w:t>
      </w:r>
      <w:r w:rsidRPr="00966BD1">
        <w:rPr>
          <w:rStyle w:val="Emphasis"/>
        </w:rPr>
        <w:t>curtail the flexibility</w:t>
      </w:r>
      <w:r w:rsidRPr="00966BD1">
        <w:rPr>
          <w:rStyle w:val="StyleUnderline"/>
        </w:rPr>
        <w:t xml:space="preserve"> of monetary policy to </w:t>
      </w:r>
      <w:r w:rsidRPr="00966BD1">
        <w:rPr>
          <w:rStyle w:val="Emphasis"/>
        </w:rPr>
        <w:t>stabilise the economy</w:t>
      </w:r>
      <w:r w:rsidRPr="00966BD1">
        <w:rPr>
          <w:sz w:val="16"/>
        </w:rPr>
        <w:t xml:space="preserve">, potentially </w:t>
      </w:r>
      <w:r w:rsidRPr="00966BD1">
        <w:rPr>
          <w:rStyle w:val="Emphasis"/>
        </w:rPr>
        <w:t>undermining the effectiveness</w:t>
      </w:r>
      <w:r w:rsidRPr="00966BD1">
        <w:rPr>
          <w:rStyle w:val="StyleUnderline"/>
        </w:rPr>
        <w:t xml:space="preserve"> of the monetary regime itself. This would be </w:t>
      </w:r>
      <w:r w:rsidRPr="00966BD1">
        <w:rPr>
          <w:rStyle w:val="Emphasis"/>
        </w:rPr>
        <w:t>very costly</w:t>
      </w:r>
      <w:r w:rsidRPr="00966BD1">
        <w:rPr>
          <w:sz w:val="16"/>
        </w:rPr>
        <w:t xml:space="preserve">, not least </w:t>
      </w:r>
      <w:r w:rsidRPr="00966BD1">
        <w:rPr>
          <w:rStyle w:val="StyleUnderline"/>
        </w:rPr>
        <w:t>because</w:t>
      </w:r>
      <w:r w:rsidRPr="00966BD1">
        <w:rPr>
          <w:sz w:val="16"/>
        </w:rPr>
        <w:t xml:space="preserve"> the </w:t>
      </w:r>
      <w:r w:rsidRPr="00966BD1">
        <w:rPr>
          <w:rStyle w:val="Emphasis"/>
        </w:rPr>
        <w:t>macroeconomic stability</w:t>
      </w:r>
      <w:r w:rsidRPr="00966BD1">
        <w:rPr>
          <w:sz w:val="16"/>
        </w:rPr>
        <w:t xml:space="preserve"> that those regimes can deliver </w:t>
      </w:r>
      <w:r w:rsidRPr="00966BD1">
        <w:rPr>
          <w:rStyle w:val="StyleUnderline"/>
        </w:rPr>
        <w:t xml:space="preserve">is </w:t>
      </w:r>
      <w:r w:rsidRPr="00966BD1">
        <w:rPr>
          <w:rStyle w:val="Emphasis"/>
        </w:rPr>
        <w:t>precisely</w:t>
      </w:r>
      <w:r w:rsidRPr="00966BD1">
        <w:rPr>
          <w:rStyle w:val="StyleUnderline"/>
        </w:rPr>
        <w:t xml:space="preserve"> what is </w:t>
      </w:r>
      <w:r w:rsidRPr="00966BD1">
        <w:rPr>
          <w:rStyle w:val="Emphasis"/>
        </w:rPr>
        <w:t>most conducive</w:t>
      </w:r>
      <w:r w:rsidRPr="00966BD1">
        <w:rPr>
          <w:rStyle w:val="StyleUnderline"/>
        </w:rPr>
        <w:t xml:space="preserve"> to equitable income and wealth distributions.</w:t>
      </w:r>
    </w:p>
    <w:p w14:paraId="4D2E3978" w14:textId="77777777" w:rsidR="00C84922" w:rsidRPr="00966BD1" w:rsidRDefault="00C84922" w:rsidP="00C84922">
      <w:pPr>
        <w:rPr>
          <w:sz w:val="16"/>
        </w:rPr>
      </w:pPr>
      <w:r w:rsidRPr="00966BD1">
        <w:rPr>
          <w:rStyle w:val="StyleUnderline"/>
        </w:rPr>
        <w:t xml:space="preserve">With monetary policy playing a supportive role, </w:t>
      </w:r>
      <w:r w:rsidRPr="00966BD1">
        <w:rPr>
          <w:rStyle w:val="Emphasis"/>
        </w:rPr>
        <w:t>other policies are</w:t>
      </w:r>
      <w:r w:rsidRPr="00966BD1">
        <w:rPr>
          <w:rStyle w:val="StyleUnderline"/>
        </w:rPr>
        <w:t xml:space="preserve">, therefore, </w:t>
      </w:r>
      <w:r w:rsidRPr="00966BD1">
        <w:rPr>
          <w:rStyle w:val="Emphasis"/>
        </w:rPr>
        <w:t>critical</w:t>
      </w:r>
      <w:r w:rsidRPr="00966BD1">
        <w:rPr>
          <w:sz w:val="16"/>
        </w:rPr>
        <w:t xml:space="preserve">. Three types of policy deserve attention: those that complement monetary policy in delivering macroeconomic stability in the different phases of the business cycle; </w:t>
      </w:r>
      <w:r w:rsidRPr="00966BD1">
        <w:rPr>
          <w:rStyle w:val="StyleUnderline"/>
        </w:rPr>
        <w:t>those that address structural inequality</w:t>
      </w:r>
      <w:r w:rsidRPr="00966BD1">
        <w:rPr>
          <w:sz w:val="16"/>
        </w:rPr>
        <w:t>; and those that central banks can deploy in fulfilment of their non-monetary policy responsibilities.</w:t>
      </w:r>
    </w:p>
    <w:p w14:paraId="015F953A" w14:textId="77777777" w:rsidR="00C84922" w:rsidRPr="00966BD1" w:rsidRDefault="00C84922" w:rsidP="00C84922"/>
    <w:p w14:paraId="4AEC835F" w14:textId="77777777" w:rsidR="00C84922" w:rsidRDefault="00C84922" w:rsidP="00C84922">
      <w:pPr>
        <w:pStyle w:val="Heading3"/>
      </w:pPr>
      <w:r>
        <w:t>1AR---Stability Trade-Off</w:t>
      </w:r>
    </w:p>
    <w:p w14:paraId="6E78C148" w14:textId="77777777" w:rsidR="00C84922" w:rsidRPr="003403A8" w:rsidRDefault="00C84922" w:rsidP="00C84922">
      <w:pPr>
        <w:pStyle w:val="Heading4"/>
      </w:pPr>
      <w:r>
        <w:t>Recessions cause inequality</w:t>
      </w:r>
    </w:p>
    <w:p w14:paraId="299BD06F" w14:textId="77777777" w:rsidR="00C84922" w:rsidRPr="003403A8" w:rsidRDefault="00C84922" w:rsidP="00C84922">
      <w:r>
        <w:rPr>
          <w:rStyle w:val="Style13ptBold"/>
        </w:rPr>
        <w:t>BIS</w:t>
      </w:r>
      <w:r w:rsidRPr="003403A8">
        <w:rPr>
          <w:rStyle w:val="Style13ptBold"/>
        </w:rPr>
        <w:t xml:space="preserve"> </w:t>
      </w:r>
      <w:r>
        <w:rPr>
          <w:rStyle w:val="Style13ptBold"/>
        </w:rPr>
        <w:t>21</w:t>
      </w:r>
      <w:r w:rsidRPr="003403A8">
        <w:t xml:space="preserve"> – </w:t>
      </w:r>
      <w:r w:rsidRPr="0098106F">
        <w:t>Bank for International Settlements</w:t>
      </w:r>
    </w:p>
    <w:p w14:paraId="5997EDBE" w14:textId="77777777" w:rsidR="00C84922" w:rsidRDefault="00C84922" w:rsidP="00C84922">
      <w:r w:rsidRPr="003403A8">
        <w:t>“</w:t>
      </w:r>
      <w:r>
        <w:t xml:space="preserve">2021 </w:t>
      </w:r>
      <w:r w:rsidRPr="0098106F">
        <w:t>Annual Economic</w:t>
      </w:r>
      <w:r>
        <w:t xml:space="preserve"> Report</w:t>
      </w:r>
      <w:r w:rsidRPr="003403A8">
        <w:t xml:space="preserve">,” </w:t>
      </w:r>
      <w:r w:rsidRPr="0098106F">
        <w:t>Bank for International Settlements</w:t>
      </w:r>
      <w:r w:rsidRPr="003403A8">
        <w:t xml:space="preserve">, </w:t>
      </w:r>
      <w:r>
        <w:t>June 2021</w:t>
      </w:r>
      <w:r w:rsidRPr="003403A8">
        <w:t>,</w:t>
      </w:r>
      <w:r>
        <w:t xml:space="preserve"> </w:t>
      </w:r>
      <w:r w:rsidRPr="0098106F">
        <w:t>https://www.bis.org/publ/arpdf/ar2021e.pdf</w:t>
      </w:r>
    </w:p>
    <w:p w14:paraId="34886D70" w14:textId="77777777" w:rsidR="00C84922" w:rsidRPr="00F65F3A" w:rsidRDefault="00C84922" w:rsidP="00C84922">
      <w:pPr>
        <w:rPr>
          <w:sz w:val="16"/>
        </w:rPr>
      </w:pPr>
      <w:r w:rsidRPr="00F65F3A">
        <w:rPr>
          <w:sz w:val="16"/>
        </w:rPr>
        <w:t>Inequality and recessions</w:t>
      </w:r>
    </w:p>
    <w:p w14:paraId="70DB2C3D" w14:textId="77777777" w:rsidR="00C84922" w:rsidRPr="00F65F3A" w:rsidRDefault="00C84922" w:rsidP="00C84922">
      <w:pPr>
        <w:rPr>
          <w:sz w:val="16"/>
        </w:rPr>
      </w:pPr>
      <w:r w:rsidRPr="00F65F3A">
        <w:rPr>
          <w:rStyle w:val="StyleUnderline"/>
        </w:rPr>
        <w:t xml:space="preserve">Recessions are </w:t>
      </w:r>
      <w:r w:rsidRPr="00672CCB">
        <w:rPr>
          <w:rStyle w:val="Emphasis"/>
        </w:rPr>
        <w:t>particularly harmful</w:t>
      </w:r>
      <w:r w:rsidRPr="00F65F3A">
        <w:rPr>
          <w:rStyle w:val="StyleUnderline"/>
        </w:rPr>
        <w:t xml:space="preserve"> for the </w:t>
      </w:r>
      <w:r w:rsidRPr="00672CCB">
        <w:rPr>
          <w:rStyle w:val="Emphasis"/>
        </w:rPr>
        <w:t>most disadvantaged</w:t>
      </w:r>
      <w:r w:rsidRPr="00F65F3A">
        <w:rPr>
          <w:rStyle w:val="StyleUnderline"/>
        </w:rPr>
        <w:t xml:space="preserve"> because unemployment tends to </w:t>
      </w:r>
      <w:r w:rsidRPr="00672CCB">
        <w:rPr>
          <w:rStyle w:val="Emphasis"/>
        </w:rPr>
        <w:t>hit unskilled workers harder</w:t>
      </w:r>
      <w:r w:rsidRPr="00F65F3A">
        <w:rPr>
          <w:rStyle w:val="StyleUnderline"/>
        </w:rPr>
        <w:t xml:space="preserve"> and for </w:t>
      </w:r>
      <w:r w:rsidRPr="00672CCB">
        <w:rPr>
          <w:rStyle w:val="Emphasis"/>
        </w:rPr>
        <w:t>longer</w:t>
      </w:r>
      <w:r w:rsidRPr="00F65F3A">
        <w:rPr>
          <w:rStyle w:val="StyleUnderline"/>
        </w:rPr>
        <w:t>.</w:t>
      </w:r>
      <w:r w:rsidRPr="00F65F3A">
        <w:rPr>
          <w:sz w:val="16"/>
        </w:rPr>
        <w:t xml:space="preserve"> The experience during the </w:t>
      </w:r>
      <w:r w:rsidRPr="00F65F3A">
        <w:rPr>
          <w:rStyle w:val="StyleUnderline"/>
        </w:rPr>
        <w:t>Covid-19</w:t>
      </w:r>
      <w:r w:rsidRPr="00F65F3A">
        <w:rPr>
          <w:sz w:val="16"/>
        </w:rPr>
        <w:t xml:space="preserve"> pandemic </w:t>
      </w:r>
      <w:r w:rsidRPr="00F65F3A">
        <w:rPr>
          <w:rStyle w:val="StyleUnderline"/>
        </w:rPr>
        <w:t xml:space="preserve">is a case in point: low-income earners were the </w:t>
      </w:r>
      <w:r w:rsidRPr="00672CCB">
        <w:rPr>
          <w:rStyle w:val="Emphasis"/>
        </w:rPr>
        <w:t>first to be laid off</w:t>
      </w:r>
      <w:r w:rsidRPr="00F65F3A">
        <w:rPr>
          <w:sz w:val="16"/>
        </w:rPr>
        <w:t xml:space="preserve"> (Graph II.6, left-hand panel) </w:t>
      </w:r>
      <w:r w:rsidRPr="00F65F3A">
        <w:rPr>
          <w:rStyle w:val="StyleUnderline"/>
        </w:rPr>
        <w:t>and</w:t>
      </w:r>
      <w:r w:rsidRPr="00F65F3A">
        <w:rPr>
          <w:sz w:val="16"/>
        </w:rPr>
        <w:t xml:space="preserve"> often </w:t>
      </w:r>
      <w:r w:rsidRPr="00672CCB">
        <w:rPr>
          <w:rStyle w:val="Emphasis"/>
        </w:rPr>
        <w:t>faced significant difficulties</w:t>
      </w:r>
      <w:r w:rsidRPr="00F65F3A">
        <w:rPr>
          <w:rStyle w:val="StyleUnderline"/>
        </w:rPr>
        <w:t xml:space="preserve"> when trying to re-enter the labour market</w:t>
      </w:r>
      <w:r w:rsidRPr="00F65F3A">
        <w:rPr>
          <w:sz w:val="16"/>
        </w:rPr>
        <w:t xml:space="preserve"> (centre panel).13 </w:t>
      </w:r>
      <w:r w:rsidRPr="00F65F3A">
        <w:rPr>
          <w:rStyle w:val="StyleUnderline"/>
        </w:rPr>
        <w:t xml:space="preserve">Even when successful, unskilled workers might be forced to accept jobs paying </w:t>
      </w:r>
      <w:r w:rsidRPr="00672CCB">
        <w:rPr>
          <w:rStyle w:val="Emphasis"/>
        </w:rPr>
        <w:t>lower salaries</w:t>
      </w:r>
      <w:r w:rsidRPr="00F65F3A">
        <w:rPr>
          <w:rStyle w:val="StyleUnderline"/>
        </w:rPr>
        <w:t xml:space="preserve"> and offering </w:t>
      </w:r>
      <w:r w:rsidRPr="00672CCB">
        <w:rPr>
          <w:rStyle w:val="Emphasis"/>
        </w:rPr>
        <w:t>fewer advancement opportunities</w:t>
      </w:r>
      <w:r w:rsidRPr="00F65F3A">
        <w:rPr>
          <w:sz w:val="16"/>
        </w:rPr>
        <w:t xml:space="preserve"> compared with their pre-recession jobs. </w:t>
      </w:r>
      <w:r w:rsidRPr="00F65F3A">
        <w:rPr>
          <w:rStyle w:val="StyleUnderline"/>
        </w:rPr>
        <w:t>The impact of weak economic activity on income inequality</w:t>
      </w:r>
      <w:r w:rsidRPr="00F65F3A">
        <w:rPr>
          <w:sz w:val="16"/>
        </w:rPr>
        <w:t xml:space="preserve">, while initially small, tends to grow over time (Graph II.6, right-hand panel). A stylised exercise illustrates this by tracing out the effect of an increase in unemployment, as typically experienced during recessions. Estimates point to an only slight increase in income inequality in the short run that then </w:t>
      </w:r>
      <w:r w:rsidRPr="00672CCB">
        <w:rPr>
          <w:rStyle w:val="Emphasis"/>
        </w:rPr>
        <w:t>rises</w:t>
      </w:r>
      <w:r w:rsidRPr="00F65F3A">
        <w:rPr>
          <w:rStyle w:val="StyleUnderline"/>
        </w:rPr>
        <w:t xml:space="preserve"> </w:t>
      </w:r>
      <w:r w:rsidRPr="00672CCB">
        <w:rPr>
          <w:rStyle w:val="Emphasis"/>
        </w:rPr>
        <w:t>substantially over time</w:t>
      </w:r>
      <w:r w:rsidRPr="00F65F3A">
        <w:rPr>
          <w:sz w:val="16"/>
        </w:rPr>
        <w:t>.</w:t>
      </w:r>
    </w:p>
    <w:p w14:paraId="233D1619" w14:textId="77777777" w:rsidR="00C84922" w:rsidRPr="00966BD1" w:rsidRDefault="00C84922" w:rsidP="00C84922"/>
    <w:p w14:paraId="79859352" w14:textId="77777777" w:rsidR="00C84922" w:rsidRDefault="00C84922" w:rsidP="00C84922">
      <w:pPr>
        <w:pStyle w:val="Heading3"/>
      </w:pPr>
      <w:r>
        <w:t>2AC---Inflation Trade-Off</w:t>
      </w:r>
    </w:p>
    <w:p w14:paraId="1471B39E" w14:textId="77777777" w:rsidR="00C84922" w:rsidRPr="003403A8" w:rsidRDefault="00C84922" w:rsidP="00C84922">
      <w:pPr>
        <w:pStyle w:val="Heading4"/>
      </w:pPr>
      <w:r>
        <w:t>Changing monetary policy away drives inflation---that’s worse for inequality in the long run</w:t>
      </w:r>
    </w:p>
    <w:p w14:paraId="69046D91" w14:textId="77777777" w:rsidR="00C84922" w:rsidRPr="003403A8" w:rsidRDefault="00C84922" w:rsidP="00C84922">
      <w:r>
        <w:rPr>
          <w:rStyle w:val="Style13ptBold"/>
        </w:rPr>
        <w:t>BIS</w:t>
      </w:r>
      <w:r w:rsidRPr="003403A8">
        <w:rPr>
          <w:rStyle w:val="Style13ptBold"/>
        </w:rPr>
        <w:t xml:space="preserve"> </w:t>
      </w:r>
      <w:r>
        <w:rPr>
          <w:rStyle w:val="Style13ptBold"/>
        </w:rPr>
        <w:t>21</w:t>
      </w:r>
      <w:r w:rsidRPr="003403A8">
        <w:t xml:space="preserve"> – </w:t>
      </w:r>
      <w:r w:rsidRPr="0098106F">
        <w:t>Bank for International Settlements</w:t>
      </w:r>
    </w:p>
    <w:p w14:paraId="69EC4437" w14:textId="77777777" w:rsidR="00C84922" w:rsidRDefault="00C84922" w:rsidP="00C84922">
      <w:r w:rsidRPr="003403A8">
        <w:t>“</w:t>
      </w:r>
      <w:r>
        <w:t xml:space="preserve">2021 </w:t>
      </w:r>
      <w:r w:rsidRPr="0098106F">
        <w:t>Annual Economic</w:t>
      </w:r>
      <w:r>
        <w:t xml:space="preserve"> Report</w:t>
      </w:r>
      <w:r w:rsidRPr="003403A8">
        <w:t xml:space="preserve">,” </w:t>
      </w:r>
      <w:r w:rsidRPr="0098106F">
        <w:t>Bank for International Settlements</w:t>
      </w:r>
      <w:r w:rsidRPr="003403A8">
        <w:t xml:space="preserve">, </w:t>
      </w:r>
      <w:r>
        <w:t>June 2021</w:t>
      </w:r>
      <w:r w:rsidRPr="003403A8">
        <w:t>,</w:t>
      </w:r>
      <w:r>
        <w:t xml:space="preserve"> </w:t>
      </w:r>
      <w:r w:rsidRPr="0098106F">
        <w:t>https://www.bis.org/publ/arpdf/ar2021e.pdf</w:t>
      </w:r>
    </w:p>
    <w:p w14:paraId="2801EB71" w14:textId="77777777" w:rsidR="00C84922" w:rsidRPr="00081ADB" w:rsidRDefault="00C84922" w:rsidP="00C84922">
      <w:pPr>
        <w:rPr>
          <w:sz w:val="16"/>
        </w:rPr>
      </w:pPr>
      <w:r w:rsidRPr="00081ADB">
        <w:rPr>
          <w:rStyle w:val="Emphasis"/>
        </w:rPr>
        <w:t>Trade-offs</w:t>
      </w:r>
      <w:r w:rsidRPr="00081ADB">
        <w:rPr>
          <w:sz w:val="16"/>
        </w:rPr>
        <w:t xml:space="preserve"> between actions aimed at achieving monetary policy objectives over different horizons </w:t>
      </w:r>
      <w:r w:rsidRPr="00852DFC">
        <w:rPr>
          <w:rStyle w:val="StyleUnderline"/>
        </w:rPr>
        <w:t>have always been present</w:t>
      </w:r>
      <w:r w:rsidRPr="00081ADB">
        <w:rPr>
          <w:sz w:val="16"/>
        </w:rPr>
        <w:t xml:space="preserve">. But changes in the nature of the business cycle since the mid-1980s have complicated the monetary policy task of keeping the economy on an even keel and exacerbated those trade-offs. As a result, </w:t>
      </w:r>
      <w:r w:rsidRPr="00852DFC">
        <w:rPr>
          <w:rStyle w:val="StyleUnderline"/>
        </w:rPr>
        <w:t xml:space="preserve">the impact on </w:t>
      </w:r>
      <w:r w:rsidRPr="00081ADB">
        <w:rPr>
          <w:rStyle w:val="Emphasis"/>
        </w:rPr>
        <w:t>inequality</w:t>
      </w:r>
      <w:r w:rsidRPr="00852DFC">
        <w:rPr>
          <w:rStyle w:val="StyleUnderline"/>
        </w:rPr>
        <w:t xml:space="preserve"> has</w:t>
      </w:r>
      <w:r w:rsidRPr="00081ADB">
        <w:rPr>
          <w:sz w:val="16"/>
        </w:rPr>
        <w:t xml:space="preserve"> also </w:t>
      </w:r>
      <w:r w:rsidRPr="00852DFC">
        <w:rPr>
          <w:rStyle w:val="StyleUnderline"/>
        </w:rPr>
        <w:t xml:space="preserve">become </w:t>
      </w:r>
      <w:r w:rsidRPr="00081ADB">
        <w:rPr>
          <w:rStyle w:val="Emphasis"/>
        </w:rPr>
        <w:t>more complex</w:t>
      </w:r>
      <w:r w:rsidRPr="00852DFC">
        <w:rPr>
          <w:rStyle w:val="StyleUnderline"/>
        </w:rPr>
        <w:t xml:space="preserve">. The </w:t>
      </w:r>
      <w:r w:rsidRPr="00081ADB">
        <w:rPr>
          <w:rStyle w:val="Emphasis"/>
        </w:rPr>
        <w:t>root cause</w:t>
      </w:r>
      <w:r w:rsidRPr="00852DFC">
        <w:rPr>
          <w:rStyle w:val="StyleUnderline"/>
        </w:rPr>
        <w:t xml:space="preserve"> has been a shift from recessions mainly induced by a monetary policy tightening to keep inflation under control to recessions in which </w:t>
      </w:r>
      <w:r w:rsidRPr="00081ADB">
        <w:rPr>
          <w:rStyle w:val="Emphasis"/>
        </w:rPr>
        <w:t>financial factors</w:t>
      </w:r>
      <w:r w:rsidRPr="00852DFC">
        <w:rPr>
          <w:rStyle w:val="StyleUnderline"/>
        </w:rPr>
        <w:t xml:space="preserve"> play a key role</w:t>
      </w:r>
      <w:r w:rsidRPr="00081ADB">
        <w:rPr>
          <w:sz w:val="16"/>
        </w:rPr>
        <w:t xml:space="preserve"> in amplifying business cycle fluctuations, ie the financial recessions noted above.20 The shift is illustrated in Graph II.10, which covers a sample of AEs. Until the mid-1980s, in response to a rise in inflation (left-hand panel), the central bank would tighten policy considerably in the lead-up to the recession (centre panel), while nothing much would happen to credit – here measured by the deviation of the credit-to-GDP ratio (right-hand panel) from its long-term trend. </w:t>
      </w:r>
      <w:r w:rsidRPr="00852DFC">
        <w:rPr>
          <w:rStyle w:val="StyleUnderline"/>
        </w:rPr>
        <w:t>Since the mid1980s</w:t>
      </w:r>
      <w:r w:rsidRPr="00081ADB">
        <w:rPr>
          <w:sz w:val="16"/>
        </w:rPr>
        <w:t>, by contrast, with inflation lower and more stable, monetary policy has not tightened much, but a major expansion of credit has given way to a subsequent sharp contraction, inducing a stronger and more prolonged monetary easing. This explains why measures of the financial cycle, or those of “froth” in credit markets, have become more useful for predicting turns in the business cycle. For instance, debt service ratios that are well above historical averages are a drag on GDP growth and signal a likely recession ahead.21</w:t>
      </w:r>
    </w:p>
    <w:p w14:paraId="6CB21262" w14:textId="77777777" w:rsidR="00C84922" w:rsidRPr="00081ADB" w:rsidRDefault="00C84922" w:rsidP="00C84922">
      <w:pPr>
        <w:rPr>
          <w:sz w:val="16"/>
        </w:rPr>
      </w:pPr>
      <w:r w:rsidRPr="00081ADB">
        <w:rPr>
          <w:sz w:val="16"/>
        </w:rPr>
        <w:t xml:space="preserve">Two factors have contributed to this fundamental change in the nature of business cycle fluctuations. On the one hand, </w:t>
      </w:r>
      <w:r w:rsidRPr="00852DFC">
        <w:rPr>
          <w:rStyle w:val="StyleUnderline"/>
        </w:rPr>
        <w:t xml:space="preserve">central banks have largely tamed inflation. Delivering </w:t>
      </w:r>
      <w:r w:rsidRPr="00081ADB">
        <w:rPr>
          <w:rStyle w:val="Emphasis"/>
        </w:rPr>
        <w:t>low and stable inflation</w:t>
      </w:r>
      <w:r w:rsidRPr="00852DFC">
        <w:rPr>
          <w:rStyle w:val="StyleUnderline"/>
        </w:rPr>
        <w:t xml:space="preserve"> has cemented central banks’ </w:t>
      </w:r>
      <w:r w:rsidRPr="00081ADB">
        <w:rPr>
          <w:rStyle w:val="Emphasis"/>
        </w:rPr>
        <w:t>inflation- fighting credentials</w:t>
      </w:r>
      <w:r w:rsidRPr="00852DFC">
        <w:rPr>
          <w:rStyle w:val="StyleUnderline"/>
        </w:rPr>
        <w:t xml:space="preserve">, helped </w:t>
      </w:r>
      <w:r w:rsidRPr="00081ADB">
        <w:rPr>
          <w:rStyle w:val="Emphasis"/>
        </w:rPr>
        <w:t>anchor expectations</w:t>
      </w:r>
      <w:r w:rsidRPr="00852DFC">
        <w:rPr>
          <w:rStyle w:val="StyleUnderline"/>
        </w:rPr>
        <w:t xml:space="preserve"> and</w:t>
      </w:r>
      <w:r w:rsidRPr="00081ADB">
        <w:rPr>
          <w:sz w:val="16"/>
        </w:rPr>
        <w:t xml:space="preserve">, in the process, </w:t>
      </w:r>
      <w:r w:rsidRPr="00852DFC">
        <w:rPr>
          <w:rStyle w:val="StyleUnderline"/>
        </w:rPr>
        <w:t xml:space="preserve">contributed to making inflation </w:t>
      </w:r>
      <w:r w:rsidRPr="00081ADB">
        <w:rPr>
          <w:rStyle w:val="Emphasis"/>
        </w:rPr>
        <w:t>less sensitive</w:t>
      </w:r>
      <w:r w:rsidRPr="00852DFC">
        <w:rPr>
          <w:rStyle w:val="StyleUnderline"/>
        </w:rPr>
        <w:t xml:space="preserve"> to pressures arising from </w:t>
      </w:r>
      <w:r w:rsidRPr="00081ADB">
        <w:rPr>
          <w:rStyle w:val="Emphasis"/>
        </w:rPr>
        <w:t>tight economic conditions</w:t>
      </w:r>
      <w:r w:rsidRPr="00081ADB">
        <w:rPr>
          <w:sz w:val="16"/>
        </w:rPr>
        <w:t xml:space="preserve"> – the so-called flattening of the Phillips curve.22 Structural factors, notably globalisation and technology, have strengthened these developments. On the other hand, financial liberalisation, both within and across national borders, has increased the scope for financial factors to influence household and business spending.23 The self-reinforcing interaction between funding conditions, risk-taking and asset prices lies at the heart of the corresponding amplification mechanisms.24 As just one example, a significant share of households’ borrowing, particularly in AEs, now takes place using housing as collateral; as a result, house price fluctuations have much larger reverberations in the economy as a whole.25</w:t>
      </w:r>
    </w:p>
    <w:p w14:paraId="06782C9F" w14:textId="77777777" w:rsidR="00C84922" w:rsidRPr="00081ADB" w:rsidRDefault="00C84922" w:rsidP="00C84922">
      <w:pPr>
        <w:rPr>
          <w:sz w:val="16"/>
        </w:rPr>
      </w:pPr>
      <w:r w:rsidRPr="00081ADB">
        <w:t>[[Figure Omitted]]</w:t>
      </w:r>
    </w:p>
    <w:p w14:paraId="4B547C58" w14:textId="77777777" w:rsidR="00C84922" w:rsidRPr="00852DFC" w:rsidRDefault="00C84922" w:rsidP="00C84922">
      <w:pPr>
        <w:rPr>
          <w:rStyle w:val="StyleUnderline"/>
        </w:rPr>
      </w:pPr>
      <w:r w:rsidRPr="00852DFC">
        <w:rPr>
          <w:rStyle w:val="StyleUnderline"/>
        </w:rPr>
        <w:t xml:space="preserve">This has given rise to a more </w:t>
      </w:r>
      <w:r w:rsidRPr="00081ADB">
        <w:rPr>
          <w:rStyle w:val="Emphasis"/>
        </w:rPr>
        <w:t>complex intertemporal policy trade-off</w:t>
      </w:r>
      <w:r w:rsidRPr="00852DFC">
        <w:rPr>
          <w:rStyle w:val="StyleUnderline"/>
        </w:rPr>
        <w:t>, reflected</w:t>
      </w:r>
      <w:r w:rsidRPr="00081ADB">
        <w:rPr>
          <w:sz w:val="16"/>
        </w:rPr>
        <w:t xml:space="preserve"> also in the relationship </w:t>
      </w:r>
      <w:r w:rsidRPr="00852DFC">
        <w:rPr>
          <w:rStyle w:val="StyleUnderline"/>
        </w:rPr>
        <w:t xml:space="preserve">between </w:t>
      </w:r>
      <w:r w:rsidRPr="00081ADB">
        <w:rPr>
          <w:rStyle w:val="Emphasis"/>
        </w:rPr>
        <w:t>monetary policy and inequality</w:t>
      </w:r>
      <w:r w:rsidRPr="00852DFC">
        <w:rPr>
          <w:rStyle w:val="StyleUnderline"/>
        </w:rPr>
        <w:t>.</w:t>
      </w:r>
    </w:p>
    <w:p w14:paraId="033318BC" w14:textId="77777777" w:rsidR="00C84922" w:rsidRPr="00081ADB" w:rsidRDefault="00C84922" w:rsidP="00C84922">
      <w:pPr>
        <w:rPr>
          <w:sz w:val="16"/>
        </w:rPr>
      </w:pPr>
      <w:r w:rsidRPr="00852DFC">
        <w:rPr>
          <w:rStyle w:val="StyleUnderline"/>
        </w:rPr>
        <w:t>On the one hand, low and stable inflation</w:t>
      </w:r>
      <w:r w:rsidRPr="00081ADB">
        <w:rPr>
          <w:sz w:val="16"/>
        </w:rPr>
        <w:t xml:space="preserve">, well anchored expectations and a flatter Phillips curve </w:t>
      </w:r>
      <w:r w:rsidRPr="00852DFC">
        <w:rPr>
          <w:rStyle w:val="StyleUnderline"/>
        </w:rPr>
        <w:t xml:space="preserve">have provided central banks with </w:t>
      </w:r>
      <w:r w:rsidRPr="00081ADB">
        <w:rPr>
          <w:rStyle w:val="Emphasis"/>
        </w:rPr>
        <w:t>greater leeway</w:t>
      </w:r>
      <w:r w:rsidRPr="00852DFC">
        <w:rPr>
          <w:rStyle w:val="StyleUnderline"/>
        </w:rPr>
        <w:t xml:space="preserve"> to be </w:t>
      </w:r>
      <w:r w:rsidRPr="00081ADB">
        <w:rPr>
          <w:rStyle w:val="Emphasis"/>
        </w:rPr>
        <w:t>accommodative</w:t>
      </w:r>
      <w:r w:rsidRPr="00852DFC">
        <w:rPr>
          <w:rStyle w:val="StyleUnderline"/>
        </w:rPr>
        <w:t xml:space="preserve"> and let the labour market tighten</w:t>
      </w:r>
      <w:r w:rsidRPr="00081ADB">
        <w:rPr>
          <w:sz w:val="16"/>
        </w:rPr>
        <w:t xml:space="preserve">. A dynamic and inclusive labour market may also limit scarring effects in the short and medium run. By the same token, it reduces income inequality. Such an accommodative policy stance is all the more justified where there are concerns that inflation is persistently below target, as in most AEs over the last decade, where unemployment remains high26 and limited policy space makes the economy more vulnerable to deeper recessions. </w:t>
      </w:r>
      <w:r w:rsidRPr="00852DFC">
        <w:rPr>
          <w:rStyle w:val="StyleUnderline"/>
        </w:rPr>
        <w:t>These</w:t>
      </w:r>
      <w:r w:rsidRPr="00081ADB">
        <w:rPr>
          <w:sz w:val="16"/>
        </w:rPr>
        <w:t xml:space="preserve"> conditions help </w:t>
      </w:r>
      <w:r w:rsidRPr="00852DFC">
        <w:rPr>
          <w:rStyle w:val="StyleUnderline"/>
        </w:rPr>
        <w:t xml:space="preserve">explain why labour markets are playing a </w:t>
      </w:r>
      <w:r w:rsidRPr="00081ADB">
        <w:rPr>
          <w:rStyle w:val="Emphasis"/>
        </w:rPr>
        <w:t>prominent role</w:t>
      </w:r>
      <w:r w:rsidRPr="00852DFC">
        <w:rPr>
          <w:rStyle w:val="StyleUnderline"/>
        </w:rPr>
        <w:t xml:space="preserve"> in several</w:t>
      </w:r>
      <w:r w:rsidRPr="00081ADB">
        <w:rPr>
          <w:sz w:val="16"/>
        </w:rPr>
        <w:t xml:space="preserve"> recent reviews of </w:t>
      </w:r>
      <w:r w:rsidRPr="00852DFC">
        <w:rPr>
          <w:rStyle w:val="StyleUnderline"/>
        </w:rPr>
        <w:t>monetary policy strategies</w:t>
      </w:r>
      <w:r w:rsidRPr="00081ADB">
        <w:rPr>
          <w:sz w:val="16"/>
        </w:rPr>
        <w:t xml:space="preserve"> and frameworks in AEs (Box II.D).</w:t>
      </w:r>
    </w:p>
    <w:p w14:paraId="5A4892D3" w14:textId="77777777" w:rsidR="00C84922" w:rsidRPr="00852DFC" w:rsidRDefault="00C84922" w:rsidP="00C84922">
      <w:pPr>
        <w:rPr>
          <w:rStyle w:val="StyleUnderline"/>
        </w:rPr>
      </w:pPr>
      <w:r w:rsidRPr="00852DFC">
        <w:rPr>
          <w:rStyle w:val="StyleUnderline"/>
        </w:rPr>
        <w:t xml:space="preserve">On the other hand, pursuing such a strategy is </w:t>
      </w:r>
      <w:r w:rsidRPr="00081ADB">
        <w:rPr>
          <w:rStyle w:val="Emphasis"/>
        </w:rPr>
        <w:t>not without risks</w:t>
      </w:r>
      <w:r w:rsidRPr="00852DFC">
        <w:rPr>
          <w:rStyle w:val="StyleUnderline"/>
        </w:rPr>
        <w:t>. Protracted periods of easy monetary conditions can support the employment and income of the most disadvantaged, but</w:t>
      </w:r>
      <w:r w:rsidRPr="00081ADB">
        <w:rPr>
          <w:sz w:val="16"/>
        </w:rPr>
        <w:t xml:space="preserve"> may </w:t>
      </w:r>
      <w:r w:rsidRPr="00852DFC">
        <w:rPr>
          <w:rStyle w:val="StyleUnderline"/>
        </w:rPr>
        <w:t xml:space="preserve">contribute to the </w:t>
      </w:r>
      <w:r w:rsidRPr="00081ADB">
        <w:rPr>
          <w:rStyle w:val="StyleUnderline"/>
          <w:sz w:val="18"/>
          <w:szCs w:val="18"/>
        </w:rPr>
        <w:t xml:space="preserve">slow </w:t>
      </w:r>
      <w:r w:rsidRPr="00081ADB">
        <w:rPr>
          <w:rStyle w:val="Emphasis"/>
        </w:rPr>
        <w:t>build-up</w:t>
      </w:r>
      <w:r w:rsidRPr="00852DFC">
        <w:rPr>
          <w:rStyle w:val="StyleUnderline"/>
        </w:rPr>
        <w:t xml:space="preserve"> </w:t>
      </w:r>
      <w:r w:rsidRPr="00081ADB">
        <w:rPr>
          <w:rStyle w:val="Emphasis"/>
        </w:rPr>
        <w:t>of financial imbalances</w:t>
      </w:r>
      <w:r w:rsidRPr="00852DFC">
        <w:rPr>
          <w:rStyle w:val="StyleUnderline"/>
        </w:rPr>
        <w:t xml:space="preserve">, </w:t>
      </w:r>
      <w:r w:rsidRPr="00081ADB">
        <w:rPr>
          <w:rStyle w:val="Emphasis"/>
        </w:rPr>
        <w:t>sowing the seeds</w:t>
      </w:r>
      <w:r w:rsidRPr="00852DFC">
        <w:rPr>
          <w:rStyle w:val="StyleUnderline"/>
        </w:rPr>
        <w:t xml:space="preserve"> of </w:t>
      </w:r>
      <w:r w:rsidRPr="00081ADB">
        <w:rPr>
          <w:rStyle w:val="Emphasis"/>
        </w:rPr>
        <w:t>financial recessions</w:t>
      </w:r>
      <w:r w:rsidRPr="00852DFC">
        <w:rPr>
          <w:rStyle w:val="StyleUnderline"/>
        </w:rPr>
        <w:t xml:space="preserve"> further down the road</w:t>
      </w:r>
      <w:r w:rsidRPr="00081ADB">
        <w:rPr>
          <w:sz w:val="16"/>
        </w:rPr>
        <w:t xml:space="preserve">.27 And </w:t>
      </w:r>
      <w:r w:rsidRPr="00852DFC">
        <w:rPr>
          <w:rStyle w:val="StyleUnderline"/>
        </w:rPr>
        <w:t xml:space="preserve">these are </w:t>
      </w:r>
      <w:r w:rsidRPr="00081ADB">
        <w:rPr>
          <w:rStyle w:val="Emphasis"/>
        </w:rPr>
        <w:t>precisely</w:t>
      </w:r>
      <w:r w:rsidRPr="00852DFC">
        <w:rPr>
          <w:rStyle w:val="StyleUnderline"/>
        </w:rPr>
        <w:t xml:space="preserve"> the types of recession that are more </w:t>
      </w:r>
      <w:r w:rsidRPr="00081ADB">
        <w:rPr>
          <w:rStyle w:val="Emphasis"/>
        </w:rPr>
        <w:t>costly</w:t>
      </w:r>
      <w:r w:rsidRPr="00852DFC">
        <w:rPr>
          <w:rStyle w:val="StyleUnderline"/>
        </w:rPr>
        <w:t xml:space="preserve"> in terms of </w:t>
      </w:r>
      <w:r w:rsidRPr="00081ADB">
        <w:rPr>
          <w:rStyle w:val="Emphasis"/>
        </w:rPr>
        <w:t>income inequality</w:t>
      </w:r>
      <w:r w:rsidRPr="00852DFC">
        <w:rPr>
          <w:rStyle w:val="StyleUnderline"/>
        </w:rPr>
        <w:t xml:space="preserve"> and that require keeping interest rates low for longer</w:t>
      </w:r>
      <w:r w:rsidRPr="00081ADB">
        <w:rPr>
          <w:sz w:val="16"/>
        </w:rPr>
        <w:t xml:space="preserve">, in turn </w:t>
      </w:r>
      <w:r w:rsidRPr="00081ADB">
        <w:rPr>
          <w:rStyle w:val="Emphasis"/>
        </w:rPr>
        <w:t>prolonging</w:t>
      </w:r>
      <w:r w:rsidRPr="00852DFC">
        <w:rPr>
          <w:rStyle w:val="StyleUnderline"/>
        </w:rPr>
        <w:t xml:space="preserve"> any possible short-run </w:t>
      </w:r>
      <w:r w:rsidRPr="00081ADB">
        <w:rPr>
          <w:rStyle w:val="Emphasis"/>
        </w:rPr>
        <w:t>adverse impact</w:t>
      </w:r>
      <w:r w:rsidRPr="00852DFC">
        <w:rPr>
          <w:rStyle w:val="StyleUnderline"/>
        </w:rPr>
        <w:t xml:space="preserve"> on wealth inequality.</w:t>
      </w:r>
    </w:p>
    <w:p w14:paraId="2D35A124" w14:textId="77777777" w:rsidR="00C84922" w:rsidRDefault="00C84922" w:rsidP="00C84922"/>
    <w:p w14:paraId="7D73AF8D" w14:textId="77777777" w:rsidR="00C84922" w:rsidRDefault="00C84922" w:rsidP="00C84922"/>
    <w:p w14:paraId="5A22AD61" w14:textId="77777777" w:rsidR="00C84922" w:rsidRPr="00081ADB" w:rsidRDefault="00C84922" w:rsidP="00C84922">
      <w:pPr>
        <w:pStyle w:val="Heading3"/>
      </w:pPr>
      <w:r>
        <w:t>1AR---Inflation Trade-Off</w:t>
      </w:r>
    </w:p>
    <w:p w14:paraId="7F62577F" w14:textId="77777777" w:rsidR="00C84922" w:rsidRPr="003403A8" w:rsidRDefault="00C84922" w:rsidP="00C84922">
      <w:pPr>
        <w:pStyle w:val="Heading4"/>
      </w:pPr>
      <w:r>
        <w:t>Our evidence assumes the counterplan’s short term benefits, but finds that inflation-focused monetary policy is best for inequality</w:t>
      </w:r>
    </w:p>
    <w:p w14:paraId="7AC3AD9A" w14:textId="77777777" w:rsidR="00C84922" w:rsidRPr="003403A8" w:rsidRDefault="00C84922" w:rsidP="00C84922">
      <w:r>
        <w:rPr>
          <w:rStyle w:val="Style13ptBold"/>
        </w:rPr>
        <w:t>BIS</w:t>
      </w:r>
      <w:r w:rsidRPr="003403A8">
        <w:rPr>
          <w:rStyle w:val="Style13ptBold"/>
        </w:rPr>
        <w:t xml:space="preserve"> </w:t>
      </w:r>
      <w:r>
        <w:rPr>
          <w:rStyle w:val="Style13ptBold"/>
        </w:rPr>
        <w:t>21</w:t>
      </w:r>
      <w:r w:rsidRPr="003403A8">
        <w:t xml:space="preserve"> – </w:t>
      </w:r>
      <w:r w:rsidRPr="0098106F">
        <w:t>Bank for International Settlements</w:t>
      </w:r>
    </w:p>
    <w:p w14:paraId="3FE7E08F" w14:textId="77777777" w:rsidR="00C84922" w:rsidRDefault="00C84922" w:rsidP="00C84922">
      <w:r w:rsidRPr="003403A8">
        <w:t>“</w:t>
      </w:r>
      <w:r>
        <w:t xml:space="preserve">2021 </w:t>
      </w:r>
      <w:r w:rsidRPr="0098106F">
        <w:t>Annual Economic</w:t>
      </w:r>
      <w:r>
        <w:t xml:space="preserve"> Report</w:t>
      </w:r>
      <w:r w:rsidRPr="003403A8">
        <w:t xml:space="preserve">,” </w:t>
      </w:r>
      <w:r w:rsidRPr="0098106F">
        <w:t>Bank for International Settlements</w:t>
      </w:r>
      <w:r w:rsidRPr="003403A8">
        <w:t xml:space="preserve">, </w:t>
      </w:r>
      <w:r>
        <w:t>June 2021</w:t>
      </w:r>
      <w:r w:rsidRPr="003403A8">
        <w:t>,</w:t>
      </w:r>
      <w:r>
        <w:t xml:space="preserve"> </w:t>
      </w:r>
      <w:r w:rsidRPr="0098106F">
        <w:t>https://www.bis.org/publ/arpdf/ar2021e.pdf</w:t>
      </w:r>
    </w:p>
    <w:p w14:paraId="3D9EB247" w14:textId="77777777" w:rsidR="00C84922" w:rsidRPr="00081ADB" w:rsidRDefault="00C84922" w:rsidP="00C84922">
      <w:pPr>
        <w:rPr>
          <w:sz w:val="16"/>
        </w:rPr>
      </w:pPr>
      <w:r w:rsidRPr="00852DFC">
        <w:rPr>
          <w:rStyle w:val="StyleUnderline"/>
        </w:rPr>
        <w:t xml:space="preserve">Changes in the </w:t>
      </w:r>
      <w:r w:rsidRPr="00081ADB">
        <w:rPr>
          <w:rStyle w:val="Emphasis"/>
        </w:rPr>
        <w:t>stance of monetary policy</w:t>
      </w:r>
      <w:r w:rsidRPr="00081ADB">
        <w:rPr>
          <w:sz w:val="16"/>
        </w:rPr>
        <w:t xml:space="preserve"> inevitably </w:t>
      </w:r>
      <w:r w:rsidRPr="00852DFC">
        <w:rPr>
          <w:rStyle w:val="StyleUnderline"/>
        </w:rPr>
        <w:t>have some short-run distributional effects</w:t>
      </w:r>
      <w:r w:rsidRPr="00081ADB">
        <w:rPr>
          <w:sz w:val="16"/>
        </w:rPr>
        <w:t xml:space="preserve">. Every time the central bank adjusts interest rates, changes its lending terms or purchases assets, distributional consequences follow. For example, any such adjustment redistributes interest income between debtors and creditors and influences asset prices, which reallocate income and wealth in the population depending on holdings (see Box II.C for a detailed analysis of this point). </w:t>
      </w:r>
      <w:r w:rsidRPr="00852DFC">
        <w:rPr>
          <w:rStyle w:val="StyleUnderline"/>
        </w:rPr>
        <w:t xml:space="preserve">But the </w:t>
      </w:r>
      <w:r w:rsidRPr="00081ADB">
        <w:rPr>
          <w:rStyle w:val="Emphasis"/>
        </w:rPr>
        <w:t>more important influence</w:t>
      </w:r>
      <w:r w:rsidRPr="00852DFC">
        <w:rPr>
          <w:rStyle w:val="StyleUnderline"/>
        </w:rPr>
        <w:t xml:space="preserve"> of monetary policy on inequality is through its impact on </w:t>
      </w:r>
      <w:r w:rsidRPr="00081ADB">
        <w:rPr>
          <w:rStyle w:val="Emphasis"/>
        </w:rPr>
        <w:t>inflation</w:t>
      </w:r>
      <w:r w:rsidRPr="00852DFC">
        <w:rPr>
          <w:rStyle w:val="StyleUnderline"/>
        </w:rPr>
        <w:t xml:space="preserve">, employment and economic activity. These are the </w:t>
      </w:r>
      <w:r w:rsidRPr="00081ADB">
        <w:rPr>
          <w:rStyle w:val="Emphasis"/>
        </w:rPr>
        <w:t>main macroeconomic factors</w:t>
      </w:r>
      <w:r w:rsidRPr="00852DFC">
        <w:rPr>
          <w:rStyle w:val="StyleUnderline"/>
        </w:rPr>
        <w:t xml:space="preserve"> that shape inequality</w:t>
      </w:r>
      <w:r w:rsidRPr="00081ADB">
        <w:rPr>
          <w:sz w:val="16"/>
        </w:rPr>
        <w:t xml:space="preserve"> over the business cycle.</w:t>
      </w:r>
    </w:p>
    <w:p w14:paraId="0C2A2FF4" w14:textId="77777777" w:rsidR="00C84922" w:rsidRPr="00081ADB" w:rsidRDefault="00C84922" w:rsidP="00C84922">
      <w:pPr>
        <w:rPr>
          <w:sz w:val="16"/>
        </w:rPr>
      </w:pPr>
      <w:r w:rsidRPr="00852DFC">
        <w:rPr>
          <w:rStyle w:val="StyleUnderline"/>
        </w:rPr>
        <w:t xml:space="preserve">This also means that central bank mandates are </w:t>
      </w:r>
      <w:r w:rsidRPr="00081ADB">
        <w:rPr>
          <w:rStyle w:val="Emphasis"/>
        </w:rPr>
        <w:t>fully consistent</w:t>
      </w:r>
      <w:r w:rsidRPr="00852DFC">
        <w:rPr>
          <w:rStyle w:val="StyleUnderline"/>
        </w:rPr>
        <w:t xml:space="preserve"> with </w:t>
      </w:r>
      <w:r w:rsidRPr="00081ADB">
        <w:rPr>
          <w:rStyle w:val="Emphasis"/>
        </w:rPr>
        <w:t>tackling</w:t>
      </w:r>
      <w:r w:rsidRPr="00081ADB">
        <w:rPr>
          <w:sz w:val="16"/>
        </w:rPr>
        <w:t xml:space="preserve"> the influence of the factors that can raise </w:t>
      </w:r>
      <w:r w:rsidRPr="00081ADB">
        <w:rPr>
          <w:rStyle w:val="Emphasis"/>
        </w:rPr>
        <w:t>inequality</w:t>
      </w:r>
      <w:r w:rsidRPr="00081ADB">
        <w:rPr>
          <w:sz w:val="16"/>
        </w:rPr>
        <w:t xml:space="preserve"> over that horizon. While </w:t>
      </w:r>
      <w:r w:rsidRPr="00852DFC">
        <w:rPr>
          <w:rStyle w:val="StyleUnderline"/>
        </w:rPr>
        <w:t>mandates</w:t>
      </w:r>
      <w:r w:rsidRPr="00081ADB">
        <w:rPr>
          <w:sz w:val="16"/>
        </w:rPr>
        <w:t xml:space="preserve"> have evolved over time, these days they </w:t>
      </w:r>
      <w:r w:rsidRPr="00852DFC">
        <w:rPr>
          <w:rStyle w:val="StyleUnderline"/>
        </w:rPr>
        <w:t xml:space="preserve">are primarily interpreted as delivering </w:t>
      </w:r>
      <w:r w:rsidRPr="00081ADB">
        <w:rPr>
          <w:rStyle w:val="Emphasis"/>
        </w:rPr>
        <w:t>low and stable inflation</w:t>
      </w:r>
      <w:r w:rsidRPr="00852DFC">
        <w:rPr>
          <w:rStyle w:val="StyleUnderline"/>
        </w:rPr>
        <w:t xml:space="preserve"> and </w:t>
      </w:r>
      <w:r w:rsidRPr="00081ADB">
        <w:rPr>
          <w:rStyle w:val="Emphasis"/>
        </w:rPr>
        <w:t>limiting business fluctuations</w:t>
      </w:r>
      <w:r w:rsidRPr="00081ADB">
        <w:rPr>
          <w:sz w:val="16"/>
        </w:rPr>
        <w:t xml:space="preserve"> – measured in terms of output and employment. And although </w:t>
      </w:r>
      <w:r w:rsidRPr="00852DFC">
        <w:rPr>
          <w:rStyle w:val="StyleUnderline"/>
        </w:rPr>
        <w:t>financial stability</w:t>
      </w:r>
      <w:r w:rsidRPr="00081ADB">
        <w:rPr>
          <w:sz w:val="16"/>
        </w:rPr>
        <w:t xml:space="preserve"> need not be mentioned explicitly, it </w:t>
      </w:r>
      <w:r w:rsidRPr="00852DFC">
        <w:rPr>
          <w:rStyle w:val="StyleUnderline"/>
        </w:rPr>
        <w:t>is naturally subsumed under the objective of smoothing fluctuations</w:t>
      </w:r>
      <w:r w:rsidRPr="00081ADB">
        <w:rPr>
          <w:sz w:val="16"/>
        </w:rPr>
        <w:t>: just as price stability, financial stability is a necessary condition for output and employment to grow sustainably over time. This is true regardless of whether financial instability is interpreted narrowly – as banking or financial crises – or more broadly – as the amplification of business cycles and recessions induced by financial factors.17</w:t>
      </w:r>
    </w:p>
    <w:p w14:paraId="497E552B" w14:textId="77777777" w:rsidR="00C84922" w:rsidRPr="00081ADB" w:rsidRDefault="00C84922" w:rsidP="00C84922">
      <w:pPr>
        <w:rPr>
          <w:sz w:val="16"/>
        </w:rPr>
      </w:pPr>
      <w:r w:rsidRPr="00081ADB">
        <w:t>[[Figure Omitted]]</w:t>
      </w:r>
    </w:p>
    <w:p w14:paraId="0E962EF0" w14:textId="77777777" w:rsidR="00C84922" w:rsidRPr="00081ADB" w:rsidRDefault="00C84922" w:rsidP="00C84922">
      <w:pPr>
        <w:rPr>
          <w:rStyle w:val="Emphasis"/>
        </w:rPr>
      </w:pPr>
      <w:r w:rsidRPr="00852DFC">
        <w:rPr>
          <w:rStyle w:val="StyleUnderline"/>
        </w:rPr>
        <w:t xml:space="preserve">Once high inflation or recessions materialise, the needed monetary response may have an </w:t>
      </w:r>
      <w:r w:rsidRPr="00081ADB">
        <w:rPr>
          <w:rStyle w:val="Emphasis"/>
        </w:rPr>
        <w:t>undesirable short-run impact</w:t>
      </w:r>
      <w:r w:rsidRPr="00852DFC">
        <w:rPr>
          <w:rStyle w:val="StyleUnderline"/>
        </w:rPr>
        <w:t xml:space="preserve"> on inequality</w:t>
      </w:r>
      <w:r w:rsidRPr="00081ADB">
        <w:rPr>
          <w:sz w:val="16"/>
        </w:rPr>
        <w:t xml:space="preserve">, in order </w:t>
      </w:r>
      <w:r w:rsidRPr="00852DFC">
        <w:rPr>
          <w:rStyle w:val="StyleUnderline"/>
        </w:rPr>
        <w:t>to secure</w:t>
      </w:r>
      <w:r w:rsidRPr="00081ADB">
        <w:rPr>
          <w:sz w:val="16"/>
        </w:rPr>
        <w:t xml:space="preserve"> the </w:t>
      </w:r>
      <w:r w:rsidRPr="00852DFC">
        <w:rPr>
          <w:rStyle w:val="StyleUnderline"/>
        </w:rPr>
        <w:t xml:space="preserve">long-term gains. Hence the </w:t>
      </w:r>
      <w:r w:rsidRPr="00081ADB">
        <w:rPr>
          <w:rStyle w:val="Emphasis"/>
        </w:rPr>
        <w:t>importance of avoiding inflation</w:t>
      </w:r>
      <w:r w:rsidRPr="00852DFC">
        <w:rPr>
          <w:rStyle w:val="StyleUnderline"/>
        </w:rPr>
        <w:t xml:space="preserve"> and recessions </w:t>
      </w:r>
      <w:r w:rsidRPr="00081ADB">
        <w:rPr>
          <w:rStyle w:val="Emphasis"/>
        </w:rPr>
        <w:t>in the first place.</w:t>
      </w:r>
    </w:p>
    <w:p w14:paraId="32935846" w14:textId="77777777" w:rsidR="00C84922" w:rsidRPr="00081ADB" w:rsidRDefault="00C84922" w:rsidP="00C84922">
      <w:pPr>
        <w:rPr>
          <w:sz w:val="16"/>
        </w:rPr>
      </w:pPr>
      <w:r w:rsidRPr="00852DFC">
        <w:rPr>
          <w:rStyle w:val="StyleUnderline"/>
        </w:rPr>
        <w:t xml:space="preserve">Bringing inflation under control will generally call for a </w:t>
      </w:r>
      <w:r w:rsidRPr="00081ADB">
        <w:rPr>
          <w:rStyle w:val="Emphasis"/>
        </w:rPr>
        <w:t>monetary policy tightening</w:t>
      </w:r>
      <w:r w:rsidRPr="00852DFC">
        <w:rPr>
          <w:rStyle w:val="StyleUnderline"/>
        </w:rPr>
        <w:t xml:space="preserve">, which can induce recessions and hence </w:t>
      </w:r>
      <w:r w:rsidRPr="00081ADB">
        <w:rPr>
          <w:rStyle w:val="Emphasis"/>
        </w:rPr>
        <w:t>increase income inequality</w:t>
      </w:r>
      <w:r w:rsidRPr="00081ADB">
        <w:rPr>
          <w:sz w:val="16"/>
        </w:rPr>
        <w:t>. In AEs, a clear example is the “Volcker shock” of the early 1980s in the United States, which set the basis for the conquest of inflation. In EMEs, the episodes are more common and severe. For instance, the Central Bank of Brazil had to raise the policy rate by more than 10 percentage points between 2001 and 2003 to rein in a surge in inflation.</w:t>
      </w:r>
    </w:p>
    <w:p w14:paraId="59AE39EA" w14:textId="77777777" w:rsidR="00C84922" w:rsidRPr="00081ADB" w:rsidRDefault="00C84922" w:rsidP="00C84922">
      <w:pPr>
        <w:rPr>
          <w:sz w:val="16"/>
        </w:rPr>
      </w:pPr>
      <w:r w:rsidRPr="00081ADB">
        <w:rPr>
          <w:sz w:val="16"/>
        </w:rPr>
        <w:t xml:space="preserve">Similarly, </w:t>
      </w:r>
      <w:r w:rsidRPr="00852DFC">
        <w:rPr>
          <w:rStyle w:val="StyleUnderline"/>
        </w:rPr>
        <w:t>sustaining a recovery in the aftermath of a severe economic recession requires keeping interest rates low for longer</w:t>
      </w:r>
      <w:r w:rsidRPr="00081ADB">
        <w:rPr>
          <w:sz w:val="16"/>
        </w:rPr>
        <w:t xml:space="preserve">, especially if they are constrained by the effective lower bound.18 For example, </w:t>
      </w:r>
      <w:r w:rsidRPr="00852DFC">
        <w:rPr>
          <w:rStyle w:val="StyleUnderline"/>
        </w:rPr>
        <w:t xml:space="preserve">had monetary policy </w:t>
      </w:r>
      <w:r w:rsidRPr="00081ADB">
        <w:rPr>
          <w:rStyle w:val="Emphasis"/>
        </w:rPr>
        <w:t>refrained</w:t>
      </w:r>
      <w:r w:rsidRPr="00852DFC">
        <w:rPr>
          <w:rStyle w:val="StyleUnderline"/>
        </w:rPr>
        <w:t xml:space="preserve"> from deploying </w:t>
      </w:r>
      <w:r w:rsidRPr="00081ADB">
        <w:rPr>
          <w:rStyle w:val="Emphasis"/>
        </w:rPr>
        <w:t>all necessary tools</w:t>
      </w:r>
      <w:r w:rsidRPr="00852DFC">
        <w:rPr>
          <w:rStyle w:val="StyleUnderline"/>
        </w:rPr>
        <w:t xml:space="preserve"> to keep borrowing costs low in the aftermath of the GFC and the Covid-19 pandemic, the recessions would have been </w:t>
      </w:r>
      <w:r w:rsidRPr="00081ADB">
        <w:rPr>
          <w:rStyle w:val="Emphasis"/>
        </w:rPr>
        <w:t>deeper and longer</w:t>
      </w:r>
      <w:r w:rsidRPr="00852DFC">
        <w:rPr>
          <w:rStyle w:val="StyleUnderline"/>
        </w:rPr>
        <w:t>. This</w:t>
      </w:r>
      <w:r w:rsidRPr="00081ADB">
        <w:rPr>
          <w:sz w:val="16"/>
        </w:rPr>
        <w:t xml:space="preserve">, in turn, </w:t>
      </w:r>
      <w:r w:rsidRPr="00852DFC">
        <w:rPr>
          <w:rStyle w:val="StyleUnderline"/>
        </w:rPr>
        <w:t xml:space="preserve">would have exposed the </w:t>
      </w:r>
      <w:r w:rsidRPr="00081ADB">
        <w:rPr>
          <w:rStyle w:val="Emphasis"/>
        </w:rPr>
        <w:t>most disadvantaged</w:t>
      </w:r>
      <w:r w:rsidRPr="00852DFC">
        <w:rPr>
          <w:rStyle w:val="StyleUnderline"/>
        </w:rPr>
        <w:t xml:space="preserve"> to </w:t>
      </w:r>
      <w:r w:rsidRPr="00081ADB">
        <w:rPr>
          <w:rStyle w:val="Emphasis"/>
        </w:rPr>
        <w:t>longer unemployment spells</w:t>
      </w:r>
      <w:r w:rsidRPr="00852DFC">
        <w:rPr>
          <w:rStyle w:val="StyleUnderline"/>
        </w:rPr>
        <w:t xml:space="preserve"> and </w:t>
      </w:r>
      <w:r w:rsidRPr="00081ADB">
        <w:rPr>
          <w:rStyle w:val="Emphasis"/>
        </w:rPr>
        <w:t>worsened income inequality</w:t>
      </w:r>
      <w:r w:rsidRPr="00081ADB">
        <w:rPr>
          <w:sz w:val="16"/>
        </w:rPr>
        <w:t>.19 That said, while low interest rates mitigate income inequality substantially, their impact on asset prices, especially equities, may have the side effect of increasing wealth inequality in the near term. This outcome, however, is not a given and may be overturned for certain measures of inequality if home ownership is concentrated in the middle of the wealth distribution (Box II.C).</w:t>
      </w:r>
    </w:p>
    <w:p w14:paraId="0BF0A09A" w14:textId="77777777" w:rsidR="00C84922" w:rsidRPr="00081ADB" w:rsidRDefault="00C84922" w:rsidP="00C84922"/>
    <w:p w14:paraId="294DD836" w14:textId="77777777" w:rsidR="00C84922" w:rsidRPr="003403A8" w:rsidRDefault="00C84922" w:rsidP="00C84922">
      <w:pPr>
        <w:pStyle w:val="Heading4"/>
      </w:pPr>
      <w:r>
        <w:t>Inflation causes inequality</w:t>
      </w:r>
    </w:p>
    <w:p w14:paraId="2A6C6629" w14:textId="77777777" w:rsidR="00C84922" w:rsidRPr="003403A8" w:rsidRDefault="00C84922" w:rsidP="00C84922">
      <w:r>
        <w:rPr>
          <w:rStyle w:val="Style13ptBold"/>
        </w:rPr>
        <w:t>BIS</w:t>
      </w:r>
      <w:r w:rsidRPr="003403A8">
        <w:rPr>
          <w:rStyle w:val="Style13ptBold"/>
        </w:rPr>
        <w:t xml:space="preserve"> </w:t>
      </w:r>
      <w:r>
        <w:rPr>
          <w:rStyle w:val="Style13ptBold"/>
        </w:rPr>
        <w:t>21</w:t>
      </w:r>
      <w:r w:rsidRPr="003403A8">
        <w:t xml:space="preserve"> – </w:t>
      </w:r>
      <w:r w:rsidRPr="0098106F">
        <w:t>Bank for International Settlements</w:t>
      </w:r>
    </w:p>
    <w:p w14:paraId="1B9804DE" w14:textId="77777777" w:rsidR="00C84922" w:rsidRDefault="00C84922" w:rsidP="00C84922">
      <w:r w:rsidRPr="003403A8">
        <w:t>“</w:t>
      </w:r>
      <w:r>
        <w:t xml:space="preserve">2021 </w:t>
      </w:r>
      <w:r w:rsidRPr="0098106F">
        <w:t>Annual Economic</w:t>
      </w:r>
      <w:r>
        <w:t xml:space="preserve"> Report</w:t>
      </w:r>
      <w:r w:rsidRPr="003403A8">
        <w:t xml:space="preserve">,” </w:t>
      </w:r>
      <w:r w:rsidRPr="0098106F">
        <w:t>Bank for International Settlements</w:t>
      </w:r>
      <w:r w:rsidRPr="003403A8">
        <w:t xml:space="preserve">, </w:t>
      </w:r>
      <w:r>
        <w:t>June 2021</w:t>
      </w:r>
      <w:r w:rsidRPr="003403A8">
        <w:t>,</w:t>
      </w:r>
      <w:r>
        <w:t xml:space="preserve"> </w:t>
      </w:r>
      <w:r w:rsidRPr="0098106F">
        <w:t>https://www.bis.org/publ/arpdf/ar2021e.pdf</w:t>
      </w:r>
    </w:p>
    <w:p w14:paraId="31FF878D" w14:textId="77777777" w:rsidR="00C84922" w:rsidRPr="00F65F3A" w:rsidRDefault="00C84922" w:rsidP="00C84922">
      <w:pPr>
        <w:rPr>
          <w:sz w:val="16"/>
        </w:rPr>
      </w:pPr>
      <w:r w:rsidRPr="00F65F3A">
        <w:rPr>
          <w:sz w:val="16"/>
        </w:rPr>
        <w:t>Inequality and inflation</w:t>
      </w:r>
    </w:p>
    <w:p w14:paraId="32FFE9F7" w14:textId="77777777" w:rsidR="00C84922" w:rsidRPr="00F65F3A" w:rsidRDefault="00C84922" w:rsidP="00C84922">
      <w:pPr>
        <w:rPr>
          <w:sz w:val="16"/>
        </w:rPr>
      </w:pPr>
      <w:r w:rsidRPr="00F65F3A">
        <w:rPr>
          <w:sz w:val="16"/>
        </w:rPr>
        <w:t xml:space="preserve">In most AEs and in several EMEs, inflation has been low and stable over the past several decades. Yet </w:t>
      </w:r>
      <w:r w:rsidRPr="00F65F3A">
        <w:rPr>
          <w:rStyle w:val="StyleUnderline"/>
        </w:rPr>
        <w:t xml:space="preserve">it would be </w:t>
      </w:r>
      <w:r w:rsidRPr="00F65F3A">
        <w:rPr>
          <w:rStyle w:val="Emphasis"/>
        </w:rPr>
        <w:t>imprudent</w:t>
      </w:r>
      <w:r w:rsidRPr="00F65F3A">
        <w:rPr>
          <w:rStyle w:val="StyleUnderline"/>
        </w:rPr>
        <w:t xml:space="preserve"> to forget the costs of high and runaway inflation</w:t>
      </w:r>
      <w:r w:rsidRPr="00F65F3A">
        <w:rPr>
          <w:sz w:val="16"/>
        </w:rPr>
        <w:t xml:space="preserve">. It is well understood that </w:t>
      </w:r>
      <w:r w:rsidRPr="00F65F3A">
        <w:rPr>
          <w:rStyle w:val="Emphasis"/>
        </w:rPr>
        <w:t>uncontrolled inflation</w:t>
      </w:r>
      <w:r w:rsidRPr="00F65F3A">
        <w:rPr>
          <w:rStyle w:val="StyleUnderline"/>
        </w:rPr>
        <w:t xml:space="preserve"> leads to a </w:t>
      </w:r>
      <w:r w:rsidRPr="00F65F3A">
        <w:rPr>
          <w:rStyle w:val="Emphasis"/>
        </w:rPr>
        <w:t>significant misallocation</w:t>
      </w:r>
      <w:r w:rsidRPr="00F65F3A">
        <w:rPr>
          <w:rStyle w:val="StyleUnderline"/>
        </w:rPr>
        <w:t xml:space="preserve"> of resources and </w:t>
      </w:r>
      <w:r w:rsidRPr="00F65F3A">
        <w:rPr>
          <w:rStyle w:val="Emphasis"/>
        </w:rPr>
        <w:t>numerous inefficiencies</w:t>
      </w:r>
      <w:r w:rsidRPr="00F65F3A">
        <w:rPr>
          <w:rStyle w:val="StyleUnderline"/>
        </w:rPr>
        <w:t xml:space="preserve"> and</w:t>
      </w:r>
      <w:r w:rsidRPr="00F65F3A">
        <w:rPr>
          <w:sz w:val="16"/>
        </w:rPr>
        <w:t xml:space="preserve"> hence to </w:t>
      </w:r>
      <w:r w:rsidRPr="00F65F3A">
        <w:rPr>
          <w:rStyle w:val="StyleUnderline"/>
        </w:rPr>
        <w:t xml:space="preserve">overall </w:t>
      </w:r>
      <w:r w:rsidRPr="00F65F3A">
        <w:rPr>
          <w:rStyle w:val="Emphasis"/>
        </w:rPr>
        <w:t>lower economic growth</w:t>
      </w:r>
      <w:r w:rsidRPr="00F65F3A">
        <w:rPr>
          <w:sz w:val="16"/>
        </w:rPr>
        <w:t xml:space="preserve">.11 While high and runaway inflation, such as that experienced by many AEs in the 1970s, can hamper growth, </w:t>
      </w:r>
      <w:r w:rsidRPr="00F65F3A">
        <w:rPr>
          <w:rStyle w:val="StyleUnderline"/>
        </w:rPr>
        <w:t>hyperinflation</w:t>
      </w:r>
      <w:r w:rsidRPr="00F65F3A">
        <w:rPr>
          <w:sz w:val="16"/>
        </w:rPr>
        <w:t xml:space="preserve"> of the likes of Germany in the 1920s or Latin America in the 1980s </w:t>
      </w:r>
      <w:r w:rsidRPr="00F65F3A">
        <w:rPr>
          <w:rStyle w:val="StyleUnderline"/>
        </w:rPr>
        <w:t xml:space="preserve">can </w:t>
      </w:r>
      <w:r w:rsidRPr="00F65F3A">
        <w:rPr>
          <w:rStyle w:val="Emphasis"/>
        </w:rPr>
        <w:t>wreak economic havoc</w:t>
      </w:r>
      <w:r w:rsidRPr="00F65F3A">
        <w:rPr>
          <w:rStyle w:val="StyleUnderline"/>
        </w:rPr>
        <w:t xml:space="preserve"> and in the process </w:t>
      </w:r>
      <w:r w:rsidRPr="00F65F3A">
        <w:rPr>
          <w:rStyle w:val="Emphasis"/>
        </w:rPr>
        <w:t>destroy public trust</w:t>
      </w:r>
      <w:r w:rsidRPr="00F65F3A">
        <w:rPr>
          <w:rStyle w:val="StyleUnderline"/>
        </w:rPr>
        <w:t xml:space="preserve"> in governments and institutions</w:t>
      </w:r>
      <w:r w:rsidRPr="00F65F3A">
        <w:rPr>
          <w:sz w:val="16"/>
        </w:rPr>
        <w:t>.</w:t>
      </w:r>
    </w:p>
    <w:p w14:paraId="1EBF75FC" w14:textId="77777777" w:rsidR="00C84922" w:rsidRPr="00F65F3A" w:rsidRDefault="00C84922" w:rsidP="00C84922">
      <w:pPr>
        <w:rPr>
          <w:rStyle w:val="StyleUnderline"/>
        </w:rPr>
      </w:pPr>
      <w:r w:rsidRPr="00F65F3A">
        <w:rPr>
          <w:rStyle w:val="StyleUnderline"/>
        </w:rPr>
        <w:t xml:space="preserve">The impact of inflation on inequality has been widely studied. Inflation </w:t>
      </w:r>
      <w:r w:rsidRPr="00F65F3A">
        <w:rPr>
          <w:rStyle w:val="Emphasis"/>
        </w:rPr>
        <w:t>shifts income and wealth away</w:t>
      </w:r>
      <w:r w:rsidRPr="00F65F3A">
        <w:rPr>
          <w:rStyle w:val="StyleUnderline"/>
        </w:rPr>
        <w:t xml:space="preserve"> from those who are </w:t>
      </w:r>
      <w:r w:rsidRPr="00F65F3A">
        <w:rPr>
          <w:rStyle w:val="Emphasis"/>
        </w:rPr>
        <w:t>least aware</w:t>
      </w:r>
      <w:r w:rsidRPr="00F65F3A">
        <w:rPr>
          <w:rStyle w:val="StyleUnderline"/>
        </w:rPr>
        <w:t xml:space="preserve"> of it, or least able to protect against it. These </w:t>
      </w:r>
      <w:r w:rsidRPr="00F65F3A">
        <w:rPr>
          <w:sz w:val="16"/>
        </w:rPr>
        <w:t xml:space="preserve">segments of the population often </w:t>
      </w:r>
      <w:r w:rsidRPr="00F65F3A">
        <w:rPr>
          <w:rStyle w:val="StyleUnderline"/>
        </w:rPr>
        <w:t xml:space="preserve">coincide with </w:t>
      </w:r>
      <w:r w:rsidRPr="00F65F3A">
        <w:rPr>
          <w:rStyle w:val="Emphasis"/>
        </w:rPr>
        <w:t>lowerincome groups</w:t>
      </w:r>
      <w:r w:rsidRPr="00F65F3A">
        <w:rPr>
          <w:rStyle w:val="StyleUnderline"/>
        </w:rPr>
        <w:t xml:space="preserve">, which explains why inflation has often been portrayed as a most </w:t>
      </w:r>
      <w:r w:rsidRPr="00F65F3A">
        <w:rPr>
          <w:rStyle w:val="Emphasis"/>
        </w:rPr>
        <w:t>regressive form of tax.</w:t>
      </w:r>
      <w:r w:rsidRPr="00F65F3A">
        <w:rPr>
          <w:rStyle w:val="StyleUnderline"/>
        </w:rPr>
        <w:t xml:space="preserve"> The “inflation tax” takes its toll through the </w:t>
      </w:r>
      <w:r w:rsidRPr="00F65F3A">
        <w:rPr>
          <w:rStyle w:val="Emphasis"/>
        </w:rPr>
        <w:t>erosion</w:t>
      </w:r>
      <w:r w:rsidRPr="00F65F3A">
        <w:rPr>
          <w:rStyle w:val="StyleUnderline"/>
        </w:rPr>
        <w:t xml:space="preserve"> of the value of financial assets and contracts fixed in nominal terms.</w:t>
      </w:r>
    </w:p>
    <w:p w14:paraId="321E0270" w14:textId="77777777" w:rsidR="00C84922" w:rsidRPr="00F65F3A" w:rsidRDefault="00C84922" w:rsidP="00C84922">
      <w:pPr>
        <w:rPr>
          <w:sz w:val="16"/>
        </w:rPr>
      </w:pPr>
      <w:r w:rsidRPr="00F65F3A">
        <w:rPr>
          <w:sz w:val="16"/>
        </w:rPr>
        <w:t xml:space="preserve">As regards wealth distribution, </w:t>
      </w:r>
      <w:r w:rsidRPr="00F65F3A">
        <w:rPr>
          <w:rStyle w:val="StyleUnderline"/>
        </w:rPr>
        <w:t xml:space="preserve">the financial assets </w:t>
      </w:r>
      <w:r w:rsidRPr="00F65F3A">
        <w:rPr>
          <w:sz w:val="16"/>
        </w:rPr>
        <w:t xml:space="preserve">that are </w:t>
      </w:r>
      <w:r w:rsidRPr="00F65F3A">
        <w:rPr>
          <w:rStyle w:val="StyleUnderline"/>
        </w:rPr>
        <w:t xml:space="preserve">most vulnerable to inflation are </w:t>
      </w:r>
      <w:r w:rsidRPr="00F65F3A">
        <w:rPr>
          <w:rStyle w:val="Emphasis"/>
        </w:rPr>
        <w:t>cash and bank accounts</w:t>
      </w:r>
      <w:r w:rsidRPr="00F65F3A">
        <w:rPr>
          <w:rStyle w:val="StyleUnderline"/>
        </w:rPr>
        <w:t xml:space="preserve"> – the typical savings vehicles held by the </w:t>
      </w:r>
      <w:r w:rsidRPr="00F65F3A">
        <w:rPr>
          <w:rStyle w:val="Emphasis"/>
        </w:rPr>
        <w:t>poorest segments</w:t>
      </w:r>
      <w:r w:rsidRPr="00F65F3A">
        <w:rPr>
          <w:rStyle w:val="StyleUnderline"/>
        </w:rPr>
        <w:t xml:space="preserve"> of the population.</w:t>
      </w:r>
      <w:r w:rsidRPr="00F65F3A">
        <w:rPr>
          <w:sz w:val="16"/>
        </w:rPr>
        <w:t xml:space="preserve"> This is mostly because </w:t>
      </w:r>
      <w:r w:rsidRPr="00F65F3A">
        <w:rPr>
          <w:rStyle w:val="StyleUnderline"/>
        </w:rPr>
        <w:t xml:space="preserve">the poorest have access only to </w:t>
      </w:r>
      <w:r w:rsidRPr="00F65F3A">
        <w:rPr>
          <w:rStyle w:val="Emphasis"/>
        </w:rPr>
        <w:t>limited investment options</w:t>
      </w:r>
      <w:r w:rsidRPr="00F65F3A">
        <w:rPr>
          <w:rStyle w:val="StyleUnderline"/>
        </w:rPr>
        <w:t xml:space="preserve"> to protect their savings. By contrast</w:t>
      </w:r>
      <w:r w:rsidRPr="00F65F3A">
        <w:rPr>
          <w:sz w:val="16"/>
        </w:rPr>
        <w:t xml:space="preserve">, not only can </w:t>
      </w:r>
      <w:r w:rsidRPr="00F65F3A">
        <w:rPr>
          <w:rStyle w:val="StyleUnderline"/>
        </w:rPr>
        <w:t xml:space="preserve">richer households </w:t>
      </w:r>
      <w:r w:rsidRPr="00F65F3A">
        <w:rPr>
          <w:rStyle w:val="Emphasis"/>
        </w:rPr>
        <w:t>avail themselves</w:t>
      </w:r>
      <w:r w:rsidRPr="00F65F3A">
        <w:rPr>
          <w:rStyle w:val="StyleUnderline"/>
        </w:rPr>
        <w:t xml:space="preserve"> of</w:t>
      </w:r>
      <w:r w:rsidRPr="00F65F3A">
        <w:rPr>
          <w:sz w:val="16"/>
        </w:rPr>
        <w:t xml:space="preserve"> more </w:t>
      </w:r>
      <w:r w:rsidRPr="00F65F3A">
        <w:rPr>
          <w:rStyle w:val="StyleUnderline"/>
        </w:rPr>
        <w:t>sophisticated inflation hedges</w:t>
      </w:r>
      <w:r w:rsidRPr="00F65F3A">
        <w:rPr>
          <w:sz w:val="16"/>
        </w:rPr>
        <w:t xml:space="preserve">; </w:t>
      </w:r>
      <w:r w:rsidRPr="00F65F3A">
        <w:rPr>
          <w:rStyle w:val="StyleUnderline"/>
        </w:rPr>
        <w:t xml:space="preserve">they may also be able to easily </w:t>
      </w:r>
      <w:r w:rsidRPr="00F65F3A">
        <w:rPr>
          <w:rStyle w:val="Emphasis"/>
        </w:rPr>
        <w:t>transfer their assets abroad</w:t>
      </w:r>
      <w:r w:rsidRPr="00F65F3A">
        <w:rPr>
          <w:sz w:val="16"/>
        </w:rPr>
        <w:t xml:space="preserve">, thus </w:t>
      </w:r>
      <w:r w:rsidRPr="00F65F3A">
        <w:rPr>
          <w:rStyle w:val="StyleUnderline"/>
        </w:rPr>
        <w:t>shielding their wealth from depreciations</w:t>
      </w:r>
      <w:r w:rsidRPr="00F65F3A">
        <w:rPr>
          <w:sz w:val="16"/>
        </w:rPr>
        <w:t xml:space="preserve"> of the domestic currency.</w:t>
      </w:r>
    </w:p>
    <w:p w14:paraId="44505DE0" w14:textId="77777777" w:rsidR="00C84922" w:rsidRPr="00F65F3A" w:rsidRDefault="00C84922" w:rsidP="00C84922">
      <w:pPr>
        <w:rPr>
          <w:sz w:val="16"/>
        </w:rPr>
      </w:pPr>
      <w:r w:rsidRPr="00F65F3A">
        <w:rPr>
          <w:sz w:val="16"/>
        </w:rPr>
        <w:t xml:space="preserve">As regards income distribution, </w:t>
      </w:r>
      <w:r w:rsidRPr="00F65F3A">
        <w:rPr>
          <w:rStyle w:val="StyleUnderline"/>
        </w:rPr>
        <w:t xml:space="preserve">wages and pensions – the </w:t>
      </w:r>
      <w:r w:rsidRPr="00F65F3A">
        <w:rPr>
          <w:rStyle w:val="Emphasis"/>
        </w:rPr>
        <w:t>main sources</w:t>
      </w:r>
      <w:r w:rsidRPr="00F65F3A">
        <w:rPr>
          <w:rStyle w:val="StyleUnderline"/>
        </w:rPr>
        <w:t xml:space="preserve"> of income for</w:t>
      </w:r>
      <w:r w:rsidRPr="00F65F3A">
        <w:rPr>
          <w:sz w:val="16"/>
        </w:rPr>
        <w:t xml:space="preserve"> a large majority of households and even more so for </w:t>
      </w:r>
      <w:r w:rsidRPr="00F65F3A">
        <w:rPr>
          <w:rStyle w:val="StyleUnderline"/>
        </w:rPr>
        <w:t>the poorest</w:t>
      </w:r>
      <w:r w:rsidRPr="00F65F3A">
        <w:rPr>
          <w:sz w:val="16"/>
        </w:rPr>
        <w:t xml:space="preserve"> half of the population – </w:t>
      </w:r>
      <w:r w:rsidRPr="00F65F3A">
        <w:rPr>
          <w:rStyle w:val="StyleUnderline"/>
        </w:rPr>
        <w:t xml:space="preserve">are typically fixed in </w:t>
      </w:r>
      <w:r w:rsidRPr="00F65F3A">
        <w:rPr>
          <w:rStyle w:val="Emphasis"/>
        </w:rPr>
        <w:t>nominal terms</w:t>
      </w:r>
      <w:r w:rsidRPr="00F65F3A">
        <w:rPr>
          <w:rStyle w:val="StyleUnderline"/>
        </w:rPr>
        <w:t xml:space="preserve"> and hence </w:t>
      </w:r>
      <w:r w:rsidRPr="00F65F3A">
        <w:rPr>
          <w:rStyle w:val="Emphasis"/>
        </w:rPr>
        <w:t>vulnerable</w:t>
      </w:r>
      <w:r w:rsidRPr="00F65F3A">
        <w:rPr>
          <w:rStyle w:val="StyleUnderline"/>
        </w:rPr>
        <w:t xml:space="preserve"> to inflation. Indexation mechanisms</w:t>
      </w:r>
      <w:r w:rsidRPr="00F65F3A">
        <w:rPr>
          <w:sz w:val="16"/>
        </w:rPr>
        <w:t xml:space="preserve">, such as those adopted in many AEs in the 1970s, </w:t>
      </w:r>
      <w:r w:rsidRPr="00F65F3A">
        <w:rPr>
          <w:rStyle w:val="StyleUnderline"/>
        </w:rPr>
        <w:t xml:space="preserve">are </w:t>
      </w:r>
      <w:r w:rsidRPr="00F65F3A">
        <w:rPr>
          <w:rStyle w:val="Emphasis"/>
        </w:rPr>
        <w:t>no panacea</w:t>
      </w:r>
      <w:r w:rsidRPr="00F65F3A">
        <w:rPr>
          <w:rStyle w:val="StyleUnderline"/>
        </w:rPr>
        <w:t>: they may fail to keep pace as inflation accelerates</w:t>
      </w:r>
      <w:r w:rsidRPr="00F65F3A">
        <w:rPr>
          <w:sz w:val="16"/>
        </w:rPr>
        <w:t xml:space="preserve"> (Graph II.4, lefthand panel); and they may themselves fuel and entrench inflation further.</w:t>
      </w:r>
    </w:p>
    <w:p w14:paraId="5A2E3663" w14:textId="77777777" w:rsidR="00C84922" w:rsidRPr="00F65F3A" w:rsidRDefault="00C84922" w:rsidP="00C84922">
      <w:pPr>
        <w:rPr>
          <w:sz w:val="16"/>
        </w:rPr>
      </w:pPr>
      <w:r w:rsidRPr="00F65F3A">
        <w:rPr>
          <w:sz w:val="16"/>
        </w:rPr>
        <w:t xml:space="preserve">The impact of inflation on income inequality depends on how high the inflation rate is. In particular, </w:t>
      </w:r>
      <w:r w:rsidRPr="00F65F3A">
        <w:rPr>
          <w:rStyle w:val="StyleUnderline"/>
        </w:rPr>
        <w:t>the erosion of real wages</w:t>
      </w:r>
      <w:r w:rsidRPr="00F65F3A">
        <w:rPr>
          <w:sz w:val="16"/>
        </w:rPr>
        <w:t xml:space="preserve"> (Graph II.4, right-hand panel) </w:t>
      </w:r>
      <w:r w:rsidRPr="00F65F3A">
        <w:rPr>
          <w:rStyle w:val="StyleUnderline"/>
        </w:rPr>
        <w:t xml:space="preserve">is </w:t>
      </w:r>
      <w:r w:rsidRPr="00F65F3A">
        <w:rPr>
          <w:rStyle w:val="Emphasis"/>
        </w:rPr>
        <w:t>very small</w:t>
      </w:r>
      <w:r w:rsidRPr="00F65F3A">
        <w:rPr>
          <w:rStyle w:val="StyleUnderline"/>
        </w:rPr>
        <w:t xml:space="preserve"> for an inflation rate of </w:t>
      </w:r>
      <w:r w:rsidRPr="00F65F3A">
        <w:rPr>
          <w:rStyle w:val="Emphasis"/>
        </w:rPr>
        <w:t>5%</w:t>
      </w:r>
      <w:r w:rsidRPr="00F65F3A">
        <w:rPr>
          <w:rStyle w:val="StyleUnderline"/>
        </w:rPr>
        <w:t xml:space="preserve"> </w:t>
      </w:r>
      <w:r w:rsidRPr="00F65F3A">
        <w:rPr>
          <w:sz w:val="16"/>
        </w:rPr>
        <w:t xml:space="preserve">(or less) per year, </w:t>
      </w:r>
      <w:r w:rsidRPr="00F65F3A">
        <w:rPr>
          <w:rStyle w:val="StyleUnderline"/>
        </w:rPr>
        <w:t xml:space="preserve">but becomes </w:t>
      </w:r>
      <w:r w:rsidRPr="00F65F3A">
        <w:rPr>
          <w:rStyle w:val="Emphasis"/>
        </w:rPr>
        <w:t>sizeable</w:t>
      </w:r>
      <w:r w:rsidRPr="00F65F3A">
        <w:rPr>
          <w:rStyle w:val="StyleUnderline"/>
        </w:rPr>
        <w:t xml:space="preserve"> when inflation steps up to </w:t>
      </w:r>
      <w:r w:rsidRPr="00F65F3A">
        <w:rPr>
          <w:rStyle w:val="Emphasis"/>
        </w:rPr>
        <w:t>20%</w:t>
      </w:r>
      <w:r w:rsidRPr="00F65F3A">
        <w:rPr>
          <w:sz w:val="16"/>
        </w:rPr>
        <w:t xml:space="preserve"> – even when wages are adjusted at a quarterly frequency. The cost of 20% inflation is about 2% of annual earnings when there are quarterly wage adjustments, but jumps to 8.5% when wages are adjusted only once a year. </w:t>
      </w:r>
      <w:r w:rsidRPr="00F65F3A">
        <w:rPr>
          <w:rStyle w:val="StyleUnderline"/>
        </w:rPr>
        <w:t xml:space="preserve">The impact on </w:t>
      </w:r>
      <w:r w:rsidRPr="00F65F3A">
        <w:rPr>
          <w:rStyle w:val="Emphasis"/>
        </w:rPr>
        <w:t>wages</w:t>
      </w:r>
      <w:r w:rsidRPr="00F65F3A">
        <w:rPr>
          <w:rStyle w:val="StyleUnderline"/>
        </w:rPr>
        <w:t xml:space="preserve"> is the </w:t>
      </w:r>
      <w:r w:rsidRPr="00F65F3A">
        <w:rPr>
          <w:rStyle w:val="Emphasis"/>
        </w:rPr>
        <w:t>most sizeable effect</w:t>
      </w:r>
      <w:r w:rsidRPr="00F65F3A">
        <w:rPr>
          <w:rStyle w:val="StyleUnderline"/>
        </w:rPr>
        <w:t xml:space="preserve"> </w:t>
      </w:r>
      <w:r w:rsidRPr="00F65F3A">
        <w:rPr>
          <w:rStyle w:val="Emphasis"/>
        </w:rPr>
        <w:t>of inflation</w:t>
      </w:r>
      <w:r w:rsidRPr="00F65F3A">
        <w:rPr>
          <w:rStyle w:val="StyleUnderline"/>
        </w:rPr>
        <w:t xml:space="preserve"> on the </w:t>
      </w:r>
      <w:r w:rsidRPr="00F65F3A">
        <w:rPr>
          <w:rStyle w:val="Emphasis"/>
        </w:rPr>
        <w:t>bottom</w:t>
      </w:r>
      <w:r w:rsidRPr="00F65F3A">
        <w:rPr>
          <w:rStyle w:val="StyleUnderline"/>
        </w:rPr>
        <w:t xml:space="preserve"> of the income distribution</w:t>
      </w:r>
      <w:r w:rsidRPr="00F65F3A">
        <w:rPr>
          <w:sz w:val="16"/>
        </w:rPr>
        <w:t>; only a tiny share of the overall loss is due to the erosion of cash savings for the poor, given their relatively small holdings.</w:t>
      </w:r>
    </w:p>
    <w:p w14:paraId="39E94FE7" w14:textId="77777777" w:rsidR="00C84922" w:rsidRPr="00F65F3A" w:rsidRDefault="00C84922" w:rsidP="00C84922">
      <w:pPr>
        <w:rPr>
          <w:sz w:val="16"/>
        </w:rPr>
      </w:pPr>
      <w:r w:rsidRPr="00F65F3A">
        <w:rPr>
          <w:rStyle w:val="StyleUnderline"/>
        </w:rPr>
        <w:t>Bringing runaway inflation under control</w:t>
      </w:r>
      <w:r w:rsidRPr="00F65F3A">
        <w:rPr>
          <w:sz w:val="16"/>
        </w:rPr>
        <w:t xml:space="preserve"> not only improves growth prospects; it also </w:t>
      </w:r>
      <w:r w:rsidRPr="00F65F3A">
        <w:rPr>
          <w:rStyle w:val="Emphasis"/>
        </w:rPr>
        <w:t>mitigates inequality</w:t>
      </w:r>
      <w:r w:rsidRPr="00F65F3A">
        <w:rPr>
          <w:rStyle w:val="StyleUnderline"/>
        </w:rPr>
        <w:t>, all else equal</w:t>
      </w:r>
      <w:r w:rsidRPr="00F65F3A">
        <w:rPr>
          <w:sz w:val="16"/>
        </w:rPr>
        <w:t xml:space="preserve">. Empirical evidence shows that this is especially the case for EMEs, where the “conquest of inflation” has often been associated with reductions in income inequality. As an illustration, it is sufficient to ook at the cross-country evolution of the income Gini index around 34 “conquests of inflation” during the past 30 years. In the cases involving EMEs, the median income Gini index declined by two points in the seven to eight years after central banks reduced annual inflation below 5% on a sustained basis (Graph II.5, left-hand panel). </w:t>
      </w:r>
      <w:r w:rsidRPr="00F65F3A">
        <w:rPr>
          <w:rStyle w:val="StyleUnderline"/>
        </w:rPr>
        <w:t>The benefits of lower inflation in the form of a more equal income distribution</w:t>
      </w:r>
      <w:r w:rsidRPr="00F65F3A">
        <w:rPr>
          <w:sz w:val="16"/>
        </w:rPr>
        <w:t xml:space="preserve"> may partly </w:t>
      </w:r>
      <w:r w:rsidRPr="00F65F3A">
        <w:rPr>
          <w:rStyle w:val="StyleUnderline"/>
        </w:rPr>
        <w:t xml:space="preserve">reflect that it brings an overall improvement in the business environment, thereby </w:t>
      </w:r>
      <w:r w:rsidRPr="00F65F3A">
        <w:rPr>
          <w:rStyle w:val="Emphasis"/>
        </w:rPr>
        <w:t>boosting economic growth</w:t>
      </w:r>
      <w:r w:rsidRPr="00F65F3A">
        <w:rPr>
          <w:sz w:val="16"/>
        </w:rPr>
        <w:t>.12</w:t>
      </w:r>
    </w:p>
    <w:p w14:paraId="46AB25E3" w14:textId="77777777" w:rsidR="00C84922" w:rsidRPr="00F65F3A" w:rsidRDefault="00C84922" w:rsidP="00C84922">
      <w:pPr>
        <w:rPr>
          <w:sz w:val="16"/>
        </w:rPr>
      </w:pPr>
      <w:r w:rsidRPr="00F65F3A">
        <w:t>[[Figures Omitted]]</w:t>
      </w:r>
    </w:p>
    <w:p w14:paraId="2ED94E8E" w14:textId="77777777" w:rsidR="00C84922" w:rsidRPr="00F65F3A" w:rsidRDefault="00C84922" w:rsidP="00C84922">
      <w:pPr>
        <w:rPr>
          <w:sz w:val="16"/>
        </w:rPr>
      </w:pPr>
      <w:r w:rsidRPr="00F65F3A">
        <w:rPr>
          <w:sz w:val="16"/>
        </w:rPr>
        <w:t xml:space="preserve">By contrast, other </w:t>
      </w:r>
      <w:r w:rsidRPr="00F65F3A">
        <w:rPr>
          <w:rStyle w:val="StyleUnderline"/>
        </w:rPr>
        <w:t xml:space="preserve">countries that did not </w:t>
      </w:r>
      <w:r w:rsidRPr="00F65F3A">
        <w:rPr>
          <w:rStyle w:val="Emphasis"/>
        </w:rPr>
        <w:t>sustainably reduce inflation</w:t>
      </w:r>
      <w:r w:rsidRPr="00F65F3A">
        <w:rPr>
          <w:sz w:val="16"/>
        </w:rPr>
        <w:t xml:space="preserve"> or whose inflation was already below 5% – the non-event countries – </w:t>
      </w:r>
      <w:r w:rsidRPr="00F65F3A">
        <w:rPr>
          <w:rStyle w:val="StyleUnderline"/>
        </w:rPr>
        <w:t>experienced a</w:t>
      </w:r>
      <w:r w:rsidRPr="00F65F3A">
        <w:rPr>
          <w:sz w:val="16"/>
        </w:rPr>
        <w:t xml:space="preserve"> mild </w:t>
      </w:r>
      <w:r w:rsidRPr="00F65F3A">
        <w:rPr>
          <w:rStyle w:val="Emphasis"/>
        </w:rPr>
        <w:t>increase in inequality</w:t>
      </w:r>
      <w:r w:rsidRPr="00F65F3A">
        <w:rPr>
          <w:rStyle w:val="StyleUnderline"/>
        </w:rPr>
        <w:t>.</w:t>
      </w:r>
      <w:r w:rsidRPr="00F65F3A">
        <w:rPr>
          <w:sz w:val="16"/>
        </w:rPr>
        <w:t xml:space="preserve"> That said, for AEs which sustainably reduced inflation to below 5%, the relationship between inflation and income inequality is similar to that for the group of countries that did not attain such a reduction, suggesting that other factors have prevailed in pushing up inequality.</w:t>
      </w:r>
    </w:p>
    <w:p w14:paraId="61A7764D" w14:textId="77777777" w:rsidR="00C84922" w:rsidRPr="00F65F3A" w:rsidRDefault="00C84922" w:rsidP="00C84922">
      <w:pPr>
        <w:rPr>
          <w:sz w:val="16"/>
        </w:rPr>
      </w:pPr>
      <w:r w:rsidRPr="00F65F3A">
        <w:rPr>
          <w:sz w:val="16"/>
        </w:rPr>
        <w:t xml:space="preserve">Exchange rate fluctuations are an important factor strengthening the link between inflation and income inequality in EMEs. Naturally, high inflation rates do not bode well for the stability of the domestic currency. In turn, </w:t>
      </w:r>
      <w:r w:rsidRPr="00F65F3A">
        <w:rPr>
          <w:rStyle w:val="StyleUnderline"/>
        </w:rPr>
        <w:t xml:space="preserve">exchange rate depreciations pass through domestic prices </w:t>
      </w:r>
      <w:r w:rsidRPr="00F65F3A">
        <w:rPr>
          <w:sz w:val="16"/>
        </w:rPr>
        <w:t xml:space="preserve">more strongly than in AEs, </w:t>
      </w:r>
      <w:r w:rsidRPr="00F65F3A">
        <w:rPr>
          <w:rStyle w:val="StyleUnderline"/>
        </w:rPr>
        <w:t xml:space="preserve">which </w:t>
      </w:r>
      <w:r w:rsidRPr="00F65F3A">
        <w:rPr>
          <w:rStyle w:val="Emphasis"/>
        </w:rPr>
        <w:t>fuels and entrenches inflation</w:t>
      </w:r>
      <w:r w:rsidRPr="00F65F3A">
        <w:rPr>
          <w:sz w:val="16"/>
        </w:rPr>
        <w:t>. The frequency of large currency depreciations clearly increases with the level of inflation (Graph II.5, right-hand panel). This, in turn, raises the risk of outright crises, which increase unemployment and inequality.</w:t>
      </w:r>
    </w:p>
    <w:p w14:paraId="70724435" w14:textId="77777777" w:rsidR="00C84922" w:rsidRPr="00354FB6" w:rsidRDefault="00C84922" w:rsidP="00C84922"/>
    <w:p w14:paraId="6AAF9618" w14:textId="77777777" w:rsidR="00C84922" w:rsidRPr="00354FB6" w:rsidRDefault="00C84922" w:rsidP="00C84922"/>
    <w:p w14:paraId="6D1E05D6" w14:textId="77777777" w:rsidR="00C84922" w:rsidRPr="00354FB6" w:rsidRDefault="00C84922" w:rsidP="00C84922"/>
    <w:p w14:paraId="33D2CAE5" w14:textId="77777777" w:rsidR="00C84922" w:rsidRPr="00354FB6" w:rsidRDefault="00C84922" w:rsidP="00C84922"/>
    <w:p w14:paraId="38BE7940" w14:textId="77777777" w:rsidR="00C84922" w:rsidRPr="00354FB6" w:rsidRDefault="00C84922" w:rsidP="00C84922"/>
    <w:p w14:paraId="7E3E5FB7" w14:textId="77777777" w:rsidR="00C84922" w:rsidRPr="006A64BA" w:rsidRDefault="00C84922" w:rsidP="00C84922">
      <w:pPr>
        <w:pStyle w:val="Heading3"/>
      </w:pPr>
      <w:r>
        <w:t>2AC---Turn---Asset Prices</w:t>
      </w:r>
    </w:p>
    <w:p w14:paraId="39EAFD05" w14:textId="77777777" w:rsidR="00C84922" w:rsidRPr="003403A8" w:rsidRDefault="00C84922" w:rsidP="00C84922">
      <w:pPr>
        <w:pStyle w:val="Heading4"/>
      </w:pPr>
      <w:r>
        <w:t>If anything, changing monetary policy exacerbates inequality</w:t>
      </w:r>
    </w:p>
    <w:p w14:paraId="06F9874E" w14:textId="77777777" w:rsidR="00C84922" w:rsidRPr="003403A8" w:rsidRDefault="00C84922" w:rsidP="00C84922">
      <w:r>
        <w:rPr>
          <w:rStyle w:val="Style13ptBold"/>
        </w:rPr>
        <w:t>Vereckey</w:t>
      </w:r>
      <w:r w:rsidRPr="003403A8">
        <w:rPr>
          <w:rStyle w:val="Style13ptBold"/>
        </w:rPr>
        <w:t xml:space="preserve"> </w:t>
      </w:r>
      <w:r>
        <w:rPr>
          <w:rStyle w:val="Style13ptBold"/>
        </w:rPr>
        <w:t>21</w:t>
      </w:r>
      <w:r w:rsidRPr="003403A8">
        <w:t xml:space="preserve"> – </w:t>
      </w:r>
      <w:r>
        <w:t xml:space="preserve">editor, citing </w:t>
      </w:r>
      <w:r w:rsidRPr="00F7279C">
        <w:t>Zeti Aziz, former governor of Bank Negara Malaysia</w:t>
      </w:r>
    </w:p>
    <w:p w14:paraId="2DC870B0" w14:textId="77777777" w:rsidR="00C84922" w:rsidRDefault="00C84922" w:rsidP="00C84922">
      <w:r w:rsidRPr="00792381">
        <w:t>Betsy Vereckey</w:t>
      </w:r>
      <w:r w:rsidRPr="003403A8">
        <w:t>, “</w:t>
      </w:r>
      <w:r w:rsidRPr="00792381">
        <w:t>Should central banks address inequality? Experts weigh in</w:t>
      </w:r>
      <w:r w:rsidRPr="003403A8">
        <w:t xml:space="preserve">,” </w:t>
      </w:r>
      <w:r w:rsidRPr="00792381">
        <w:t>MIT Sloan School of Management</w:t>
      </w:r>
      <w:r w:rsidRPr="003403A8">
        <w:t xml:space="preserve">, </w:t>
      </w:r>
      <w:r>
        <w:t>8-3-21</w:t>
      </w:r>
      <w:r w:rsidRPr="003403A8">
        <w:t xml:space="preserve">, </w:t>
      </w:r>
      <w:r w:rsidRPr="00792381">
        <w:t>https://mitsloan.mit.edu/ideas-made-to-matter/should-central-banks-address-inequality-experts-weigh</w:t>
      </w:r>
    </w:p>
    <w:p w14:paraId="7D97CFFF" w14:textId="77777777" w:rsidR="00C84922" w:rsidRPr="00F7279C" w:rsidRDefault="00C84922" w:rsidP="00C84922">
      <w:pPr>
        <w:rPr>
          <w:rStyle w:val="StyleUnderline"/>
        </w:rPr>
      </w:pPr>
      <w:r w:rsidRPr="00F7279C">
        <w:rPr>
          <w:rStyle w:val="StyleUnderline"/>
        </w:rPr>
        <w:t xml:space="preserve">How do interest rates </w:t>
      </w:r>
      <w:r w:rsidRPr="00F7279C">
        <w:rPr>
          <w:rStyle w:val="Emphasis"/>
        </w:rPr>
        <w:t>affect inequality</w:t>
      </w:r>
      <w:r w:rsidRPr="00F7279C">
        <w:rPr>
          <w:rStyle w:val="StyleUnderline"/>
        </w:rPr>
        <w:t>?</w:t>
      </w:r>
    </w:p>
    <w:p w14:paraId="44137574" w14:textId="77777777" w:rsidR="00C84922" w:rsidRPr="00F7279C" w:rsidRDefault="00C84922" w:rsidP="00C84922">
      <w:pPr>
        <w:rPr>
          <w:sz w:val="16"/>
        </w:rPr>
      </w:pPr>
      <w:r w:rsidRPr="00F7279C">
        <w:rPr>
          <w:sz w:val="16"/>
        </w:rPr>
        <w:t xml:space="preserve">Some argue that </w:t>
      </w:r>
      <w:r w:rsidRPr="00F7279C">
        <w:rPr>
          <w:rStyle w:val="StyleUnderline"/>
        </w:rPr>
        <w:t xml:space="preserve">low interest rates increase asset prices, which </w:t>
      </w:r>
      <w:r w:rsidRPr="00F7279C">
        <w:rPr>
          <w:rStyle w:val="Emphasis"/>
        </w:rPr>
        <w:t>benefits asset holders</w:t>
      </w:r>
      <w:r w:rsidRPr="00F7279C">
        <w:rPr>
          <w:sz w:val="16"/>
        </w:rPr>
        <w:t xml:space="preserve"> and the economy, while others say that low interest rates help the lower end of the income distribution by changing unemployment dynamics and boosting growth to the economy.</w:t>
      </w:r>
    </w:p>
    <w:p w14:paraId="398DBAE2" w14:textId="77777777" w:rsidR="00C84922" w:rsidRPr="00F7279C" w:rsidRDefault="00C84922" w:rsidP="00C84922">
      <w:pPr>
        <w:rPr>
          <w:sz w:val="16"/>
        </w:rPr>
      </w:pPr>
      <w:r w:rsidRPr="00F7279C">
        <w:rPr>
          <w:rStyle w:val="StyleUnderline"/>
        </w:rPr>
        <w:t>Zeti noted</w:t>
      </w:r>
      <w:r w:rsidRPr="00F7279C">
        <w:rPr>
          <w:sz w:val="16"/>
        </w:rPr>
        <w:t xml:space="preserve"> that </w:t>
      </w:r>
      <w:r w:rsidRPr="00F7279C">
        <w:rPr>
          <w:rStyle w:val="StyleUnderline"/>
        </w:rPr>
        <w:t xml:space="preserve">when </w:t>
      </w:r>
      <w:r w:rsidRPr="00F7279C">
        <w:rPr>
          <w:rStyle w:val="Emphasis"/>
        </w:rPr>
        <w:t>interest rates are low</w:t>
      </w:r>
      <w:r w:rsidRPr="00F7279C">
        <w:rPr>
          <w:rStyle w:val="StyleUnderline"/>
        </w:rPr>
        <w:t xml:space="preserve"> </w:t>
      </w:r>
      <w:r w:rsidRPr="00F7279C">
        <w:rPr>
          <w:sz w:val="16"/>
        </w:rPr>
        <w:t>and the stock market is doing well, “</w:t>
      </w:r>
      <w:r w:rsidRPr="00F7279C">
        <w:rPr>
          <w:rStyle w:val="StyleUnderline"/>
        </w:rPr>
        <w:t xml:space="preserve">this creates wealth for the </w:t>
      </w:r>
      <w:r w:rsidRPr="00F7279C">
        <w:rPr>
          <w:rStyle w:val="Emphasis"/>
        </w:rPr>
        <w:t>higher-income groups</w:t>
      </w:r>
      <w:r w:rsidRPr="00F7279C">
        <w:rPr>
          <w:rStyle w:val="StyleUnderline"/>
        </w:rPr>
        <w:t xml:space="preserve"> that own stocks and shares </w:t>
      </w:r>
      <w:r w:rsidRPr="00F7279C">
        <w:rPr>
          <w:sz w:val="16"/>
        </w:rPr>
        <w:t>and that have stakes in large corporations and in the financial services.”</w:t>
      </w:r>
    </w:p>
    <w:p w14:paraId="0D473E7B" w14:textId="77777777" w:rsidR="00C84922" w:rsidRPr="00F7279C" w:rsidRDefault="00C84922" w:rsidP="00C84922">
      <w:pPr>
        <w:rPr>
          <w:sz w:val="16"/>
        </w:rPr>
      </w:pPr>
      <w:r w:rsidRPr="00F7279C">
        <w:rPr>
          <w:rStyle w:val="StyleUnderline"/>
        </w:rPr>
        <w:t xml:space="preserve">It also </w:t>
      </w:r>
      <w:r w:rsidRPr="00F7279C">
        <w:rPr>
          <w:rStyle w:val="Emphasis"/>
        </w:rPr>
        <w:t>contributes to increased disparity</w:t>
      </w:r>
      <w:r w:rsidRPr="00F7279C">
        <w:rPr>
          <w:rStyle w:val="StyleUnderline"/>
        </w:rPr>
        <w:t xml:space="preserve"> among poorer individuals and the unbanked. There is “a </w:t>
      </w:r>
      <w:r w:rsidRPr="00F7279C">
        <w:rPr>
          <w:rStyle w:val="Emphasis"/>
        </w:rPr>
        <w:t>linkage</w:t>
      </w:r>
      <w:r w:rsidRPr="00F7279C">
        <w:rPr>
          <w:rStyle w:val="StyleUnderline"/>
        </w:rPr>
        <w:t xml:space="preserve"> between </w:t>
      </w:r>
      <w:r w:rsidRPr="00F7279C">
        <w:rPr>
          <w:rStyle w:val="Emphasis"/>
        </w:rPr>
        <w:t>highly accommodative monetary policy</w:t>
      </w:r>
      <w:r w:rsidRPr="00F7279C">
        <w:rPr>
          <w:rStyle w:val="StyleUnderline"/>
        </w:rPr>
        <w:t xml:space="preserve"> and </w:t>
      </w:r>
      <w:r w:rsidRPr="00F7279C">
        <w:rPr>
          <w:rStyle w:val="Emphasis"/>
        </w:rPr>
        <w:t>more pronounced income inequality</w:t>
      </w:r>
      <w:r w:rsidRPr="00F7279C">
        <w:rPr>
          <w:rStyle w:val="StyleUnderline"/>
        </w:rPr>
        <w:t>,”</w:t>
      </w:r>
      <w:r w:rsidRPr="00F7279C">
        <w:rPr>
          <w:sz w:val="16"/>
        </w:rPr>
        <w:t xml:space="preserve"> she said.</w:t>
      </w:r>
    </w:p>
    <w:p w14:paraId="0134A803" w14:textId="77777777" w:rsidR="00C84922" w:rsidRPr="00F7279C" w:rsidRDefault="00C84922" w:rsidP="00C84922"/>
    <w:p w14:paraId="5C1E3ED3" w14:textId="77777777" w:rsidR="00C84922" w:rsidRDefault="00C84922" w:rsidP="00C84922"/>
    <w:p w14:paraId="0F5D064A" w14:textId="77777777" w:rsidR="00C84922" w:rsidRPr="00F7279C" w:rsidRDefault="00C84922" w:rsidP="00C84922">
      <w:pPr>
        <w:pStyle w:val="Heading3"/>
      </w:pPr>
      <w:r>
        <w:t>1AR---Turn---Asset Prices</w:t>
      </w:r>
    </w:p>
    <w:p w14:paraId="7EC6F775" w14:textId="77777777" w:rsidR="00C84922" w:rsidRPr="003403A8" w:rsidRDefault="00C84922" w:rsidP="00C84922">
      <w:pPr>
        <w:pStyle w:val="Heading4"/>
      </w:pPr>
      <w:r>
        <w:t>Higher rates have disproportionate effects on wealthy asset owners</w:t>
      </w:r>
    </w:p>
    <w:p w14:paraId="321034A6" w14:textId="77777777" w:rsidR="00C84922" w:rsidRPr="003403A8" w:rsidRDefault="00C84922" w:rsidP="00C84922">
      <w:r>
        <w:rPr>
          <w:rStyle w:val="Style13ptBold"/>
        </w:rPr>
        <w:t>He and Cava</w:t>
      </w:r>
      <w:r w:rsidRPr="003403A8">
        <w:rPr>
          <w:rStyle w:val="Style13ptBold"/>
        </w:rPr>
        <w:t xml:space="preserve"> </w:t>
      </w:r>
      <w:r>
        <w:rPr>
          <w:rStyle w:val="Style13ptBold"/>
        </w:rPr>
        <w:t>2</w:t>
      </w:r>
      <w:r w:rsidRPr="003403A8">
        <w:rPr>
          <w:rStyle w:val="Style13ptBold"/>
        </w:rPr>
        <w:t>0</w:t>
      </w:r>
      <w:r w:rsidRPr="003403A8">
        <w:t xml:space="preserve"> – </w:t>
      </w:r>
      <w:r w:rsidRPr="00C570B0">
        <w:t>research economist</w:t>
      </w:r>
      <w:r>
        <w:t xml:space="preserve"> at the Reserve Bank of Australia, </w:t>
      </w:r>
      <w:r w:rsidRPr="0023306B">
        <w:t>Bachelor of Economics and Commerce a</w:t>
      </w:r>
      <w:r>
        <w:t xml:space="preserve">t University of New South Wales; lead of the </w:t>
      </w:r>
      <w:r w:rsidRPr="0023306B">
        <w:t>Micro Analysis and Data</w:t>
      </w:r>
      <w:r>
        <w:t xml:space="preserve"> research team at the Reserve Bank of Australia, </w:t>
      </w:r>
      <w:r w:rsidRPr="0023306B">
        <w:t>PhD in Economics from the London School of Economics</w:t>
      </w:r>
    </w:p>
    <w:p w14:paraId="32C08292" w14:textId="77777777" w:rsidR="00C84922" w:rsidRDefault="00C84922" w:rsidP="00C84922">
      <w:r w:rsidRPr="00C570B0">
        <w:t>Calvin He and Gianni La Cava</w:t>
      </w:r>
      <w:r w:rsidRPr="003403A8">
        <w:t>, “</w:t>
      </w:r>
      <w:r w:rsidRPr="00C570B0">
        <w:t>The Distributional Effects of Monetary Policy: Evidence from Local Housing Markets</w:t>
      </w:r>
      <w:r w:rsidRPr="003403A8">
        <w:t xml:space="preserve">,” </w:t>
      </w:r>
      <w:r w:rsidRPr="00C570B0">
        <w:t>Research Discussion Paper</w:t>
      </w:r>
      <w:r>
        <w:t>, Reserve Bank of Australia</w:t>
      </w:r>
      <w:r w:rsidRPr="003403A8">
        <w:t xml:space="preserve">, </w:t>
      </w:r>
      <w:r w:rsidRPr="00C570B0">
        <w:t>February 2020</w:t>
      </w:r>
      <w:r w:rsidRPr="003403A8">
        <w:t xml:space="preserve">, </w:t>
      </w:r>
      <w:r w:rsidRPr="00C570B0">
        <w:t>https://www.rba.gov.au/publications/rdp/2020/2020-02.html</w:t>
      </w:r>
    </w:p>
    <w:p w14:paraId="1E5DF2B5" w14:textId="77777777" w:rsidR="00C84922" w:rsidRPr="003403A8" w:rsidRDefault="00C84922" w:rsidP="00C84922">
      <w:r>
        <w:t>***Note: cash rate is the Aussie equivalent of the federal funds rate***</w:t>
      </w:r>
    </w:p>
    <w:p w14:paraId="1534D12A" w14:textId="77777777" w:rsidR="00C84922" w:rsidRPr="00787E2E" w:rsidRDefault="00C84922" w:rsidP="00C84922">
      <w:pPr>
        <w:rPr>
          <w:sz w:val="16"/>
        </w:rPr>
      </w:pPr>
      <w:r w:rsidRPr="00787E2E">
        <w:rPr>
          <w:sz w:val="16"/>
        </w:rPr>
        <w:t>5.2 Results</w:t>
      </w:r>
    </w:p>
    <w:p w14:paraId="2648EFB5" w14:textId="77777777" w:rsidR="00C84922" w:rsidRPr="00787E2E" w:rsidRDefault="00C84922" w:rsidP="00C84922">
      <w:pPr>
        <w:rPr>
          <w:sz w:val="16"/>
        </w:rPr>
      </w:pPr>
      <w:r w:rsidRPr="00787E2E">
        <w:rPr>
          <w:sz w:val="16"/>
        </w:rPr>
        <w:t>The estimated coefficients (Beta</w:t>
      </w:r>
      <w:r w:rsidRPr="00787E2E">
        <w:rPr>
          <w:sz w:val="16"/>
          <w:vertAlign w:val="subscript"/>
        </w:rPr>
        <w:t>g,h</w:t>
      </w:r>
      <w:r w:rsidRPr="00787E2E">
        <w:rPr>
          <w:sz w:val="16"/>
        </w:rPr>
        <w:t xml:space="preserve">) of the restricted model are presented in Figure 4. Recall that this model estimates the differential effect of monetary policy between price deciles and the median group (the 5th decile). The </w:t>
      </w:r>
      <w:r w:rsidRPr="0023306B">
        <w:rPr>
          <w:rStyle w:val="StyleUnderline"/>
        </w:rPr>
        <w:t xml:space="preserve">results suggest that </w:t>
      </w:r>
      <w:r w:rsidRPr="00787E2E">
        <w:rPr>
          <w:rStyle w:val="Emphasis"/>
        </w:rPr>
        <w:t>monetary policy has</w:t>
      </w:r>
      <w:r w:rsidRPr="0023306B">
        <w:rPr>
          <w:rStyle w:val="StyleUnderline"/>
        </w:rPr>
        <w:t xml:space="preserve"> </w:t>
      </w:r>
      <w:r w:rsidRPr="00787E2E">
        <w:rPr>
          <w:rStyle w:val="Emphasis"/>
        </w:rPr>
        <w:t>heterogeneous effects</w:t>
      </w:r>
      <w:r w:rsidRPr="0023306B">
        <w:rPr>
          <w:rStyle w:val="StyleUnderline"/>
        </w:rPr>
        <w:t xml:space="preserve"> across the distribution of price levels</w:t>
      </w:r>
      <w:r w:rsidRPr="00787E2E">
        <w:rPr>
          <w:sz w:val="16"/>
        </w:rPr>
        <w:t xml:space="preserve">. Specifically, </w:t>
      </w:r>
      <w:r w:rsidRPr="0023306B">
        <w:rPr>
          <w:rStyle w:val="StyleUnderline"/>
        </w:rPr>
        <w:t xml:space="preserve">following an increase in the cash rate, housing prices in </w:t>
      </w:r>
      <w:r w:rsidRPr="00787E2E">
        <w:rPr>
          <w:rStyle w:val="Emphasis"/>
        </w:rPr>
        <w:t>more expensive housing markets</w:t>
      </w:r>
      <w:r w:rsidRPr="00787E2E">
        <w:rPr>
          <w:sz w:val="16"/>
        </w:rPr>
        <w:t xml:space="preserve"> (the upper deciles) </w:t>
      </w:r>
      <w:r w:rsidRPr="0023306B">
        <w:rPr>
          <w:rStyle w:val="StyleUnderline"/>
        </w:rPr>
        <w:t xml:space="preserve">fall </w:t>
      </w:r>
      <w:r w:rsidRPr="00787E2E">
        <w:rPr>
          <w:rStyle w:val="Emphasis"/>
        </w:rPr>
        <w:t>more strongly</w:t>
      </w:r>
      <w:r w:rsidRPr="0023306B">
        <w:rPr>
          <w:rStyle w:val="StyleUnderline"/>
        </w:rPr>
        <w:t xml:space="preserve"> than prices in </w:t>
      </w:r>
      <w:r w:rsidRPr="00787E2E">
        <w:rPr>
          <w:rStyle w:val="Emphasis"/>
        </w:rPr>
        <w:t>cheaper markets</w:t>
      </w:r>
      <w:r w:rsidRPr="00787E2E">
        <w:rPr>
          <w:sz w:val="16"/>
        </w:rPr>
        <w:t xml:space="preserve"> (the lower deciles).</w:t>
      </w:r>
    </w:p>
    <w:p w14:paraId="5720B61D" w14:textId="77777777" w:rsidR="00C84922" w:rsidRPr="00787E2E" w:rsidRDefault="00C84922" w:rsidP="00C84922">
      <w:pPr>
        <w:rPr>
          <w:sz w:val="16"/>
        </w:rPr>
      </w:pPr>
      <w:r w:rsidRPr="00787E2E">
        <w:t>[[Figure 4 Omitted]]</w:t>
      </w:r>
    </w:p>
    <w:p w14:paraId="1CF75BB1" w14:textId="77777777" w:rsidR="00C84922" w:rsidRPr="00787E2E" w:rsidRDefault="00C84922" w:rsidP="00C84922">
      <w:pPr>
        <w:rPr>
          <w:sz w:val="16"/>
        </w:rPr>
      </w:pPr>
      <w:r w:rsidRPr="00787E2E">
        <w:rPr>
          <w:rStyle w:val="StyleUnderline"/>
        </w:rPr>
        <w:t xml:space="preserve">The </w:t>
      </w:r>
      <w:r w:rsidRPr="00787E2E">
        <w:rPr>
          <w:rStyle w:val="Emphasis"/>
        </w:rPr>
        <w:t>largest differences</w:t>
      </w:r>
      <w:r w:rsidRPr="00787E2E">
        <w:rPr>
          <w:rStyle w:val="StyleUnderline"/>
        </w:rPr>
        <w:t xml:space="preserve"> in response to monetary policy changes occur in the </w:t>
      </w:r>
      <w:r w:rsidRPr="00787E2E">
        <w:rPr>
          <w:rStyle w:val="Emphasis"/>
        </w:rPr>
        <w:t>top half</w:t>
      </w:r>
      <w:r w:rsidRPr="00787E2E">
        <w:rPr>
          <w:rStyle w:val="StyleUnderline"/>
        </w:rPr>
        <w:t xml:space="preserve"> of the price distribution</w:t>
      </w:r>
      <w:r w:rsidRPr="00787E2E">
        <w:rPr>
          <w:sz w:val="16"/>
        </w:rPr>
        <w:t xml:space="preserve">. We find that </w:t>
      </w:r>
      <w:r w:rsidRPr="00787E2E">
        <w:rPr>
          <w:rStyle w:val="StyleUnderline"/>
        </w:rPr>
        <w:t xml:space="preserve">a 100 basis point increase in the cash rate is associated with housing prices </w:t>
      </w:r>
      <w:r w:rsidRPr="002C05E2">
        <w:rPr>
          <w:rStyle w:val="Emphasis"/>
        </w:rPr>
        <w:t>falling by more</w:t>
      </w:r>
      <w:r w:rsidRPr="00787E2E">
        <w:rPr>
          <w:rStyle w:val="StyleUnderline"/>
        </w:rPr>
        <w:t xml:space="preserve"> in the </w:t>
      </w:r>
      <w:r w:rsidRPr="002C05E2">
        <w:rPr>
          <w:rStyle w:val="Emphasis"/>
        </w:rPr>
        <w:t>expensive areas</w:t>
      </w:r>
      <w:r w:rsidRPr="00787E2E">
        <w:rPr>
          <w:sz w:val="16"/>
        </w:rPr>
        <w:t xml:space="preserve"> after about three quarters. The peak difference in housing price responses occurs six quarters following the change in monetary policy at about –1.4 per cent, on average. </w:t>
      </w:r>
      <w:r w:rsidRPr="00787E2E">
        <w:rPr>
          <w:rStyle w:val="StyleUnderline"/>
        </w:rPr>
        <w:t>This implies</w:t>
      </w:r>
      <w:r w:rsidRPr="00787E2E">
        <w:rPr>
          <w:sz w:val="16"/>
        </w:rPr>
        <w:t xml:space="preserve">, for example, </w:t>
      </w:r>
      <w:r w:rsidRPr="00787E2E">
        <w:rPr>
          <w:rStyle w:val="StyleUnderline"/>
        </w:rPr>
        <w:t>that housing prices would fall by about 3.7 per cent</w:t>
      </w:r>
      <w:r w:rsidRPr="00787E2E">
        <w:rPr>
          <w:sz w:val="16"/>
        </w:rPr>
        <w:t xml:space="preserve"> in the top four price deciles if prices in the median area fall by 2.3 per cent </w:t>
      </w:r>
      <w:r w:rsidRPr="00787E2E">
        <w:rPr>
          <w:rStyle w:val="StyleUnderline"/>
        </w:rPr>
        <w:t xml:space="preserve">in response to a </w:t>
      </w:r>
      <w:r w:rsidRPr="002C05E2">
        <w:rPr>
          <w:rStyle w:val="Emphasis"/>
        </w:rPr>
        <w:t>100 basis point increase</w:t>
      </w:r>
      <w:r w:rsidRPr="00787E2E">
        <w:rPr>
          <w:rStyle w:val="StyleUnderline"/>
        </w:rPr>
        <w:t xml:space="preserve"> in the cash rate</w:t>
      </w:r>
      <w:r w:rsidRPr="00787E2E">
        <w:rPr>
          <w:sz w:val="16"/>
        </w:rPr>
        <w:t>. In the bottom half of the price distribution, local areas appear to be less sensitive to changes in the cash rate than the median area, though the evidence is less clear.</w:t>
      </w:r>
    </w:p>
    <w:p w14:paraId="58855104" w14:textId="77777777" w:rsidR="00C84922" w:rsidRDefault="00C84922" w:rsidP="00C84922"/>
    <w:p w14:paraId="0D81FDBE" w14:textId="77777777" w:rsidR="00C84922" w:rsidRPr="003403A8" w:rsidRDefault="00C84922" w:rsidP="00C84922">
      <w:pPr>
        <w:pStyle w:val="Heading4"/>
      </w:pPr>
      <w:r>
        <w:t>That outweighs employment gains</w:t>
      </w:r>
    </w:p>
    <w:p w14:paraId="4EF01C18" w14:textId="77777777" w:rsidR="00C84922" w:rsidRPr="003403A8" w:rsidRDefault="00C84922" w:rsidP="00C84922">
      <w:r>
        <w:rPr>
          <w:rStyle w:val="Style13ptBold"/>
        </w:rPr>
        <w:t>Montecino and Epstein</w:t>
      </w:r>
      <w:r w:rsidRPr="003403A8">
        <w:rPr>
          <w:rStyle w:val="Style13ptBold"/>
        </w:rPr>
        <w:t xml:space="preserve"> </w:t>
      </w:r>
      <w:r>
        <w:rPr>
          <w:rStyle w:val="Style13ptBold"/>
        </w:rPr>
        <w:t>17</w:t>
      </w:r>
      <w:r w:rsidRPr="003403A8">
        <w:t xml:space="preserve"> – </w:t>
      </w:r>
      <w:r w:rsidRPr="000948F0">
        <w:t>Department of Economics, UMass Amherst</w:t>
      </w:r>
      <w:r>
        <w:t xml:space="preserve">; </w:t>
      </w:r>
      <w:r w:rsidRPr="000948F0">
        <w:t>Department of Economics and Political Economy Research Institute (PERI), UMass Amherst</w:t>
      </w:r>
    </w:p>
    <w:p w14:paraId="6C7295CA" w14:textId="77777777" w:rsidR="00C84922" w:rsidRDefault="00C84922" w:rsidP="00C84922">
      <w:r w:rsidRPr="000948F0">
        <w:t>Juan Antonio Montecino</w:t>
      </w:r>
      <w:r>
        <w:t xml:space="preserve"> and </w:t>
      </w:r>
      <w:r w:rsidRPr="000948F0">
        <w:t>Gerald Epstein</w:t>
      </w:r>
      <w:r w:rsidRPr="003403A8">
        <w:t>, “</w:t>
      </w:r>
      <w:r w:rsidRPr="000948F0">
        <w:t>Did Quantitative Easing Increase Income Inequality?</w:t>
      </w:r>
      <w:r w:rsidRPr="003403A8">
        <w:t xml:space="preserve">” Publisher, </w:t>
      </w:r>
      <w:r>
        <w:t>4-24-17</w:t>
      </w:r>
      <w:r w:rsidRPr="003403A8">
        <w:t xml:space="preserve">, </w:t>
      </w:r>
      <w:r w:rsidRPr="000948F0">
        <w:t>https://www.cepweb.org/wp-content/uploads/2017/11/Montecino-paper.pdf</w:t>
      </w:r>
    </w:p>
    <w:p w14:paraId="02E954C2" w14:textId="77777777" w:rsidR="00C84922" w:rsidRPr="000948F0" w:rsidRDefault="00C84922" w:rsidP="00C84922">
      <w:pPr>
        <w:rPr>
          <w:sz w:val="16"/>
        </w:rPr>
      </w:pPr>
      <w:r w:rsidRPr="000948F0">
        <w:rPr>
          <w:sz w:val="16"/>
        </w:rPr>
        <w:t>7 Concluding Remarks</w:t>
      </w:r>
    </w:p>
    <w:p w14:paraId="4C653905" w14:textId="77777777" w:rsidR="00C84922" w:rsidRPr="000948F0" w:rsidRDefault="00C84922" w:rsidP="00C84922">
      <w:pPr>
        <w:rPr>
          <w:rStyle w:val="StyleUnderline"/>
        </w:rPr>
      </w:pPr>
      <w:r w:rsidRPr="000948F0">
        <w:rPr>
          <w:rStyle w:val="StyleUnderline"/>
        </w:rPr>
        <w:t xml:space="preserve">The </w:t>
      </w:r>
      <w:r w:rsidRPr="000948F0">
        <w:rPr>
          <w:rStyle w:val="Emphasis"/>
        </w:rPr>
        <w:t>unavoidable conclusion</w:t>
      </w:r>
      <w:r w:rsidRPr="000948F0">
        <w:rPr>
          <w:sz w:val="16"/>
        </w:rPr>
        <w:t xml:space="preserve"> from the detailed decomposition exercise and the counterfactual analysis carried out above </w:t>
      </w:r>
      <w:r w:rsidRPr="000948F0">
        <w:rPr>
          <w:rStyle w:val="StyleUnderline"/>
        </w:rPr>
        <w:t xml:space="preserve">is that the </w:t>
      </w:r>
      <w:r w:rsidRPr="000948F0">
        <w:rPr>
          <w:rStyle w:val="Emphasis"/>
        </w:rPr>
        <w:t>impact of quantitative easing</w:t>
      </w:r>
      <w:r w:rsidRPr="000948F0">
        <w:rPr>
          <w:rStyle w:val="StyleUnderline"/>
        </w:rPr>
        <w:t xml:space="preserve"> on the distribution income was</w:t>
      </w:r>
      <w:r w:rsidRPr="000948F0">
        <w:rPr>
          <w:sz w:val="16"/>
        </w:rPr>
        <w:t xml:space="preserve"> at least modestly </w:t>
      </w:r>
      <w:r w:rsidRPr="000948F0">
        <w:rPr>
          <w:rStyle w:val="Emphasis"/>
        </w:rPr>
        <w:t>regressive</w:t>
      </w:r>
      <w:r w:rsidRPr="000948F0">
        <w:rPr>
          <w:sz w:val="16"/>
        </w:rPr>
        <w:t xml:space="preserve">. Our decomposition results imply that </w:t>
      </w:r>
      <w:r w:rsidRPr="000948F0">
        <w:rPr>
          <w:rStyle w:val="StyleUnderline"/>
        </w:rPr>
        <w:t xml:space="preserve">the </w:t>
      </w:r>
      <w:r w:rsidRPr="000948F0">
        <w:rPr>
          <w:rStyle w:val="Emphasis"/>
        </w:rPr>
        <w:t>disequalizing effects</w:t>
      </w:r>
      <w:r w:rsidRPr="000948F0">
        <w:rPr>
          <w:rStyle w:val="StyleUnderline"/>
        </w:rPr>
        <w:t xml:space="preserve"> of equity returns </w:t>
      </w:r>
      <w:r w:rsidRPr="000948F0">
        <w:rPr>
          <w:rStyle w:val="Emphasis"/>
        </w:rPr>
        <w:t>far outweighed</w:t>
      </w:r>
      <w:r w:rsidRPr="000948F0">
        <w:rPr>
          <w:rStyle w:val="StyleUnderline"/>
        </w:rPr>
        <w:t xml:space="preserve"> the equalizing effects of </w:t>
      </w:r>
      <w:r w:rsidRPr="000948F0">
        <w:rPr>
          <w:rStyle w:val="Emphasis"/>
        </w:rPr>
        <w:t>employment gains</w:t>
      </w:r>
      <w:r w:rsidRPr="000948F0">
        <w:rPr>
          <w:sz w:val="16"/>
        </w:rPr>
        <w:t xml:space="preserve">. While these decomposition results cannot be interpreted causally, the counterfactual scenarios presented in the previous section suggest that, for reasonable assumptions about the employment effects of QE, </w:t>
      </w:r>
      <w:r w:rsidRPr="000948F0">
        <w:rPr>
          <w:rStyle w:val="StyleUnderline"/>
        </w:rPr>
        <w:t xml:space="preserve">the </w:t>
      </w:r>
      <w:r w:rsidRPr="000948F0">
        <w:rPr>
          <w:rStyle w:val="Emphasis"/>
        </w:rPr>
        <w:t>causal impact</w:t>
      </w:r>
      <w:r w:rsidRPr="000948F0">
        <w:rPr>
          <w:rStyle w:val="StyleUnderline"/>
        </w:rPr>
        <w:t xml:space="preserve"> of QE on stock prices would have to be </w:t>
      </w:r>
      <w:r w:rsidRPr="000948F0">
        <w:rPr>
          <w:rStyle w:val="Emphasis"/>
        </w:rPr>
        <w:t>implausibly small</w:t>
      </w:r>
      <w:r w:rsidRPr="000948F0">
        <w:rPr>
          <w:rStyle w:val="StyleUnderline"/>
        </w:rPr>
        <w:t xml:space="preserve"> for the net effect to be </w:t>
      </w:r>
      <w:r w:rsidRPr="000948F0">
        <w:rPr>
          <w:rStyle w:val="Emphasis"/>
        </w:rPr>
        <w:t>distributionally neutral</w:t>
      </w:r>
      <w:r w:rsidRPr="000948F0">
        <w:rPr>
          <w:rStyle w:val="StyleUnderline"/>
        </w:rPr>
        <w:t>.</w:t>
      </w:r>
    </w:p>
    <w:p w14:paraId="6249448A" w14:textId="77777777" w:rsidR="00C84922" w:rsidRDefault="00C84922" w:rsidP="00C84922"/>
    <w:p w14:paraId="2FD75D2B" w14:textId="77777777" w:rsidR="00C84922" w:rsidRDefault="00C84922" w:rsidP="00C84922"/>
    <w:p w14:paraId="741DF7D6" w14:textId="77777777" w:rsidR="00C84922" w:rsidRPr="00F7279C" w:rsidRDefault="00C84922" w:rsidP="00C84922"/>
    <w:p w14:paraId="3CB9B5F1" w14:textId="77777777" w:rsidR="00C84922" w:rsidRPr="003403A8" w:rsidRDefault="00C84922" w:rsidP="00C84922">
      <w:pPr>
        <w:pStyle w:val="Heading4"/>
      </w:pPr>
      <w:r>
        <w:t>Best, long-term analysis flows aff</w:t>
      </w:r>
    </w:p>
    <w:p w14:paraId="3B85B94A" w14:textId="77777777" w:rsidR="00C84922" w:rsidRPr="003403A8" w:rsidRDefault="00C84922" w:rsidP="00C84922">
      <w:r>
        <w:rPr>
          <w:rStyle w:val="Style13ptBold"/>
        </w:rPr>
        <w:t>Herradi and Leroy</w:t>
      </w:r>
      <w:r w:rsidRPr="003403A8">
        <w:rPr>
          <w:rStyle w:val="Style13ptBold"/>
        </w:rPr>
        <w:t xml:space="preserve"> </w:t>
      </w:r>
      <w:r>
        <w:rPr>
          <w:rStyle w:val="Style13ptBold"/>
        </w:rPr>
        <w:t>19</w:t>
      </w:r>
      <w:r w:rsidRPr="003403A8">
        <w:t xml:space="preserve"> – </w:t>
      </w:r>
      <w:r w:rsidRPr="009C1EE2">
        <w:t>Laboratory for Analysis and Research in Economics and International Finance</w:t>
      </w:r>
      <w:r>
        <w:t xml:space="preserve">, </w:t>
      </w:r>
      <w:r w:rsidRPr="009C1EE2">
        <w:t>University of Bordeaux</w:t>
      </w:r>
    </w:p>
    <w:p w14:paraId="14222473" w14:textId="77777777" w:rsidR="00C84922" w:rsidRDefault="00C84922" w:rsidP="00C84922">
      <w:r w:rsidRPr="009C1EE2">
        <w:t>Mehdi El Herradi and Aurélien Leroy</w:t>
      </w:r>
      <w:r w:rsidRPr="003403A8">
        <w:t>, “</w:t>
      </w:r>
      <w:r>
        <w:t>Monetary policy and the top one percent: Evidence from a century of modern economic history</w:t>
      </w:r>
      <w:r w:rsidRPr="003403A8">
        <w:t xml:space="preserve">,” </w:t>
      </w:r>
      <w:r w:rsidRPr="009C1EE2">
        <w:t>Working Paper No. 632</w:t>
      </w:r>
      <w:r>
        <w:t xml:space="preserve">, </w:t>
      </w:r>
      <w:r w:rsidRPr="009C1EE2">
        <w:t>De Nederlandsche Bank</w:t>
      </w:r>
      <w:r w:rsidRPr="003403A8">
        <w:t xml:space="preserve">, </w:t>
      </w:r>
      <w:r w:rsidRPr="009C1EE2">
        <w:t>April 2019</w:t>
      </w:r>
      <w:r w:rsidRPr="003403A8">
        <w:t xml:space="preserve">, </w:t>
      </w:r>
      <w:r w:rsidRPr="009C1EE2">
        <w:t>https://www.dnb.nl/media/jbybr2et/working-paper-no-632_tcm47-383633.pdf</w:t>
      </w:r>
    </w:p>
    <w:p w14:paraId="7CDD1E13" w14:textId="77777777" w:rsidR="00C84922" w:rsidRPr="00024115" w:rsidRDefault="00C84922" w:rsidP="00C84922">
      <w:pPr>
        <w:rPr>
          <w:sz w:val="16"/>
        </w:rPr>
      </w:pPr>
      <w:r w:rsidRPr="00024115">
        <w:rPr>
          <w:sz w:val="16"/>
        </w:rPr>
        <w:t>5 Conclusion</w:t>
      </w:r>
    </w:p>
    <w:p w14:paraId="49D7B7FC" w14:textId="77777777" w:rsidR="00C84922" w:rsidRPr="00024115" w:rsidRDefault="00C84922" w:rsidP="00C84922">
      <w:pPr>
        <w:rPr>
          <w:sz w:val="16"/>
        </w:rPr>
      </w:pPr>
      <w:r w:rsidRPr="00024115">
        <w:rPr>
          <w:sz w:val="16"/>
        </w:rPr>
        <w:t xml:space="preserve">This paper sought to investigate the distributional consequences of monetary policy between 1920 and 2015. The central idea that guided this paper’s argument is that the </w:t>
      </w:r>
      <w:r w:rsidRPr="00024115">
        <w:rPr>
          <w:rStyle w:val="Emphasis"/>
        </w:rPr>
        <w:t>existing literature</w:t>
      </w:r>
      <w:r w:rsidRPr="009C1EE2">
        <w:rPr>
          <w:rStyle w:val="StyleUnderline"/>
        </w:rPr>
        <w:t xml:space="preserve"> considers the distributional effects of monetary policy using data on inequality over a </w:t>
      </w:r>
      <w:r w:rsidRPr="00024115">
        <w:rPr>
          <w:rStyle w:val="Emphasis"/>
        </w:rPr>
        <w:t>short period of time</w:t>
      </w:r>
      <w:r w:rsidRPr="009C1EE2">
        <w:rPr>
          <w:rStyle w:val="StyleUnderline"/>
        </w:rPr>
        <w:t xml:space="preserve">. However, inequalities tend to vary more in the </w:t>
      </w:r>
      <w:r w:rsidRPr="00024115">
        <w:rPr>
          <w:rStyle w:val="Emphasis"/>
        </w:rPr>
        <w:t>medium-to-long run</w:t>
      </w:r>
      <w:r w:rsidRPr="009C1EE2">
        <w:rPr>
          <w:rStyle w:val="StyleUnderline"/>
        </w:rPr>
        <w:t>. We address this</w:t>
      </w:r>
      <w:r w:rsidRPr="00024115">
        <w:rPr>
          <w:sz w:val="16"/>
        </w:rPr>
        <w:t xml:space="preserve"> shortcoming </w:t>
      </w:r>
      <w:r w:rsidRPr="009C1EE2">
        <w:rPr>
          <w:rStyle w:val="StyleUnderline"/>
        </w:rPr>
        <w:t xml:space="preserve">by studying how changes in monetary policy stance </w:t>
      </w:r>
      <w:r w:rsidRPr="00024115">
        <w:rPr>
          <w:rStyle w:val="Emphasis"/>
        </w:rPr>
        <w:t>over a century</w:t>
      </w:r>
      <w:r w:rsidRPr="009C1EE2">
        <w:rPr>
          <w:rStyle w:val="StyleUnderline"/>
        </w:rPr>
        <w:t xml:space="preserve"> impacted the income distribution while </w:t>
      </w:r>
      <w:r w:rsidRPr="00024115">
        <w:rPr>
          <w:rStyle w:val="Emphasis"/>
        </w:rPr>
        <w:t>controlling</w:t>
      </w:r>
      <w:r w:rsidRPr="009C1EE2">
        <w:rPr>
          <w:rStyle w:val="StyleUnderline"/>
        </w:rPr>
        <w:t xml:space="preserve"> for</w:t>
      </w:r>
      <w:r w:rsidRPr="00024115">
        <w:rPr>
          <w:sz w:val="16"/>
        </w:rPr>
        <w:t xml:space="preserve"> the </w:t>
      </w:r>
      <w:r w:rsidRPr="009C1EE2">
        <w:rPr>
          <w:rStyle w:val="StyleUnderline"/>
        </w:rPr>
        <w:t>determinants of inequality</w:t>
      </w:r>
      <w:r w:rsidRPr="00024115">
        <w:rPr>
          <w:sz w:val="16"/>
        </w:rPr>
        <w:t>. To do so, we combined two large datasets: (i) the World Inequality Database (WID) to extract data on the share of national income held by the richest 1% and the Jordà-Schularick-Taylor Macrohistory Database, which allows us to access large series of macroeconomic and financial variables.</w:t>
      </w:r>
    </w:p>
    <w:p w14:paraId="73BA2CC3" w14:textId="77777777" w:rsidR="00C84922" w:rsidRPr="00024115" w:rsidRDefault="00C84922" w:rsidP="00C84922">
      <w:pPr>
        <w:rPr>
          <w:sz w:val="16"/>
        </w:rPr>
      </w:pPr>
      <w:r w:rsidRPr="00024115">
        <w:rPr>
          <w:sz w:val="16"/>
        </w:rPr>
        <w:t>Our empirical strategy considers two complementary approaches that conciliate between consistency and flexibility. The first approach involves a Panel VAR framework, which delivers the orthogonalized impulse response function of inequality to a monetary policy shock. The second generates dynamic responses by inequality in a Local Projections (LP) setting, wherein a rich set of macroeconomic controls is included. This framework allows us to consider a natural experiment, where exogenous perturbations in monetary policy are driven by factors unrelated to domestic economic conditions. Such exogenous perturbations enter as an instrumental variable, which traces out the impulse responses of inequality.</w:t>
      </w:r>
    </w:p>
    <w:p w14:paraId="48543C76" w14:textId="77777777" w:rsidR="00C84922" w:rsidRPr="00024115" w:rsidRDefault="00C84922" w:rsidP="00C84922">
      <w:pPr>
        <w:rPr>
          <w:rStyle w:val="StyleUnderline"/>
        </w:rPr>
      </w:pPr>
      <w:r w:rsidRPr="009C1EE2">
        <w:rPr>
          <w:rStyle w:val="StyleUnderline"/>
        </w:rPr>
        <w:t xml:space="preserve">The results obtained from </w:t>
      </w:r>
      <w:r w:rsidRPr="00024115">
        <w:rPr>
          <w:rStyle w:val="Emphasis"/>
        </w:rPr>
        <w:t>both empirical methods</w:t>
      </w:r>
      <w:r w:rsidRPr="009C1EE2">
        <w:rPr>
          <w:rStyle w:val="StyleUnderline"/>
        </w:rPr>
        <w:t xml:space="preserve"> indicate that loose monetary conditions </w:t>
      </w:r>
      <w:r w:rsidRPr="00024115">
        <w:rPr>
          <w:rStyle w:val="Emphasis"/>
        </w:rPr>
        <w:t>strongly increase</w:t>
      </w:r>
      <w:r w:rsidRPr="009C1EE2">
        <w:rPr>
          <w:rStyle w:val="StyleUnderline"/>
        </w:rPr>
        <w:t xml:space="preserve"> the </w:t>
      </w:r>
      <w:r w:rsidRPr="00024115">
        <w:rPr>
          <w:rStyle w:val="Emphasis"/>
        </w:rPr>
        <w:t>top one percent’s income</w:t>
      </w:r>
      <w:r w:rsidRPr="009C1EE2">
        <w:rPr>
          <w:rStyle w:val="StyleUnderline"/>
        </w:rPr>
        <w:t xml:space="preserve"> and vice versa.</w:t>
      </w:r>
      <w:r w:rsidRPr="00024115">
        <w:rPr>
          <w:sz w:val="16"/>
        </w:rPr>
        <w:t xml:space="preserve"> In fact, </w:t>
      </w:r>
      <w:r w:rsidRPr="009C1EE2">
        <w:rPr>
          <w:rStyle w:val="StyleUnderline"/>
        </w:rPr>
        <w:t xml:space="preserve">following an </w:t>
      </w:r>
      <w:r w:rsidRPr="00024115">
        <w:rPr>
          <w:rStyle w:val="Emphasis"/>
        </w:rPr>
        <w:t>expansionary monetary policy shock</w:t>
      </w:r>
      <w:r w:rsidRPr="009C1EE2">
        <w:rPr>
          <w:rStyle w:val="StyleUnderline"/>
        </w:rPr>
        <w:t xml:space="preserve">, the share of national income held by the </w:t>
      </w:r>
      <w:r w:rsidRPr="00024115">
        <w:rPr>
          <w:rStyle w:val="Emphasis"/>
        </w:rPr>
        <w:t>richest 1 percent increases</w:t>
      </w:r>
      <w:r w:rsidRPr="009C1EE2">
        <w:rPr>
          <w:rStyle w:val="StyleUnderline"/>
        </w:rPr>
        <w:t xml:space="preserve"> by approximately </w:t>
      </w:r>
      <w:r w:rsidRPr="00024115">
        <w:rPr>
          <w:rStyle w:val="Emphasis"/>
        </w:rPr>
        <w:t>1 to 6 percentage</w:t>
      </w:r>
      <w:r w:rsidRPr="009C1EE2">
        <w:rPr>
          <w:rStyle w:val="StyleUnderline"/>
        </w:rPr>
        <w:t xml:space="preserve"> </w:t>
      </w:r>
      <w:r w:rsidRPr="00024115">
        <w:rPr>
          <w:rStyle w:val="Emphasis"/>
        </w:rPr>
        <w:t>points</w:t>
      </w:r>
      <w:r w:rsidRPr="00024115">
        <w:rPr>
          <w:sz w:val="16"/>
        </w:rPr>
        <w:t xml:space="preserve">, according to estimates from the Panel VAR and Local Projections (LP). </w:t>
      </w:r>
      <w:r w:rsidRPr="009C1EE2">
        <w:rPr>
          <w:rStyle w:val="StyleUnderline"/>
        </w:rPr>
        <w:t xml:space="preserve">This effect is </w:t>
      </w:r>
      <w:r w:rsidRPr="00024115">
        <w:rPr>
          <w:rStyle w:val="Emphasis"/>
        </w:rPr>
        <w:t>statistically significant</w:t>
      </w:r>
      <w:r w:rsidRPr="009C1EE2">
        <w:rPr>
          <w:rStyle w:val="StyleUnderline"/>
        </w:rPr>
        <w:t xml:space="preserve"> in the medium run and </w:t>
      </w:r>
      <w:r w:rsidRPr="00024115">
        <w:rPr>
          <w:rStyle w:val="Emphasis"/>
        </w:rPr>
        <w:t>economically considerable</w:t>
      </w:r>
      <w:r w:rsidRPr="00024115">
        <w:rPr>
          <w:sz w:val="16"/>
        </w:rPr>
        <w:t xml:space="preserve">. We also demonstrate that </w:t>
      </w:r>
      <w:r w:rsidRPr="00024115">
        <w:rPr>
          <w:rStyle w:val="StyleUnderline"/>
        </w:rPr>
        <w:t xml:space="preserve">the increase in top 1 percent’s share is arguably the result of </w:t>
      </w:r>
      <w:r w:rsidRPr="00024115">
        <w:rPr>
          <w:rStyle w:val="Emphasis"/>
        </w:rPr>
        <w:t>higher asset prices</w:t>
      </w:r>
      <w:r w:rsidRPr="00024115">
        <w:rPr>
          <w:rStyle w:val="StyleUnderline"/>
        </w:rPr>
        <w:t xml:space="preserve">. The baseline results </w:t>
      </w:r>
      <w:r w:rsidRPr="00024115">
        <w:rPr>
          <w:rStyle w:val="Emphasis"/>
        </w:rPr>
        <w:t>hold</w:t>
      </w:r>
      <w:r w:rsidRPr="00024115">
        <w:rPr>
          <w:rStyle w:val="StyleUnderline"/>
        </w:rPr>
        <w:t xml:space="preserve"> under a battery of robustness checks</w:t>
      </w:r>
      <w:r w:rsidRPr="00024115">
        <w:rPr>
          <w:sz w:val="16"/>
        </w:rPr>
        <w:t xml:space="preserve">, which (i) consider an alternative inequality measure, (ii) exclude the U.S. economy from the sample, (iii) specifically focus on the post-WWII period, (iv) remove control variables and (v) test different lag numbers. Furthermore, the regime-switching version of our model indicates that </w:t>
      </w:r>
      <w:r w:rsidRPr="00024115">
        <w:rPr>
          <w:rStyle w:val="StyleUnderline"/>
        </w:rPr>
        <w:t xml:space="preserve">our conclusions are </w:t>
      </w:r>
      <w:r w:rsidRPr="00024115">
        <w:rPr>
          <w:rStyle w:val="Emphasis"/>
        </w:rPr>
        <w:t>robust</w:t>
      </w:r>
      <w:r w:rsidRPr="00024115">
        <w:rPr>
          <w:rStyle w:val="StyleUnderline"/>
        </w:rPr>
        <w:t>, regardless of the state of the economy.</w:t>
      </w:r>
    </w:p>
    <w:p w14:paraId="62A04C03" w14:textId="77777777" w:rsidR="00C84922" w:rsidRDefault="00C84922" w:rsidP="00C84922"/>
    <w:p w14:paraId="3A91046E" w14:textId="77777777" w:rsidR="00C84922" w:rsidRDefault="00C84922" w:rsidP="00C84922">
      <w:pPr>
        <w:pStyle w:val="Heading3"/>
      </w:pPr>
      <w:r>
        <w:t>2AC---Turn---Backlash</w:t>
      </w:r>
    </w:p>
    <w:p w14:paraId="6863B4AB" w14:textId="77777777" w:rsidR="00C84922" w:rsidRPr="003403A8" w:rsidRDefault="00C84922" w:rsidP="00C84922">
      <w:pPr>
        <w:pStyle w:val="Heading4"/>
      </w:pPr>
      <w:r>
        <w:t>Identifying inequality as a specific mandate causes political backlash---zeroes counterplan solvency</w:t>
      </w:r>
    </w:p>
    <w:p w14:paraId="5416F39D" w14:textId="77777777" w:rsidR="00C84922" w:rsidRPr="003403A8" w:rsidRDefault="00C84922" w:rsidP="00C84922">
      <w:r>
        <w:rPr>
          <w:rStyle w:val="Style13ptBold"/>
        </w:rPr>
        <w:t>Jacobs</w:t>
      </w:r>
      <w:r w:rsidRPr="003403A8">
        <w:rPr>
          <w:rStyle w:val="Style13ptBold"/>
        </w:rPr>
        <w:t xml:space="preserve"> </w:t>
      </w:r>
      <w:r>
        <w:rPr>
          <w:rStyle w:val="Style13ptBold"/>
        </w:rPr>
        <w:t>23</w:t>
      </w:r>
      <w:r w:rsidRPr="003403A8">
        <w:t xml:space="preserve"> – </w:t>
      </w:r>
      <w:r>
        <w:t>Economist at the Official Monetary and Financial Institutions Forum</w:t>
      </w:r>
    </w:p>
    <w:p w14:paraId="0F8CB2AB" w14:textId="77777777" w:rsidR="00C84922" w:rsidRDefault="00C84922" w:rsidP="00C84922">
      <w:r>
        <w:t>Julian Jacobs</w:t>
      </w:r>
      <w:r w:rsidRPr="003403A8">
        <w:t>, “</w:t>
      </w:r>
      <w:r w:rsidRPr="00B33EFE">
        <w:t>Should reducing inequality be a central bank mandate?</w:t>
      </w:r>
      <w:r w:rsidRPr="003403A8">
        <w:t xml:space="preserve">” </w:t>
      </w:r>
      <w:r>
        <w:t>Official Monetary and Financial Institutions Forum</w:t>
      </w:r>
      <w:r w:rsidRPr="003403A8">
        <w:t xml:space="preserve">, </w:t>
      </w:r>
      <w:r>
        <w:t>1-27-23</w:t>
      </w:r>
      <w:r w:rsidRPr="003403A8">
        <w:t xml:space="preserve">, </w:t>
      </w:r>
      <w:r w:rsidRPr="001945AC">
        <w:t>https://www.omfif.org/2023/01/should-reducing-inequality-be-a-central-bank-mandate/</w:t>
      </w:r>
    </w:p>
    <w:p w14:paraId="23AEFB6D" w14:textId="77777777" w:rsidR="00C84922" w:rsidRPr="001945AC" w:rsidRDefault="00C84922" w:rsidP="00C84922">
      <w:pPr>
        <w:rPr>
          <w:sz w:val="16"/>
        </w:rPr>
      </w:pPr>
      <w:r w:rsidRPr="001945AC">
        <w:rPr>
          <w:sz w:val="16"/>
        </w:rPr>
        <w:t xml:space="preserve">Moreover, </w:t>
      </w:r>
      <w:r w:rsidRPr="001945AC">
        <w:rPr>
          <w:rStyle w:val="StyleUnderline"/>
        </w:rPr>
        <w:t xml:space="preserve">a </w:t>
      </w:r>
      <w:r w:rsidRPr="001945AC">
        <w:rPr>
          <w:rStyle w:val="Emphasis"/>
        </w:rPr>
        <w:t>central bank’s political independence</w:t>
      </w:r>
      <w:r w:rsidRPr="001945AC">
        <w:rPr>
          <w:rStyle w:val="StyleUnderline"/>
        </w:rPr>
        <w:t xml:space="preserve"> is </w:t>
      </w:r>
      <w:r w:rsidRPr="001945AC">
        <w:rPr>
          <w:rStyle w:val="Emphasis"/>
        </w:rPr>
        <w:t>particularly important</w:t>
      </w:r>
      <w:r w:rsidRPr="001945AC">
        <w:rPr>
          <w:rStyle w:val="StyleUnderline"/>
        </w:rPr>
        <w:t xml:space="preserve"> to its functioning, especially in a moment of </w:t>
      </w:r>
      <w:r w:rsidRPr="001945AC">
        <w:rPr>
          <w:rStyle w:val="Emphasis"/>
        </w:rPr>
        <w:t>heightened polarisatio</w:t>
      </w:r>
      <w:r w:rsidRPr="001945AC">
        <w:rPr>
          <w:rStyle w:val="StyleUnderline"/>
        </w:rPr>
        <w:t xml:space="preserve">n </w:t>
      </w:r>
      <w:r w:rsidRPr="001945AC">
        <w:rPr>
          <w:sz w:val="16"/>
        </w:rPr>
        <w:t xml:space="preserve">and partisanship. </w:t>
      </w:r>
      <w:r w:rsidRPr="001945AC">
        <w:rPr>
          <w:rStyle w:val="StyleUnderline"/>
        </w:rPr>
        <w:t>A</w:t>
      </w:r>
      <w:r w:rsidRPr="001945AC">
        <w:rPr>
          <w:sz w:val="16"/>
        </w:rPr>
        <w:t xml:space="preserve"> more </w:t>
      </w:r>
      <w:r w:rsidRPr="001945AC">
        <w:rPr>
          <w:rStyle w:val="StyleUnderline"/>
        </w:rPr>
        <w:t xml:space="preserve">holistic model that </w:t>
      </w:r>
      <w:r w:rsidRPr="001945AC">
        <w:rPr>
          <w:rStyle w:val="Emphasis"/>
        </w:rPr>
        <w:t>identifies inequality</w:t>
      </w:r>
      <w:r w:rsidRPr="001945AC">
        <w:rPr>
          <w:rStyle w:val="StyleUnderline"/>
        </w:rPr>
        <w:t xml:space="preserve"> as a </w:t>
      </w:r>
      <w:r w:rsidRPr="001945AC">
        <w:rPr>
          <w:rStyle w:val="Emphasis"/>
        </w:rPr>
        <w:t>specific mandate</w:t>
      </w:r>
      <w:r w:rsidRPr="001945AC">
        <w:rPr>
          <w:rStyle w:val="StyleUnderline"/>
        </w:rPr>
        <w:t xml:space="preserve"> could threaten to </w:t>
      </w:r>
      <w:r w:rsidRPr="001945AC">
        <w:rPr>
          <w:rStyle w:val="Emphasis"/>
        </w:rPr>
        <w:t>erode that independence</w:t>
      </w:r>
      <w:r w:rsidRPr="001945AC">
        <w:rPr>
          <w:rStyle w:val="StyleUnderline"/>
        </w:rPr>
        <w:t xml:space="preserve"> and encourage </w:t>
      </w:r>
      <w:r w:rsidRPr="001945AC">
        <w:rPr>
          <w:rStyle w:val="Emphasis"/>
        </w:rPr>
        <w:t>more partisan behaviour</w:t>
      </w:r>
      <w:r w:rsidRPr="001945AC">
        <w:rPr>
          <w:rStyle w:val="StyleUnderline"/>
        </w:rPr>
        <w:t xml:space="preserve">. Such an outcome would be both </w:t>
      </w:r>
      <w:r w:rsidRPr="001945AC">
        <w:rPr>
          <w:rStyle w:val="Emphasis"/>
        </w:rPr>
        <w:t>economically hazardous</w:t>
      </w:r>
      <w:r w:rsidRPr="001945AC">
        <w:rPr>
          <w:rStyle w:val="StyleUnderline"/>
        </w:rPr>
        <w:t xml:space="preserve"> and </w:t>
      </w:r>
      <w:r w:rsidRPr="001945AC">
        <w:rPr>
          <w:rStyle w:val="Emphasis"/>
        </w:rPr>
        <w:t>politically toxic</w:t>
      </w:r>
      <w:r w:rsidRPr="001945AC">
        <w:rPr>
          <w:rStyle w:val="StyleUnderline"/>
        </w:rPr>
        <w:t xml:space="preserve"> – central bankers are unelected officials</w:t>
      </w:r>
      <w:r w:rsidRPr="001945AC">
        <w:rPr>
          <w:sz w:val="16"/>
        </w:rPr>
        <w:t xml:space="preserve"> with no mandate to weigh into partisan policy debates beyond their monetary responsibilities.</w:t>
      </w:r>
    </w:p>
    <w:p w14:paraId="5F1C18F8"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019964453">
    <w:abstractNumId w:val="9"/>
  </w:num>
  <w:num w:numId="2" w16cid:durableId="595213420">
    <w:abstractNumId w:val="7"/>
  </w:num>
  <w:num w:numId="3" w16cid:durableId="1152983993">
    <w:abstractNumId w:val="6"/>
  </w:num>
  <w:num w:numId="4" w16cid:durableId="378281638">
    <w:abstractNumId w:val="5"/>
  </w:num>
  <w:num w:numId="5" w16cid:durableId="1231501540">
    <w:abstractNumId w:val="4"/>
  </w:num>
  <w:num w:numId="6" w16cid:durableId="1694112920">
    <w:abstractNumId w:val="8"/>
  </w:num>
  <w:num w:numId="7" w16cid:durableId="1172187832">
    <w:abstractNumId w:val="3"/>
  </w:num>
  <w:num w:numId="8" w16cid:durableId="667903841">
    <w:abstractNumId w:val="2"/>
  </w:num>
  <w:num w:numId="9" w16cid:durableId="687491307">
    <w:abstractNumId w:val="1"/>
  </w:num>
  <w:num w:numId="10" w16cid:durableId="1712729378">
    <w:abstractNumId w:val="0"/>
  </w:num>
  <w:num w:numId="11" w16cid:durableId="531769781">
    <w:abstractNumId w:val="13"/>
  </w:num>
  <w:num w:numId="12" w16cid:durableId="1145925140">
    <w:abstractNumId w:val="12"/>
  </w:num>
  <w:num w:numId="13" w16cid:durableId="1201211595">
    <w:abstractNumId w:val="11"/>
  </w:num>
  <w:num w:numId="14" w16cid:durableId="213918300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C84922"/>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8F08D7"/>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84922"/>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53625"/>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39CFD"/>
  <w15:chartTrackingRefBased/>
  <w15:docId w15:val="{C3521887-C3E0-4549-932C-BBBE06B6B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C84922"/>
    <w:pPr>
      <w:spacing w:after="0" w:line="240" w:lineRule="auto"/>
    </w:pPr>
    <w:rPr>
      <w:rFonts w:ascii="Georgia" w:hAnsi="Georgia"/>
      <w:sz w:val="20"/>
    </w:rPr>
  </w:style>
  <w:style w:type="paragraph" w:styleId="Heading1">
    <w:name w:val="heading 1"/>
    <w:aliases w:val="Pocket"/>
    <w:basedOn w:val="Normal"/>
    <w:next w:val="Normal"/>
    <w:link w:val="Heading1Char"/>
    <w:qFormat/>
    <w:rsid w:val="00C8492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84922"/>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C84922"/>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Ch,no read,No Spacing211,No Spacing12,No Spacing2111,No Spacing4,No Spacing11111,No Spacing5,No Spacing21,Card,Tags,tags,No Spacing1111,Ta,ta"/>
    <w:basedOn w:val="Normal"/>
    <w:next w:val="Normal"/>
    <w:link w:val="Heading4Char"/>
    <w:uiPriority w:val="3"/>
    <w:unhideWhenUsed/>
    <w:qFormat/>
    <w:rsid w:val="00C84922"/>
    <w:pPr>
      <w:keepNext/>
      <w:keepLines/>
      <w:spacing w:before="200"/>
      <w:outlineLvl w:val="3"/>
    </w:pPr>
    <w:rPr>
      <w:rFonts w:eastAsiaTheme="majorEastAsia" w:cstheme="majorBidi"/>
      <w:b/>
      <w:iCs/>
      <w:sz w:val="22"/>
    </w:rPr>
  </w:style>
  <w:style w:type="paragraph" w:styleId="Heading5">
    <w:name w:val="heading 5"/>
    <w:basedOn w:val="Normal"/>
    <w:next w:val="Normal"/>
    <w:link w:val="Heading5Char"/>
    <w:uiPriority w:val="9"/>
    <w:semiHidden/>
    <w:unhideWhenUsed/>
    <w:rsid w:val="00C84922"/>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C8492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84922"/>
  </w:style>
  <w:style w:type="character" w:customStyle="1" w:styleId="Heading1Char">
    <w:name w:val="Heading 1 Char"/>
    <w:aliases w:val="Pocket Char"/>
    <w:basedOn w:val="DefaultParagraphFont"/>
    <w:link w:val="Heading1"/>
    <w:rsid w:val="00C84922"/>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C84922"/>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C84922"/>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Ch Char,no read Char,No Spacing211 Char,No Spacing12 Char,No Spacing2111 Char,Card Char"/>
    <w:basedOn w:val="DefaultParagraphFont"/>
    <w:link w:val="Heading4"/>
    <w:uiPriority w:val="3"/>
    <w:rsid w:val="00C84922"/>
    <w:rPr>
      <w:rFonts w:ascii="Georgia" w:eastAsiaTheme="majorEastAsia" w:hAnsi="Georgia" w:cstheme="majorBidi"/>
      <w:b/>
      <w:iCs/>
    </w:rPr>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B"/>
    <w:basedOn w:val="DefaultParagraphFont"/>
    <w:link w:val="textbold"/>
    <w:uiPriority w:val="7"/>
    <w:qFormat/>
    <w:rsid w:val="00C84922"/>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C84922"/>
    <w:rPr>
      <w:b/>
      <w:bCs/>
      <w:sz w:val="22"/>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Title Cha,8.,S"/>
    <w:basedOn w:val="DefaultParagraphFont"/>
    <w:uiPriority w:val="6"/>
    <w:qFormat/>
    <w:rsid w:val="00C84922"/>
    <w:rPr>
      <w:b w:val="0"/>
      <w:sz w:val="22"/>
      <w:u w:val="single"/>
    </w:rPr>
  </w:style>
  <w:style w:type="character" w:styleId="Hyperlink">
    <w:name w:val="Hyperlink"/>
    <w:aliases w:val="Small Text Char,Card Format Char,No Spacing111111 Char,Note Level 2 Char,Tag and Ci Char,ca Char,Clear Char,DDI Tag Char,Tag Title Char,No Spacing6 Char,No Spacing tnr Char,ClearFormatting Char,Hidden Block Title Char"/>
    <w:basedOn w:val="DefaultParagraphFont"/>
    <w:uiPriority w:val="99"/>
    <w:unhideWhenUsed/>
    <w:rsid w:val="00C84922"/>
    <w:rPr>
      <w:color w:val="auto"/>
      <w:u w:val="none"/>
    </w:rPr>
  </w:style>
  <w:style w:type="character" w:styleId="FollowedHyperlink">
    <w:name w:val="FollowedHyperlink"/>
    <w:basedOn w:val="DefaultParagraphFont"/>
    <w:uiPriority w:val="99"/>
    <w:semiHidden/>
    <w:unhideWhenUsed/>
    <w:rsid w:val="00C84922"/>
    <w:rPr>
      <w:color w:val="auto"/>
      <w:u w:val="none"/>
    </w:rPr>
  </w:style>
  <w:style w:type="character" w:customStyle="1" w:styleId="Heading5Char">
    <w:name w:val="Heading 5 Char"/>
    <w:basedOn w:val="DefaultParagraphFont"/>
    <w:link w:val="Heading5"/>
    <w:uiPriority w:val="9"/>
    <w:semiHidden/>
    <w:rsid w:val="00C84922"/>
    <w:rPr>
      <w:rFonts w:asciiTheme="majorHAnsi" w:eastAsiaTheme="majorEastAsia" w:hAnsiTheme="majorHAnsi" w:cstheme="majorBidi"/>
      <w:color w:val="2E74B5" w:themeColor="accent1" w:themeShade="BF"/>
      <w:sz w:val="20"/>
    </w:rPr>
  </w:style>
  <w:style w:type="character" w:styleId="Strong">
    <w:name w:val="Strong"/>
    <w:basedOn w:val="DefaultParagraphFont"/>
    <w:uiPriority w:val="22"/>
    <w:qFormat/>
    <w:rsid w:val="00C84922"/>
    <w:rPr>
      <w:b/>
      <w:bCs/>
    </w:rPr>
  </w:style>
  <w:style w:type="character" w:styleId="BookTitle">
    <w:name w:val="Book Title"/>
    <w:basedOn w:val="DefaultParagraphFont"/>
    <w:uiPriority w:val="33"/>
    <w:semiHidden/>
    <w:qFormat/>
    <w:rsid w:val="00C84922"/>
    <w:rPr>
      <w:b/>
      <w:bCs/>
      <w:i/>
      <w:iCs/>
      <w:spacing w:val="5"/>
    </w:rPr>
  </w:style>
  <w:style w:type="numbering" w:styleId="111111">
    <w:name w:val="Outline List 2"/>
    <w:basedOn w:val="NoList"/>
    <w:uiPriority w:val="99"/>
    <w:semiHidden/>
    <w:unhideWhenUsed/>
    <w:rsid w:val="00C84922"/>
  </w:style>
  <w:style w:type="paragraph" w:styleId="Header">
    <w:name w:val="header"/>
    <w:basedOn w:val="Normal"/>
    <w:link w:val="HeaderChar"/>
    <w:uiPriority w:val="99"/>
    <w:semiHidden/>
    <w:rsid w:val="00C84922"/>
    <w:pPr>
      <w:tabs>
        <w:tab w:val="center" w:pos="4680"/>
        <w:tab w:val="right" w:pos="9360"/>
      </w:tabs>
    </w:pPr>
  </w:style>
  <w:style w:type="character" w:customStyle="1" w:styleId="HeaderChar">
    <w:name w:val="Header Char"/>
    <w:basedOn w:val="DefaultParagraphFont"/>
    <w:link w:val="Header"/>
    <w:uiPriority w:val="99"/>
    <w:semiHidden/>
    <w:rsid w:val="00C84922"/>
    <w:rPr>
      <w:rFonts w:ascii="Georgia" w:hAnsi="Georgia"/>
      <w:sz w:val="20"/>
    </w:rPr>
  </w:style>
  <w:style w:type="paragraph" w:styleId="Footer">
    <w:name w:val="footer"/>
    <w:basedOn w:val="Normal"/>
    <w:link w:val="FooterChar"/>
    <w:uiPriority w:val="99"/>
    <w:semiHidden/>
    <w:rsid w:val="00C84922"/>
    <w:pPr>
      <w:tabs>
        <w:tab w:val="center" w:pos="4680"/>
        <w:tab w:val="right" w:pos="9360"/>
      </w:tabs>
    </w:pPr>
  </w:style>
  <w:style w:type="character" w:customStyle="1" w:styleId="FooterChar">
    <w:name w:val="Footer Char"/>
    <w:basedOn w:val="DefaultParagraphFont"/>
    <w:link w:val="Footer"/>
    <w:uiPriority w:val="99"/>
    <w:semiHidden/>
    <w:rsid w:val="00C84922"/>
    <w:rPr>
      <w:rFonts w:ascii="Georgia" w:hAnsi="Georgia"/>
      <w:sz w:val="20"/>
    </w:rPr>
  </w:style>
  <w:style w:type="paragraph" w:styleId="BodyText">
    <w:name w:val="Body Text"/>
    <w:basedOn w:val="Normal"/>
    <w:link w:val="BodyTextChar"/>
    <w:uiPriority w:val="99"/>
    <w:semiHidden/>
    <w:unhideWhenUsed/>
    <w:rsid w:val="00C84922"/>
    <w:pPr>
      <w:spacing w:after="120"/>
    </w:pPr>
  </w:style>
  <w:style w:type="character" w:customStyle="1" w:styleId="BodyTextChar">
    <w:name w:val="Body Text Char"/>
    <w:basedOn w:val="DefaultParagraphFont"/>
    <w:link w:val="BodyText"/>
    <w:uiPriority w:val="99"/>
    <w:semiHidden/>
    <w:rsid w:val="00C84922"/>
    <w:rPr>
      <w:rFonts w:ascii="Georgia" w:hAnsi="Georgia"/>
      <w:sz w:val="20"/>
    </w:rPr>
  </w:style>
  <w:style w:type="paragraph" w:styleId="NoSpacing">
    <w:name w:val="No Spacing"/>
    <w:aliases w:val="Small Text,Card Format,No Spacing111111,Note Level 2,Tag and Ci,ca,Clear,DDI Tag,Tag Title,No Spacing6,No Spacing tnr,ClearFormatting,Hidden Block Title,No Spacing311,No Spacing51,No Spacing8,Dont u,No Spacing1111111,Note Level 21,No Spacing7"/>
    <w:link w:val="NoSpacingChar"/>
    <w:uiPriority w:val="99"/>
    <w:unhideWhenUsed/>
    <w:qFormat/>
    <w:rsid w:val="00C84922"/>
    <w:pPr>
      <w:spacing w:after="0" w:line="240" w:lineRule="auto"/>
    </w:pPr>
    <w:rPr>
      <w:rFonts w:ascii="Calibri" w:hAnsi="Calibri" w:cs="Calibri"/>
    </w:rPr>
  </w:style>
  <w:style w:type="character" w:customStyle="1" w:styleId="NoSpacingChar">
    <w:name w:val="No Spacing Char"/>
    <w:aliases w:val="Small Text Char1,Card Format Char1,No Spacing111111 Char1,Note Level 2 Char1,Tag and Ci Char1,ca Char1,Clear Char1,DDI Tag Char1,Tag Title Char1,No Spacing6 Char1,No Spacing tnr Char1,ClearFormatting Char1,Hidden Block Title Char1"/>
    <w:basedOn w:val="DefaultParagraphFont"/>
    <w:link w:val="NoSpacing"/>
    <w:uiPriority w:val="99"/>
    <w:rsid w:val="00C84922"/>
    <w:rPr>
      <w:rFonts w:ascii="Calibri" w:hAnsi="Calibri" w:cs="Calibri"/>
    </w:rPr>
  </w:style>
  <w:style w:type="character" w:styleId="UnresolvedMention">
    <w:name w:val="Unresolved Mention"/>
    <w:basedOn w:val="DefaultParagraphFont"/>
    <w:uiPriority w:val="99"/>
    <w:semiHidden/>
    <w:unhideWhenUsed/>
    <w:rsid w:val="00C84922"/>
    <w:rPr>
      <w:color w:val="605E5C"/>
      <w:shd w:val="clear" w:color="auto" w:fill="E1DFDD"/>
    </w:rPr>
  </w:style>
  <w:style w:type="paragraph" w:customStyle="1" w:styleId="textbold">
    <w:name w:val="text bold"/>
    <w:basedOn w:val="Normal"/>
    <w:link w:val="Emphasis"/>
    <w:uiPriority w:val="7"/>
    <w:qFormat/>
    <w:rsid w:val="00C84922"/>
    <w:pPr>
      <w:pBdr>
        <w:top w:val="single" w:sz="4" w:space="1" w:color="auto"/>
        <w:left w:val="single" w:sz="4" w:space="4" w:color="auto"/>
        <w:bottom w:val="single" w:sz="4" w:space="1" w:color="auto"/>
        <w:right w:val="single" w:sz="4" w:space="4" w:color="auto"/>
      </w:pBdr>
      <w:ind w:left="720"/>
      <w:jc w:val="both"/>
    </w:pPr>
    <w:rPr>
      <w:b/>
      <w:iCs/>
      <w:sz w:val="22"/>
      <w:u w:val="single"/>
    </w:rPr>
  </w:style>
  <w:style w:type="paragraph" w:customStyle="1" w:styleId="Emphasis1">
    <w:name w:val="Emphasis1"/>
    <w:basedOn w:val="Normal"/>
    <w:uiPriority w:val="8"/>
    <w:qFormat/>
    <w:rsid w:val="00C84922"/>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_aldere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6594</Words>
  <Characters>37588</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Tim_Alderete</dc:creator>
  <cp:keywords>5.1.1</cp:keywords>
  <dc:description/>
  <cp:lastModifiedBy>Tim_Alderete</cp:lastModifiedBy>
  <cp:revision>1</cp:revision>
  <dcterms:created xsi:type="dcterms:W3CDTF">2023-06-22T00:17:00Z</dcterms:created>
  <dcterms:modified xsi:type="dcterms:W3CDTF">2023-06-22T00:17:00Z</dcterms:modified>
</cp:coreProperties>
</file>