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9A125" w14:textId="77777777" w:rsidR="009F05DC" w:rsidRDefault="009F05DC" w:rsidP="009F05DC">
      <w:pPr>
        <w:pStyle w:val="Heading1"/>
      </w:pPr>
      <w:r>
        <w:t>Sunsets CP---Aff</w:t>
      </w:r>
    </w:p>
    <w:p w14:paraId="3727DEC2" w14:textId="77777777" w:rsidR="009F05DC" w:rsidRDefault="009F05DC" w:rsidP="009F05DC">
      <w:pPr>
        <w:pStyle w:val="Heading2"/>
      </w:pPr>
      <w:r>
        <w:t>Competition</w:t>
      </w:r>
    </w:p>
    <w:p w14:paraId="0F999BE9" w14:textId="77777777" w:rsidR="009F05DC" w:rsidRDefault="009F05DC" w:rsidP="009F05DC">
      <w:pPr>
        <w:pStyle w:val="Heading3"/>
      </w:pPr>
      <w:r>
        <w:t>Resolved---1AR</w:t>
      </w:r>
    </w:p>
    <w:p w14:paraId="12FEEE8C" w14:textId="77777777" w:rsidR="009F05DC" w:rsidRDefault="009F05DC" w:rsidP="009F05DC">
      <w:pPr>
        <w:pStyle w:val="Heading4"/>
      </w:pPr>
      <w:r>
        <w:t xml:space="preserve">‘Resolved’ prior to a </w:t>
      </w:r>
      <w:r>
        <w:rPr>
          <w:u w:val="single"/>
        </w:rPr>
        <w:t>colon</w:t>
      </w:r>
      <w:r>
        <w:t xml:space="preserve"> is a </w:t>
      </w:r>
      <w:r>
        <w:rPr>
          <w:u w:val="single"/>
        </w:rPr>
        <w:t>placeholder</w:t>
      </w:r>
      <w:r>
        <w:t xml:space="preserve">. </w:t>
      </w:r>
    </w:p>
    <w:p w14:paraId="59122D7A" w14:textId="77777777" w:rsidR="009F05DC" w:rsidRPr="00661E13" w:rsidRDefault="009F05DC" w:rsidP="009F05DC">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6" w:history="1">
        <w:r>
          <w:rPr>
            <w:rStyle w:val="Hyperlink"/>
          </w:rPr>
          <w:t>https://armywritingstyle.com/punctuation-the-colon-and-semicolon/</w:t>
        </w:r>
      </w:hyperlink>
      <w:r>
        <w:t>]</w:t>
      </w:r>
    </w:p>
    <w:p w14:paraId="29677923" w14:textId="77777777" w:rsidR="009F05DC" w:rsidRPr="00851CA3" w:rsidRDefault="009F05DC" w:rsidP="009F05DC">
      <w:pPr>
        <w:rPr>
          <w:sz w:val="16"/>
          <w:szCs w:val="24"/>
        </w:rPr>
      </w:pPr>
      <w:r w:rsidRPr="000B56DF">
        <w:rPr>
          <w:rStyle w:val="StyleUnderline"/>
          <w:sz w:val="24"/>
          <w:szCs w:val="24"/>
          <w:highlight w:val="cyan"/>
        </w:rPr>
        <w:t xml:space="preserve">The </w:t>
      </w:r>
      <w:r w:rsidRPr="000B56DF">
        <w:rPr>
          <w:rStyle w:val="Emphasis"/>
          <w:highlight w:val="cyan"/>
        </w:rPr>
        <w:t>colon</w:t>
      </w:r>
      <w:r w:rsidRPr="000B56DF">
        <w:rPr>
          <w:rStyle w:val="StyleUnderline"/>
          <w:sz w:val="24"/>
          <w:szCs w:val="24"/>
          <w:highlight w:val="cyan"/>
        </w:rPr>
        <w:t xml:space="preserve"> introduces</w:t>
      </w:r>
      <w:r w:rsidRPr="00851CA3">
        <w:rPr>
          <w:sz w:val="16"/>
          <w:szCs w:val="24"/>
        </w:rPr>
        <w:t xml:space="preserve"> the following: </w:t>
      </w:r>
    </w:p>
    <w:p w14:paraId="019F0910" w14:textId="77777777" w:rsidR="009F05DC" w:rsidRPr="00851CA3" w:rsidRDefault="009F05DC" w:rsidP="009F05DC">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4D2B5A04" w14:textId="77777777" w:rsidR="009F05DC" w:rsidRPr="00851CA3" w:rsidRDefault="009F05DC" w:rsidP="009F05DC">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32935EE" w14:textId="77777777" w:rsidR="009F05DC" w:rsidRPr="00851CA3" w:rsidRDefault="009F05DC" w:rsidP="009F05DC">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F06AEAC" w14:textId="77777777" w:rsidR="009F05DC" w:rsidRPr="00851CA3" w:rsidRDefault="009F05DC" w:rsidP="009F05DC">
      <w:pPr>
        <w:rPr>
          <w:sz w:val="16"/>
          <w:szCs w:val="16"/>
        </w:rPr>
      </w:pPr>
      <w:r w:rsidRPr="00851CA3">
        <w:rPr>
          <w:sz w:val="16"/>
          <w:szCs w:val="16"/>
        </w:rPr>
        <w:t>d.  A second independent clause which explains the first: Potter's motive is clear: (colon) he wants the assignment.</w:t>
      </w:r>
    </w:p>
    <w:p w14:paraId="2E67D3B4" w14:textId="77777777" w:rsidR="009F05DC" w:rsidRDefault="009F05DC" w:rsidP="009F05DC">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60316459" w14:textId="77777777" w:rsidR="009F05DC" w:rsidRPr="006F529E" w:rsidRDefault="009F05DC" w:rsidP="009F05DC">
      <w:pPr>
        <w:rPr>
          <w:sz w:val="24"/>
          <w:szCs w:val="24"/>
          <w:u w:val="single"/>
        </w:rPr>
      </w:pPr>
      <w:r w:rsidRPr="00851CA3">
        <w:rPr>
          <w:sz w:val="16"/>
          <w:szCs w:val="24"/>
        </w:rPr>
        <w:t xml:space="preserve">g.  </w:t>
      </w:r>
      <w:r w:rsidRPr="000B56DF">
        <w:rPr>
          <w:rStyle w:val="StyleUnderline"/>
          <w:sz w:val="24"/>
          <w:szCs w:val="24"/>
          <w:highlight w:val="cyan"/>
        </w:rPr>
        <w:t xml:space="preserve">A </w:t>
      </w:r>
      <w:r w:rsidRPr="000B56DF">
        <w:rPr>
          <w:rStyle w:val="Emphasis"/>
          <w:highlight w:val="cyan"/>
        </w:rPr>
        <w:t>formal resolution</w:t>
      </w:r>
      <w:r w:rsidRPr="000B56DF">
        <w:rPr>
          <w:rStyle w:val="StyleUnderline"/>
          <w:sz w:val="24"/>
          <w:szCs w:val="24"/>
          <w:highlight w:val="cyan"/>
        </w:rPr>
        <w:t>, after the word "</w:t>
      </w:r>
      <w:r w:rsidRPr="000B56DF">
        <w:rPr>
          <w:rStyle w:val="Emphasis"/>
          <w:highlight w:val="cyan"/>
        </w:rPr>
        <w:t>resolved</w:t>
      </w:r>
      <w:r w:rsidRPr="000B56DF">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61E3A0DE" w14:textId="77777777" w:rsidR="009F05DC" w:rsidRDefault="009F05DC" w:rsidP="009F05DC">
      <w:pPr>
        <w:pStyle w:val="Heading3"/>
      </w:pPr>
      <w:r>
        <w:t>Should---Delay---1AR</w:t>
      </w:r>
    </w:p>
    <w:p w14:paraId="749F4C1F" w14:textId="77777777" w:rsidR="009F05DC" w:rsidRDefault="009F05DC" w:rsidP="009F05DC">
      <w:pPr>
        <w:pStyle w:val="Heading4"/>
      </w:pPr>
      <w:r>
        <w:t xml:space="preserve">‘Should’ is in the </w:t>
      </w:r>
      <w:r>
        <w:rPr>
          <w:u w:val="single"/>
        </w:rPr>
        <w:t>future</w:t>
      </w:r>
      <w:r>
        <w:t xml:space="preserve">, not </w:t>
      </w:r>
      <w:r>
        <w:rPr>
          <w:u w:val="single"/>
        </w:rPr>
        <w:t>immediate</w:t>
      </w:r>
      <w:r>
        <w:t xml:space="preserve">. </w:t>
      </w:r>
    </w:p>
    <w:p w14:paraId="1E383B8C" w14:textId="77777777" w:rsidR="009F05DC" w:rsidRDefault="009F05DC" w:rsidP="009F05DC">
      <w:r w:rsidRPr="005C27C0">
        <w:rPr>
          <w:rStyle w:val="Style13ptBold"/>
        </w:rPr>
        <w:t>Brown ’8</w:t>
      </w:r>
      <w:r>
        <w:t xml:space="preserve"> [Mary Ann; May 14; Judge on the Court of Appeals of Iowa; Westlaw, “In re Est. of Guthrie,” 752 N.W.2d 452] </w:t>
      </w:r>
    </w:p>
    <w:p w14:paraId="6E512E1E" w14:textId="77777777" w:rsidR="009F05DC" w:rsidRDefault="009F05DC" w:rsidP="009F05DC">
      <w:pPr>
        <w:rPr>
          <w:sz w:val="16"/>
        </w:rPr>
      </w:pPr>
      <w:r w:rsidRPr="006E00BD">
        <w:rPr>
          <w:sz w:val="16"/>
        </w:rPr>
        <w:t xml:space="preserve">Brock and Kaitlyn look to </w:t>
      </w:r>
      <w:r w:rsidRPr="006E00BD">
        <w:rPr>
          <w:rStyle w:val="StyleUnderline"/>
        </w:rPr>
        <w:t xml:space="preserve">the word </w:t>
      </w:r>
      <w:r w:rsidRPr="000B56DF">
        <w:rPr>
          <w:rStyle w:val="StyleUnderline"/>
          <w:highlight w:val="cyan"/>
        </w:rPr>
        <w:t>“</w:t>
      </w:r>
      <w:r w:rsidRPr="000B56DF">
        <w:rPr>
          <w:rStyle w:val="Emphasis"/>
          <w:highlight w:val="cyan"/>
        </w:rPr>
        <w:t>should</w:t>
      </w:r>
      <w:r w:rsidRPr="000B56DF">
        <w:rPr>
          <w:rStyle w:val="StyleUnderline"/>
          <w:highlight w:val="cyan"/>
        </w:rPr>
        <w:t>”</w:t>
      </w:r>
      <w:r w:rsidRPr="006E00BD">
        <w:rPr>
          <w:sz w:val="16"/>
        </w:rPr>
        <w:t xml:space="preserve"> in the phrase “in the event any of my children should predecease me” and claim the district court improperly found the word </w:t>
      </w:r>
      <w:r w:rsidRPr="000B56DF">
        <w:rPr>
          <w:rStyle w:val="StyleUnderline"/>
          <w:highlight w:val="cyan"/>
        </w:rPr>
        <w:t>looked to</w:t>
      </w:r>
      <w:r w:rsidRPr="006E00BD">
        <w:rPr>
          <w:rStyle w:val="StyleUnderline"/>
        </w:rPr>
        <w:t xml:space="preserve"> the </w:t>
      </w:r>
      <w:r w:rsidRPr="000B56DF">
        <w:rPr>
          <w:rStyle w:val="Emphasis"/>
          <w:highlight w:val="cyan"/>
        </w:rPr>
        <w:t>future</w:t>
      </w:r>
      <w:r w:rsidRPr="000B56DF">
        <w:rPr>
          <w:rStyle w:val="StyleUnderline"/>
          <w:highlight w:val="cyan"/>
        </w:rPr>
        <w:t>. They claim</w:t>
      </w:r>
      <w:r w:rsidRPr="006E00BD">
        <w:rPr>
          <w:rStyle w:val="StyleUnderline"/>
        </w:rPr>
        <w:t xml:space="preserve"> the word should be interpreted as </w:t>
      </w:r>
      <w:r w:rsidRPr="000B56DF">
        <w:rPr>
          <w:rStyle w:val="StyleUnderline"/>
          <w:highlight w:val="cyan"/>
        </w:rPr>
        <w:t xml:space="preserve">the </w:t>
      </w:r>
      <w:r w:rsidRPr="000B56DF">
        <w:rPr>
          <w:rStyle w:val="Emphasis"/>
          <w:highlight w:val="cyan"/>
        </w:rPr>
        <w:t>past tense</w:t>
      </w:r>
      <w:r w:rsidRPr="006E00BD">
        <w:rPr>
          <w:rStyle w:val="StyleUnderline"/>
        </w:rPr>
        <w:t xml:space="preserve"> of “</w:t>
      </w:r>
      <w:r w:rsidRPr="006E00BD">
        <w:rPr>
          <w:rStyle w:val="Emphasis"/>
        </w:rPr>
        <w:t>shall</w:t>
      </w:r>
      <w:r w:rsidRPr="006E00BD">
        <w:rPr>
          <w:rStyle w:val="StyleUnderline"/>
        </w:rPr>
        <w:t>”</w:t>
      </w:r>
      <w:r w:rsidRPr="006E00BD">
        <w:rPr>
          <w:sz w:val="16"/>
        </w:rPr>
        <w:t xml:space="preserve"> to imply a duty or obligation. See Black's Law Dictionary 1379 (6th ed.1990). </w:t>
      </w:r>
      <w:r w:rsidRPr="000B56DF">
        <w:rPr>
          <w:rStyle w:val="StyleUnderline"/>
          <w:highlight w:val="cyan"/>
        </w:rPr>
        <w:t>Looking at</w:t>
      </w:r>
      <w:r w:rsidRPr="006E00BD">
        <w:rPr>
          <w:rStyle w:val="StyleUnderline"/>
        </w:rPr>
        <w:t xml:space="preserve"> the </w:t>
      </w:r>
      <w:r w:rsidRPr="000B56DF">
        <w:rPr>
          <w:rStyle w:val="StyleUnderline"/>
          <w:highlight w:val="cyan"/>
        </w:rPr>
        <w:t xml:space="preserve">phrase </w:t>
      </w:r>
      <w:r w:rsidRPr="000B56DF">
        <w:rPr>
          <w:rStyle w:val="Emphasis"/>
          <w:highlight w:val="cyan"/>
        </w:rPr>
        <w:t>as a whole</w:t>
      </w:r>
      <w:r w:rsidRPr="006E00BD">
        <w:rPr>
          <w:rStyle w:val="StyleUnderline"/>
        </w:rPr>
        <w:t>, however</w:t>
      </w:r>
      <w:r w:rsidRPr="006E00BD">
        <w:rPr>
          <w:sz w:val="16"/>
        </w:rPr>
        <w:t xml:space="preserve">, rather than at a single word, </w:t>
      </w:r>
      <w:r w:rsidRPr="006E00BD">
        <w:rPr>
          <w:rStyle w:val="StyleUnderline"/>
        </w:rPr>
        <w:t xml:space="preserve">we determine </w:t>
      </w:r>
      <w:r w:rsidRPr="000B56DF">
        <w:rPr>
          <w:rStyle w:val="StyleUnderline"/>
          <w:highlight w:val="cyan"/>
        </w:rPr>
        <w:t>the phrase is</w:t>
      </w:r>
      <w:r w:rsidRPr="006E00BD">
        <w:rPr>
          <w:rStyle w:val="StyleUnderline"/>
        </w:rPr>
        <w:t xml:space="preserve"> considering </w:t>
      </w:r>
      <w:r w:rsidRPr="006E00BD">
        <w:rPr>
          <w:rStyle w:val="Emphasis"/>
        </w:rPr>
        <w:t xml:space="preserve">possible </w:t>
      </w:r>
      <w:r w:rsidRPr="000B56DF">
        <w:rPr>
          <w:rStyle w:val="Emphasis"/>
          <w:highlight w:val="cyan"/>
        </w:rPr>
        <w:t>future events</w:t>
      </w:r>
      <w:r w:rsidRPr="006E00BD">
        <w:rPr>
          <w:sz w:val="16"/>
        </w:rPr>
        <w:t>. See In re Estate of Grulke, 546 N.W.2d 626, 627 (Iowa Ct.App.1996) (noting we must ascertain a testator's intent from the entire will).</w:t>
      </w:r>
    </w:p>
    <w:p w14:paraId="3B6320F2" w14:textId="77777777" w:rsidR="009F05DC" w:rsidRPr="0042626E" w:rsidRDefault="009F05DC" w:rsidP="009F05DC">
      <w:pPr>
        <w:pStyle w:val="Heading4"/>
      </w:pPr>
      <w:r>
        <w:t xml:space="preserve">It indicates </w:t>
      </w:r>
      <w:r>
        <w:rPr>
          <w:u w:val="single"/>
        </w:rPr>
        <w:t>futurity</w:t>
      </w:r>
      <w:r>
        <w:t xml:space="preserve">. </w:t>
      </w:r>
    </w:p>
    <w:p w14:paraId="64F3BB0E" w14:textId="77777777" w:rsidR="009F05DC" w:rsidRDefault="009F05DC" w:rsidP="009F05DC">
      <w:r>
        <w:rPr>
          <w:rStyle w:val="Style13ptBold"/>
        </w:rPr>
        <w:t xml:space="preserve">Webster ‘9 </w:t>
      </w:r>
      <w:r w:rsidRPr="0042626E">
        <w:t xml:space="preserve">[Merriam-Webster; carbon dated to April 22; Online English-language dictionary; Merriam-Webster, “should auxiliary verb,” </w:t>
      </w:r>
      <w:hyperlink r:id="rId7" w:history="1">
        <w:r w:rsidRPr="00476768">
          <w:rPr>
            <w:rStyle w:val="Hyperlink"/>
          </w:rPr>
          <w:t>https://www.merriam-webster.com/dictionary/should</w:t>
        </w:r>
      </w:hyperlink>
      <w:r w:rsidRPr="0042626E">
        <w:t>]</w:t>
      </w:r>
    </w:p>
    <w:p w14:paraId="755BEB70" w14:textId="77777777" w:rsidR="009F05DC" w:rsidRPr="0042626E" w:rsidRDefault="009F05DC" w:rsidP="009F05DC">
      <w:pPr>
        <w:rPr>
          <w:sz w:val="16"/>
        </w:rPr>
      </w:pPr>
      <w:r w:rsidRPr="0042626E">
        <w:rPr>
          <w:sz w:val="16"/>
        </w:rPr>
        <w:t xml:space="preserve">3 </w:t>
      </w:r>
      <w:r w:rsidRPr="0042626E">
        <w:rPr>
          <w:rStyle w:val="StyleUnderline"/>
        </w:rPr>
        <w:t>used</w:t>
      </w:r>
      <w:r w:rsidRPr="0042626E">
        <w:rPr>
          <w:sz w:val="16"/>
        </w:rPr>
        <w:t xml:space="preserve"> in auxiliary function </w:t>
      </w:r>
      <w:r w:rsidRPr="000B56DF">
        <w:rPr>
          <w:rStyle w:val="StyleUnderline"/>
          <w:highlight w:val="cyan"/>
        </w:rPr>
        <w:t xml:space="preserve">to express </w:t>
      </w:r>
      <w:r w:rsidRPr="000B56DF">
        <w:rPr>
          <w:rStyle w:val="Emphasis"/>
          <w:highlight w:val="cyan"/>
        </w:rPr>
        <w:t>futurity</w:t>
      </w:r>
      <w:r w:rsidRPr="000B56DF">
        <w:rPr>
          <w:rStyle w:val="StyleUnderline"/>
          <w:highlight w:val="cyan"/>
        </w:rPr>
        <w:t xml:space="preserve"> from</w:t>
      </w:r>
      <w:r w:rsidRPr="0042626E">
        <w:rPr>
          <w:rStyle w:val="StyleUnderline"/>
        </w:rPr>
        <w:t xml:space="preserve"> a point of view in </w:t>
      </w:r>
      <w:r w:rsidRPr="000B56DF">
        <w:rPr>
          <w:rStyle w:val="StyleUnderline"/>
          <w:highlight w:val="cyan"/>
        </w:rPr>
        <w:t xml:space="preserve">the </w:t>
      </w:r>
      <w:r w:rsidRPr="000B56DF">
        <w:rPr>
          <w:rStyle w:val="Emphasis"/>
          <w:highlight w:val="cyan"/>
        </w:rPr>
        <w:t>past</w:t>
      </w:r>
    </w:p>
    <w:p w14:paraId="62642258" w14:textId="77777777" w:rsidR="009F05DC" w:rsidRPr="0042626E" w:rsidRDefault="009F05DC" w:rsidP="009F05DC">
      <w:pPr>
        <w:rPr>
          <w:sz w:val="16"/>
        </w:rPr>
      </w:pPr>
      <w:r w:rsidRPr="0042626E">
        <w:rPr>
          <w:sz w:val="16"/>
        </w:rPr>
        <w:t>realized that she should have to do most of her farm work before sunrise—Ellen Glasgow</w:t>
      </w:r>
    </w:p>
    <w:p w14:paraId="36867125" w14:textId="77777777" w:rsidR="009F05DC" w:rsidRPr="0042626E" w:rsidRDefault="009F05DC" w:rsidP="009F05DC">
      <w:pPr>
        <w:rPr>
          <w:sz w:val="16"/>
        </w:rPr>
      </w:pPr>
      <w:r w:rsidRPr="0042626E">
        <w:rPr>
          <w:sz w:val="16"/>
        </w:rPr>
        <w:t xml:space="preserve">4 used in auxiliary function </w:t>
      </w:r>
      <w:r w:rsidRPr="0042626E">
        <w:rPr>
          <w:rStyle w:val="StyleUnderline"/>
        </w:rPr>
        <w:t xml:space="preserve">to express </w:t>
      </w:r>
      <w:r w:rsidRPr="000B56DF">
        <w:rPr>
          <w:rStyle w:val="StyleUnderline"/>
          <w:highlight w:val="cyan"/>
        </w:rPr>
        <w:t>what is</w:t>
      </w:r>
      <w:r w:rsidRPr="0042626E">
        <w:rPr>
          <w:rStyle w:val="StyleUnderline"/>
        </w:rPr>
        <w:t xml:space="preserve"> </w:t>
      </w:r>
      <w:r w:rsidRPr="0042626E">
        <w:rPr>
          <w:rStyle w:val="Emphasis"/>
        </w:rPr>
        <w:t>probable</w:t>
      </w:r>
      <w:r w:rsidRPr="0042626E">
        <w:rPr>
          <w:rStyle w:val="StyleUnderline"/>
        </w:rPr>
        <w:t xml:space="preserve"> or </w:t>
      </w:r>
      <w:r w:rsidRPr="000B56DF">
        <w:rPr>
          <w:rStyle w:val="Emphasis"/>
          <w:highlight w:val="cyan"/>
        </w:rPr>
        <w:t>expected</w:t>
      </w:r>
    </w:p>
    <w:p w14:paraId="5EAF76D9" w14:textId="77777777" w:rsidR="009F05DC" w:rsidRDefault="009F05DC" w:rsidP="009F05DC">
      <w:pPr>
        <w:pStyle w:val="Heading3"/>
      </w:pPr>
      <w:r>
        <w:t>Should---Uncertainty---1AR</w:t>
      </w:r>
    </w:p>
    <w:p w14:paraId="0C6F5DF1" w14:textId="77777777" w:rsidR="009F05DC" w:rsidRPr="003261FD" w:rsidRDefault="009F05DC" w:rsidP="009F05DC">
      <w:pPr>
        <w:pStyle w:val="Heading4"/>
      </w:pPr>
      <w:r>
        <w:t xml:space="preserve">‘Should’ is </w:t>
      </w:r>
      <w:r>
        <w:rPr>
          <w:u w:val="single"/>
        </w:rPr>
        <w:t>advisory</w:t>
      </w:r>
      <w:r>
        <w:t xml:space="preserve"> and includes </w:t>
      </w:r>
      <w:r>
        <w:rPr>
          <w:u w:val="single"/>
        </w:rPr>
        <w:t>recommendation</w:t>
      </w:r>
      <w:r>
        <w:t xml:space="preserve">. </w:t>
      </w:r>
    </w:p>
    <w:p w14:paraId="2773AABD" w14:textId="77777777" w:rsidR="009F05DC" w:rsidRPr="0084138E" w:rsidRDefault="009F05DC" w:rsidP="009F05DC">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1B69D361" w14:textId="77777777" w:rsidR="009F05DC" w:rsidRPr="006D73EB" w:rsidRDefault="009F05DC" w:rsidP="009F05DC">
      <w:pPr>
        <w:rPr>
          <w:sz w:val="16"/>
        </w:rPr>
      </w:pPr>
      <w:r w:rsidRPr="006D73EB">
        <w:rPr>
          <w:sz w:val="16"/>
        </w:rPr>
        <w:t xml:space="preserve">There is, of course, no bar to the Supreme Court adopting a Court of Appeal's reasoning as its own. Yet there is legitimate reason to question whether that was what the Supreme Court intended in 1983. First, as just shown, </w:t>
      </w:r>
      <w:r w:rsidRPr="000B56DF">
        <w:rPr>
          <w:rStyle w:val="StyleUnderline"/>
          <w:highlight w:val="cyan"/>
        </w:rPr>
        <w:t xml:space="preserve">only the </w:t>
      </w:r>
      <w:r w:rsidRPr="000B56DF">
        <w:rPr>
          <w:rStyle w:val="Emphasis"/>
          <w:highlight w:val="cyan"/>
        </w:rPr>
        <w:t>least authoritative</w:t>
      </w:r>
      <w:r w:rsidRPr="006D73EB">
        <w:rPr>
          <w:rStyle w:val="StyleUnderline"/>
        </w:rPr>
        <w:t xml:space="preserve"> of the three sources cited actually </w:t>
      </w:r>
      <w:r w:rsidRPr="000B56DF">
        <w:rPr>
          <w:rStyle w:val="Emphasis"/>
          <w:highlight w:val="cyan"/>
        </w:rPr>
        <w:t>supports</w:t>
      </w:r>
      <w:r w:rsidRPr="006D73EB">
        <w:rPr>
          <w:rStyle w:val="StyleUnderline"/>
        </w:rPr>
        <w:t xml:space="preserve"> the word </w:t>
      </w:r>
      <w:r w:rsidRPr="000B56DF">
        <w:rPr>
          <w:rStyle w:val="StyleUnderline"/>
          <w:highlight w:val="cyan"/>
        </w:rPr>
        <w:t>“</w:t>
      </w:r>
      <w:r w:rsidRPr="000B56DF">
        <w:rPr>
          <w:rStyle w:val="Emphasis"/>
          <w:highlight w:val="cyan"/>
        </w:rPr>
        <w:t>must</w:t>
      </w:r>
      <w:r w:rsidRPr="000B56DF">
        <w:rPr>
          <w:rStyle w:val="StyleUnderline"/>
          <w:highlight w:val="cyan"/>
        </w:rPr>
        <w:t>,” while the</w:t>
      </w:r>
      <w:r w:rsidRPr="006D73EB">
        <w:rPr>
          <w:rStyle w:val="StyleUnderline"/>
        </w:rPr>
        <w:t xml:space="preserve"> two </w:t>
      </w:r>
      <w:r w:rsidRPr="006D73EB">
        <w:rPr>
          <w:rStyle w:val="Emphasis"/>
        </w:rPr>
        <w:t xml:space="preserve">Supreme </w:t>
      </w:r>
      <w:r w:rsidRPr="000B56DF">
        <w:rPr>
          <w:rStyle w:val="Emphasis"/>
          <w:highlight w:val="cyan"/>
        </w:rPr>
        <w:t>Court</w:t>
      </w:r>
      <w:r w:rsidRPr="006D73EB">
        <w:rPr>
          <w:rStyle w:val="StyleUnderline"/>
        </w:rPr>
        <w:t xml:space="preserve"> decision</w:t>
      </w:r>
      <w:r w:rsidRPr="000B56DF">
        <w:rPr>
          <w:rStyle w:val="Emphasis"/>
          <w:highlight w:val="cyan"/>
        </w:rPr>
        <w:t>s</w:t>
      </w:r>
      <w:r w:rsidRPr="000B56DF">
        <w:rPr>
          <w:rStyle w:val="StyleUnderline"/>
          <w:highlight w:val="cyan"/>
        </w:rPr>
        <w:t xml:space="preserve"> employ “</w:t>
      </w:r>
      <w:r w:rsidRPr="000B56DF">
        <w:rPr>
          <w:rStyle w:val="Emphasis"/>
          <w:highlight w:val="cyan"/>
        </w:rPr>
        <w:t>should</w:t>
      </w:r>
      <w:r w:rsidRPr="000B56DF">
        <w:rPr>
          <w:rStyle w:val="StyleUnderline"/>
          <w:highlight w:val="cyan"/>
        </w:rPr>
        <w:t>.”</w:t>
      </w:r>
      <w:r w:rsidRPr="006D73E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6D73EB">
        <w:rPr>
          <w:rStyle w:val="StyleUnderline"/>
        </w:rPr>
        <w:t>the “</w:t>
      </w:r>
      <w:r w:rsidRPr="006D73EB">
        <w:rPr>
          <w:rStyle w:val="Emphasis"/>
        </w:rPr>
        <w:t>must</w:t>
      </w:r>
      <w:r w:rsidRPr="006D73EB">
        <w:rPr>
          <w:rStyle w:val="StyleUnderline"/>
        </w:rPr>
        <w:t xml:space="preserve">” formulation has </w:t>
      </w:r>
      <w:r w:rsidRPr="006D73EB">
        <w:rPr>
          <w:rStyle w:val="Emphasis"/>
        </w:rPr>
        <w:t>never</w:t>
      </w:r>
      <w:r w:rsidRPr="006D73EB">
        <w:rPr>
          <w:rStyle w:val="StyleUnderline"/>
        </w:rPr>
        <w:t xml:space="preserve"> been reiterated by </w:t>
      </w:r>
      <w:r w:rsidRPr="000B56DF">
        <w:rPr>
          <w:rStyle w:val="StyleUnderline"/>
          <w:highlight w:val="cyan"/>
        </w:rPr>
        <w:t xml:space="preserve">the </w:t>
      </w:r>
      <w:r w:rsidRPr="000B56DF">
        <w:rPr>
          <w:rStyle w:val="Emphasis"/>
          <w:highlight w:val="cyan"/>
        </w:rPr>
        <w:t>S</w:t>
      </w:r>
      <w:r w:rsidRPr="006D73EB">
        <w:rPr>
          <w:rStyle w:val="StyleUnderline"/>
        </w:rPr>
        <w:t xml:space="preserve">upreme </w:t>
      </w:r>
      <w:r w:rsidRPr="000B56DF">
        <w:rPr>
          <w:rStyle w:val="Emphasis"/>
          <w:highlight w:val="cyan"/>
        </w:rPr>
        <w:t>C</w:t>
      </w:r>
      <w:r w:rsidRPr="006D73EB">
        <w:rPr>
          <w:rStyle w:val="StyleUnderline"/>
        </w:rPr>
        <w:t xml:space="preserve">ourt, which </w:t>
      </w:r>
      <w:r w:rsidRPr="000B56DF">
        <w:rPr>
          <w:rStyle w:val="StyleUnderline"/>
          <w:highlight w:val="cyan"/>
        </w:rPr>
        <w:t>has</w:t>
      </w:r>
      <w:r w:rsidRPr="006D73EB">
        <w:rPr>
          <w:rStyle w:val="StyleUnderline"/>
        </w:rPr>
        <w:t xml:space="preserve"> instead </w:t>
      </w:r>
      <w:r w:rsidRPr="000B56DF">
        <w:rPr>
          <w:rStyle w:val="Emphasis"/>
          <w:highlight w:val="cyan"/>
        </w:rPr>
        <w:t>uniformly</w:t>
      </w:r>
      <w:r w:rsidRPr="000B56DF">
        <w:rPr>
          <w:rStyle w:val="StyleUnderline"/>
          <w:highlight w:val="cyan"/>
        </w:rPr>
        <w:t xml:space="preserve"> employed</w:t>
      </w:r>
      <w:r w:rsidRPr="006D73EB">
        <w:rPr>
          <w:rStyle w:val="StyleUnderline"/>
        </w:rPr>
        <w:t xml:space="preserve"> the </w:t>
      </w:r>
      <w:r w:rsidRPr="000B56DF">
        <w:rPr>
          <w:rStyle w:val="StyleUnderline"/>
          <w:highlight w:val="cyan"/>
        </w:rPr>
        <w:t>“</w:t>
      </w:r>
      <w:r w:rsidRPr="000B56DF">
        <w:rPr>
          <w:rStyle w:val="Emphasis"/>
          <w:highlight w:val="cyan"/>
        </w:rPr>
        <w:t>should</w:t>
      </w:r>
      <w:r w:rsidRPr="000B56DF">
        <w:rPr>
          <w:rStyle w:val="StyleUnderline"/>
          <w:highlight w:val="cyan"/>
        </w:rPr>
        <w:t>”</w:t>
      </w:r>
      <w:r w:rsidRPr="006D73EB">
        <w:rPr>
          <w:sz w:val="16"/>
        </w:rPr>
        <w:t xml:space="preserve"> *699 language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45DEE4FD" w14:textId="77777777" w:rsidR="009F05DC" w:rsidRPr="00222949" w:rsidRDefault="009F05DC" w:rsidP="009F05DC">
      <w:pPr>
        <w:rPr>
          <w:sz w:val="16"/>
        </w:rPr>
      </w:pPr>
      <w:r w:rsidRPr="006D73EB">
        <w:rPr>
          <w:sz w:val="16"/>
        </w:rPr>
        <w:t xml:space="preserve">It thus appears unlikely that the Supreme Court's use of “must” in the 1983 Allen decision was intended to herald a fundamental doctrinal shift. “Should,” not “must,” remains the court's preferred expression. </w:t>
      </w:r>
      <w:r w:rsidRPr="006D73EB">
        <w:rPr>
          <w:rStyle w:val="StyleUnderline"/>
        </w:rPr>
        <w:t xml:space="preserve">And </w:t>
      </w:r>
      <w:r w:rsidRPr="000B56DF">
        <w:rPr>
          <w:rStyle w:val="StyleUnderline"/>
          <w:highlight w:val="cyan"/>
        </w:rPr>
        <w:t xml:space="preserve">“should” does </w:t>
      </w:r>
      <w:r w:rsidRPr="000B56DF">
        <w:rPr>
          <w:rStyle w:val="Emphasis"/>
          <w:highlight w:val="cyan"/>
        </w:rPr>
        <w:t>not convey</w:t>
      </w:r>
      <w:r w:rsidRPr="006D73EB">
        <w:rPr>
          <w:rStyle w:val="StyleUnderline"/>
        </w:rPr>
        <w:t xml:space="preserve"> imperative </w:t>
      </w:r>
      <w:r w:rsidRPr="000B56DF">
        <w:rPr>
          <w:rStyle w:val="Emphasis"/>
          <w:highlight w:val="cyan"/>
        </w:rPr>
        <w:t>obligation</w:t>
      </w:r>
      <w:r w:rsidRPr="006D73EB">
        <w:rPr>
          <w:rStyle w:val="StyleUnderline"/>
        </w:rPr>
        <w:t xml:space="preserve">, no </w:t>
      </w:r>
      <w:r w:rsidRPr="000B56DF">
        <w:rPr>
          <w:rStyle w:val="StyleUnderline"/>
          <w:highlight w:val="cyan"/>
        </w:rPr>
        <w:t>more</w:t>
      </w:r>
      <w:r w:rsidRPr="006D73EB">
        <w:rPr>
          <w:rStyle w:val="StyleUnderline"/>
        </w:rPr>
        <w:t xml:space="preserve"> compulsion </w:t>
      </w:r>
      <w:r w:rsidRPr="000B56DF">
        <w:rPr>
          <w:rStyle w:val="StyleUnderline"/>
          <w:highlight w:val="cyan"/>
        </w:rPr>
        <w:t>than “</w:t>
      </w:r>
      <w:r w:rsidRPr="000B56DF">
        <w:rPr>
          <w:rStyle w:val="Emphasis"/>
          <w:highlight w:val="cyan"/>
        </w:rPr>
        <w:t>ought</w:t>
      </w:r>
      <w:r w:rsidRPr="000B56DF">
        <w:rPr>
          <w:rStyle w:val="StyleUnderline"/>
          <w:highlight w:val="cyan"/>
        </w:rPr>
        <w:t>.”</w:t>
      </w:r>
      <w:r w:rsidRPr="006D73EB">
        <w:rPr>
          <w:sz w:val="16"/>
        </w:rPr>
        <w:t xml:space="preserve"> (Lashley v. Koerber (1945) 26 Cal.2d 83, 90, 156 P.2d 441; see People v. Webb (1986) 186 Cal.App.3d 401, 409, fn. 2, 230 Cal.Rptr. 755 [</w:t>
      </w:r>
      <w:r w:rsidRPr="000B56DF">
        <w:rPr>
          <w:rStyle w:val="StyleUnderline"/>
          <w:highlight w:val="cyan"/>
        </w:rPr>
        <w:t>“the word</w:t>
      </w:r>
      <w:r w:rsidRPr="006D73EB">
        <w:rPr>
          <w:rStyle w:val="StyleUnderline"/>
        </w:rPr>
        <w:t xml:space="preserve"> ‘should’ </w:t>
      </w:r>
      <w:r w:rsidRPr="000B56DF">
        <w:rPr>
          <w:rStyle w:val="StyleUnderline"/>
          <w:highlight w:val="cyan"/>
        </w:rPr>
        <w:t xml:space="preserve">is </w:t>
      </w:r>
      <w:r w:rsidRPr="000B56DF">
        <w:rPr>
          <w:rStyle w:val="Emphasis"/>
          <w:highlight w:val="cyan"/>
        </w:rPr>
        <w:t>advisory</w:t>
      </w:r>
      <w:r w:rsidRPr="006D73EB">
        <w:rPr>
          <w:rStyle w:val="Emphasis"/>
        </w:rPr>
        <w:t xml:space="preserve"> only</w:t>
      </w:r>
      <w:r w:rsidRPr="006D73EB">
        <w:rPr>
          <w:rStyle w:val="StyleUnderline"/>
        </w:rPr>
        <w:t xml:space="preserve"> and </w:t>
      </w:r>
      <w:r w:rsidRPr="000B56DF">
        <w:rPr>
          <w:rStyle w:val="StyleUnderline"/>
          <w:highlight w:val="cyan"/>
        </w:rPr>
        <w:t xml:space="preserve">not </w:t>
      </w:r>
      <w:r w:rsidRPr="000B56DF">
        <w:rPr>
          <w:rStyle w:val="Emphasis"/>
          <w:highlight w:val="cyan"/>
        </w:rPr>
        <w:t>mandatory</w:t>
      </w:r>
      <w:r w:rsidRPr="000B56DF">
        <w:rPr>
          <w:rStyle w:val="StyleUnderline"/>
          <w:highlight w:val="cyan"/>
        </w:rPr>
        <w:t>”].) In</w:t>
      </w:r>
      <w:r w:rsidRPr="006D73EB">
        <w:rPr>
          <w:rStyle w:val="StyleUnderline"/>
        </w:rPr>
        <w:t xml:space="preserve"> </w:t>
      </w:r>
      <w:r w:rsidRPr="006D73EB">
        <w:rPr>
          <w:rStyle w:val="Emphasis"/>
        </w:rPr>
        <w:t xml:space="preserve">plain </w:t>
      </w:r>
      <w:r w:rsidRPr="000B56DF">
        <w:rPr>
          <w:rStyle w:val="Emphasis"/>
          <w:highlight w:val="cyan"/>
        </w:rPr>
        <w:t>effect</w:t>
      </w:r>
      <w:r w:rsidRPr="006D73EB">
        <w:rPr>
          <w:rStyle w:val="StyleUnderline"/>
        </w:rPr>
        <w:t xml:space="preserve">, “should” is </w:t>
      </w:r>
      <w:r w:rsidRPr="000B56DF">
        <w:rPr>
          <w:rStyle w:val="StyleUnderline"/>
          <w:highlight w:val="cyan"/>
        </w:rPr>
        <w:t xml:space="preserve">“a </w:t>
      </w:r>
      <w:r w:rsidRPr="000B56DF">
        <w:rPr>
          <w:rStyle w:val="Emphasis"/>
          <w:highlight w:val="cyan"/>
        </w:rPr>
        <w:t>recommendation</w:t>
      </w:r>
      <w:r w:rsidRPr="006D73EB">
        <w:rPr>
          <w:rStyle w:val="StyleUnderline"/>
        </w:rPr>
        <w:t>, not ... a mandate.”</w:t>
      </w:r>
      <w:r w:rsidRPr="006D73EB">
        <w:rPr>
          <w:sz w:val="16"/>
        </w:rPr>
        <w:t xml:space="preserve"> (Cuevas v. Superior Court (1976) 58 Cal.App.3d 406, 409, 130 Cal.Rptr. 238.)</w:t>
      </w:r>
    </w:p>
    <w:p w14:paraId="130392F5" w14:textId="77777777" w:rsidR="009F05DC" w:rsidRDefault="009F05DC" w:rsidP="009F05DC">
      <w:pPr>
        <w:pStyle w:val="Heading4"/>
      </w:pPr>
      <w:r>
        <w:rPr>
          <w:u w:val="single"/>
        </w:rPr>
        <w:t>Ordinary</w:t>
      </w:r>
      <w:r>
        <w:t xml:space="preserve"> meaning </w:t>
      </w:r>
      <w:r>
        <w:rPr>
          <w:u w:val="single"/>
        </w:rPr>
        <w:t>rejects</w:t>
      </w:r>
      <w:r>
        <w:t xml:space="preserve"> certainty. </w:t>
      </w:r>
    </w:p>
    <w:p w14:paraId="0B297AB4" w14:textId="77777777" w:rsidR="009F05DC" w:rsidRPr="0084138E" w:rsidRDefault="009F05DC" w:rsidP="009F05DC">
      <w:r w:rsidRPr="0084138E">
        <w:rPr>
          <w:rStyle w:val="Style13ptBold"/>
        </w:rPr>
        <w:t>White ’26</w:t>
      </w:r>
      <w:r w:rsidRPr="0084138E">
        <w:t xml:space="preserve"> [Warren; January 8; Judge on the Springfield Court of Appeals of Missouri; Westlaw, “Hubbard v. Turner Department Store Co.,” 220 Mo.App. 95]</w:t>
      </w:r>
    </w:p>
    <w:p w14:paraId="5154F99F" w14:textId="77777777" w:rsidR="009F05DC" w:rsidRDefault="009F05DC" w:rsidP="009F05DC">
      <w:pPr>
        <w:rPr>
          <w:sz w:val="16"/>
        </w:rPr>
      </w:pPr>
      <w:r w:rsidRPr="006D73EB">
        <w:rPr>
          <w:sz w:val="16"/>
        </w:rPr>
        <w:t xml:space="preserve">3 </w:t>
      </w:r>
      <w:r w:rsidRPr="006D73EB">
        <w:rPr>
          <w:rStyle w:val="StyleUnderline"/>
        </w:rPr>
        <w:t xml:space="preserve">The verb </w:t>
      </w:r>
      <w:r w:rsidRPr="000B56DF">
        <w:rPr>
          <w:rStyle w:val="StyleUnderline"/>
          <w:highlight w:val="cyan"/>
        </w:rPr>
        <w:t>“</w:t>
      </w:r>
      <w:r w:rsidRPr="000B56DF">
        <w:rPr>
          <w:rStyle w:val="Emphasis"/>
          <w:highlight w:val="cyan"/>
        </w:rPr>
        <w:t>should</w:t>
      </w:r>
      <w:r w:rsidRPr="000B56DF">
        <w:rPr>
          <w:rStyle w:val="StyleUnderline"/>
          <w:highlight w:val="cyan"/>
        </w:rPr>
        <w:t xml:space="preserve">” has </w:t>
      </w:r>
      <w:r w:rsidRPr="000B56DF">
        <w:rPr>
          <w:rStyle w:val="Emphasis"/>
          <w:highlight w:val="cyan"/>
        </w:rPr>
        <w:t>various</w:t>
      </w:r>
      <w:r w:rsidRPr="006D73EB">
        <w:rPr>
          <w:rStyle w:val="Emphasis"/>
        </w:rPr>
        <w:t xml:space="preserve"> shades</w:t>
      </w:r>
      <w:r w:rsidRPr="006D73EB">
        <w:rPr>
          <w:rStyle w:val="StyleUnderline"/>
        </w:rPr>
        <w:t xml:space="preserve"> of </w:t>
      </w:r>
      <w:r w:rsidRPr="000B56DF">
        <w:rPr>
          <w:rStyle w:val="StyleUnderline"/>
          <w:highlight w:val="cyan"/>
        </w:rPr>
        <w:t xml:space="preserve">meaning. In its </w:t>
      </w:r>
      <w:r w:rsidRPr="000B56DF">
        <w:rPr>
          <w:rStyle w:val="Emphasis"/>
          <w:highlight w:val="cyan"/>
        </w:rPr>
        <w:t>ordinary</w:t>
      </w:r>
      <w:r w:rsidRPr="006D73EB">
        <w:rPr>
          <w:rStyle w:val="StyleUnderline"/>
        </w:rPr>
        <w:t xml:space="preserve"> meaning </w:t>
      </w:r>
      <w:r w:rsidRPr="000B56DF">
        <w:rPr>
          <w:rStyle w:val="StyleUnderline"/>
          <w:highlight w:val="cyan"/>
        </w:rPr>
        <w:t xml:space="preserve">it does </w:t>
      </w:r>
      <w:r w:rsidRPr="000B56DF">
        <w:rPr>
          <w:rStyle w:val="Emphasis"/>
          <w:highlight w:val="cyan"/>
        </w:rPr>
        <w:t>not</w:t>
      </w:r>
      <w:r w:rsidRPr="000B56DF">
        <w:rPr>
          <w:rStyle w:val="StyleUnderline"/>
          <w:highlight w:val="cyan"/>
        </w:rPr>
        <w:t xml:space="preserve"> express </w:t>
      </w:r>
      <w:r w:rsidRPr="000B56DF">
        <w:rPr>
          <w:rStyle w:val="Emphasis"/>
          <w:highlight w:val="cyan"/>
        </w:rPr>
        <w:t>certainty</w:t>
      </w:r>
      <w:r w:rsidRPr="006D73EB">
        <w:rPr>
          <w:rStyle w:val="StyleUnderline"/>
        </w:rPr>
        <w:t xml:space="preserve"> as the word “</w:t>
      </w:r>
      <w:r w:rsidRPr="006D73EB">
        <w:rPr>
          <w:rStyle w:val="Emphasis"/>
        </w:rPr>
        <w:t>will</w:t>
      </w:r>
      <w:r w:rsidRPr="006D73EB">
        <w:rPr>
          <w:rStyle w:val="StyleUnderline"/>
        </w:rPr>
        <w:t>” sometimes does</w:t>
      </w:r>
      <w:r w:rsidRPr="006D73EB">
        <w:rPr>
          <w:sz w:val="16"/>
        </w:rPr>
        <w:t>. In the telegram under consideration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be; no per cent. is named. Whether net or gross profits or whether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prospered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43F92560" w14:textId="77777777" w:rsidR="009F05DC" w:rsidRPr="00422B79" w:rsidRDefault="009F05DC" w:rsidP="009F05DC">
      <w:pPr>
        <w:pStyle w:val="Heading4"/>
      </w:pPr>
      <w:r>
        <w:t xml:space="preserve">It's only </w:t>
      </w:r>
      <w:r>
        <w:rPr>
          <w:u w:val="single"/>
        </w:rPr>
        <w:t>desirability</w:t>
      </w:r>
      <w:r>
        <w:t>, weaker than ‘ought’ and ‘shall.’</w:t>
      </w:r>
    </w:p>
    <w:p w14:paraId="481B9AD5" w14:textId="77777777" w:rsidR="009F05DC" w:rsidRPr="00DE6C61" w:rsidRDefault="009F05DC" w:rsidP="009F05DC">
      <w:r w:rsidRPr="00DE6C61">
        <w:rPr>
          <w:rStyle w:val="Style13ptBold"/>
        </w:rPr>
        <w:t>Lusk ’52</w:t>
      </w:r>
      <w:r>
        <w:t xml:space="preserve"> [Hall; January 16; Justice on the Supreme Court of Oregon; Westlaw, “Baldassarre v. W. Oregon Lumber Co.,” 193 Or. 556] </w:t>
      </w:r>
    </w:p>
    <w:p w14:paraId="660FB7BE" w14:textId="77777777" w:rsidR="009F05DC" w:rsidRDefault="009F05DC" w:rsidP="009F05DC">
      <w:pPr>
        <w:rPr>
          <w:sz w:val="16"/>
        </w:rPr>
      </w:pPr>
      <w:r w:rsidRPr="00422B79">
        <w:rPr>
          <w:sz w:val="16"/>
        </w:rPr>
        <w:t xml:space="preserve">The regulation reads, ‘a 2 x 2 inch guard rail should be installed at the extreme outer edge of these walkways', etc. (Italics added.) The question turns on the effect to be given to </w:t>
      </w:r>
      <w:r w:rsidRPr="00422B79">
        <w:rPr>
          <w:rStyle w:val="StyleUnderline"/>
        </w:rPr>
        <w:t xml:space="preserve">the word </w:t>
      </w:r>
      <w:r w:rsidRPr="000B56DF">
        <w:rPr>
          <w:rStyle w:val="StyleUnderline"/>
          <w:highlight w:val="cyan"/>
        </w:rPr>
        <w:t>‘</w:t>
      </w:r>
      <w:r w:rsidRPr="000B56DF">
        <w:rPr>
          <w:rStyle w:val="Emphasis"/>
          <w:highlight w:val="cyan"/>
        </w:rPr>
        <w:t>should</w:t>
      </w:r>
      <w:r w:rsidRPr="000B56DF">
        <w:rPr>
          <w:rStyle w:val="StyleUnderline"/>
          <w:highlight w:val="cyan"/>
        </w:rPr>
        <w:t>.’</w:t>
      </w:r>
      <w:r w:rsidRPr="00422B79">
        <w:rPr>
          <w:sz w:val="16"/>
        </w:rPr>
        <w:t xml:space="preserve"> One definition of that word </w:t>
      </w:r>
      <w:r w:rsidRPr="000B56DF">
        <w:rPr>
          <w:rStyle w:val="StyleUnderline"/>
          <w:highlight w:val="cyan"/>
        </w:rPr>
        <w:t>is</w:t>
      </w:r>
      <w:r w:rsidRPr="00422B79">
        <w:rPr>
          <w:rStyle w:val="StyleUnderline"/>
        </w:rPr>
        <w:t xml:space="preserve"> ‘Obligation </w:t>
      </w:r>
      <w:r w:rsidRPr="000B56DF">
        <w:rPr>
          <w:rStyle w:val="StyleUnderline"/>
          <w:highlight w:val="cyan"/>
        </w:rPr>
        <w:t>in</w:t>
      </w:r>
      <w:r w:rsidRPr="00422B79">
        <w:rPr>
          <w:rStyle w:val="StyleUnderline"/>
        </w:rPr>
        <w:t xml:space="preserve"> </w:t>
      </w:r>
      <w:r w:rsidRPr="00422B79">
        <w:rPr>
          <w:rStyle w:val="Emphasis"/>
        </w:rPr>
        <w:t xml:space="preserve">various </w:t>
      </w:r>
      <w:r w:rsidRPr="000B56DF">
        <w:rPr>
          <w:rStyle w:val="Emphasis"/>
          <w:highlight w:val="cyan"/>
        </w:rPr>
        <w:t>degrees</w:t>
      </w:r>
      <w:r w:rsidRPr="000B56DF">
        <w:rPr>
          <w:rStyle w:val="StyleUnderline"/>
          <w:highlight w:val="cyan"/>
        </w:rPr>
        <w:t xml:space="preserve">, usually </w:t>
      </w:r>
      <w:r w:rsidRPr="000B56DF">
        <w:rPr>
          <w:rStyle w:val="Emphasis"/>
          <w:highlight w:val="cyan"/>
        </w:rPr>
        <w:t>milder</w:t>
      </w:r>
      <w:r w:rsidRPr="000B56DF">
        <w:rPr>
          <w:rStyle w:val="StyleUnderline"/>
          <w:highlight w:val="cyan"/>
        </w:rPr>
        <w:t xml:space="preserve"> than ought</w:t>
      </w:r>
      <w:r w:rsidRPr="00422B79">
        <w:rPr>
          <w:sz w:val="16"/>
        </w:rPr>
        <w:t xml:space="preserve">; as you should be obedient.’ Funk &amp; Wagnall's New Standard Dictionary. As a reference to the cases cited in 39 Words and Phrases (Perm. ed.) 234 et seq., and Pocket Part 48, will illustrate, ‘should’ frequently implies a command, a duty or an obligation. But this is not always so. See *564 Nashville Ry. &amp; Light Co. v. Lawson, 144 Tenn. 78, 98, 229 S.W. 741, 746; Godchaux v. Carpenter, 19 Nev. 415, 421, 14 P. 140, 142. Here, as in so many other instances, the meaning of the word and the intention to be ascribed to those who used it must be determined by the context. The provision in which it is found is one of several score safety regulations for the sawmill industry, most of which use ‘shall’, as, for example, 5.14(a), which immediately **843 precedes the provision in question and reads, ‘The vertical face of all green chains and sorting tables shall be boarded up to a height not less than eighteen (18) inches from the floor of the walkway.’ </w:t>
      </w:r>
      <w:r w:rsidRPr="00422B79">
        <w:rPr>
          <w:rStyle w:val="StyleUnderline"/>
        </w:rPr>
        <w:t xml:space="preserve">The occasional use of </w:t>
      </w:r>
      <w:r w:rsidRPr="000B56DF">
        <w:rPr>
          <w:rStyle w:val="StyleUnderline"/>
          <w:highlight w:val="cyan"/>
        </w:rPr>
        <w:t xml:space="preserve">‘should’ </w:t>
      </w:r>
      <w:r w:rsidRPr="000B56DF">
        <w:rPr>
          <w:rStyle w:val="Emphasis"/>
          <w:highlight w:val="cyan"/>
        </w:rPr>
        <w:t>instead</w:t>
      </w:r>
      <w:r w:rsidRPr="000B56DF">
        <w:rPr>
          <w:rStyle w:val="StyleUnderline"/>
          <w:highlight w:val="cyan"/>
        </w:rPr>
        <w:t xml:space="preserve"> of ‘</w:t>
      </w:r>
      <w:r w:rsidRPr="000B56DF">
        <w:rPr>
          <w:rStyle w:val="Emphasis"/>
          <w:highlight w:val="cyan"/>
        </w:rPr>
        <w:t>shall</w:t>
      </w:r>
      <w:r w:rsidRPr="000B56DF">
        <w:rPr>
          <w:rStyle w:val="StyleUnderline"/>
          <w:highlight w:val="cyan"/>
        </w:rPr>
        <w:t>’</w:t>
      </w:r>
      <w:r w:rsidRPr="00422B79">
        <w:rPr>
          <w:rStyle w:val="StyleUnderline"/>
        </w:rPr>
        <w:t xml:space="preserve"> does not </w:t>
      </w:r>
      <w:r w:rsidRPr="000B56DF">
        <w:rPr>
          <w:rStyle w:val="StyleUnderline"/>
          <w:highlight w:val="cyan"/>
        </w:rPr>
        <w:t>appear</w:t>
      </w:r>
      <w:r w:rsidRPr="00422B79">
        <w:rPr>
          <w:rStyle w:val="StyleUnderline"/>
        </w:rPr>
        <w:t xml:space="preserve"> to be inadvertent but </w:t>
      </w:r>
      <w:r w:rsidRPr="000B56DF">
        <w:rPr>
          <w:rStyle w:val="Emphasis"/>
          <w:highlight w:val="cyan"/>
        </w:rPr>
        <w:t>deliberate</w:t>
      </w:r>
      <w:r w:rsidRPr="00422B79">
        <w:rPr>
          <w:sz w:val="16"/>
        </w:rPr>
        <w:t xml:space="preserve">. Indeed, the entire code bears on its face evidence that it was prepared with great care and scrupulous regard to the right choice of language. We can only conclude that in those instances where departure is made from the mandatory ‘shall’ to the somewhat ambiguous ‘should’, </w:t>
      </w:r>
      <w:r w:rsidRPr="00422B79">
        <w:rPr>
          <w:rStyle w:val="StyleUnderline"/>
        </w:rPr>
        <w:t xml:space="preserve">the purpose was </w:t>
      </w:r>
      <w:r w:rsidRPr="000B56DF">
        <w:rPr>
          <w:rStyle w:val="StyleUnderline"/>
          <w:highlight w:val="cyan"/>
        </w:rPr>
        <w:t>to express</w:t>
      </w:r>
      <w:r w:rsidRPr="00422B79">
        <w:rPr>
          <w:rStyle w:val="StyleUnderline"/>
        </w:rPr>
        <w:t xml:space="preserve"> a </w:t>
      </w:r>
      <w:r w:rsidRPr="00422B79">
        <w:rPr>
          <w:rStyle w:val="Emphasis"/>
        </w:rPr>
        <w:t>different meaning</w:t>
      </w:r>
      <w:r w:rsidRPr="00422B79">
        <w:rPr>
          <w:sz w:val="16"/>
        </w:rPr>
        <w:t xml:space="preserve">—to convey the notion </w:t>
      </w:r>
      <w:r w:rsidRPr="00422B79">
        <w:rPr>
          <w:rStyle w:val="StyleUnderline"/>
        </w:rPr>
        <w:t xml:space="preserve">that </w:t>
      </w:r>
      <w:r w:rsidRPr="000B56DF">
        <w:rPr>
          <w:rStyle w:val="StyleUnderline"/>
          <w:highlight w:val="cyan"/>
        </w:rPr>
        <w:t>the</w:t>
      </w:r>
      <w:r w:rsidRPr="00422B79">
        <w:rPr>
          <w:rStyle w:val="StyleUnderline"/>
        </w:rPr>
        <w:t xml:space="preserve"> particular </w:t>
      </w:r>
      <w:r w:rsidRPr="000B56DF">
        <w:rPr>
          <w:rStyle w:val="StyleUnderline"/>
          <w:highlight w:val="cyan"/>
        </w:rPr>
        <w:t xml:space="preserve">precaution was </w:t>
      </w:r>
      <w:r w:rsidRPr="000B56DF">
        <w:rPr>
          <w:rStyle w:val="Emphasis"/>
          <w:highlight w:val="cyan"/>
        </w:rPr>
        <w:t>desirable</w:t>
      </w:r>
      <w:r w:rsidRPr="00422B79">
        <w:rPr>
          <w:rStyle w:val="StyleUnderline"/>
        </w:rPr>
        <w:t xml:space="preserve"> and </w:t>
      </w:r>
      <w:r w:rsidRPr="00422B79">
        <w:rPr>
          <w:rStyle w:val="Emphasis"/>
        </w:rPr>
        <w:t>recommended</w:t>
      </w:r>
      <w:r w:rsidRPr="00422B79">
        <w:rPr>
          <w:rStyle w:val="StyleUnderline"/>
        </w:rPr>
        <w:t xml:space="preserve">, </w:t>
      </w:r>
      <w:r w:rsidRPr="000B56DF">
        <w:rPr>
          <w:rStyle w:val="StyleUnderline"/>
          <w:highlight w:val="cyan"/>
        </w:rPr>
        <w:t xml:space="preserve">but </w:t>
      </w:r>
      <w:r w:rsidRPr="000B56DF">
        <w:rPr>
          <w:rStyle w:val="Emphasis"/>
          <w:highlight w:val="cyan"/>
        </w:rPr>
        <w:t>not required</w:t>
      </w:r>
      <w:r w:rsidRPr="00422B79">
        <w:rPr>
          <w:sz w:val="16"/>
        </w:rPr>
        <w:t>. See, 3 Sutherland, Statutory Construction (3d ed.), 116, § 5821. In this view the regulation was not legally binding on the defendant and the instruction complained of was free from error.</w:t>
      </w:r>
    </w:p>
    <w:p w14:paraId="0408D01D" w14:textId="77777777" w:rsidR="009F05DC" w:rsidRDefault="009F05DC" w:rsidP="009F05DC">
      <w:pPr>
        <w:pStyle w:val="Heading3"/>
      </w:pPr>
      <w:r>
        <w:t>Substantial---1AR</w:t>
      </w:r>
    </w:p>
    <w:p w14:paraId="6124A513" w14:textId="77777777" w:rsidR="009F05DC" w:rsidRDefault="009F05DC" w:rsidP="009F05DC">
      <w:pPr>
        <w:pStyle w:val="Heading4"/>
      </w:pPr>
      <w:r>
        <w:t xml:space="preserve">‘Substantially’ just means </w:t>
      </w:r>
      <w:r>
        <w:rPr>
          <w:u w:val="single"/>
        </w:rPr>
        <w:t>considerable</w:t>
      </w:r>
      <w:r>
        <w:t xml:space="preserve">. </w:t>
      </w:r>
    </w:p>
    <w:p w14:paraId="55DDC11D" w14:textId="77777777" w:rsidR="009F05DC" w:rsidRDefault="009F05DC" w:rsidP="009F05DC">
      <w:r w:rsidRPr="00CE59BB">
        <w:rPr>
          <w:rStyle w:val="Style13ptBold"/>
        </w:rPr>
        <w:t>Anderson ’20</w:t>
      </w:r>
      <w:r>
        <w:t xml:space="preserve"> [Barry; April 1; Justice on the Supreme Court of Minnesota; Westlaw, State v. Culver, 941 N.W.2d 134]</w:t>
      </w:r>
    </w:p>
    <w:p w14:paraId="37464F00" w14:textId="77777777" w:rsidR="009F05DC" w:rsidRPr="00CE59BB" w:rsidRDefault="009F05DC" w:rsidP="009F05DC">
      <w:pPr>
        <w:rPr>
          <w:sz w:val="16"/>
        </w:rPr>
      </w:pPr>
      <w:r w:rsidRPr="008A03B7">
        <w:rPr>
          <w:rStyle w:val="StyleUnderline"/>
        </w:rPr>
        <w:t xml:space="preserve">Because </w:t>
      </w:r>
      <w:r w:rsidRPr="000B56DF">
        <w:rPr>
          <w:rStyle w:val="Emphasis"/>
          <w:highlight w:val="cyan"/>
        </w:rPr>
        <w:t>the adverb</w:t>
      </w:r>
      <w:r w:rsidRPr="000B56DF">
        <w:rPr>
          <w:rStyle w:val="StyleUnderline"/>
          <w:highlight w:val="cyan"/>
        </w:rPr>
        <w:t xml:space="preserve"> “substantially”</w:t>
      </w:r>
      <w:r w:rsidRPr="008A03B7">
        <w:rPr>
          <w:rStyle w:val="StyleUnderline"/>
        </w:rPr>
        <w:t xml:space="preserve"> is </w:t>
      </w:r>
      <w:r w:rsidRPr="008A03B7">
        <w:rPr>
          <w:rStyle w:val="Emphasis"/>
        </w:rPr>
        <w:t>defined</w:t>
      </w:r>
      <w:r w:rsidRPr="008A03B7">
        <w:rPr>
          <w:rStyle w:val="StyleUnderline"/>
        </w:rPr>
        <w:t xml:space="preserve"> as “in a substantial manner; so as to be substantial,” Webster’s Third</w:t>
      </w:r>
      <w:r w:rsidRPr="00CE59BB">
        <w:rPr>
          <w:sz w:val="16"/>
        </w:rPr>
        <w:t xml:space="preserve"> New International Dictionary Unabridged 2280, </w:t>
      </w:r>
      <w:r w:rsidRPr="008A03B7">
        <w:rPr>
          <w:rStyle w:val="StyleUnderline"/>
        </w:rPr>
        <w:t xml:space="preserve">we look to </w:t>
      </w:r>
      <w:r w:rsidRPr="008A03B7">
        <w:rPr>
          <w:rStyle w:val="Emphasis"/>
        </w:rPr>
        <w:t>the meaning</w:t>
      </w:r>
      <w:r w:rsidRPr="008A03B7">
        <w:rPr>
          <w:rStyle w:val="StyleUnderline"/>
        </w:rPr>
        <w:t xml:space="preserve"> of the word “substantial.”</w:t>
      </w:r>
      <w:r w:rsidRPr="00CE59BB">
        <w:rPr>
          <w:sz w:val="16"/>
        </w:rPr>
        <w:t xml:space="preserve">5 The parties agree that the word </w:t>
      </w:r>
      <w:r w:rsidRPr="008A03B7">
        <w:rPr>
          <w:rStyle w:val="StyleUnderline"/>
        </w:rPr>
        <w:t xml:space="preserve">“substantial” </w:t>
      </w:r>
      <w:r w:rsidRPr="000B56DF">
        <w:rPr>
          <w:rStyle w:val="StyleUnderline"/>
          <w:highlight w:val="cyan"/>
        </w:rPr>
        <w:t>should be interpreted in light of</w:t>
      </w:r>
      <w:r w:rsidRPr="008A03B7">
        <w:rPr>
          <w:rStyle w:val="StyleUnderline"/>
        </w:rPr>
        <w:t xml:space="preserve"> </w:t>
      </w:r>
      <w:r w:rsidRPr="008A03B7">
        <w:rPr>
          <w:rStyle w:val="Emphasis"/>
        </w:rPr>
        <w:t xml:space="preserve">its </w:t>
      </w:r>
      <w:r w:rsidRPr="000B56DF">
        <w:rPr>
          <w:rStyle w:val="Emphasis"/>
          <w:highlight w:val="cyan"/>
        </w:rPr>
        <w:t>common</w:t>
      </w:r>
      <w:r w:rsidRPr="008A03B7">
        <w:rPr>
          <w:rStyle w:val="Emphasis"/>
        </w:rPr>
        <w:t xml:space="preserve"> and accepted </w:t>
      </w:r>
      <w:r w:rsidRPr="000B56DF">
        <w:rPr>
          <w:rStyle w:val="Emphasis"/>
          <w:highlight w:val="cyan"/>
        </w:rPr>
        <w:t>usage</w:t>
      </w:r>
      <w:r w:rsidRPr="00CE59BB">
        <w:rPr>
          <w:sz w:val="16"/>
        </w:rPr>
        <w:t xml:space="preserve"> because the word is not defined in Minn. Stat. § 609.26. They also agree that </w:t>
      </w:r>
      <w:r w:rsidRPr="008A03B7">
        <w:rPr>
          <w:rStyle w:val="Emphasis"/>
        </w:rPr>
        <w:t>the common and accepted usage</w:t>
      </w:r>
      <w:r w:rsidRPr="008A03B7">
        <w:rPr>
          <w:rStyle w:val="StyleUnderline"/>
        </w:rPr>
        <w:t xml:space="preserve"> of the </w:t>
      </w:r>
      <w:r w:rsidRPr="008A03B7">
        <w:rPr>
          <w:rStyle w:val="Emphasis"/>
        </w:rPr>
        <w:t>word</w:t>
      </w:r>
      <w:r w:rsidRPr="008A03B7">
        <w:rPr>
          <w:rStyle w:val="StyleUnderline"/>
        </w:rPr>
        <w:t xml:space="preserve"> “substantial” is </w:t>
      </w:r>
      <w:r w:rsidRPr="000B56DF">
        <w:rPr>
          <w:rStyle w:val="StyleUnderline"/>
          <w:highlight w:val="cyan"/>
        </w:rPr>
        <w:t>“</w:t>
      </w:r>
      <w:r w:rsidRPr="000B56DF">
        <w:rPr>
          <w:rStyle w:val="Emphasis"/>
          <w:highlight w:val="cyan"/>
        </w:rPr>
        <w:t>[c]onsiderable</w:t>
      </w:r>
      <w:r w:rsidRPr="000B56DF">
        <w:rPr>
          <w:rStyle w:val="StyleUnderline"/>
          <w:highlight w:val="cyan"/>
        </w:rPr>
        <w:t xml:space="preserve"> in</w:t>
      </w:r>
      <w:r w:rsidRPr="00CE59BB">
        <w:rPr>
          <w:rStyle w:val="StyleUnderline"/>
        </w:rPr>
        <w:t xml:space="preserve"> </w:t>
      </w:r>
      <w:r w:rsidRPr="008A03B7">
        <w:rPr>
          <w:rStyle w:val="Emphasis"/>
        </w:rPr>
        <w:t>importance</w:t>
      </w:r>
      <w:r w:rsidRPr="00CE59BB">
        <w:rPr>
          <w:rStyle w:val="StyleUnderline"/>
        </w:rPr>
        <w:t xml:space="preserve">, </w:t>
      </w:r>
      <w:r w:rsidRPr="00CE59BB">
        <w:rPr>
          <w:rStyle w:val="Emphasis"/>
        </w:rPr>
        <w:t>value</w:t>
      </w:r>
      <w:r w:rsidRPr="00CE59BB">
        <w:rPr>
          <w:rStyle w:val="StyleUnderline"/>
        </w:rPr>
        <w:t xml:space="preserve">, </w:t>
      </w:r>
      <w:r w:rsidRPr="000B56DF">
        <w:rPr>
          <w:rStyle w:val="Emphasis"/>
          <w:highlight w:val="cyan"/>
        </w:rPr>
        <w:t>degree</w:t>
      </w:r>
      <w:r w:rsidRPr="00CE59BB">
        <w:rPr>
          <w:rStyle w:val="StyleUnderline"/>
        </w:rPr>
        <w:t xml:space="preserve">, </w:t>
      </w:r>
      <w:r w:rsidRPr="00CE59BB">
        <w:rPr>
          <w:rStyle w:val="Emphasis"/>
        </w:rPr>
        <w:t>amount</w:t>
      </w:r>
      <w:r w:rsidRPr="00CE59BB">
        <w:rPr>
          <w:rStyle w:val="StyleUnderline"/>
        </w:rPr>
        <w:t xml:space="preserve"> </w:t>
      </w:r>
      <w:r w:rsidRPr="000B56DF">
        <w:rPr>
          <w:rStyle w:val="StyleUnderline"/>
          <w:highlight w:val="cyan"/>
        </w:rPr>
        <w:t xml:space="preserve">or </w:t>
      </w:r>
      <w:r w:rsidRPr="000B56DF">
        <w:rPr>
          <w:rStyle w:val="Emphasis"/>
          <w:highlight w:val="cyan"/>
        </w:rPr>
        <w:t>extent</w:t>
      </w:r>
      <w:r w:rsidRPr="000B56DF">
        <w:rPr>
          <w:rStyle w:val="StyleUnderline"/>
          <w:highlight w:val="cyan"/>
        </w:rPr>
        <w:t>.”</w:t>
      </w:r>
      <w:r w:rsidRPr="00CE59BB">
        <w:rPr>
          <w:sz w:val="16"/>
        </w:rPr>
        <w:t xml:space="preserve"> This definition from The American Heritage Dictionary is the same definition used by the court of the appeals in its opinion. Culver,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1F518832" w14:textId="77777777" w:rsidR="009F05DC" w:rsidRDefault="009F05DC" w:rsidP="009F05DC">
      <w:pPr>
        <w:pStyle w:val="Heading4"/>
      </w:pPr>
      <w:r>
        <w:t xml:space="preserve">There’s no hard rule or cut off. </w:t>
      </w:r>
    </w:p>
    <w:p w14:paraId="15E2ADCC" w14:textId="77777777" w:rsidR="009F05DC" w:rsidRPr="0076075C" w:rsidRDefault="009F05DC" w:rsidP="009F05DC">
      <w:r w:rsidRPr="0076075C">
        <w:rPr>
          <w:rStyle w:val="Style13ptBold"/>
        </w:rPr>
        <w:t>Prost ’4</w:t>
      </w:r>
      <w:r>
        <w:t xml:space="preserve"> [Sharon; June 18; Federal Court of Appeals Judge on the Federal Circuit; Westlaw, “Comm. for Fairly Traded Venezuelan Cement v. United States,” 372 F.3d 1284]</w:t>
      </w:r>
    </w:p>
    <w:p w14:paraId="34323776" w14:textId="77777777" w:rsidR="009F05DC" w:rsidRPr="00F664DB" w:rsidRDefault="009F05DC" w:rsidP="009F05DC">
      <w:pPr>
        <w:rPr>
          <w:sz w:val="16"/>
        </w:rPr>
      </w:pPr>
      <w:r w:rsidRPr="0076075C">
        <w:rPr>
          <w:sz w:val="16"/>
        </w:rPr>
        <w:t xml:space="preserve">The URAA and the SAA neither amend nor refine the language of § 1677(4)(C). In fact, they merely suggest, without disqualifying other alternatives, a “clearly higher/substantial proportion” approach. Indeed, the SAA specifically mentions that *1290 no “precise mathematical formula” or “ ‘benchmark’ proportion” is to be used for a dumping concentration analysis. SAA at 860 (citations omitted); see also Venez. Cement, 279 F.Supp.2d at 1329–30. Furthermore, as the Court of International Trade noted, the SAA emphasizes that the Commission retains the discretion to determine concentration of imports on a “case-by-case basis.” SAA at 860. Finally, </w:t>
      </w:r>
      <w:r w:rsidRPr="0076075C">
        <w:rPr>
          <w:rStyle w:val="Emphasis"/>
        </w:rPr>
        <w:t xml:space="preserve">the </w:t>
      </w:r>
      <w:r w:rsidRPr="000B56DF">
        <w:rPr>
          <w:rStyle w:val="Emphasis"/>
          <w:highlight w:val="cyan"/>
        </w:rPr>
        <w:t>definition of</w:t>
      </w:r>
      <w:r w:rsidRPr="0076075C">
        <w:rPr>
          <w:rStyle w:val="Emphasis"/>
        </w:rPr>
        <w:t xml:space="preserve"> the word</w:t>
      </w:r>
      <w:r w:rsidRPr="0076075C">
        <w:rPr>
          <w:rStyle w:val="StyleUnderline"/>
        </w:rPr>
        <w:t xml:space="preserve"> </w:t>
      </w:r>
      <w:r w:rsidRPr="000B56DF">
        <w:rPr>
          <w:rStyle w:val="StyleUnderline"/>
          <w:highlight w:val="cyan"/>
        </w:rPr>
        <w:t xml:space="preserve">“substantial” </w:t>
      </w:r>
      <w:r w:rsidRPr="000B56DF">
        <w:rPr>
          <w:rStyle w:val="Emphasis"/>
          <w:highlight w:val="cyan"/>
        </w:rPr>
        <w:t>undercuts</w:t>
      </w:r>
      <w:r w:rsidRPr="000B56DF">
        <w:rPr>
          <w:rStyle w:val="StyleUnderline"/>
          <w:highlight w:val="cyan"/>
        </w:rPr>
        <w:t xml:space="preserve"> the</w:t>
      </w:r>
      <w:r w:rsidRPr="0076075C">
        <w:rPr>
          <w:sz w:val="16"/>
        </w:rPr>
        <w:t xml:space="preserve"> CFTVC's </w:t>
      </w:r>
      <w:r w:rsidRPr="000B56DF">
        <w:rPr>
          <w:rStyle w:val="StyleUnderline"/>
          <w:highlight w:val="cyan"/>
        </w:rPr>
        <w:t>argument</w:t>
      </w:r>
      <w:r w:rsidRPr="0076075C">
        <w:rPr>
          <w:rStyle w:val="StyleUnderline"/>
        </w:rPr>
        <w:t xml:space="preserve">. The word “substantial” </w:t>
      </w:r>
      <w:r w:rsidRPr="0076075C">
        <w:rPr>
          <w:rStyle w:val="Emphasis"/>
        </w:rPr>
        <w:t xml:space="preserve">generally </w:t>
      </w:r>
      <w:r w:rsidRPr="000B56DF">
        <w:rPr>
          <w:rStyle w:val="Emphasis"/>
          <w:highlight w:val="cyan"/>
        </w:rPr>
        <w:t>means</w:t>
      </w:r>
      <w:r w:rsidRPr="0076075C">
        <w:rPr>
          <w:rStyle w:val="StyleUnderline"/>
        </w:rPr>
        <w:t xml:space="preserve"> “</w:t>
      </w:r>
      <w:r w:rsidRPr="000B56DF">
        <w:rPr>
          <w:rStyle w:val="StyleUnderline"/>
          <w:highlight w:val="cyan"/>
        </w:rPr>
        <w:t>considerable in amount</w:t>
      </w:r>
      <w:r w:rsidRPr="0076075C">
        <w:rPr>
          <w:rStyle w:val="StyleUnderline"/>
        </w:rPr>
        <w:t>, value or worth.” Webster's Third</w:t>
      </w:r>
      <w:r w:rsidRPr="0076075C">
        <w:rPr>
          <w:sz w:val="16"/>
        </w:rPr>
        <w:t xml:space="preserve"> New International Dictionary 2280 (1993). </w:t>
      </w:r>
      <w:r w:rsidRPr="000B56DF">
        <w:rPr>
          <w:rStyle w:val="StyleUnderline"/>
          <w:highlight w:val="cyan"/>
        </w:rPr>
        <w:t xml:space="preserve">It does </w:t>
      </w:r>
      <w:r w:rsidRPr="000B56DF">
        <w:rPr>
          <w:rStyle w:val="Emphasis"/>
          <w:highlight w:val="cyan"/>
        </w:rPr>
        <w:t>not</w:t>
      </w:r>
      <w:r w:rsidRPr="000B56DF">
        <w:rPr>
          <w:rStyle w:val="StyleUnderline"/>
          <w:highlight w:val="cyan"/>
        </w:rPr>
        <w:t xml:space="preserve"> imply </w:t>
      </w:r>
      <w:r w:rsidRPr="000B56DF">
        <w:rPr>
          <w:rStyle w:val="Emphasis"/>
          <w:highlight w:val="cyan"/>
        </w:rPr>
        <w:t>a</w:t>
      </w:r>
      <w:r w:rsidRPr="0076075C">
        <w:rPr>
          <w:rStyle w:val="Emphasis"/>
        </w:rPr>
        <w:t xml:space="preserve"> specific </w:t>
      </w:r>
      <w:r w:rsidRPr="000B56DF">
        <w:rPr>
          <w:rStyle w:val="Emphasis"/>
          <w:highlight w:val="cyan"/>
        </w:rPr>
        <w:t>number</w:t>
      </w:r>
      <w:r w:rsidRPr="0076075C">
        <w:rPr>
          <w:rStyle w:val="Emphasis"/>
        </w:rPr>
        <w:t xml:space="preserve"> or cut-off</w:t>
      </w:r>
      <w:r w:rsidRPr="0076075C">
        <w:rPr>
          <w:rStyle w:val="StyleUnderline"/>
        </w:rPr>
        <w:t xml:space="preserve">. </w:t>
      </w:r>
      <w:r w:rsidRPr="000B56DF">
        <w:rPr>
          <w:rStyle w:val="StyleUnderline"/>
          <w:highlight w:val="cyan"/>
        </w:rPr>
        <w:t xml:space="preserve">What may be </w:t>
      </w:r>
      <w:r w:rsidRPr="000B56DF">
        <w:rPr>
          <w:rStyle w:val="Emphasis"/>
          <w:highlight w:val="cyan"/>
        </w:rPr>
        <w:t>substantial</w:t>
      </w:r>
      <w:r w:rsidRPr="000B56DF">
        <w:rPr>
          <w:rStyle w:val="StyleUnderline"/>
          <w:highlight w:val="cyan"/>
        </w:rPr>
        <w:t xml:space="preserve"> in </w:t>
      </w:r>
      <w:r w:rsidRPr="000B56DF">
        <w:rPr>
          <w:rStyle w:val="Emphasis"/>
          <w:highlight w:val="cyan"/>
        </w:rPr>
        <w:t>one situation</w:t>
      </w:r>
      <w:r w:rsidRPr="000B56DF">
        <w:rPr>
          <w:rStyle w:val="StyleUnderline"/>
          <w:highlight w:val="cyan"/>
        </w:rPr>
        <w:t xml:space="preserve"> may not be in another</w:t>
      </w:r>
      <w:r w:rsidRPr="0076075C">
        <w:rPr>
          <w:rStyle w:val="StyleUnderline"/>
        </w:rPr>
        <w:t xml:space="preserve"> situation. </w:t>
      </w:r>
      <w:r w:rsidRPr="0076075C">
        <w:rPr>
          <w:rStyle w:val="Emphasis"/>
        </w:rPr>
        <w:t>The very breadth</w:t>
      </w:r>
      <w:r w:rsidRPr="0076075C">
        <w:rPr>
          <w:rStyle w:val="StyleUnderline"/>
        </w:rPr>
        <w:t xml:space="preserve"> of the </w:t>
      </w:r>
      <w:r w:rsidRPr="0076075C">
        <w:rPr>
          <w:rStyle w:val="Emphasis"/>
        </w:rPr>
        <w:t>term</w:t>
      </w:r>
      <w:r w:rsidRPr="0076075C">
        <w:rPr>
          <w:rStyle w:val="StyleUnderline"/>
        </w:rPr>
        <w:t xml:space="preserve"> “substantial” undercuts the</w:t>
      </w:r>
      <w:r w:rsidRPr="0076075C">
        <w:rPr>
          <w:sz w:val="16"/>
        </w:rPr>
        <w:t xml:space="preserve"> CFTVC's </w:t>
      </w:r>
      <w:r w:rsidRPr="0076075C">
        <w:rPr>
          <w:rStyle w:val="StyleUnderline"/>
        </w:rPr>
        <w:t>argument</w:t>
      </w:r>
      <w:r w:rsidRPr="0076075C">
        <w:rPr>
          <w:sz w:val="16"/>
        </w:rPr>
        <w:t xml:space="preserve">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0586873B" w14:textId="77777777" w:rsidR="009F05DC" w:rsidRPr="005203DA" w:rsidRDefault="009F05DC" w:rsidP="009F05DC">
      <w:pPr>
        <w:pStyle w:val="Heading2"/>
      </w:pPr>
      <w:r>
        <w:t>Solvency</w:t>
      </w:r>
    </w:p>
    <w:p w14:paraId="14FEA25A" w14:textId="77777777" w:rsidR="009F05DC" w:rsidRDefault="009F05DC" w:rsidP="009F05DC">
      <w:pPr>
        <w:pStyle w:val="Heading3"/>
      </w:pPr>
      <w:r>
        <w:t>Sunsets Fail---2AC</w:t>
      </w:r>
    </w:p>
    <w:p w14:paraId="07A707DA" w14:textId="77777777" w:rsidR="009F05DC" w:rsidRPr="005203DA" w:rsidRDefault="009F05DC" w:rsidP="009F05DC">
      <w:pPr>
        <w:pStyle w:val="Heading4"/>
      </w:pPr>
      <w:r>
        <w:t xml:space="preserve">Sunsets cause </w:t>
      </w:r>
      <w:r>
        <w:rPr>
          <w:u w:val="single"/>
        </w:rPr>
        <w:t>rent seeking</w:t>
      </w:r>
      <w:r>
        <w:t xml:space="preserve">, </w:t>
      </w:r>
      <w:r>
        <w:rPr>
          <w:u w:val="single"/>
        </w:rPr>
        <w:t>revenue loss</w:t>
      </w:r>
      <w:r>
        <w:t xml:space="preserve">, and </w:t>
      </w:r>
      <w:r>
        <w:rPr>
          <w:u w:val="single"/>
        </w:rPr>
        <w:t>uncertainty</w:t>
      </w:r>
      <w:r>
        <w:t xml:space="preserve">. </w:t>
      </w:r>
    </w:p>
    <w:p w14:paraId="2DE4EFAB" w14:textId="77777777" w:rsidR="009F05DC" w:rsidRDefault="009F05DC" w:rsidP="009F05DC">
      <w:r>
        <w:t xml:space="preserve">Rebecca M. </w:t>
      </w:r>
      <w:r w:rsidRPr="00E42278">
        <w:rPr>
          <w:rStyle w:val="Style13ptBold"/>
        </w:rPr>
        <w:t>Kysar 6</w:t>
      </w:r>
      <w:r>
        <w:t>, a professor at Fordham University School of Law, 3-2-2006, Georgia Law Review, "The Sun Also Rises: The Political Economy of Sunset Provisions in the Tax Code," https://papers.ssrn.com/sol3/papers.cfm?abstract_id=887388 //AS</w:t>
      </w:r>
    </w:p>
    <w:p w14:paraId="42CB32CF" w14:textId="77777777" w:rsidR="009F05DC" w:rsidRPr="00B252D9" w:rsidRDefault="009F05DC" w:rsidP="009F05DC">
      <w:pPr>
        <w:rPr>
          <w:u w:val="single"/>
        </w:rPr>
      </w:pPr>
      <w:r w:rsidRPr="00B252D9">
        <w:rPr>
          <w:sz w:val="16"/>
        </w:rPr>
        <w:t xml:space="preserve">The story of sunset provisions in the code chronicles how these </w:t>
      </w:r>
      <w:r w:rsidRPr="00B252D9">
        <w:rPr>
          <w:u w:val="single"/>
        </w:rPr>
        <w:t xml:space="preserve">“good government” </w:t>
      </w:r>
      <w:r w:rsidRPr="000B56DF">
        <w:rPr>
          <w:highlight w:val="cyan"/>
          <w:u w:val="single"/>
        </w:rPr>
        <w:t>reform devices are</w:t>
      </w:r>
      <w:r w:rsidRPr="00B252D9">
        <w:rPr>
          <w:u w:val="single"/>
        </w:rPr>
        <w:t xml:space="preserve">, in actuality, </w:t>
      </w:r>
      <w:r w:rsidRPr="000B56DF">
        <w:rPr>
          <w:b/>
          <w:bCs/>
          <w:highlight w:val="cyan"/>
          <w:u w:val="single"/>
        </w:rPr>
        <w:t>rent-extracting mechanisms</w:t>
      </w:r>
      <w:r w:rsidRPr="00F86B8D">
        <w:rPr>
          <w:b/>
          <w:bCs/>
          <w:u w:val="single"/>
        </w:rPr>
        <w:t xml:space="preserve"> that </w:t>
      </w:r>
      <w:r w:rsidRPr="000B56DF">
        <w:rPr>
          <w:b/>
          <w:bCs/>
          <w:highlight w:val="cyan"/>
          <w:u w:val="single"/>
        </w:rPr>
        <w:t>encourage budgetary sophistry</w:t>
      </w:r>
      <w:r w:rsidRPr="00B252D9">
        <w:rPr>
          <w:sz w:val="16"/>
        </w:rPr>
        <w:t xml:space="preserve">. First, </w:t>
      </w:r>
      <w:r w:rsidRPr="000B56DF">
        <w:rPr>
          <w:highlight w:val="cyan"/>
          <w:u w:val="single"/>
        </w:rPr>
        <w:t>sunset</w:t>
      </w:r>
      <w:r w:rsidRPr="00F86B8D">
        <w:rPr>
          <w:u w:val="single"/>
        </w:rPr>
        <w:t xml:space="preserve"> provisions</w:t>
      </w:r>
      <w:r w:rsidRPr="00F86B8D">
        <w:rPr>
          <w:sz w:val="16"/>
          <w:u w:val="single"/>
        </w:rPr>
        <w:t xml:space="preserve"> </w:t>
      </w:r>
      <w:r w:rsidRPr="000B56DF">
        <w:rPr>
          <w:highlight w:val="cyan"/>
          <w:u w:val="single"/>
        </w:rPr>
        <w:t>evade political constraints</w:t>
      </w:r>
      <w:r w:rsidRPr="00B252D9">
        <w:rPr>
          <w:u w:val="single"/>
        </w:rPr>
        <w:t xml:space="preserve"> in the budget process whose purpose is to safeguard against congressional over-spending</w:t>
      </w:r>
      <w:r w:rsidRPr="00B252D9">
        <w:rPr>
          <w:sz w:val="16"/>
        </w:rPr>
        <w:t xml:space="preserve">. The sunset provisions of the extenders and, much more dramatically, the 2001 and 2003 </w:t>
      </w:r>
      <w:r w:rsidRPr="00B252D9">
        <w:rPr>
          <w:u w:val="single"/>
        </w:rPr>
        <w:t xml:space="preserve">tax cuts were enacted to underestimate the revenue losses of the provisions to which they apply. Second, </w:t>
      </w:r>
      <w:r w:rsidRPr="00F86B8D">
        <w:rPr>
          <w:b/>
          <w:bCs/>
          <w:u w:val="single"/>
        </w:rPr>
        <w:t xml:space="preserve">sunset provisions </w:t>
      </w:r>
      <w:r w:rsidRPr="000B56DF">
        <w:rPr>
          <w:b/>
          <w:bCs/>
          <w:highlight w:val="cyan"/>
          <w:u w:val="single"/>
        </w:rPr>
        <w:t>further reduce</w:t>
      </w:r>
      <w:r w:rsidRPr="00F86B8D">
        <w:rPr>
          <w:b/>
          <w:bCs/>
          <w:u w:val="single"/>
        </w:rPr>
        <w:t xml:space="preserve"> the </w:t>
      </w:r>
      <w:r w:rsidRPr="000B56DF">
        <w:rPr>
          <w:b/>
          <w:bCs/>
          <w:highlight w:val="cyan"/>
          <w:u w:val="single"/>
        </w:rPr>
        <w:t>reliability of revenue loss estimates</w:t>
      </w:r>
      <w:r w:rsidRPr="00B252D9">
        <w:rPr>
          <w:u w:val="single"/>
        </w:rPr>
        <w:t xml:space="preserve">. Moreover, the existence of sunset provisions in the recent tax acts has </w:t>
      </w:r>
      <w:r w:rsidRPr="000B56DF">
        <w:rPr>
          <w:highlight w:val="cyan"/>
          <w:u w:val="single"/>
        </w:rPr>
        <w:t>created political conditions under which</w:t>
      </w:r>
      <w:r w:rsidRPr="00B252D9">
        <w:rPr>
          <w:u w:val="single"/>
        </w:rPr>
        <w:t xml:space="preserve"> re-enactment of important budget </w:t>
      </w:r>
      <w:r w:rsidRPr="000B56DF">
        <w:rPr>
          <w:highlight w:val="cyan"/>
          <w:u w:val="single"/>
        </w:rPr>
        <w:t>rules</w:t>
      </w:r>
      <w:r w:rsidRPr="00B252D9">
        <w:rPr>
          <w:u w:val="single"/>
        </w:rPr>
        <w:t xml:space="preserve">, </w:t>
      </w:r>
      <w:r w:rsidRPr="00B252D9">
        <w:rPr>
          <w:sz w:val="16"/>
        </w:rPr>
        <w:t>such as the PAYGO provisions,</w:t>
      </w:r>
      <w:r w:rsidRPr="00B252D9">
        <w:rPr>
          <w:u w:val="single"/>
        </w:rPr>
        <w:t xml:space="preserve"> is very </w:t>
      </w:r>
      <w:r w:rsidRPr="000B56DF">
        <w:rPr>
          <w:highlight w:val="cyan"/>
          <w:u w:val="single"/>
        </w:rPr>
        <w:t xml:space="preserve">unlikely </w:t>
      </w:r>
      <w:r w:rsidRPr="009E5191">
        <w:rPr>
          <w:u w:val="single"/>
        </w:rPr>
        <w:t>while sunset repeal</w:t>
      </w:r>
      <w:r w:rsidRPr="00B252D9">
        <w:rPr>
          <w:u w:val="single"/>
        </w:rPr>
        <w:t xml:space="preserve"> is on the table.</w:t>
      </w:r>
    </w:p>
    <w:p w14:paraId="0869182D" w14:textId="77777777" w:rsidR="009F05DC" w:rsidRDefault="009F05DC" w:rsidP="009F05DC">
      <w:pPr>
        <w:rPr>
          <w:sz w:val="16"/>
        </w:rPr>
      </w:pPr>
      <w:r w:rsidRPr="00B252D9">
        <w:rPr>
          <w:sz w:val="16"/>
        </w:rPr>
        <w:t xml:space="preserve">Third, </w:t>
      </w:r>
      <w:r w:rsidRPr="00F86B8D">
        <w:rPr>
          <w:b/>
          <w:bCs/>
          <w:u w:val="single"/>
        </w:rPr>
        <w:t xml:space="preserve">sunset provisions </w:t>
      </w:r>
      <w:r w:rsidRPr="000B56DF">
        <w:rPr>
          <w:b/>
          <w:bCs/>
          <w:highlight w:val="cyan"/>
          <w:u w:val="single"/>
        </w:rPr>
        <w:t>threaten</w:t>
      </w:r>
      <w:r w:rsidRPr="00F86B8D">
        <w:rPr>
          <w:b/>
          <w:bCs/>
          <w:u w:val="single"/>
        </w:rPr>
        <w:t xml:space="preserve"> the </w:t>
      </w:r>
      <w:r w:rsidRPr="000B56DF">
        <w:rPr>
          <w:b/>
          <w:bCs/>
          <w:highlight w:val="cyan"/>
          <w:u w:val="single"/>
        </w:rPr>
        <w:t>continuance of tax benefits</w:t>
      </w:r>
      <w:r w:rsidRPr="00B252D9">
        <w:rPr>
          <w:sz w:val="16"/>
        </w:rPr>
        <w:t xml:space="preserve"> and thus </w:t>
      </w:r>
      <w:r w:rsidRPr="00B252D9">
        <w:rPr>
          <w:u w:val="single"/>
        </w:rPr>
        <w:t xml:space="preserve">allow legislators more possibilities to </w:t>
      </w:r>
      <w:r w:rsidRPr="000B56DF">
        <w:rPr>
          <w:highlight w:val="cyan"/>
          <w:u w:val="single"/>
        </w:rPr>
        <w:t>extract financial and electoral contributions from</w:t>
      </w:r>
      <w:r w:rsidRPr="00B252D9">
        <w:rPr>
          <w:u w:val="single"/>
        </w:rPr>
        <w:t xml:space="preserve"> the </w:t>
      </w:r>
      <w:r w:rsidRPr="000B56DF">
        <w:rPr>
          <w:highlight w:val="cyan"/>
          <w:u w:val="single"/>
        </w:rPr>
        <w:t>recipients</w:t>
      </w:r>
      <w:r w:rsidRPr="00B252D9">
        <w:rPr>
          <w:u w:val="single"/>
        </w:rPr>
        <w:t xml:space="preserve"> of those benefits. </w:t>
      </w:r>
      <w:r w:rsidRPr="00B252D9">
        <w:rPr>
          <w:sz w:val="16"/>
        </w:rPr>
        <w:t>Therefore</w:t>
      </w:r>
      <w:r w:rsidRPr="00B252D9">
        <w:rPr>
          <w:u w:val="single"/>
        </w:rPr>
        <w:t xml:space="preserve">, politicians have an </w:t>
      </w:r>
      <w:r w:rsidRPr="000B56DF">
        <w:rPr>
          <w:highlight w:val="cyan"/>
          <w:u w:val="single"/>
        </w:rPr>
        <w:t>incentive to perpetually endanger</w:t>
      </w:r>
      <w:r w:rsidRPr="00B252D9">
        <w:rPr>
          <w:u w:val="single"/>
        </w:rPr>
        <w:t xml:space="preserve"> provisions that provide rent-extracting opportunities.</w:t>
      </w:r>
      <w:r w:rsidRPr="00B252D9">
        <w:rPr>
          <w:sz w:val="16"/>
        </w:rPr>
        <w:t xml:space="preserve"> The case of the tax extenders—</w:t>
      </w:r>
      <w:r w:rsidRPr="00B252D9">
        <w:rPr>
          <w:u w:val="single"/>
        </w:rPr>
        <w:t xml:space="preserve">in which </w:t>
      </w:r>
      <w:r w:rsidRPr="00F86B8D">
        <w:rPr>
          <w:b/>
          <w:bCs/>
          <w:u w:val="single"/>
        </w:rPr>
        <w:t xml:space="preserve">many </w:t>
      </w:r>
      <w:r w:rsidRPr="000B56DF">
        <w:rPr>
          <w:b/>
          <w:bCs/>
          <w:highlight w:val="cyan"/>
          <w:u w:val="single"/>
        </w:rPr>
        <w:t>popular provisions</w:t>
      </w:r>
      <w:r w:rsidRPr="00F86B8D">
        <w:rPr>
          <w:b/>
          <w:bCs/>
          <w:u w:val="single"/>
        </w:rPr>
        <w:t xml:space="preserve">, such as the R&amp;D credit, </w:t>
      </w:r>
      <w:r w:rsidRPr="000B56DF">
        <w:rPr>
          <w:b/>
          <w:bCs/>
          <w:highlight w:val="cyan"/>
          <w:u w:val="single"/>
        </w:rPr>
        <w:t>were never made permanent</w:t>
      </w:r>
      <w:r w:rsidRPr="00B252D9">
        <w:rPr>
          <w:u w:val="single"/>
        </w:rPr>
        <w:t>—supports this hypothesis</w:t>
      </w:r>
      <w:r w:rsidRPr="00B252D9">
        <w:rPr>
          <w:sz w:val="16"/>
        </w:rPr>
        <w:t xml:space="preserve">. Both </w:t>
      </w:r>
      <w:r w:rsidRPr="00B252D9">
        <w:rPr>
          <w:u w:val="single"/>
        </w:rPr>
        <w:t xml:space="preserve">EGTRRA and JGTRRA contain core provisions </w:t>
      </w:r>
      <w:r w:rsidRPr="000B56DF">
        <w:rPr>
          <w:b/>
          <w:bCs/>
          <w:highlight w:val="cyan"/>
          <w:u w:val="single"/>
        </w:rPr>
        <w:t>advantaging</w:t>
      </w:r>
      <w:r w:rsidRPr="00F86B8D">
        <w:rPr>
          <w:b/>
          <w:bCs/>
          <w:u w:val="single"/>
        </w:rPr>
        <w:t xml:space="preserve"> a </w:t>
      </w:r>
      <w:r w:rsidRPr="000B56DF">
        <w:rPr>
          <w:b/>
          <w:bCs/>
          <w:highlight w:val="cyan"/>
          <w:u w:val="single"/>
        </w:rPr>
        <w:t xml:space="preserve">narrow group </w:t>
      </w:r>
      <w:r w:rsidRPr="009E5191">
        <w:rPr>
          <w:b/>
          <w:bCs/>
          <w:u w:val="single"/>
        </w:rPr>
        <w:t>of</w:t>
      </w:r>
      <w:r w:rsidRPr="00F86B8D">
        <w:rPr>
          <w:b/>
          <w:bCs/>
          <w:u w:val="single"/>
        </w:rPr>
        <w:t xml:space="preserve"> individuals</w:t>
      </w:r>
      <w:r w:rsidRPr="00B252D9">
        <w:rPr>
          <w:u w:val="single"/>
        </w:rPr>
        <w:t xml:space="preserve"> and entities. </w:t>
      </w:r>
      <w:r w:rsidRPr="00B252D9">
        <w:rPr>
          <w:sz w:val="16"/>
        </w:rPr>
        <w:t>These</w:t>
      </w:r>
      <w:r w:rsidRPr="00B252D9">
        <w:rPr>
          <w:u w:val="single"/>
        </w:rPr>
        <w:t xml:space="preserve"> groups </w:t>
      </w:r>
      <w:r w:rsidRPr="000B56DF">
        <w:rPr>
          <w:highlight w:val="cyan"/>
          <w:u w:val="single"/>
        </w:rPr>
        <w:t>vie for</w:t>
      </w:r>
      <w:r w:rsidRPr="00B252D9">
        <w:rPr>
          <w:u w:val="single"/>
        </w:rPr>
        <w:t xml:space="preserve"> the </w:t>
      </w:r>
      <w:r w:rsidRPr="000B56DF">
        <w:rPr>
          <w:highlight w:val="cyan"/>
          <w:u w:val="single"/>
        </w:rPr>
        <w:t>extension</w:t>
      </w:r>
      <w:r w:rsidRPr="00B252D9">
        <w:rPr>
          <w:u w:val="single"/>
        </w:rPr>
        <w:t xml:space="preserve"> of benefits in their interest </w:t>
      </w:r>
      <w:r w:rsidRPr="000B56DF">
        <w:rPr>
          <w:highlight w:val="cyan"/>
          <w:u w:val="single"/>
        </w:rPr>
        <w:t xml:space="preserve">while </w:t>
      </w:r>
      <w:r w:rsidRPr="000B56DF">
        <w:rPr>
          <w:b/>
          <w:bCs/>
          <w:highlight w:val="cyan"/>
          <w:u w:val="single"/>
        </w:rPr>
        <w:t>legislators</w:t>
      </w:r>
      <w:r w:rsidRPr="00F86B8D">
        <w:rPr>
          <w:b/>
          <w:bCs/>
          <w:u w:val="single"/>
        </w:rPr>
        <w:t xml:space="preserve">, by collecting rents, </w:t>
      </w:r>
      <w:r w:rsidRPr="000B56DF">
        <w:rPr>
          <w:b/>
          <w:bCs/>
          <w:highlight w:val="cyan"/>
          <w:u w:val="single"/>
        </w:rPr>
        <w:t xml:space="preserve">make the most out of </w:t>
      </w:r>
      <w:r w:rsidRPr="009E5191">
        <w:rPr>
          <w:b/>
          <w:bCs/>
          <w:u w:val="single"/>
        </w:rPr>
        <w:t xml:space="preserve">the </w:t>
      </w:r>
      <w:r w:rsidRPr="000B56DF">
        <w:rPr>
          <w:b/>
          <w:bCs/>
          <w:highlight w:val="cyan"/>
          <w:u w:val="single"/>
        </w:rPr>
        <w:t>disagreement</w:t>
      </w:r>
      <w:r w:rsidRPr="00F86B8D">
        <w:rPr>
          <w:b/>
          <w:bCs/>
          <w:u w:val="single"/>
        </w:rPr>
        <w:t xml:space="preserve"> </w:t>
      </w:r>
      <w:r w:rsidRPr="00B252D9">
        <w:rPr>
          <w:u w:val="single"/>
        </w:rPr>
        <w:t xml:space="preserve">over the </w:t>
      </w:r>
      <w:r w:rsidRPr="009E5191">
        <w:rPr>
          <w:sz w:val="16"/>
        </w:rPr>
        <w:t>permanent enactment of the tax cuts.</w:t>
      </w:r>
    </w:p>
    <w:p w14:paraId="42D13C2E" w14:textId="77777777" w:rsidR="009F05DC" w:rsidRPr="005203DA" w:rsidRDefault="009F05DC" w:rsidP="009F05DC">
      <w:pPr>
        <w:pStyle w:val="Heading4"/>
      </w:pPr>
      <w:r>
        <w:t xml:space="preserve">The </w:t>
      </w:r>
      <w:r>
        <w:rPr>
          <w:u w:val="single"/>
        </w:rPr>
        <w:t>possibility</w:t>
      </w:r>
      <w:r>
        <w:t xml:space="preserve"> of repeal </w:t>
      </w:r>
      <w:r>
        <w:rPr>
          <w:u w:val="single"/>
        </w:rPr>
        <w:t>increases compliance costs</w:t>
      </w:r>
      <w:r>
        <w:t xml:space="preserve"> AND causes </w:t>
      </w:r>
      <w:r>
        <w:rPr>
          <w:u w:val="single"/>
        </w:rPr>
        <w:t>uncertainty</w:t>
      </w:r>
      <w:r>
        <w:t xml:space="preserve">. </w:t>
      </w:r>
    </w:p>
    <w:p w14:paraId="6FFE95A3" w14:textId="77777777" w:rsidR="009F05DC" w:rsidRDefault="009F05DC" w:rsidP="009F05DC">
      <w:r>
        <w:t xml:space="preserve">Rebecca M. </w:t>
      </w:r>
      <w:r w:rsidRPr="00E42278">
        <w:rPr>
          <w:rStyle w:val="Style13ptBold"/>
        </w:rPr>
        <w:t>Kysar 6</w:t>
      </w:r>
      <w:r>
        <w:t>, a professor at Fordham University School of Law, 3-2-2006, Georgia Law Review, "The Sun Also Rises: The Political Economy of Sunset Provisions in the Tax Code," https://papers.ssrn.com/sol3/papers.cfm?abstract_id=887388 //AS</w:t>
      </w:r>
    </w:p>
    <w:p w14:paraId="14BF81C2" w14:textId="77777777" w:rsidR="009F05DC" w:rsidRPr="005203DA" w:rsidRDefault="009F05DC" w:rsidP="009F05DC">
      <w:pPr>
        <w:rPr>
          <w:b/>
          <w:bCs/>
          <w:u w:val="single"/>
        </w:rPr>
      </w:pPr>
      <w:r w:rsidRPr="009E5191">
        <w:rPr>
          <w:u w:val="single"/>
        </w:rPr>
        <w:t>Critics indict</w:t>
      </w:r>
      <w:r w:rsidRPr="00E5051C">
        <w:rPr>
          <w:u w:val="single"/>
        </w:rPr>
        <w:t xml:space="preserve"> the </w:t>
      </w:r>
      <w:r w:rsidRPr="000B56DF">
        <w:rPr>
          <w:b/>
          <w:bCs/>
          <w:highlight w:val="cyan"/>
          <w:u w:val="single"/>
        </w:rPr>
        <w:t>sunset provisions</w:t>
      </w:r>
      <w:r w:rsidRPr="00E5051C">
        <w:rPr>
          <w:u w:val="single"/>
        </w:rPr>
        <w:t xml:space="preserve"> as “the </w:t>
      </w:r>
      <w:r w:rsidRPr="000B56DF">
        <w:rPr>
          <w:b/>
          <w:bCs/>
          <w:highlight w:val="cyan"/>
          <w:u w:val="single"/>
        </w:rPr>
        <w:t>worst kind of tax policymaking</w:t>
      </w:r>
      <w:r w:rsidRPr="00E5051C">
        <w:rPr>
          <w:u w:val="single"/>
        </w:rPr>
        <w:t xml:space="preserve"> because burdens are placed on taxpayers solely to accommodate political concerns that mean nothing to anybody</w:t>
      </w:r>
      <w:r w:rsidRPr="00E5051C">
        <w:rPr>
          <w:sz w:val="16"/>
        </w:rPr>
        <w:t xml:space="preserve"> 2006] SUNSETS AND THE TAX CODE 395 374 Id. 375 See Gale &amp; Orszag, supra note 354, at 1184 (“The extensive use of sunsets creates uncertainty with regard to expectations about future tax policy.”). 376 See Sullivan, supra note 373 (</w:t>
      </w:r>
      <w:r w:rsidRPr="00E5051C">
        <w:rPr>
          <w:u w:val="single"/>
        </w:rPr>
        <w:t xml:space="preserve">stating that </w:t>
      </w:r>
      <w:r w:rsidRPr="000B56DF">
        <w:rPr>
          <w:highlight w:val="cyan"/>
          <w:u w:val="single"/>
        </w:rPr>
        <w:t>taxpayers</w:t>
      </w:r>
      <w:r w:rsidRPr="00E5051C">
        <w:rPr>
          <w:u w:val="single"/>
        </w:rPr>
        <w:t xml:space="preserve"> </w:t>
      </w:r>
      <w:r w:rsidRPr="000B56DF">
        <w:rPr>
          <w:highlight w:val="cyan"/>
          <w:u w:val="single"/>
        </w:rPr>
        <w:t>faced with uncertain</w:t>
      </w:r>
      <w:r w:rsidRPr="00E5051C">
        <w:rPr>
          <w:u w:val="single"/>
        </w:rPr>
        <w:t xml:space="preserve"> tax </w:t>
      </w:r>
      <w:r w:rsidRPr="000B56DF">
        <w:rPr>
          <w:highlight w:val="cyan"/>
          <w:u w:val="single"/>
        </w:rPr>
        <w:t>laws</w:t>
      </w:r>
      <w:r w:rsidRPr="00E5051C">
        <w:rPr>
          <w:u w:val="single"/>
        </w:rPr>
        <w:t xml:space="preserve"> will </w:t>
      </w:r>
      <w:r w:rsidRPr="000B56DF">
        <w:rPr>
          <w:highlight w:val="cyan"/>
          <w:u w:val="single"/>
        </w:rPr>
        <w:t>fail to take</w:t>
      </w:r>
      <w:r w:rsidRPr="00E5051C">
        <w:rPr>
          <w:u w:val="single"/>
        </w:rPr>
        <w:t xml:space="preserve"> into account </w:t>
      </w:r>
      <w:r w:rsidRPr="000B56DF">
        <w:rPr>
          <w:highlight w:val="cyan"/>
          <w:u w:val="single"/>
        </w:rPr>
        <w:t>possibility of future changes</w:t>
      </w:r>
      <w:r w:rsidRPr="00E5051C">
        <w:rPr>
          <w:u w:val="single"/>
        </w:rPr>
        <w:t>, and that tax cut may be more windfall than incentive to save</w:t>
      </w:r>
      <w:r w:rsidRPr="00E5051C">
        <w:rPr>
          <w:sz w:val="16"/>
        </w:rPr>
        <w:t xml:space="preserve">). 377 See id. (noting that this diminishes potential benefit of tax cut). 378 Of course, one could predict that Congress, if prohibited from using sunsets, would simply shift its revenue games to other techniques, such as phase-ins, which may also negatively alter taxpayer incentives. outside of Washington.”374 The </w:t>
      </w:r>
      <w:r w:rsidRPr="00E5051C">
        <w:rPr>
          <w:u w:val="single"/>
        </w:rPr>
        <w:t xml:space="preserve">sunset provisions, they argue, </w:t>
      </w:r>
      <w:r w:rsidRPr="000B56DF">
        <w:rPr>
          <w:b/>
          <w:bCs/>
          <w:highlight w:val="cyan"/>
          <w:u w:val="single"/>
        </w:rPr>
        <w:t>create uncertainty</w:t>
      </w:r>
      <w:r w:rsidRPr="00E5051C">
        <w:rPr>
          <w:u w:val="single"/>
        </w:rPr>
        <w:t xml:space="preserve">.375 Uncertainty </w:t>
      </w:r>
      <w:r w:rsidRPr="000B56DF">
        <w:rPr>
          <w:b/>
          <w:bCs/>
          <w:highlight w:val="cyan"/>
          <w:u w:val="single"/>
        </w:rPr>
        <w:t>hurts economic performance</w:t>
      </w:r>
      <w:r w:rsidRPr="00E5051C">
        <w:rPr>
          <w:u w:val="single"/>
        </w:rPr>
        <w:t xml:space="preserve"> </w:t>
      </w:r>
      <w:r w:rsidRPr="00E5051C">
        <w:rPr>
          <w:sz w:val="16"/>
          <w:szCs w:val="16"/>
        </w:rPr>
        <w:t>by diminishing the incentive effects of the tax cut</w:t>
      </w:r>
      <w:r w:rsidRPr="00E5051C">
        <w:rPr>
          <w:u w:val="single"/>
        </w:rPr>
        <w:t xml:space="preserve">.376 In addition, </w:t>
      </w:r>
      <w:r w:rsidRPr="00E5051C">
        <w:rPr>
          <w:b/>
          <w:bCs/>
          <w:u w:val="single"/>
        </w:rPr>
        <w:t xml:space="preserve">uncertainty creates economic </w:t>
      </w:r>
      <w:r w:rsidRPr="000B56DF">
        <w:rPr>
          <w:b/>
          <w:bCs/>
          <w:highlight w:val="cyan"/>
          <w:u w:val="single"/>
        </w:rPr>
        <w:t>waste</w:t>
      </w:r>
      <w:r w:rsidRPr="00E5051C">
        <w:rPr>
          <w:u w:val="single"/>
        </w:rPr>
        <w:t xml:space="preserve"> by </w:t>
      </w:r>
      <w:r w:rsidRPr="000B56DF">
        <w:rPr>
          <w:highlight w:val="cyan"/>
          <w:u w:val="single"/>
        </w:rPr>
        <w:t>increasing planning, administration, and compliance costs</w:t>
      </w:r>
      <w:r w:rsidRPr="00E5051C">
        <w:rPr>
          <w:sz w:val="16"/>
        </w:rPr>
        <w:t xml:space="preserve">.377 In reality, </w:t>
      </w:r>
      <w:r w:rsidRPr="00E5051C">
        <w:rPr>
          <w:u w:val="single"/>
        </w:rPr>
        <w:t xml:space="preserve">taxpayers must always </w:t>
      </w:r>
      <w:r w:rsidRPr="000B56DF">
        <w:rPr>
          <w:highlight w:val="cyan"/>
          <w:u w:val="single"/>
        </w:rPr>
        <w:t xml:space="preserve">discount for the </w:t>
      </w:r>
      <w:r w:rsidRPr="000B56DF">
        <w:rPr>
          <w:b/>
          <w:bCs/>
          <w:highlight w:val="cyan"/>
          <w:u w:val="single"/>
        </w:rPr>
        <w:t>possibility of repeal</w:t>
      </w:r>
      <w:r w:rsidRPr="00E5051C">
        <w:rPr>
          <w:u w:val="single"/>
        </w:rPr>
        <w:t xml:space="preserve"> or other </w:t>
      </w:r>
      <w:r w:rsidRPr="00E5051C">
        <w:rPr>
          <w:b/>
          <w:bCs/>
          <w:u w:val="single"/>
        </w:rPr>
        <w:t>legislative changes</w:t>
      </w:r>
      <w:r w:rsidRPr="00E5051C">
        <w:rPr>
          <w:sz w:val="16"/>
        </w:rPr>
        <w:t xml:space="preserve">. The tax code, after all, is not etched in stone. Nonetheless, </w:t>
      </w:r>
      <w:r w:rsidRPr="00E5051C">
        <w:rPr>
          <w:u w:val="single"/>
        </w:rPr>
        <w:t xml:space="preserve">an </w:t>
      </w:r>
      <w:r w:rsidRPr="000B56DF">
        <w:rPr>
          <w:highlight w:val="cyan"/>
          <w:u w:val="single"/>
        </w:rPr>
        <w:t>expiration date</w:t>
      </w:r>
      <w:r w:rsidRPr="00E5051C">
        <w:rPr>
          <w:u w:val="single"/>
        </w:rPr>
        <w:t xml:space="preserve"> provides an opportunity for legislators to </w:t>
      </w:r>
      <w:r w:rsidRPr="000B56DF">
        <w:rPr>
          <w:b/>
          <w:bCs/>
          <w:highlight w:val="cyan"/>
          <w:u w:val="single"/>
        </w:rPr>
        <w:t>remove a tax</w:t>
      </w:r>
      <w:r w:rsidRPr="000B56DF">
        <w:rPr>
          <w:highlight w:val="cyan"/>
          <w:u w:val="single"/>
        </w:rPr>
        <w:t xml:space="preserve"> benefit</w:t>
      </w:r>
      <w:r w:rsidRPr="00E5051C">
        <w:rPr>
          <w:u w:val="single"/>
        </w:rPr>
        <w:t xml:space="preserve"> without affirmatively acting and thus may increase the possibility of legislative change. Regardless, it is unarguable that </w:t>
      </w:r>
      <w:r w:rsidRPr="00E5051C">
        <w:rPr>
          <w:b/>
          <w:bCs/>
          <w:u w:val="single"/>
        </w:rPr>
        <w:t xml:space="preserve">sunset provisions </w:t>
      </w:r>
      <w:r w:rsidRPr="000B56DF">
        <w:rPr>
          <w:b/>
          <w:bCs/>
          <w:highlight w:val="cyan"/>
          <w:u w:val="single"/>
        </w:rPr>
        <w:t>complicate the Code</w:t>
      </w:r>
      <w:r w:rsidRPr="00E5051C">
        <w:rPr>
          <w:b/>
          <w:bCs/>
          <w:u w:val="single"/>
        </w:rPr>
        <w:t>.</w:t>
      </w:r>
    </w:p>
    <w:p w14:paraId="11E1A68D" w14:textId="77777777" w:rsidR="009F05DC" w:rsidRDefault="009F05DC" w:rsidP="009F05DC">
      <w:pPr>
        <w:pStyle w:val="Heading3"/>
      </w:pPr>
      <w:r>
        <w:t>Sunsets Fail---Ext</w:t>
      </w:r>
    </w:p>
    <w:p w14:paraId="18BF361C" w14:textId="77777777" w:rsidR="009F05DC" w:rsidRPr="005203DA" w:rsidRDefault="009F05DC" w:rsidP="009F05DC">
      <w:pPr>
        <w:pStyle w:val="Heading4"/>
      </w:pPr>
      <w:r>
        <w:t xml:space="preserve">It’s </w:t>
      </w:r>
      <w:r>
        <w:rPr>
          <w:u w:val="single"/>
        </w:rPr>
        <w:t>hugely uncertain</w:t>
      </w:r>
      <w:r>
        <w:t xml:space="preserve">, risks </w:t>
      </w:r>
      <w:r>
        <w:rPr>
          <w:u w:val="single"/>
        </w:rPr>
        <w:t>expiration</w:t>
      </w:r>
      <w:r>
        <w:t xml:space="preserve"> of safety nets, and causes </w:t>
      </w:r>
      <w:r>
        <w:rPr>
          <w:u w:val="single"/>
        </w:rPr>
        <w:t>regulatory see-sawing</w:t>
      </w:r>
      <w:r>
        <w:t xml:space="preserve">. </w:t>
      </w:r>
    </w:p>
    <w:p w14:paraId="7A8B7D33" w14:textId="77777777" w:rsidR="009F05DC" w:rsidRPr="005932C8" w:rsidRDefault="009F05DC" w:rsidP="009F05DC">
      <w:r>
        <w:t xml:space="preserve">Deborah </w:t>
      </w:r>
      <w:r w:rsidRPr="00E45C6A">
        <w:rPr>
          <w:rStyle w:val="Style13ptBold"/>
        </w:rPr>
        <w:t>Samenow 22</w:t>
      </w:r>
      <w:r>
        <w:t>, has more than a decade of federal government experience reviewing and adjudicating Medicare claims for coverage and reimbursement, and Wenxi Li, is a member of the DLA Piper’s Healthcare Industry team in the Washington, DC office, and Alexandra Lafree, graduate of the University of Maryland Francis King Carey School of Law, 7-26-2022, DLA Piper, "Fading into the sunset The last of the Sunset Rule," https://www.dlapiper.com/en/insights/publications/2022/07/fading-into-the-sunset-the-last-of-the-sunset-rule //AS</w:t>
      </w:r>
    </w:p>
    <w:p w14:paraId="544F1419" w14:textId="77777777" w:rsidR="009F05DC" w:rsidRPr="002B1376" w:rsidRDefault="009F05DC" w:rsidP="009F05DC">
      <w:pPr>
        <w:rPr>
          <w:u w:val="single"/>
        </w:rPr>
      </w:pPr>
      <w:r w:rsidRPr="002B1376">
        <w:rPr>
          <w:sz w:val="16"/>
        </w:rPr>
        <w:t xml:space="preserve">At the time the Sunset Rule was finalized, commenters had relayed numerous concerns, including that </w:t>
      </w:r>
      <w:r w:rsidRPr="002B1376">
        <w:rPr>
          <w:u w:val="single"/>
        </w:rPr>
        <w:t xml:space="preserve">the Sunset Rule would </w:t>
      </w:r>
      <w:r w:rsidRPr="000B56DF">
        <w:rPr>
          <w:highlight w:val="cyan"/>
          <w:u w:val="single"/>
        </w:rPr>
        <w:t xml:space="preserve">cause </w:t>
      </w:r>
      <w:r w:rsidRPr="000B56DF">
        <w:rPr>
          <w:b/>
          <w:bCs/>
          <w:highlight w:val="cyan"/>
          <w:u w:val="single"/>
        </w:rPr>
        <w:t>significant regulatory uncertainty</w:t>
      </w:r>
      <w:r w:rsidRPr="000B56DF">
        <w:rPr>
          <w:highlight w:val="cyan"/>
          <w:u w:val="single"/>
        </w:rPr>
        <w:t xml:space="preserve"> </w:t>
      </w:r>
      <w:r w:rsidRPr="006E3995">
        <w:rPr>
          <w:u w:val="single"/>
        </w:rPr>
        <w:t>in</w:t>
      </w:r>
      <w:r w:rsidRPr="002B1376">
        <w:rPr>
          <w:u w:val="single"/>
        </w:rPr>
        <w:t xml:space="preserve"> the </w:t>
      </w:r>
      <w:r w:rsidRPr="006E3995">
        <w:rPr>
          <w:u w:val="single"/>
        </w:rPr>
        <w:t>healthcare</w:t>
      </w:r>
      <w:r w:rsidRPr="009D6474">
        <w:rPr>
          <w:u w:val="single"/>
        </w:rPr>
        <w:t xml:space="preserve"> industry</w:t>
      </w:r>
      <w:r w:rsidRPr="002B1376">
        <w:rPr>
          <w:sz w:val="16"/>
        </w:rPr>
        <w:t xml:space="preserve">. Commentors feared that potential regulatory changes could create </w:t>
      </w:r>
      <w:r w:rsidRPr="000B56DF">
        <w:rPr>
          <w:highlight w:val="cyan"/>
          <w:u w:val="single"/>
        </w:rPr>
        <w:t xml:space="preserve">additional </w:t>
      </w:r>
      <w:r w:rsidRPr="000B56DF">
        <w:rPr>
          <w:b/>
          <w:bCs/>
          <w:highlight w:val="cyan"/>
          <w:u w:val="single"/>
        </w:rPr>
        <w:t>compliance and regulatory costs</w:t>
      </w:r>
      <w:r w:rsidRPr="002B1376">
        <w:rPr>
          <w:u w:val="single"/>
        </w:rPr>
        <w:t xml:space="preserve"> for healthcare providers and force them to adapt to a </w:t>
      </w:r>
      <w:r w:rsidRPr="000B56DF">
        <w:rPr>
          <w:highlight w:val="cyan"/>
          <w:u w:val="single"/>
        </w:rPr>
        <w:t>changing</w:t>
      </w:r>
      <w:r w:rsidRPr="002B1376">
        <w:rPr>
          <w:u w:val="single"/>
        </w:rPr>
        <w:t xml:space="preserve"> regulatory </w:t>
      </w:r>
      <w:r w:rsidRPr="000B56DF">
        <w:rPr>
          <w:highlight w:val="cyan"/>
          <w:u w:val="single"/>
        </w:rPr>
        <w:t>framework</w:t>
      </w:r>
      <w:r w:rsidRPr="002B1376">
        <w:rPr>
          <w:u w:val="single"/>
        </w:rPr>
        <w:t xml:space="preserve">. </w:t>
      </w:r>
    </w:p>
    <w:p w14:paraId="78C2E59C" w14:textId="77777777" w:rsidR="009F05DC" w:rsidRDefault="009F05DC" w:rsidP="009F05DC">
      <w:pPr>
        <w:rPr>
          <w:sz w:val="16"/>
        </w:rPr>
      </w:pPr>
      <w:r w:rsidRPr="002B1376">
        <w:rPr>
          <w:sz w:val="16"/>
        </w:rPr>
        <w:t xml:space="preserve">For example, the </w:t>
      </w:r>
      <w:r w:rsidRPr="000B56DF">
        <w:rPr>
          <w:highlight w:val="cyan"/>
          <w:u w:val="single"/>
        </w:rPr>
        <w:t>uncertainty created around</w:t>
      </w:r>
      <w:r w:rsidRPr="002B1376">
        <w:rPr>
          <w:u w:val="single"/>
        </w:rPr>
        <w:t xml:space="preserve"> the </w:t>
      </w:r>
      <w:r w:rsidRPr="000B56DF">
        <w:rPr>
          <w:b/>
          <w:bCs/>
          <w:highlight w:val="cyan"/>
          <w:u w:val="single"/>
        </w:rPr>
        <w:t>expiration</w:t>
      </w:r>
      <w:r w:rsidRPr="009D6474">
        <w:rPr>
          <w:b/>
          <w:bCs/>
          <w:u w:val="single"/>
        </w:rPr>
        <w:t xml:space="preserve"> of regulations</w:t>
      </w:r>
      <w:r w:rsidRPr="002B1376">
        <w:rPr>
          <w:u w:val="single"/>
        </w:rPr>
        <w:t xml:space="preserve">, </w:t>
      </w:r>
      <w:r w:rsidRPr="000B56DF">
        <w:rPr>
          <w:highlight w:val="cyan"/>
          <w:u w:val="single"/>
        </w:rPr>
        <w:t xml:space="preserve">including those that </w:t>
      </w:r>
      <w:r w:rsidRPr="000B56DF">
        <w:rPr>
          <w:b/>
          <w:bCs/>
          <w:highlight w:val="cyan"/>
          <w:u w:val="single"/>
        </w:rPr>
        <w:t>guide eligibility for participation</w:t>
      </w:r>
      <w:r w:rsidRPr="002A69E0">
        <w:rPr>
          <w:b/>
          <w:bCs/>
          <w:u w:val="single"/>
        </w:rPr>
        <w:t xml:space="preserve"> in Medicare</w:t>
      </w:r>
      <w:r w:rsidRPr="009D6474">
        <w:rPr>
          <w:b/>
          <w:bCs/>
          <w:u w:val="single"/>
        </w:rPr>
        <w:t xml:space="preserve"> and Medicaid</w:t>
      </w:r>
      <w:r w:rsidRPr="002B1376">
        <w:rPr>
          <w:u w:val="single"/>
        </w:rPr>
        <w:t xml:space="preserve">, provider reimbursement, and certification of hospitals and clinics, could </w:t>
      </w:r>
      <w:r w:rsidRPr="000B56DF">
        <w:rPr>
          <w:b/>
          <w:bCs/>
          <w:highlight w:val="cyan"/>
          <w:u w:val="single"/>
        </w:rPr>
        <w:t>disrupt</w:t>
      </w:r>
      <w:r w:rsidRPr="009D6474">
        <w:rPr>
          <w:b/>
          <w:bCs/>
          <w:u w:val="single"/>
        </w:rPr>
        <w:t xml:space="preserve"> </w:t>
      </w:r>
      <w:r w:rsidRPr="004D0B1D">
        <w:rPr>
          <w:u w:val="single"/>
        </w:rPr>
        <w:t>the efficient</w:t>
      </w:r>
      <w:r w:rsidRPr="009D6474">
        <w:rPr>
          <w:b/>
          <w:bCs/>
          <w:u w:val="single"/>
        </w:rPr>
        <w:t xml:space="preserve"> </w:t>
      </w:r>
      <w:r w:rsidRPr="000B56DF">
        <w:rPr>
          <w:b/>
          <w:bCs/>
          <w:highlight w:val="cyan"/>
          <w:u w:val="single"/>
        </w:rPr>
        <w:t>operation of</w:t>
      </w:r>
      <w:r w:rsidRPr="009D6474">
        <w:rPr>
          <w:b/>
          <w:bCs/>
          <w:u w:val="single"/>
        </w:rPr>
        <w:t xml:space="preserve"> critical </w:t>
      </w:r>
      <w:r w:rsidRPr="000B56DF">
        <w:rPr>
          <w:b/>
          <w:bCs/>
          <w:highlight w:val="cyan"/>
          <w:u w:val="single"/>
        </w:rPr>
        <w:t>safety-net programs</w:t>
      </w:r>
      <w:r w:rsidRPr="000B56DF">
        <w:rPr>
          <w:highlight w:val="cyan"/>
          <w:u w:val="single"/>
        </w:rPr>
        <w:t xml:space="preserve">, create regulatory gaps and inconsistent application of </w:t>
      </w:r>
      <w:r w:rsidRPr="006E3995">
        <w:rPr>
          <w:u w:val="single"/>
        </w:rPr>
        <w:t>the</w:t>
      </w:r>
      <w:r w:rsidRPr="002B1376">
        <w:rPr>
          <w:u w:val="single"/>
        </w:rPr>
        <w:t xml:space="preserve"> </w:t>
      </w:r>
      <w:r w:rsidRPr="000B56DF">
        <w:rPr>
          <w:highlight w:val="cyan"/>
          <w:u w:val="single"/>
        </w:rPr>
        <w:t>law</w:t>
      </w:r>
      <w:r w:rsidRPr="002B1376">
        <w:rPr>
          <w:u w:val="single"/>
        </w:rPr>
        <w:t xml:space="preserve">, and </w:t>
      </w:r>
      <w:r w:rsidRPr="000B56DF">
        <w:rPr>
          <w:highlight w:val="cyan"/>
          <w:u w:val="single"/>
        </w:rPr>
        <w:t xml:space="preserve">make </w:t>
      </w:r>
      <w:r w:rsidRPr="000B56DF">
        <w:rPr>
          <w:b/>
          <w:bCs/>
          <w:highlight w:val="cyan"/>
          <w:u w:val="single"/>
        </w:rPr>
        <w:t>accessing</w:t>
      </w:r>
      <w:r w:rsidRPr="004D0B1D">
        <w:rPr>
          <w:b/>
          <w:bCs/>
          <w:u w:val="single"/>
        </w:rPr>
        <w:t xml:space="preserve"> safety-net services for vulnerable populations even</w:t>
      </w:r>
      <w:r w:rsidRPr="009D6474">
        <w:rPr>
          <w:b/>
          <w:bCs/>
          <w:u w:val="single"/>
        </w:rPr>
        <w:t xml:space="preserve"> </w:t>
      </w:r>
      <w:r w:rsidRPr="000B56DF">
        <w:rPr>
          <w:b/>
          <w:bCs/>
          <w:highlight w:val="cyan"/>
          <w:u w:val="single"/>
        </w:rPr>
        <w:t>more</w:t>
      </w:r>
      <w:r w:rsidRPr="009D6474">
        <w:rPr>
          <w:b/>
          <w:bCs/>
          <w:u w:val="single"/>
        </w:rPr>
        <w:t xml:space="preserve"> complicated and </w:t>
      </w:r>
      <w:r w:rsidRPr="000B56DF">
        <w:rPr>
          <w:b/>
          <w:bCs/>
          <w:highlight w:val="cyan"/>
          <w:u w:val="single"/>
        </w:rPr>
        <w:t>difficult</w:t>
      </w:r>
      <w:r w:rsidRPr="002B1376">
        <w:rPr>
          <w:u w:val="single"/>
        </w:rPr>
        <w:t xml:space="preserve"> than it is today</w:t>
      </w:r>
      <w:r w:rsidRPr="002B1376">
        <w:rPr>
          <w:sz w:val="16"/>
        </w:rPr>
        <w:t xml:space="preserve">. Other commenters feared that it would be </w:t>
      </w:r>
      <w:r w:rsidRPr="002B1376">
        <w:rPr>
          <w:u w:val="single"/>
        </w:rPr>
        <w:t xml:space="preserve">difficult to advise clients on how to comply with HHS regulations, given the </w:t>
      </w:r>
      <w:r w:rsidRPr="000B56DF">
        <w:rPr>
          <w:b/>
          <w:bCs/>
          <w:highlight w:val="cyan"/>
          <w:u w:val="single"/>
        </w:rPr>
        <w:t>risk for withdrawal</w:t>
      </w:r>
      <w:r w:rsidRPr="002B1376">
        <w:rPr>
          <w:sz w:val="16"/>
        </w:rPr>
        <w:t>.</w:t>
      </w:r>
    </w:p>
    <w:p w14:paraId="67EF8C67" w14:textId="77777777" w:rsidR="009F05DC" w:rsidRDefault="009F05DC" w:rsidP="009F05DC">
      <w:pPr>
        <w:pStyle w:val="Heading3"/>
      </w:pPr>
      <w:r>
        <w:t>Sunsets Fail---Ext---Economy</w:t>
      </w:r>
    </w:p>
    <w:p w14:paraId="6BEA39A3" w14:textId="77777777" w:rsidR="009F05DC" w:rsidRPr="005203DA" w:rsidRDefault="009F05DC" w:rsidP="009F05DC">
      <w:pPr>
        <w:pStyle w:val="Heading4"/>
      </w:pPr>
      <w:r>
        <w:t xml:space="preserve">It wrecks </w:t>
      </w:r>
      <w:r>
        <w:rPr>
          <w:u w:val="single"/>
        </w:rPr>
        <w:t>legal stability</w:t>
      </w:r>
      <w:r>
        <w:t xml:space="preserve"> and crushes </w:t>
      </w:r>
      <w:r>
        <w:rPr>
          <w:u w:val="single"/>
        </w:rPr>
        <w:t>investment</w:t>
      </w:r>
      <w:r>
        <w:t xml:space="preserve">. </w:t>
      </w:r>
    </w:p>
    <w:p w14:paraId="13B2037A" w14:textId="77777777" w:rsidR="009F05DC" w:rsidRDefault="009F05DC" w:rsidP="009F05DC">
      <w:r>
        <w:t xml:space="preserve">Sofia </w:t>
      </w:r>
      <w:r w:rsidRPr="000B1A33">
        <w:rPr>
          <w:rStyle w:val="Style13ptBold"/>
        </w:rPr>
        <w:t>Ranchordás 14</w:t>
      </w:r>
      <w:r>
        <w:t>, a full professor of public law and a Rosalind Franklin fellow at the Faculty of Law of the University of Groningen and she is also an affiliated fellow of the Information Society Project at Yale Law School, 2-11-2014; Statute Law Review, "Sunset Clauses and Experimental Regulations: Blessing or Curse for Legal Certainty?," https://academic.oup.com/slr/article/36/1/28/1614369 //AS</w:t>
      </w:r>
    </w:p>
    <w:p w14:paraId="2F3C0A1B" w14:textId="77777777" w:rsidR="009F05DC" w:rsidRPr="00D1662C" w:rsidRDefault="009F05DC" w:rsidP="009F05DC">
      <w:pPr>
        <w:rPr>
          <w:sz w:val="16"/>
        </w:rPr>
      </w:pPr>
      <w:r w:rsidRPr="00D1662C">
        <w:rPr>
          <w:sz w:val="16"/>
        </w:rPr>
        <w:t xml:space="preserve">Max Weber claimed that </w:t>
      </w:r>
      <w:r w:rsidRPr="001273E0">
        <w:rPr>
          <w:u w:val="single"/>
        </w:rPr>
        <w:t>legal certainty</w:t>
      </w:r>
      <w:r w:rsidRPr="00D1662C">
        <w:rPr>
          <w:u w:val="single"/>
        </w:rPr>
        <w:t xml:space="preserve"> is one of the pillars of capitalism since </w:t>
      </w:r>
      <w:r w:rsidRPr="000B56DF">
        <w:rPr>
          <w:highlight w:val="cyan"/>
          <w:u w:val="single"/>
        </w:rPr>
        <w:t>without sufficient legal stability</w:t>
      </w:r>
      <w:r w:rsidRPr="00D1662C">
        <w:rPr>
          <w:u w:val="single"/>
        </w:rPr>
        <w:t xml:space="preserve"> and predictability, </w:t>
      </w:r>
      <w:r w:rsidRPr="000B56DF">
        <w:rPr>
          <w:highlight w:val="cyan"/>
          <w:u w:val="single"/>
        </w:rPr>
        <w:t>investment</w:t>
      </w:r>
      <w:r w:rsidRPr="00D1662C">
        <w:rPr>
          <w:u w:val="single"/>
        </w:rPr>
        <w:t xml:space="preserve"> may be </w:t>
      </w:r>
      <w:r w:rsidRPr="000B56DF">
        <w:rPr>
          <w:highlight w:val="cyan"/>
          <w:u w:val="single"/>
        </w:rPr>
        <w:t>significantly discouraged</w:t>
      </w:r>
      <w:r w:rsidRPr="00D1662C">
        <w:rPr>
          <w:sz w:val="16"/>
        </w:rPr>
        <w:t xml:space="preserve">.94 To wit, </w:t>
      </w:r>
      <w:r w:rsidRPr="00D1662C">
        <w:rPr>
          <w:u w:val="single"/>
        </w:rPr>
        <w:t xml:space="preserve">investors may </w:t>
      </w:r>
      <w:r w:rsidRPr="000B56DF">
        <w:rPr>
          <w:highlight w:val="cyan"/>
          <w:u w:val="single"/>
        </w:rPr>
        <w:t>not invest in new tech</w:t>
      </w:r>
      <w:r w:rsidRPr="00D1662C">
        <w:rPr>
          <w:u w:val="single"/>
        </w:rPr>
        <w:t xml:space="preserve">nologies, for example, if they </w:t>
      </w:r>
      <w:r w:rsidRPr="000B56DF">
        <w:rPr>
          <w:highlight w:val="cyan"/>
          <w:u w:val="single"/>
        </w:rPr>
        <w:t>fear sudden</w:t>
      </w:r>
      <w:r w:rsidRPr="00D1662C">
        <w:rPr>
          <w:u w:val="single"/>
        </w:rPr>
        <w:t xml:space="preserve"> and disadvantageous </w:t>
      </w:r>
      <w:r w:rsidRPr="000B56DF">
        <w:rPr>
          <w:highlight w:val="cyan"/>
          <w:u w:val="single"/>
        </w:rPr>
        <w:t>legislative changes</w:t>
      </w:r>
      <w:r w:rsidRPr="00D1662C">
        <w:rPr>
          <w:u w:val="single"/>
        </w:rPr>
        <w:t>.</w:t>
      </w:r>
      <w:r w:rsidRPr="00D1662C">
        <w:rPr>
          <w:sz w:val="16"/>
        </w:rPr>
        <w:t xml:space="preserve"> According to this perspective, a capitalist system presupposes a sound degree of legislative certainty since uncertain rules, on the one hand, do not allow private actors to predict their rights and duties and, on the other, may grant unconstrained discretion to official decision makers.95 More recently, the EU Mandelkern Group on Better Regulation </w:t>
      </w:r>
      <w:r w:rsidRPr="00D1662C">
        <w:rPr>
          <w:u w:val="single"/>
        </w:rPr>
        <w:t xml:space="preserve">expressed similar concerns </w:t>
      </w:r>
      <w:r w:rsidRPr="000B56DF">
        <w:rPr>
          <w:highlight w:val="cyan"/>
          <w:u w:val="single"/>
        </w:rPr>
        <w:t xml:space="preserve">regarding </w:t>
      </w:r>
      <w:r w:rsidRPr="001273E0">
        <w:rPr>
          <w:u w:val="single"/>
        </w:rPr>
        <w:t>a</w:t>
      </w:r>
      <w:r w:rsidRPr="00D1662C">
        <w:rPr>
          <w:u w:val="single"/>
        </w:rPr>
        <w:t xml:space="preserve"> </w:t>
      </w:r>
      <w:r w:rsidRPr="001273E0">
        <w:rPr>
          <w:u w:val="single"/>
        </w:rPr>
        <w:t xml:space="preserve">broad </w:t>
      </w:r>
      <w:r w:rsidRPr="000B56DF">
        <w:rPr>
          <w:b/>
          <w:bCs/>
          <w:highlight w:val="cyan"/>
          <w:u w:val="single"/>
        </w:rPr>
        <w:t>enactment of sunset clauses</w:t>
      </w:r>
      <w:r w:rsidRPr="00D1662C">
        <w:rPr>
          <w:u w:val="single"/>
        </w:rPr>
        <w:t xml:space="preserve">. Although this legislative instrument could be advantageous in a number of situations, it was equally acknowledged that sunset clauses could </w:t>
      </w:r>
      <w:r w:rsidRPr="00D1662C">
        <w:rPr>
          <w:b/>
          <w:bCs/>
          <w:u w:val="single"/>
        </w:rPr>
        <w:t xml:space="preserve">have a </w:t>
      </w:r>
      <w:r w:rsidRPr="000B56DF">
        <w:rPr>
          <w:b/>
          <w:bCs/>
          <w:highlight w:val="cyan"/>
          <w:u w:val="single"/>
        </w:rPr>
        <w:t>negative impact on</w:t>
      </w:r>
      <w:r w:rsidRPr="00D1662C">
        <w:rPr>
          <w:b/>
          <w:bCs/>
          <w:u w:val="single"/>
        </w:rPr>
        <w:t xml:space="preserve"> the </w:t>
      </w:r>
      <w:r w:rsidRPr="000B56DF">
        <w:rPr>
          <w:b/>
          <w:bCs/>
          <w:highlight w:val="cyan"/>
          <w:u w:val="single"/>
        </w:rPr>
        <w:t>investment climate</w:t>
      </w:r>
      <w:r w:rsidRPr="00D1662C">
        <w:rPr>
          <w:sz w:val="16"/>
        </w:rPr>
        <w:t xml:space="preserve">. If </w:t>
      </w:r>
      <w:r w:rsidRPr="00D1662C">
        <w:rPr>
          <w:u w:val="single"/>
        </w:rPr>
        <w:t xml:space="preserve">regulations designed to incentivize substantial investment in a determined technology expire within a beforehand known period of time, </w:t>
      </w:r>
      <w:r w:rsidRPr="000B56DF">
        <w:rPr>
          <w:highlight w:val="cyan"/>
          <w:u w:val="single"/>
        </w:rPr>
        <w:t>private actors</w:t>
      </w:r>
      <w:r w:rsidRPr="00D1662C">
        <w:rPr>
          <w:u w:val="single"/>
        </w:rPr>
        <w:t xml:space="preserve"> may be </w:t>
      </w:r>
      <w:r w:rsidRPr="001273E0">
        <w:rPr>
          <w:u w:val="single"/>
        </w:rPr>
        <w:t xml:space="preserve">more </w:t>
      </w:r>
      <w:r w:rsidRPr="000B56DF">
        <w:rPr>
          <w:b/>
          <w:bCs/>
          <w:highlight w:val="cyan"/>
          <w:u w:val="single"/>
        </w:rPr>
        <w:t>reluctant to respond</w:t>
      </w:r>
      <w:r w:rsidRPr="000B56DF">
        <w:rPr>
          <w:highlight w:val="cyan"/>
          <w:u w:val="single"/>
        </w:rPr>
        <w:t xml:space="preserve"> to these incentives</w:t>
      </w:r>
      <w:r w:rsidRPr="00D1662C">
        <w:rPr>
          <w:sz w:val="16"/>
        </w:rPr>
        <w:t xml:space="preserve">. This will be </w:t>
      </w:r>
      <w:r w:rsidRPr="00D1662C">
        <w:rPr>
          <w:u w:val="single"/>
        </w:rPr>
        <w:t>particularly true if the sunset period is shorter</w:t>
      </w:r>
      <w:r w:rsidRPr="00D1662C">
        <w:rPr>
          <w:sz w:val="16"/>
        </w:rPr>
        <w:t xml:space="preserve"> than the time span required for recovering the investment made. In addition, </w:t>
      </w:r>
      <w:r w:rsidRPr="00D1662C">
        <w:rPr>
          <w:u w:val="single"/>
        </w:rPr>
        <w:t xml:space="preserve">individuals might </w:t>
      </w:r>
      <w:r w:rsidRPr="000B56DF">
        <w:rPr>
          <w:b/>
          <w:bCs/>
          <w:highlight w:val="cyan"/>
          <w:u w:val="single"/>
        </w:rPr>
        <w:t xml:space="preserve">experience distrust </w:t>
      </w:r>
      <w:r w:rsidRPr="000B56DF">
        <w:rPr>
          <w:highlight w:val="cyan"/>
          <w:u w:val="single"/>
        </w:rPr>
        <w:t>in</w:t>
      </w:r>
      <w:r w:rsidRPr="00D1662C">
        <w:rPr>
          <w:u w:val="single"/>
        </w:rPr>
        <w:t xml:space="preserve"> the protection granted by </w:t>
      </w:r>
      <w:r w:rsidRPr="000B56DF">
        <w:rPr>
          <w:highlight w:val="cyan"/>
          <w:u w:val="single"/>
        </w:rPr>
        <w:t xml:space="preserve">law </w:t>
      </w:r>
      <w:r w:rsidRPr="001273E0">
        <w:rPr>
          <w:u w:val="single"/>
        </w:rPr>
        <w:t>and</w:t>
      </w:r>
      <w:r w:rsidRPr="00D1662C">
        <w:rPr>
          <w:u w:val="single"/>
        </w:rPr>
        <w:t xml:space="preserve"> feel that the </w:t>
      </w:r>
      <w:r w:rsidRPr="00D1662C">
        <w:rPr>
          <w:b/>
          <w:bCs/>
          <w:u w:val="single"/>
        </w:rPr>
        <w:t>regulations imposing</w:t>
      </w:r>
      <w:r w:rsidRPr="00D1662C">
        <w:rPr>
          <w:u w:val="single"/>
        </w:rPr>
        <w:t xml:space="preserve"> or stimulating them to invest in a new technology are </w:t>
      </w:r>
      <w:r w:rsidRPr="000B56DF">
        <w:rPr>
          <w:highlight w:val="cyan"/>
          <w:u w:val="single"/>
        </w:rPr>
        <w:t>not providing</w:t>
      </w:r>
      <w:r w:rsidRPr="00D1662C">
        <w:rPr>
          <w:u w:val="single"/>
        </w:rPr>
        <w:t xml:space="preserve"> them with </w:t>
      </w:r>
      <w:r w:rsidRPr="000B56DF">
        <w:rPr>
          <w:highlight w:val="cyan"/>
          <w:u w:val="single"/>
        </w:rPr>
        <w:t>sufficient legal certainty</w:t>
      </w:r>
      <w:r w:rsidRPr="00D1662C">
        <w:rPr>
          <w:sz w:val="16"/>
        </w:rPr>
        <w:t xml:space="preserve"> upon which they can ground their investment decisions.96 </w:t>
      </w:r>
    </w:p>
    <w:p w14:paraId="2D5C7CC9" w14:textId="77777777" w:rsidR="009F05DC" w:rsidRPr="005203DA" w:rsidRDefault="009F05DC" w:rsidP="009F05DC">
      <w:pPr>
        <w:rPr>
          <w:sz w:val="16"/>
        </w:rPr>
      </w:pPr>
      <w:r w:rsidRPr="00D1662C">
        <w:rPr>
          <w:sz w:val="16"/>
        </w:rPr>
        <w:t xml:space="preserve">The </w:t>
      </w:r>
      <w:r w:rsidRPr="00D1662C">
        <w:rPr>
          <w:u w:val="single"/>
        </w:rPr>
        <w:t xml:space="preserve">potential </w:t>
      </w:r>
      <w:r w:rsidRPr="00D1662C">
        <w:rPr>
          <w:b/>
          <w:bCs/>
          <w:u w:val="single"/>
        </w:rPr>
        <w:t>negative impact</w:t>
      </w:r>
      <w:r w:rsidRPr="00D1662C">
        <w:rPr>
          <w:u w:val="single"/>
        </w:rPr>
        <w:t xml:space="preserve"> of sunset clauses on investments may particularly occur</w:t>
      </w:r>
      <w:r w:rsidRPr="00D1662C">
        <w:rPr>
          <w:sz w:val="16"/>
        </w:rPr>
        <w:t xml:space="preserve"> when legislators set fixed periods that disregard the development cycles of the regulated sector.97 An example comes from the </w:t>
      </w:r>
      <w:r w:rsidRPr="000B56DF">
        <w:rPr>
          <w:highlight w:val="cyan"/>
          <w:u w:val="single"/>
        </w:rPr>
        <w:t>U</w:t>
      </w:r>
      <w:r w:rsidRPr="00D1662C">
        <w:rPr>
          <w:u w:val="single"/>
        </w:rPr>
        <w:t xml:space="preserve">nited </w:t>
      </w:r>
      <w:r w:rsidRPr="000B56DF">
        <w:rPr>
          <w:highlight w:val="cyan"/>
          <w:u w:val="single"/>
        </w:rPr>
        <w:t>S</w:t>
      </w:r>
      <w:r w:rsidRPr="00D1662C">
        <w:rPr>
          <w:u w:val="single"/>
        </w:rPr>
        <w:t xml:space="preserve">tates: here a sunset provision was </w:t>
      </w:r>
      <w:r w:rsidRPr="000B56DF">
        <w:rPr>
          <w:highlight w:val="cyan"/>
          <w:u w:val="single"/>
        </w:rPr>
        <w:t>included in the regulations</w:t>
      </w:r>
      <w:r w:rsidRPr="00D1662C">
        <w:rPr>
          <w:u w:val="single"/>
        </w:rPr>
        <w:t xml:space="preserve"> on the production tax credits which were </w:t>
      </w:r>
      <w:r w:rsidRPr="000B56DF">
        <w:rPr>
          <w:highlight w:val="cyan"/>
          <w:u w:val="single"/>
        </w:rPr>
        <w:t xml:space="preserve">deemed </w:t>
      </w:r>
      <w:r w:rsidRPr="000B56DF">
        <w:rPr>
          <w:b/>
          <w:bCs/>
          <w:highlight w:val="cyan"/>
          <w:u w:val="single"/>
        </w:rPr>
        <w:t>to fuel</w:t>
      </w:r>
      <w:r w:rsidRPr="00D1662C">
        <w:rPr>
          <w:b/>
          <w:bCs/>
          <w:u w:val="single"/>
        </w:rPr>
        <w:t xml:space="preserve"> investment in </w:t>
      </w:r>
      <w:r w:rsidRPr="000B56DF">
        <w:rPr>
          <w:b/>
          <w:bCs/>
          <w:highlight w:val="cyan"/>
          <w:u w:val="single"/>
        </w:rPr>
        <w:t>renewable energy</w:t>
      </w:r>
      <w:r w:rsidRPr="00D1662C">
        <w:rPr>
          <w:u w:val="single"/>
        </w:rPr>
        <w:t xml:space="preserve"> and advance clean energy innovation. </w:t>
      </w:r>
      <w:r w:rsidRPr="000B56DF">
        <w:rPr>
          <w:highlight w:val="cyan"/>
          <w:u w:val="single"/>
        </w:rPr>
        <w:t>Although</w:t>
      </w:r>
      <w:r w:rsidRPr="00D1662C">
        <w:rPr>
          <w:u w:val="single"/>
        </w:rPr>
        <w:t xml:space="preserve"> the sunset provisions imposed on these tax credits </w:t>
      </w:r>
      <w:r w:rsidRPr="000B56DF">
        <w:rPr>
          <w:highlight w:val="cyan"/>
          <w:u w:val="single"/>
        </w:rPr>
        <w:t>could be renewed</w:t>
      </w:r>
      <w:r w:rsidRPr="00D1662C">
        <w:rPr>
          <w:sz w:val="16"/>
        </w:rPr>
        <w:t xml:space="preserve"> for a period of one to three years, this renewal appeared to be </w:t>
      </w:r>
      <w:r w:rsidRPr="000B56DF">
        <w:rPr>
          <w:b/>
          <w:bCs/>
          <w:highlight w:val="cyan"/>
          <w:u w:val="single"/>
        </w:rPr>
        <w:t>insufficient</w:t>
      </w:r>
      <w:r w:rsidRPr="000B56DF">
        <w:rPr>
          <w:highlight w:val="cyan"/>
          <w:u w:val="single"/>
        </w:rPr>
        <w:t xml:space="preserve"> </w:t>
      </w:r>
      <w:r w:rsidRPr="001273E0">
        <w:rPr>
          <w:u w:val="single"/>
        </w:rPr>
        <w:t>since</w:t>
      </w:r>
      <w:r w:rsidRPr="00D1662C">
        <w:rPr>
          <w:u w:val="single"/>
        </w:rPr>
        <w:t xml:space="preserve"> at least three to seven years are required for the development of a wind farm. Under such circumstances, the </w:t>
      </w:r>
      <w:r w:rsidRPr="00D1662C">
        <w:rPr>
          <w:b/>
          <w:bCs/>
          <w:u w:val="single"/>
        </w:rPr>
        <w:t>uncertainty</w:t>
      </w:r>
      <w:r w:rsidRPr="00D1662C">
        <w:rPr>
          <w:u w:val="single"/>
        </w:rPr>
        <w:t xml:space="preserve"> regarding the possible renewal of the tax credit </w:t>
      </w:r>
      <w:r w:rsidRPr="00D1662C">
        <w:rPr>
          <w:b/>
          <w:bCs/>
          <w:u w:val="single"/>
        </w:rPr>
        <w:t>slowed down long-term investment</w:t>
      </w:r>
      <w:r w:rsidRPr="00D1662C">
        <w:rPr>
          <w:b/>
          <w:bCs/>
          <w:sz w:val="16"/>
        </w:rPr>
        <w:t>.</w:t>
      </w:r>
      <w:r w:rsidRPr="00D1662C">
        <w:rPr>
          <w:sz w:val="16"/>
        </w:rPr>
        <w:t>98.</w:t>
      </w:r>
    </w:p>
    <w:p w14:paraId="502BEFBA" w14:textId="77777777" w:rsidR="009F05DC" w:rsidRDefault="009F05DC" w:rsidP="009F05DC">
      <w:pPr>
        <w:pStyle w:val="Heading3"/>
      </w:pPr>
      <w:r>
        <w:t>Sunsets Fail---Ext---Warming</w:t>
      </w:r>
    </w:p>
    <w:p w14:paraId="4098A210" w14:textId="77777777" w:rsidR="009F05DC" w:rsidRPr="005203DA" w:rsidRDefault="009F05DC" w:rsidP="009F05DC">
      <w:pPr>
        <w:pStyle w:val="Heading4"/>
      </w:pPr>
      <w:r>
        <w:t xml:space="preserve">It’s </w:t>
      </w:r>
      <w:r>
        <w:rPr>
          <w:u w:val="single"/>
        </w:rPr>
        <w:t>too slow</w:t>
      </w:r>
      <w:r>
        <w:t xml:space="preserve"> to catalyze </w:t>
      </w:r>
      <w:r>
        <w:rPr>
          <w:u w:val="single"/>
        </w:rPr>
        <w:t>renewables</w:t>
      </w:r>
      <w:r>
        <w:t xml:space="preserve">. </w:t>
      </w:r>
    </w:p>
    <w:p w14:paraId="3A8E2471" w14:textId="77777777" w:rsidR="009F05DC" w:rsidRPr="00A50CCB" w:rsidRDefault="009F05DC" w:rsidP="009F05DC">
      <w:r>
        <w:t xml:space="preserve">Supti </w:t>
      </w:r>
      <w:r w:rsidRPr="008D0D06">
        <w:rPr>
          <w:rStyle w:val="Style13ptBold"/>
        </w:rPr>
        <w:t>Hossain 20</w:t>
      </w:r>
      <w:r>
        <w:t>, a Legal Associate in a renowned legal corporate firm A.S &amp; Associates who worked mainly on company, tax, labour &amp; property-related issues, and Md. Masfukur Rahman, a researcher in the field of urban planning, 12-15-2020, Daily Star, "Sunset Clause: The death of a legislation," https://www.thedailystar.net/law-our-rights/news/sunset-clause-the-death-legislation-2011365 //AS</w:t>
      </w:r>
    </w:p>
    <w:p w14:paraId="7A18DAB7" w14:textId="77777777" w:rsidR="009F05DC" w:rsidRDefault="009F05DC" w:rsidP="009F05DC">
      <w:pPr>
        <w:rPr>
          <w:u w:val="single"/>
        </w:rPr>
      </w:pPr>
      <w:r w:rsidRPr="00260BA4">
        <w:rPr>
          <w:u w:val="single"/>
        </w:rPr>
        <w:t xml:space="preserve">There are some </w:t>
      </w:r>
      <w:r w:rsidRPr="000B56DF">
        <w:rPr>
          <w:b/>
          <w:bCs/>
          <w:highlight w:val="cyan"/>
          <w:u w:val="single"/>
        </w:rPr>
        <w:t>shortcomings of sunset provision</w:t>
      </w:r>
      <w:r w:rsidRPr="000B56DF">
        <w:rPr>
          <w:highlight w:val="cyan"/>
          <w:u w:val="single"/>
        </w:rPr>
        <w:t xml:space="preserve">, particularly </w:t>
      </w:r>
      <w:r w:rsidRPr="000B56DF">
        <w:rPr>
          <w:rStyle w:val="StyleUnderline"/>
          <w:highlight w:val="cyan"/>
        </w:rPr>
        <w:t>on investments and tax credits</w:t>
      </w:r>
      <w:r w:rsidRPr="00260BA4">
        <w:rPr>
          <w:u w:val="single"/>
        </w:rPr>
        <w:t>.</w:t>
      </w:r>
      <w:r w:rsidRPr="00260BA4">
        <w:rPr>
          <w:sz w:val="16"/>
        </w:rPr>
        <w:t xml:space="preserve"> For example, </w:t>
      </w:r>
      <w:r w:rsidRPr="00260BA4">
        <w:rPr>
          <w:u w:val="single"/>
        </w:rPr>
        <w:t xml:space="preserve">in United States, once this provision was included in the regulations on production tax credits </w:t>
      </w:r>
      <w:r w:rsidRPr="00260BA4">
        <w:rPr>
          <w:b/>
          <w:bCs/>
          <w:u w:val="single"/>
        </w:rPr>
        <w:t xml:space="preserve">to </w:t>
      </w:r>
      <w:r w:rsidRPr="000B56DF">
        <w:rPr>
          <w:b/>
          <w:bCs/>
          <w:highlight w:val="cyan"/>
          <w:u w:val="single"/>
        </w:rPr>
        <w:t>fuel investment in renewable energy</w:t>
      </w:r>
      <w:r w:rsidRPr="00260BA4">
        <w:rPr>
          <w:u w:val="single"/>
        </w:rPr>
        <w:t xml:space="preserve"> and innovation.</w:t>
      </w:r>
      <w:r w:rsidRPr="00260BA4">
        <w:rPr>
          <w:sz w:val="16"/>
        </w:rPr>
        <w:t xml:space="preserve"> This provision was </w:t>
      </w:r>
      <w:r w:rsidRPr="000B56DF">
        <w:rPr>
          <w:highlight w:val="cyan"/>
          <w:u w:val="single"/>
        </w:rPr>
        <w:t>imposed</w:t>
      </w:r>
      <w:r w:rsidRPr="00260BA4">
        <w:rPr>
          <w:u w:val="single"/>
        </w:rPr>
        <w:t xml:space="preserve"> on these tax credits for three years but it appeared to be </w:t>
      </w:r>
      <w:r w:rsidRPr="000B56DF">
        <w:rPr>
          <w:b/>
          <w:bCs/>
          <w:highlight w:val="cyan"/>
          <w:u w:val="single"/>
        </w:rPr>
        <w:t>insufficient</w:t>
      </w:r>
      <w:r w:rsidRPr="00260BA4">
        <w:rPr>
          <w:u w:val="single"/>
        </w:rPr>
        <w:t xml:space="preserve"> and at least three to seven years were </w:t>
      </w:r>
      <w:r w:rsidRPr="000B56DF">
        <w:rPr>
          <w:highlight w:val="cyan"/>
          <w:u w:val="single"/>
        </w:rPr>
        <w:t xml:space="preserve">required </w:t>
      </w:r>
      <w:r w:rsidRPr="000B56DF">
        <w:rPr>
          <w:b/>
          <w:bCs/>
          <w:highlight w:val="cyan"/>
          <w:u w:val="single"/>
        </w:rPr>
        <w:t>for</w:t>
      </w:r>
      <w:r w:rsidRPr="00260BA4">
        <w:rPr>
          <w:b/>
          <w:bCs/>
          <w:u w:val="single"/>
        </w:rPr>
        <w:t xml:space="preserve"> that project of </w:t>
      </w:r>
      <w:r w:rsidRPr="000B56DF">
        <w:rPr>
          <w:b/>
          <w:bCs/>
          <w:highlight w:val="cyan"/>
          <w:u w:val="single"/>
        </w:rPr>
        <w:t>energy</w:t>
      </w:r>
      <w:r w:rsidRPr="00260BA4">
        <w:rPr>
          <w:u w:val="single"/>
        </w:rPr>
        <w:t>.</w:t>
      </w:r>
    </w:p>
    <w:p w14:paraId="268B8C41" w14:textId="77777777" w:rsidR="009F05DC" w:rsidRDefault="009F05DC" w:rsidP="009F05DC">
      <w:pPr>
        <w:pStyle w:val="Heading3"/>
      </w:pPr>
      <w:r>
        <w:t>Links to Politics---2AC</w:t>
      </w:r>
    </w:p>
    <w:p w14:paraId="52905122" w14:textId="77777777" w:rsidR="009F05DC" w:rsidRPr="005203DA" w:rsidRDefault="009F05DC" w:rsidP="009F05DC">
      <w:pPr>
        <w:pStyle w:val="Heading4"/>
      </w:pPr>
      <w:r>
        <w:t xml:space="preserve">It’s a </w:t>
      </w:r>
      <w:r>
        <w:rPr>
          <w:u w:val="single"/>
        </w:rPr>
        <w:t>political firestorm</w:t>
      </w:r>
      <w:r>
        <w:t xml:space="preserve">. </w:t>
      </w:r>
    </w:p>
    <w:p w14:paraId="0585760C" w14:textId="77777777" w:rsidR="009F05DC" w:rsidRPr="005932C8" w:rsidRDefault="009F05DC" w:rsidP="009F05DC">
      <w:r>
        <w:t xml:space="preserve">Deborah </w:t>
      </w:r>
      <w:r w:rsidRPr="00E45C6A">
        <w:rPr>
          <w:rStyle w:val="Style13ptBold"/>
        </w:rPr>
        <w:t>Samenow 22</w:t>
      </w:r>
      <w:r>
        <w:t>, has more than a decade of federal government experience reviewing and adjudicating Medicare claims for coverage and reimbursement, and Wenxi Li, is a member of the DLA Piper’s Healthcare Industry team in the Washington, DC office, and Alexandra Lafree, graduate of the University of Maryland Francis King Carey School of Law, 7-26-2022, DLA Piper, "Fading into the sunset The last of the Sunset Rule," https://www.dlapiper.com/en/insights/publications/2022/07/fading-into-the-sunset-the-last-of-the-sunset-rule //AS</w:t>
      </w:r>
    </w:p>
    <w:p w14:paraId="6C0E6507" w14:textId="77777777" w:rsidR="009F05DC" w:rsidRPr="00CD608B" w:rsidRDefault="009F05DC" w:rsidP="009F05DC">
      <w:pPr>
        <w:rPr>
          <w:sz w:val="16"/>
        </w:rPr>
      </w:pPr>
      <w:r w:rsidRPr="00CD608B">
        <w:rPr>
          <w:sz w:val="16"/>
        </w:rPr>
        <w:t xml:space="preserve">This is likely not the last time we will see </w:t>
      </w:r>
      <w:r w:rsidRPr="00CD608B">
        <w:rPr>
          <w:u w:val="single"/>
        </w:rPr>
        <w:t xml:space="preserve">HHS introduce a version of the Sunset Rule. The </w:t>
      </w:r>
      <w:r w:rsidRPr="000B56DF">
        <w:rPr>
          <w:highlight w:val="cyan"/>
          <w:u w:val="single"/>
        </w:rPr>
        <w:t>repeal of the Sunset Rule</w:t>
      </w:r>
      <w:r w:rsidRPr="00CD608B">
        <w:rPr>
          <w:u w:val="single"/>
        </w:rPr>
        <w:t xml:space="preserve"> is one more example of the </w:t>
      </w:r>
      <w:r w:rsidRPr="000B56DF">
        <w:rPr>
          <w:highlight w:val="cyan"/>
          <w:u w:val="single"/>
        </w:rPr>
        <w:t>divergence between</w:t>
      </w:r>
      <w:r w:rsidRPr="00CD608B">
        <w:rPr>
          <w:u w:val="single"/>
        </w:rPr>
        <w:t xml:space="preserve"> the Trump and Biden </w:t>
      </w:r>
      <w:r w:rsidRPr="000B56DF">
        <w:rPr>
          <w:highlight w:val="cyan"/>
          <w:u w:val="single"/>
        </w:rPr>
        <w:t>Administrations</w:t>
      </w:r>
      <w:r w:rsidRPr="00CD608B">
        <w:rPr>
          <w:u w:val="single"/>
        </w:rPr>
        <w:t>, reflecting the significant impact presidential administrations and priorities can have on regulated industries</w:t>
      </w:r>
      <w:r w:rsidRPr="00CD608B">
        <w:rPr>
          <w:sz w:val="16"/>
        </w:rPr>
        <w:t xml:space="preserve">. As HHS indicated when it published the Sunset Rule in 2021, </w:t>
      </w:r>
      <w:r w:rsidRPr="009C502C">
        <w:rPr>
          <w:b/>
          <w:bCs/>
          <w:u w:val="single"/>
        </w:rPr>
        <w:t xml:space="preserve">what the </w:t>
      </w:r>
      <w:r w:rsidRPr="000B56DF">
        <w:rPr>
          <w:b/>
          <w:bCs/>
          <w:highlight w:val="cyan"/>
          <w:u w:val="single"/>
        </w:rPr>
        <w:t xml:space="preserve">Sunset Rule </w:t>
      </w:r>
      <w:r w:rsidRPr="00A86FC8">
        <w:rPr>
          <w:b/>
          <w:bCs/>
          <w:u w:val="single"/>
        </w:rPr>
        <w:t>is proposing</w:t>
      </w:r>
      <w:r w:rsidRPr="009C502C">
        <w:rPr>
          <w:b/>
          <w:bCs/>
          <w:u w:val="single"/>
        </w:rPr>
        <w:t xml:space="preserve"> is n</w:t>
      </w:r>
      <w:r w:rsidRPr="000B56DF">
        <w:rPr>
          <w:b/>
          <w:bCs/>
          <w:highlight w:val="cyan"/>
          <w:u w:val="single"/>
        </w:rPr>
        <w:t>ot new</w:t>
      </w:r>
      <w:r w:rsidRPr="00CD608B">
        <w:rPr>
          <w:u w:val="single"/>
        </w:rPr>
        <w:t xml:space="preserve">; there are </w:t>
      </w:r>
      <w:r w:rsidRPr="000B56DF">
        <w:rPr>
          <w:b/>
          <w:bCs/>
          <w:highlight w:val="cyan"/>
          <w:u w:val="single"/>
        </w:rPr>
        <w:t>already executive orders, state laws, and other policies</w:t>
      </w:r>
      <w:r w:rsidRPr="00CD608B">
        <w:rPr>
          <w:u w:val="single"/>
        </w:rPr>
        <w:t xml:space="preserve"> in place </w:t>
      </w:r>
      <w:r w:rsidRPr="000B56DF">
        <w:rPr>
          <w:highlight w:val="cyan"/>
          <w:u w:val="single"/>
        </w:rPr>
        <w:t xml:space="preserve">that </w:t>
      </w:r>
      <w:r w:rsidRPr="000B56DF">
        <w:rPr>
          <w:b/>
          <w:bCs/>
          <w:highlight w:val="cyan"/>
          <w:u w:val="single"/>
        </w:rPr>
        <w:t>allow</w:t>
      </w:r>
      <w:r w:rsidRPr="009C502C">
        <w:rPr>
          <w:b/>
          <w:bCs/>
          <w:u w:val="single"/>
        </w:rPr>
        <w:t xml:space="preserve"> the </w:t>
      </w:r>
      <w:r w:rsidRPr="000B56DF">
        <w:rPr>
          <w:b/>
          <w:bCs/>
          <w:highlight w:val="cyan"/>
          <w:u w:val="single"/>
        </w:rPr>
        <w:t>retrospective review</w:t>
      </w:r>
      <w:r w:rsidRPr="009C502C">
        <w:rPr>
          <w:b/>
          <w:bCs/>
          <w:u w:val="single"/>
        </w:rPr>
        <w:t xml:space="preserve"> of regulations</w:t>
      </w:r>
      <w:r w:rsidRPr="00CD608B">
        <w:rPr>
          <w:u w:val="single"/>
        </w:rPr>
        <w:t xml:space="preserve">. </w:t>
      </w:r>
      <w:r w:rsidRPr="009C502C">
        <w:rPr>
          <w:sz w:val="16"/>
        </w:rPr>
        <w:t>Retrospective review of laws and agency policies can provide various economic, social, and practical benefits. Through retrospective review, outdated laws and policies may be amended, improved, or eliminated, which may lead to cost savings and reductions in regulatory burdens</w:t>
      </w:r>
      <w:r w:rsidRPr="00CD608B">
        <w:rPr>
          <w:sz w:val="16"/>
        </w:rPr>
        <w:t>. HHS under another administration may bring another retrospective review rule back to support its legislative priorities.</w:t>
      </w:r>
    </w:p>
    <w:p w14:paraId="7F469FFF" w14:textId="77777777" w:rsidR="009F05DC" w:rsidRPr="00CD608B" w:rsidRDefault="009F05DC" w:rsidP="009F05DC">
      <w:pPr>
        <w:rPr>
          <w:u w:val="single"/>
        </w:rPr>
      </w:pPr>
      <w:r w:rsidRPr="00CD608B">
        <w:rPr>
          <w:sz w:val="16"/>
        </w:rPr>
        <w:t xml:space="preserve">What is unique about this Sunset Rule is how quickly HHS completed the rulemaking; the process, from proposed to final rule, took less than three months. As noted in the Santa Clara lawsuit, the </w:t>
      </w:r>
      <w:r w:rsidRPr="000B56DF">
        <w:rPr>
          <w:highlight w:val="cyan"/>
          <w:u w:val="single"/>
        </w:rPr>
        <w:t>Sunset</w:t>
      </w:r>
      <w:r w:rsidRPr="00CD608B">
        <w:rPr>
          <w:u w:val="single"/>
        </w:rPr>
        <w:t xml:space="preserve"> Rule “</w:t>
      </w:r>
      <w:r w:rsidRPr="000B56DF">
        <w:rPr>
          <w:b/>
          <w:bCs/>
          <w:highlight w:val="cyan"/>
          <w:u w:val="single"/>
        </w:rPr>
        <w:t>require[s] a resource-intensive and time-consuming effort</w:t>
      </w:r>
      <w:r w:rsidRPr="00CD608B">
        <w:rPr>
          <w:u w:val="single"/>
        </w:rPr>
        <w:t xml:space="preserve"> on par with full notice-and-comment rulemaking, but at a pace 20 times faster than the Department has ever conducted retrospective review in the past – all </w:t>
      </w:r>
      <w:r w:rsidRPr="000B56DF">
        <w:rPr>
          <w:highlight w:val="cyan"/>
          <w:u w:val="single"/>
        </w:rPr>
        <w:t>without any guarantee</w:t>
      </w:r>
      <w:r w:rsidRPr="00CD608B">
        <w:rPr>
          <w:u w:val="single"/>
        </w:rPr>
        <w:t xml:space="preserve"> that the Department will conduct such review.” </w:t>
      </w:r>
    </w:p>
    <w:p w14:paraId="5374ED8D" w14:textId="77777777" w:rsidR="009F05DC" w:rsidRPr="000B56DF" w:rsidRDefault="009F05DC" w:rsidP="009F05DC">
      <w:pPr>
        <w:rPr>
          <w:sz w:val="16"/>
        </w:rPr>
      </w:pPr>
      <w:r w:rsidRPr="00CD608B">
        <w:rPr>
          <w:sz w:val="16"/>
        </w:rPr>
        <w:t xml:space="preserve">The speed of this rulemaking also shows the importance of stakeholder contribution during the notice and comment period: </w:t>
      </w:r>
      <w:r w:rsidRPr="00CD608B">
        <w:rPr>
          <w:u w:val="single"/>
        </w:rPr>
        <w:t xml:space="preserve">the </w:t>
      </w:r>
      <w:r w:rsidRPr="009C502C">
        <w:rPr>
          <w:b/>
          <w:bCs/>
          <w:u w:val="single"/>
        </w:rPr>
        <w:t xml:space="preserve">ultimate </w:t>
      </w:r>
      <w:r w:rsidRPr="000B56DF">
        <w:rPr>
          <w:b/>
          <w:bCs/>
          <w:highlight w:val="cyan"/>
          <w:u w:val="single"/>
        </w:rPr>
        <w:t>repeal</w:t>
      </w:r>
      <w:r w:rsidRPr="00CD608B">
        <w:rPr>
          <w:u w:val="single"/>
        </w:rPr>
        <w:t xml:space="preserve"> of the Sunset Rule was substantially </w:t>
      </w:r>
      <w:r w:rsidRPr="000B56DF">
        <w:rPr>
          <w:highlight w:val="cyan"/>
          <w:u w:val="single"/>
        </w:rPr>
        <w:t>driven by</w:t>
      </w:r>
      <w:r w:rsidRPr="00CD608B">
        <w:rPr>
          <w:u w:val="single"/>
        </w:rPr>
        <w:t xml:space="preserve"> the </w:t>
      </w:r>
      <w:r w:rsidRPr="000B56DF">
        <w:rPr>
          <w:b/>
          <w:bCs/>
          <w:highlight w:val="cyan"/>
          <w:u w:val="single"/>
        </w:rPr>
        <w:t>overwhelming pushback</w:t>
      </w:r>
      <w:r w:rsidRPr="009C502C">
        <w:rPr>
          <w:b/>
          <w:bCs/>
          <w:u w:val="single"/>
        </w:rPr>
        <w:t xml:space="preserve"> to the rule</w:t>
      </w:r>
      <w:r w:rsidRPr="00CD608B">
        <w:rPr>
          <w:sz w:val="16"/>
        </w:rPr>
        <w:t xml:space="preserve">. Stakeholder input is key to ensuring that an agency consider all advantages and pitfalls prior to being finalized.  </w:t>
      </w:r>
    </w:p>
    <w:p w14:paraId="47CA14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770707808">
    <w:abstractNumId w:val="9"/>
  </w:num>
  <w:num w:numId="2" w16cid:durableId="347026328">
    <w:abstractNumId w:val="7"/>
  </w:num>
  <w:num w:numId="3" w16cid:durableId="1635283262">
    <w:abstractNumId w:val="6"/>
  </w:num>
  <w:num w:numId="4" w16cid:durableId="462114722">
    <w:abstractNumId w:val="5"/>
  </w:num>
  <w:num w:numId="5" w16cid:durableId="1799254963">
    <w:abstractNumId w:val="4"/>
  </w:num>
  <w:num w:numId="6" w16cid:durableId="297148609">
    <w:abstractNumId w:val="8"/>
  </w:num>
  <w:num w:numId="7" w16cid:durableId="2017345312">
    <w:abstractNumId w:val="3"/>
  </w:num>
  <w:num w:numId="8" w16cid:durableId="654265668">
    <w:abstractNumId w:val="2"/>
  </w:num>
  <w:num w:numId="9" w16cid:durableId="1191800387">
    <w:abstractNumId w:val="1"/>
  </w:num>
  <w:num w:numId="10" w16cid:durableId="69785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F05D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05DC"/>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6D42"/>
  <w15:chartTrackingRefBased/>
  <w15:docId w15:val="{5C7831C5-AA31-4B27-B196-32479BB7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F05DC"/>
    <w:pPr>
      <w:spacing w:after="0" w:line="240" w:lineRule="auto"/>
    </w:pPr>
    <w:rPr>
      <w:rFonts w:ascii="Georgia" w:hAnsi="Georgia"/>
      <w:sz w:val="20"/>
    </w:rPr>
  </w:style>
  <w:style w:type="paragraph" w:styleId="Heading1">
    <w:name w:val="heading 1"/>
    <w:aliases w:val="Pocket"/>
    <w:basedOn w:val="Normal"/>
    <w:next w:val="Normal"/>
    <w:link w:val="Heading1Char"/>
    <w:qFormat/>
    <w:rsid w:val="009F05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05D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05D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CD - Cite,Heading 2 Char2 Char,Heading 2 Char1 Char Char,Ch,TAG,no read,No Spacing12,No Spacing2111,ta,No Spacing211,No Spacing4,No Spacing11111,No Spacing5,Ta"/>
    <w:basedOn w:val="Normal"/>
    <w:next w:val="Normal"/>
    <w:link w:val="Heading4Char"/>
    <w:uiPriority w:val="3"/>
    <w:unhideWhenUsed/>
    <w:qFormat/>
    <w:rsid w:val="009F05DC"/>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9F05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5DC"/>
  </w:style>
  <w:style w:type="character" w:customStyle="1" w:styleId="Heading1Char">
    <w:name w:val="Heading 1 Char"/>
    <w:aliases w:val="Pocket Char"/>
    <w:basedOn w:val="DefaultParagraphFont"/>
    <w:link w:val="Heading1"/>
    <w:rsid w:val="009F05D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F05D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F05DC"/>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CD - Cite Char,Heading 2 Char2 Char Char,Heading 2 Char1 Char Char Char,Ch Char,TAG Char,no read Char,ta Char"/>
    <w:basedOn w:val="DefaultParagraphFont"/>
    <w:link w:val="Heading4"/>
    <w:uiPriority w:val="3"/>
    <w:rsid w:val="009F05DC"/>
    <w:rPr>
      <w:rFonts w:ascii="Georgia" w:eastAsiaTheme="majorEastAsia" w:hAnsi="Georgia" w:cstheme="majorBidi"/>
      <w:b/>
      <w:iCs/>
    </w:rPr>
  </w:style>
  <w:style w:type="character" w:styleId="Emphasis">
    <w:name w:val="Emphasis"/>
    <w:aliases w:val="Underlined,tag2,Size 10,emphasis in card,Evidence,Minimized,minimized,Highlighted,CD Card,ED - Tag,emphasis,Emphasis!!,small,Qualifications,bold underline,Shrunk,normal card text,qualifications in card,qualifications,Bold Underline,Style1,Box,s"/>
    <w:basedOn w:val="DefaultParagraphFont"/>
    <w:link w:val="textbold"/>
    <w:uiPriority w:val="7"/>
    <w:qFormat/>
    <w:rsid w:val="009F05D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F05DC"/>
    <w:rPr>
      <w:b/>
      <w:bCs/>
      <w:sz w:val="22"/>
      <w:u w:val="none"/>
    </w:rPr>
  </w:style>
  <w:style w:type="character" w:customStyle="1" w:styleId="StyleUnderline">
    <w:name w:val="Style Underline"/>
    <w:aliases w:val="Underline,Style Bold Underline,Cards + Font: 12 pt Char,Citation Char Char Char,Heading 3 Char1 Char Char Char,Intense Emphasis3,Intense Emphasis1111,Intense Emphasis4,8.,Minimized Char,Heading 3 Char Char Char Char Char,Bold,Style,ci,c"/>
    <w:basedOn w:val="DefaultParagraphFont"/>
    <w:uiPriority w:val="6"/>
    <w:qFormat/>
    <w:rsid w:val="009F05D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9F05DC"/>
    <w:rPr>
      <w:color w:val="auto"/>
      <w:u w:val="none"/>
    </w:rPr>
  </w:style>
  <w:style w:type="character" w:styleId="FollowedHyperlink">
    <w:name w:val="FollowedHyperlink"/>
    <w:basedOn w:val="DefaultParagraphFont"/>
    <w:uiPriority w:val="99"/>
    <w:semiHidden/>
    <w:unhideWhenUsed/>
    <w:rsid w:val="009F05DC"/>
    <w:rPr>
      <w:color w:val="auto"/>
      <w:u w:val="none"/>
    </w:rPr>
  </w:style>
  <w:style w:type="paragraph" w:customStyle="1" w:styleId="textbold">
    <w:name w:val="text bold"/>
    <w:basedOn w:val="Normal"/>
    <w:link w:val="Emphasis"/>
    <w:uiPriority w:val="7"/>
    <w:qFormat/>
    <w:rsid w:val="009F05DC"/>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erriam-webster.com/dictionary/shoul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mywritingstyle.com/punctuation-the-colon-and-semicol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3683</Words>
  <Characters>20996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2023-07-18T18:23:00Z</dcterms:created>
  <dcterms:modified xsi:type="dcterms:W3CDTF">2023-07-18T18:23:00Z</dcterms:modified>
</cp:coreProperties>
</file>