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026142" w14:textId="78912825" w:rsidR="005D388F" w:rsidRDefault="006A079B" w:rsidP="006A079B">
      <w:pPr>
        <w:pStyle w:val="Heading1"/>
      </w:pPr>
      <w:r>
        <w:t>CP---States---Starter Packet</w:t>
      </w:r>
    </w:p>
    <w:p w14:paraId="5BE80B00" w14:textId="77777777" w:rsidR="006A079B" w:rsidRDefault="006A079B" w:rsidP="006A079B"/>
    <w:p w14:paraId="46EA25F0" w14:textId="77777777" w:rsidR="003925BD" w:rsidRDefault="003925BD" w:rsidP="003925BD"/>
    <w:p w14:paraId="0CAFADD1" w14:textId="77777777" w:rsidR="00C22526" w:rsidRDefault="00C22526" w:rsidP="00C22526">
      <w:pPr>
        <w:pStyle w:val="Heading2"/>
      </w:pPr>
      <w:r>
        <w:t>Green New Deal</w:t>
      </w:r>
    </w:p>
    <w:p w14:paraId="4AABF2B5" w14:textId="77777777" w:rsidR="00C22526" w:rsidRDefault="00C22526" w:rsidP="00C22526">
      <w:pPr>
        <w:pStyle w:val="Heading3"/>
      </w:pPr>
      <w:r>
        <w:t>1NC---States vs GND</w:t>
      </w:r>
    </w:p>
    <w:p w14:paraId="418AE40B" w14:textId="2D506025" w:rsidR="00C22526" w:rsidRPr="0049276C" w:rsidRDefault="00C22526" w:rsidP="00C22526">
      <w:pPr>
        <w:pStyle w:val="Heading4"/>
      </w:pPr>
      <w:r w:rsidRPr="0049276C">
        <w:t>Text: The fifty states and all relevant subnational actors should</w:t>
      </w:r>
      <w:r>
        <w:t xml:space="preserve"> substantially increase fiscal redistribution to</w:t>
      </w:r>
      <w:r w:rsidRPr="0049276C">
        <w:t xml:space="preserve"> incentivize renewable energy development required by the Green New Deal </w:t>
      </w:r>
      <w:r>
        <w:t>through</w:t>
      </w:r>
      <w:r w:rsidRPr="0049276C">
        <w:t xml:space="preserve"> state net metering of power and state renewable portfolio </w:t>
      </w:r>
      <w:proofErr w:type="gramStart"/>
      <w:r w:rsidRPr="0049276C">
        <w:t>standard</w:t>
      </w:r>
      <w:r>
        <w:t>s, and</w:t>
      </w:r>
      <w:proofErr w:type="gramEnd"/>
      <w:r>
        <w:t xml:space="preserve"> invest in new transmission infrastructure.</w:t>
      </w:r>
    </w:p>
    <w:p w14:paraId="085B4F1E" w14:textId="77777777" w:rsidR="00C22526" w:rsidRPr="007F757A" w:rsidRDefault="00C22526" w:rsidP="00C22526"/>
    <w:p w14:paraId="31F6F290" w14:textId="77777777" w:rsidR="00C22526" w:rsidRDefault="00C22526" w:rsidP="00C22526">
      <w:pPr>
        <w:pStyle w:val="Heading4"/>
      </w:pPr>
      <w:r>
        <w:t xml:space="preserve">States net metering and RPS solves Green New Deal </w:t>
      </w:r>
      <w:proofErr w:type="gramStart"/>
      <w:r>
        <w:t>adoption</w:t>
      </w:r>
      <w:proofErr w:type="gramEnd"/>
    </w:p>
    <w:p w14:paraId="69C44EC9" w14:textId="77777777" w:rsidR="00C22526" w:rsidRDefault="00C22526" w:rsidP="00C22526">
      <w:r w:rsidRPr="00D5148F">
        <w:t xml:space="preserve">Steven </w:t>
      </w:r>
      <w:proofErr w:type="spellStart"/>
      <w:r w:rsidRPr="00D5148F">
        <w:rPr>
          <w:rStyle w:val="Heading4Char"/>
        </w:rPr>
        <w:t>Ferrey</w:t>
      </w:r>
      <w:proofErr w:type="spellEnd"/>
      <w:r w:rsidRPr="00D5148F">
        <w:rPr>
          <w:rStyle w:val="Heading4Char"/>
        </w:rPr>
        <w:t xml:space="preserve"> 20</w:t>
      </w:r>
      <w:r w:rsidRPr="00D5148F">
        <w:t xml:space="preserve">, Professor of Law at Suffolk University Law School and was a Visiting Professor of Law at Harvard Law School. Since 1993, Professor </w:t>
      </w:r>
      <w:proofErr w:type="spellStart"/>
      <w:r w:rsidRPr="00D5148F">
        <w:t>Ferrey</w:t>
      </w:r>
      <w:proofErr w:type="spellEnd"/>
      <w:r w:rsidRPr="00D5148F">
        <w:t xml:space="preserve"> has served as a primary legal advisor to the World Bank, the European Union, and the United Nations on their renewable energy and climate change policies for developing countries in Asia, Africa, and Latin America. He holds a B.A. in Economics from Pomona College, a Juris Doctor degree and a </w:t>
      </w:r>
      <w:proofErr w:type="gramStart"/>
      <w:r w:rsidRPr="00D5148F">
        <w:t>Master's of Planning</w:t>
      </w:r>
      <w:proofErr w:type="gramEnd"/>
      <w:r w:rsidRPr="00D5148F">
        <w:t xml:space="preserve"> degree in Regional Energy Planning, both from the University of California at Berkeley, and was a post-doctoral Fulbright Fellow at the University of London between his graduate degrees. He is the author of 100 articles and 7 books on energy and environmental law. LEGAL FRAMEWORKS FORA GREEN NEW WORLD: BREATHING LIFE INTO THE GOALS OF THE GREEN NEW DEAL: VERMONT LAW REVIEW 19TH ANNUAL SYMPOSIUM OCTOBER 4, 2019: THE "GREEN NEW DEAL": CONSTITUTIONAL LIMITATIONS; REROUTING GREEN TECHNOLOGY, 44 Vt. L. Rev. 777</w:t>
      </w:r>
      <w:r>
        <w:t xml:space="preserve"> //</w:t>
      </w:r>
      <w:proofErr w:type="spellStart"/>
      <w:r>
        <w:t>pipk</w:t>
      </w:r>
      <w:proofErr w:type="spellEnd"/>
    </w:p>
    <w:p w14:paraId="2B0F5202" w14:textId="77777777" w:rsidR="00C22526" w:rsidRDefault="00C22526" w:rsidP="00C22526">
      <w:r>
        <w:t>B. State Legal Incentives for Green New Deal Power Generation</w:t>
      </w:r>
    </w:p>
    <w:p w14:paraId="05C9DA2A" w14:textId="77777777" w:rsidR="00C22526" w:rsidRDefault="00C22526" w:rsidP="00C22526">
      <w:r>
        <w:t>1. Uneven "Green" Resource Distribution and Access</w:t>
      </w:r>
    </w:p>
    <w:p w14:paraId="2BC34305" w14:textId="77777777" w:rsidR="00C22526" w:rsidRDefault="00C22526" w:rsidP="00C22526">
      <w:r w:rsidRPr="007F757A">
        <w:rPr>
          <w:rStyle w:val="StyleUnderline"/>
          <w:highlight w:val="cyan"/>
        </w:rPr>
        <w:t>States have always been able to provide subsidies with state funds</w:t>
      </w:r>
      <w:r w:rsidRPr="00883F1E">
        <w:rPr>
          <w:rStyle w:val="StyleUnderline"/>
        </w:rPr>
        <w:t>, as long as they do not commandeer or affect the operation of wholesale-</w:t>
      </w:r>
      <w:proofErr w:type="gramStart"/>
      <w:r w:rsidRPr="00883F1E">
        <w:rPr>
          <w:rStyle w:val="StyleUnderline"/>
        </w:rPr>
        <w:t>power</w:t>
      </w:r>
      <w:r>
        <w:t xml:space="preserve">  [</w:t>
      </w:r>
      <w:proofErr w:type="gramEnd"/>
      <w:r>
        <w:t xml:space="preserve">*802] </w:t>
      </w:r>
      <w:r w:rsidRPr="00883F1E">
        <w:rPr>
          <w:rStyle w:val="StyleUnderline"/>
        </w:rPr>
        <w:t>markets</w:t>
      </w:r>
      <w:r>
        <w:t xml:space="preserve">. 168 </w:t>
      </w:r>
      <w:r w:rsidRPr="007F757A">
        <w:rPr>
          <w:rStyle w:val="StyleUnderline"/>
          <w:highlight w:val="cyan"/>
        </w:rPr>
        <w:t>This can include state tax breaks</w:t>
      </w:r>
      <w:r>
        <w:t xml:space="preserve"> 169 </w:t>
      </w:r>
      <w:r w:rsidRPr="007F757A">
        <w:rPr>
          <w:rStyle w:val="StyleUnderline"/>
          <w:highlight w:val="cyan"/>
        </w:rPr>
        <w:t>or direct subsidies, which some states have done for decades</w:t>
      </w:r>
      <w:r w:rsidRPr="00883F1E">
        <w:rPr>
          <w:rStyle w:val="StyleUnderline"/>
        </w:rPr>
        <w:t>.</w:t>
      </w:r>
      <w:r>
        <w:t xml:space="preserve"> 170 However, with </w:t>
      </w:r>
      <w:r w:rsidRPr="007F757A">
        <w:rPr>
          <w:rStyle w:val="StyleUnderline"/>
          <w:highlight w:val="cyan"/>
        </w:rPr>
        <w:t xml:space="preserve">50 states, 5 territories, and the District of Columbia, </w:t>
      </w:r>
      <w:proofErr w:type="gramStart"/>
      <w:r w:rsidRPr="007F757A">
        <w:rPr>
          <w:rStyle w:val="StyleUnderline"/>
          <w:highlight w:val="cyan"/>
        </w:rPr>
        <w:t>all</w:t>
      </w:r>
      <w:r w:rsidRPr="007F757A">
        <w:rPr>
          <w:rStyle w:val="StyleUnderline"/>
        </w:rPr>
        <w:t xml:space="preserve"> </w:t>
      </w:r>
      <w:r>
        <w:t>of</w:t>
      </w:r>
      <w:proofErr w:type="gramEnd"/>
      <w:r>
        <w:t xml:space="preserve"> the states have different dispositions as to which power-generation technologies they want to promote. 171 </w:t>
      </w:r>
      <w:r w:rsidRPr="00883F1E">
        <w:rPr>
          <w:rStyle w:val="Emphasis"/>
        </w:rPr>
        <w:t xml:space="preserve">States </w:t>
      </w:r>
      <w:r w:rsidRPr="007F757A">
        <w:rPr>
          <w:rStyle w:val="Emphasis"/>
          <w:highlight w:val="cyan"/>
        </w:rPr>
        <w:t>have the reserved power to tell their regulated utilities the type of power generation technology that they are required to provide</w:t>
      </w:r>
      <w:r>
        <w:t xml:space="preserve">. 172 </w:t>
      </w:r>
    </w:p>
    <w:p w14:paraId="7CEECE69" w14:textId="77777777" w:rsidR="00C22526" w:rsidRDefault="00C22526" w:rsidP="00C22526">
      <w:r>
        <w:t xml:space="preserve">However, it is clear, given that some states produce significant amounts of coal, natural gas, oil, or biomass resources, that not all states are of one mind regarding the types of power that they want to incentivize or the costs that they want their ratepayers to bear. 173 There are potential legal restrictions in mandating that we will all embark on a particular technology for generation of power, whether that technology be renewable energy or coal or any other option, without looking at the economic and equity issues. 174 </w:t>
      </w:r>
    </w:p>
    <w:p w14:paraId="707189CD" w14:textId="77777777" w:rsidR="00C22526" w:rsidRDefault="00C22526" w:rsidP="00C22526">
      <w:r>
        <w:t xml:space="preserve"> [*803]   Figure 2. Concentrating Solar Resource of the United States 175 </w:t>
      </w:r>
    </w:p>
    <w:p w14:paraId="4EC080D2" w14:textId="77777777" w:rsidR="00C22526" w:rsidRDefault="00C22526" w:rsidP="00C22526">
      <w:r>
        <w:t xml:space="preserve">As a physical factor, renewable-power options are not equally available in states across the United States 176 Figure 2 displays available solar resources, with the northern United States enjoying much fewer, even half, the solar resources as part of the southern United States. 177 These resource differences determine both the availability and cost of switching to a different power resource. 178 And in Figure 2, not all of the southern half of the United States enjoys more intense availability of solar power, by as great a factor </w:t>
      </w:r>
      <w:proofErr w:type="gramStart"/>
      <w:r>
        <w:t>as  [</w:t>
      </w:r>
      <w:proofErr w:type="gramEnd"/>
      <w:r>
        <w:t xml:space="preserve">*804] 2:1. 179 Rather, there is a distinct advantage to the southwest United States to utilize solar power. 180 </w:t>
      </w:r>
    </w:p>
    <w:p w14:paraId="4A1AE22A" w14:textId="77777777" w:rsidR="00C22526" w:rsidRDefault="00C22526" w:rsidP="00C22526">
      <w:r>
        <w:t xml:space="preserve"> Figure 3. U.S. Annual Wind Power 181 </w:t>
      </w:r>
    </w:p>
    <w:p w14:paraId="046331FD" w14:textId="77777777" w:rsidR="00C22526" w:rsidRDefault="00C22526" w:rsidP="00C22526">
      <w:r>
        <w:t xml:space="preserve">Figure 3 shows the amount of potential usable wind power nationwide. 182 Again, the amount of wind power across the United States varies by a substantial factor--with no substantial wind resource in a substantial number of areas. 183 Figure 4 illustrates that solar and geothermal resources, combined at approximately 0.5% of all electric power resources, were less than 20% of the contribution of wind resources and less than 10% of the contribution of hydroelectric resources. 184 Figure 4 also illustrates that solar is not the dominant renewable energy source. Yet in most of the </w:t>
      </w:r>
      <w:proofErr w:type="gramStart"/>
      <w:r>
        <w:t>United  [</w:t>
      </w:r>
      <w:proofErr w:type="gramEnd"/>
      <w:r>
        <w:t xml:space="preserve">*805] States, biomass (which is a renewable resource) is often burned and emits CO[2] . 185 Biomass is renewable and is the dominant non-hydroelectric renewable energy source in 24 of the 50 states and the District of Columbia. 186 With the disparity of available renewable-power resources among states, motivating a concerted green response by </w:t>
      </w:r>
      <w:proofErr w:type="gramStart"/>
      <w:r>
        <w:t>all of</w:t>
      </w:r>
      <w:proofErr w:type="gramEnd"/>
      <w:r>
        <w:t xml:space="preserve"> the fifty states or even the tens-of-thousands of communities in real time would be a significant challenge.</w:t>
      </w:r>
    </w:p>
    <w:p w14:paraId="6C816A62" w14:textId="77777777" w:rsidR="00C22526" w:rsidRDefault="00C22526" w:rsidP="00C22526">
      <w:r>
        <w:t xml:space="preserve"> Figure 4. Predominant Non-Hydro Renewable Fuel for Utility-Scale Electricity Generation, 2011 187 </w:t>
      </w:r>
    </w:p>
    <w:p w14:paraId="3BDB29A3" w14:textId="77777777" w:rsidR="00C22526" w:rsidRDefault="00C22526" w:rsidP="00C22526">
      <w:r w:rsidRPr="0049276C">
        <w:rPr>
          <w:rStyle w:val="Emphasis"/>
          <w:highlight w:val="cyan"/>
        </w:rPr>
        <w:t>The two primary state legal mechanisms to incentivize renewable energy development required by the</w:t>
      </w:r>
      <w:r w:rsidRPr="00883F1E">
        <w:rPr>
          <w:rStyle w:val="Emphasis"/>
        </w:rPr>
        <w:t xml:space="preserve"> </w:t>
      </w:r>
      <w:r w:rsidRPr="0049276C">
        <w:rPr>
          <w:rStyle w:val="Emphasis"/>
          <w:highlight w:val="cyan"/>
        </w:rPr>
        <w:t>G</w:t>
      </w:r>
      <w:r w:rsidRPr="00883F1E">
        <w:rPr>
          <w:rStyle w:val="Emphasis"/>
        </w:rPr>
        <w:t xml:space="preserve">reen </w:t>
      </w:r>
      <w:r w:rsidRPr="0049276C">
        <w:rPr>
          <w:rStyle w:val="Emphasis"/>
          <w:highlight w:val="cyan"/>
        </w:rPr>
        <w:t>N</w:t>
      </w:r>
      <w:r w:rsidRPr="00883F1E">
        <w:rPr>
          <w:rStyle w:val="Emphasis"/>
        </w:rPr>
        <w:t xml:space="preserve">ew </w:t>
      </w:r>
      <w:r w:rsidRPr="0049276C">
        <w:rPr>
          <w:rStyle w:val="Emphasis"/>
          <w:highlight w:val="cyan"/>
        </w:rPr>
        <w:t>D</w:t>
      </w:r>
      <w:r w:rsidRPr="00883F1E">
        <w:rPr>
          <w:rStyle w:val="Emphasis"/>
        </w:rPr>
        <w:t xml:space="preserve">eal </w:t>
      </w:r>
      <w:r w:rsidRPr="0049276C">
        <w:rPr>
          <w:rStyle w:val="Emphasis"/>
          <w:highlight w:val="cyan"/>
        </w:rPr>
        <w:t>are state net metering</w:t>
      </w:r>
      <w:r w:rsidRPr="00883F1E">
        <w:rPr>
          <w:rStyle w:val="Emphasis"/>
        </w:rPr>
        <w:t xml:space="preserve"> of power </w:t>
      </w:r>
      <w:r w:rsidRPr="0049276C">
        <w:rPr>
          <w:rStyle w:val="Emphasis"/>
          <w:highlight w:val="cyan"/>
        </w:rPr>
        <w:t>and state</w:t>
      </w:r>
      <w:r w:rsidRPr="00883F1E">
        <w:rPr>
          <w:rStyle w:val="Emphasis"/>
        </w:rPr>
        <w:t xml:space="preserve"> </w:t>
      </w:r>
      <w:r w:rsidRPr="0049276C">
        <w:rPr>
          <w:rStyle w:val="Emphasis"/>
          <w:highlight w:val="cyan"/>
        </w:rPr>
        <w:t>r</w:t>
      </w:r>
      <w:r w:rsidRPr="00883F1E">
        <w:rPr>
          <w:rStyle w:val="Emphasis"/>
        </w:rPr>
        <w:t xml:space="preserve">enewable </w:t>
      </w:r>
      <w:r w:rsidRPr="0049276C">
        <w:rPr>
          <w:rStyle w:val="Emphasis"/>
          <w:highlight w:val="cyan"/>
        </w:rPr>
        <w:t>p</w:t>
      </w:r>
      <w:r w:rsidRPr="00883F1E">
        <w:rPr>
          <w:rStyle w:val="Emphasis"/>
        </w:rPr>
        <w:t xml:space="preserve">ortfolio </w:t>
      </w:r>
      <w:r w:rsidRPr="0049276C">
        <w:rPr>
          <w:rStyle w:val="Emphasis"/>
          <w:highlight w:val="cyan"/>
        </w:rPr>
        <w:t>s</w:t>
      </w:r>
      <w:r w:rsidRPr="00883F1E">
        <w:rPr>
          <w:rStyle w:val="Emphasis"/>
        </w:rPr>
        <w:t>tandards</w:t>
      </w:r>
      <w:r>
        <w:t xml:space="preserve">. 188 </w:t>
      </w:r>
    </w:p>
    <w:p w14:paraId="61D92BC1" w14:textId="77777777" w:rsidR="00C22526" w:rsidRDefault="00C22526" w:rsidP="00C22526">
      <w:r>
        <w:t xml:space="preserve"> [*806] 2</w:t>
      </w:r>
      <w:r w:rsidRPr="00883F1E">
        <w:rPr>
          <w:rStyle w:val="StyleUnderline"/>
        </w:rPr>
        <w:t>. State Net Metering</w:t>
      </w:r>
    </w:p>
    <w:p w14:paraId="63706746" w14:textId="77777777" w:rsidR="00C22526" w:rsidRDefault="00C22526" w:rsidP="00C22526">
      <w:r w:rsidRPr="00883F1E">
        <w:rPr>
          <w:rStyle w:val="StyleUnderline"/>
        </w:rPr>
        <w:t>With net metering, when the customer makes conventional purchases from the utility, the meter runs forward</w:t>
      </w:r>
      <w:r>
        <w:t xml:space="preserve">. 189 </w:t>
      </w:r>
      <w:r w:rsidRPr="002A0991">
        <w:rPr>
          <w:rStyle w:val="StyleUnderline"/>
          <w:highlight w:val="cyan"/>
        </w:rPr>
        <w:t>When more electricity is produced by the customer's renewable-energy facility than is used on-site, the excess flows to the electricity grid, running the meter in the reverse direction and creating credits for the customer</w:t>
      </w:r>
      <w:r>
        <w:t xml:space="preserve">. 190 </w:t>
      </w:r>
      <w:r w:rsidRPr="00883F1E">
        <w:rPr>
          <w:rStyle w:val="StyleUnderline"/>
        </w:rPr>
        <w:t xml:space="preserve">Because only a single rate applies to a </w:t>
      </w:r>
      <w:proofErr w:type="gramStart"/>
      <w:r w:rsidRPr="00883F1E">
        <w:rPr>
          <w:rStyle w:val="StyleUnderline"/>
        </w:rPr>
        <w:t>single utility meter's recorded sales</w:t>
      </w:r>
      <w:proofErr w:type="gramEnd"/>
      <w:r w:rsidRPr="00883F1E">
        <w:rPr>
          <w:rStyle w:val="StyleUnderline"/>
        </w:rPr>
        <w:t>, by turning the meter backwards, net metering compensates the renewable-power generator at the full retail rate.</w:t>
      </w:r>
      <w:r>
        <w:t xml:space="preserve"> 191 </w:t>
      </w:r>
      <w:r w:rsidRPr="00883F1E">
        <w:rPr>
          <w:rStyle w:val="StyleUnderline"/>
        </w:rPr>
        <w:t>Approximately two-thirds of the retail bill is attributable to transmission, distribution, and taxes for transferring just the wholesale power</w:t>
      </w:r>
      <w:r>
        <w:t xml:space="preserve">. 192 </w:t>
      </w:r>
    </w:p>
    <w:p w14:paraId="6A36D24D" w14:textId="77777777" w:rsidR="00C22526" w:rsidRDefault="00C22526" w:rsidP="00C22526">
      <w:r>
        <w:t xml:space="preserve">In 2016, the number of net metering states had declined by 6 states to 38 states when Nevada, Georgia, and Hawaii ended their net metering programs. 193 It </w:t>
      </w:r>
      <w:r w:rsidRPr="00883F1E">
        <w:rPr>
          <w:rStyle w:val="StyleUnderline"/>
        </w:rPr>
        <w:t xml:space="preserve">is still </w:t>
      </w:r>
      <w:r w:rsidRPr="00721802">
        <w:rPr>
          <w:rStyle w:val="StyleUnderline"/>
          <w:highlight w:val="cyan"/>
        </w:rPr>
        <w:t>the most prominent and widespread state incentive for renewable energy</w:t>
      </w:r>
      <w:r w:rsidRPr="00883F1E">
        <w:rPr>
          <w:rStyle w:val="StyleUnderline"/>
        </w:rPr>
        <w:t>.</w:t>
      </w:r>
      <w:r>
        <w:t xml:space="preserve"> 194 </w:t>
      </w:r>
      <w:r w:rsidRPr="00883F1E">
        <w:rPr>
          <w:rStyle w:val="StyleUnderline"/>
        </w:rPr>
        <w:t>In each of the 38 states that provide net metering, both solar- and wind-power technologies are eligible to be net metered</w:t>
      </w:r>
      <w:r>
        <w:t xml:space="preserve">. 195 </w:t>
      </w:r>
    </w:p>
    <w:p w14:paraId="542EC710" w14:textId="77777777" w:rsidR="00C22526" w:rsidRDefault="00C22526" w:rsidP="00C22526">
      <w:r>
        <w:t xml:space="preserve">Net metering is more like an accounting convention applied to trading power than it is a legal sale of the power, because it credits the value of on-site renewable-distributed power on the customer's side of the retail utility meter. 196 The value received by the renewable energy developer for its net-metered power is an amount at a price or value above the utility's avoided cost 197 or the wholesale rate set by either FERC or independent </w:t>
      </w:r>
      <w:proofErr w:type="gramStart"/>
      <w:r>
        <w:t>system  [</w:t>
      </w:r>
      <w:proofErr w:type="gramEnd"/>
      <w:r>
        <w:t xml:space="preserve">*807] operators (ISOs) who manage the utility grids for more than half of U.S. consumers. 198 The retail credit received in some high retail-rate states can be in the vicinity of $ 0.20/kilowatt-hour (kWh), which corresponds to roughly 500% of the wholesale $ 0.04/kWh value of this power in the United States during the prior decade. 199 </w:t>
      </w:r>
    </w:p>
    <w:p w14:paraId="21978AA7" w14:textId="77777777" w:rsidR="00C22526" w:rsidRDefault="00C22526" w:rsidP="00C22526">
      <w:r>
        <w:t xml:space="preserve">3. </w:t>
      </w:r>
      <w:r w:rsidRPr="00883F1E">
        <w:rPr>
          <w:rStyle w:val="StyleUnderline"/>
        </w:rPr>
        <w:t>State Renewable Portfolio Standards</w:t>
      </w:r>
    </w:p>
    <w:p w14:paraId="4DAEFA57" w14:textId="77777777" w:rsidR="00C22526" w:rsidRDefault="00C22526" w:rsidP="00C22526">
      <w:r>
        <w:t>Renewable Portfolio Standards (</w:t>
      </w:r>
      <w:r w:rsidRPr="00721802">
        <w:rPr>
          <w:rStyle w:val="StyleUnderline"/>
          <w:highlight w:val="cyan"/>
        </w:rPr>
        <w:t>RPS) require electric utilities</w:t>
      </w:r>
      <w:r w:rsidRPr="00883F1E">
        <w:rPr>
          <w:rStyle w:val="StyleUnderline"/>
        </w:rPr>
        <w:t xml:space="preserve">, and in some states other retail electric providers that are allowed to sell retail power, </w:t>
      </w:r>
      <w:r w:rsidRPr="00721802">
        <w:rPr>
          <w:rStyle w:val="StyleUnderline"/>
          <w:highlight w:val="cyan"/>
        </w:rPr>
        <w:t>to include</w:t>
      </w:r>
      <w:r w:rsidRPr="00883F1E">
        <w:rPr>
          <w:rStyle w:val="StyleUnderline"/>
        </w:rPr>
        <w:t xml:space="preserve"> in their annual retail sales evidence of </w:t>
      </w:r>
      <w:r w:rsidRPr="00721802">
        <w:rPr>
          <w:rStyle w:val="StyleUnderline"/>
          <w:highlight w:val="cyan"/>
        </w:rPr>
        <w:t>a specified percentage of electricity supply from state-specified renewable energy sources,</w:t>
      </w:r>
      <w:r w:rsidRPr="00883F1E">
        <w:rPr>
          <w:rStyle w:val="StyleUnderline"/>
        </w:rPr>
        <w:t xml:space="preserve"> evidenced by acquisition not of renewable power itself, but tradable Renewable Energy Credits (RECs).</w:t>
      </w:r>
      <w:r>
        <w:t xml:space="preserve"> 200 Twenty-nine states and the District of Columbia have RPS programs. 201 The required state percentage of energy delivered to consumers from eligible renewable sources currently varies from 2% to 100% of annual retail sales in different state programs. 202 </w:t>
      </w:r>
    </w:p>
    <w:p w14:paraId="4CC6B4FF" w14:textId="77777777" w:rsidR="00C22526" w:rsidRDefault="00C22526" w:rsidP="00C22526">
      <w:r w:rsidRPr="00883F1E">
        <w:rPr>
          <w:rStyle w:val="StyleUnderline"/>
        </w:rPr>
        <w:t>There are many variations on state RPS models in the 29 RPS states</w:t>
      </w:r>
      <w:r>
        <w:t xml:space="preserve">. 203 The 29 mandatory RPS programs in the United States cover 46% of nationwide retail electricity sales. 204 RPS programs were characterized as a form of "backdoor" renewable energy subsidy for renewable energy. 205 A solar REC (SREC) in those states that offer them, provides a subsidy of $ 0.20/kWh to $ 0.60/kWh in a state such as Massachusetts. 206 Such a </w:t>
      </w:r>
      <w:proofErr w:type="gramStart"/>
      <w:r>
        <w:t>SREC  [</w:t>
      </w:r>
      <w:proofErr w:type="gramEnd"/>
      <w:r>
        <w:t xml:space="preserve">*808] subsidy operates as a 500% to 1300% bonus payment above and beyond the average $ 0.04/kWh sale value of the power itself when it is sold. 207 Five years ago, the cost of these subsidies was already at $ 3 billion per year and climbing in each successive year, as there was more renewable energy. 208 </w:t>
      </w:r>
    </w:p>
    <w:p w14:paraId="7E1A68DC" w14:textId="77777777" w:rsidR="00C22526" w:rsidRDefault="00C22526" w:rsidP="00C22526">
      <w:r>
        <w:t xml:space="preserve">Federal tax credits, state net metering, and state RPS programs shift incentives from one group of customers to another. 209 Most of the customers who install solar, wind, or other eligible renewable-energy projects, tend to own their own buildings. 210 However, this shift would appear to be counter to what the "New Deal" elements of the Green New Deal are seeking to do. 211 </w:t>
      </w:r>
      <w:r w:rsidRPr="00883F1E">
        <w:rPr>
          <w:rStyle w:val="StyleUnderline"/>
        </w:rPr>
        <w:t>Existing beneficiaries of these state net metering and RPS programs tend to be owners rather than renters, and more affluent customers of the utility</w:t>
      </w:r>
      <w:r>
        <w:t xml:space="preserve">. 212 </w:t>
      </w:r>
      <w:r w:rsidRPr="00883F1E">
        <w:rPr>
          <w:rStyle w:val="StyleUnderline"/>
        </w:rPr>
        <w:t xml:space="preserve">Captive retail power consumers bear the cost incurred by utilities of net metering and acquiring the required </w:t>
      </w:r>
      <w:proofErr w:type="spellStart"/>
      <w:r w:rsidRPr="00883F1E">
        <w:rPr>
          <w:rStyle w:val="StyleUnderline"/>
        </w:rPr>
        <w:t>RECs</w:t>
      </w:r>
      <w:r>
        <w:t>.</w:t>
      </w:r>
      <w:proofErr w:type="spellEnd"/>
      <w:r>
        <w:t xml:space="preserve"> 213 Those who absorb the costs of each of the state programs in higher utility rates tend to be those who do not have solar or wind power on their buildings; they are left to pay the higher cost of conventional utility service, which provides these renewable-energy subsidies to the still relatively small number of customers who have eligible renewable energy technologies. 214 </w:t>
      </w:r>
    </w:p>
    <w:p w14:paraId="5635B209" w14:textId="77777777" w:rsidR="00C22526" w:rsidRDefault="00C22526" w:rsidP="00C22526">
      <w:r>
        <w:t xml:space="preserve">FERC held in MidAmerican 215 that </w:t>
      </w:r>
      <w:r w:rsidRPr="00454F90">
        <w:rPr>
          <w:rStyle w:val="StyleUnderline"/>
          <w:highlight w:val="cyan"/>
        </w:rPr>
        <w:t>federal law did not preempt state net metering</w:t>
      </w:r>
      <w:r w:rsidRPr="00883F1E">
        <w:rPr>
          <w:rStyle w:val="StyleUnderline"/>
        </w:rPr>
        <w:t xml:space="preserve"> practices, and that no sale occurs when net metering accounts for less power exported from the renewable-power generator than the amount of power sold back by the utility to the distributed generator </w:t>
      </w:r>
      <w:proofErr w:type="gramStart"/>
      <w:r w:rsidRPr="00883F1E">
        <w:rPr>
          <w:rStyle w:val="StyleUnderline"/>
        </w:rPr>
        <w:t>in a given</w:t>
      </w:r>
      <w:proofErr w:type="gramEnd"/>
      <w:r w:rsidRPr="00883F1E">
        <w:rPr>
          <w:rStyle w:val="StyleUnderline"/>
        </w:rPr>
        <w:t xml:space="preserve"> billing period</w:t>
      </w:r>
      <w:r>
        <w:t xml:space="preserve"> (usually one month). 216 In the 2009 Sun Edison case, 217 </w:t>
      </w:r>
      <w:proofErr w:type="gramStart"/>
      <w:r>
        <w:t>FERC  [</w:t>
      </w:r>
      <w:proofErr w:type="gramEnd"/>
      <w:r>
        <w:t xml:space="preserve">*809] determined that the Commission lacked jurisdiction over the on-site renewable-power generator if there was no net sale of power to the utility over the billing period. 218 There was no net sale unless the customer delivered back to the utility more electricity than the back-up power he or she purchased from the utility. 219 The MidAmerican and Sun Edison decisions limited the legal findings to the facts presented where there was no net flow of power back to the power grid. 220 </w:t>
      </w:r>
    </w:p>
    <w:p w14:paraId="64FBF5AF" w14:textId="77777777" w:rsidR="00C22526" w:rsidRDefault="00C22526" w:rsidP="00C22526">
      <w:pPr>
        <w:pStyle w:val="Heading3"/>
      </w:pPr>
      <w:r>
        <w:t>2NC---Solvency</w:t>
      </w:r>
    </w:p>
    <w:p w14:paraId="310D226D" w14:textId="77777777" w:rsidR="00C22526" w:rsidRDefault="00C22526" w:rsidP="00C22526"/>
    <w:p w14:paraId="5FEE7FFE" w14:textId="77777777" w:rsidR="00C22526" w:rsidRDefault="00C22526" w:rsidP="00C22526">
      <w:pPr>
        <w:pStyle w:val="Heading4"/>
      </w:pPr>
      <w:r>
        <w:t xml:space="preserve">States solve better because of limits on federal </w:t>
      </w:r>
      <w:proofErr w:type="gramStart"/>
      <w:r>
        <w:t>authority</w:t>
      </w:r>
      <w:proofErr w:type="gramEnd"/>
    </w:p>
    <w:p w14:paraId="5BB12FA7" w14:textId="77777777" w:rsidR="00C22526" w:rsidRDefault="00C22526" w:rsidP="00C22526">
      <w:r w:rsidRPr="00D5148F">
        <w:t xml:space="preserve">Steven </w:t>
      </w:r>
      <w:proofErr w:type="spellStart"/>
      <w:r w:rsidRPr="00D5148F">
        <w:rPr>
          <w:rStyle w:val="Heading4Char"/>
        </w:rPr>
        <w:t>Ferrey</w:t>
      </w:r>
      <w:proofErr w:type="spellEnd"/>
      <w:r w:rsidRPr="00D5148F">
        <w:rPr>
          <w:rStyle w:val="Heading4Char"/>
        </w:rPr>
        <w:t xml:space="preserve"> 20</w:t>
      </w:r>
      <w:r w:rsidRPr="00D5148F">
        <w:t xml:space="preserve">, Professor of Law at Suffolk University Law School and was a Visiting Professor of Law at Harvard Law School. Since 1993, Professor </w:t>
      </w:r>
      <w:proofErr w:type="spellStart"/>
      <w:r w:rsidRPr="00D5148F">
        <w:t>Ferrey</w:t>
      </w:r>
      <w:proofErr w:type="spellEnd"/>
      <w:r w:rsidRPr="00D5148F">
        <w:t xml:space="preserve"> has served as a primary legal advisor to the World Bank, the European Union, and the United Nations on their renewable energy and climate change policies for developing countries in Asia, Africa, and Latin America. He holds a B.A. in Economics from Pomona College, a Juris Doctor degree and a </w:t>
      </w:r>
      <w:proofErr w:type="gramStart"/>
      <w:r w:rsidRPr="00D5148F">
        <w:t>Master's of Planning</w:t>
      </w:r>
      <w:proofErr w:type="gramEnd"/>
      <w:r w:rsidRPr="00D5148F">
        <w:t xml:space="preserve"> degree in Regional Energy Planning, both from the University of California at Berkeley, and was a post-doctoral Fulbright Fellow at the University of London between his graduate degrees. He is the author of 100 articles and 7 books on energy and environmental law. LEGAL FRAMEWORKS FORA GREEN NEW WORLD: BREATHING LIFE INTO THE GOALS OF THE GREEN NEW DEAL: VERMONT LAW REVIEW 19TH ANNUAL SYMPOSIUM OCTOBER 4, 2019: THE "GREEN NEW DEAL": CONSTITUTIONAL LIMITATIONS; REROUTING GREEN TECHNOLOGY, 44 Vt. L. Rev. 777</w:t>
      </w:r>
      <w:r>
        <w:t xml:space="preserve"> //</w:t>
      </w:r>
      <w:proofErr w:type="spellStart"/>
      <w:r>
        <w:t>pipk</w:t>
      </w:r>
      <w:proofErr w:type="spellEnd"/>
    </w:p>
    <w:p w14:paraId="377E0797" w14:textId="77777777" w:rsidR="00C22526" w:rsidRDefault="00C22526" w:rsidP="00C22526">
      <w:r>
        <w:t>I. LEGAL LIMITS ONSTATE ELECTRIC POWER RATEMAKING</w:t>
      </w:r>
    </w:p>
    <w:p w14:paraId="78F5F13C" w14:textId="77777777" w:rsidR="00C22526" w:rsidRDefault="00C22526" w:rsidP="00C22526">
      <w:r w:rsidRPr="006817C8">
        <w:rPr>
          <w:rStyle w:val="StyleUnderline"/>
        </w:rPr>
        <w:t>Each of the states and territories</w:t>
      </w:r>
      <w:r>
        <w:t xml:space="preserve">, in addition to FERC orders which establish wholesale and transmission law within their states, </w:t>
      </w:r>
      <w:r w:rsidRPr="006817C8">
        <w:rPr>
          <w:rStyle w:val="StyleUnderline"/>
        </w:rPr>
        <w:t>over the last 100 years has made binding state law precedent for their retail electric power</w:t>
      </w:r>
      <w:r>
        <w:t xml:space="preserve">. 310First, unlike anything else in constitutional law, </w:t>
      </w:r>
      <w:r w:rsidRPr="005B7B44">
        <w:rPr>
          <w:rStyle w:val="StyleUnderline"/>
        </w:rPr>
        <w:t>the FPA clearly cleaves the division between federal and state power over electric energy</w:t>
      </w:r>
      <w:r>
        <w:t>, as discussed above. 311</w:t>
      </w:r>
    </w:p>
    <w:p w14:paraId="0E3492A5" w14:textId="77777777" w:rsidR="00C22526" w:rsidRDefault="00C22526" w:rsidP="00C22526">
      <w:r>
        <w:t xml:space="preserve">Moreover, this division was tested in a 1982 Supreme Court case. 312In FERC v. Mississippi, </w:t>
      </w:r>
      <w:r w:rsidRPr="005B7B44">
        <w:rPr>
          <w:rStyle w:val="Emphasis"/>
        </w:rPr>
        <w:t>the Supreme Court declared that the federal government could not mandate any mandatory requirements for states to implement any set of restructured retail power utility rates or activities</w:t>
      </w:r>
      <w:r>
        <w:t xml:space="preserve">. 313 </w:t>
      </w:r>
      <w:r w:rsidRPr="005B7B44">
        <w:rPr>
          <w:rStyle w:val="StyleUnderline"/>
        </w:rPr>
        <w:t>So new federal programs may not prescribe substantive requirements for the states to complete or implement pursuant to this second element of law.</w:t>
      </w:r>
      <w:r>
        <w:t xml:space="preserve"> 314 FERC v. Mississippi illustrates that </w:t>
      </w:r>
      <w:r w:rsidRPr="005B7B44">
        <w:rPr>
          <w:rStyle w:val="Emphasis"/>
        </w:rPr>
        <w:t>states get the final decision on retail rate matters and the regulation of activities of retail utilities</w:t>
      </w:r>
      <w:r>
        <w:t xml:space="preserve">. And </w:t>
      </w:r>
      <w:r w:rsidRPr="005B7B44">
        <w:rPr>
          <w:rStyle w:val="Emphasis"/>
        </w:rPr>
        <w:t>this authority may create hurdles to implementing the Green New Deal.</w:t>
      </w:r>
      <w:r>
        <w:t xml:space="preserve"> 315</w:t>
      </w:r>
    </w:p>
    <w:p w14:paraId="11EA838F" w14:textId="77777777" w:rsidR="00C22526" w:rsidRDefault="00C22526" w:rsidP="00C22526">
      <w:r>
        <w:t xml:space="preserve"> [*822] </w:t>
      </w:r>
      <w:r w:rsidRPr="005B7B44">
        <w:rPr>
          <w:rStyle w:val="StyleUnderline"/>
        </w:rPr>
        <w:t>Under the Green New Deal</w:t>
      </w:r>
      <w:r>
        <w:t xml:space="preserve">, it is reasonable to assume that </w:t>
      </w:r>
      <w:r w:rsidRPr="005B7B44">
        <w:rPr>
          <w:rStyle w:val="StyleUnderline"/>
        </w:rPr>
        <w:t>certain states</w:t>
      </w:r>
      <w:r>
        <w:t xml:space="preserve">, like the plaintiffs in FERC v. Mississippi, </w:t>
      </w:r>
      <w:r w:rsidRPr="005B7B44">
        <w:rPr>
          <w:rStyle w:val="StyleUnderline"/>
        </w:rPr>
        <w:t xml:space="preserve">will resent being told by the federal government what they </w:t>
      </w:r>
      <w:proofErr w:type="gramStart"/>
      <w:r w:rsidRPr="005B7B44">
        <w:rPr>
          <w:rStyle w:val="StyleUnderline"/>
        </w:rPr>
        <w:t>have to</w:t>
      </w:r>
      <w:proofErr w:type="gramEnd"/>
      <w:r w:rsidRPr="005B7B44">
        <w:rPr>
          <w:rStyle w:val="StyleUnderline"/>
        </w:rPr>
        <w:t xml:space="preserve"> do or pay for regarding some or all of the redistributive effects of the proposed Green New Deal.</w:t>
      </w:r>
      <w:r>
        <w:t xml:space="preserve"> 316It is clear that the 50 states are of two minds about renewable energy versus traditional forms of electricity production and related costs of electric power. 317President Trump has made protecting traditional fossil fuels used for electric power a cornerstone of his pledges to the Nation. 318</w:t>
      </w:r>
    </w:p>
    <w:p w14:paraId="6CC5C097" w14:textId="77777777" w:rsidR="00C22526" w:rsidRDefault="00C22526" w:rsidP="00C22526">
      <w:r>
        <w:t xml:space="preserve">Second, </w:t>
      </w:r>
      <w:r w:rsidRPr="005B7B44">
        <w:rPr>
          <w:rStyle w:val="StyleUnderline"/>
        </w:rPr>
        <w:t>in this area of environmental law, there is a "cooperative federalism" that allows the states some discretion on environmental areas affecting the quality of the air governed by the Clean Air Act</w:t>
      </w:r>
      <w:r>
        <w:t xml:space="preserve">. 319 </w:t>
      </w:r>
      <w:r w:rsidRPr="005B7B44">
        <w:rPr>
          <w:rStyle w:val="StyleUnderline"/>
        </w:rPr>
        <w:t>These Green New Deal efforts seek to transition within ten years from the dominant source of electric power production being derived from burning fossil fuels, to one where no fossil fuels are used</w:t>
      </w:r>
      <w:r>
        <w:t xml:space="preserve">. 320 </w:t>
      </w:r>
      <w:r w:rsidRPr="00403823">
        <w:rPr>
          <w:rStyle w:val="StyleUnderline"/>
        </w:rPr>
        <w:t>Since electric power is regulated at both state and federal levels, cooperation of both may be required to implement the Green New Deal</w:t>
      </w:r>
      <w:r>
        <w:t>.</w:t>
      </w:r>
    </w:p>
    <w:p w14:paraId="797A512B" w14:textId="77777777" w:rsidR="00C22526" w:rsidRDefault="00C22526" w:rsidP="00C22526">
      <w:r>
        <w:t xml:space="preserve">The states, for those that are so motivated and choose to attempt to exercise both their inherent exclusive authority over retail rates and the discretionary ability to exercise some regulatory power under "cooperative federalism," face two hurdles in implementing certain elements of the Green New Deal. First, the Green New Deal seeks to transfer the costs of key infrastructure from certain groups in the United States to other groups of people. 321If done as part of electric power regulation (although the details or the Green </w:t>
      </w:r>
      <w:proofErr w:type="spellStart"/>
      <w:r>
        <w:t>NewDeal</w:t>
      </w:r>
      <w:proofErr w:type="spellEnd"/>
      <w:r>
        <w:t xml:space="preserve"> are not yet in place), legal precedent in many states may not let states do so. 322Second, Professor Jacobson's roadmap for </w:t>
      </w:r>
      <w:r w:rsidRPr="00403823">
        <w:rPr>
          <w:rStyle w:val="Emphasis"/>
        </w:rPr>
        <w:t xml:space="preserve">use of 100% renewable solar and wind power requires a massive investment in new transmission infrastructure to move power from solar and wind sites to population centers and to spread it across the </w:t>
      </w:r>
      <w:proofErr w:type="gramStart"/>
      <w:r w:rsidRPr="00403823">
        <w:rPr>
          <w:rStyle w:val="Emphasis"/>
        </w:rPr>
        <w:t>states</w:t>
      </w:r>
      <w:proofErr w:type="gramEnd"/>
      <w:r w:rsidRPr="00403823">
        <w:rPr>
          <w:rStyle w:val="Emphasis"/>
        </w:rPr>
        <w:t xml:space="preserve"> hour-by-hour from the most productive locations for generation at any given time</w:t>
      </w:r>
      <w:r>
        <w:t xml:space="preserve">. </w:t>
      </w:r>
      <w:r w:rsidRPr="00403823">
        <w:rPr>
          <w:rStyle w:val="Emphasis"/>
        </w:rPr>
        <w:t xml:space="preserve">323Unless </w:t>
      </w:r>
      <w:proofErr w:type="gramStart"/>
      <w:r w:rsidRPr="00403823">
        <w:rPr>
          <w:rStyle w:val="Emphasis"/>
        </w:rPr>
        <w:t>every</w:t>
      </w:r>
      <w:r>
        <w:t xml:space="preserve">  [</w:t>
      </w:r>
      <w:proofErr w:type="gramEnd"/>
      <w:r>
        <w:t xml:space="preserve">*823] affected </w:t>
      </w:r>
      <w:r w:rsidRPr="00403823">
        <w:rPr>
          <w:rStyle w:val="Emphasis"/>
        </w:rPr>
        <w:t>state supports this required new transmission infrastructure constructed through its state, a state can block this, and there is no power of the federal government to preempt this.</w:t>
      </w:r>
      <w:r>
        <w:t xml:space="preserve"> 324Several states have recently successfully engaged in blocking interstate transmission infrastructure expansion. 325</w:t>
      </w:r>
    </w:p>
    <w:p w14:paraId="6488E99C" w14:textId="77777777" w:rsidR="00C22526" w:rsidRDefault="00C22526" w:rsidP="00C22526">
      <w:r w:rsidRPr="0082226B">
        <w:rPr>
          <w:rStyle w:val="StyleUnderline"/>
        </w:rPr>
        <w:t>With the limitations on federal power to make certain energy or climate change decisions, as recently articulated by the Supreme Court,</w:t>
      </w:r>
      <w:r>
        <w:t xml:space="preserve"> 326the question is: what can </w:t>
      </w:r>
      <w:r w:rsidRPr="0082226B">
        <w:rPr>
          <w:rStyle w:val="Emphasis"/>
        </w:rPr>
        <w:t>the states</w:t>
      </w:r>
      <w:r>
        <w:t xml:space="preserve"> do under the separation of power in our federalist system of governance? </w:t>
      </w:r>
      <w:r w:rsidRPr="0082226B">
        <w:rPr>
          <w:rStyle w:val="Emphasis"/>
        </w:rPr>
        <w:t>Can</w:t>
      </w:r>
      <w:r>
        <w:t xml:space="preserve"> states </w:t>
      </w:r>
      <w:r w:rsidRPr="0082226B">
        <w:rPr>
          <w:rStyle w:val="Emphasis"/>
        </w:rPr>
        <w:t>be the motive mechanism to implement Green New Deal policies</w:t>
      </w:r>
      <w:r>
        <w:t xml:space="preserve">? The answer is "yes" </w:t>
      </w:r>
      <w:r w:rsidRPr="0082226B">
        <w:rPr>
          <w:rStyle w:val="StyleUnderline"/>
        </w:rPr>
        <w:t>under legal federalism</w:t>
      </w:r>
      <w:r>
        <w:t xml:space="preserve"> provisions, </w:t>
      </w:r>
      <w:r w:rsidRPr="0082226B">
        <w:rPr>
          <w:rStyle w:val="StyleUnderline"/>
        </w:rPr>
        <w:t>but</w:t>
      </w:r>
      <w:r>
        <w:t xml:space="preserve"> then maybe "</w:t>
      </w:r>
      <w:r w:rsidRPr="0082226B">
        <w:rPr>
          <w:rStyle w:val="StyleUnderline"/>
        </w:rPr>
        <w:t>no</w:t>
      </w:r>
      <w:r>
        <w:t xml:space="preserve">" </w:t>
      </w:r>
      <w:r w:rsidRPr="0082226B">
        <w:rPr>
          <w:rStyle w:val="StyleUnderline"/>
        </w:rPr>
        <w:t>under</w:t>
      </w:r>
      <w:r>
        <w:t xml:space="preserve"> common law legal precedent governing the principles of certain state and federal </w:t>
      </w:r>
      <w:r w:rsidRPr="0082226B">
        <w:rPr>
          <w:rStyle w:val="StyleUnderline"/>
        </w:rPr>
        <w:t>ratemaking</w:t>
      </w:r>
      <w:r>
        <w:t>. 327</w:t>
      </w:r>
    </w:p>
    <w:p w14:paraId="737703C6" w14:textId="77777777" w:rsidR="00C22526" w:rsidRDefault="00C22526" w:rsidP="00C22526">
      <w:r>
        <w:t>A. Legal Principles Embedded in State and Federal Law</w:t>
      </w:r>
    </w:p>
    <w:p w14:paraId="37D8B7AB" w14:textId="77777777" w:rsidR="00C22526" w:rsidRDefault="00C22526" w:rsidP="00C22526">
      <w:r w:rsidRPr="0082226B">
        <w:rPr>
          <w:rStyle w:val="StyleUnderline"/>
        </w:rPr>
        <w:t>The Green New Deal provides a finance roadmap</w:t>
      </w:r>
      <w:r>
        <w:t>:</w:t>
      </w:r>
    </w:p>
    <w:p w14:paraId="100AF4F7" w14:textId="77777777" w:rsidR="00C22526" w:rsidRDefault="00C22526" w:rsidP="00C22526">
      <w:r w:rsidRPr="0082226B">
        <w:rPr>
          <w:rStyle w:val="StyleUnderline"/>
        </w:rPr>
        <w:t>The wealthy</w:t>
      </w:r>
      <w:r>
        <w:t xml:space="preserve">, who have most benefited from the excessive burning of fossil fuels, </w:t>
      </w:r>
      <w:r w:rsidRPr="0082226B">
        <w:rPr>
          <w:rStyle w:val="StyleUnderline"/>
        </w:rPr>
        <w:t>should pay increased taxes to help with the cost of transitioning to a green economy</w:t>
      </w:r>
      <w:r>
        <w:t xml:space="preserve">. Jill Stein has called for a higher estate tax on the wealthiest Americans; raising the top income tax rate while lowering it for </w:t>
      </w:r>
      <w:proofErr w:type="gramStart"/>
      <w:r>
        <w:t>low and middle income</w:t>
      </w:r>
      <w:proofErr w:type="gramEnd"/>
      <w:r>
        <w:t xml:space="preserve"> Americans; and closing various tax loopholes, especially for corporations. 328</w:t>
      </w:r>
    </w:p>
    <w:p w14:paraId="0F64530B" w14:textId="77777777" w:rsidR="00C22526" w:rsidRDefault="00C22526" w:rsidP="00C22526">
      <w:r>
        <w:t xml:space="preserve">However, </w:t>
      </w:r>
      <w:r w:rsidRPr="006A6D80">
        <w:rPr>
          <w:rStyle w:val="StyleUnderline"/>
        </w:rPr>
        <w:t>when there has been resistance to raising new taxes, utility rate revenues are the next largest source of potential funds</w:t>
      </w:r>
      <w:r>
        <w:t xml:space="preserve"> under significant government control, as every state regulates retail rates. 329How big of an amount are utility rates? Electric power has a delivered value in the United States of approximately $ 390 billion annually, 330exceeding the total </w:t>
      </w:r>
      <w:proofErr w:type="gramStart"/>
      <w:r>
        <w:t>amount  [</w:t>
      </w:r>
      <w:proofErr w:type="gramEnd"/>
      <w:r>
        <w:t xml:space="preserve">*824] of corporate income taxes collected in the U.S, even before the corporate tax rate was dramatically reduced in 2018. 331With these details about which source of funds the Green </w:t>
      </w:r>
      <w:proofErr w:type="spellStart"/>
      <w:r>
        <w:t>NewDeal</w:t>
      </w:r>
      <w:proofErr w:type="spellEnd"/>
      <w:r>
        <w:t xml:space="preserve"> will choose to incorporate in legislation still not finalized, this Article, in the next subparts, examines whether this could be accomplished under federal or state law in the United States by differential rates for electric power, not based on quantity of power usage, but based on income or wealth of the individual customer.</w:t>
      </w:r>
    </w:p>
    <w:p w14:paraId="16D28006" w14:textId="77777777" w:rsidR="00C22526" w:rsidRDefault="00C22526" w:rsidP="00C22526">
      <w:r>
        <w:t>Both state and federal energy regulatory commissions, when enacting any rate for electric service are legally required to be "just and reasonable." 332A nearly universal obligation imposed by federal and state laws on public utilities is to furnish service and to charge rates that will avoid undue or unjust discrimination among customers. 333The Green New Deal proposes to reallocate the welfare impacts of the electric energy service changes that it includes. 334However, "'undue' or 'unjust' discrimination among customers is prohibited." 335Policy considerations, such as providing environmental incentives for Green New Deal types of power or discounting rates to certain segments of the customer base, play a subsidiary role in the ultimate rate allocation among customer classes. 336These principles are embedded in rate decisions of both FERC 337and state regulatory commissions, 338and in principles when courts review the application of these principles by regulatory agencies. 339</w:t>
      </w:r>
    </w:p>
    <w:p w14:paraId="24863468" w14:textId="77777777" w:rsidR="00C22526" w:rsidRDefault="00C22526" w:rsidP="00C22526">
      <w:r w:rsidRPr="00A52426">
        <w:rPr>
          <w:rStyle w:val="StyleUnderline"/>
        </w:rPr>
        <w:t>The redistributive aspects of the Green New Deal would</w:t>
      </w:r>
      <w:r>
        <w:t xml:space="preserve"> potentially </w:t>
      </w:r>
      <w:r w:rsidRPr="00A52426">
        <w:rPr>
          <w:rStyle w:val="StyleUnderline"/>
        </w:rPr>
        <w:t>be achievable if done through the</w:t>
      </w:r>
      <w:r>
        <w:t xml:space="preserve"> federal </w:t>
      </w:r>
      <w:r w:rsidRPr="00A52426">
        <w:rPr>
          <w:rStyle w:val="StyleUnderline"/>
        </w:rPr>
        <w:t>tax</w:t>
      </w:r>
      <w:r>
        <w:t xml:space="preserve"> and public assistance and welfare </w:t>
      </w:r>
      <w:proofErr w:type="gramStart"/>
      <w:r w:rsidRPr="00A52426">
        <w:rPr>
          <w:rStyle w:val="StyleUnderline"/>
        </w:rPr>
        <w:t>systems</w:t>
      </w:r>
      <w:r>
        <w:t>, but</w:t>
      </w:r>
      <w:proofErr w:type="gramEnd"/>
      <w:r>
        <w:t xml:space="preserve"> raise questions of inconsistency with legal principles if done through the electric utility rate structure. 340Selling at retail, the regulated electric service and commodity must be sold in a non-discriminatory manner  [*825] irrespective of policy goals outside of the purchase of the service: "The principles of horizontal equity that 'equals should be treated equally' and vertical equity that '</w:t>
      </w:r>
      <w:proofErr w:type="spellStart"/>
      <w:r>
        <w:t>unequals</w:t>
      </w:r>
      <w:proofErr w:type="spellEnd"/>
      <w:r>
        <w:t xml:space="preserve"> should be treated unequally' . . . [is interpreted to mean] that equal . . . cost causers for the provision of a good or service should pay the same . . . prices." 341Horizontal equity among different customer classes or types of customers is based on cost of service: it can be illegal for a state to set rates that "grant any undue preference or advantage to any person or subject any person to any undue prejudice or disadvantage." 342An electric power customer only needs to show substantial vertical disparity in rates between customers of the same class or size of consumption in order to raise questions of discriminatory or preferential rates. 343</w:t>
      </w:r>
    </w:p>
    <w:p w14:paraId="4B954589" w14:textId="77777777" w:rsidR="00C22526" w:rsidRDefault="00C22526" w:rsidP="00C22526">
      <w:pPr>
        <w:pStyle w:val="Heading4"/>
      </w:pPr>
      <w:r>
        <w:t>States have broad authority to solve emissions in line with the Green New Deal</w:t>
      </w:r>
    </w:p>
    <w:p w14:paraId="389964BF" w14:textId="77777777" w:rsidR="00C22526" w:rsidRDefault="00C22526" w:rsidP="00C22526">
      <w:r w:rsidRPr="00795D82">
        <w:t xml:space="preserve">Scott </w:t>
      </w:r>
      <w:r w:rsidRPr="00795D82">
        <w:rPr>
          <w:rStyle w:val="Style13ptBold"/>
        </w:rPr>
        <w:t>Cummings 22</w:t>
      </w:r>
      <w:r w:rsidRPr="00795D82">
        <w:t xml:space="preserve">, Professor of Legal Ethics and Professor of Law, UCLA. THE PIPER LECTURE: CATALYTIC LOCALISM: WHAT IS NEW ABOUT THE GREEN NEW </w:t>
      </w:r>
      <w:proofErr w:type="gramStart"/>
      <w:r w:rsidRPr="00795D82">
        <w:t>DEAL?,</w:t>
      </w:r>
      <w:proofErr w:type="gramEnd"/>
      <w:r w:rsidRPr="00795D82">
        <w:t xml:space="preserve"> 97 Chi.-Kent L. Rev. 291</w:t>
      </w:r>
      <w:r>
        <w:t xml:space="preserve"> //</w:t>
      </w:r>
      <w:proofErr w:type="spellStart"/>
      <w:r>
        <w:t>pipk</w:t>
      </w:r>
      <w:proofErr w:type="spellEnd"/>
    </w:p>
    <w:p w14:paraId="6FBAD444" w14:textId="77777777" w:rsidR="00C22526" w:rsidRDefault="00C22526" w:rsidP="00C22526">
      <w:r>
        <w:t xml:space="preserve">This review of pre-pandemic </w:t>
      </w:r>
      <w:r w:rsidRPr="00342A04">
        <w:rPr>
          <w:rStyle w:val="StyleUnderline"/>
        </w:rPr>
        <w:t xml:space="preserve">mini-GNDs highlights the significant legislative activity on issues of climate and economic justice around the </w:t>
      </w:r>
      <w:proofErr w:type="gramStart"/>
      <w:r w:rsidRPr="00342A04">
        <w:rPr>
          <w:rStyle w:val="StyleUnderline"/>
        </w:rPr>
        <w:t>GND</w:t>
      </w:r>
      <w:r>
        <w:t xml:space="preserve">  [</w:t>
      </w:r>
      <w:proofErr w:type="gramEnd"/>
      <w:r>
        <w:t>*340]  "</w:t>
      </w:r>
      <w:r w:rsidRPr="00342A04">
        <w:rPr>
          <w:rStyle w:val="StyleUnderline"/>
        </w:rPr>
        <w:t>moment</w:t>
      </w:r>
      <w:r>
        <w:t xml:space="preserve">" - just before and (mostly) after the early 2019 launch of the federal resolution. It illuminates the diversity of approaches, while also revealing important policy continuities. With respect to environmental policy, there are three major takeaways. First, most </w:t>
      </w:r>
      <w:r w:rsidRPr="00342A04">
        <w:rPr>
          <w:rStyle w:val="StyleUnderline"/>
        </w:rPr>
        <w:t>states</w:t>
      </w:r>
      <w:r>
        <w:t xml:space="preserve"> and localities </w:t>
      </w:r>
      <w:r w:rsidRPr="00342A04">
        <w:rPr>
          <w:rStyle w:val="StyleUnderline"/>
        </w:rPr>
        <w:t>align with the federal GND by proposing to eliminate or reduce carbon emissions,</w:t>
      </w:r>
      <w:r>
        <w:t xml:space="preserve"> albeit with different goals and timetables. </w:t>
      </w:r>
      <w:r w:rsidRPr="00342A04">
        <w:rPr>
          <w:rStyle w:val="StyleUnderline"/>
        </w:rPr>
        <w:t>Following a core GND tenet, most mini-GNDs propose renewable and clean energy targets economy-wide or in more limited fashion</w:t>
      </w:r>
      <w:r>
        <w:t xml:space="preserve"> - for example, in relation to electric power. This sometimes involves public investments in improving the efficiency of renewable energy sources, such as Minnesota's plan to invest $ 16 million to install solar panels in public schools. Second, most mini-GNDs focus on upgrading the energy efficiency of buildings through retrofits, eliminating glass walls, mandating efficient lighting, and following LEED standards. And third, state and local GNDs devote significant resources to clean transit: spending to purchase and retrofit buses, upgrade subway lines, and promote high-speed rail. Clean transit initiatives include state-level incentives for the purchase of electric vehicles, like Nevada's rule increasing weight limits for electric trucks.</w:t>
      </w:r>
    </w:p>
    <w:p w14:paraId="6D6E2F95" w14:textId="77777777" w:rsidR="00C22526" w:rsidRDefault="00C22526" w:rsidP="00C22526">
      <w:r>
        <w:t xml:space="preserve">As for the labor provisions, there are also three important takeaways from my review. First, less than half of the mini-GNDs explicitly promote job creation and better wages, and those that do generally set goals and standards, often without specific enforcement mechanisms. For instance, California's AB 1839 calls for green jobs that are "family-supporting with career ladders," without providing a roadmap for implementation. One exception is Oregon's proposed GND, HB 2020, which would mandate that clean energy projects funded with public dollars meet specified labor standards. Second, there is very little that mini-GNDs have to say about unions and collective bargaining, outside of reference in a few plans, such as </w:t>
      </w:r>
      <w:proofErr w:type="spellStart"/>
      <w:r>
        <w:t>OneNYC</w:t>
      </w:r>
      <w:proofErr w:type="spellEnd"/>
      <w:r>
        <w:t xml:space="preserve">, to supporting workers' right to bargain collectively. One example of a more direct link comes from Washington state, where SB 5116 provides a tax exemption for clean energy projects that pay workers at rates determined by collective bargaining. Third, almost </w:t>
      </w:r>
      <w:proofErr w:type="gramStart"/>
      <w:r>
        <w:t>all of</w:t>
      </w:r>
      <w:proofErr w:type="gramEnd"/>
      <w:r>
        <w:t xml:space="preserve"> the mini-GNDs reviewed place a significant focus on "just transition." However, there is wide variance in what precisely is covered by those provisions. In New York and California, mini-GNDs create advisory boards to promote equity in the distribution of funds to protect workers displaced by the shift from fossil fuels, focusing on public benefits and retraining. Colorado's HB 19-1314 creates a Just Transition Office and mandates benefits to coal transition workers to support education and retraining. Other jurisdictions seek to dedicate just transition funding streams to ensure that marginalized communities gain the benefits of clean </w:t>
      </w:r>
      <w:proofErr w:type="gramStart"/>
      <w:r>
        <w:t>energy  [</w:t>
      </w:r>
      <w:proofErr w:type="gramEnd"/>
      <w:r>
        <w:t>*341]  projects. In this vein, Illinois's proposed Clean Energy Jobs Act commits $ 750 million for low-income communities to access solar power and other clean energy sources.</w:t>
      </w:r>
    </w:p>
    <w:p w14:paraId="37246323" w14:textId="77777777" w:rsidR="00C22526" w:rsidRDefault="00C22526" w:rsidP="00C22526">
      <w:r>
        <w:t>Stepping back from the policy details highlights five broader themes from my review of mini-GNDs. First, there is strong evidence that the federal GND has helped propel forward analogous policies at the state and local level. While some of these proposals preexisted the federal resolution, mini-GNDs largely coalesced after its announcement, which galvanized social movements and policymakers, giving them ready-made language and an available frame to shape public opinion. Indeed, across the policies I reviewed, the GND frame was either explicitly invoked by proponents or used by commentators to describe the program in nearly every case.</w:t>
      </w:r>
    </w:p>
    <w:p w14:paraId="09FC00DF" w14:textId="77777777" w:rsidR="00C22526" w:rsidRDefault="00C22526" w:rsidP="00C22526">
      <w:r>
        <w:t xml:space="preserve">Second, my review reveals that </w:t>
      </w:r>
      <w:r w:rsidRPr="00A2342C">
        <w:rPr>
          <w:rStyle w:val="StyleUnderline"/>
        </w:rPr>
        <w:t xml:space="preserve">mini-GNDs have been able to leverage legal tools available to state </w:t>
      </w:r>
      <w:r w:rsidRPr="00A2342C">
        <w:t>and</w:t>
      </w:r>
      <w:r>
        <w:t xml:space="preserve"> local </w:t>
      </w:r>
      <w:r w:rsidRPr="00A2342C">
        <w:rPr>
          <w:rStyle w:val="StyleUnderline"/>
        </w:rPr>
        <w:t>government to meaningfully</w:t>
      </w:r>
      <w:r>
        <w:t xml:space="preserve"> (though still modestly) </w:t>
      </w:r>
      <w:r w:rsidRPr="00A2342C">
        <w:rPr>
          <w:rStyle w:val="StyleUnderline"/>
        </w:rPr>
        <w:t>address climate change</w:t>
      </w:r>
      <w:r>
        <w:t xml:space="preserve">. Specifically, </w:t>
      </w:r>
      <w:r w:rsidRPr="00A2342C">
        <w:rPr>
          <w:rStyle w:val="StyleUnderline"/>
        </w:rPr>
        <w:t>states</w:t>
      </w:r>
      <w:r>
        <w:t xml:space="preserve"> and cities </w:t>
      </w:r>
      <w:r w:rsidRPr="00A2342C">
        <w:rPr>
          <w:rStyle w:val="StyleUnderline"/>
        </w:rPr>
        <w:t>have been able to add value to the fight against climate change by mobilizing their specific powers to complement federal efforts (or act in the absence of federal leadership).</w:t>
      </w:r>
      <w:r>
        <w:t xml:space="preserve"> </w:t>
      </w:r>
      <w:r w:rsidRPr="00A2342C">
        <w:rPr>
          <w:rStyle w:val="StyleUnderline"/>
        </w:rPr>
        <w:t>These powers include state authority to set emissions standards above federal floors, control over public utilities, control over state and local procurement that directs government funds into clean projects, authority to spend and offer tax incentives to support renewable and clean energy transition, and authority over building codes and other land use decisions to reduce high-carbon development</w:t>
      </w:r>
      <w:r>
        <w:t xml:space="preserve">. In short, </w:t>
      </w:r>
      <w:r w:rsidRPr="00A2342C">
        <w:rPr>
          <w:rStyle w:val="StyleUnderline"/>
        </w:rPr>
        <w:t>the diverse range of legal tools available to state</w:t>
      </w:r>
      <w:r>
        <w:t xml:space="preserve"> and local </w:t>
      </w:r>
      <w:r w:rsidRPr="00A2342C">
        <w:rPr>
          <w:rStyle w:val="StyleUnderline"/>
        </w:rPr>
        <w:t>government over environmental and land use regulation gives localities policy space to reduce carbon emissions</w:t>
      </w:r>
      <w:r>
        <w:t>.</w:t>
      </w:r>
    </w:p>
    <w:p w14:paraId="23BA259C" w14:textId="77777777" w:rsidR="00C22526" w:rsidRDefault="00C22526" w:rsidP="00C22526">
      <w:pPr>
        <w:pStyle w:val="Heading3"/>
      </w:pPr>
      <w:r>
        <w:t>2NC---Federal Follow-on</w:t>
      </w:r>
    </w:p>
    <w:p w14:paraId="374186CC" w14:textId="77777777" w:rsidR="00C22526" w:rsidRDefault="00C22526" w:rsidP="00C22526">
      <w:pPr>
        <w:pStyle w:val="Heading4"/>
      </w:pPr>
      <w:r>
        <w:t xml:space="preserve">The counterplan builds momentum for federal action that solves any </w:t>
      </w:r>
      <w:proofErr w:type="gramStart"/>
      <w:r>
        <w:t>deficits</w:t>
      </w:r>
      <w:proofErr w:type="gramEnd"/>
    </w:p>
    <w:p w14:paraId="67DD11A1" w14:textId="77777777" w:rsidR="00C22526" w:rsidRDefault="00C22526" w:rsidP="00C22526">
      <w:r w:rsidRPr="00795D82">
        <w:t xml:space="preserve">Scott </w:t>
      </w:r>
      <w:r w:rsidRPr="00795D82">
        <w:rPr>
          <w:rStyle w:val="Style13ptBold"/>
        </w:rPr>
        <w:t>Cummings 22</w:t>
      </w:r>
      <w:r w:rsidRPr="00795D82">
        <w:t xml:space="preserve">, Professor of Legal Ethics and Professor of Law, UCLA. THE PIPER LECTURE: CATALYTIC LOCALISM: WHAT IS NEW ABOUT THE GREEN NEW </w:t>
      </w:r>
      <w:proofErr w:type="gramStart"/>
      <w:r w:rsidRPr="00795D82">
        <w:t>DEAL?,</w:t>
      </w:r>
      <w:proofErr w:type="gramEnd"/>
      <w:r w:rsidRPr="00795D82">
        <w:t xml:space="preserve"> 97 Chi.-Kent L. Rev. 291</w:t>
      </w:r>
      <w:r>
        <w:t xml:space="preserve"> //</w:t>
      </w:r>
      <w:proofErr w:type="spellStart"/>
      <w:r>
        <w:t>pipk</w:t>
      </w:r>
      <w:proofErr w:type="spellEnd"/>
    </w:p>
    <w:p w14:paraId="26FA3F4E" w14:textId="77777777" w:rsidR="00C22526" w:rsidRDefault="00C22526" w:rsidP="00C22526">
      <w:r>
        <w:t xml:space="preserve">Toward this end, </w:t>
      </w:r>
      <w:r w:rsidRPr="008734E8">
        <w:rPr>
          <w:rStyle w:val="StyleUnderline"/>
        </w:rPr>
        <w:t>GND reforms seek to link investments in clean energy to the creation of high-quality domestic jobs and opportunities for business ownership in disadvantaged low-income communities and communities of color</w:t>
      </w:r>
      <w:r>
        <w:t xml:space="preserve">. </w:t>
      </w:r>
      <w:r w:rsidRPr="008734E8">
        <w:rPr>
          <w:rStyle w:val="StyleUnderline"/>
        </w:rPr>
        <w:t xml:space="preserve">This theory of change leverages clean energy sector growth to </w:t>
      </w:r>
      <w:proofErr w:type="gramStart"/>
      <w:r w:rsidRPr="008734E8">
        <w:rPr>
          <w:rStyle w:val="StyleUnderline"/>
        </w:rPr>
        <w:t>promote</w:t>
      </w:r>
      <w:r>
        <w:t xml:space="preserve">  [</w:t>
      </w:r>
      <w:proofErr w:type="gramEnd"/>
      <w:r>
        <w:t xml:space="preserve">*296]  </w:t>
      </w:r>
      <w:r w:rsidRPr="008734E8">
        <w:rPr>
          <w:rStyle w:val="StyleUnderline"/>
        </w:rPr>
        <w:t>economic equity and racial inclusion</w:t>
      </w:r>
      <w:r>
        <w:t xml:space="preserve">. Since at least 2017, clean energy jobs have significantly outnumbered those in the traditional fuel sector, 18and these jobs are geographically dispersed. </w:t>
      </w:r>
      <w:r w:rsidRPr="008734E8">
        <w:rPr>
          <w:rStyle w:val="StyleUnderline"/>
        </w:rPr>
        <w:t xml:space="preserve">In nearly every state, there are significantly more jobs in "clean energy" - such as building renewable solar farms and wind </w:t>
      </w:r>
      <w:proofErr w:type="gramStart"/>
      <w:r w:rsidRPr="008734E8">
        <w:rPr>
          <w:rStyle w:val="StyleUnderline"/>
        </w:rPr>
        <w:t>power, and</w:t>
      </w:r>
      <w:proofErr w:type="gramEnd"/>
      <w:r w:rsidRPr="008734E8">
        <w:rPr>
          <w:rStyle w:val="StyleUnderline"/>
        </w:rPr>
        <w:t xml:space="preserve"> creating clean coal and zero-emission electricity - and "energy efficiency" - such as creating LEED certified buildings and LED lightbulbs, electric plug-in vehicles, and grid modernization - than in the fossil fuel sector</w:t>
      </w:r>
      <w:r>
        <w:t xml:space="preserve">. 19 </w:t>
      </w:r>
      <w:r w:rsidRPr="008734E8">
        <w:rPr>
          <w:rStyle w:val="StyleUnderline"/>
        </w:rPr>
        <w:t xml:space="preserve">The projected trends </w:t>
      </w:r>
      <w:proofErr w:type="gramStart"/>
      <w:r w:rsidRPr="008734E8">
        <w:rPr>
          <w:rStyle w:val="StyleUnderline"/>
        </w:rPr>
        <w:t>suggests</w:t>
      </w:r>
      <w:proofErr w:type="gramEnd"/>
      <w:r w:rsidRPr="008734E8">
        <w:rPr>
          <w:rStyle w:val="StyleUnderline"/>
        </w:rPr>
        <w:t xml:space="preserve"> further growth.</w:t>
      </w:r>
      <w:r>
        <w:t xml:space="preserve"> 20Independent observers have found that </w:t>
      </w:r>
      <w:r w:rsidRPr="008734E8">
        <w:rPr>
          <w:rStyle w:val="StyleUnderline"/>
        </w:rPr>
        <w:t>these "green" jobs pay on average 25% higher than the national median and have higher unionization rates</w:t>
      </w:r>
      <w:r>
        <w:t xml:space="preserve">. 21This linkage between the "green" of private sector clean energy job growth and the "blue" of high-road labor standards formed the foundation for Biden's "big bet" on infrastructure - codified in the Build Back Better plan - which rested on the fundamental argument that fighting climate change would add "good paying jobs for American workers," 22and that those jobs could be targeted to people historically excluded from high-road employment opportunities. From this perspective, the administration could achieve a "just transition" to equitable clean energy by making strategic national investments to nudge existing trends forward to advance a "triple bottom line" - with significant environmental, economic, and racial equity returns - responding directly to the "triple crises." </w:t>
      </w:r>
      <w:r w:rsidRPr="00474688">
        <w:rPr>
          <w:rStyle w:val="StyleUnderline"/>
        </w:rPr>
        <w:t>The political failure of this plan underscores the dearth of moral leadership and the profoundly broken state of American politics, while also drawing attention to the potential of alternative pathways of political change that do not hinge on the immediate promise of good-faith bipartisan policymaking at the national level</w:t>
      </w:r>
      <w:r>
        <w:t>.</w:t>
      </w:r>
    </w:p>
    <w:p w14:paraId="695B69CD" w14:textId="77777777" w:rsidR="00C22526" w:rsidRDefault="00C22526" w:rsidP="00C22526">
      <w:r>
        <w:t>B. Catalytic Localism</w:t>
      </w:r>
    </w:p>
    <w:p w14:paraId="72F6CED6" w14:textId="77777777" w:rsidR="00C22526" w:rsidRDefault="00C22526" w:rsidP="00C22526">
      <w:r w:rsidRPr="00474688">
        <w:rPr>
          <w:rStyle w:val="StyleUnderline"/>
        </w:rPr>
        <w:t>An alternative starting point is to consider how the conditions for systemic change build over time through dynamic engagement between national and local policymaking</w:t>
      </w:r>
      <w:r>
        <w:t xml:space="preserve"> - in a process I call catalytic localism. There has been a recent growth of scholarship exploring the role of </w:t>
      </w:r>
      <w:r w:rsidRPr="00474688">
        <w:rPr>
          <w:rStyle w:val="StyleUnderline"/>
        </w:rPr>
        <w:t xml:space="preserve">social </w:t>
      </w:r>
      <w:proofErr w:type="gramStart"/>
      <w:r w:rsidRPr="00474688">
        <w:rPr>
          <w:rStyle w:val="StyleUnderline"/>
        </w:rPr>
        <w:t>movements</w:t>
      </w:r>
      <w:r>
        <w:t xml:space="preserve">  [</w:t>
      </w:r>
      <w:proofErr w:type="gramEnd"/>
      <w:r>
        <w:t xml:space="preserve">*297]  in </w:t>
      </w:r>
      <w:r w:rsidRPr="00474688">
        <w:rPr>
          <w:rStyle w:val="StyleUnderline"/>
        </w:rPr>
        <w:t>shap</w:t>
      </w:r>
      <w:r>
        <w:t xml:space="preserve">ing </w:t>
      </w:r>
      <w:r w:rsidRPr="00474688">
        <w:rPr>
          <w:rStyle w:val="StyleUnderline"/>
        </w:rPr>
        <w:t xml:space="preserve">new norms outside of law, which are then channeled into policy reform projects through adjudication and legislative change. </w:t>
      </w:r>
      <w:r>
        <w:t xml:space="preserve">23Catalytic </w:t>
      </w:r>
      <w:r w:rsidRPr="00474688">
        <w:rPr>
          <w:rStyle w:val="StyleUnderline"/>
        </w:rPr>
        <w:t>localism adds</w:t>
      </w:r>
      <w:r>
        <w:t xml:space="preserve"> a new theoretical dimension to this framework by conceptualizing the </w:t>
      </w:r>
      <w:r w:rsidRPr="00474688">
        <w:rPr>
          <w:rStyle w:val="StyleUnderline"/>
        </w:rPr>
        <w:t>development of reformist legal consciousness supporting large-scale policy change developing through mutually constitutive engagement between interest groups outside and officials inside the political process in policy dialogue across the different scales of multi-level policymaking</w:t>
      </w:r>
      <w:r>
        <w:t xml:space="preserve"> - </w:t>
      </w:r>
      <w:r w:rsidRPr="00474688">
        <w:rPr>
          <w:rStyle w:val="StyleUnderline"/>
        </w:rPr>
        <w:t>federal, state, and local - which interact in complex ways to shift attitudes and build political support</w:t>
      </w:r>
      <w:r>
        <w:t xml:space="preserve">. Departing from the standard account of federalism, this concept of catalytic localism rests on the notion that there is no hard boundary between federal, state, and local lawmaking - there are no determinate autonomous spheres of lawmaking that can be defined ex ante - but rather that </w:t>
      </w:r>
      <w:r w:rsidRPr="00474688">
        <w:rPr>
          <w:rStyle w:val="StyleUnderline"/>
        </w:rPr>
        <w:t>new legal norms germinate, develop, are revised, and ultimately take root at different levels of government based on dynamic engagement and struggle among norm entrepreneurs (embedded in social movements and interest groups), their opponents, and political officials</w:t>
      </w:r>
      <w:r>
        <w:t xml:space="preserve">. In these political contests, </w:t>
      </w:r>
      <w:r w:rsidRPr="00474688">
        <w:rPr>
          <w:rStyle w:val="StyleUnderline"/>
        </w:rPr>
        <w:t>the legal opportunity structure allocating lawmaking authority under established formal rules on federal supremacy, states' rights, and local home rule impose real constraints, but is more fluid and contested than conventionally imagined.</w:t>
      </w:r>
      <w:r>
        <w:t xml:space="preserve"> In this view, the domains of "local" versus "federal" lawmaking are defined and reshaped through political struggle that continuously revises the scope of federalism - which level of government gets to do what and why - thereby transforming the meaning of important legal concepts like preemption. As an empirical matter, this means that </w:t>
      </w:r>
      <w:r w:rsidRPr="00B1202B">
        <w:rPr>
          <w:rStyle w:val="StyleUnderline"/>
        </w:rPr>
        <w:t>we would expect to see policy innovations like the GND</w:t>
      </w:r>
      <w:r>
        <w:t xml:space="preserve"> promoted and challenged at different levels of government through scale-shifting: touted by norm entrepreneurs on the national political stage, </w:t>
      </w:r>
      <w:r w:rsidRPr="00B1202B">
        <w:rPr>
          <w:rStyle w:val="StyleUnderline"/>
        </w:rPr>
        <w:t>introduced by</w:t>
      </w:r>
      <w:r>
        <w:t xml:space="preserve"> sympathetic </w:t>
      </w:r>
      <w:r w:rsidRPr="00B1202B">
        <w:rPr>
          <w:rStyle w:val="StyleUnderline"/>
        </w:rPr>
        <w:t>state</w:t>
      </w:r>
      <w:r>
        <w:t xml:space="preserve"> and local </w:t>
      </w:r>
      <w:r w:rsidRPr="00B1202B">
        <w:rPr>
          <w:rStyle w:val="StyleUnderline"/>
        </w:rPr>
        <w:t>legislatures</w:t>
      </w:r>
      <w:r>
        <w:t xml:space="preserve">, challenged in court by industry opponents, </w:t>
      </w:r>
      <w:r w:rsidRPr="00B1202B">
        <w:rPr>
          <w:rStyle w:val="StyleUnderline"/>
        </w:rPr>
        <w:t>revised and reintroduced based on legal outcomes - initiating a new round of policy contention in which the possibility for federal action is sharpened and new efforts are mobilized</w:t>
      </w:r>
      <w:r>
        <w:t xml:space="preserve">. </w:t>
      </w:r>
      <w:r w:rsidRPr="00B1202B">
        <w:rPr>
          <w:rStyle w:val="StyleUnderline"/>
        </w:rPr>
        <w:t>Over time, instead of a singular federal law decisively addressing a problem like climate change, we would expect to see a patchwork of interrelated policies, some complementary and some in conflict, develop at different levels and locations - the outcome of which would constitute the "law" at a particular moment in time.</w:t>
      </w:r>
      <w:r>
        <w:t xml:space="preserve"> In this conception, there are no value-neutral methods in a federalist system for defining which levels </w:t>
      </w:r>
      <w:proofErr w:type="gramStart"/>
      <w:r>
        <w:t>of  [</w:t>
      </w:r>
      <w:proofErr w:type="gramEnd"/>
      <w:r>
        <w:t>*298]  government are appropriate for deciding specific types of political questions: there are no quintessentially "local" versus "nonlocal" issues, only distinct arenas of political conflict for advancing normative priorities. I contend that this concept of catalytic localism more accurately captures the dynamic of contemporary policy innovation in a context of intractable political conflict and deep polarization, providing a framework that helps to better explain why scale-shifting and fragmented policy development are defining features of contemporary legal and political mobilization to transform policy regimes.</w:t>
      </w:r>
    </w:p>
    <w:p w14:paraId="0169E121" w14:textId="77777777" w:rsidR="00C22526" w:rsidRDefault="00C22526" w:rsidP="00C22526">
      <w:r>
        <w:t xml:space="preserve">In centering political conflict and scale-shifting as essential elements of policy innovation, catalytic localism also provides a different perspective on the potential and limits of "localism" itself 24: reframing the local-federal relationship not as a top-down system, or even one of mutual collaboration, but rather as series of contentious events, where local, </w:t>
      </w:r>
      <w:r w:rsidRPr="00B1202B">
        <w:rPr>
          <w:rStyle w:val="StyleUnderline"/>
        </w:rPr>
        <w:t xml:space="preserve">state, and federal policymaking play </w:t>
      </w:r>
      <w:proofErr w:type="gramStart"/>
      <w:r w:rsidRPr="00B1202B">
        <w:rPr>
          <w:rStyle w:val="StyleUnderline"/>
        </w:rPr>
        <w:t>off of</w:t>
      </w:r>
      <w:proofErr w:type="gramEnd"/>
      <w:r w:rsidRPr="00B1202B">
        <w:rPr>
          <w:rStyle w:val="StyleUnderline"/>
        </w:rPr>
        <w:t xml:space="preserve"> each other cyclically.</w:t>
      </w:r>
      <w:r>
        <w:t xml:space="preserve"> In this sense, </w:t>
      </w:r>
      <w:r w:rsidRPr="00B1202B">
        <w:rPr>
          <w:rStyle w:val="StyleUnderline"/>
        </w:rPr>
        <w:t>it builds upon influential conceptions of federal-local relations to spotlight the role of movement and countermovement dynamics in shaping the meaning of federalism through forum-shopping policy innovations in multi-level systems.</w:t>
      </w:r>
      <w:r>
        <w:t xml:space="preserve"> By understanding federalism through the lens of strategic policy development that seeks to push the boundaries - and ultimately redefine - the allocation of authority, catalytic localism draws attention to how dynamics of "uncooperative" 25or "cooperative" 26federal-local relations are shaped in part by how interest groups exploit the legal opportunity structures available at the federal, state, and local levels at a particular point in time. Sometimes, this dynamic points toward building state and local law and protecting it from federal preemption. Other times, as Nestor Davidson observes, it points toward leveraging federal authority to protect local law from state preemption. 27While catalytic localism recognizes that, in some situations, local governments may be centers of innovation that need to be less restrained by higher level authorities, 28it is less a normative theory of federalism than a descriptive framework for explaining and evaluating the results of substantive policy conflicts across lawmaking scales. It thus incorporates </w:t>
      </w:r>
      <w:proofErr w:type="gramStart"/>
      <w:r>
        <w:t>strategic  [</w:t>
      </w:r>
      <w:proofErr w:type="gramEnd"/>
      <w:r>
        <w:t>*299]  behavior as a critical ingredient in the "policy churn" that occurs through local, state, and federal conflict. 29</w:t>
      </w:r>
    </w:p>
    <w:p w14:paraId="55EE6C5B" w14:textId="77777777" w:rsidR="00C22526" w:rsidRDefault="00C22526" w:rsidP="00C22526"/>
    <w:p w14:paraId="36BFAFD5" w14:textId="77777777" w:rsidR="00C22526" w:rsidRDefault="00C22526" w:rsidP="00C22526"/>
    <w:p w14:paraId="72C95C56" w14:textId="77777777" w:rsidR="00C22526" w:rsidRDefault="00C22526" w:rsidP="00C22526">
      <w:pPr>
        <w:pStyle w:val="Heading4"/>
      </w:pPr>
      <w:r>
        <w:t xml:space="preserve">States lead to federal </w:t>
      </w:r>
      <w:proofErr w:type="gramStart"/>
      <w:r>
        <w:t>follow-on</w:t>
      </w:r>
      <w:proofErr w:type="gramEnd"/>
    </w:p>
    <w:p w14:paraId="31E846E7" w14:textId="77777777" w:rsidR="00C22526" w:rsidRDefault="00C22526" w:rsidP="00C22526">
      <w:r w:rsidRPr="00795D82">
        <w:t xml:space="preserve">Scott </w:t>
      </w:r>
      <w:r w:rsidRPr="00795D82">
        <w:rPr>
          <w:rStyle w:val="Style13ptBold"/>
        </w:rPr>
        <w:t>Cummings 22</w:t>
      </w:r>
      <w:r w:rsidRPr="00795D82">
        <w:t xml:space="preserve">, Professor of Legal Ethics and Professor of Law, UCLA. THE PIPER LECTURE: CATALYTIC LOCALISM: WHAT IS NEW ABOUT THE GREEN NEW </w:t>
      </w:r>
      <w:proofErr w:type="gramStart"/>
      <w:r w:rsidRPr="00795D82">
        <w:t>DEAL?,</w:t>
      </w:r>
      <w:proofErr w:type="gramEnd"/>
      <w:r w:rsidRPr="00795D82">
        <w:t xml:space="preserve"> 97 Chi.-Kent L. Rev. 291</w:t>
      </w:r>
      <w:r>
        <w:t xml:space="preserve"> //</w:t>
      </w:r>
      <w:proofErr w:type="spellStart"/>
      <w:r>
        <w:t>pipk</w:t>
      </w:r>
      <w:proofErr w:type="spellEnd"/>
    </w:p>
    <w:p w14:paraId="36F4E8E8" w14:textId="77777777" w:rsidR="00C22526" w:rsidRDefault="00C22526" w:rsidP="00C22526">
      <w:r>
        <w:t xml:space="preserve">The 42nd Annual Kenneth M. Piper Lecture explores the origins and impact of </w:t>
      </w:r>
      <w:r w:rsidRPr="00A173CD">
        <w:rPr>
          <w:rStyle w:val="StyleUnderline"/>
        </w:rPr>
        <w:t>the Green New Deal</w:t>
      </w:r>
      <w:r>
        <w:t xml:space="preserve"> (GND) </w:t>
      </w:r>
      <w:r w:rsidRPr="00A173CD">
        <w:rPr>
          <w:rStyle w:val="StyleUnderline"/>
        </w:rPr>
        <w:t>as an example of "catalytic localism</w:t>
      </w:r>
      <w:r>
        <w:t xml:space="preserve">": </w:t>
      </w:r>
      <w:r w:rsidRPr="00A173CD">
        <w:rPr>
          <w:rStyle w:val="StyleUnderline"/>
        </w:rPr>
        <w:t>local policymaking shaped in dynamic dialogue with federal policy processes</w:t>
      </w:r>
      <w:r>
        <w:t xml:space="preserve">. As an ambitious effort to address the "triple crisis" of spiraling economic inequality, climate change, and structural racism, </w:t>
      </w:r>
      <w:r w:rsidRPr="00A173CD">
        <w:rPr>
          <w:rStyle w:val="StyleUnderline"/>
        </w:rPr>
        <w:t>the GND is an important illustration of the dynamic scale-shifting - from local to federal to local, and back again</w:t>
      </w:r>
      <w:r>
        <w:t xml:space="preserve"> - </w:t>
      </w:r>
      <w:r w:rsidRPr="00A173CD">
        <w:rPr>
          <w:rStyle w:val="StyleUnderline"/>
        </w:rPr>
        <w:t>of mutually reinforcing policy cycles designed to build political and cultural consensus for systemic legal change</w:t>
      </w:r>
      <w:r>
        <w:t xml:space="preserve">. First introduced in February 2019 by a group of progressive Democrats led by Representative Alexandria Ocasio-Cortez (D-NY) and Senator Ed Markey (D-MA), who championed "the duty of the Federal Government" to create good jobs by building a clean energy economy, 1. </w:t>
      </w:r>
      <w:r w:rsidRPr="00A173CD">
        <w:rPr>
          <w:rStyle w:val="StyleUnderline"/>
        </w:rPr>
        <w:t>the GND advanced principles that grew out of local "blue-green" campaigns to promote economic and environmental equity</w:t>
      </w:r>
      <w:r>
        <w:t xml:space="preserve"> </w:t>
      </w:r>
      <w:r w:rsidRPr="00A173CD">
        <w:rPr>
          <w:rStyle w:val="StyleUnderline"/>
        </w:rPr>
        <w:t>These local campaigns built networks and policy templates that shaped the structure and content of the federal GND, which in turned helped to influence the political environment for GND-style laws and legislative proposals at the state and local levels.</w:t>
      </w:r>
      <w:r>
        <w:t xml:space="preserve"> The lecture examines this dynamic lawmaking, while evaluating the potential and tradeoffs of laws - like those proposed under the GND - that seek to combine sustainable environmental change with structural labor reform. Specifically, drawing on evidence from states and cities that passed or proposed "mini-GNDs" prior to the pandemic, the lecture explores the challenges of incorporating robust labor standards into ambitious proposals to address climate change and considers the conditions under which the GND might work better for workers.</w:t>
      </w:r>
    </w:p>
    <w:p w14:paraId="6C97CFB7" w14:textId="77777777" w:rsidR="00C22526" w:rsidRDefault="00C22526" w:rsidP="00C22526">
      <w:r>
        <w:t xml:space="preserve">My motivation to study the GND as a version of catalytic localism grew from a puzzle. Because the GND resolution emerged during the Trump presidency - and thus had no chance of becoming law - what precisely was it meant to achieve? The conventional wisdom was that the GND was a progressive vision statement: an aspirational document intended to </w:t>
      </w:r>
      <w:proofErr w:type="gramStart"/>
      <w:r>
        <w:t>galvanize  [</w:t>
      </w:r>
      <w:proofErr w:type="gramEnd"/>
      <w:r>
        <w:t xml:space="preserve">*292]  voters, bolstering the progressive bloc within the Democratic party, and strengthening the position of its authors as party influencers (and, in the case of Ocasio-Cortez, as a potential candidate for higher office). While this analysis seems correct, my previous research on local blue-green alliance formation and policymaking suggested an alternative, complementary, rationale 2: that </w:t>
      </w:r>
      <w:r w:rsidRPr="002C2E59">
        <w:rPr>
          <w:rStyle w:val="Emphasis"/>
        </w:rPr>
        <w:t>the GND, though not meant to be immediately enacted, might nonetheless serve to catalyze change from below; and that bottom-up momentum might produce a critical mass of state and local mini-GNDs that could provide the political foundation for, and build public opinion around, a national version</w:t>
      </w:r>
      <w:r>
        <w:t xml:space="preserve"> - which might then spark new local innovations. My lecture explores this possibility by tracing the local origins of labor-environmental collaboration, the relationship between the federal GND and state and local laws, and the potential for federal GND policymaking, which was raised in connection with President Biden's ambitious - though now politically moribund - infrastructure plan.</w:t>
      </w:r>
    </w:p>
    <w:p w14:paraId="17088B9B" w14:textId="77777777" w:rsidR="00C22526" w:rsidRDefault="00C22526" w:rsidP="00C22526"/>
    <w:p w14:paraId="3DE070FB" w14:textId="77777777" w:rsidR="00C22526" w:rsidRDefault="00C22526" w:rsidP="00C22526"/>
    <w:p w14:paraId="665B2572" w14:textId="77777777" w:rsidR="00C22526" w:rsidRDefault="00C22526" w:rsidP="00C22526"/>
    <w:p w14:paraId="7FAF7EEE" w14:textId="77777777" w:rsidR="00C22526" w:rsidRDefault="00C22526" w:rsidP="00C22526">
      <w:pPr>
        <w:pStyle w:val="Heading2"/>
      </w:pPr>
      <w:r>
        <w:t>Jobs Guarantee</w:t>
      </w:r>
    </w:p>
    <w:p w14:paraId="0AA579A9" w14:textId="77777777" w:rsidR="00C22526" w:rsidRDefault="00C22526" w:rsidP="00C22526">
      <w:pPr>
        <w:pStyle w:val="Heading3"/>
      </w:pPr>
      <w:r>
        <w:t>1NC---States vs Jobs</w:t>
      </w:r>
    </w:p>
    <w:p w14:paraId="0938EBFD" w14:textId="77777777" w:rsidR="00C22526" w:rsidRDefault="00C22526" w:rsidP="00C22526">
      <w:pPr>
        <w:pStyle w:val="Heading4"/>
      </w:pPr>
      <w:r w:rsidRPr="001A0D38">
        <w:t xml:space="preserve">The </w:t>
      </w:r>
      <w:r>
        <w:t>fifty states and all relevant sub-national actors</w:t>
      </w:r>
      <w:r w:rsidRPr="001A0D38">
        <w:t xml:space="preserve"> should substantially increase fiscal redistribution in the United States by adopting a </w:t>
      </w:r>
      <w:r>
        <w:t>half-time jobs</w:t>
      </w:r>
      <w:r w:rsidRPr="001A0D38">
        <w:t xml:space="preserve"> guarantee</w:t>
      </w:r>
      <w:r>
        <w:t>.</w:t>
      </w:r>
    </w:p>
    <w:p w14:paraId="67C20719" w14:textId="77777777" w:rsidR="00C22526" w:rsidRPr="00305D0E" w:rsidRDefault="00C22526" w:rsidP="00C22526"/>
    <w:p w14:paraId="19974125" w14:textId="77777777" w:rsidR="00C22526" w:rsidRDefault="00C22526" w:rsidP="00C22526">
      <w:pPr>
        <w:pStyle w:val="Heading4"/>
      </w:pPr>
      <w:r>
        <w:t xml:space="preserve">CP solves. Half-time employment through the states is better, still preserves benefits and allows for labor mobility while ensuring a floor. Avoids the link to politics but still relies on federal funding that has already been allocated while creating a model for eventual federal </w:t>
      </w:r>
      <w:proofErr w:type="gramStart"/>
      <w:r>
        <w:t>follow-on</w:t>
      </w:r>
      <w:proofErr w:type="gramEnd"/>
    </w:p>
    <w:p w14:paraId="5AAAF3F8" w14:textId="77777777" w:rsidR="00C22526" w:rsidRDefault="00C22526" w:rsidP="00C22526">
      <w:r w:rsidRPr="00C35554">
        <w:t xml:space="preserve">Nathan </w:t>
      </w:r>
      <w:r w:rsidRPr="00C35554">
        <w:rPr>
          <w:rStyle w:val="Style13ptBold"/>
        </w:rPr>
        <w:t>Newman 21</w:t>
      </w:r>
      <w:r w:rsidRPr="00C35554">
        <w:t xml:space="preserve">, writer and professor who teaches criminal justice and sociology at CUNY. "Reset Labor Markets </w:t>
      </w:r>
      <w:proofErr w:type="gramStart"/>
      <w:r w:rsidRPr="00C35554">
        <w:t>With</w:t>
      </w:r>
      <w:proofErr w:type="gramEnd"/>
      <w:r w:rsidRPr="00C35554">
        <w:t xml:space="preserve"> a Local Half-Time Job Guarantee" September 21. </w:t>
      </w:r>
      <w:hyperlink r:id="rId8" w:history="1">
        <w:r w:rsidRPr="002F76AE">
          <w:rPr>
            <w:rStyle w:val="Hyperlink"/>
          </w:rPr>
          <w:t>https://www.thenation.com/article/economy/half-time-job-gaurantee/tnamp/</w:t>
        </w:r>
      </w:hyperlink>
      <w:r>
        <w:rPr>
          <w:rStyle w:val="Hyperlink"/>
        </w:rPr>
        <w:t xml:space="preserve"> </w:t>
      </w:r>
      <w:r w:rsidRPr="007F2B3E">
        <w:t>//</w:t>
      </w:r>
      <w:proofErr w:type="spellStart"/>
      <w:r w:rsidRPr="007F2B3E">
        <w:t>pipk</w:t>
      </w:r>
      <w:proofErr w:type="spellEnd"/>
    </w:p>
    <w:p w14:paraId="6B5E4E87" w14:textId="77777777" w:rsidR="00C22526" w:rsidRDefault="00C22526" w:rsidP="00C22526">
      <w:r w:rsidRPr="007C643D">
        <w:rPr>
          <w:rStyle w:val="StyleUnderline"/>
        </w:rPr>
        <w:t xml:space="preserve">In the wake of </w:t>
      </w:r>
      <w:r>
        <w:t xml:space="preserve">the </w:t>
      </w:r>
      <w:r w:rsidRPr="007C643D">
        <w:rPr>
          <w:rStyle w:val="StyleUnderline"/>
        </w:rPr>
        <w:t>Covid</w:t>
      </w:r>
      <w:r>
        <w:t xml:space="preserve"> recession, </w:t>
      </w:r>
      <w:r w:rsidRPr="00846C54">
        <w:rPr>
          <w:rStyle w:val="StyleUnderline"/>
          <w:highlight w:val="cyan"/>
        </w:rPr>
        <w:t>state</w:t>
      </w:r>
      <w:r>
        <w:t xml:space="preserve"> and local </w:t>
      </w:r>
      <w:r w:rsidRPr="00846C54">
        <w:rPr>
          <w:rStyle w:val="StyleUnderline"/>
          <w:highlight w:val="cyan"/>
        </w:rPr>
        <w:t>governments have the chance to remake local labor markets</w:t>
      </w:r>
      <w:r>
        <w:t>—</w:t>
      </w:r>
      <w:r w:rsidRPr="007C643D">
        <w:rPr>
          <w:rStyle w:val="StyleUnderline"/>
        </w:rPr>
        <w:t>and public assistance</w:t>
      </w:r>
      <w:r>
        <w:t>—</w:t>
      </w:r>
      <w:r w:rsidRPr="00846C54">
        <w:rPr>
          <w:rStyle w:val="StyleUnderline"/>
          <w:highlight w:val="cyan"/>
        </w:rPr>
        <w:t>by adopting a policy guaranteeing half-time employment</w:t>
      </w:r>
      <w:r w:rsidRPr="007C643D">
        <w:rPr>
          <w:rStyle w:val="StyleUnderline"/>
        </w:rPr>
        <w:t xml:space="preserve"> at $15 an hour for every resident</w:t>
      </w:r>
      <w:r>
        <w:t>.</w:t>
      </w:r>
    </w:p>
    <w:p w14:paraId="1BF77E4A" w14:textId="77777777" w:rsidR="00C22526" w:rsidRDefault="00C22526" w:rsidP="00C22526">
      <w:r>
        <w:t xml:space="preserve">Despite the hype of supposed proliferating job openings, long experience shows that even if we approach rates of nominal “full employment” again, such statistics will inevitably ignore higher unemployment rates for Black, Latino, formerly incarcerated, and many other workers. In a Covid-based recession where women </w:t>
      </w:r>
      <w:proofErr w:type="gramStart"/>
      <w:r>
        <w:t>in particular have</w:t>
      </w:r>
      <w:proofErr w:type="gramEnd"/>
      <w:r>
        <w:t xml:space="preserve"> struggled to return to previous levels of employment, </w:t>
      </w:r>
      <w:r w:rsidRPr="00846C54">
        <w:rPr>
          <w:rStyle w:val="StyleUnderline"/>
          <w:highlight w:val="cyan"/>
        </w:rPr>
        <w:t>a job guarantee may be critical to restore real employment alternatives for everyone who wants a job</w:t>
      </w:r>
      <w:r w:rsidRPr="00846C54">
        <w:rPr>
          <w:highlight w:val="cyan"/>
        </w:rPr>
        <w:t>.</w:t>
      </w:r>
    </w:p>
    <w:p w14:paraId="00B4B06F" w14:textId="77777777" w:rsidR="00C22526" w:rsidRDefault="00C22526" w:rsidP="00C22526">
      <w:r w:rsidRPr="00A7029D">
        <w:rPr>
          <w:rStyle w:val="StyleUnderline"/>
        </w:rPr>
        <w:t>So why only a half-time job guarantee</w:t>
      </w:r>
      <w:r>
        <w:t>?</w:t>
      </w:r>
    </w:p>
    <w:p w14:paraId="2EE133BE" w14:textId="77777777" w:rsidR="00C22526" w:rsidRDefault="00C22526" w:rsidP="00C22526">
      <w:r>
        <w:t xml:space="preserve">Because any state or local government will inevitably struggle with the costs of launching such a program, </w:t>
      </w:r>
      <w:r w:rsidRPr="007D2F1A">
        <w:rPr>
          <w:rStyle w:val="StyleUnderline"/>
        </w:rPr>
        <w:t xml:space="preserve">guaranteeing </w:t>
      </w:r>
      <w:r w:rsidRPr="00846C54">
        <w:rPr>
          <w:rStyle w:val="StyleUnderline"/>
          <w:highlight w:val="cyan"/>
        </w:rPr>
        <w:t>half-time jobs will be far more economically feasible</w:t>
      </w:r>
      <w:r w:rsidRPr="007D2F1A">
        <w:rPr>
          <w:rStyle w:val="StyleUnderline"/>
        </w:rPr>
        <w:t xml:space="preserve">. And </w:t>
      </w:r>
      <w:r w:rsidRPr="00846C54">
        <w:rPr>
          <w:rStyle w:val="StyleUnderline"/>
          <w:highlight w:val="cyan"/>
        </w:rPr>
        <w:t>because of the perversity of welfare benefit phaseouts, a half-time work guarantee will deliver much of the income of full-time employment</w:t>
      </w:r>
      <w:r w:rsidRPr="007D2F1A">
        <w:rPr>
          <w:rStyle w:val="StyleUnderline"/>
        </w:rPr>
        <w:t>, particularly for parents with kids</w:t>
      </w:r>
      <w:r>
        <w:t>. As importantly</w:t>
      </w:r>
      <w:r w:rsidRPr="00846C54">
        <w:rPr>
          <w:rStyle w:val="StyleUnderline"/>
          <w:highlight w:val="cyan"/>
        </w:rPr>
        <w:t>, a half-time program addresses</w:t>
      </w:r>
      <w:r w:rsidRPr="007D2F1A">
        <w:rPr>
          <w:rStyle w:val="StyleUnderline"/>
        </w:rPr>
        <w:t xml:space="preserve"> some of the </w:t>
      </w:r>
      <w:r w:rsidRPr="00846C54">
        <w:rPr>
          <w:rStyle w:val="Emphasis"/>
          <w:highlight w:val="cyan"/>
        </w:rPr>
        <w:t>political and social challenges</w:t>
      </w:r>
      <w:r w:rsidRPr="007D2F1A">
        <w:rPr>
          <w:rStyle w:val="StyleUnderline"/>
        </w:rPr>
        <w:t xml:space="preserve"> even progressive critics of job guarantees highlight, since </w:t>
      </w:r>
      <w:r w:rsidRPr="00846C54">
        <w:rPr>
          <w:rStyle w:val="StyleUnderline"/>
          <w:highlight w:val="cyan"/>
        </w:rPr>
        <w:t>it would give recipients time to care for their children, pursue education, or seek additional part-time work in fields where they eventually want to gain full-time, better-paying permanent employment</w:t>
      </w:r>
      <w:r w:rsidRPr="00846C54">
        <w:rPr>
          <w:highlight w:val="cyan"/>
        </w:rPr>
        <w:t>.</w:t>
      </w:r>
    </w:p>
    <w:p w14:paraId="108ADA51" w14:textId="77777777" w:rsidR="00C22526" w:rsidRDefault="00C22526" w:rsidP="00C22526">
      <w:r>
        <w:t>Such local job guarantee programs would build on federal proposals in recent years by Bernie Sanders, Cory Booker, proponents of the Green New Deal, and policy centers like the Center on Budget and Policy Priorities, the Center for American Progress, and the Levy Economics Institute of Bard College—all pushing federal programs to ensure that anyone wanting a job is guaranteed one by the government.</w:t>
      </w:r>
    </w:p>
    <w:p w14:paraId="39E60FAF" w14:textId="77777777" w:rsidR="00C22526" w:rsidRDefault="00C22526" w:rsidP="00C22526">
      <w:r w:rsidRPr="00846C54">
        <w:rPr>
          <w:rStyle w:val="StyleUnderline"/>
          <w:highlight w:val="cyan"/>
        </w:rPr>
        <w:t>While</w:t>
      </w:r>
      <w:r>
        <w:t xml:space="preserve"> </w:t>
      </w:r>
      <w:r w:rsidRPr="00846C54">
        <w:rPr>
          <w:rStyle w:val="Emphasis"/>
          <w:highlight w:val="cyan"/>
        </w:rPr>
        <w:t>no federal job guarantee program looks likely to be approved in the current congressional session</w:t>
      </w:r>
      <w:r>
        <w:t xml:space="preserve">, the </w:t>
      </w:r>
      <w:r w:rsidRPr="00846C54">
        <w:rPr>
          <w:rStyle w:val="StyleUnderline"/>
          <w:highlight w:val="cyan"/>
        </w:rPr>
        <w:t>federal dollars flowing to states and local governments</w:t>
      </w:r>
      <w:r>
        <w:t xml:space="preserve"> from the American Rescue Plan Act and Biden’s projected “Build Back Better” program </w:t>
      </w:r>
      <w:r w:rsidRPr="00846C54">
        <w:rPr>
          <w:rStyle w:val="StyleUnderline"/>
          <w:highlight w:val="cyan"/>
        </w:rPr>
        <w:t>create an opportunity for</w:t>
      </w:r>
      <w:r>
        <w:t xml:space="preserve"> some </w:t>
      </w:r>
      <w:r w:rsidRPr="00846C54">
        <w:rPr>
          <w:rStyle w:val="Emphasis"/>
          <w:highlight w:val="cyan"/>
        </w:rPr>
        <w:t>states</w:t>
      </w:r>
      <w:r>
        <w:t xml:space="preserve"> and local governments </w:t>
      </w:r>
      <w:r w:rsidRPr="00846C54">
        <w:rPr>
          <w:rStyle w:val="Emphasis"/>
          <w:highlight w:val="cyan"/>
        </w:rPr>
        <w:t>to</w:t>
      </w:r>
      <w:r>
        <w:t xml:space="preserve"> pilot local versions that could </w:t>
      </w:r>
      <w:r w:rsidRPr="00846C54">
        <w:rPr>
          <w:rStyle w:val="Emphasis"/>
          <w:highlight w:val="cyan"/>
        </w:rPr>
        <w:t>be models for a future federal policy</w:t>
      </w:r>
      <w:r>
        <w:t>.</w:t>
      </w:r>
    </w:p>
    <w:p w14:paraId="49F47BE3" w14:textId="77777777" w:rsidR="00C22526" w:rsidRDefault="00C22526" w:rsidP="00C22526">
      <w:r>
        <w:t xml:space="preserve">Such </w:t>
      </w:r>
      <w:r w:rsidRPr="00846C54">
        <w:rPr>
          <w:rStyle w:val="StyleUnderline"/>
          <w:highlight w:val="cyan"/>
        </w:rPr>
        <w:t>federal funding will help offset the substantial initial costs of a job guarantee program</w:t>
      </w:r>
      <w:r>
        <w:t>—</w:t>
      </w:r>
      <w:r w:rsidRPr="00846C54">
        <w:rPr>
          <w:rStyle w:val="StyleUnderline"/>
          <w:highlight w:val="cyan"/>
        </w:rPr>
        <w:t>which</w:t>
      </w:r>
      <w:r>
        <w:t xml:space="preserve"> in time, as multiple studies of </w:t>
      </w:r>
      <w:r w:rsidRPr="00846C54">
        <w:rPr>
          <w:rStyle w:val="StyleUnderline"/>
          <w:highlight w:val="cyan"/>
        </w:rPr>
        <w:t>job investment programs show, will substantially offset those initial costs</w:t>
      </w:r>
      <w:r>
        <w:t xml:space="preserve">. </w:t>
      </w:r>
      <w:r w:rsidRPr="00846C54">
        <w:rPr>
          <w:rStyle w:val="StyleUnderline"/>
          <w:highlight w:val="cyan"/>
        </w:rPr>
        <w:t>By raising the long-term income of participants, a job guarantee will stimulate the overall economy and increases local tax revenues. Higher job participation also tends to reduce other government spending, by improving school outcomes of participants’ children and reducing criminal justice costs</w:t>
      </w:r>
      <w:r>
        <w:t>.</w:t>
      </w:r>
    </w:p>
    <w:p w14:paraId="43418463" w14:textId="77777777" w:rsidR="00C22526" w:rsidRDefault="00C22526" w:rsidP="00C22526">
      <w:r>
        <w:t xml:space="preserve">Beyond supporting </w:t>
      </w:r>
      <w:proofErr w:type="gramStart"/>
      <w:r>
        <w:t>participants</w:t>
      </w:r>
      <w:proofErr w:type="gramEnd"/>
      <w:r>
        <w:t xml:space="preserve"> themselves, a key goal of a job guarantee is to expand overall worker power in the economy to demand higher wages. Reducing the desperation of the unemployed will strengthen individual and collective bargaining in all local industries; </w:t>
      </w:r>
      <w:r w:rsidRPr="007F2B3E">
        <w:rPr>
          <w:rStyle w:val="StyleUnderline"/>
        </w:rPr>
        <w:t>the resulting higher wages and consumption in turn will stimulate local economies and tax revenue</w:t>
      </w:r>
      <w:r>
        <w:t>.</w:t>
      </w:r>
    </w:p>
    <w:p w14:paraId="4380AA66" w14:textId="77777777" w:rsidR="00C22526" w:rsidRDefault="00C22526" w:rsidP="00C22526">
      <w:pPr>
        <w:pStyle w:val="Heading3"/>
      </w:pPr>
      <w:r>
        <w:t>2NC---Solvency</w:t>
      </w:r>
    </w:p>
    <w:p w14:paraId="3A15DC21" w14:textId="77777777" w:rsidR="00C22526" w:rsidRDefault="00C22526" w:rsidP="00C22526">
      <w:pPr>
        <w:pStyle w:val="Heading4"/>
      </w:pPr>
      <w:r>
        <w:t xml:space="preserve">Half-time job guarantee solves better because it avoids benefits phase-outs. CP also spills over to normalize the </w:t>
      </w:r>
      <w:proofErr w:type="gramStart"/>
      <w:r>
        <w:t>20 hour</w:t>
      </w:r>
      <w:proofErr w:type="gramEnd"/>
      <w:r>
        <w:t xml:space="preserve"> work week</w:t>
      </w:r>
    </w:p>
    <w:p w14:paraId="73AAA5FE" w14:textId="77777777" w:rsidR="00C22526" w:rsidRPr="0070725A" w:rsidRDefault="00C22526" w:rsidP="00C22526">
      <w:r w:rsidRPr="00C35554">
        <w:t xml:space="preserve">Nathan </w:t>
      </w:r>
      <w:r w:rsidRPr="00C35554">
        <w:rPr>
          <w:rStyle w:val="Style13ptBold"/>
        </w:rPr>
        <w:t>Newman 21</w:t>
      </w:r>
      <w:r w:rsidRPr="00C35554">
        <w:t xml:space="preserve">, writer and professor who teaches criminal justice and sociology at CUNY. "Reset Labor Markets </w:t>
      </w:r>
      <w:proofErr w:type="gramStart"/>
      <w:r w:rsidRPr="00C35554">
        <w:t>With</w:t>
      </w:r>
      <w:proofErr w:type="gramEnd"/>
      <w:r w:rsidRPr="00C35554">
        <w:t xml:space="preserve"> a Local Half-Time Job Guarantee" September 21. </w:t>
      </w:r>
      <w:hyperlink r:id="rId9" w:history="1">
        <w:r w:rsidRPr="002F76AE">
          <w:rPr>
            <w:rStyle w:val="Hyperlink"/>
          </w:rPr>
          <w:t>https://www.thenation.com/article/economy/half-time-job-gaurantee/tnamp/</w:t>
        </w:r>
      </w:hyperlink>
      <w:r>
        <w:rPr>
          <w:rStyle w:val="Hyperlink"/>
        </w:rPr>
        <w:t xml:space="preserve"> </w:t>
      </w:r>
      <w:r w:rsidRPr="007F2B3E">
        <w:t>//</w:t>
      </w:r>
      <w:proofErr w:type="spellStart"/>
      <w:r w:rsidRPr="007F2B3E">
        <w:t>pipk</w:t>
      </w:r>
      <w:proofErr w:type="spellEnd"/>
    </w:p>
    <w:p w14:paraId="74AEF077" w14:textId="77777777" w:rsidR="00C22526" w:rsidRDefault="00C22526" w:rsidP="00C22526">
      <w:r>
        <w:t xml:space="preserve">But </w:t>
      </w:r>
      <w:r w:rsidRPr="00846C54">
        <w:rPr>
          <w:rStyle w:val="StyleUnderline"/>
          <w:highlight w:val="cyan"/>
        </w:rPr>
        <w:t>can workers</w:t>
      </w:r>
      <w:r w:rsidRPr="007F2B3E">
        <w:rPr>
          <w:rStyle w:val="StyleUnderline"/>
        </w:rPr>
        <w:t xml:space="preserve"> and their families </w:t>
      </w:r>
      <w:r w:rsidRPr="00846C54">
        <w:rPr>
          <w:rStyle w:val="StyleUnderline"/>
          <w:highlight w:val="cyan"/>
        </w:rPr>
        <w:t>thrive on a half-time job</w:t>
      </w:r>
      <w:r w:rsidRPr="007F2B3E">
        <w:rPr>
          <w:rStyle w:val="StyleUnderline"/>
        </w:rPr>
        <w:t xml:space="preserve"> guarantee</w:t>
      </w:r>
      <w:r>
        <w:t>?</w:t>
      </w:r>
    </w:p>
    <w:p w14:paraId="764BF459" w14:textId="77777777" w:rsidR="00C22526" w:rsidRPr="007F2B3E" w:rsidRDefault="00C22526" w:rsidP="00C22526">
      <w:pPr>
        <w:rPr>
          <w:u w:val="single"/>
        </w:rPr>
      </w:pPr>
      <w:r w:rsidRPr="007F2B3E">
        <w:rPr>
          <w:rStyle w:val="StyleUnderline"/>
        </w:rPr>
        <w:t xml:space="preserve">Obviously, income from half-time work even at $15 per hour is not going to be a comfortable life, but because </w:t>
      </w:r>
      <w:r w:rsidRPr="00846C54">
        <w:rPr>
          <w:rStyle w:val="StyleUnderline"/>
          <w:highlight w:val="cyan"/>
        </w:rPr>
        <w:t>government supports have become more generous</w:t>
      </w:r>
      <w:r w:rsidRPr="007F2B3E">
        <w:rPr>
          <w:rStyle w:val="StyleUnderline"/>
        </w:rPr>
        <w:t>—particularly with policy changes made during the pandemic—</w:t>
      </w:r>
      <w:r w:rsidRPr="00846C54">
        <w:rPr>
          <w:rStyle w:val="Emphasis"/>
          <w:highlight w:val="cyan"/>
        </w:rPr>
        <w:t>a half-time job guarantee offers a reasonable safety net</w:t>
      </w:r>
      <w:r w:rsidRPr="007F2B3E">
        <w:rPr>
          <w:rStyle w:val="Emphasis"/>
        </w:rPr>
        <w:t xml:space="preserve"> </w:t>
      </w:r>
      <w:r w:rsidRPr="007F2B3E">
        <w:rPr>
          <w:rStyle w:val="StyleUnderline"/>
        </w:rPr>
        <w:t>for working families.</w:t>
      </w:r>
    </w:p>
    <w:p w14:paraId="5AE9E28E" w14:textId="77777777" w:rsidR="00C22526" w:rsidRDefault="00C22526" w:rsidP="00C22526">
      <w:r>
        <w:t xml:space="preserve">Notably, </w:t>
      </w:r>
      <w:r w:rsidRPr="007F2B3E">
        <w:rPr>
          <w:rStyle w:val="StyleUnderline"/>
        </w:rPr>
        <w:t xml:space="preserve">Biden policies making the </w:t>
      </w:r>
      <w:r w:rsidRPr="00846C54">
        <w:rPr>
          <w:rStyle w:val="Emphasis"/>
          <w:highlight w:val="cyan"/>
        </w:rPr>
        <w:t>C</w:t>
      </w:r>
      <w:r w:rsidRPr="007F2B3E">
        <w:rPr>
          <w:rStyle w:val="StyleUnderline"/>
        </w:rPr>
        <w:t xml:space="preserve">hild </w:t>
      </w:r>
      <w:r w:rsidRPr="00846C54">
        <w:rPr>
          <w:rStyle w:val="Emphasis"/>
          <w:highlight w:val="cyan"/>
        </w:rPr>
        <w:t>T</w:t>
      </w:r>
      <w:r w:rsidRPr="007F2B3E">
        <w:rPr>
          <w:rStyle w:val="StyleUnderline"/>
        </w:rPr>
        <w:t xml:space="preserve">ax </w:t>
      </w:r>
      <w:r w:rsidRPr="00846C54">
        <w:rPr>
          <w:rStyle w:val="Emphasis"/>
          <w:highlight w:val="cyan"/>
        </w:rPr>
        <w:t>C</w:t>
      </w:r>
      <w:r w:rsidRPr="007F2B3E">
        <w:rPr>
          <w:rStyle w:val="StyleUnderline"/>
        </w:rPr>
        <w:t xml:space="preserve">redit larger and refundable, expanding </w:t>
      </w:r>
      <w:r w:rsidRPr="00846C54">
        <w:rPr>
          <w:rStyle w:val="StyleUnderline"/>
          <w:highlight w:val="cyan"/>
        </w:rPr>
        <w:t>SNAP</w:t>
      </w:r>
      <w:r w:rsidRPr="007F2B3E">
        <w:rPr>
          <w:rStyle w:val="StyleUnderline"/>
        </w:rPr>
        <w:t xml:space="preserve"> nutrition benefits, </w:t>
      </w:r>
      <w:r w:rsidRPr="00846C54">
        <w:rPr>
          <w:rStyle w:val="StyleUnderline"/>
          <w:highlight w:val="cyan"/>
        </w:rPr>
        <w:t>and</w:t>
      </w:r>
      <w:r w:rsidRPr="007F2B3E">
        <w:rPr>
          <w:rStyle w:val="StyleUnderline"/>
        </w:rPr>
        <w:t xml:space="preserve"> enlarging the </w:t>
      </w:r>
      <w:r w:rsidRPr="00846C54">
        <w:rPr>
          <w:rStyle w:val="StyleUnderline"/>
          <w:highlight w:val="cyan"/>
        </w:rPr>
        <w:t>EITC</w:t>
      </w:r>
      <w:r w:rsidRPr="007F2B3E">
        <w:rPr>
          <w:rStyle w:val="StyleUnderline"/>
        </w:rPr>
        <w:t xml:space="preserve"> for childless workers all </w:t>
      </w:r>
      <w:r w:rsidRPr="00846C54">
        <w:rPr>
          <w:rStyle w:val="StyleUnderline"/>
          <w:highlight w:val="cyan"/>
        </w:rPr>
        <w:t>help</w:t>
      </w:r>
      <w:r w:rsidRPr="007F2B3E">
        <w:rPr>
          <w:rStyle w:val="StyleUnderline"/>
        </w:rPr>
        <w:t xml:space="preserve"> make half-time job guarantees more viable</w:t>
      </w:r>
      <w:r>
        <w:t>.</w:t>
      </w:r>
    </w:p>
    <w:p w14:paraId="59A554E6" w14:textId="77777777" w:rsidR="00C22526" w:rsidRPr="0070725A" w:rsidRDefault="00C22526" w:rsidP="00C22526">
      <w:pPr>
        <w:rPr>
          <w:u w:val="single"/>
        </w:rPr>
      </w:pPr>
      <w:r>
        <w:t xml:space="preserve">To put numbers on </w:t>
      </w:r>
      <w:r w:rsidRPr="0070725A">
        <w:rPr>
          <w:rStyle w:val="StyleUnderline"/>
        </w:rPr>
        <w:t>this, half-time work at $15/</w:t>
      </w:r>
      <w:proofErr w:type="spellStart"/>
      <w:r w:rsidRPr="0070725A">
        <w:rPr>
          <w:rStyle w:val="StyleUnderline"/>
        </w:rPr>
        <w:t>hr</w:t>
      </w:r>
      <w:proofErr w:type="spellEnd"/>
      <w:r w:rsidRPr="0070725A">
        <w:rPr>
          <w:rStyle w:val="StyleUnderline"/>
        </w:rPr>
        <w:t xml:space="preserve"> pays $15,060 per year</w:t>
      </w:r>
      <w:r>
        <w:t xml:space="preserve">. For a single parent with three kids, </w:t>
      </w:r>
      <w:r w:rsidRPr="0070725A">
        <w:rPr>
          <w:rStyle w:val="StyleUnderline"/>
        </w:rPr>
        <w:t>that will be supplemented by a $9,000 child tax credit</w:t>
      </w:r>
      <w:r>
        <w:t xml:space="preserve"> (up to $10,800 if the kids are 5 or under), a $</w:t>
      </w:r>
      <w:r w:rsidRPr="0070725A">
        <w:rPr>
          <w:rStyle w:val="StyleUnderline"/>
        </w:rPr>
        <w:t>6,728 EITC payment and</w:t>
      </w:r>
      <w:r>
        <w:t xml:space="preserve"> up to the maximum $</w:t>
      </w:r>
      <w:r w:rsidRPr="0070725A">
        <w:rPr>
          <w:rStyle w:val="StyleUnderline"/>
        </w:rPr>
        <w:t>10,020 yearly SNAP allotment, yielding a base of roughly $41,000 in annual income.</w:t>
      </w:r>
    </w:p>
    <w:p w14:paraId="36B6EA4D" w14:textId="77777777" w:rsidR="00C22526" w:rsidRDefault="00C22526" w:rsidP="00C22526">
      <w:r>
        <w:t>A table showing potential annual income for households enrolled in specific programs.</w:t>
      </w:r>
    </w:p>
    <w:p w14:paraId="22475149" w14:textId="77777777" w:rsidR="00C22526" w:rsidRDefault="00C22526" w:rsidP="00C22526">
      <w:r w:rsidRPr="0070725A">
        <w:rPr>
          <w:rStyle w:val="StyleUnderline"/>
        </w:rPr>
        <w:t xml:space="preserve">That can be further supplemented by </w:t>
      </w:r>
      <w:proofErr w:type="gramStart"/>
      <w:r w:rsidRPr="00846C54">
        <w:rPr>
          <w:rStyle w:val="StyleUnderline"/>
          <w:highlight w:val="cyan"/>
        </w:rPr>
        <w:t>child care</w:t>
      </w:r>
      <w:proofErr w:type="gramEnd"/>
      <w:r w:rsidRPr="0070725A">
        <w:rPr>
          <w:rStyle w:val="StyleUnderline"/>
        </w:rPr>
        <w:t xml:space="preserve"> tax </w:t>
      </w:r>
      <w:r w:rsidRPr="00846C54">
        <w:rPr>
          <w:rStyle w:val="StyleUnderline"/>
          <w:highlight w:val="cyan"/>
        </w:rPr>
        <w:t>credits</w:t>
      </w:r>
      <w:r>
        <w:t xml:space="preserve"> (as much as an $8,000 credit at least temporarily under the American Rescue Plan), </w:t>
      </w:r>
      <w:r w:rsidRPr="00846C54">
        <w:rPr>
          <w:rStyle w:val="Emphasis"/>
          <w:highlight w:val="cyan"/>
        </w:rPr>
        <w:t>state supplements</w:t>
      </w:r>
      <w:r w:rsidRPr="0070725A">
        <w:rPr>
          <w:rStyle w:val="Emphasis"/>
        </w:rPr>
        <w:t xml:space="preserve"> to the CTC and EITC</w:t>
      </w:r>
      <w:r>
        <w:t xml:space="preserve"> (roughly $3,000 in New York City, for example), </w:t>
      </w:r>
      <w:r w:rsidRPr="00846C54">
        <w:rPr>
          <w:rStyle w:val="StyleUnderline"/>
          <w:highlight w:val="cyan"/>
        </w:rPr>
        <w:t>rental housing subsidies</w:t>
      </w:r>
      <w:r>
        <w:t xml:space="preserve"> (substantial in amount but with limited availability), </w:t>
      </w:r>
      <w:r w:rsidRPr="00D24FAF">
        <w:rPr>
          <w:rStyle w:val="StyleUnderline"/>
        </w:rPr>
        <w:t xml:space="preserve">heating and other </w:t>
      </w:r>
      <w:r w:rsidRPr="00846C54">
        <w:rPr>
          <w:rStyle w:val="StyleUnderline"/>
          <w:highlight w:val="cyan"/>
        </w:rPr>
        <w:t>utility subsidies</w:t>
      </w:r>
      <w:r w:rsidRPr="0070725A">
        <w:rPr>
          <w:rStyle w:val="StyleUnderline"/>
        </w:rPr>
        <w:t xml:space="preserve">, as well as other supports such as discounted </w:t>
      </w:r>
      <w:r w:rsidRPr="00846C54">
        <w:rPr>
          <w:rStyle w:val="StyleUnderline"/>
          <w:highlight w:val="cyan"/>
        </w:rPr>
        <w:t>transit</w:t>
      </w:r>
      <w:r>
        <w:t xml:space="preserve">. </w:t>
      </w:r>
      <w:r w:rsidRPr="0070725A">
        <w:rPr>
          <w:rStyle w:val="Emphasis"/>
        </w:rPr>
        <w:t xml:space="preserve">Families and individuals at this income level also qualify for </w:t>
      </w:r>
      <w:r w:rsidRPr="00846C54">
        <w:rPr>
          <w:rStyle w:val="Emphasis"/>
          <w:highlight w:val="cyan"/>
        </w:rPr>
        <w:t>Medicaid</w:t>
      </w:r>
      <w:r w:rsidRPr="0070725A">
        <w:rPr>
          <w:rStyle w:val="Emphasis"/>
        </w:rPr>
        <w:t>, eliminating most health care costs as well.</w:t>
      </w:r>
    </w:p>
    <w:p w14:paraId="250611AC" w14:textId="77777777" w:rsidR="00C22526" w:rsidRDefault="00C22526" w:rsidP="00C22526">
      <w:r w:rsidRPr="0070725A">
        <w:rPr>
          <w:rStyle w:val="StyleUnderline"/>
        </w:rPr>
        <w:t xml:space="preserve">Not a luxurious standard of living, to be sure, but these numbers emphasize that, program-by-program, progressives have made significant strides in making the lives of the working poor far better. </w:t>
      </w:r>
      <w:r w:rsidRPr="00846C54">
        <w:rPr>
          <w:rStyle w:val="StyleUnderline"/>
          <w:highlight w:val="cyan"/>
        </w:rPr>
        <w:t>A half-time job</w:t>
      </w:r>
      <w:r w:rsidRPr="0070725A">
        <w:rPr>
          <w:rStyle w:val="StyleUnderline"/>
        </w:rPr>
        <w:t xml:space="preserve"> guarantee </w:t>
      </w:r>
      <w:r w:rsidRPr="00846C54">
        <w:rPr>
          <w:rStyle w:val="StyleUnderline"/>
          <w:highlight w:val="cyan"/>
        </w:rPr>
        <w:t>builds on</w:t>
      </w:r>
      <w:r w:rsidRPr="0070725A">
        <w:rPr>
          <w:rStyle w:val="StyleUnderline"/>
        </w:rPr>
        <w:t xml:space="preserve"> these </w:t>
      </w:r>
      <w:r w:rsidRPr="00846C54">
        <w:rPr>
          <w:rStyle w:val="StyleUnderline"/>
          <w:highlight w:val="cyan"/>
        </w:rPr>
        <w:t>previous policy victories</w:t>
      </w:r>
      <w:r>
        <w:t>.</w:t>
      </w:r>
    </w:p>
    <w:p w14:paraId="74E0B724" w14:textId="77777777" w:rsidR="00C22526" w:rsidRDefault="00C22526" w:rsidP="00C22526">
      <w:r>
        <w:t xml:space="preserve">Perversely, </w:t>
      </w:r>
      <w:r w:rsidRPr="00846C54">
        <w:rPr>
          <w:rStyle w:val="Emphasis"/>
          <w:highlight w:val="cyan"/>
        </w:rPr>
        <w:t>as</w:t>
      </w:r>
      <w:r w:rsidRPr="0070725A">
        <w:rPr>
          <w:rStyle w:val="Emphasis"/>
        </w:rPr>
        <w:t xml:space="preserve"> family </w:t>
      </w:r>
      <w:r w:rsidRPr="00846C54">
        <w:rPr>
          <w:rStyle w:val="Emphasis"/>
          <w:highlight w:val="cyan"/>
        </w:rPr>
        <w:t>incomes rise</w:t>
      </w:r>
      <w:r w:rsidRPr="0070725A">
        <w:rPr>
          <w:rStyle w:val="Emphasis"/>
        </w:rPr>
        <w:t xml:space="preserve"> much above $20K per year, many of these </w:t>
      </w:r>
      <w:r w:rsidRPr="00D24FAF">
        <w:rPr>
          <w:rStyle w:val="Emphasis"/>
        </w:rPr>
        <w:t xml:space="preserve">financial </w:t>
      </w:r>
      <w:r w:rsidRPr="00846C54">
        <w:rPr>
          <w:rStyle w:val="Emphasis"/>
          <w:highlight w:val="cyan"/>
        </w:rPr>
        <w:t>supports</w:t>
      </w:r>
      <w:r w:rsidRPr="0070725A">
        <w:rPr>
          <w:rStyle w:val="Emphasis"/>
        </w:rPr>
        <w:t xml:space="preserve"> begin to </w:t>
      </w:r>
      <w:r w:rsidRPr="00846C54">
        <w:rPr>
          <w:rStyle w:val="Emphasis"/>
          <w:highlight w:val="cyan"/>
        </w:rPr>
        <w:t>phase out</w:t>
      </w:r>
      <w:r w:rsidRPr="0070725A">
        <w:rPr>
          <w:rStyle w:val="Emphasis"/>
        </w:rPr>
        <w:t xml:space="preserve">, partly and at times completely </w:t>
      </w:r>
      <w:r w:rsidRPr="00846C54">
        <w:rPr>
          <w:rStyle w:val="Emphasis"/>
          <w:highlight w:val="cyan"/>
        </w:rPr>
        <w:t>offsetting</w:t>
      </w:r>
      <w:r w:rsidRPr="0070725A">
        <w:rPr>
          <w:rStyle w:val="Emphasis"/>
        </w:rPr>
        <w:t xml:space="preserve"> any income </w:t>
      </w:r>
      <w:r w:rsidRPr="00846C54">
        <w:rPr>
          <w:rStyle w:val="Emphasis"/>
          <w:highlight w:val="cyan"/>
        </w:rPr>
        <w:t>gains</w:t>
      </w:r>
      <w:r w:rsidRPr="0070725A">
        <w:rPr>
          <w:rStyle w:val="Emphasis"/>
        </w:rPr>
        <w:t xml:space="preserve">. As the Congressional Budget Office found in one analysis, </w:t>
      </w:r>
      <w:r w:rsidRPr="00846C54">
        <w:rPr>
          <w:rStyle w:val="Emphasis"/>
          <w:highlight w:val="cyan"/>
        </w:rPr>
        <w:t>marginal tax rates</w:t>
      </w:r>
      <w:r w:rsidRPr="0070725A">
        <w:rPr>
          <w:rStyle w:val="Emphasis"/>
        </w:rPr>
        <w:t xml:space="preserve"> can </w:t>
      </w:r>
      <w:r w:rsidRPr="00846C54">
        <w:rPr>
          <w:rStyle w:val="Emphasis"/>
          <w:highlight w:val="cyan"/>
        </w:rPr>
        <w:t>approach 100 percent</w:t>
      </w:r>
      <w:r w:rsidRPr="0070725A">
        <w:rPr>
          <w:rStyle w:val="Emphasis"/>
        </w:rPr>
        <w:t xml:space="preserve"> for many low-income families</w:t>
      </w:r>
      <w:r>
        <w:t xml:space="preserve">. The Urban Institute has similarly found that </w:t>
      </w:r>
      <w:r w:rsidRPr="00846C54">
        <w:rPr>
          <w:rStyle w:val="Emphasis"/>
          <w:highlight w:val="cyan"/>
        </w:rPr>
        <w:t>additional wage</w:t>
      </w:r>
      <w:r w:rsidRPr="0070725A">
        <w:rPr>
          <w:rStyle w:val="Emphasis"/>
        </w:rPr>
        <w:t xml:space="preserve"> earning</w:t>
      </w:r>
      <w:r w:rsidRPr="00846C54">
        <w:rPr>
          <w:rStyle w:val="Emphasis"/>
          <w:highlight w:val="cyan"/>
        </w:rPr>
        <w:t>s</w:t>
      </w:r>
      <w:r w:rsidRPr="0070725A">
        <w:rPr>
          <w:rStyle w:val="Emphasis"/>
        </w:rPr>
        <w:t xml:space="preserve"> for working poor families can </w:t>
      </w:r>
      <w:r w:rsidRPr="00846C54">
        <w:rPr>
          <w:rStyle w:val="Emphasis"/>
          <w:highlight w:val="cyan"/>
        </w:rPr>
        <w:t>lead to little</w:t>
      </w:r>
      <w:r w:rsidRPr="0070725A">
        <w:rPr>
          <w:rStyle w:val="Emphasis"/>
        </w:rPr>
        <w:t xml:space="preserve"> net </w:t>
      </w:r>
      <w:r w:rsidRPr="00846C54">
        <w:rPr>
          <w:rStyle w:val="Emphasis"/>
          <w:highlight w:val="cyan"/>
        </w:rPr>
        <w:t>gain</w:t>
      </w:r>
      <w:r w:rsidRPr="0070725A">
        <w:rPr>
          <w:rStyle w:val="Emphasis"/>
        </w:rPr>
        <w:t xml:space="preserve"> in </w:t>
      </w:r>
      <w:r w:rsidRPr="00846C54">
        <w:rPr>
          <w:rStyle w:val="Emphasis"/>
          <w:highlight w:val="cyan"/>
        </w:rPr>
        <w:t>overall</w:t>
      </w:r>
      <w:r w:rsidRPr="0070725A">
        <w:rPr>
          <w:rStyle w:val="Emphasis"/>
        </w:rPr>
        <w:t xml:space="preserve"> income.</w:t>
      </w:r>
    </w:p>
    <w:p w14:paraId="6BDEE11A" w14:textId="77777777" w:rsidR="00C22526" w:rsidRDefault="00C22526" w:rsidP="00C22526">
      <w:r w:rsidRPr="001F11E4">
        <w:rPr>
          <w:rStyle w:val="StyleUnderline"/>
        </w:rPr>
        <w:t>That’s why aiming for a half-time job guarantee makes sense</w:t>
      </w:r>
      <w:r>
        <w:t xml:space="preserve">. </w:t>
      </w:r>
      <w:r w:rsidRPr="001F11E4">
        <w:rPr>
          <w:rStyle w:val="Emphasis"/>
        </w:rPr>
        <w:t xml:space="preserve">The goal should be to </w:t>
      </w:r>
      <w:r w:rsidRPr="00846C54">
        <w:rPr>
          <w:rStyle w:val="Emphasis"/>
          <w:highlight w:val="cyan"/>
        </w:rPr>
        <w:t>treat</w:t>
      </w:r>
      <w:r w:rsidRPr="001F11E4">
        <w:rPr>
          <w:rStyle w:val="Emphasis"/>
        </w:rPr>
        <w:t xml:space="preserve"> such </w:t>
      </w:r>
      <w:r w:rsidRPr="00846C54">
        <w:rPr>
          <w:rStyle w:val="Emphasis"/>
          <w:highlight w:val="cyan"/>
        </w:rPr>
        <w:t>jobs as a safety net where workers</w:t>
      </w:r>
      <w:r w:rsidRPr="001F11E4">
        <w:rPr>
          <w:rStyle w:val="Emphasis"/>
        </w:rPr>
        <w:t xml:space="preserve"> are supported in </w:t>
      </w:r>
      <w:r w:rsidRPr="00846C54">
        <w:rPr>
          <w:rStyle w:val="Emphasis"/>
          <w:highlight w:val="cyan"/>
        </w:rPr>
        <w:t>eventually find</w:t>
      </w:r>
      <w:r w:rsidRPr="001F11E4">
        <w:rPr>
          <w:rStyle w:val="Emphasis"/>
        </w:rPr>
        <w:t xml:space="preserve">ing </w:t>
      </w:r>
      <w:r w:rsidRPr="00846C54">
        <w:rPr>
          <w:rStyle w:val="Emphasis"/>
          <w:highlight w:val="cyan"/>
        </w:rPr>
        <w:t>full-time work that provides</w:t>
      </w:r>
      <w:r w:rsidRPr="001F11E4">
        <w:rPr>
          <w:rStyle w:val="Emphasis"/>
        </w:rPr>
        <w:t xml:space="preserve"> not just more hours but </w:t>
      </w:r>
      <w:r w:rsidRPr="00BD50B0">
        <w:rPr>
          <w:rStyle w:val="Emphasis"/>
        </w:rPr>
        <w:t>substantially more hourly pay, delivering</w:t>
      </w:r>
      <w:r w:rsidRPr="001F11E4">
        <w:rPr>
          <w:rStyle w:val="Emphasis"/>
        </w:rPr>
        <w:t xml:space="preserve"> </w:t>
      </w:r>
      <w:r w:rsidRPr="00846C54">
        <w:rPr>
          <w:rStyle w:val="Emphasis"/>
          <w:highlight w:val="cyan"/>
        </w:rPr>
        <w:t xml:space="preserve">a real jump in </w:t>
      </w:r>
      <w:r w:rsidRPr="00BD50B0">
        <w:rPr>
          <w:rStyle w:val="Emphasis"/>
        </w:rPr>
        <w:t xml:space="preserve">family </w:t>
      </w:r>
      <w:r w:rsidRPr="00846C54">
        <w:rPr>
          <w:rStyle w:val="Emphasis"/>
          <w:highlight w:val="cyan"/>
        </w:rPr>
        <w:t>income</w:t>
      </w:r>
      <w:r>
        <w:t>.</w:t>
      </w:r>
    </w:p>
    <w:p w14:paraId="606E9A8E" w14:textId="77777777" w:rsidR="00C22526" w:rsidRDefault="00C22526" w:rsidP="00C22526">
      <w:r>
        <w:t xml:space="preserve">Ensuring that these half-time jobs remain clearly distinct from permanent public employment will also reduce tensions with public employee unions. And </w:t>
      </w:r>
      <w:r w:rsidRPr="00846C54">
        <w:rPr>
          <w:rStyle w:val="StyleUnderline"/>
          <w:highlight w:val="cyan"/>
        </w:rPr>
        <w:t>instead of “stranding” participants in work they don’t like</w:t>
      </w:r>
      <w:r w:rsidRPr="001F11E4">
        <w:rPr>
          <w:rStyle w:val="StyleUnderline"/>
        </w:rPr>
        <w:t>—as some critics of full-time job guarantees worry—</w:t>
      </w:r>
      <w:r w:rsidRPr="00846C54">
        <w:rPr>
          <w:rStyle w:val="StyleUnderline"/>
          <w:highlight w:val="cyan"/>
        </w:rPr>
        <w:t>people</w:t>
      </w:r>
      <w:r w:rsidRPr="001F11E4">
        <w:rPr>
          <w:rStyle w:val="StyleUnderline"/>
        </w:rPr>
        <w:t xml:space="preserve"> in half-time jobs </w:t>
      </w:r>
      <w:r w:rsidRPr="00846C54">
        <w:rPr>
          <w:rStyle w:val="StyleUnderline"/>
          <w:highlight w:val="cyan"/>
        </w:rPr>
        <w:t>will</w:t>
      </w:r>
      <w:r w:rsidRPr="001F11E4">
        <w:rPr>
          <w:rStyle w:val="StyleUnderline"/>
        </w:rPr>
        <w:t xml:space="preserve"> still be able to </w:t>
      </w:r>
      <w:r w:rsidRPr="00846C54">
        <w:rPr>
          <w:rStyle w:val="StyleUnderline"/>
          <w:highlight w:val="cyan"/>
        </w:rPr>
        <w:t>pursue educational, volunteer, or other part-time opportunities that</w:t>
      </w:r>
      <w:r w:rsidRPr="001F11E4">
        <w:rPr>
          <w:rStyle w:val="StyleUnderline"/>
        </w:rPr>
        <w:t xml:space="preserve"> can </w:t>
      </w:r>
      <w:r w:rsidRPr="00846C54">
        <w:rPr>
          <w:rStyle w:val="StyleUnderline"/>
          <w:highlight w:val="cyan"/>
        </w:rPr>
        <w:t>lead to better-paying careers</w:t>
      </w:r>
      <w:r w:rsidRPr="00846C54">
        <w:rPr>
          <w:highlight w:val="cyan"/>
        </w:rPr>
        <w:t xml:space="preserve">. </w:t>
      </w:r>
      <w:r w:rsidRPr="00BD50B0">
        <w:rPr>
          <w:rStyle w:val="StyleUnderline"/>
        </w:rPr>
        <w:t>The</w:t>
      </w:r>
      <w:r w:rsidRPr="001F11E4">
        <w:rPr>
          <w:rStyle w:val="StyleUnderline"/>
        </w:rPr>
        <w:t xml:space="preserve"> point,</w:t>
      </w:r>
      <w:r>
        <w:t xml:space="preserve"> as Pavlina R. </w:t>
      </w:r>
      <w:proofErr w:type="spellStart"/>
      <w:r>
        <w:t>Tcherneva</w:t>
      </w:r>
      <w:proofErr w:type="spellEnd"/>
      <w:r>
        <w:t xml:space="preserve"> of the Levy Economics Institute argues, </w:t>
      </w:r>
      <w:r w:rsidRPr="001F11E4">
        <w:rPr>
          <w:rStyle w:val="StyleUnderline"/>
        </w:rPr>
        <w:t xml:space="preserve">is for </w:t>
      </w:r>
      <w:r w:rsidRPr="00846C54">
        <w:rPr>
          <w:rStyle w:val="StyleUnderline"/>
          <w:highlight w:val="cyan"/>
        </w:rPr>
        <w:t>a job guarantee</w:t>
      </w:r>
      <w:r w:rsidRPr="001F11E4">
        <w:rPr>
          <w:rStyle w:val="StyleUnderline"/>
        </w:rPr>
        <w:t xml:space="preserve"> to act </w:t>
      </w:r>
      <w:r w:rsidRPr="00846C54">
        <w:rPr>
          <w:rStyle w:val="StyleUnderline"/>
          <w:highlight w:val="cyan"/>
        </w:rPr>
        <w:t xml:space="preserve">as </w:t>
      </w:r>
      <w:r w:rsidRPr="00655406">
        <w:rPr>
          <w:rStyle w:val="StyleUnderline"/>
        </w:rPr>
        <w:t xml:space="preserve">a </w:t>
      </w:r>
      <w:r w:rsidRPr="00846C54">
        <w:rPr>
          <w:rStyle w:val="StyleUnderline"/>
          <w:highlight w:val="cyan"/>
        </w:rPr>
        <w:t xml:space="preserve">transitional </w:t>
      </w:r>
      <w:r w:rsidRPr="00655406">
        <w:rPr>
          <w:rStyle w:val="StyleUnderline"/>
        </w:rPr>
        <w:t>program, “a</w:t>
      </w:r>
      <w:r w:rsidRPr="001F11E4">
        <w:rPr>
          <w:rStyle w:val="StyleUnderline"/>
        </w:rPr>
        <w:t xml:space="preserve"> </w:t>
      </w:r>
      <w:proofErr w:type="gramStart"/>
      <w:r w:rsidRPr="001F11E4">
        <w:rPr>
          <w:rStyle w:val="StyleUnderline"/>
        </w:rPr>
        <w:t>stepping stone</w:t>
      </w:r>
      <w:proofErr w:type="gramEnd"/>
      <w:r w:rsidRPr="001F11E4">
        <w:rPr>
          <w:rStyle w:val="StyleUnderline"/>
        </w:rPr>
        <w:t>…to other forms of private, public and nonprofit employment</w:t>
      </w:r>
      <w:r>
        <w:t>.”</w:t>
      </w:r>
    </w:p>
    <w:p w14:paraId="5D25E608" w14:textId="77777777" w:rsidR="00C22526" w:rsidRDefault="00C22526" w:rsidP="00C22526">
      <w:pPr>
        <w:pStyle w:val="Heading2"/>
      </w:pPr>
      <w:r>
        <w:t>Basic Income</w:t>
      </w:r>
    </w:p>
    <w:p w14:paraId="11F6997A" w14:textId="77777777" w:rsidR="00C22526" w:rsidRPr="0085246D" w:rsidRDefault="00C22526" w:rsidP="00C22526"/>
    <w:p w14:paraId="3C6A8542" w14:textId="77777777" w:rsidR="00C22526" w:rsidRDefault="00C22526" w:rsidP="00C22526">
      <w:pPr>
        <w:pStyle w:val="Heading3"/>
      </w:pPr>
      <w:r>
        <w:t>1NC---States vs Basic Income</w:t>
      </w:r>
    </w:p>
    <w:p w14:paraId="5D8707B2" w14:textId="77777777" w:rsidR="00C22526" w:rsidRPr="00A71601" w:rsidRDefault="00C22526" w:rsidP="00C22526"/>
    <w:p w14:paraId="203F25E3" w14:textId="77777777" w:rsidR="00C22526" w:rsidRDefault="00C22526" w:rsidP="00C22526">
      <w:pPr>
        <w:pStyle w:val="Heading4"/>
      </w:pPr>
      <w:r>
        <w:t>The fifty states and all relevant sub-national actors should provide a guaranteed income, establish a Hold Harmless Fund to replace lost federal benefits, and exclude both from consideration in income eligibility.</w:t>
      </w:r>
    </w:p>
    <w:p w14:paraId="319D305C" w14:textId="77777777" w:rsidR="00C22526" w:rsidRPr="007B484B" w:rsidRDefault="00C22526" w:rsidP="00C22526"/>
    <w:p w14:paraId="76550A6B" w14:textId="77777777" w:rsidR="00C22526" w:rsidRPr="00A01380" w:rsidRDefault="00C22526" w:rsidP="00C22526">
      <w:pPr>
        <w:pStyle w:val="Heading4"/>
      </w:pPr>
      <w:r>
        <w:t xml:space="preserve">Counterplan solves, leads to federal follow-on, and avoids the link to </w:t>
      </w:r>
      <w:proofErr w:type="gramStart"/>
      <w:r>
        <w:t>politics</w:t>
      </w:r>
      <w:proofErr w:type="gramEnd"/>
    </w:p>
    <w:p w14:paraId="377D9246" w14:textId="77777777" w:rsidR="00C22526" w:rsidRDefault="00C22526" w:rsidP="00C22526">
      <w:r w:rsidRPr="000525CD">
        <w:t xml:space="preserve">Nolan </w:t>
      </w:r>
      <w:r w:rsidRPr="000525CD">
        <w:rPr>
          <w:rStyle w:val="Style13ptBold"/>
        </w:rPr>
        <w:t>Downey 22</w:t>
      </w:r>
      <w:r w:rsidRPr="000525CD">
        <w:t>, Staff Attorney for the Legal Impact Network at the Shriver Center on Poverty Law. Economic Security Project. April 13. "Guaranteed Income</w:t>
      </w:r>
      <w:r>
        <w:t>: States Lead the Way in Reimagining the Social Safety Net”</w:t>
      </w:r>
      <w:r w:rsidRPr="000525CD">
        <w:t xml:space="preserve"> </w:t>
      </w:r>
      <w:hyperlink r:id="rId10" w:history="1">
        <w:r w:rsidRPr="002F76AE">
          <w:rPr>
            <w:rStyle w:val="Hyperlink"/>
          </w:rPr>
          <w:t>https://economicsecurityproject.org/resource/states-lead/</w:t>
        </w:r>
      </w:hyperlink>
      <w:r>
        <w:t xml:space="preserve"> //</w:t>
      </w:r>
      <w:proofErr w:type="spellStart"/>
      <w:proofErr w:type="gramStart"/>
      <w:r>
        <w:t>pipk</w:t>
      </w:r>
      <w:proofErr w:type="spellEnd"/>
      <w:proofErr w:type="gramEnd"/>
    </w:p>
    <w:p w14:paraId="67615461" w14:textId="77777777" w:rsidR="00C22526" w:rsidRDefault="00C22526" w:rsidP="00C22526">
      <w:pPr>
        <w:rPr>
          <w:rStyle w:val="Emphasis"/>
        </w:rPr>
      </w:pPr>
      <w:r w:rsidRPr="00F41B18">
        <w:t xml:space="preserve">Every person deserves to live with dignity and have their basic needs met. After decades of rollbacks and disinvestment, </w:t>
      </w:r>
      <w:r w:rsidRPr="00F41B18">
        <w:rPr>
          <w:rStyle w:val="StyleUnderline"/>
        </w:rPr>
        <w:t>our current social safety net is insufficient given the economic situation</w:t>
      </w:r>
      <w:r w:rsidRPr="00F41B18">
        <w:t xml:space="preserve"> we face. In the United States there is unconscionable and accelerating </w:t>
      </w:r>
      <w:r w:rsidRPr="00F41B18">
        <w:rPr>
          <w:rStyle w:val="StyleUnderline"/>
        </w:rPr>
        <w:t>wealth inequality</w:t>
      </w:r>
      <w:r w:rsidRPr="00F41B18">
        <w:t xml:space="preserve">,1 </w:t>
      </w:r>
      <w:proofErr w:type="gramStart"/>
      <w:r w:rsidRPr="00F41B18">
        <w:rPr>
          <w:rStyle w:val="StyleUnderline"/>
        </w:rPr>
        <w:t>wages</w:t>
      </w:r>
      <w:proofErr w:type="gramEnd"/>
      <w:r w:rsidRPr="00F41B18">
        <w:rPr>
          <w:rStyle w:val="StyleUnderline"/>
        </w:rPr>
        <w:t xml:space="preserve"> have been stagnant</w:t>
      </w:r>
      <w:r w:rsidRPr="00F41B18">
        <w:t xml:space="preserve"> for 40 years2 and, both before3 and throughout4 the coronavirus pandemic, many </w:t>
      </w:r>
      <w:r w:rsidRPr="00F41B18">
        <w:rPr>
          <w:rStyle w:val="StyleUnderline"/>
        </w:rPr>
        <w:t>Americans struggle to meet their basic needs</w:t>
      </w:r>
      <w:r w:rsidRPr="00F41B18">
        <w:t xml:space="preserve">. In the richest country on Earth, </w:t>
      </w:r>
      <w:r w:rsidRPr="00F41B18">
        <w:rPr>
          <w:rStyle w:val="Emphasis"/>
        </w:rPr>
        <w:t>elimination of deep poverty is attainable and long overdue</w:t>
      </w:r>
      <w:r w:rsidRPr="00F41B18">
        <w:t xml:space="preserve">. </w:t>
      </w:r>
      <w:r w:rsidRPr="00D92234">
        <w:rPr>
          <w:rStyle w:val="Emphasis"/>
        </w:rPr>
        <w:t xml:space="preserve">Historically, </w:t>
      </w:r>
      <w:r w:rsidRPr="00846C54">
        <w:rPr>
          <w:rStyle w:val="Emphasis"/>
          <w:highlight w:val="cyan"/>
        </w:rPr>
        <w:t>states have</w:t>
      </w:r>
      <w:r w:rsidRPr="00D92234">
        <w:rPr>
          <w:rStyle w:val="Emphasis"/>
        </w:rPr>
        <w:t xml:space="preserve"> played </w:t>
      </w:r>
      <w:r w:rsidRPr="00846C54">
        <w:rPr>
          <w:rStyle w:val="Emphasis"/>
          <w:highlight w:val="cyan"/>
        </w:rPr>
        <w:t>a critical role</w:t>
      </w:r>
      <w:r w:rsidRPr="00F41B18">
        <w:t xml:space="preserve"> in testing concepts </w:t>
      </w:r>
      <w:r w:rsidRPr="00D92234">
        <w:rPr>
          <w:rStyle w:val="StyleUnderline"/>
        </w:rPr>
        <w:t xml:space="preserve">to improve the lives of low-income residents and </w:t>
      </w:r>
      <w:r w:rsidRPr="00D92234">
        <w:rPr>
          <w:rStyle w:val="Emphasis"/>
        </w:rPr>
        <w:t xml:space="preserve">created a blueprint </w:t>
      </w:r>
      <w:r w:rsidRPr="00846C54">
        <w:rPr>
          <w:rStyle w:val="Emphasis"/>
          <w:highlight w:val="cyan"/>
        </w:rPr>
        <w:t>for anti-poverty measures that can be implemented nationwide</w:t>
      </w:r>
      <w:r w:rsidRPr="00F41B18">
        <w:t>.</w:t>
      </w:r>
      <w:r w:rsidRPr="00D92234">
        <w:rPr>
          <w:rStyle w:val="StyleUnderline"/>
        </w:rPr>
        <w:t xml:space="preserve">5 </w:t>
      </w:r>
      <w:r w:rsidRPr="00EF1B1A">
        <w:rPr>
          <w:rStyle w:val="StyleUnderline"/>
        </w:rPr>
        <w:t xml:space="preserve">It is time </w:t>
      </w:r>
      <w:r w:rsidRPr="00846C54">
        <w:rPr>
          <w:rStyle w:val="StyleUnderline"/>
          <w:highlight w:val="cyan"/>
        </w:rPr>
        <w:t xml:space="preserve">to </w:t>
      </w:r>
      <w:r w:rsidRPr="00EF1B1A">
        <w:rPr>
          <w:rStyle w:val="StyleUnderline"/>
        </w:rPr>
        <w:t xml:space="preserve">boldly reimagine and </w:t>
      </w:r>
      <w:r w:rsidRPr="00846C54">
        <w:rPr>
          <w:rStyle w:val="StyleUnderline"/>
          <w:highlight w:val="cyan"/>
        </w:rPr>
        <w:t xml:space="preserve">revitalize an eroded social safety net, </w:t>
      </w:r>
      <w:r w:rsidRPr="00EF1B1A">
        <w:rPr>
          <w:rStyle w:val="StyleUnderline"/>
        </w:rPr>
        <w:t xml:space="preserve">and </w:t>
      </w:r>
      <w:r w:rsidRPr="00846C54">
        <w:rPr>
          <w:rStyle w:val="Emphasis"/>
          <w:highlight w:val="cyan"/>
        </w:rPr>
        <w:t>states have an opportunity to lead by example.</w:t>
      </w:r>
    </w:p>
    <w:p w14:paraId="1BEEFBFC" w14:textId="77777777" w:rsidR="00C22526" w:rsidRDefault="00C22526" w:rsidP="00C22526">
      <w:r>
        <w:t xml:space="preserve">The devastation of the COVID-19 pandemic prompted mitigation strategies intended to get cash to people who were impacted. Federal policies such as increased unemployment insurance, an expanded and fully refundable Child Tax Credit (CTC), and stimulus checks have led to burgeoning support for permanent cash transfer programs like a guaranteed income. Additionally, </w:t>
      </w:r>
      <w:r w:rsidRPr="00DD09A1">
        <w:rPr>
          <w:rStyle w:val="StyleUnderline"/>
        </w:rPr>
        <w:t>state and local governments added to relief efforts by using federal dollars provided by both the</w:t>
      </w:r>
      <w:r>
        <w:t xml:space="preserve"> Coronavirus Aid, Relief, and Economic Security (</w:t>
      </w:r>
      <w:r w:rsidRPr="00DD09A1">
        <w:rPr>
          <w:rStyle w:val="StyleUnderline"/>
        </w:rPr>
        <w:t xml:space="preserve">CARES) Act and </w:t>
      </w:r>
      <w:r w:rsidRPr="00DD09A1">
        <w:t>the</w:t>
      </w:r>
      <w:r>
        <w:t xml:space="preserve"> American Rescue Plan Act (</w:t>
      </w:r>
      <w:r w:rsidRPr="00DD09A1">
        <w:rPr>
          <w:rStyle w:val="StyleUnderline"/>
        </w:rPr>
        <w:t>ARPA) to fund cash transfer programs of their own</w:t>
      </w:r>
      <w:r>
        <w:t>.6</w:t>
      </w:r>
    </w:p>
    <w:p w14:paraId="3A45B7DB" w14:textId="77777777" w:rsidR="00C22526" w:rsidRDefault="00C22526" w:rsidP="00C22526">
      <w:r>
        <w:t xml:space="preserve">At the same time, </w:t>
      </w:r>
      <w:r w:rsidRPr="00CD4FC5">
        <w:rPr>
          <w:rStyle w:val="StyleUnderline"/>
        </w:rPr>
        <w:t xml:space="preserve">an increasing number of </w:t>
      </w:r>
      <w:r w:rsidRPr="00846C54">
        <w:rPr>
          <w:rStyle w:val="StyleUnderline"/>
          <w:highlight w:val="cyan"/>
        </w:rPr>
        <w:t>municipalities</w:t>
      </w:r>
      <w:r w:rsidRPr="00CD4FC5">
        <w:rPr>
          <w:rStyle w:val="StyleUnderline"/>
        </w:rPr>
        <w:t xml:space="preserve"> and other units of local government across the country </w:t>
      </w:r>
      <w:r w:rsidRPr="00846C54">
        <w:rPr>
          <w:rStyle w:val="StyleUnderline"/>
          <w:highlight w:val="cyan"/>
        </w:rPr>
        <w:t>are exploring guaranteed income demonstrations</w:t>
      </w:r>
      <w:r w:rsidRPr="00CD4FC5">
        <w:rPr>
          <w:rStyle w:val="StyleUnderline"/>
        </w:rPr>
        <w:t xml:space="preserve"> in their community, and </w:t>
      </w:r>
      <w:r w:rsidRPr="00846C54">
        <w:rPr>
          <w:rStyle w:val="Emphasis"/>
          <w:highlight w:val="cyan"/>
        </w:rPr>
        <w:t>states should</w:t>
      </w:r>
      <w:r w:rsidRPr="00CD4FC5">
        <w:rPr>
          <w:rStyle w:val="Emphasis"/>
        </w:rPr>
        <w:t xml:space="preserve"> seize this opportunity to </w:t>
      </w:r>
      <w:r w:rsidRPr="00846C54">
        <w:rPr>
          <w:rStyle w:val="Emphasis"/>
          <w:highlight w:val="cyan"/>
        </w:rPr>
        <w:t>build upon this work</w:t>
      </w:r>
      <w:r>
        <w:t xml:space="preserve">. </w:t>
      </w:r>
      <w:r w:rsidRPr="00A972F0">
        <w:rPr>
          <w:rStyle w:val="StyleUnderline"/>
        </w:rPr>
        <w:t>Local guaranteed income programs, though limited in scope, produce incredibly valuable data to prove the efficacy of unconditional cash programs, which are critical for states to obtain buy-in from the necessary stakeholders</w:t>
      </w:r>
      <w:r>
        <w:t xml:space="preserve">. One limitation of local programs, however, is that they often aren’t scaled to study the potential for community-level change or other broader economic impacts. </w:t>
      </w:r>
    </w:p>
    <w:p w14:paraId="1FAB2713" w14:textId="77777777" w:rsidR="00C22526" w:rsidRDefault="00C22526" w:rsidP="00C22526">
      <w:r>
        <w:t xml:space="preserve">At the federal level, the expanded CTC being debated as part of President Biden’s American Families Plan represents a form of guaranteed income for 39 million households.7 </w:t>
      </w:r>
      <w:r w:rsidRPr="00A972F0">
        <w:rPr>
          <w:rStyle w:val="StyleUnderline"/>
        </w:rPr>
        <w:t>Unfortunately</w:t>
      </w:r>
      <w:r>
        <w:t xml:space="preserve">, </w:t>
      </w:r>
      <w:r w:rsidRPr="00846C54">
        <w:rPr>
          <w:rStyle w:val="StyleUnderline"/>
          <w:highlight w:val="cyan"/>
        </w:rPr>
        <w:t>federal conversations</w:t>
      </w:r>
      <w:r w:rsidRPr="00A972F0">
        <w:rPr>
          <w:rStyle w:val="StyleUnderline"/>
        </w:rPr>
        <w:t xml:space="preserve"> around nationwide cash transfer programs</w:t>
      </w:r>
      <w:r>
        <w:t xml:space="preserve"> – like an expanded CTC – </w:t>
      </w:r>
      <w:r w:rsidRPr="00846C54">
        <w:rPr>
          <w:rStyle w:val="StyleUnderline"/>
          <w:highlight w:val="cyan"/>
        </w:rPr>
        <w:t>have been underwhelming</w:t>
      </w:r>
      <w:r>
        <w:t xml:space="preserve">. As of December 2021, the Build Back Better Act does maintain the fully refundable nature of the expanded-CTC, allowing low- and no-income families excluded pre-pandemic to continue to receive a credit, but only a temporary extension is being considered for the increased amounts families received during the pandemic. </w:t>
      </w:r>
    </w:p>
    <w:p w14:paraId="0406C791" w14:textId="77777777" w:rsidR="00C22526" w:rsidRDefault="00C22526" w:rsidP="00C22526">
      <w:r>
        <w:t>While the Build Back Better Act has not yet passed, the stimulus checks and expanded CTC have moved the needle, breaking down barriers to moving cash policies at any level of government. We now have a much better sense of what is possible when it comes to distributing monthly cash payments, and we have data and stories of the impact these policies have in the lives of low- and middle-income earning families.</w:t>
      </w:r>
    </w:p>
    <w:p w14:paraId="1322B9FB" w14:textId="77777777" w:rsidR="00C22526" w:rsidRDefault="00C22526" w:rsidP="00C22526">
      <w:r w:rsidRPr="00846C54">
        <w:rPr>
          <w:rStyle w:val="Emphasis"/>
          <w:highlight w:val="cyan"/>
        </w:rPr>
        <w:t>In light of</w:t>
      </w:r>
      <w:r w:rsidRPr="00A972F0">
        <w:rPr>
          <w:rStyle w:val="Emphasis"/>
        </w:rPr>
        <w:t xml:space="preserve"> the </w:t>
      </w:r>
      <w:r w:rsidRPr="00846C54">
        <w:rPr>
          <w:rStyle w:val="Emphasis"/>
          <w:highlight w:val="cyan"/>
        </w:rPr>
        <w:t>current limits at the</w:t>
      </w:r>
      <w:r>
        <w:t xml:space="preserve"> local and </w:t>
      </w:r>
      <w:r w:rsidRPr="00846C54">
        <w:rPr>
          <w:rStyle w:val="Emphasis"/>
          <w:highlight w:val="cyan"/>
        </w:rPr>
        <w:t xml:space="preserve">federal level, there is an opportunity for state governments to explore ambitious, </w:t>
      </w:r>
      <w:proofErr w:type="gramStart"/>
      <w:r w:rsidRPr="00846C54">
        <w:rPr>
          <w:rStyle w:val="Emphasis"/>
          <w:highlight w:val="cyan"/>
        </w:rPr>
        <w:t>publicly-funded</w:t>
      </w:r>
      <w:proofErr w:type="gramEnd"/>
      <w:r w:rsidRPr="00846C54">
        <w:rPr>
          <w:rStyle w:val="Emphasis"/>
          <w:highlight w:val="cyan"/>
        </w:rPr>
        <w:t xml:space="preserve"> cash transfer policies</w:t>
      </w:r>
      <w:r>
        <w:t xml:space="preserve"> </w:t>
      </w:r>
      <w:r w:rsidRPr="00A972F0">
        <w:rPr>
          <w:rStyle w:val="StyleUnderline"/>
        </w:rPr>
        <w:t>that</w:t>
      </w:r>
      <w:r>
        <w:t>:</w:t>
      </w:r>
    </w:p>
    <w:p w14:paraId="36457D6B" w14:textId="77777777" w:rsidR="00C22526" w:rsidRDefault="00C22526" w:rsidP="00C22526">
      <w:r>
        <w:t xml:space="preserve">promote dignity and </w:t>
      </w:r>
      <w:r w:rsidRPr="00A972F0">
        <w:rPr>
          <w:rStyle w:val="StyleUnderline"/>
        </w:rPr>
        <w:t xml:space="preserve">greatly </w:t>
      </w:r>
      <w:r w:rsidRPr="00846C54">
        <w:rPr>
          <w:rStyle w:val="StyleUnderline"/>
          <w:highlight w:val="cyan"/>
        </w:rPr>
        <w:t>improve the lives of</w:t>
      </w:r>
      <w:r w:rsidRPr="00A972F0">
        <w:rPr>
          <w:rStyle w:val="StyleUnderline"/>
        </w:rPr>
        <w:t xml:space="preserve"> their low-income </w:t>
      </w:r>
      <w:proofErr w:type="gramStart"/>
      <w:r w:rsidRPr="00846C54">
        <w:rPr>
          <w:rStyle w:val="StyleUnderline"/>
          <w:highlight w:val="cyan"/>
        </w:rPr>
        <w:t>residents</w:t>
      </w:r>
      <w:r>
        <w:t>;</w:t>
      </w:r>
      <w:proofErr w:type="gramEnd"/>
    </w:p>
    <w:p w14:paraId="22E9444B" w14:textId="77777777" w:rsidR="00C22526" w:rsidRPr="00A972F0" w:rsidRDefault="00C22526" w:rsidP="00C22526">
      <w:pPr>
        <w:rPr>
          <w:rStyle w:val="StyleUnderline"/>
        </w:rPr>
      </w:pPr>
      <w:r w:rsidRPr="00846C54">
        <w:rPr>
          <w:rStyle w:val="StyleUnderline"/>
          <w:highlight w:val="cyan"/>
        </w:rPr>
        <w:t>add to</w:t>
      </w:r>
      <w:r w:rsidRPr="00A972F0">
        <w:rPr>
          <w:rStyle w:val="StyleUnderline"/>
        </w:rPr>
        <w:t xml:space="preserve"> a growing body of </w:t>
      </w:r>
      <w:r w:rsidRPr="00846C54">
        <w:rPr>
          <w:rStyle w:val="StyleUnderline"/>
          <w:highlight w:val="cyan"/>
        </w:rPr>
        <w:t>research</w:t>
      </w:r>
      <w:r w:rsidRPr="00A972F0">
        <w:rPr>
          <w:rStyle w:val="StyleUnderline"/>
        </w:rPr>
        <w:t xml:space="preserve"> with assessments of larger scale positive impacts across geographically and racially diverse </w:t>
      </w:r>
      <w:proofErr w:type="gramStart"/>
      <w:r w:rsidRPr="00A972F0">
        <w:rPr>
          <w:rStyle w:val="StyleUnderline"/>
        </w:rPr>
        <w:t>areas;</w:t>
      </w:r>
      <w:proofErr w:type="gramEnd"/>
    </w:p>
    <w:p w14:paraId="69EDC397" w14:textId="77777777" w:rsidR="00C22526" w:rsidRPr="00A972F0" w:rsidRDefault="00C22526" w:rsidP="00C22526">
      <w:pPr>
        <w:rPr>
          <w:rStyle w:val="StyleUnderline"/>
        </w:rPr>
      </w:pPr>
      <w:r w:rsidRPr="00846C54">
        <w:rPr>
          <w:rStyle w:val="StyleUnderline"/>
          <w:highlight w:val="cyan"/>
        </w:rPr>
        <w:t>utilize</w:t>
      </w:r>
      <w:r w:rsidRPr="00A972F0">
        <w:rPr>
          <w:rStyle w:val="StyleUnderline"/>
        </w:rPr>
        <w:t xml:space="preserve"> the </w:t>
      </w:r>
      <w:r w:rsidRPr="00846C54">
        <w:rPr>
          <w:rStyle w:val="StyleUnderline"/>
          <w:highlight w:val="cyan"/>
        </w:rPr>
        <w:t>revenue raising powers of state government</w:t>
      </w:r>
      <w:r w:rsidRPr="00A972F0">
        <w:rPr>
          <w:rStyle w:val="StyleUnderline"/>
        </w:rPr>
        <w:t xml:space="preserve">; </w:t>
      </w:r>
      <w:r w:rsidRPr="00846C54">
        <w:rPr>
          <w:rStyle w:val="StyleUnderline"/>
          <w:highlight w:val="cyan"/>
        </w:rPr>
        <w:t>and</w:t>
      </w:r>
    </w:p>
    <w:p w14:paraId="61756998" w14:textId="77777777" w:rsidR="00C22526" w:rsidRDefault="00C22526" w:rsidP="00C22526">
      <w:r w:rsidRPr="00A972F0">
        <w:rPr>
          <w:rStyle w:val="StyleUnderline"/>
        </w:rPr>
        <w:t xml:space="preserve">could be a </w:t>
      </w:r>
      <w:r w:rsidRPr="00846C54">
        <w:rPr>
          <w:rStyle w:val="Emphasis"/>
          <w:highlight w:val="cyan"/>
        </w:rPr>
        <w:t>model for a permanent federal program</w:t>
      </w:r>
      <w:r>
        <w:t>.</w:t>
      </w:r>
    </w:p>
    <w:p w14:paraId="7060E214" w14:textId="77777777" w:rsidR="00C22526" w:rsidRPr="00D92234" w:rsidRDefault="00C22526" w:rsidP="00C22526">
      <w:r>
        <w:t xml:space="preserve">We need a permanent federal guaranteed income, but </w:t>
      </w:r>
      <w:r w:rsidRPr="00846C54">
        <w:rPr>
          <w:rStyle w:val="Emphasis"/>
          <w:highlight w:val="cyan"/>
        </w:rPr>
        <w:t>political gridlock and polarization</w:t>
      </w:r>
      <w:r w:rsidRPr="00A972F0">
        <w:rPr>
          <w:rStyle w:val="Emphasis"/>
        </w:rPr>
        <w:t xml:space="preserve"> threaten to </w:t>
      </w:r>
      <w:r w:rsidRPr="00846C54">
        <w:rPr>
          <w:rStyle w:val="Emphasis"/>
          <w:highlight w:val="cyan"/>
        </w:rPr>
        <w:t>frustrate</w:t>
      </w:r>
      <w:r w:rsidRPr="00A972F0">
        <w:rPr>
          <w:rStyle w:val="Emphasis"/>
        </w:rPr>
        <w:t xml:space="preserve"> attempts at </w:t>
      </w:r>
      <w:r w:rsidRPr="00846C54">
        <w:rPr>
          <w:rStyle w:val="Emphasis"/>
          <w:highlight w:val="cyan"/>
        </w:rPr>
        <w:t>a federal program in the immediate term</w:t>
      </w:r>
      <w:r>
        <w:t xml:space="preserve">. </w:t>
      </w:r>
      <w:r w:rsidRPr="00846C54">
        <w:rPr>
          <w:rStyle w:val="Emphasis"/>
          <w:highlight w:val="cyan"/>
        </w:rPr>
        <w:t>States have an opportunity to push</w:t>
      </w:r>
      <w:r w:rsidRPr="00A972F0">
        <w:rPr>
          <w:rStyle w:val="Emphasis"/>
        </w:rPr>
        <w:t xml:space="preserve"> closer to </w:t>
      </w:r>
      <w:r w:rsidRPr="00D85C22">
        <w:rPr>
          <w:rStyle w:val="Emphasis"/>
        </w:rPr>
        <w:t>that</w:t>
      </w:r>
      <w:r w:rsidRPr="00A972F0">
        <w:rPr>
          <w:rStyle w:val="Emphasis"/>
        </w:rPr>
        <w:t xml:space="preserve"> ideal </w:t>
      </w:r>
      <w:r w:rsidRPr="00846C54">
        <w:rPr>
          <w:rStyle w:val="Emphasis"/>
          <w:highlight w:val="cyan"/>
        </w:rPr>
        <w:t>with large scale, publicly funded, permanent programs of their own that will provide essential data and experience toward the realization of a federal program</w:t>
      </w:r>
      <w:r w:rsidRPr="00A972F0">
        <w:rPr>
          <w:rStyle w:val="Emphasis"/>
        </w:rPr>
        <w:t>.</w:t>
      </w:r>
      <w:r>
        <w:t xml:space="preserve"> This guide seeks to arm state-level advocates and policymakers with information regarding the choice points in program design, the positive impacts shown by existing research, and special considerations for states including options for guaranteed income implementation, interactions with existing public benefits programs, opportunities for public funding, and promoting racial equity.</w:t>
      </w:r>
    </w:p>
    <w:p w14:paraId="4FCE0EC1" w14:textId="77777777" w:rsidR="00C22526" w:rsidRDefault="00C22526" w:rsidP="00C22526"/>
    <w:p w14:paraId="2F18D4C3" w14:textId="77777777" w:rsidR="00C22526" w:rsidRDefault="00C22526" w:rsidP="00C22526">
      <w:pPr>
        <w:pStyle w:val="Heading3"/>
      </w:pPr>
      <w:r>
        <w:t>2NC---Follow-on</w:t>
      </w:r>
    </w:p>
    <w:p w14:paraId="66A6FDBA" w14:textId="77777777" w:rsidR="00C22526" w:rsidRDefault="00C22526" w:rsidP="00C22526">
      <w:pPr>
        <w:pStyle w:val="Heading4"/>
      </w:pPr>
      <w:r>
        <w:t xml:space="preserve">Counterplan leads to federal </w:t>
      </w:r>
      <w:proofErr w:type="gramStart"/>
      <w:r>
        <w:t>follow-on</w:t>
      </w:r>
      <w:proofErr w:type="gramEnd"/>
    </w:p>
    <w:p w14:paraId="2F60ADF3" w14:textId="77777777" w:rsidR="00C22526" w:rsidRPr="001C0690" w:rsidRDefault="00C22526" w:rsidP="00C22526">
      <w:r w:rsidRPr="000525CD">
        <w:t xml:space="preserve">Nolan </w:t>
      </w:r>
      <w:r w:rsidRPr="000525CD">
        <w:rPr>
          <w:rStyle w:val="Style13ptBold"/>
        </w:rPr>
        <w:t>Downey 22</w:t>
      </w:r>
      <w:r w:rsidRPr="000525CD">
        <w:t>, Staff Attorney for the Legal Impact Network at the Shriver Center on Poverty Law. Economic Security Project. April 13. "Guaranteed Income</w:t>
      </w:r>
      <w:r>
        <w:t>: States Lead the Way in Reimagining the Social Safety Net”</w:t>
      </w:r>
      <w:r w:rsidRPr="000525CD">
        <w:t xml:space="preserve"> </w:t>
      </w:r>
      <w:hyperlink r:id="rId11" w:history="1">
        <w:r w:rsidRPr="002F76AE">
          <w:rPr>
            <w:rStyle w:val="Hyperlink"/>
          </w:rPr>
          <w:t>https://economicsecurityproject.org/resource/states-lead/</w:t>
        </w:r>
      </w:hyperlink>
      <w:r>
        <w:t xml:space="preserve"> //</w:t>
      </w:r>
      <w:proofErr w:type="spellStart"/>
      <w:proofErr w:type="gramStart"/>
      <w:r>
        <w:t>pipk</w:t>
      </w:r>
      <w:proofErr w:type="spellEnd"/>
      <w:proofErr w:type="gramEnd"/>
    </w:p>
    <w:p w14:paraId="2AFE13E7" w14:textId="77777777" w:rsidR="00C22526" w:rsidRDefault="00C22526" w:rsidP="00C22526">
      <w:r>
        <w:t>Conclusion</w:t>
      </w:r>
    </w:p>
    <w:p w14:paraId="704E497A" w14:textId="77777777" w:rsidR="00C22526" w:rsidRDefault="00C22526" w:rsidP="00C22526">
      <w:r>
        <w:t xml:space="preserve">The legacy of so-called “welfare reform” and </w:t>
      </w:r>
      <w:r w:rsidRPr="00E220B4">
        <w:rPr>
          <w:rStyle w:val="StyleUnderline"/>
        </w:rPr>
        <w:t>decades of disinvestment have resulted in a social safety net that perpetuates racism and is fundamentally incapable of allowing people to meet their basic needs and live with dignity</w:t>
      </w:r>
      <w:r>
        <w:t xml:space="preserve">. </w:t>
      </w:r>
      <w:r w:rsidRPr="00E220B4">
        <w:rPr>
          <w:rStyle w:val="StyleUnderline"/>
        </w:rPr>
        <w:t>It is time to boldly reimagine the social safety net, eliminate deep poverty and provide stability to middle income households by implementing a guaranteed income</w:t>
      </w:r>
      <w:r>
        <w:t xml:space="preserve">. </w:t>
      </w:r>
      <w:r w:rsidRPr="00E220B4">
        <w:rPr>
          <w:rStyle w:val="Emphasis"/>
        </w:rPr>
        <w:t>Ultimately, a federal program should be vigorously pursued, but a mass movement needs to be built to overcome gridlock at the federal level. States have a vital role to play as leaders in building public policy. Through creation of state-level guaranteed income programs</w:t>
      </w:r>
      <w:r>
        <w:t xml:space="preserve"> funded through equitably raised revenue, </w:t>
      </w:r>
      <w:r w:rsidRPr="00E220B4">
        <w:rPr>
          <w:rStyle w:val="StyleUnderline"/>
        </w:rPr>
        <w:t>states can progress toward economic justice</w:t>
      </w:r>
      <w:r>
        <w:t xml:space="preserve"> for their lowest-income residents regardless of employment status, supplement the existing safety net, </w:t>
      </w:r>
      <w:r w:rsidRPr="00E220B4">
        <w:rPr>
          <w:rStyle w:val="Emphasis"/>
        </w:rPr>
        <w:t>and build necessary momentum toward a federal program</w:t>
      </w:r>
      <w:r>
        <w:t xml:space="preserve"> needed to meet current and coming economic challenges.</w:t>
      </w:r>
    </w:p>
    <w:p w14:paraId="0665AEE1" w14:textId="77777777" w:rsidR="00C22526" w:rsidRDefault="00C22526" w:rsidP="00C22526"/>
    <w:p w14:paraId="05F2B466" w14:textId="77777777" w:rsidR="00C22526" w:rsidRDefault="00C22526" w:rsidP="00C22526">
      <w:pPr>
        <w:pStyle w:val="Heading4"/>
      </w:pPr>
      <w:r>
        <w:t xml:space="preserve">Counterplan leads to federal follow-on and avoids the link to </w:t>
      </w:r>
      <w:proofErr w:type="gramStart"/>
      <w:r>
        <w:t>politics</w:t>
      </w:r>
      <w:proofErr w:type="gramEnd"/>
    </w:p>
    <w:p w14:paraId="4AFF6B8B" w14:textId="77777777" w:rsidR="00C22526" w:rsidRDefault="00C22526" w:rsidP="00C22526">
      <w:r w:rsidRPr="0036560A">
        <w:t xml:space="preserve">Michael W. </w:t>
      </w:r>
      <w:r w:rsidRPr="0036560A">
        <w:rPr>
          <w:rStyle w:val="Style13ptBold"/>
        </w:rPr>
        <w:t xml:space="preserve">Howard </w:t>
      </w:r>
      <w:r>
        <w:rPr>
          <w:rStyle w:val="Style13ptBold"/>
        </w:rPr>
        <w:t>18</w:t>
      </w:r>
      <w:r w:rsidRPr="0036560A">
        <w:t>, professor of philosophy at the University of Maine. "Universal Basic Income: Policy Options at National, State, and Local Levels"</w:t>
      </w:r>
      <w:r>
        <w:t xml:space="preserve">. Maine Policy Review. Volume 27, Issue 2. </w:t>
      </w:r>
      <w:hyperlink r:id="rId12" w:history="1">
        <w:r w:rsidRPr="00525FE7">
          <w:rPr>
            <w:rStyle w:val="Hyperlink"/>
          </w:rPr>
          <w:t>https://digitalcommons.library.umaine.edu/cgi/viewcontent.cgi?article=1816&amp;context=mpr</w:t>
        </w:r>
      </w:hyperlink>
      <w:r>
        <w:t xml:space="preserve"> //</w:t>
      </w:r>
      <w:proofErr w:type="spellStart"/>
      <w:r>
        <w:t>pipk</w:t>
      </w:r>
      <w:proofErr w:type="spellEnd"/>
    </w:p>
    <w:p w14:paraId="43CDA011" w14:textId="77777777" w:rsidR="00C22526" w:rsidRDefault="00C22526" w:rsidP="00C22526">
      <w:r>
        <w:t xml:space="preserve">Are basic-income policy proposals relevant at the state or local level? Alaska’s Permanent Fund Dividend illustrates how </w:t>
      </w:r>
      <w:r w:rsidRPr="006A7539">
        <w:rPr>
          <w:rStyle w:val="StyleUnderline"/>
        </w:rPr>
        <w:t>states can create dividends from sovereign wealth funds, or</w:t>
      </w:r>
      <w:r>
        <w:t xml:space="preserve"> more </w:t>
      </w:r>
      <w:r w:rsidRPr="006A7539">
        <w:rPr>
          <w:rStyle w:val="StyleUnderline"/>
        </w:rPr>
        <w:t xml:space="preserve">directly from taxation of the use of common assets. </w:t>
      </w:r>
      <w:r>
        <w:t xml:space="preserve">But what about resource-poor states like Maine? Gary </w:t>
      </w:r>
      <w:proofErr w:type="spellStart"/>
      <w:r>
        <w:t>Flomenhaft</w:t>
      </w:r>
      <w:proofErr w:type="spellEnd"/>
      <w:r>
        <w:t xml:space="preserve"> (2012) calculated that </w:t>
      </w:r>
      <w:r w:rsidRPr="006A7539">
        <w:rPr>
          <w:rStyle w:val="Emphasis"/>
        </w:rPr>
        <w:t>even</w:t>
      </w:r>
      <w:r>
        <w:t xml:space="preserve"> Vermont, also </w:t>
      </w:r>
      <w:r w:rsidRPr="006A7539">
        <w:rPr>
          <w:rStyle w:val="Emphasis"/>
        </w:rPr>
        <w:t>a resource-poor state</w:t>
      </w:r>
      <w:r>
        <w:t xml:space="preserve">, </w:t>
      </w:r>
      <w:r w:rsidRPr="006A7539">
        <w:rPr>
          <w:rStyle w:val="Emphasis"/>
        </w:rPr>
        <w:t>has enough resources that</w:t>
      </w:r>
      <w:r>
        <w:t xml:space="preserve">, if all the rents were taxed, and the revenue distributed as dividends, </w:t>
      </w:r>
      <w:r w:rsidRPr="006A7539">
        <w:rPr>
          <w:rStyle w:val="Emphasis"/>
        </w:rPr>
        <w:t>every citizen could receive</w:t>
      </w:r>
      <w:r>
        <w:t xml:space="preserve"> between $1,900 and </w:t>
      </w:r>
      <w:r w:rsidRPr="006A7539">
        <w:rPr>
          <w:rStyle w:val="Emphasis"/>
        </w:rPr>
        <w:t>over $10,000 annually</w:t>
      </w:r>
      <w:r>
        <w:t>. Of course, clawing back these resources after having turned them over to private companies would face major political challenges.</w:t>
      </w:r>
    </w:p>
    <w:p w14:paraId="42828D95" w14:textId="77777777" w:rsidR="00C22526" w:rsidRDefault="00C22526" w:rsidP="00C22526">
      <w:r>
        <w:t xml:space="preserve">A more modest, partial basic income could be created at the state level in several ways. </w:t>
      </w:r>
      <w:r w:rsidRPr="006A7539">
        <w:rPr>
          <w:rStyle w:val="StyleUnderline"/>
        </w:rPr>
        <w:t>A state-level carbon tax</w:t>
      </w:r>
      <w:r>
        <w:t xml:space="preserve">, desirable </w:t>
      </w:r>
      <w:proofErr w:type="gramStart"/>
      <w:r>
        <w:t xml:space="preserve">as a way </w:t>
      </w:r>
      <w:r w:rsidRPr="006A7539">
        <w:rPr>
          <w:rStyle w:val="StyleUnderline"/>
        </w:rPr>
        <w:t>to</w:t>
      </w:r>
      <w:proofErr w:type="gramEnd"/>
      <w:r w:rsidRPr="006A7539">
        <w:rPr>
          <w:rStyle w:val="StyleUnderline"/>
        </w:rPr>
        <w:t xml:space="preserve"> reduce fossil-fuel emissions, could yield a significant universal dividend</w:t>
      </w:r>
      <w:r>
        <w:t xml:space="preserve">, and the dividend would rectify an otherwise regressive and unpopular consumption tax. </w:t>
      </w:r>
      <w:r w:rsidRPr="006A7539">
        <w:rPr>
          <w:rStyle w:val="StyleUnderline"/>
        </w:rPr>
        <w:t>A carbon tax with progressive tax reductions has been implemented successfully</w:t>
      </w:r>
      <w:r>
        <w:t xml:space="preserve"> in British Columbia (</w:t>
      </w:r>
      <w:proofErr w:type="spellStart"/>
      <w:r>
        <w:t>Durning</w:t>
      </w:r>
      <w:proofErr w:type="spellEnd"/>
      <w:r>
        <w:t xml:space="preserve"> and Bauman 2014).</w:t>
      </w:r>
    </w:p>
    <w:p w14:paraId="257E6C11" w14:textId="77777777" w:rsidR="00C22526" w:rsidRPr="00FE6BEE" w:rsidRDefault="00C22526" w:rsidP="00C22526">
      <w:r w:rsidRPr="006A7539">
        <w:rPr>
          <w:rStyle w:val="StyleUnderline"/>
        </w:rPr>
        <w:t>The earned income tax credit, which exists at the state</w:t>
      </w:r>
      <w:r>
        <w:t xml:space="preserve"> as well as the federal </w:t>
      </w:r>
      <w:r w:rsidRPr="006A7539">
        <w:rPr>
          <w:rStyle w:val="StyleUnderline"/>
        </w:rPr>
        <w:t>level, could be made refundable</w:t>
      </w:r>
      <w:r>
        <w:t xml:space="preserve">. That is, </w:t>
      </w:r>
      <w:r w:rsidRPr="006A7539">
        <w:rPr>
          <w:rStyle w:val="StyleUnderline"/>
        </w:rPr>
        <w:t>those without earned income would receive a credit, increasing their income when it falls below a minimum</w:t>
      </w:r>
      <w:r>
        <w:t xml:space="preserve">. It is unlikely that refundable tax credits or carbon taxes at the state level could be large enough to adequately address either the environmental requirements or the income needs, but </w:t>
      </w:r>
      <w:r w:rsidRPr="006A7539">
        <w:rPr>
          <w:rStyle w:val="Emphasis"/>
        </w:rPr>
        <w:t>policies at the state level can pave the way for more adequate policies at the federal level, when the political environment there becomes more favorable</w:t>
      </w:r>
      <w:r>
        <w:t>.</w:t>
      </w:r>
    </w:p>
    <w:p w14:paraId="7E0480F8" w14:textId="77777777" w:rsidR="00C22526" w:rsidRDefault="00C22526" w:rsidP="00C22526">
      <w:pPr>
        <w:pStyle w:val="Heading3"/>
      </w:pPr>
      <w:r>
        <w:t>2NC---Funding</w:t>
      </w:r>
    </w:p>
    <w:p w14:paraId="0DD49E29" w14:textId="77777777" w:rsidR="00C22526" w:rsidRDefault="00C22526" w:rsidP="00C22526">
      <w:pPr>
        <w:pStyle w:val="Heading4"/>
      </w:pPr>
      <w:r>
        <w:t xml:space="preserve">Existing federal funding solves in the short-term and long-term progressive tax increases guarantees </w:t>
      </w:r>
      <w:proofErr w:type="gramStart"/>
      <w:r>
        <w:t>sustainability</w:t>
      </w:r>
      <w:proofErr w:type="gramEnd"/>
    </w:p>
    <w:p w14:paraId="30C44C4F" w14:textId="77777777" w:rsidR="00C22526" w:rsidRPr="001C0690" w:rsidRDefault="00C22526" w:rsidP="00C22526">
      <w:r w:rsidRPr="000525CD">
        <w:t xml:space="preserve">Nolan </w:t>
      </w:r>
      <w:r w:rsidRPr="000525CD">
        <w:rPr>
          <w:rStyle w:val="Style13ptBold"/>
        </w:rPr>
        <w:t>Downey 22</w:t>
      </w:r>
      <w:r w:rsidRPr="000525CD">
        <w:t>, Staff Attorney for the Legal Impact Network at the Shriver Center on Poverty Law. Economic Security Project. April 13. "Guaranteed Income</w:t>
      </w:r>
      <w:r>
        <w:t>: States Lead the Way in Reimagining the Social Safety Net”</w:t>
      </w:r>
      <w:r w:rsidRPr="000525CD">
        <w:t xml:space="preserve"> </w:t>
      </w:r>
      <w:hyperlink r:id="rId13" w:history="1">
        <w:r w:rsidRPr="002F76AE">
          <w:rPr>
            <w:rStyle w:val="Hyperlink"/>
          </w:rPr>
          <w:t>https://economicsecurityproject.org/resource/states-lead/</w:t>
        </w:r>
      </w:hyperlink>
      <w:r>
        <w:t xml:space="preserve"> //</w:t>
      </w:r>
      <w:proofErr w:type="spellStart"/>
      <w:proofErr w:type="gramStart"/>
      <w:r>
        <w:t>pipk</w:t>
      </w:r>
      <w:proofErr w:type="spellEnd"/>
      <w:proofErr w:type="gramEnd"/>
    </w:p>
    <w:p w14:paraId="75B03C20" w14:textId="77777777" w:rsidR="00C22526" w:rsidRDefault="00C22526" w:rsidP="00C22526">
      <w:r>
        <w:t xml:space="preserve">To date, most guaranteed income programs have been funded by private philanthropic dollars. </w:t>
      </w:r>
      <w:r w:rsidRPr="00A861F6">
        <w:rPr>
          <w:rStyle w:val="StyleUnderline"/>
        </w:rPr>
        <w:t>As state-level stakeholders look at opportunities to scale these programs, private donations will not be sufficient to sustain larger programs.</w:t>
      </w:r>
      <w:r>
        <w:t xml:space="preserve"> </w:t>
      </w:r>
    </w:p>
    <w:p w14:paraId="04FF9822" w14:textId="77777777" w:rsidR="00C22526" w:rsidRDefault="00C22526" w:rsidP="00C22526">
      <w:r w:rsidRPr="00A861F6">
        <w:rPr>
          <w:rStyle w:val="Emphasis"/>
        </w:rPr>
        <w:t>In the short term, there are opportunities to utilize federal dollars</w:t>
      </w:r>
      <w:r>
        <w:t xml:space="preserve"> from various COVID relief efforts, particularly funding from the American Rescue Plan Act (ARPA). ARPA provides $350 billion in funding to states, counties, metropolitan cities, municipal governments,72 with the first half of funding being received in May 2021, and the second half to arrive in 2022. Units of government receiving these funds have tremendous discretion to utilize the funds to:</w:t>
      </w:r>
    </w:p>
    <w:p w14:paraId="5C7BF13E" w14:textId="77777777" w:rsidR="00C22526" w:rsidRDefault="00C22526" w:rsidP="00C22526">
      <w:r>
        <w:t xml:space="preserve">Support public health </w:t>
      </w:r>
      <w:proofErr w:type="gramStart"/>
      <w:r>
        <w:t>expenditures;</w:t>
      </w:r>
      <w:proofErr w:type="gramEnd"/>
    </w:p>
    <w:p w14:paraId="19E2CDC3" w14:textId="77777777" w:rsidR="00C22526" w:rsidRDefault="00C22526" w:rsidP="00C22526">
      <w:r>
        <w:t xml:space="preserve">Address negative economic impacts caused by the public health </w:t>
      </w:r>
      <w:proofErr w:type="gramStart"/>
      <w:r>
        <w:t>emergency;</w:t>
      </w:r>
      <w:proofErr w:type="gramEnd"/>
    </w:p>
    <w:p w14:paraId="2CFC7D72" w14:textId="77777777" w:rsidR="00C22526" w:rsidRDefault="00C22526" w:rsidP="00C22526">
      <w:r>
        <w:t xml:space="preserve">Replace lost public sector </w:t>
      </w:r>
      <w:proofErr w:type="gramStart"/>
      <w:r>
        <w:t>revenue;</w:t>
      </w:r>
      <w:proofErr w:type="gramEnd"/>
    </w:p>
    <w:p w14:paraId="6D653C74" w14:textId="77777777" w:rsidR="00C22526" w:rsidRDefault="00C22526" w:rsidP="00C22526">
      <w:r>
        <w:t xml:space="preserve">Provide premium pay for essential workers; and </w:t>
      </w:r>
    </w:p>
    <w:p w14:paraId="5FCD1743" w14:textId="77777777" w:rsidR="00C22526" w:rsidRDefault="00C22526" w:rsidP="00C22526">
      <w:r>
        <w:t xml:space="preserve">Invest in water, sewer, and broadband infrastructure. </w:t>
      </w:r>
    </w:p>
    <w:p w14:paraId="5A025F8C" w14:textId="77777777" w:rsidR="00C22526" w:rsidRDefault="00C22526" w:rsidP="00C22526">
      <w:r>
        <w:t xml:space="preserve">In its interim final rule </w:t>
      </w:r>
      <w:proofErr w:type="gramStart"/>
      <w:r>
        <w:t>guidance</w:t>
      </w:r>
      <w:proofErr w:type="gramEnd"/>
      <w:r>
        <w:t xml:space="preserve"> the Treasury Department states that:</w:t>
      </w:r>
    </w:p>
    <w:p w14:paraId="28186184" w14:textId="77777777" w:rsidR="00C22526" w:rsidRDefault="00C22526" w:rsidP="00C22526">
      <w:r>
        <w:t xml:space="preserve">a cash transfer program may focus on unemployed workers or low- and moderate-income families, which have faced disproportionate economic harms due to the pandemic. Cash transfers must be reasonably proportional to the negative economic impact they are intended to address. Cash transfers grossly in excess of the amount needed to address the negative economic impact identified by the recipient would not </w:t>
      </w:r>
      <w:proofErr w:type="gramStart"/>
      <w:r>
        <w:t>be considered to be</w:t>
      </w:r>
      <w:proofErr w:type="gramEnd"/>
      <w:r>
        <w:t xml:space="preserve"> a response to the COVID-19 public health emergency or its negative impacts.73</w:t>
      </w:r>
    </w:p>
    <w:p w14:paraId="4A61CEC2" w14:textId="77777777" w:rsidR="00C22526" w:rsidRDefault="00C22526" w:rsidP="00C22526">
      <w:r>
        <w:t>In its final rule, effective April 1, 2022, Treasury maintains the interim final rule guidance and clarifies that it may be presumed that “low- and moderate-income households (as defined in the final rule), as well as households that experienced unemployment, food insecurity, or housing insecurity, experienced a negative economic impact due to the pandemic.”</w:t>
      </w:r>
      <w:proofErr w:type="gramStart"/>
      <w:r>
        <w:t>74</w:t>
      </w:r>
      <w:proofErr w:type="gramEnd"/>
    </w:p>
    <w:p w14:paraId="2545BF18" w14:textId="77777777" w:rsidR="00C22526" w:rsidRDefault="00C22526" w:rsidP="00C22526">
      <w:r>
        <w:t xml:space="preserve">While this </w:t>
      </w:r>
      <w:r w:rsidRPr="00026553">
        <w:rPr>
          <w:rStyle w:val="StyleUnderline"/>
        </w:rPr>
        <w:t>guidance</w:t>
      </w:r>
      <w:r>
        <w:t xml:space="preserve"> is somewhat limiting, it </w:t>
      </w:r>
      <w:r w:rsidRPr="00026553">
        <w:rPr>
          <w:rStyle w:val="StyleUnderline"/>
        </w:rPr>
        <w:t xml:space="preserve">does provide an opening for states to fund cash transfers to residents most impacted by the </w:t>
      </w:r>
      <w:proofErr w:type="gramStart"/>
      <w:r w:rsidRPr="00026553">
        <w:rPr>
          <w:rStyle w:val="StyleUnderline"/>
        </w:rPr>
        <w:t>pandemic, and</w:t>
      </w:r>
      <w:proofErr w:type="gramEnd"/>
      <w:r w:rsidRPr="00026553">
        <w:rPr>
          <w:rStyle w:val="StyleUnderline"/>
        </w:rPr>
        <w:t xml:space="preserve"> could be supplemented with other state dollars to encompass a broader population.</w:t>
      </w:r>
      <w:r>
        <w:t xml:space="preserve"> States should think about how best to maximize these dollars so that they get to people most in need.75 For more information on potential sources of public funds, consult this Economic Security Project Fact Sheet.</w:t>
      </w:r>
    </w:p>
    <w:p w14:paraId="7FC0D4A8" w14:textId="77777777" w:rsidR="00C22526" w:rsidRDefault="00C22526" w:rsidP="00C22526">
      <w:r w:rsidRPr="00344D24">
        <w:rPr>
          <w:rStyle w:val="StyleUnderline"/>
        </w:rPr>
        <w:t xml:space="preserve">In the long term, </w:t>
      </w:r>
      <w:proofErr w:type="gramStart"/>
      <w:r w:rsidRPr="00344D24">
        <w:rPr>
          <w:rStyle w:val="StyleUnderline"/>
        </w:rPr>
        <w:t>in order for</w:t>
      </w:r>
      <w:proofErr w:type="gramEnd"/>
      <w:r w:rsidRPr="00344D24">
        <w:rPr>
          <w:rStyle w:val="StyleUnderline"/>
        </w:rPr>
        <w:t xml:space="preserve"> a state program to be permanent it must be funded by tax dollars, and those who have more should pay more</w:t>
      </w:r>
      <w:r>
        <w:t xml:space="preserve">. </w:t>
      </w:r>
      <w:r w:rsidRPr="00344D24">
        <w:rPr>
          <w:rStyle w:val="StyleUnderline"/>
        </w:rPr>
        <w:t>Guaranteed income envisions not only a program that provides a basic standard of living for people struggling most, but a program that is redistributive – funded by taxation of people and entities who have the most income and wealth (and the least need) – and distributed to people with the least income and wealth and most need, thus shrinking inequality through equitable revenue raising and redistribution.</w:t>
      </w:r>
      <w:r>
        <w:t xml:space="preserve"> In order to fund a guaranteed income for its no-income, low-income and middle-income residents, </w:t>
      </w:r>
      <w:r w:rsidRPr="00846C54">
        <w:rPr>
          <w:rStyle w:val="Emphasis"/>
          <w:highlight w:val="cyan"/>
        </w:rPr>
        <w:t>states should examine the full breadth of their revenue raising powers and increase tax burdens on the richest individuals and corporations, and could consider taxing wealth, income, or both</w:t>
      </w:r>
      <w:r>
        <w:t xml:space="preserve">. The federal government utilizes a graduated tax rate where income within higher brackets is taxed at a greater percentage than income in lower brackets – generally equating toward those with higher income paying more money in taxes. However, </w:t>
      </w:r>
      <w:r w:rsidRPr="00B85036">
        <w:rPr>
          <w:rStyle w:val="Emphasis"/>
        </w:rPr>
        <w:t>some states have regressive flat income taxes, or no income tax at all, and could consider funding a guaranteed income through implementation of a graduated tax system to more equitably tax the income of high earners in the state</w:t>
      </w:r>
      <w:r>
        <w:t xml:space="preserve">.76 </w:t>
      </w:r>
      <w:r w:rsidRPr="00B85036">
        <w:rPr>
          <w:rStyle w:val="Emphasis"/>
        </w:rPr>
        <w:t>For other states, instituting a state wealth tax – perhaps through the form of an estate or inheritance tax – could be a viable strategy for public funding</w:t>
      </w:r>
      <w:r>
        <w:t>.77</w:t>
      </w:r>
    </w:p>
    <w:p w14:paraId="23AB222D" w14:textId="77777777" w:rsidR="00C22526" w:rsidRDefault="00C22526" w:rsidP="00C22526">
      <w:r>
        <w:t>Wage earners or not, every person deserves to be able to meet their basic needs, and through these programs states can make a profound statement of compassion for their lowest-income individuals regardless of employment status and ensure that those who are working finally begin to reap greater rewards from the massive wealth they are creating.</w:t>
      </w:r>
    </w:p>
    <w:p w14:paraId="774AD69C" w14:textId="77777777" w:rsidR="00C22526" w:rsidRDefault="00C22526" w:rsidP="00C22526"/>
    <w:p w14:paraId="0D181CB4" w14:textId="77777777" w:rsidR="00C22526" w:rsidRPr="00D07B80" w:rsidRDefault="00C22526" w:rsidP="00C22526">
      <w:pPr>
        <w:pStyle w:val="Heading3"/>
      </w:pPr>
      <w:r w:rsidRPr="00D07B80">
        <w:t>2</w:t>
      </w:r>
      <w:r>
        <w:t>NC---AT: Benefits Trade-off DA</w:t>
      </w:r>
    </w:p>
    <w:p w14:paraId="7111ECF2" w14:textId="77777777" w:rsidR="00C22526" w:rsidRDefault="00C22526" w:rsidP="00C22526">
      <w:pPr>
        <w:pStyle w:val="Heading4"/>
      </w:pPr>
      <w:r>
        <w:t xml:space="preserve">Counterplan doesn’t hurt other benefits but the </w:t>
      </w:r>
      <w:proofErr w:type="spellStart"/>
      <w:r>
        <w:t>aff</w:t>
      </w:r>
      <w:proofErr w:type="spellEnd"/>
      <w:r>
        <w:t xml:space="preserve"> does. Non-targeted guaranteed income means the plan pushes people off Medicaid.</w:t>
      </w:r>
    </w:p>
    <w:p w14:paraId="57BBEBA9" w14:textId="77777777" w:rsidR="00C22526" w:rsidRPr="001C0690" w:rsidRDefault="00C22526" w:rsidP="00C22526">
      <w:r w:rsidRPr="000525CD">
        <w:t xml:space="preserve">Nolan </w:t>
      </w:r>
      <w:r w:rsidRPr="000525CD">
        <w:rPr>
          <w:rStyle w:val="Style13ptBold"/>
        </w:rPr>
        <w:t>Downey 22</w:t>
      </w:r>
      <w:r w:rsidRPr="000525CD">
        <w:t>, Staff Attorney for the Legal Impact Network at the Shriver Center on Poverty Law. Economic Security Project. April 13. "Guaranteed Income</w:t>
      </w:r>
      <w:r>
        <w:t>: States Lead the Way in Reimagining the Social Safety Net”</w:t>
      </w:r>
      <w:r w:rsidRPr="000525CD">
        <w:t xml:space="preserve"> </w:t>
      </w:r>
      <w:hyperlink r:id="rId14" w:history="1">
        <w:r w:rsidRPr="002F76AE">
          <w:rPr>
            <w:rStyle w:val="Hyperlink"/>
          </w:rPr>
          <w:t>https://economicsecurityproject.org/resource/states-lead/</w:t>
        </w:r>
      </w:hyperlink>
      <w:r>
        <w:t xml:space="preserve"> //</w:t>
      </w:r>
      <w:proofErr w:type="spellStart"/>
      <w:proofErr w:type="gramStart"/>
      <w:r>
        <w:t>pipk</w:t>
      </w:r>
      <w:proofErr w:type="spellEnd"/>
      <w:proofErr w:type="gramEnd"/>
    </w:p>
    <w:p w14:paraId="5F4C9406" w14:textId="77777777" w:rsidR="00C22526" w:rsidRDefault="00C22526" w:rsidP="00C22526">
      <w:r>
        <w:t>State Considerations: Benefits Protection</w:t>
      </w:r>
    </w:p>
    <w:p w14:paraId="17D79E06" w14:textId="77777777" w:rsidR="00C22526" w:rsidRDefault="00C22526" w:rsidP="00C22526">
      <w:r w:rsidRPr="00932477">
        <w:rPr>
          <w:rStyle w:val="StyleUnderline"/>
        </w:rPr>
        <w:t xml:space="preserve">A </w:t>
      </w:r>
      <w:r w:rsidRPr="00846C54">
        <w:rPr>
          <w:rStyle w:val="StyleUnderline"/>
          <w:highlight w:val="cyan"/>
        </w:rPr>
        <w:t>guaranteed income</w:t>
      </w:r>
      <w:r w:rsidRPr="00932477">
        <w:rPr>
          <w:rStyle w:val="StyleUnderline"/>
        </w:rPr>
        <w:t xml:space="preserve"> intended to boost the economic security and well-being of recipients while reducing inequality </w:t>
      </w:r>
      <w:r w:rsidRPr="00846C54">
        <w:rPr>
          <w:rStyle w:val="StyleUnderline"/>
          <w:highlight w:val="cyan"/>
        </w:rPr>
        <w:t xml:space="preserve">will </w:t>
      </w:r>
      <w:r w:rsidRPr="00846C54">
        <w:rPr>
          <w:rStyle w:val="Emphasis"/>
          <w:highlight w:val="cyan"/>
        </w:rPr>
        <w:t>supplement the existing social safety net rather than replace it.</w:t>
      </w:r>
      <w:r>
        <w:t xml:space="preserve"> A feature of the social safety net is that many programs are “means-tested” meaning that eligibility for receipt of a particular benefit (such as nutrition or medical assistance) is determined by assessing whether a person or household has the means (income and resources) to meet basic needs without assistance.55 </w:t>
      </w:r>
      <w:r w:rsidRPr="00846C54">
        <w:rPr>
          <w:rStyle w:val="StyleUnderline"/>
          <w:highlight w:val="cyan"/>
        </w:rPr>
        <w:t xml:space="preserve">Because of means-testing, any additional income </w:t>
      </w:r>
      <w:r w:rsidRPr="00E030C1">
        <w:rPr>
          <w:rStyle w:val="StyleUnderline"/>
        </w:rPr>
        <w:t>from</w:t>
      </w:r>
      <w:r w:rsidRPr="00932477">
        <w:rPr>
          <w:rStyle w:val="StyleUnderline"/>
        </w:rPr>
        <w:t xml:space="preserve"> a guaranteed income program </w:t>
      </w:r>
      <w:r w:rsidRPr="00846C54">
        <w:rPr>
          <w:rStyle w:val="StyleUnderline"/>
          <w:highlight w:val="cyan"/>
        </w:rPr>
        <w:t>could impact eligibility for other programs</w:t>
      </w:r>
      <w:r w:rsidRPr="00932477">
        <w:rPr>
          <w:rStyle w:val="StyleUnderline"/>
        </w:rPr>
        <w:t xml:space="preserve">. As such, advocates and state decisionmakers should pay careful attention to how an infusion of cash could affect guaranteed income recipients’ eligibility for other means-tested benefits programs </w:t>
      </w:r>
      <w:r w:rsidRPr="00846C54">
        <w:rPr>
          <w:rStyle w:val="StyleUnderline"/>
          <w:highlight w:val="cyan"/>
        </w:rPr>
        <w:t>such as SNAP, TANF, Medicaid, and housing</w:t>
      </w:r>
      <w:r w:rsidRPr="00932477">
        <w:rPr>
          <w:rStyle w:val="StyleUnderline"/>
        </w:rPr>
        <w:t xml:space="preserve"> benefits</w:t>
      </w:r>
      <w:r>
        <w:t>.</w:t>
      </w:r>
    </w:p>
    <w:p w14:paraId="45D5F89D" w14:textId="77777777" w:rsidR="00C22526" w:rsidRDefault="00C22526" w:rsidP="00C22526">
      <w:r>
        <w:t xml:space="preserve">Administrators of privately funded </w:t>
      </w:r>
      <w:r w:rsidRPr="00297AF0">
        <w:rPr>
          <w:rStyle w:val="StyleUnderline"/>
        </w:rPr>
        <w:t>guaranteed income demonstrations have been able to work with state and local agency officials to ensure benefits-granting agencies characterize guaranteed income payments in a way that does not threaten eligibility</w:t>
      </w:r>
      <w:r>
        <w:t xml:space="preserve">.56 However, in some cases, excluding guaranteed income payments from consideration becomes more challenging if those payments are publicly funded. </w:t>
      </w:r>
      <w:r w:rsidRPr="00297AF0">
        <w:rPr>
          <w:rStyle w:val="StyleUnderline"/>
        </w:rPr>
        <w:t>Other relevant factors include the frequency with which payments are received and the state’s implementation strategy</w:t>
      </w:r>
      <w:r>
        <w:t xml:space="preserve">. </w:t>
      </w:r>
    </w:p>
    <w:p w14:paraId="3CAF6DDC" w14:textId="77777777" w:rsidR="00C22526" w:rsidRDefault="00C22526" w:rsidP="00C22526">
      <w:r>
        <w:t xml:space="preserve">Where benefits eligibility is threatened, </w:t>
      </w:r>
      <w:r w:rsidRPr="00846C54">
        <w:rPr>
          <w:rStyle w:val="StyleUnderline"/>
          <w:highlight w:val="cyan"/>
        </w:rPr>
        <w:t>states can learn</w:t>
      </w:r>
      <w:r w:rsidRPr="00297AF0">
        <w:rPr>
          <w:rStyle w:val="StyleUnderline"/>
        </w:rPr>
        <w:t xml:space="preserve"> from </w:t>
      </w:r>
      <w:r w:rsidRPr="00846C54">
        <w:rPr>
          <w:rStyle w:val="StyleUnderline"/>
          <w:highlight w:val="cyan"/>
        </w:rPr>
        <w:t>mitigation strategies</w:t>
      </w:r>
      <w:r w:rsidRPr="00297AF0">
        <w:rPr>
          <w:rStyle w:val="StyleUnderline"/>
        </w:rPr>
        <w:t xml:space="preserve"> adopted by existing guaranteed income models</w:t>
      </w:r>
      <w:r>
        <w:t xml:space="preserve">. Some demonstrations have addressed the risk to other means-tested benefits by partnering with trained public benefits counselors who help recipients navigate the byzantine rules of these systems. Other programs – including the Alaska PFD – have established a Hold Harmless Fund that seeks to replace the value of any benefits lost because of the cash received. </w:t>
      </w:r>
    </w:p>
    <w:p w14:paraId="31166E0F" w14:textId="77777777" w:rsidR="00C22526" w:rsidRPr="00872246" w:rsidRDefault="00C22526" w:rsidP="00C22526">
      <w:r>
        <w:t xml:space="preserve">The following subsections examine the potential for </w:t>
      </w:r>
      <w:r w:rsidRPr="00846C54">
        <w:rPr>
          <w:rStyle w:val="StyleUnderline"/>
          <w:highlight w:val="cyan"/>
        </w:rPr>
        <w:t>excluding</w:t>
      </w:r>
      <w:r w:rsidRPr="00297AF0">
        <w:rPr>
          <w:rStyle w:val="StyleUnderline"/>
        </w:rPr>
        <w:t xml:space="preserve"> </w:t>
      </w:r>
      <w:proofErr w:type="gramStart"/>
      <w:r w:rsidRPr="00297AF0">
        <w:rPr>
          <w:rStyle w:val="StyleUnderline"/>
        </w:rPr>
        <w:t>publicly-funded</w:t>
      </w:r>
      <w:proofErr w:type="gramEnd"/>
      <w:r w:rsidRPr="00297AF0">
        <w:rPr>
          <w:rStyle w:val="StyleUnderline"/>
        </w:rPr>
        <w:t xml:space="preserve"> </w:t>
      </w:r>
      <w:r w:rsidRPr="00846C54">
        <w:rPr>
          <w:rStyle w:val="StyleUnderline"/>
          <w:highlight w:val="cyan"/>
        </w:rPr>
        <w:t>guaranteed income</w:t>
      </w:r>
      <w:r w:rsidRPr="00297AF0">
        <w:rPr>
          <w:rStyle w:val="StyleUnderline"/>
        </w:rPr>
        <w:t xml:space="preserve"> programs </w:t>
      </w:r>
      <w:r w:rsidRPr="00846C54">
        <w:rPr>
          <w:rStyle w:val="StyleUnderline"/>
          <w:highlight w:val="cyan"/>
        </w:rPr>
        <w:t>from consideration in eligibility</w:t>
      </w:r>
      <w:r w:rsidRPr="00297AF0">
        <w:rPr>
          <w:rStyle w:val="StyleUnderline"/>
        </w:rPr>
        <w:t xml:space="preserve"> for TANF, SNAP, Medicaid, and federal housing benefits depending on the chosen implementation strategy and the frequency of the payments</w:t>
      </w:r>
      <w:r>
        <w:t xml:space="preserve">. </w:t>
      </w:r>
      <w:r w:rsidRPr="00297AF0">
        <w:rPr>
          <w:rStyle w:val="StyleUnderline"/>
        </w:rPr>
        <w:t xml:space="preserve">Although the focus of these analyses is the application of federal law, in many contexts, </w:t>
      </w:r>
      <w:r w:rsidRPr="00846C54">
        <w:rPr>
          <w:rStyle w:val="Emphasis"/>
          <w:highlight w:val="cyan"/>
        </w:rPr>
        <w:t xml:space="preserve">states </w:t>
      </w:r>
      <w:proofErr w:type="gramStart"/>
      <w:r w:rsidRPr="00846C54">
        <w:rPr>
          <w:rStyle w:val="Emphasis"/>
          <w:highlight w:val="cyan"/>
        </w:rPr>
        <w:t>have the ability to</w:t>
      </w:r>
      <w:proofErr w:type="gramEnd"/>
      <w:r w:rsidRPr="00297AF0">
        <w:rPr>
          <w:rStyle w:val="StyleUnderline"/>
        </w:rPr>
        <w:t xml:space="preserve"> further </w:t>
      </w:r>
      <w:r w:rsidRPr="00846C54">
        <w:rPr>
          <w:rStyle w:val="Emphasis"/>
          <w:highlight w:val="cyan"/>
        </w:rPr>
        <w:t>expand</w:t>
      </w:r>
      <w:r w:rsidRPr="00297AF0">
        <w:rPr>
          <w:rStyle w:val="StyleUnderline"/>
        </w:rPr>
        <w:t xml:space="preserve"> or restrict </w:t>
      </w:r>
      <w:r w:rsidRPr="00846C54">
        <w:rPr>
          <w:rStyle w:val="Emphasis"/>
          <w:highlight w:val="cyan"/>
        </w:rPr>
        <w:t>access to benefits</w:t>
      </w:r>
      <w:r>
        <w:t xml:space="preserve">. In some instances, </w:t>
      </w:r>
      <w:r w:rsidRPr="00846C54">
        <w:rPr>
          <w:rStyle w:val="StyleUnderline"/>
          <w:highlight w:val="cyan"/>
        </w:rPr>
        <w:t>federal law may provide flexibility for the exclusion of certain guaranteed income</w:t>
      </w:r>
      <w:r w:rsidRPr="00297AF0">
        <w:rPr>
          <w:rStyle w:val="StyleUnderline"/>
        </w:rPr>
        <w:t xml:space="preserve"> payments </w:t>
      </w:r>
      <w:r w:rsidRPr="00846C54">
        <w:rPr>
          <w:rStyle w:val="StyleUnderline"/>
          <w:highlight w:val="cyan"/>
        </w:rPr>
        <w:t>from consideration in income eligibility, but states have</w:t>
      </w:r>
      <w:r w:rsidRPr="00297AF0">
        <w:rPr>
          <w:rStyle w:val="StyleUnderline"/>
        </w:rPr>
        <w:t xml:space="preserve"> either forbid the use of, or </w:t>
      </w:r>
      <w:r w:rsidRPr="00846C54">
        <w:rPr>
          <w:rStyle w:val="StyleUnderline"/>
          <w:highlight w:val="cyan"/>
        </w:rPr>
        <w:t>chosen not to exercise, such flexibility</w:t>
      </w:r>
      <w:r w:rsidRPr="00846C54">
        <w:rPr>
          <w:highlight w:val="cyan"/>
        </w:rPr>
        <w:t>.</w:t>
      </w:r>
      <w:r>
        <w:t xml:space="preserve"> While this guide can serve as a useful starting place for state-level stakeholders, the Alaska PFD represents the only precedent for large </w:t>
      </w:r>
      <w:proofErr w:type="gramStart"/>
      <w:r>
        <w:t>publicly-funded</w:t>
      </w:r>
      <w:proofErr w:type="gramEnd"/>
      <w:r>
        <w:t xml:space="preserve"> state cash transfers resembling a guaranteed income. As such, there may be some areas where additional action or guidance from federal agencies will be required to ensure benefits protection.</w:t>
      </w:r>
    </w:p>
    <w:p w14:paraId="448906D2" w14:textId="77777777" w:rsidR="00C22526" w:rsidRDefault="00C22526" w:rsidP="00C22526">
      <w:r w:rsidRPr="00846C54">
        <w:rPr>
          <w:rStyle w:val="Emphasis"/>
          <w:highlight w:val="cyan"/>
        </w:rPr>
        <w:t>Federal law does not define income</w:t>
      </w:r>
      <w:r w:rsidRPr="005727C4">
        <w:rPr>
          <w:rStyle w:val="Emphasis"/>
        </w:rPr>
        <w:t xml:space="preserve"> or assets </w:t>
      </w:r>
      <w:r w:rsidRPr="00846C54">
        <w:rPr>
          <w:rStyle w:val="Emphasis"/>
          <w:highlight w:val="cyan"/>
        </w:rPr>
        <w:t>for TANF</w:t>
      </w:r>
      <w:r w:rsidRPr="005727C4">
        <w:rPr>
          <w:rStyle w:val="Emphasis"/>
        </w:rPr>
        <w:t xml:space="preserve"> purposes</w:t>
      </w:r>
      <w:r>
        <w:t xml:space="preserve">.57 </w:t>
      </w:r>
      <w:r w:rsidRPr="005727C4">
        <w:rPr>
          <w:rStyle w:val="StyleUnderline"/>
        </w:rPr>
        <w:t xml:space="preserve">As such, </w:t>
      </w:r>
      <w:r w:rsidRPr="00846C54">
        <w:rPr>
          <w:rStyle w:val="StyleUnderline"/>
          <w:highlight w:val="cyan"/>
        </w:rPr>
        <w:t>states have broad discretion</w:t>
      </w:r>
      <w:r w:rsidRPr="005727C4">
        <w:rPr>
          <w:rStyle w:val="StyleUnderline"/>
        </w:rPr>
        <w:t xml:space="preserve"> to define income and eligibility for TANF cash assistance, resulting in a wide variety of TANF eligibility thresholds and payment levels between states. </w:t>
      </w:r>
      <w:r w:rsidRPr="00846C54">
        <w:rPr>
          <w:rStyle w:val="StyleUnderline"/>
          <w:highlight w:val="cyan"/>
        </w:rPr>
        <w:t>Federal law would not prevent</w:t>
      </w:r>
      <w:r w:rsidRPr="005727C4">
        <w:rPr>
          <w:rStyle w:val="StyleUnderline"/>
        </w:rPr>
        <w:t xml:space="preserve"> publicly funded </w:t>
      </w:r>
      <w:r w:rsidRPr="00846C54">
        <w:rPr>
          <w:rStyle w:val="StyleUnderline"/>
          <w:highlight w:val="cyan"/>
        </w:rPr>
        <w:t>guaranteed income</w:t>
      </w:r>
      <w:r w:rsidRPr="005727C4">
        <w:rPr>
          <w:rStyle w:val="StyleUnderline"/>
        </w:rPr>
        <w:t xml:space="preserve"> payments </w:t>
      </w:r>
      <w:r w:rsidRPr="00846C54">
        <w:rPr>
          <w:rStyle w:val="StyleUnderline"/>
          <w:highlight w:val="cyan"/>
        </w:rPr>
        <w:t>from being excluded in</w:t>
      </w:r>
      <w:r w:rsidRPr="005727C4">
        <w:rPr>
          <w:rStyle w:val="StyleUnderline"/>
        </w:rPr>
        <w:t xml:space="preserve"> the income and asset </w:t>
      </w:r>
      <w:r w:rsidRPr="00846C54">
        <w:rPr>
          <w:rStyle w:val="StyleUnderline"/>
          <w:highlight w:val="cyan"/>
        </w:rPr>
        <w:t>eligibility</w:t>
      </w:r>
      <w:r w:rsidRPr="005727C4">
        <w:rPr>
          <w:rStyle w:val="StyleUnderline"/>
        </w:rPr>
        <w:t xml:space="preserve"> determinations for a state’s TANF program – regardless of the implementation strategy or payment frequency</w:t>
      </w:r>
      <w:r>
        <w:t xml:space="preserve">. </w:t>
      </w:r>
    </w:p>
    <w:p w14:paraId="57D78A2B" w14:textId="77777777" w:rsidR="00C22526" w:rsidRDefault="00C22526" w:rsidP="00C22526">
      <w:r>
        <w:t xml:space="preserve">Importantly, state laws or regulations could prevent such an exclusion. Some states, such as Illinois, have addressed this </w:t>
      </w:r>
      <w:proofErr w:type="gramStart"/>
      <w:r>
        <w:t>by passing</w:t>
      </w:r>
      <w:proofErr w:type="gramEnd"/>
      <w:r>
        <w:t xml:space="preserve"> state laws that would exclude payments as part of a guaranteed income research project from consideration in TANF. Others, like Louisiana, were able to make such exclusions through changes to state regulations. States should evaluate how the current state structure of countable income and eligibility in their TANF cash assistance program could be impacted by an infusion of cash.</w:t>
      </w:r>
    </w:p>
    <w:p w14:paraId="02DC7256" w14:textId="77777777" w:rsidR="00C22526" w:rsidRDefault="00C22526" w:rsidP="00C22526">
      <w:r w:rsidRPr="00A037BD">
        <w:rPr>
          <w:rStyle w:val="StyleUnderline"/>
        </w:rPr>
        <w:t xml:space="preserve">A state’s </w:t>
      </w:r>
      <w:r w:rsidRPr="0084684C">
        <w:rPr>
          <w:rStyle w:val="Emphasis"/>
        </w:rPr>
        <w:t>implementation</w:t>
      </w:r>
      <w:r w:rsidRPr="00A037BD">
        <w:rPr>
          <w:rStyle w:val="StyleUnderline"/>
        </w:rPr>
        <w:t xml:space="preserve"> strategy </w:t>
      </w:r>
      <w:r w:rsidRPr="0084684C">
        <w:rPr>
          <w:rStyle w:val="Emphasis"/>
        </w:rPr>
        <w:t>could be dispositive with regards to</w:t>
      </w:r>
      <w:r w:rsidRPr="00A037BD">
        <w:rPr>
          <w:rStyle w:val="StyleUnderline"/>
        </w:rPr>
        <w:t xml:space="preserve"> protection of </w:t>
      </w:r>
      <w:r w:rsidRPr="0084684C">
        <w:rPr>
          <w:rStyle w:val="Emphasis"/>
        </w:rPr>
        <w:t>SNAP</w:t>
      </w:r>
      <w:r w:rsidRPr="00A037BD">
        <w:rPr>
          <w:rStyle w:val="StyleUnderline"/>
        </w:rPr>
        <w:t xml:space="preserve"> benefits. For states choosing to implement a guaranteed income through state EITC expansion, federal law provides a strong case for exclusion of these payments from the income eligibility determination in SNAP, especially if paid as a lump sum</w:t>
      </w:r>
      <w:r>
        <w:t xml:space="preserve">.58 </w:t>
      </w:r>
      <w:r w:rsidRPr="009837FC">
        <w:rPr>
          <w:rStyle w:val="StyleUnderline"/>
        </w:rPr>
        <w:t>However, SNAP’s income exclusion for state and local tax refunds and credits seems to be predicated on the credits being non-recurring, so models that seek to deviate from lump-sum payments in favor of periodic payments may put SNAP eligibility at risk</w:t>
      </w:r>
      <w:r>
        <w:t xml:space="preserve">. </w:t>
      </w:r>
      <w:r w:rsidRPr="009837FC">
        <w:rPr>
          <w:rStyle w:val="Emphasis"/>
        </w:rPr>
        <w:t>For those seeking to implement a “dividend” model</w:t>
      </w:r>
      <w:r>
        <w:t xml:space="preserve">, treatment of Alaska’s Permanent Fund Dividend is instructive. </w:t>
      </w:r>
      <w:r w:rsidRPr="009837FC">
        <w:rPr>
          <w:rStyle w:val="StyleUnderline"/>
        </w:rPr>
        <w:t>Alaska counts the</w:t>
      </w:r>
      <w:r>
        <w:t xml:space="preserve"> Permanent Fund </w:t>
      </w:r>
      <w:r w:rsidRPr="009837FC">
        <w:rPr>
          <w:rStyle w:val="StyleUnderline"/>
        </w:rPr>
        <w:t>Dividend as both unearned income and a resource/asset.</w:t>
      </w:r>
      <w:r>
        <w:t xml:space="preserve"> </w:t>
      </w:r>
      <w:r w:rsidRPr="00846C54">
        <w:rPr>
          <w:rStyle w:val="StyleUnderline"/>
          <w:highlight w:val="cyan"/>
        </w:rPr>
        <w:t>To mitigate the impact</w:t>
      </w:r>
      <w:r>
        <w:t xml:space="preserve"> of the PFD </w:t>
      </w:r>
      <w:r w:rsidRPr="00846C54">
        <w:rPr>
          <w:rStyle w:val="StyleUnderline"/>
          <w:highlight w:val="cyan"/>
        </w:rPr>
        <w:t>on SNAP</w:t>
      </w:r>
      <w:r w:rsidRPr="009837FC">
        <w:rPr>
          <w:rStyle w:val="StyleUnderline"/>
        </w:rPr>
        <w:t xml:space="preserve"> eligibility, Alaska </w:t>
      </w:r>
      <w:r w:rsidRPr="00846C54">
        <w:rPr>
          <w:rStyle w:val="StyleUnderline"/>
          <w:highlight w:val="cyan"/>
        </w:rPr>
        <w:t>set up a Hold Harmless Fund to pay benefits</w:t>
      </w:r>
      <w:r w:rsidRPr="009837FC">
        <w:rPr>
          <w:rStyle w:val="StyleUnderline"/>
        </w:rPr>
        <w:t xml:space="preserve"> to families who lose eligibility because of the </w:t>
      </w:r>
      <w:proofErr w:type="gramStart"/>
      <w:r w:rsidRPr="009837FC">
        <w:rPr>
          <w:rStyle w:val="StyleUnderline"/>
        </w:rPr>
        <w:t>PFD</w:t>
      </w:r>
      <w:r w:rsidRPr="002C3E06">
        <w:rPr>
          <w:rStyle w:val="StyleUnderline"/>
        </w:rPr>
        <w:t>, and</w:t>
      </w:r>
      <w:proofErr w:type="gramEnd"/>
      <w:r w:rsidRPr="002C3E06">
        <w:rPr>
          <w:rStyle w:val="StyleUnderline"/>
        </w:rPr>
        <w:t xml:space="preserve"> receives waivers59 from the federal government allowing them to temporarily suspend SNAP cases for up to four months until eligibility is regained, so the state does not have to terminate the SNAP case and force recipients to re-apply</w:t>
      </w:r>
      <w:r w:rsidRPr="002C3E06">
        <w:t>. Lastly, for states building a new program, recurring payments administered through this method will likely jeopardize SNAP eligibility. Some privately funded demonstrations have been able to exclude payments from being included in SNAP, but the same provisions that relay this flexibility cannot be used for regular payments from a government source,60 and exclusion of lump sum payments through this model may depend</w:t>
      </w:r>
      <w:r>
        <w:t xml:space="preserve"> on USDA’s interpretation of “non-recurring.”</w:t>
      </w:r>
      <w:proofErr w:type="gramStart"/>
      <w:r>
        <w:t>61</w:t>
      </w:r>
      <w:proofErr w:type="gramEnd"/>
    </w:p>
    <w:p w14:paraId="5E1AF122" w14:textId="77777777" w:rsidR="00C22526" w:rsidRDefault="00C22526" w:rsidP="00C22526">
      <w:r>
        <w:t>For more detail on interactions with SNAP see Appendix B.</w:t>
      </w:r>
    </w:p>
    <w:p w14:paraId="4AA17F6B" w14:textId="77777777" w:rsidR="00C22526" w:rsidRDefault="00C22526" w:rsidP="00C22526">
      <w:r>
        <w:t>Modified Adjusted Gross Income (MAGI) Medicaid</w:t>
      </w:r>
    </w:p>
    <w:p w14:paraId="30A20317" w14:textId="77777777" w:rsidR="00C22526" w:rsidRDefault="00C22526" w:rsidP="00C22526">
      <w:r>
        <w:t xml:space="preserve">Except for some specific populations, </w:t>
      </w:r>
      <w:r w:rsidRPr="00846C54">
        <w:rPr>
          <w:rStyle w:val="StyleUnderline"/>
          <w:highlight w:val="cyan"/>
        </w:rPr>
        <w:t>Medicaid</w:t>
      </w:r>
      <w:r w:rsidRPr="005F5DE7">
        <w:rPr>
          <w:rStyle w:val="StyleUnderline"/>
        </w:rPr>
        <w:t xml:space="preserve"> generally uses MAGI</w:t>
      </w:r>
      <w:r>
        <w:t xml:space="preserve"> (Modified Adjusted Gross Income) </w:t>
      </w:r>
      <w:r w:rsidRPr="005F5DE7">
        <w:rPr>
          <w:rStyle w:val="StyleUnderline"/>
        </w:rPr>
        <w:t>as defined by the Internal Revenue Service (IRS) to determine eligibility</w:t>
      </w:r>
      <w:r>
        <w:t xml:space="preserve">. Importantly, </w:t>
      </w:r>
      <w:r w:rsidRPr="00285235">
        <w:rPr>
          <w:rStyle w:val="StyleUnderline"/>
        </w:rPr>
        <w:t xml:space="preserve">the IRS </w:t>
      </w:r>
      <w:r w:rsidRPr="00846C54">
        <w:rPr>
          <w:rStyle w:val="StyleUnderline"/>
          <w:highlight w:val="cyan"/>
        </w:rPr>
        <w:t xml:space="preserve">does not count </w:t>
      </w:r>
      <w:r w:rsidRPr="00285235">
        <w:rPr>
          <w:rStyle w:val="StyleUnderline"/>
        </w:rPr>
        <w:t xml:space="preserve">as income </w:t>
      </w:r>
      <w:r w:rsidRPr="00846C54">
        <w:rPr>
          <w:rStyle w:val="StyleUnderline"/>
          <w:highlight w:val="cyan"/>
        </w:rPr>
        <w:t>“governmental benefit payments from a public welfare fund based upon need</w:t>
      </w:r>
      <w:r w:rsidRPr="005F5DE7">
        <w:rPr>
          <w:rStyle w:val="StyleUnderline"/>
        </w:rPr>
        <w:t>.</w:t>
      </w:r>
      <w:r>
        <w:t>”</w:t>
      </w:r>
      <w:r w:rsidRPr="005F5DE7">
        <w:rPr>
          <w:rStyle w:val="StyleUnderline"/>
        </w:rPr>
        <w:t xml:space="preserve">62 As such, </w:t>
      </w:r>
      <w:r w:rsidRPr="00846C54">
        <w:rPr>
          <w:rStyle w:val="Emphasis"/>
          <w:highlight w:val="cyan"/>
        </w:rPr>
        <w:t xml:space="preserve">a </w:t>
      </w:r>
      <w:r w:rsidRPr="00285235">
        <w:rPr>
          <w:rStyle w:val="Emphasis"/>
        </w:rPr>
        <w:t xml:space="preserve">publicly funded </w:t>
      </w:r>
      <w:r w:rsidRPr="00846C54">
        <w:rPr>
          <w:rStyle w:val="Emphasis"/>
          <w:highlight w:val="cyan"/>
        </w:rPr>
        <w:t xml:space="preserve">guaranteed income </w:t>
      </w:r>
      <w:r w:rsidRPr="00285235">
        <w:rPr>
          <w:rStyle w:val="Emphasis"/>
        </w:rPr>
        <w:t>paid as part of a new program</w:t>
      </w:r>
      <w:r w:rsidRPr="005F5DE7">
        <w:rPr>
          <w:rStyle w:val="StyleUnderline"/>
        </w:rPr>
        <w:t xml:space="preserve"> or as a “dividend”63 from a sovereign wealth fund that is </w:t>
      </w:r>
      <w:r w:rsidRPr="00285235">
        <w:rPr>
          <w:rStyle w:val="StyleUnderline"/>
        </w:rPr>
        <w:t>targeted</w:t>
      </w:r>
      <w:r w:rsidRPr="005F5DE7">
        <w:rPr>
          <w:rStyle w:val="StyleUnderline"/>
        </w:rPr>
        <w:t xml:space="preserve"> to individuals based on income </w:t>
      </w:r>
      <w:r w:rsidRPr="00846C54">
        <w:rPr>
          <w:rStyle w:val="Emphasis"/>
          <w:highlight w:val="cyan"/>
        </w:rPr>
        <w:t>would</w:t>
      </w:r>
      <w:r w:rsidRPr="005F5DE7">
        <w:rPr>
          <w:rStyle w:val="StyleUnderline"/>
        </w:rPr>
        <w:t xml:space="preserve"> likely </w:t>
      </w:r>
      <w:r w:rsidRPr="00846C54">
        <w:rPr>
          <w:rStyle w:val="Emphasis"/>
          <w:highlight w:val="cyan"/>
        </w:rPr>
        <w:t>be exempt</w:t>
      </w:r>
      <w:r>
        <w:t xml:space="preserve">. </w:t>
      </w:r>
      <w:r w:rsidRPr="00485F09">
        <w:rPr>
          <w:rStyle w:val="StyleUnderline"/>
        </w:rPr>
        <w:t xml:space="preserve">States seeking to implement a guaranteed income via expansion of a state EITC may encounter complications with MAGI Medicaid eligibility. Unlike federal tax refunds and credits,64 state tax refunds, as well as state credits and offsets, are included by the IRS as taxable income if the tax filer claimed an itemized deduction on their federal tax return for state taxes that were later refunded. Guaranteed income recipients should be advised of potential impacts of tax choices to ensure that MAGI Medicaid program eligibility will not be affected. </w:t>
      </w:r>
      <w:r w:rsidRPr="00EF6507">
        <w:rPr>
          <w:rStyle w:val="Emphasis"/>
        </w:rPr>
        <w:t>While</w:t>
      </w:r>
      <w:r w:rsidRPr="00485F09">
        <w:rPr>
          <w:rStyle w:val="StyleUnderline"/>
        </w:rPr>
        <w:t xml:space="preserve"> some benefits such as </w:t>
      </w:r>
      <w:r w:rsidRPr="00846C54">
        <w:rPr>
          <w:rStyle w:val="Emphasis"/>
          <w:highlight w:val="cyan"/>
        </w:rPr>
        <w:t>SNAP could be replaced by a Hold Harmless Fund, there is no suitable cash replacement for health insurance coverage</w:t>
      </w:r>
      <w:r w:rsidRPr="00485F09">
        <w:rPr>
          <w:rStyle w:val="StyleUnderline"/>
        </w:rPr>
        <w:t>.</w:t>
      </w:r>
    </w:p>
    <w:p w14:paraId="525D4D51" w14:textId="77777777" w:rsidR="00C22526" w:rsidRDefault="00C22526" w:rsidP="00C22526">
      <w:r>
        <w:t xml:space="preserve">For more detail on interactions with MAGI Medicaid see Appendix C. </w:t>
      </w:r>
    </w:p>
    <w:p w14:paraId="606BEC99" w14:textId="77777777" w:rsidR="00C22526" w:rsidRDefault="00C22526" w:rsidP="00C22526">
      <w:r>
        <w:t>Non-Modified Adjusted Gross Income (MAGI) Medicaid</w:t>
      </w:r>
    </w:p>
    <w:p w14:paraId="2760910F" w14:textId="77777777" w:rsidR="00C22526" w:rsidRDefault="00C22526" w:rsidP="00C22526">
      <w:r>
        <w:t>There are some categories of individuals who are non-MAGI, such as those who are over 65, blind, or disabled. For these groups, Medicaid eligibility is generally determined using the income methodologies of the SSI program.65 For non-MAGI cases, assistance based on need that is wholly funded by a state or one of its political subdivisions does not count as unearned income and would not be considered in determining eligibility</w:t>
      </w:r>
      <w:r w:rsidRPr="00A072C9">
        <w:rPr>
          <w:rStyle w:val="StyleUnderline"/>
        </w:rPr>
        <w:t xml:space="preserve">. As such, a </w:t>
      </w:r>
      <w:r w:rsidRPr="00846C54">
        <w:rPr>
          <w:rStyle w:val="StyleUnderline"/>
          <w:highlight w:val="cyan"/>
        </w:rPr>
        <w:t>guaranteed income</w:t>
      </w:r>
      <w:r w:rsidRPr="00A072C9">
        <w:rPr>
          <w:rStyle w:val="StyleUnderline"/>
        </w:rPr>
        <w:t xml:space="preserve"> implemented as part of a new program, or a “dividend” </w:t>
      </w:r>
      <w:r w:rsidRPr="00846C54">
        <w:rPr>
          <w:rStyle w:val="StyleUnderline"/>
          <w:highlight w:val="cyan"/>
        </w:rPr>
        <w:t>would</w:t>
      </w:r>
      <w:r w:rsidRPr="00A072C9">
        <w:rPr>
          <w:rStyle w:val="StyleUnderline"/>
        </w:rPr>
        <w:t xml:space="preserve"> likely </w:t>
      </w:r>
      <w:r w:rsidRPr="00846C54">
        <w:rPr>
          <w:rStyle w:val="StyleUnderline"/>
          <w:highlight w:val="cyan"/>
        </w:rPr>
        <w:t>not affect non-MAGI Medicaid</w:t>
      </w:r>
      <w:r w:rsidRPr="00A072C9">
        <w:rPr>
          <w:rStyle w:val="StyleUnderline"/>
        </w:rPr>
        <w:t xml:space="preserve"> eligibility </w:t>
      </w:r>
      <w:r w:rsidRPr="00846C54">
        <w:rPr>
          <w:rStyle w:val="StyleUnderline"/>
          <w:highlight w:val="cyan"/>
        </w:rPr>
        <w:t>so long as the payments are targeted</w:t>
      </w:r>
      <w:r w:rsidRPr="00A072C9">
        <w:rPr>
          <w:rStyle w:val="StyleUnderline"/>
        </w:rPr>
        <w:t xml:space="preserve"> to individuals based on income level.</w:t>
      </w:r>
      <w:r>
        <w:t xml:space="preserve">66 </w:t>
      </w:r>
      <w:r w:rsidRPr="00A072C9">
        <w:rPr>
          <w:rStyle w:val="StyleUnderline"/>
        </w:rPr>
        <w:t>For states implementing through an expanded EITC, there appears to be discretion with how to treat state tax credits and refunds in the income eligibility determination.</w:t>
      </w:r>
      <w:r>
        <w:t xml:space="preserve"> For example, in Illinois, state tax refunds are counted as an asset for non-MAGI eligibility, but the portion of the state tax return that is from an earned income credit is not to be included as either an asset or as income.67 In order to protect eligibility for non-MAGI Medicaid, states should use any available flexibility to exempt state EITCs from consideration, should they choose that strategy for implementation of a guaranteed income.  </w:t>
      </w:r>
    </w:p>
    <w:p w14:paraId="3EA9C05F" w14:textId="77777777" w:rsidR="00C22526" w:rsidRDefault="00C22526" w:rsidP="00C22526">
      <w:r>
        <w:t>For more detail on interactions with non-MAGI Medicaid see Appendix C.</w:t>
      </w:r>
    </w:p>
    <w:p w14:paraId="1145C0C6" w14:textId="77777777" w:rsidR="00C22526" w:rsidRDefault="00C22526" w:rsidP="00C22526">
      <w:r>
        <w:t>Housing Benefits</w:t>
      </w:r>
    </w:p>
    <w:p w14:paraId="3C01319D" w14:textId="77777777" w:rsidR="00C22526" w:rsidRDefault="00C22526" w:rsidP="00C22526">
      <w:r w:rsidRPr="00846C54">
        <w:rPr>
          <w:rStyle w:val="StyleUnderline"/>
          <w:highlight w:val="cyan"/>
        </w:rPr>
        <w:t>For</w:t>
      </w:r>
      <w:r w:rsidRPr="00A072C9">
        <w:rPr>
          <w:rStyle w:val="StyleUnderline"/>
        </w:rPr>
        <w:t xml:space="preserve"> the three largest </w:t>
      </w:r>
      <w:r w:rsidRPr="00846C54">
        <w:rPr>
          <w:rStyle w:val="StyleUnderline"/>
          <w:highlight w:val="cyan"/>
        </w:rPr>
        <w:t>housing</w:t>
      </w:r>
      <w:r w:rsidRPr="00A072C9">
        <w:rPr>
          <w:rStyle w:val="StyleUnderline"/>
        </w:rPr>
        <w:t xml:space="preserve"> programs</w:t>
      </w:r>
      <w:r>
        <w:t xml:space="preserve"> – Housing Choice Vouchers (Section 8), Project Based Rental Assistance, and Public Housing68 – </w:t>
      </w:r>
      <w:r w:rsidRPr="00846C54">
        <w:rPr>
          <w:rStyle w:val="StyleUnderline"/>
          <w:highlight w:val="cyan"/>
        </w:rPr>
        <w:t>income determinations</w:t>
      </w:r>
      <w:r w:rsidRPr="00A072C9">
        <w:rPr>
          <w:rStyle w:val="StyleUnderline"/>
        </w:rPr>
        <w:t xml:space="preserve"> </w:t>
      </w:r>
      <w:r w:rsidRPr="00846C54">
        <w:rPr>
          <w:rStyle w:val="StyleUnderline"/>
          <w:highlight w:val="cyan"/>
        </w:rPr>
        <w:t>affect</w:t>
      </w:r>
      <w:r w:rsidRPr="00A072C9">
        <w:rPr>
          <w:rStyle w:val="StyleUnderline"/>
        </w:rPr>
        <w:t xml:space="preserve"> both income </w:t>
      </w:r>
      <w:r w:rsidRPr="00846C54">
        <w:rPr>
          <w:rStyle w:val="StyleUnderline"/>
          <w:highlight w:val="cyan"/>
        </w:rPr>
        <w:t>eligibility and the amount</w:t>
      </w:r>
      <w:r w:rsidRPr="00A072C9">
        <w:rPr>
          <w:rStyle w:val="StyleUnderline"/>
        </w:rPr>
        <w:t xml:space="preserve"> of rent recipients pay.</w:t>
      </w:r>
      <w:r>
        <w:t xml:space="preserve"> </w:t>
      </w:r>
      <w:proofErr w:type="gramStart"/>
      <w:r w:rsidRPr="00A072C9">
        <w:rPr>
          <w:rStyle w:val="StyleUnderline"/>
        </w:rPr>
        <w:t xml:space="preserve">Generally speaking, </w:t>
      </w:r>
      <w:r w:rsidRPr="00846C54">
        <w:rPr>
          <w:rStyle w:val="StyleUnderline"/>
          <w:highlight w:val="cyan"/>
        </w:rPr>
        <w:t>all</w:t>
      </w:r>
      <w:proofErr w:type="gramEnd"/>
      <w:r w:rsidRPr="00846C54">
        <w:rPr>
          <w:rStyle w:val="StyleUnderline"/>
          <w:highlight w:val="cyan"/>
        </w:rPr>
        <w:t xml:space="preserve"> three</w:t>
      </w:r>
      <w:r w:rsidRPr="00A072C9">
        <w:rPr>
          <w:rStyle w:val="StyleUnderline"/>
        </w:rPr>
        <w:t xml:space="preserve"> programs </w:t>
      </w:r>
      <w:r w:rsidRPr="00846C54">
        <w:rPr>
          <w:rStyle w:val="StyleUnderline"/>
          <w:highlight w:val="cyan"/>
        </w:rPr>
        <w:t>rely on the same federal regulations</w:t>
      </w:r>
      <w:r w:rsidRPr="00A072C9">
        <w:rPr>
          <w:rStyle w:val="StyleUnderline"/>
        </w:rPr>
        <w:t xml:space="preserve"> for determining income</w:t>
      </w:r>
      <w:r>
        <w:t xml:space="preserve">. There is an income exemption for non-recurring income that is neither frequent or reliable, but HUD guidance suggests that even payments made only once a year could still be counted if the family expects to receive money from the same source the following year.69 This could impact eligibility whether a guaranteed income is implemented through a new program, a “dividend”, or as part of an expanded state EITC – as HUD regulations do not explicitly exempt state tax refunds or credits.  </w:t>
      </w:r>
    </w:p>
    <w:p w14:paraId="14D92B08" w14:textId="77777777" w:rsidR="00C22526" w:rsidRDefault="00C22526" w:rsidP="00C22526">
      <w:r>
        <w:t xml:space="preserve">However, </w:t>
      </w:r>
      <w:r w:rsidRPr="00846C54">
        <w:rPr>
          <w:rStyle w:val="Emphasis"/>
          <w:highlight w:val="cyan"/>
        </w:rPr>
        <w:t>there may be</w:t>
      </w:r>
      <w:r w:rsidRPr="00DD1BFF">
        <w:rPr>
          <w:rStyle w:val="StyleUnderline"/>
        </w:rPr>
        <w:t xml:space="preserve"> some </w:t>
      </w:r>
      <w:r w:rsidRPr="00846C54">
        <w:rPr>
          <w:rStyle w:val="Emphasis"/>
          <w:highlight w:val="cyan"/>
        </w:rPr>
        <w:t>avenues for flexibility for local public housing authorities</w:t>
      </w:r>
      <w:r>
        <w:t xml:space="preserve"> (PHAs) – </w:t>
      </w:r>
      <w:r w:rsidRPr="00DD1BFF">
        <w:rPr>
          <w:rStyle w:val="StyleUnderline"/>
        </w:rPr>
        <w:t>local governmental entities that administer certain housing programs</w:t>
      </w:r>
      <w:r>
        <w:t xml:space="preserve">. </w:t>
      </w:r>
      <w:r w:rsidRPr="00846C54">
        <w:rPr>
          <w:rStyle w:val="Emphasis"/>
          <w:highlight w:val="cyan"/>
        </w:rPr>
        <w:t>Federal regulations allow these agencies to adopt permissive deductions in the public housing program for certain cash payments from a household’s income. Such deductions have been successful in excluding payments</w:t>
      </w:r>
      <w:r w:rsidRPr="00DD1BFF">
        <w:rPr>
          <w:rStyle w:val="StyleUnderline"/>
        </w:rPr>
        <w:t xml:space="preserve"> from smaller guaranteed income demonstrations in San Francisco70 and Providence, Rhode Island,71 but have not been attempted for larger, publicly funded, permanent programs</w:t>
      </w:r>
      <w:r>
        <w:t>.</w:t>
      </w:r>
    </w:p>
    <w:p w14:paraId="6A5480F5" w14:textId="77777777" w:rsidR="00C22526" w:rsidRDefault="00C22526" w:rsidP="00C22526">
      <w:r>
        <w:t>For more detail on interactions with Housing Benefits see Appendix D.</w:t>
      </w:r>
    </w:p>
    <w:p w14:paraId="46E439E7" w14:textId="77777777" w:rsidR="00C22526" w:rsidRDefault="00C22526" w:rsidP="00C22526">
      <w:pPr>
        <w:pStyle w:val="Heading3"/>
      </w:pPr>
      <w:r>
        <w:t>2NC---AT: Benefits---SNAP</w:t>
      </w:r>
    </w:p>
    <w:p w14:paraId="3C8E3945" w14:textId="77777777" w:rsidR="00C22526" w:rsidRDefault="00C22526" w:rsidP="00C22526">
      <w:pPr>
        <w:pStyle w:val="Heading4"/>
      </w:pPr>
      <w:r>
        <w:t xml:space="preserve">SNAP </w:t>
      </w:r>
      <w:proofErr w:type="gramStart"/>
      <w:r>
        <w:t>eligibility</w:t>
      </w:r>
      <w:proofErr w:type="gramEnd"/>
    </w:p>
    <w:p w14:paraId="3737EA8D" w14:textId="77777777" w:rsidR="00C22526" w:rsidRDefault="00C22526" w:rsidP="00C22526">
      <w:r w:rsidRPr="000525CD">
        <w:t xml:space="preserve">Nolan </w:t>
      </w:r>
      <w:r w:rsidRPr="000525CD">
        <w:rPr>
          <w:rStyle w:val="Style13ptBold"/>
        </w:rPr>
        <w:t>Downey 22</w:t>
      </w:r>
      <w:r w:rsidRPr="000525CD">
        <w:t>, Staff Attorney for the Legal Impact Network at the Shriver Center on Poverty Law. Economic Security Project. April 13. "Guaranteed Income</w:t>
      </w:r>
      <w:r>
        <w:t>: States Lead the Way in Reimagining the Social Safety Net”</w:t>
      </w:r>
      <w:r w:rsidRPr="000525CD">
        <w:t xml:space="preserve"> </w:t>
      </w:r>
      <w:hyperlink r:id="rId15" w:history="1">
        <w:r w:rsidRPr="002F76AE">
          <w:rPr>
            <w:rStyle w:val="Hyperlink"/>
          </w:rPr>
          <w:t>https://economicsecurityproject.org/resource/states-lead/</w:t>
        </w:r>
      </w:hyperlink>
      <w:r>
        <w:t xml:space="preserve"> //</w:t>
      </w:r>
      <w:proofErr w:type="spellStart"/>
      <w:proofErr w:type="gramStart"/>
      <w:r>
        <w:t>pipk</w:t>
      </w:r>
      <w:proofErr w:type="spellEnd"/>
      <w:proofErr w:type="gramEnd"/>
    </w:p>
    <w:p w14:paraId="772DFEEF" w14:textId="77777777" w:rsidR="00C22526" w:rsidRPr="001C0690" w:rsidRDefault="00C22526" w:rsidP="00C22526">
      <w:r w:rsidRPr="00994100">
        <w:t>Appendix B: SNAP: Implications of a Publicly Funded Guaranteed Income</w:t>
      </w:r>
    </w:p>
    <w:p w14:paraId="3A99FD40" w14:textId="77777777" w:rsidR="00C22526" w:rsidRDefault="00C22526" w:rsidP="00C22526">
      <w:r>
        <w:rPr>
          <w:noProof/>
        </w:rPr>
        <w:drawing>
          <wp:inline distT="0" distB="0" distL="0" distR="0" wp14:anchorId="6D6CA520" wp14:editId="7C07B242">
            <wp:extent cx="3895344" cy="1225296"/>
            <wp:effectExtent l="0" t="0" r="0" b="0"/>
            <wp:docPr id="1" name="Picture 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with low confidenc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95344" cy="1225296"/>
                    </a:xfrm>
                    <a:prstGeom prst="rect">
                      <a:avLst/>
                    </a:prstGeom>
                    <a:noFill/>
                    <a:ln>
                      <a:noFill/>
                    </a:ln>
                  </pic:spPr>
                </pic:pic>
              </a:graphicData>
            </a:graphic>
          </wp:inline>
        </w:drawing>
      </w:r>
    </w:p>
    <w:p w14:paraId="409565C7" w14:textId="77777777" w:rsidR="00C22526" w:rsidRDefault="00C22526" w:rsidP="00C22526">
      <w:r>
        <w:t xml:space="preserve">Unless explicitly excluded, federal SNAP regulations include “payments from Government-sponsored programs, dividends, interest, royalties, and all other direct money payments from any source which can be construed to be a gain or benefit,” as unearned income that is counted during the eligibility determination.112 For privately-funded guaranteed income demonstrations, there are some SNAP provisions that have been used to exclude certain lump sum and recurring payments from consideration in SNAP.113  However, for publicly funded state programs, the analysis is more complex and depends on the state’s choices regarding implementation strategy and frequency of payment. </w:t>
      </w:r>
    </w:p>
    <w:p w14:paraId="3E6E61DA" w14:textId="77777777" w:rsidR="00C22526" w:rsidRDefault="00C22526" w:rsidP="00C22526"/>
    <w:p w14:paraId="2BACCAE1" w14:textId="77777777" w:rsidR="00C22526" w:rsidRDefault="00C22526" w:rsidP="00C22526">
      <w:r>
        <w:t>If states choose to implement a guaranteed income through expansion of a state EITC, federal law provides a strong case for exclusion of these payments from the income eligibility determination in SNAP, especially if paid as a lump sum. With respect to the federal EITC, 26 U.S. Code § 6409 provides “[n]</w:t>
      </w:r>
      <w:proofErr w:type="spellStart"/>
      <w:r>
        <w:t>otwithstanding</w:t>
      </w:r>
      <w:proofErr w:type="spellEnd"/>
      <w:r>
        <w:t xml:space="preserve"> any other provision of law, any refund (or advance payment with respect to a refundable credit) made to any individual under this title shall not be taken into account as income, and shall not be taken into account as resources for a period of 12 months from receipt, for purposes of determining the eligibility of such individual (or any other individual) for benefits or assistance (or the amount or extent of benefits or assistance) under any Federal program or under any State or local program financed in whole or in part with Federal funds.” The federal EITC is a refundable tax credit covered by this provision, and as such it is not counted as income in federal public benefits programs and is only counted as an asset after 12 months. However, state and local earned income tax credits that are paid in a lump sum are also exempted as income under 7 CFR 273.9(c)(8), which states that “money received in the form of a nonrecurring lump-sum payment, including, but not limited to, income tax refunds, rebates, or credits, is not counted as income.” Further, state and local earned income tax credits are explicitly excluded as a resource for purposes of the SNAP asset test in 7 CFR 273.8(e)(12). Accordingly, implementing a guaranteed income by expanding a state or local earned income tax credit would not jeopardize SNAP eligibility if paid out in a lump sum.</w:t>
      </w:r>
    </w:p>
    <w:p w14:paraId="1EEFD5AF" w14:textId="77777777" w:rsidR="00C22526" w:rsidRDefault="00C22526" w:rsidP="00C22526"/>
    <w:p w14:paraId="71E55A09" w14:textId="77777777" w:rsidR="00C22526" w:rsidRDefault="00C22526" w:rsidP="00C22526">
      <w:r>
        <w:t xml:space="preserve">However, the income exclusion for state and local tax refunds seems to be predicated on the credits being non-recurring, so models that seek to deviate from lump sum in favor of periodic payments may put SNAP eligibility at risk. </w:t>
      </w:r>
    </w:p>
    <w:p w14:paraId="06BC05B5" w14:textId="77777777" w:rsidR="00C22526" w:rsidRDefault="00C22526" w:rsidP="00C22526"/>
    <w:p w14:paraId="76339CBC" w14:textId="77777777" w:rsidR="00C22526" w:rsidRDefault="00C22526" w:rsidP="00C22526">
      <w:r>
        <w:t xml:space="preserve">For states choosing to implement a guaranteed income through dividend payments from a sovereign wealth fund, Alaska’s Permanent Fund Dividend provides the best example for how such payments could affect SNAP eligibility. Alaska counts the Permanent Fund Dividend as both unearned income for the month it was received, and a resource/ asset. The state of Alaska does not use broad-based categorical eligibility, and as such, its SNAP recipients are subject to the asset test laid out in federal law.114 However, it is unclear whether the payment’s consideration as unearned income flows from it being a payment from a “government-sponsored program”, its characterization as a “dividend” (which are expressly counted as unearned income under federal law), or both. Many types of non-recurring lump sum payments can be excluded as income for SNAP, but federal law does not define “non-recurring.” 7 CFR 273.9(c)(8). However, the express exemption of income tax refunds and other credits seems to suggest that even payments made on a predictable cycle once a year could still constitute “non-recurring.” Additionally, a lump sum “dividend” payment will likely count as a resource for SNAP recipients who are subject to an asset test, but for states that use SNAP broad-based categorical eligibility (BBCE)115 to increase or waive asset limits, this may not pose a concern.  </w:t>
      </w:r>
      <w:r w:rsidRPr="00E030C1">
        <w:rPr>
          <w:rStyle w:val="Emphasis"/>
        </w:rPr>
        <w:t>To mitigate the impact</w:t>
      </w:r>
      <w:r>
        <w:t xml:space="preserve"> of the PFD </w:t>
      </w:r>
      <w:r w:rsidRPr="00E030C1">
        <w:rPr>
          <w:rStyle w:val="Emphasis"/>
        </w:rPr>
        <w:t>on SNAP eligibility</w:t>
      </w:r>
      <w:r>
        <w:t xml:space="preserve">, Alaska </w:t>
      </w:r>
      <w:r w:rsidRPr="00E030C1">
        <w:rPr>
          <w:rStyle w:val="Emphasis"/>
        </w:rPr>
        <w:t>set up a Hold Harmless Fund to pay benefits to families who lose eligibility because of</w:t>
      </w:r>
      <w:r>
        <w:t xml:space="preserve"> dividend </w:t>
      </w:r>
      <w:proofErr w:type="gramStart"/>
      <w:r w:rsidRPr="00E030C1">
        <w:rPr>
          <w:rStyle w:val="Emphasis"/>
        </w:rPr>
        <w:t>payments, and</w:t>
      </w:r>
      <w:proofErr w:type="gramEnd"/>
      <w:r w:rsidRPr="00E030C1">
        <w:rPr>
          <w:rStyle w:val="Emphasis"/>
        </w:rPr>
        <w:t xml:space="preserve"> receive</w:t>
      </w:r>
      <w:r>
        <w:t xml:space="preserve">s </w:t>
      </w:r>
      <w:r w:rsidRPr="00E030C1">
        <w:rPr>
          <w:rStyle w:val="Emphasis"/>
        </w:rPr>
        <w:t>waivers</w:t>
      </w:r>
      <w:r>
        <w:t xml:space="preserve">116 </w:t>
      </w:r>
      <w:r w:rsidRPr="00E030C1">
        <w:rPr>
          <w:rStyle w:val="Emphasis"/>
        </w:rPr>
        <w:t>from the federal government allowing them to temporarily suspend SNAP cases for up to four months until eligibility is regained, so the state does not have to terminate the SNAP case and force recipients to re-apply</w:t>
      </w:r>
      <w:r>
        <w:t>.</w:t>
      </w:r>
    </w:p>
    <w:p w14:paraId="3510CA0A" w14:textId="77777777" w:rsidR="00C22526" w:rsidRDefault="00C22526" w:rsidP="00C22526"/>
    <w:p w14:paraId="6023B148" w14:textId="77777777" w:rsidR="00C22526" w:rsidRDefault="00C22526" w:rsidP="00C22526">
      <w:r>
        <w:t xml:space="preserve">For states seeking to establish a new program with public funds, recurring payments will likely jeopardize SNAP eligibility. Some </w:t>
      </w:r>
      <w:proofErr w:type="gramStart"/>
      <w:r>
        <w:t>privately-funded</w:t>
      </w:r>
      <w:proofErr w:type="gramEnd"/>
      <w:r>
        <w:t xml:space="preserve"> demonstrations have been able to exclude payments from being included in SNAP income determinations, but the same provisions that relay this flexibility cannot be used for publicly funded programs. When the source of the payments is private,  federal statute and corresponding regulations allow states to elect to exclude from consideration in SNAP certain payments that are excluded in TANF – where states maintain much more flexibility in defining income eligibility.117 States choosing to exclude payments under this provision “must specify in its [SNAP] State plan of operation that it has selected this option and provide a description of the resources that are being excluded.”118 State plans of operation are then subject to approval by USDA. However, both federal law and regulation explicitly forbid states from using this provision to exclude “regular payments from a government source,” with 7 CFR 273.9(c)(19) further specifying that payments or allowances a household receives from an intermediary that are funded from a government source are also considered payments from a government source, thus opening the door for recurring payments from private sources, but not government, or public sources. Accordingly, changes in federal law may be required to permit exclusion of recurring guaranteed income payments that are funded with public dollars. However, as discussed above, the interaction with lump sum payments made annually as part of a new program may depend on USDA’s interpretation </w:t>
      </w:r>
      <w:proofErr w:type="spellStart"/>
      <w:proofErr w:type="gramStart"/>
      <w:r>
        <w:t>of“</w:t>
      </w:r>
      <w:proofErr w:type="gramEnd"/>
      <w:r>
        <w:t>non</w:t>
      </w:r>
      <w:proofErr w:type="spellEnd"/>
      <w:r>
        <w:t>-recurring.”</w:t>
      </w:r>
    </w:p>
    <w:p w14:paraId="5454F437" w14:textId="77777777" w:rsidR="00C22526" w:rsidRDefault="00C22526" w:rsidP="00C22526">
      <w:pPr>
        <w:pStyle w:val="Heading3"/>
      </w:pPr>
      <w:r>
        <w:t>2NC---AT: Benefits---Medicaid</w:t>
      </w:r>
    </w:p>
    <w:p w14:paraId="5A29D2BF" w14:textId="77777777" w:rsidR="00C22526" w:rsidRDefault="00C22526" w:rsidP="00C22526">
      <w:pPr>
        <w:pStyle w:val="Heading4"/>
      </w:pPr>
      <w:r>
        <w:t>Medicaid</w:t>
      </w:r>
    </w:p>
    <w:p w14:paraId="1186D164" w14:textId="77777777" w:rsidR="00C22526" w:rsidRDefault="00C22526" w:rsidP="00C22526">
      <w:r w:rsidRPr="000525CD">
        <w:t xml:space="preserve">Nolan </w:t>
      </w:r>
      <w:r w:rsidRPr="000525CD">
        <w:rPr>
          <w:rStyle w:val="Style13ptBold"/>
        </w:rPr>
        <w:t>Downey 22</w:t>
      </w:r>
      <w:r w:rsidRPr="000525CD">
        <w:t>, Staff Attorney for the Legal Impact Network at the Shriver Center on Poverty Law. Economic Security Project. April 13. "Guaranteed Income</w:t>
      </w:r>
      <w:r>
        <w:t>: States Lead the Way in Reimagining the Social Safety Net”</w:t>
      </w:r>
      <w:r w:rsidRPr="000525CD">
        <w:t xml:space="preserve"> </w:t>
      </w:r>
      <w:hyperlink r:id="rId17" w:history="1">
        <w:r w:rsidRPr="002F76AE">
          <w:rPr>
            <w:rStyle w:val="Hyperlink"/>
          </w:rPr>
          <w:t>https://economicsecurityproject.org/resource/states-lead/</w:t>
        </w:r>
      </w:hyperlink>
      <w:r>
        <w:t xml:space="preserve"> //</w:t>
      </w:r>
      <w:proofErr w:type="spellStart"/>
      <w:proofErr w:type="gramStart"/>
      <w:r>
        <w:t>pipk</w:t>
      </w:r>
      <w:proofErr w:type="spellEnd"/>
      <w:proofErr w:type="gramEnd"/>
    </w:p>
    <w:p w14:paraId="7C1BA14C" w14:textId="77777777" w:rsidR="00C22526" w:rsidRDefault="00C22526" w:rsidP="00C22526">
      <w:r w:rsidRPr="00B10EAF">
        <w:t>MAGI Medicaid</w:t>
      </w:r>
    </w:p>
    <w:p w14:paraId="4B07D4BF" w14:textId="77777777" w:rsidR="00C22526" w:rsidRPr="00994100" w:rsidRDefault="00C22526" w:rsidP="00C22526">
      <w:r>
        <w:rPr>
          <w:noProof/>
        </w:rPr>
        <w:drawing>
          <wp:inline distT="0" distB="0" distL="0" distR="0" wp14:anchorId="4E4E9512" wp14:editId="37B9C090">
            <wp:extent cx="3895344" cy="1271016"/>
            <wp:effectExtent l="0" t="0" r="0" b="5715"/>
            <wp:docPr id="3" name="Picture 3"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with low confidenc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95344" cy="1271016"/>
                    </a:xfrm>
                    <a:prstGeom prst="rect">
                      <a:avLst/>
                    </a:prstGeom>
                    <a:noFill/>
                    <a:ln>
                      <a:noFill/>
                    </a:ln>
                  </pic:spPr>
                </pic:pic>
              </a:graphicData>
            </a:graphic>
          </wp:inline>
        </w:drawing>
      </w:r>
    </w:p>
    <w:p w14:paraId="06799236" w14:textId="77777777" w:rsidR="00C22526" w:rsidRDefault="00C22526" w:rsidP="00C22526">
      <w:r>
        <w:t xml:space="preserve">Except for some specific populations, Medicaid generally uses MAGI (Modified Adjusted Gross Income) as defined by the IRS to determine eligibility. For many </w:t>
      </w:r>
      <w:proofErr w:type="gramStart"/>
      <w:r>
        <w:t>privately-funded</w:t>
      </w:r>
      <w:proofErr w:type="gramEnd"/>
      <w:r>
        <w:t xml:space="preserve"> guaranteed income demonstrations, Medicaid eligibility is not affected by receipt of guaranteed income payments because of the IRS definition of “gifts” as non-taxable income.119 Importantly, the IRS does not count as income “governmental</w:t>
      </w:r>
    </w:p>
    <w:p w14:paraId="00EAC789" w14:textId="77777777" w:rsidR="00C22526" w:rsidRDefault="00C22526" w:rsidP="00C22526">
      <w:r>
        <w:t xml:space="preserve">benefit payments from a public welfare fund based upon need.”120 As such, a publicly funded guaranteed income paid as part of a new program or as a “dividend”121 from a sovereign wealth fund that is targeted to individuals based on income would likely be exempt. It’s worth noting that payments made universally likely would not be exempt and may require waivers or special permission from the federal government to exempt from consideration in MAGI Medicaid. For example, Alaska’s PFD is considered taxable for federal income tax purposes and needs to be reported to the IRS.122 However, Alaska’s PFD is subject to a special income disregard for all Medicaid categories, and thus does not affect income eligibility for Medicaid recipients in the state.123  </w:t>
      </w:r>
    </w:p>
    <w:p w14:paraId="49F582CC" w14:textId="77777777" w:rsidR="00C22526" w:rsidRDefault="00C22526" w:rsidP="00C22526"/>
    <w:p w14:paraId="6AA7B682" w14:textId="77777777" w:rsidR="00C22526" w:rsidRDefault="00C22526" w:rsidP="00C22526">
      <w:r>
        <w:t xml:space="preserve">For states seeking to implement a guaranteed income via an expansion of a state EITC, there may be some complications with MAGI Medicaid eligibility. While a federal tax refund and refundable tax credits like the federal EITC are clearly excluded from consideration as income in federal programs,124 state tax refunds, as well as state credits and offsets, are included by the IRS as taxable income if the tax filer claimed an itemized deduction for state taxes that were later refunded. While </w:t>
      </w:r>
      <w:proofErr w:type="gramStart"/>
      <w:r>
        <w:t>the majority of</w:t>
      </w:r>
      <w:proofErr w:type="gramEnd"/>
      <w:r>
        <w:t xml:space="preserve"> tax filers do not itemize deductions, with even fewer itemizing after the increase in the standard deduction as part of the Trump administration’s Tax Cuts and Jobs Act, states should proceed with caution in program design, and advise guaranteed income recipients about the potential impacts of tax choices to ensure that MAGI Medicaid program eligibility will not be affected. While some benefits such as SNAP could be replaced by a Hold Harmless Fund, there is no suitable cash replacement for health insurance coverage.</w:t>
      </w:r>
    </w:p>
    <w:p w14:paraId="3F117BD5" w14:textId="77777777" w:rsidR="00C22526" w:rsidRDefault="00C22526" w:rsidP="00C22526"/>
    <w:p w14:paraId="1CC875B8" w14:textId="77777777" w:rsidR="00C22526" w:rsidRDefault="00C22526" w:rsidP="00C22526">
      <w:r>
        <w:t>Non-MAGI Medicaid</w:t>
      </w:r>
    </w:p>
    <w:p w14:paraId="5158D76E" w14:textId="77777777" w:rsidR="00C22526" w:rsidRDefault="00C22526" w:rsidP="00C22526">
      <w:r>
        <w:rPr>
          <w:noProof/>
        </w:rPr>
        <w:drawing>
          <wp:inline distT="0" distB="0" distL="0" distR="0" wp14:anchorId="6C1D12CD" wp14:editId="32672F0B">
            <wp:extent cx="3904488" cy="1261872"/>
            <wp:effectExtent l="0" t="0" r="1270" b="0"/>
            <wp:docPr id="4" name="Picture 4" descr="A screenshot of a pho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phone&#10;&#10;Description automatically generated with low confidenc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04488" cy="1261872"/>
                    </a:xfrm>
                    <a:prstGeom prst="rect">
                      <a:avLst/>
                    </a:prstGeom>
                    <a:noFill/>
                    <a:ln>
                      <a:noFill/>
                    </a:ln>
                  </pic:spPr>
                </pic:pic>
              </a:graphicData>
            </a:graphic>
          </wp:inline>
        </w:drawing>
      </w:r>
    </w:p>
    <w:p w14:paraId="584D6AA8" w14:textId="77777777" w:rsidR="00C22526" w:rsidRDefault="00C22526" w:rsidP="00C22526"/>
    <w:p w14:paraId="2D0184C0" w14:textId="77777777" w:rsidR="00C22526" w:rsidRDefault="00C22526" w:rsidP="00C22526">
      <w:r>
        <w:t xml:space="preserve">There are some categories of Medicaid recipients who are non-MAGI, such as those who are over 65, blind, or have a disability. For these groups, Medicaid eligibility is generally determined using the income methodologies of the SSI program administered by the Social Security Administration.125 While Non-MAGI cases have posed challenges for privately funded demonstrations,126 assistance based on need which is wholly funded by a State or one of its political subdivisions, does not count as unearned income and would not be considered in determining eligibility for non-MAGI Medicaid. For purposes of this rule, assistance is “based on need” when it is provided under a program which uses the amount of a person’s income as one factor to determine your eligibility. As such, a guaranteed income implemented as part of a new program, or as a payment from a sovereign wealth fund in the form of a “dividend” would likely not affect non-MAGI Medicaid eligibility so long as the payments are targeted to individuals based on income level. 20 CFR 416.1124(c)(2). </w:t>
      </w:r>
    </w:p>
    <w:p w14:paraId="2E4E8BCC" w14:textId="77777777" w:rsidR="00C22526" w:rsidRDefault="00C22526" w:rsidP="00C22526"/>
    <w:p w14:paraId="1655E6FB" w14:textId="77777777" w:rsidR="00C22526" w:rsidRDefault="00C22526" w:rsidP="00C22526">
      <w:r>
        <w:t xml:space="preserve">As with MAGI Medicaid, implementing a guaranteed income through expansion of a state EITC could threaten eligibility for non-MAGI Medicaid. While federal tax refunds and refundable credits are excluded from consideration, the same is not true for state tax refunds and credits. For example, state tax refunds are counted as a resource in the month they are received when determining income eligibility for SSI unless another income exclusion applies.127 However, for purposes of non-MAGI Medicaid, it appears states </w:t>
      </w:r>
      <w:proofErr w:type="gramStart"/>
      <w:r>
        <w:t>have</w:t>
      </w:r>
      <w:proofErr w:type="gramEnd"/>
    </w:p>
    <w:p w14:paraId="788AE4CD" w14:textId="77777777" w:rsidR="00C22526" w:rsidRDefault="00C22526" w:rsidP="00C22526">
      <w:r>
        <w:t>some discretion with how to treat state tax credits and refunds in the income eligibility determination.</w:t>
      </w:r>
    </w:p>
    <w:p w14:paraId="03788077" w14:textId="77777777" w:rsidR="00C22526" w:rsidRDefault="00C22526" w:rsidP="00C22526"/>
    <w:p w14:paraId="40E50F9A" w14:textId="77777777" w:rsidR="00C22526" w:rsidRDefault="00C22526" w:rsidP="00C22526">
      <w:r>
        <w:t>For example, in Illinois, state tax refunds are counted as an asset for non-MAGI eligibility, but the portion of the state tax return that is from an earned income credit is not to be included as either an asset or asincome.128 In order to protect eligibility for non-MAGI Medicaid, states should use any available flexibility to exempt state EITCs from consideration, should they choose that strategy for implementation of a guaranteed income.</w:t>
      </w:r>
    </w:p>
    <w:p w14:paraId="2E944D87" w14:textId="77777777" w:rsidR="00C22526" w:rsidRDefault="00C22526" w:rsidP="00C22526">
      <w:pPr>
        <w:pStyle w:val="Heading3"/>
      </w:pPr>
      <w:r>
        <w:t>2NC---AT: Benefits---Housing</w:t>
      </w:r>
    </w:p>
    <w:p w14:paraId="0A6F11EF" w14:textId="77777777" w:rsidR="00C22526" w:rsidRDefault="00C22526" w:rsidP="00C22526">
      <w:pPr>
        <w:pStyle w:val="Heading4"/>
      </w:pPr>
      <w:r>
        <w:t>Housing benefits</w:t>
      </w:r>
    </w:p>
    <w:p w14:paraId="620FA1CA" w14:textId="77777777" w:rsidR="00C22526" w:rsidRPr="001C0690" w:rsidRDefault="00C22526" w:rsidP="00C22526">
      <w:r w:rsidRPr="000525CD">
        <w:t xml:space="preserve">Nolan </w:t>
      </w:r>
      <w:r w:rsidRPr="000525CD">
        <w:rPr>
          <w:rStyle w:val="Style13ptBold"/>
        </w:rPr>
        <w:t>Downey 22</w:t>
      </w:r>
      <w:r w:rsidRPr="000525CD">
        <w:t>, Staff Attorney for the Legal Impact Network at the Shriver Center on Poverty Law. Economic Security Project. April 13. "Guaranteed Income</w:t>
      </w:r>
      <w:r>
        <w:t>: States Lead the Way in Reimagining the Social Safety Net”</w:t>
      </w:r>
      <w:r w:rsidRPr="000525CD">
        <w:t xml:space="preserve"> </w:t>
      </w:r>
      <w:hyperlink r:id="rId20" w:history="1">
        <w:r w:rsidRPr="002F76AE">
          <w:rPr>
            <w:rStyle w:val="Hyperlink"/>
          </w:rPr>
          <w:t>https://economicsecurityproject.org/resource/states-lead/</w:t>
        </w:r>
      </w:hyperlink>
      <w:r>
        <w:t xml:space="preserve"> //</w:t>
      </w:r>
      <w:proofErr w:type="spellStart"/>
      <w:proofErr w:type="gramStart"/>
      <w:r>
        <w:t>pipk</w:t>
      </w:r>
      <w:proofErr w:type="spellEnd"/>
      <w:proofErr w:type="gramEnd"/>
    </w:p>
    <w:p w14:paraId="0CBEA36B" w14:textId="77777777" w:rsidR="00C22526" w:rsidRDefault="00C22526" w:rsidP="00C22526">
      <w:r w:rsidRPr="00DB7036">
        <w:t>Appendix D: Housing Benefits: Implications of a Publicly Funded Guaranteed Income</w:t>
      </w:r>
    </w:p>
    <w:p w14:paraId="088FFBF8" w14:textId="77777777" w:rsidR="00C22526" w:rsidRDefault="00C22526" w:rsidP="00C22526">
      <w:r>
        <w:rPr>
          <w:noProof/>
        </w:rPr>
        <w:drawing>
          <wp:inline distT="0" distB="0" distL="0" distR="0" wp14:anchorId="3B849A7A" wp14:editId="69272038">
            <wp:extent cx="3904488" cy="1307592"/>
            <wp:effectExtent l="0" t="0" r="1270" b="6985"/>
            <wp:docPr id="5" name="Picture 5" descr="A picture containing text, screenshot, fon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screenshot, font, line&#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04488" cy="1307592"/>
                    </a:xfrm>
                    <a:prstGeom prst="rect">
                      <a:avLst/>
                    </a:prstGeom>
                    <a:noFill/>
                    <a:ln>
                      <a:noFill/>
                    </a:ln>
                  </pic:spPr>
                </pic:pic>
              </a:graphicData>
            </a:graphic>
          </wp:inline>
        </w:drawing>
      </w:r>
    </w:p>
    <w:p w14:paraId="16C20022" w14:textId="77777777" w:rsidR="00C22526" w:rsidRDefault="00C22526" w:rsidP="00C22526">
      <w:r>
        <w:t>For the three largest housing programs—Housing Choice Vouchers (Section 8), Project Based Rental Assistance, and Public Housing129—income determinations not only affect income eligibility for program entrance but may affect the amount of a recipient’s subsidy and, by extension, the amount of rent they pay. HUD has provided pathways to exclude from consideration some guaranteed income payments that are part of privately funded demonstrations that provide monthly payments for research related purposes, but a publicly funded guaranteed income may face challenges regardless of implementation strategy.130</w:t>
      </w:r>
    </w:p>
    <w:p w14:paraId="2B8BE42E" w14:textId="77777777" w:rsidR="00C22526" w:rsidRDefault="00C22526" w:rsidP="00C22526"/>
    <w:p w14:paraId="30BD8BA8" w14:textId="77777777" w:rsidR="00C22526" w:rsidRDefault="00C22526" w:rsidP="00C22526">
      <w:proofErr w:type="gramStart"/>
      <w:r>
        <w:t>Generally speaking, the</w:t>
      </w:r>
      <w:proofErr w:type="gramEnd"/>
      <w:r>
        <w:t xml:space="preserve"> major three housing programs rely on the same federal regulations for determining what counts as “income.” For housing benefits, the frequency or “reliability” of income are relevant factors; as such, guaranteed income models funded by private or public dollars could impact eligibility and subsidy amount depending on the frequency of payments. HUD regulations state that annual income in the form of lump-sum additions to family assets (such inheritances) are not included, nor is temporary, nonrecurring or sporadic income (including gifts). 24 CFR 5.609(c)(3); 24 CFR 5.609(c)(9). However, HUD guidance defines temporary, non-recurring, or sporadic income (including gifts) as income that is neither reliable nor periodic. A common factor in determining if income is truly sporadic or temporary is whether the family expects to receive income from the same source again in the coming year – even if at a different time in the following year. As such, recurring payments from guaranteed income programs would likely impact eligibility, and even payments received via an annual lump sum could be counted if the payments are “expected” or “reliable” in the following year. Additionally, federal law excludes federal tax refunds and refundable credits from consideration in HUD housing programs, but HUD regulations do not specifically exempt state refunds or state tax credits unless they are derived from property taxes paid on the subject property. Accordingly, implementing a guaranteed income as part of an expanded state EITC could impact eligibility and subsidy amount for HUD housing programs.</w:t>
      </w:r>
    </w:p>
    <w:p w14:paraId="72A388CA" w14:textId="77777777" w:rsidR="00C22526" w:rsidRDefault="00C22526" w:rsidP="00C22526"/>
    <w:p w14:paraId="06C3A8A5" w14:textId="77777777" w:rsidR="00C22526" w:rsidRDefault="00C22526" w:rsidP="00C22526">
      <w:r>
        <w:t>However, where some programs may require a change in federal statute to prevent publicly funded guaranteed income models from impacting eligibility, 42 U.S.C. § 1437a(b)(4) states that when the term “income” is used in Chapter 8 of 42 U.S. Code (which governs the three main types of housing assistance), it means “income from all sources of each member of the household, as determined in accordance with criteria prescribed by the Secretary…” Therefore, federal statutes would not prevent guaranteed income from being subject to an exclusion in determining eligibility, but a change in HUD regulations that further defined income would be required.</w:t>
      </w:r>
    </w:p>
    <w:p w14:paraId="1B296DC7" w14:textId="77777777" w:rsidR="00C22526" w:rsidRDefault="00C22526" w:rsidP="00C22526"/>
    <w:p w14:paraId="1F6528BD" w14:textId="77777777" w:rsidR="00C22526" w:rsidRDefault="00C22526" w:rsidP="00C22526">
      <w:r>
        <w:t xml:space="preserve">For the public housing program, HUD has suggested that public housing authorities (PHAs) could adopt a permissive deduction for certain cash payments from a household’s income in the public housing program. HUD imposes certain mandatory deductions, such as for expenses related to </w:t>
      </w:r>
      <w:proofErr w:type="gramStart"/>
      <w:r>
        <w:t>child care</w:t>
      </w:r>
      <w:proofErr w:type="gramEnd"/>
      <w:r>
        <w:t xml:space="preserve"> and disability assistance. Federal law also gives PHAs the option to adopt additional deductions, provided that the PHA includes these deductions as part of its written policy, otherwise known as the PHA’s admission and continued occupancy policy (ACOP).131 The San Francisco Housing Authority, for example, amended its ACOP “to establish a deduction for the research-related cash payments received by selected public housing families” participating in the city’s Abundant Birth program, which provided a year-long $1,000 monthly supplement.132 Beginning in November of 2021, the City of Providence used the same flexibility to adopt a permissive deduction of up to $500 a month for people participating in the City of Providence’s Guaranteed Income Program.133 Optional deductions like these may appeal to other PHAs looking to keep similar cash payments from impacting the rent of recipients, and to advocates looking for an avenue of policy change short of amending legislation or rulemaking. However, it is unclear whether HUD would approve deduction for a permanent state guaranteed income program as opposed to pilots or research-based payments. A potential downside of this approach for a statewide guaranteed income program, however, is the need to secure optional deductions from the dozens of PHAs within a given state.134</w:t>
      </w:r>
    </w:p>
    <w:p w14:paraId="06D88C0B" w14:textId="77777777" w:rsidR="00C22526" w:rsidRDefault="00C22526" w:rsidP="00C22526"/>
    <w:p w14:paraId="3C812A02" w14:textId="77777777" w:rsidR="00C22526" w:rsidRPr="000C45FF" w:rsidRDefault="00C22526" w:rsidP="00C22526">
      <w:r>
        <w:t xml:space="preserve">Lastly, PHAs participating in the Moving to Work (MTW) demonstration program may also have flexibility for additional income exemptions.135 MTW exempts participating PHAs from many public housing and voucher rules allowing them to change income and eligibility requirements – especially if the changes might positively impact employment or “self-sufficiency.” However, the MTW demonstration is predicated on the same troubling and racist narratives that permeate other parts of the social safety net, empowers PHAs to take actions that harm those seeking housing assistance, and changes PHA funding formulas to remove some incentives for PHAs to provide as many vouchers as possible. For example, a 2017 Center on Budget and Policy Priorities report analyzed the original 39 MTW agencies and found that MTW agencies used a smaller percentage of available voucher funds, effectively denying housing assistance to 68,000 families.136 As such, advocates should think carefully before encouraging their local PHA to participate in MTW, even if for the purpose of exploring available flexibility to limit the potential negative consequences of receipt of a guaranteed income on eligibility for housing benefits. However, there are currently 70 MTW PHAs nationwide,137 so exploring this flexibility could be an especially viable strategy for agencies already participating in MTW. </w:t>
      </w:r>
      <w:proofErr w:type="gramStart"/>
      <w:r>
        <w:t>Similar to</w:t>
      </w:r>
      <w:proofErr w:type="gramEnd"/>
      <w:r>
        <w:t xml:space="preserve"> the flexibility provided by HUD under 24 CFR 5.611(b)(1), this strategy would require engagement with numerous local PHAs within a state, making it a challenging strategy to apply consistently for statewide guaranteed income programs.</w:t>
      </w:r>
    </w:p>
    <w:p w14:paraId="4235686A" w14:textId="77777777" w:rsidR="00C22526" w:rsidRDefault="00C22526" w:rsidP="00C22526">
      <w:pPr>
        <w:pStyle w:val="Heading3"/>
      </w:pPr>
      <w:r>
        <w:t>2NC---Solvency---Racist Benefits</w:t>
      </w:r>
    </w:p>
    <w:p w14:paraId="15F3949C" w14:textId="77777777" w:rsidR="00C22526" w:rsidRDefault="00C22526" w:rsidP="00C22526">
      <w:pPr>
        <w:pStyle w:val="Heading4"/>
      </w:pPr>
      <w:r>
        <w:t xml:space="preserve">CP solves racial discrimination through </w:t>
      </w:r>
      <w:proofErr w:type="gramStart"/>
      <w:r>
        <w:t>benefits</w:t>
      </w:r>
      <w:proofErr w:type="gramEnd"/>
    </w:p>
    <w:p w14:paraId="3C98DFF1" w14:textId="77777777" w:rsidR="00C22526" w:rsidRPr="001C0690" w:rsidRDefault="00C22526" w:rsidP="00C22526">
      <w:r w:rsidRPr="000525CD">
        <w:t xml:space="preserve">Nolan </w:t>
      </w:r>
      <w:r w:rsidRPr="000525CD">
        <w:rPr>
          <w:rStyle w:val="Style13ptBold"/>
        </w:rPr>
        <w:t>Downey 22</w:t>
      </w:r>
      <w:r w:rsidRPr="000525CD">
        <w:t>, Staff Attorney for the Legal Impact Network at the Shriver Center on Poverty Law. Economic Security Project. April 13. "Guaranteed Income</w:t>
      </w:r>
      <w:r>
        <w:t>: States Lead the Way in Reimagining the Social Safety Net”</w:t>
      </w:r>
      <w:r w:rsidRPr="000525CD">
        <w:t xml:space="preserve"> </w:t>
      </w:r>
      <w:hyperlink r:id="rId22" w:history="1">
        <w:r w:rsidRPr="002F76AE">
          <w:rPr>
            <w:rStyle w:val="Hyperlink"/>
          </w:rPr>
          <w:t>https://economicsecurityproject.org/resource/states-lead/</w:t>
        </w:r>
      </w:hyperlink>
      <w:r>
        <w:t xml:space="preserve"> //</w:t>
      </w:r>
      <w:proofErr w:type="spellStart"/>
      <w:proofErr w:type="gramStart"/>
      <w:r>
        <w:t>pipk</w:t>
      </w:r>
      <w:proofErr w:type="spellEnd"/>
      <w:proofErr w:type="gramEnd"/>
    </w:p>
    <w:p w14:paraId="4FD3EE07" w14:textId="77777777" w:rsidR="00C22526" w:rsidRDefault="00C22526" w:rsidP="00C22526">
      <w:r>
        <w:t>A Guaranteed Income Can Promote Racial Equity</w:t>
      </w:r>
    </w:p>
    <w:p w14:paraId="105F5558" w14:textId="77777777" w:rsidR="00C22526" w:rsidRDefault="00C22526" w:rsidP="00C22526">
      <w:r>
        <w:t>In the United States, racism is the default mode. Enslavement of Black people and the genocide of Indigenous people remain unaddressed original sins critical to the country’s founding, expansion, economic growth, and accumulation of wealth by white people. What followed were decades of discriminatory policies that stifled the ability of Black people and other people of color to benefit from their labor, housing discrimination through redlining and racial steering, and targeted exclusion of Black families from government aid all fueled by the proliferation of racist narratives and stereotypes that continue to infect the social safety net. Any public policy seeking to combat racial inequity must do so affirmatively and explicitly, and a guaranteed income is no different. A guaranteed income has the potential to contribute to racial equity by being truly accessible to Black families in contrast to many current public benefits tarnished by racist history, anti-Blackness, and outright exclusion of Black families that continues to impact access,</w:t>
      </w:r>
    </w:p>
    <w:p w14:paraId="3459B96E" w14:textId="77777777" w:rsidR="00C22526" w:rsidRDefault="00C22526" w:rsidP="00C22526"/>
    <w:p w14:paraId="712B8E18" w14:textId="77777777" w:rsidR="00C22526" w:rsidRDefault="00C22526" w:rsidP="00C22526">
      <w:r>
        <w:t xml:space="preserve">seeking to challenge narratives about who is deserving of assistance, </w:t>
      </w:r>
    </w:p>
    <w:p w14:paraId="2EF72675" w14:textId="77777777" w:rsidR="00C22526" w:rsidRDefault="00C22526" w:rsidP="00C22526">
      <w:r>
        <w:t xml:space="preserve">contemplating designs that account for the material economic circumstances created by racism by providing higher payments to Black and Indigenous people, and </w:t>
      </w:r>
    </w:p>
    <w:p w14:paraId="5A8B142B" w14:textId="77777777" w:rsidR="00C22526" w:rsidRDefault="00C22526" w:rsidP="00C22526">
      <w:r>
        <w:t>including robust immigrant eligibility.</w:t>
      </w:r>
    </w:p>
    <w:p w14:paraId="2491A245" w14:textId="77777777" w:rsidR="00C22526" w:rsidRDefault="00C22526" w:rsidP="00C22526">
      <w:r>
        <w:t>Racism in Current Benefits Structures</w:t>
      </w:r>
    </w:p>
    <w:p w14:paraId="020AF315" w14:textId="77777777" w:rsidR="00C22526" w:rsidRDefault="00C22526" w:rsidP="00C22526">
      <w:r>
        <w:t xml:space="preserve">A guaranteed income provides an opportunity for states to address the seemingly facially neutral policies of federal public benefits programs that have historically excluded communities of color. In refusing to replicate these policies in a guaranteed income program, states can help its residents in these communities meet the needs of themselves and their families. Public benefits programs continue to enact racist practices that embrace and perpetuate white supremacist features, such as: </w:t>
      </w:r>
    </w:p>
    <w:p w14:paraId="791C2113" w14:textId="77777777" w:rsidR="00C22526" w:rsidRDefault="00C22526" w:rsidP="00C22526"/>
    <w:p w14:paraId="472DDBCD" w14:textId="77777777" w:rsidR="00C22526" w:rsidRDefault="00C22526" w:rsidP="00C22526">
      <w:r>
        <w:t xml:space="preserve">“Family Caps” </w:t>
      </w:r>
    </w:p>
    <w:p w14:paraId="455628A8" w14:textId="77777777" w:rsidR="00C22526" w:rsidRDefault="00C22526" w:rsidP="00C22526">
      <w:r>
        <w:t>130k</w:t>
      </w:r>
    </w:p>
    <w:p w14:paraId="15627F10" w14:textId="77777777" w:rsidR="00C22526" w:rsidRDefault="00C22526" w:rsidP="00C22526">
      <w:r>
        <w:t>children in CA denied benefits in a year because of “family caps.”</w:t>
      </w:r>
    </w:p>
    <w:p w14:paraId="7EB14DF8" w14:textId="77777777" w:rsidR="00C22526" w:rsidRDefault="00C22526" w:rsidP="00C22526"/>
    <w:p w14:paraId="73091608" w14:textId="77777777" w:rsidR="00C22526" w:rsidRDefault="00C22526" w:rsidP="00C22526">
      <w:r>
        <w:t>XX%</w:t>
      </w:r>
    </w:p>
    <w:p w14:paraId="3E9F2352" w14:textId="77777777" w:rsidR="00C22526" w:rsidRDefault="00C22526" w:rsidP="00C22526">
      <w:r>
        <w:t>Please provide a brief description for this statistic.</w:t>
      </w:r>
    </w:p>
    <w:p w14:paraId="7A1AE8B6" w14:textId="77777777" w:rsidR="00C22526" w:rsidRDefault="00C22526" w:rsidP="00C22526"/>
    <w:p w14:paraId="755E8BD8" w14:textId="77777777" w:rsidR="00C22526" w:rsidRDefault="00C22526" w:rsidP="00C22526">
      <w:r>
        <w:t xml:space="preserve">Benefits are often calculated based on family size. Since the 1990s some states have implemented policies that deny or reduce benefits to families who have additional children while receiving benefits. These policies were justified by false and racist narratives depicting Black mothers as irresponsible and having additional children simply to increase their welfare allotments.78 According to the Center on Budget and Policy Priorities, a total of 22 states instituted these policies, with 13 states continuing to enforce “family caps” as of 2020. While some states like California have repealed their “family cap,” an estimated 130,000 children were denied benefits because of the “family cap” while it was in effect.79 </w:t>
      </w:r>
    </w:p>
    <w:p w14:paraId="4727D5E1" w14:textId="77777777" w:rsidR="00C22526" w:rsidRDefault="00C22526" w:rsidP="00C22526"/>
    <w:p w14:paraId="5E44EEAE" w14:textId="77777777" w:rsidR="00C22526" w:rsidRDefault="00C22526" w:rsidP="00C22526"/>
    <w:p w14:paraId="1585702A" w14:textId="77777777" w:rsidR="00C22526" w:rsidRDefault="00C22526" w:rsidP="00C22526">
      <w:r>
        <w:t>Drug Testing</w:t>
      </w:r>
    </w:p>
    <w:p w14:paraId="3B2CC4C3" w14:textId="77777777" w:rsidR="00C22526" w:rsidRDefault="00C22526" w:rsidP="00C22526">
      <w:r>
        <w:t xml:space="preserve">A 2019 report by the Center on Law and Social Policy found that 13 states maintain drug screening policies in their TANF cash assistance programs. These policies require applicants to answer a questionnaire supposedly designed to screen for the possibility of substance abuse, and then applicants are drug tested if the screening reveals “a reasonable suspicion.”80 Just like the broader “War on Drugs” these policies are fueled by false racist stereotypes.81 </w:t>
      </w:r>
    </w:p>
    <w:p w14:paraId="3F854DF2" w14:textId="77777777" w:rsidR="00C22526" w:rsidRDefault="00C22526" w:rsidP="00C22526"/>
    <w:p w14:paraId="780C2656" w14:textId="77777777" w:rsidR="00C22526" w:rsidRDefault="00C22526" w:rsidP="00C22526">
      <w:r>
        <w:t xml:space="preserve">Consideration of Prior Justice Involvement </w:t>
      </w:r>
    </w:p>
    <w:p w14:paraId="0527A0E4" w14:textId="77777777" w:rsidR="00C22526" w:rsidRDefault="00C22526" w:rsidP="00C22526">
      <w:r>
        <w:t>Over-policing in communities of color and a deeply racist criminal legal system have led to disproportionate rates of incarceration for Black, Latino/a/x, and Indigenous communities.</w:t>
      </w:r>
      <w:proofErr w:type="gramStart"/>
      <w:r>
        <w:t>82  According</w:t>
      </w:r>
      <w:proofErr w:type="gramEnd"/>
      <w:r>
        <w:t xml:space="preserve"> to a 2021 report by the Sentencing Project, when compared to white people, the rate of incarceration is 5 times higher for Black people and 1.3 times higher for Latino/a/x people. While incarceration data for Indigenous communities are subject to </w:t>
      </w:r>
      <w:proofErr w:type="gramStart"/>
      <w:r>
        <w:t>a number of</w:t>
      </w:r>
      <w:proofErr w:type="gramEnd"/>
      <w:r>
        <w:t xml:space="preserve"> limitations,83 in 2010 the incarceration rate of Native Americans was 38 percent higher than the national rate.84 Given these disproportionalities, exclusion based on prior justice involvement in benefits eligibility is another racist feature of the current benefits structure. The “War on Drugs” and its racialized impact, for example, casts a particularly long shadow on public benefits programs. It led to bans on applicants with drug felony convictions in SNAP and TANF, which 25 states still maintain, at least partially, in the TANF program.85 Additionally, 20 states still account for prior felony drug convictions in their SNAP programs – sometimes requiring that applicants show proof of completed probation or drug counseling – with South Carolina continuing to maintain an outright ban.86 Similarly, public housing authorities have the discretion to deny housing on the basis of prior drug-related</w:t>
      </w:r>
    </w:p>
    <w:p w14:paraId="5C53F0D1" w14:textId="77777777" w:rsidR="00C22526" w:rsidRDefault="00C22526" w:rsidP="00C22526">
      <w:r>
        <w:t>criminal activity.87</w:t>
      </w:r>
    </w:p>
    <w:p w14:paraId="1B4A5F4A" w14:textId="77777777" w:rsidR="00C22526" w:rsidRDefault="00C22526" w:rsidP="00C22526"/>
    <w:p w14:paraId="0F3659CD" w14:textId="77777777" w:rsidR="00C22526" w:rsidRDefault="00C22526" w:rsidP="00C22526">
      <w:r>
        <w:t>Asset Limits Disproportionately Favoring White People</w:t>
      </w:r>
    </w:p>
    <w:p w14:paraId="331FBEA0" w14:textId="77777777" w:rsidR="00C22526" w:rsidRDefault="00C22526" w:rsidP="00C22526">
      <w:r>
        <w:t>Some public benefits programs deploy asset tests to determine need and eligibility. However, one consistent feature of asset tests is an exclusion of one’s home as a considered asset,88 greatly favoring white people who are more likely to own their home. Indeed, one of the biggest factors in this racial wealth gap is the disparity in homeownership. In 2011, 73 percent of white households owned their own homes, while only 47 percent of Latino/a/x households and 45 percent of Black households were homeowners.89 From the continuing impact of Black people’s exclusion from the GI Bill, redlining, and the retreat from desegregation in public education, as well as the targeting of communities of color for subprime mortgages, racist public policy has shaped these disparities, leaving them impossible to overcome without race-conscious policy change.90</w:t>
      </w:r>
    </w:p>
    <w:p w14:paraId="63E0DFF5" w14:textId="77777777" w:rsidR="00C22526" w:rsidRDefault="00C22526" w:rsidP="00C22526"/>
    <w:p w14:paraId="44FCA00E" w14:textId="77777777" w:rsidR="00C22526" w:rsidRDefault="00C22526" w:rsidP="00C22526"/>
    <w:p w14:paraId="2A952210" w14:textId="77777777" w:rsidR="00C22526" w:rsidRDefault="00C22526" w:rsidP="00C22526">
      <w:r>
        <w:t>Work Requirements</w:t>
      </w:r>
    </w:p>
    <w:p w14:paraId="364885A6" w14:textId="77777777" w:rsidR="00C22526" w:rsidRDefault="00C22526" w:rsidP="00C22526">
      <w:r>
        <w:t xml:space="preserve">Work requirement policies represent one of the most insidious forms of racism and anti-Blackness in public benefits structures because of their direct lineage to racist narratives dating back to slavery. During slavery, white slaveowners created the trope of Black people as lazy to justify their participation in a cruel system of bondage and forced labor of enslaved Black people.91 Post-abolition, these tropes led to the proliferation of other forms of coerced labor for Black people.92 These racist stereotypes were also present in the denial of benefits to Black people in the Mother’s Pension program of the late 19th century and the Aid for Dependent Children (ADC) program (the predecessor to Aid to Families with Dependent Children (AFDC) and eventually TANF). Many southern states, where Black populations remained concentrated, implemented policies denying benefits to “able-bodied” people who were not working during the harvesting season and enforced these policies primarily against Black people in an attempt to force them – including children as young as seven – into the fields to work.93 These policies set the stage for later decades where a federal work requirement would be implemented in the AFDC program and carried through into the TANF and Food Stamp program (predecessor to SNAP) as part of the Personal Responsibility and Work Opportunity Act, commonly known as “welfare reform,” in 1996. </w:t>
      </w:r>
    </w:p>
    <w:p w14:paraId="173BEFDF" w14:textId="77777777" w:rsidR="00C22526" w:rsidRDefault="00C22526" w:rsidP="00C22526"/>
    <w:p w14:paraId="716E0B2F" w14:textId="77777777" w:rsidR="00C22526" w:rsidRDefault="00C22526" w:rsidP="00C22526">
      <w:r>
        <w:t>Despite white people making up the largest share of public benefits recipients in the United States, there has been careful and intentional effort to bolster racist historical narratives that associate “public benefits” and “welfare” with Black people – particularly Black women, so that racial and gender bias can be weaponized to degrade the social safety net. Nowhere is this more evident than Ronald Reagan’s conjuring of the mythical “welfare queen.”94 Ronald Reagan built upon historical stereotypes of Black people as “lazy” by using the image of a Black woman to deride what he falsely described as rampant fraud and “</w:t>
      </w:r>
      <w:proofErr w:type="gramStart"/>
      <w:r>
        <w:t>free-riding</w:t>
      </w:r>
      <w:proofErr w:type="gramEnd"/>
      <w:r>
        <w:t xml:space="preserve">.” This imagery proved extremely potent. The research of political scientist Martin </w:t>
      </w:r>
      <w:proofErr w:type="spellStart"/>
      <w:r>
        <w:t>Gilens</w:t>
      </w:r>
      <w:proofErr w:type="spellEnd"/>
      <w:r>
        <w:t xml:space="preserve"> shows just how prolific these racist beliefs had become by the 1990s. Analyzing survey data, </w:t>
      </w:r>
      <w:proofErr w:type="spellStart"/>
      <w:r>
        <w:t>Gilens</w:t>
      </w:r>
      <w:proofErr w:type="spellEnd"/>
      <w:r>
        <w:t xml:space="preserve"> found that </w:t>
      </w:r>
      <w:proofErr w:type="gramStart"/>
      <w:r>
        <w:t>the majority of</w:t>
      </w:r>
      <w:proofErr w:type="gramEnd"/>
      <w:r>
        <w:t xml:space="preserve"> white Americans believed that Black people could be “just as well off as whites if they only tried harder.” </w:t>
      </w:r>
      <w:proofErr w:type="spellStart"/>
      <w:r>
        <w:t>Gilens</w:t>
      </w:r>
      <w:proofErr w:type="spellEnd"/>
      <w:r>
        <w:t xml:space="preserve"> concluded, “were it not for Whites’ negative views of Blacks’ commitment to the work ethic, support for the least-favored welfare programs might more closely resemble the nearly unanimous support that education, health care, and programs for the elderly currently enjoy.”</w:t>
      </w:r>
      <w:proofErr w:type="gramStart"/>
      <w:r>
        <w:t>95</w:t>
      </w:r>
      <w:proofErr w:type="gramEnd"/>
    </w:p>
    <w:p w14:paraId="25B00DBA" w14:textId="77777777" w:rsidR="00C22526" w:rsidRDefault="00C22526" w:rsidP="00C22526"/>
    <w:p w14:paraId="6E0B5197" w14:textId="77777777" w:rsidR="00C22526" w:rsidRDefault="00C22526" w:rsidP="00C22526">
      <w:r>
        <w:t xml:space="preserve">These attitudes were apparent when then-presidential candidate Bill Clinton’s pledge to “end welfare as we know it”96 was met with tremendous enthusiasm. Clinton kept his promise by signing the Personal Responsibility and Work Opportunity Reconciliation Act, which eviscerated federal cash assistance, transforming it from an entitlement to a block grant and adding harsher work requirements and time-limits while doubling down on existing racist policies like “family caps” and “drug-testing.” </w:t>
      </w:r>
    </w:p>
    <w:p w14:paraId="4345F076" w14:textId="77777777" w:rsidR="00C22526" w:rsidRDefault="00C22526" w:rsidP="00C22526"/>
    <w:p w14:paraId="6D26BA34" w14:textId="77777777" w:rsidR="00C22526" w:rsidRDefault="00C22526" w:rsidP="00C22526">
      <w:r>
        <w:t>Advocates for a guaranteed income must name the cruel history and racist features of the current public benefits infrastructure.</w:t>
      </w:r>
    </w:p>
    <w:p w14:paraId="01C246D8" w14:textId="77777777" w:rsidR="00C22526" w:rsidRDefault="00C22526" w:rsidP="00C22526"/>
    <w:p w14:paraId="152479F4" w14:textId="77777777" w:rsidR="00C22526" w:rsidRDefault="00C22526" w:rsidP="00C22526">
      <w:r>
        <w:t xml:space="preserve">Embracing program names that include words like “supplemental” and “temporary,” makes clear that many aspects of the social safety net are not truly intended to meet people’s basic needs. Racism has been a key contributor to this philosophy. A guaranteed income </w:t>
      </w:r>
      <w:proofErr w:type="gramStart"/>
      <w:r>
        <w:t>has the opportunity to</w:t>
      </w:r>
      <w:proofErr w:type="gramEnd"/>
      <w:r>
        <w:t xml:space="preserve"> put forth a different vision.</w:t>
      </w:r>
    </w:p>
    <w:p w14:paraId="336742EF" w14:textId="77777777" w:rsidR="00C22526" w:rsidRDefault="00C22526" w:rsidP="00C22526"/>
    <w:p w14:paraId="1B7FABA2" w14:textId="77777777" w:rsidR="00C22526" w:rsidRDefault="00C22526" w:rsidP="00C22526">
      <w:r>
        <w:t xml:space="preserve">To promote racial equity, advocates for a guaranteed income must name the cruel history and racist features of the current public benefits infrastructure and reject the racialized framing of recipients as “deserving” or “undeserving.” Critically a guaranteed income also rejects underlying assumptions around the relationship between public benefits and traditional work and untethers a person’s value from their ability to earn wages. </w:t>
      </w:r>
      <w:proofErr w:type="gramStart"/>
      <w:r>
        <w:t>Instead</w:t>
      </w:r>
      <w:proofErr w:type="gramEnd"/>
      <w:r>
        <w:t xml:space="preserve"> a guaranteed income uplifts the notion that every person is entitled to have their basic needs met and live with dignity. Together we have the resources to provide for each other; it is not only possible and beneficial, but immoral to do otherwise.</w:t>
      </w:r>
    </w:p>
    <w:p w14:paraId="0BE83368" w14:textId="77777777" w:rsidR="00C22526" w:rsidRDefault="00C22526" w:rsidP="00C22526"/>
    <w:p w14:paraId="6608D02E" w14:textId="77777777" w:rsidR="00C22526" w:rsidRDefault="00C22526" w:rsidP="00C22526">
      <w:pPr>
        <w:pStyle w:val="Heading3"/>
      </w:pPr>
      <w:r>
        <w:t>2NC---Solvency---Racial Targeting</w:t>
      </w:r>
    </w:p>
    <w:p w14:paraId="7B2765C6" w14:textId="77777777" w:rsidR="00C22526" w:rsidRDefault="00C22526" w:rsidP="00C22526">
      <w:pPr>
        <w:pStyle w:val="Heading4"/>
      </w:pPr>
      <w:r>
        <w:t xml:space="preserve">CP can target based on </w:t>
      </w:r>
      <w:proofErr w:type="gramStart"/>
      <w:r>
        <w:t>race</w:t>
      </w:r>
      <w:proofErr w:type="gramEnd"/>
    </w:p>
    <w:p w14:paraId="317860CE" w14:textId="77777777" w:rsidR="00C22526" w:rsidRPr="001C0690" w:rsidRDefault="00C22526" w:rsidP="00C22526">
      <w:r w:rsidRPr="000525CD">
        <w:t xml:space="preserve">Nolan </w:t>
      </w:r>
      <w:r w:rsidRPr="000525CD">
        <w:rPr>
          <w:rStyle w:val="Style13ptBold"/>
        </w:rPr>
        <w:t>Downey 22</w:t>
      </w:r>
      <w:r w:rsidRPr="000525CD">
        <w:t>, Staff Attorney for the Legal Impact Network at the Shriver Center on Poverty Law. Economic Security Project. April 13. "Guaranteed Income</w:t>
      </w:r>
      <w:r>
        <w:t>: States Lead the Way in Reimagining the Social Safety Net”</w:t>
      </w:r>
      <w:r w:rsidRPr="000525CD">
        <w:t xml:space="preserve"> </w:t>
      </w:r>
      <w:hyperlink r:id="rId23" w:history="1">
        <w:r w:rsidRPr="002F76AE">
          <w:rPr>
            <w:rStyle w:val="Hyperlink"/>
          </w:rPr>
          <w:t>https://economicsecurityproject.org/resource/states-lead/</w:t>
        </w:r>
      </w:hyperlink>
      <w:r>
        <w:t xml:space="preserve"> //</w:t>
      </w:r>
      <w:proofErr w:type="spellStart"/>
      <w:proofErr w:type="gramStart"/>
      <w:r>
        <w:t>pipk</w:t>
      </w:r>
      <w:proofErr w:type="spellEnd"/>
      <w:proofErr w:type="gramEnd"/>
    </w:p>
    <w:p w14:paraId="72268CAF" w14:textId="77777777" w:rsidR="00C22526" w:rsidRDefault="00C22526" w:rsidP="00C22526">
      <w:r>
        <w:t>Considering Race-Targeted Benefits in Pursuit of Equity</w:t>
      </w:r>
    </w:p>
    <w:p w14:paraId="4BF00B36" w14:textId="77777777" w:rsidR="00C22526" w:rsidRDefault="00C22526" w:rsidP="00C22526">
      <w:r>
        <w:t xml:space="preserve">True racial equity will require that generations of racialized harms be met with a sustained commitment to race-conscious solutions. Guaranteed income programs not only provide a platform for a long overdue narrative shift around public benefits recipients, but they could also provide a mechanism to materially reduce racial income disparities by providing higher payments to Black and Indigenous people. In some ways, the racial justice contributions of smaller scale </w:t>
      </w:r>
      <w:proofErr w:type="gramStart"/>
      <w:r>
        <w:t>privately-funded</w:t>
      </w:r>
      <w:proofErr w:type="gramEnd"/>
      <w:r>
        <w:t xml:space="preserve"> guaranteed income demonstrations are easier to conceptualize because some have been explicitly targeted based on race or within historically disadvantaged neighborhoods. However, there has been some examination of how permanent, publicly funded cash transfers programs could be designed to achieve economic justice and racial equity. For example, Dorian Warren’s Universal PLUS model of basic income which “calls for an additional payment to be dispersed to Black families on top of the standard benefits given to all families over a period of time.” As described in a report by the Roosevelt Institute, “The ‘plus model’ acknowledges that the wealth created in the US is inextricably linked to Black labor, sweat, and tears, and this community has never received the benefits created from that labor.” This type of “targeted universalism” recognizes and seeks to redress the negative accumulation resulting from generations of racial inequities in income, wealth, and opportunity.97</w:t>
      </w:r>
    </w:p>
    <w:p w14:paraId="52EAF759" w14:textId="77777777" w:rsidR="00C22526" w:rsidRDefault="00C22526" w:rsidP="00C22526"/>
    <w:p w14:paraId="1B1FFE48" w14:textId="77777777" w:rsidR="00C22526" w:rsidRDefault="00C22526" w:rsidP="00C22526">
      <w:r>
        <w:t>Unlike the Universal PLUS model – which would pay some income to everyone and engage in race targeting to provide more income over time to Black families, a guaranteed income would not achieve the same goal of much needed reparations, repairing a history of slavery and race-based exclusion. A guaranteed income program prioritizes channeling money to low-income, no-income, and middle-income people; while there could be additional payments based on the race of eligible individuals, higher income Black and Indigenous people who are entitled to reparations, would not receive a guaranteed income. Racial justice demands that some form of material economic justice be achieved, and there is room for states to think creatively about how a guaranteed income could play a role.</w:t>
      </w:r>
    </w:p>
    <w:p w14:paraId="356AC7AE" w14:textId="77777777" w:rsidR="00C22526" w:rsidRDefault="00C22526" w:rsidP="00C22526"/>
    <w:p w14:paraId="5C7B288A" w14:textId="77777777" w:rsidR="00C22526" w:rsidRDefault="00C22526" w:rsidP="00C22526">
      <w:pPr>
        <w:pStyle w:val="Heading3"/>
      </w:pPr>
      <w:r>
        <w:t>2NC---Solvency---Immigrants</w:t>
      </w:r>
    </w:p>
    <w:p w14:paraId="7BCF1729" w14:textId="77777777" w:rsidR="00C22526" w:rsidRDefault="00C22526" w:rsidP="00C22526">
      <w:pPr>
        <w:pStyle w:val="Heading4"/>
      </w:pPr>
      <w:r>
        <w:t xml:space="preserve">CP can give to </w:t>
      </w:r>
      <w:proofErr w:type="gramStart"/>
      <w:r>
        <w:t>immigrants</w:t>
      </w:r>
      <w:proofErr w:type="gramEnd"/>
    </w:p>
    <w:p w14:paraId="52B888B6" w14:textId="77777777" w:rsidR="00C22526" w:rsidRPr="001C0690" w:rsidRDefault="00C22526" w:rsidP="00C22526">
      <w:r w:rsidRPr="000525CD">
        <w:t xml:space="preserve">Nolan </w:t>
      </w:r>
      <w:r w:rsidRPr="000525CD">
        <w:rPr>
          <w:rStyle w:val="Style13ptBold"/>
        </w:rPr>
        <w:t>Downey 22</w:t>
      </w:r>
      <w:r w:rsidRPr="000525CD">
        <w:t>, Staff Attorney for the Legal Impact Network at the Shriver Center on Poverty Law. Economic Security Project. April 13. "Guaranteed Income</w:t>
      </w:r>
      <w:r>
        <w:t>: States Lead the Way in Reimagining the Social Safety Net”</w:t>
      </w:r>
      <w:r w:rsidRPr="000525CD">
        <w:t xml:space="preserve"> </w:t>
      </w:r>
      <w:hyperlink r:id="rId24" w:history="1">
        <w:r w:rsidRPr="002F76AE">
          <w:rPr>
            <w:rStyle w:val="Hyperlink"/>
          </w:rPr>
          <w:t>https://economicsecurityproject.org/resource/states-lead/</w:t>
        </w:r>
      </w:hyperlink>
      <w:r>
        <w:t xml:space="preserve"> //</w:t>
      </w:r>
      <w:proofErr w:type="spellStart"/>
      <w:proofErr w:type="gramStart"/>
      <w:r>
        <w:t>pipk</w:t>
      </w:r>
      <w:proofErr w:type="spellEnd"/>
      <w:proofErr w:type="gramEnd"/>
    </w:p>
    <w:p w14:paraId="0C61A209" w14:textId="77777777" w:rsidR="00C22526" w:rsidRDefault="00C22526" w:rsidP="00C22526">
      <w:r>
        <w:t>Opportunities for Immigrant Eligibility</w:t>
      </w:r>
    </w:p>
    <w:p w14:paraId="1891E6AC" w14:textId="77777777" w:rsidR="00C22526" w:rsidRDefault="00C22526" w:rsidP="00C22526">
      <w:r>
        <w:t xml:space="preserve">Guaranteed income programs and other state-based cash transfers represent the greatest opportunity to create economic justice for immigrant communities that have long been excluded from federal programs. Throughout history, racist rhetoric and policymaking98 has led to the exclusion of </w:t>
      </w:r>
      <w:proofErr w:type="gramStart"/>
      <w:r>
        <w:t>undocumented  immigrants</w:t>
      </w:r>
      <w:proofErr w:type="gramEnd"/>
      <w:r>
        <w:t xml:space="preserve"> from federal programs such as SNAP, TANF (and its predecessor AFDC), Medicaid, SSI, and others, with only limited availability to other immigrant groups who are “lawfully present” in the United States.99 In 1996, federal welfare reform created two categories of immigrants for benefits eligibility purposes: “qualified” and “not qualified.” Some groups of immigrants who are “qualified” for federal programs include legal permanent residents (LPRs or green card holders), asylees, refugees, people fleeing abuse, or survivors of trafficking. However, even these categories of immigrants can face additional restrictions or “wait periods”, such as the 5-year federal ban on benefits for qualified immigrant groups who must be present in the U.S. for five years or work.100 For “not qualified” immigrants, such as the 10.5 to 12 million101 undocumented immigrants in the country, federal programs are largely unobtainable.</w:t>
      </w:r>
    </w:p>
    <w:p w14:paraId="304B1F30" w14:textId="77777777" w:rsidR="00C22526" w:rsidRDefault="00C22526" w:rsidP="00C22526"/>
    <w:p w14:paraId="4CF851F3" w14:textId="77777777" w:rsidR="00C22526" w:rsidRDefault="00C22526" w:rsidP="00C22526">
      <w:r>
        <w:t>This structural inequity, coupled with decades of cruel immigration policies, has made it harder for immigrants to obtain economic stability. States have an opportunity to provide needed support and progress toward economic and racial justice for immigrant communities excluded from the social safety net by ensuring robust immigrant eligibility for state-funded cash transfer programs. Some states provided benefits both before and during the pandemic, to try to address some of the shortfall of federal programs and federal relief passed in response to COVID-19. California established a $125 million fund to help undocumented workers who cannot access unemployment insurance. Oregon added $20 million to the Oregon Worker Relief Fund which was created to provide temporary financial relief to undocumented workers. Connecticut provided a total of $3.5 million to aid undocumented families with rent relief and direct financial aid. Lastly, in Fiscal Year 2021 Illinois began providing Medicaid coverage for low-income seniors regardless of immigration status, making it the first state to cover older undocumented immigrants.102 Nothing in federal law would prevent states from providing state funds to immigrants in the form of a guaranteed income or other cash transfers, and offering long-overdue support to immigrants who are critical to the success of our communities.103</w:t>
      </w:r>
    </w:p>
    <w:p w14:paraId="5E4C7172" w14:textId="4F1FB5A7" w:rsidR="00BC4C25" w:rsidRDefault="002638AF" w:rsidP="006A079B">
      <w:pPr>
        <w:pStyle w:val="Heading2"/>
      </w:pPr>
      <w:r>
        <w:t>Fiscal Redistribution</w:t>
      </w:r>
    </w:p>
    <w:p w14:paraId="1FD16A59" w14:textId="6017467C" w:rsidR="00CE4A22" w:rsidRDefault="00CE4A22" w:rsidP="00CE4A22">
      <w:pPr>
        <w:pStyle w:val="Heading3"/>
      </w:pPr>
      <w:r>
        <w:t>2NC---Solvency</w:t>
      </w:r>
    </w:p>
    <w:p w14:paraId="1DADEF95" w14:textId="4D778E94" w:rsidR="00945DB5" w:rsidRDefault="00945DB5" w:rsidP="00945DB5">
      <w:pPr>
        <w:pStyle w:val="Heading4"/>
      </w:pPr>
      <w:r>
        <w:t>State programs are empirically effective</w:t>
      </w:r>
      <w:r w:rsidR="00B8400C">
        <w:t>. T</w:t>
      </w:r>
      <w:r>
        <w:t xml:space="preserve">hey have </w:t>
      </w:r>
      <w:r w:rsidR="00B8400C">
        <w:t>higher</w:t>
      </w:r>
      <w:r>
        <w:t xml:space="preserve"> levels of </w:t>
      </w:r>
      <w:proofErr w:type="gramStart"/>
      <w:r>
        <w:t>uptake</w:t>
      </w:r>
      <w:proofErr w:type="gramEnd"/>
    </w:p>
    <w:p w14:paraId="34CCDF53" w14:textId="77777777" w:rsidR="00945DB5" w:rsidRDefault="00945DB5" w:rsidP="00945DB5">
      <w:r w:rsidRPr="00EB5C17">
        <w:t xml:space="preserve">Sarah K. </w:t>
      </w:r>
      <w:r w:rsidRPr="00EB5C17">
        <w:rPr>
          <w:rStyle w:val="Style13ptBold"/>
        </w:rPr>
        <w:t>Bruch et al 23</w:t>
      </w:r>
      <w:r w:rsidRPr="00EB5C17">
        <w:t xml:space="preserve">, associate professor at the Joseph R. Biden, Jr., School of Public Policy and Administration and the Department of Sociology and Criminal Justice at the University of Delaware. Joseph van der </w:t>
      </w:r>
      <w:proofErr w:type="spellStart"/>
      <w:r w:rsidRPr="00EB5C17">
        <w:t>Naald</w:t>
      </w:r>
      <w:proofErr w:type="spellEnd"/>
      <w:r w:rsidRPr="00EB5C17">
        <w:t xml:space="preserve"> is a doctoral candidate in the sociology program at the Graduate Center of the City University of New York. Janet </w:t>
      </w:r>
      <w:proofErr w:type="spellStart"/>
      <w:r w:rsidRPr="00EB5C17">
        <w:t>Gornick</w:t>
      </w:r>
      <w:proofErr w:type="spellEnd"/>
      <w:r w:rsidRPr="00EB5C17">
        <w:t xml:space="preserve"> is a professor of political science and sociology at the Graduate Center of the City University of New York. She also serves as director of the James M. and Cathleen D. Stone Center on Socio-Economic Inequality, which includes the US office of LIS (the cross-national data archive in Luxembourg).</w:t>
      </w:r>
      <w:r>
        <w:t xml:space="preserve"> Social Service Review.  </w:t>
      </w:r>
      <w:proofErr w:type="gramStart"/>
      <w:r>
        <w:t>“</w:t>
      </w:r>
      <w:r w:rsidRPr="00EB5C17">
        <w:t xml:space="preserve"> </w:t>
      </w:r>
      <w:r w:rsidRPr="00427757">
        <w:t>Poverty</w:t>
      </w:r>
      <w:proofErr w:type="gramEnd"/>
      <w:r w:rsidRPr="00427757">
        <w:t xml:space="preserve"> Reduction through Federal and State Policy Mechanisms: Variation over Time and across the United States</w:t>
      </w:r>
      <w:r>
        <w:t xml:space="preserve">” May 2. </w:t>
      </w:r>
      <w:hyperlink r:id="rId25" w:anchor="d21216324e4057" w:history="1">
        <w:r w:rsidRPr="002F76AE">
          <w:rPr>
            <w:rStyle w:val="Hyperlink"/>
          </w:rPr>
          <w:t>https://www.journals.uchicago.edu/doi/full/10.1086/724556#d21216324e4057</w:t>
        </w:r>
      </w:hyperlink>
      <w:r>
        <w:t xml:space="preserve"> //</w:t>
      </w:r>
      <w:proofErr w:type="spellStart"/>
      <w:r>
        <w:t>pipk</w:t>
      </w:r>
      <w:proofErr w:type="spellEnd"/>
    </w:p>
    <w:p w14:paraId="32A055D6" w14:textId="77777777" w:rsidR="00945DB5" w:rsidRPr="00EE41EE" w:rsidRDefault="00945DB5" w:rsidP="00945DB5">
      <w:pPr>
        <w:rPr>
          <w:sz w:val="16"/>
        </w:rPr>
      </w:pPr>
      <w:r w:rsidRPr="00EE41EE">
        <w:rPr>
          <w:sz w:val="16"/>
        </w:rPr>
        <w:t>Analytic Approach and Methods</w:t>
      </w:r>
    </w:p>
    <w:p w14:paraId="4C09AEAF" w14:textId="77777777" w:rsidR="00945DB5" w:rsidRPr="00EE41EE" w:rsidRDefault="00945DB5" w:rsidP="00945DB5">
      <w:pPr>
        <w:rPr>
          <w:sz w:val="16"/>
        </w:rPr>
      </w:pPr>
      <w:r w:rsidRPr="00846C54">
        <w:rPr>
          <w:rStyle w:val="StyleUnderline"/>
          <w:highlight w:val="cyan"/>
        </w:rPr>
        <w:t xml:space="preserve">To examine </w:t>
      </w:r>
      <w:r w:rsidRPr="004D6DE1">
        <w:rPr>
          <w:rStyle w:val="StyleUnderline"/>
        </w:rPr>
        <w:t xml:space="preserve">the extent of </w:t>
      </w:r>
      <w:r w:rsidRPr="00846C54">
        <w:rPr>
          <w:rStyle w:val="StyleUnderline"/>
          <w:highlight w:val="cyan"/>
        </w:rPr>
        <w:t>poverty reduction attributable to</w:t>
      </w:r>
      <w:r w:rsidRPr="00F126E4">
        <w:rPr>
          <w:rStyle w:val="StyleUnderline"/>
        </w:rPr>
        <w:t xml:space="preserve"> </w:t>
      </w:r>
      <w:r w:rsidRPr="00EE41EE">
        <w:rPr>
          <w:sz w:val="16"/>
        </w:rPr>
        <w:t>each of the four policy mechanisms (</w:t>
      </w:r>
      <w:r w:rsidRPr="00846C54">
        <w:rPr>
          <w:rStyle w:val="StyleUnderline"/>
          <w:highlight w:val="cyan"/>
        </w:rPr>
        <w:t>federal</w:t>
      </w:r>
      <w:r w:rsidRPr="00F126E4">
        <w:rPr>
          <w:rStyle w:val="StyleUnderline"/>
        </w:rPr>
        <w:t xml:space="preserve"> transfers, </w:t>
      </w:r>
      <w:r w:rsidRPr="00846C54">
        <w:rPr>
          <w:rStyle w:val="StyleUnderline"/>
          <w:highlight w:val="cyan"/>
        </w:rPr>
        <w:t>state</w:t>
      </w:r>
      <w:r w:rsidRPr="00F126E4">
        <w:rPr>
          <w:rStyle w:val="StyleUnderline"/>
        </w:rPr>
        <w:t xml:space="preserve"> </w:t>
      </w:r>
      <w:r w:rsidRPr="00846C54">
        <w:rPr>
          <w:rStyle w:val="StyleUnderline"/>
          <w:highlight w:val="cyan"/>
        </w:rPr>
        <w:t>transfers</w:t>
      </w:r>
      <w:r w:rsidRPr="00F126E4">
        <w:rPr>
          <w:rStyle w:val="StyleUnderline"/>
        </w:rPr>
        <w:t xml:space="preserve">, federal taxes, </w:t>
      </w:r>
      <w:r w:rsidRPr="00846C54">
        <w:rPr>
          <w:rStyle w:val="StyleUnderline"/>
          <w:highlight w:val="cyan"/>
        </w:rPr>
        <w:t>and</w:t>
      </w:r>
      <w:r w:rsidRPr="00F126E4">
        <w:rPr>
          <w:rStyle w:val="StyleUnderline"/>
        </w:rPr>
        <w:t xml:space="preserve"> state </w:t>
      </w:r>
      <w:r w:rsidRPr="00846C54">
        <w:rPr>
          <w:rStyle w:val="StyleUnderline"/>
          <w:highlight w:val="cyan"/>
        </w:rPr>
        <w:t>taxes</w:t>
      </w:r>
      <w:r w:rsidRPr="00EE41EE">
        <w:rPr>
          <w:sz w:val="16"/>
        </w:rPr>
        <w:t xml:space="preserve">), </w:t>
      </w:r>
      <w:r w:rsidRPr="00F126E4">
        <w:rPr>
          <w:rStyle w:val="StyleUnderline"/>
        </w:rPr>
        <w:t>we estimate a Shapley value-based decomposition</w:t>
      </w:r>
      <w:r w:rsidRPr="00EE41EE">
        <w:rPr>
          <w:sz w:val="16"/>
        </w:rPr>
        <w:t xml:space="preserve"> (</w:t>
      </w:r>
      <w:proofErr w:type="spellStart"/>
      <w:r w:rsidRPr="00EE41EE">
        <w:rPr>
          <w:sz w:val="16"/>
        </w:rPr>
        <w:t>Shorrocks</w:t>
      </w:r>
      <w:proofErr w:type="spellEnd"/>
      <w:r w:rsidRPr="00EE41EE">
        <w:rPr>
          <w:sz w:val="16"/>
        </w:rPr>
        <w:t xml:space="preserve"> 2013). </w:t>
      </w:r>
      <w:r w:rsidRPr="00846C54">
        <w:rPr>
          <w:rStyle w:val="Emphasis"/>
          <w:highlight w:val="cyan"/>
        </w:rPr>
        <w:t xml:space="preserve">This decomposition procedure </w:t>
      </w:r>
      <w:r w:rsidRPr="009048B5">
        <w:rPr>
          <w:rStyle w:val="Emphasis"/>
        </w:rPr>
        <w:t>addresses one of the classic issues</w:t>
      </w:r>
      <w:r w:rsidRPr="00F126E4">
        <w:rPr>
          <w:rStyle w:val="Emphasis"/>
        </w:rPr>
        <w:t xml:space="preserve"> involved in estimating poverty or inequality reductions attributable to various transfers or taxes—the sequence in which income components are added</w:t>
      </w:r>
      <w:r w:rsidRPr="00EE41EE">
        <w:rPr>
          <w:sz w:val="16"/>
        </w:rPr>
        <w:t xml:space="preserve"> (</w:t>
      </w:r>
      <w:proofErr w:type="spellStart"/>
      <w:r w:rsidRPr="00EE41EE">
        <w:rPr>
          <w:sz w:val="16"/>
        </w:rPr>
        <w:t>Caminada</w:t>
      </w:r>
      <w:proofErr w:type="spellEnd"/>
      <w:r w:rsidRPr="00EE41EE">
        <w:rPr>
          <w:sz w:val="16"/>
        </w:rPr>
        <w:t xml:space="preserve"> et al. 2019). </w:t>
      </w:r>
      <w:r w:rsidRPr="00F126E4">
        <w:rPr>
          <w:rStyle w:val="StyleUnderline"/>
        </w:rPr>
        <w:t>The Shapley value calculates the contribution of each income component (in this case, income components bundled by policy mechanism) independent of the order of their contribution by averaging the potential contributions of each component across all possible permutations</w:t>
      </w:r>
      <w:r w:rsidRPr="00EE41EE">
        <w:rPr>
          <w:sz w:val="16"/>
        </w:rPr>
        <w:t xml:space="preserve">.12 </w:t>
      </w:r>
      <w:r w:rsidRPr="009048B5">
        <w:rPr>
          <w:rStyle w:val="StyleUnderline"/>
        </w:rPr>
        <w:t>The result is a sequence</w:t>
      </w:r>
      <w:r w:rsidRPr="00F126E4">
        <w:rPr>
          <w:rStyle w:val="StyleUnderline"/>
        </w:rPr>
        <w:t>-independent decomposition estimation of the marginal poverty reduction attributable to each mechanism</w:t>
      </w:r>
      <w:r w:rsidRPr="00EE41EE">
        <w:rPr>
          <w:sz w:val="16"/>
        </w:rPr>
        <w:t xml:space="preserve">. Although the benefit of the Shapley decomposition is that it estimates average changes in poverty attributable to a given component across all possible sequences of a household’s total income components, the absolute impact of a single component on a household’s poverty can be greater or lesser depending on the size of the other components included in the sequence. Thus, the Shapley decomposition cannot counterfactually simulate the effect of an income component on poverty, absent all others. For analyses that estimate changes in poverty using counterfactual simulations, see Pac and colleagues (2020). This approach to estimating poverty reduction also does not account for behavioral changes that might result from the receipt of transfers or taxes, such as changes in labor force engagement, that could themselves affect levels of market-income poverty (see, e.g., </w:t>
      </w:r>
      <w:proofErr w:type="spellStart"/>
      <w:r w:rsidRPr="00EE41EE">
        <w:rPr>
          <w:sz w:val="16"/>
        </w:rPr>
        <w:t>Bitler</w:t>
      </w:r>
      <w:proofErr w:type="spellEnd"/>
      <w:r w:rsidRPr="00EE41EE">
        <w:rPr>
          <w:sz w:val="16"/>
        </w:rPr>
        <w:t xml:space="preserve"> and </w:t>
      </w:r>
      <w:proofErr w:type="spellStart"/>
      <w:r w:rsidRPr="00EE41EE">
        <w:rPr>
          <w:sz w:val="16"/>
        </w:rPr>
        <w:t>Karoly</w:t>
      </w:r>
      <w:proofErr w:type="spellEnd"/>
      <w:r w:rsidRPr="00EE41EE">
        <w:rPr>
          <w:sz w:val="16"/>
        </w:rPr>
        <w:t xml:space="preserve"> [2015] for an overview of intended and unintended consequences)</w:t>
      </w:r>
      <w:proofErr w:type="gramStart"/>
      <w:r w:rsidRPr="00EE41EE">
        <w:rPr>
          <w:sz w:val="16"/>
        </w:rPr>
        <w:t>.13</w:t>
      </w:r>
      <w:proofErr w:type="gramEnd"/>
    </w:p>
    <w:p w14:paraId="2A7F5567" w14:textId="77777777" w:rsidR="00945DB5" w:rsidRPr="0004720C" w:rsidRDefault="00945DB5" w:rsidP="00945DB5">
      <w:pPr>
        <w:rPr>
          <w:sz w:val="14"/>
        </w:rPr>
      </w:pPr>
      <w:r w:rsidRPr="00E718FE">
        <w:rPr>
          <w:rStyle w:val="StyleUnderline"/>
        </w:rPr>
        <w:t xml:space="preserve">We perform this decomposition procedure at both the national and state levels among each household type using 3-year moving averages. The decomposition methodology </w:t>
      </w:r>
      <w:r w:rsidRPr="00846C54">
        <w:rPr>
          <w:rStyle w:val="StyleUnderline"/>
          <w:highlight w:val="cyan"/>
        </w:rPr>
        <w:t>allows us to examine the</w:t>
      </w:r>
      <w:r w:rsidRPr="00E718FE">
        <w:rPr>
          <w:rStyle w:val="StyleUnderline"/>
        </w:rPr>
        <w:t xml:space="preserve"> overall poverty </w:t>
      </w:r>
      <w:r w:rsidRPr="00846C54">
        <w:rPr>
          <w:rStyle w:val="StyleUnderline"/>
          <w:highlight w:val="cyan"/>
        </w:rPr>
        <w:t>reduction attributable to each</w:t>
      </w:r>
      <w:r w:rsidRPr="00E718FE">
        <w:rPr>
          <w:rStyle w:val="StyleUnderline"/>
        </w:rPr>
        <w:t xml:space="preserve"> of the four redistributive </w:t>
      </w:r>
      <w:r w:rsidRPr="00846C54">
        <w:rPr>
          <w:rStyle w:val="StyleUnderline"/>
          <w:highlight w:val="cyan"/>
        </w:rPr>
        <w:t>mechanism</w:t>
      </w:r>
      <w:r w:rsidRPr="009048B5">
        <w:rPr>
          <w:rStyle w:val="StyleUnderline"/>
        </w:rPr>
        <w:t>s</w:t>
      </w:r>
      <w:r w:rsidRPr="00E718FE">
        <w:rPr>
          <w:rStyle w:val="StyleUnderline"/>
        </w:rPr>
        <w:t xml:space="preserve"> for the entire country, </w:t>
      </w:r>
      <w:r w:rsidRPr="00846C54">
        <w:rPr>
          <w:rStyle w:val="StyleUnderline"/>
          <w:highlight w:val="cyan"/>
        </w:rPr>
        <w:t>as well as</w:t>
      </w:r>
      <w:r w:rsidRPr="00E718FE">
        <w:rPr>
          <w:rStyle w:val="StyleUnderline"/>
        </w:rPr>
        <w:t xml:space="preserve"> to examine </w:t>
      </w:r>
      <w:r w:rsidRPr="00846C54">
        <w:rPr>
          <w:rStyle w:val="StyleUnderline"/>
          <w:highlight w:val="cyan"/>
        </w:rPr>
        <w:t>how</w:t>
      </w:r>
      <w:r w:rsidRPr="00E718FE">
        <w:rPr>
          <w:rStyle w:val="StyleUnderline"/>
        </w:rPr>
        <w:t xml:space="preserve"> the poverty reduction </w:t>
      </w:r>
      <w:r w:rsidRPr="00846C54">
        <w:rPr>
          <w:rStyle w:val="StyleUnderline"/>
          <w:highlight w:val="cyan"/>
        </w:rPr>
        <w:t>effects vary across the states</w:t>
      </w:r>
      <w:r w:rsidRPr="0004720C">
        <w:rPr>
          <w:sz w:val="14"/>
        </w:rPr>
        <w:t xml:space="preserve">. </w:t>
      </w:r>
      <w:r w:rsidRPr="00E718FE">
        <w:rPr>
          <w:rStyle w:val="StyleUnderline"/>
        </w:rPr>
        <w:t>We estimate two types of poverty reduction: absolute reductions are calculated as the difference between market- and disposable-income poverty attributable to each mechanism; relative reductions are calculated as the percentage of market-income poverty reduced overall and attributable to each mechanism</w:t>
      </w:r>
      <w:r w:rsidRPr="0004720C">
        <w:rPr>
          <w:sz w:val="14"/>
        </w:rPr>
        <w:t>.</w:t>
      </w:r>
    </w:p>
    <w:p w14:paraId="71FC247C" w14:textId="77777777" w:rsidR="00945DB5" w:rsidRPr="0004720C" w:rsidRDefault="00945DB5" w:rsidP="00945DB5">
      <w:pPr>
        <w:rPr>
          <w:sz w:val="14"/>
        </w:rPr>
      </w:pPr>
      <w:r w:rsidRPr="0004720C">
        <w:rPr>
          <w:sz w:val="14"/>
        </w:rPr>
        <w:t>Results</w:t>
      </w:r>
    </w:p>
    <w:p w14:paraId="7110A19B" w14:textId="77777777" w:rsidR="00945DB5" w:rsidRPr="0004720C" w:rsidRDefault="00945DB5" w:rsidP="00945DB5">
      <w:pPr>
        <w:rPr>
          <w:sz w:val="14"/>
        </w:rPr>
      </w:pPr>
      <w:r w:rsidRPr="0004720C">
        <w:rPr>
          <w:sz w:val="14"/>
        </w:rPr>
        <w:t>Decomposing Poverty Reduction within Household Types in 2016</w:t>
      </w:r>
    </w:p>
    <w:p w14:paraId="26149B31" w14:textId="77777777" w:rsidR="00945DB5" w:rsidRPr="0004720C" w:rsidRDefault="00945DB5" w:rsidP="00945DB5">
      <w:pPr>
        <w:rPr>
          <w:sz w:val="14"/>
        </w:rPr>
      </w:pPr>
      <w:r w:rsidRPr="0004720C">
        <w:rPr>
          <w:sz w:val="14"/>
        </w:rPr>
        <w:t>To determine how much overall poverty reduction is attributable to each of the four policy mechanisms, we present results from our poverty decomposition analysis for working-age households with and without children in 2016. Three findings stand out from this analysis.</w:t>
      </w:r>
    </w:p>
    <w:p w14:paraId="7F925F38" w14:textId="77777777" w:rsidR="00945DB5" w:rsidRPr="0004720C" w:rsidRDefault="00945DB5" w:rsidP="00945DB5">
      <w:pPr>
        <w:rPr>
          <w:sz w:val="14"/>
        </w:rPr>
      </w:pPr>
      <w:r w:rsidRPr="0004720C">
        <w:rPr>
          <w:sz w:val="14"/>
        </w:rPr>
        <w:t>First, market-income poverty is reduced much more for households with children compared with households without children. In fact, looking absolutely and relatively, the poverty reduction for households with children is twice as large when compared with households without children: .100 compared with .054 for the absolute reduction and 59 percent compared with 29 percent of market-income poverty reduced, respectively (Table 3). These dramatic differences in poverty reduction stem in part from the fact that, for households with children, two of the four mechanisms reduce market poverty by at least 25 percent (state transfers, 35 percent; federal taxes, 26 percent), whereas for households without children, only one of the mechanisms—federal transfers—reduces market poverty to this degree.</w:t>
      </w:r>
    </w:p>
    <w:p w14:paraId="2D5BDEEE" w14:textId="77777777" w:rsidR="00945DB5" w:rsidRPr="0004720C" w:rsidRDefault="00945DB5" w:rsidP="00945DB5">
      <w:pPr>
        <w:rPr>
          <w:sz w:val="14"/>
          <w:szCs w:val="8"/>
        </w:rPr>
      </w:pPr>
      <w:r w:rsidRPr="0004720C">
        <w:rPr>
          <w:sz w:val="14"/>
          <w:szCs w:val="8"/>
        </w:rPr>
        <w:t>Table 3.  Poverty Reduction by Policy Mechanism and Household Type, 2016</w:t>
      </w:r>
    </w:p>
    <w:p w14:paraId="38842668" w14:textId="77777777" w:rsidR="00945DB5" w:rsidRPr="0004720C" w:rsidRDefault="00945DB5" w:rsidP="00945DB5">
      <w:pPr>
        <w:rPr>
          <w:sz w:val="14"/>
          <w:szCs w:val="8"/>
        </w:rPr>
      </w:pPr>
      <w:r w:rsidRPr="0004720C">
        <w:rPr>
          <w:sz w:val="14"/>
          <w:szCs w:val="8"/>
        </w:rPr>
        <w:t>Household Type</w:t>
      </w:r>
      <w:r w:rsidRPr="0004720C">
        <w:rPr>
          <w:sz w:val="14"/>
          <w:szCs w:val="8"/>
        </w:rPr>
        <w:tab/>
        <w:t>Market-Income Poverty</w:t>
      </w:r>
      <w:r w:rsidRPr="0004720C">
        <w:rPr>
          <w:sz w:val="14"/>
          <w:szCs w:val="8"/>
        </w:rPr>
        <w:tab/>
        <w:t>Poverty Reduction Attributable to …</w:t>
      </w:r>
      <w:r w:rsidRPr="0004720C">
        <w:rPr>
          <w:sz w:val="14"/>
          <w:szCs w:val="8"/>
        </w:rPr>
        <w:tab/>
        <w:t>Overall Poverty Reduction</w:t>
      </w:r>
      <w:r w:rsidRPr="0004720C">
        <w:rPr>
          <w:sz w:val="14"/>
          <w:szCs w:val="8"/>
        </w:rPr>
        <w:tab/>
        <w:t>Disposable-Income Poverty</w:t>
      </w:r>
    </w:p>
    <w:p w14:paraId="40C2245F" w14:textId="77777777" w:rsidR="00945DB5" w:rsidRPr="0004720C" w:rsidRDefault="00945DB5" w:rsidP="00945DB5">
      <w:pPr>
        <w:rPr>
          <w:sz w:val="14"/>
          <w:szCs w:val="8"/>
        </w:rPr>
      </w:pPr>
      <w:r w:rsidRPr="0004720C">
        <w:rPr>
          <w:sz w:val="14"/>
          <w:szCs w:val="8"/>
        </w:rPr>
        <w:t>Federal Taxes</w:t>
      </w:r>
      <w:r w:rsidRPr="0004720C">
        <w:rPr>
          <w:sz w:val="14"/>
          <w:szCs w:val="8"/>
        </w:rPr>
        <w:tab/>
      </w:r>
      <w:r w:rsidRPr="0004720C">
        <w:rPr>
          <w:sz w:val="14"/>
          <w:szCs w:val="8"/>
        </w:rPr>
        <w:tab/>
      </w:r>
      <w:r w:rsidRPr="0004720C">
        <w:rPr>
          <w:sz w:val="14"/>
          <w:szCs w:val="8"/>
        </w:rPr>
        <w:tab/>
      </w:r>
      <w:r w:rsidRPr="0004720C">
        <w:rPr>
          <w:sz w:val="14"/>
          <w:szCs w:val="8"/>
        </w:rPr>
        <w:tab/>
      </w:r>
    </w:p>
    <w:p w14:paraId="72FA1A03" w14:textId="77777777" w:rsidR="00945DB5" w:rsidRPr="0004720C" w:rsidRDefault="00945DB5" w:rsidP="00945DB5">
      <w:pPr>
        <w:rPr>
          <w:sz w:val="14"/>
          <w:szCs w:val="8"/>
        </w:rPr>
      </w:pPr>
      <w:r w:rsidRPr="0004720C">
        <w:rPr>
          <w:sz w:val="14"/>
          <w:szCs w:val="8"/>
        </w:rPr>
        <w:t>Federal Transfers</w:t>
      </w:r>
      <w:r w:rsidRPr="0004720C">
        <w:rPr>
          <w:sz w:val="14"/>
          <w:szCs w:val="8"/>
        </w:rPr>
        <w:tab/>
        <w:t>Federal Income Taxes</w:t>
      </w:r>
      <w:r w:rsidRPr="0004720C">
        <w:rPr>
          <w:sz w:val="14"/>
          <w:szCs w:val="8"/>
        </w:rPr>
        <w:tab/>
        <w:t>FICA</w:t>
      </w:r>
      <w:r w:rsidRPr="0004720C">
        <w:rPr>
          <w:sz w:val="14"/>
          <w:szCs w:val="8"/>
        </w:rPr>
        <w:tab/>
        <w:t>State Transfers</w:t>
      </w:r>
      <w:r w:rsidRPr="0004720C">
        <w:rPr>
          <w:sz w:val="14"/>
          <w:szCs w:val="8"/>
        </w:rPr>
        <w:tab/>
        <w:t>State Income Taxes</w:t>
      </w:r>
      <w:r w:rsidRPr="0004720C">
        <w:rPr>
          <w:sz w:val="14"/>
          <w:szCs w:val="8"/>
        </w:rPr>
        <w:tab/>
      </w:r>
      <w:r w:rsidRPr="0004720C">
        <w:rPr>
          <w:sz w:val="14"/>
          <w:szCs w:val="8"/>
        </w:rPr>
        <w:tab/>
      </w:r>
    </w:p>
    <w:p w14:paraId="7FC4EC8E" w14:textId="77777777" w:rsidR="00945DB5" w:rsidRPr="0004720C" w:rsidRDefault="00945DB5" w:rsidP="00945DB5">
      <w:pPr>
        <w:rPr>
          <w:sz w:val="14"/>
          <w:szCs w:val="8"/>
        </w:rPr>
      </w:pPr>
      <w:r w:rsidRPr="0004720C">
        <w:rPr>
          <w:sz w:val="14"/>
          <w:szCs w:val="8"/>
        </w:rPr>
        <w:t>Working-age households with children:</w:t>
      </w:r>
      <w:r w:rsidRPr="0004720C">
        <w:rPr>
          <w:sz w:val="14"/>
          <w:szCs w:val="8"/>
        </w:rPr>
        <w:tab/>
        <w:t>.169</w:t>
      </w:r>
      <w:r w:rsidRPr="0004720C">
        <w:rPr>
          <w:sz w:val="14"/>
          <w:szCs w:val="8"/>
        </w:rPr>
        <w:tab/>
      </w:r>
      <w:r w:rsidRPr="0004720C">
        <w:rPr>
          <w:sz w:val="14"/>
          <w:szCs w:val="8"/>
        </w:rPr>
        <w:tab/>
      </w:r>
      <w:r w:rsidRPr="0004720C">
        <w:rPr>
          <w:sz w:val="14"/>
          <w:szCs w:val="8"/>
        </w:rPr>
        <w:tab/>
      </w:r>
      <w:r w:rsidRPr="0004720C">
        <w:rPr>
          <w:sz w:val="14"/>
          <w:szCs w:val="8"/>
        </w:rPr>
        <w:tab/>
      </w:r>
      <w:r w:rsidRPr="0004720C">
        <w:rPr>
          <w:sz w:val="14"/>
          <w:szCs w:val="8"/>
        </w:rPr>
        <w:tab/>
      </w:r>
      <w:r w:rsidRPr="0004720C">
        <w:rPr>
          <w:sz w:val="14"/>
          <w:szCs w:val="8"/>
        </w:rPr>
        <w:tab/>
      </w:r>
      <w:r w:rsidRPr="0004720C">
        <w:rPr>
          <w:sz w:val="14"/>
          <w:szCs w:val="8"/>
        </w:rPr>
        <w:tab/>
        <w:t>.069</w:t>
      </w:r>
    </w:p>
    <w:p w14:paraId="40B41360" w14:textId="77777777" w:rsidR="00945DB5" w:rsidRPr="0004720C" w:rsidRDefault="00945DB5" w:rsidP="00945DB5">
      <w:pPr>
        <w:rPr>
          <w:sz w:val="14"/>
          <w:szCs w:val="8"/>
        </w:rPr>
      </w:pPr>
      <w:r w:rsidRPr="0004720C">
        <w:rPr>
          <w:sz w:val="14"/>
          <w:szCs w:val="8"/>
        </w:rPr>
        <w:t> Absolute reduction</w:t>
      </w:r>
      <w:r w:rsidRPr="0004720C">
        <w:rPr>
          <w:sz w:val="14"/>
          <w:szCs w:val="8"/>
        </w:rPr>
        <w:tab/>
      </w:r>
      <w:r w:rsidRPr="0004720C">
        <w:rPr>
          <w:sz w:val="14"/>
          <w:szCs w:val="8"/>
        </w:rPr>
        <w:tab/>
        <w:t>.015</w:t>
      </w:r>
      <w:r w:rsidRPr="0004720C">
        <w:rPr>
          <w:sz w:val="14"/>
          <w:szCs w:val="8"/>
        </w:rPr>
        <w:tab/>
        <w:t>.044</w:t>
      </w:r>
      <w:r w:rsidRPr="0004720C">
        <w:rPr>
          <w:sz w:val="14"/>
          <w:szCs w:val="8"/>
        </w:rPr>
        <w:tab/>
        <w:t>−.019</w:t>
      </w:r>
      <w:r w:rsidRPr="0004720C">
        <w:rPr>
          <w:sz w:val="14"/>
          <w:szCs w:val="8"/>
        </w:rPr>
        <w:tab/>
        <w:t>.058</w:t>
      </w:r>
      <w:r w:rsidRPr="0004720C">
        <w:rPr>
          <w:sz w:val="14"/>
          <w:szCs w:val="8"/>
        </w:rPr>
        <w:tab/>
        <w:t>.002</w:t>
      </w:r>
      <w:r w:rsidRPr="0004720C">
        <w:rPr>
          <w:sz w:val="14"/>
          <w:szCs w:val="8"/>
        </w:rPr>
        <w:tab/>
        <w:t>.100</w:t>
      </w:r>
      <w:r w:rsidRPr="0004720C">
        <w:rPr>
          <w:sz w:val="14"/>
          <w:szCs w:val="8"/>
        </w:rPr>
        <w:tab/>
      </w:r>
    </w:p>
    <w:p w14:paraId="5758133B" w14:textId="77777777" w:rsidR="00945DB5" w:rsidRPr="0004720C" w:rsidRDefault="00945DB5" w:rsidP="00945DB5">
      <w:pPr>
        <w:rPr>
          <w:sz w:val="14"/>
          <w:szCs w:val="8"/>
        </w:rPr>
      </w:pPr>
      <w:r w:rsidRPr="0004720C">
        <w:rPr>
          <w:sz w:val="14"/>
          <w:szCs w:val="8"/>
        </w:rPr>
        <w:t> % total absolute poverty reduction</w:t>
      </w:r>
      <w:r w:rsidRPr="0004720C">
        <w:rPr>
          <w:sz w:val="14"/>
          <w:szCs w:val="8"/>
        </w:rPr>
        <w:tab/>
      </w:r>
      <w:r w:rsidRPr="0004720C">
        <w:rPr>
          <w:sz w:val="14"/>
          <w:szCs w:val="8"/>
        </w:rPr>
        <w:tab/>
        <w:t>14.8</w:t>
      </w:r>
      <w:r w:rsidRPr="0004720C">
        <w:rPr>
          <w:sz w:val="14"/>
          <w:szCs w:val="8"/>
        </w:rPr>
        <w:tab/>
        <w:t>44.0</w:t>
      </w:r>
      <w:r w:rsidRPr="0004720C">
        <w:rPr>
          <w:sz w:val="14"/>
          <w:szCs w:val="8"/>
        </w:rPr>
        <w:tab/>
        <w:t>−19.1</w:t>
      </w:r>
      <w:r w:rsidRPr="0004720C">
        <w:rPr>
          <w:sz w:val="14"/>
          <w:szCs w:val="8"/>
        </w:rPr>
        <w:tab/>
        <w:t>58.7</w:t>
      </w:r>
      <w:r w:rsidRPr="0004720C">
        <w:rPr>
          <w:sz w:val="14"/>
          <w:szCs w:val="8"/>
        </w:rPr>
        <w:tab/>
        <w:t>1.6</w:t>
      </w:r>
      <w:r w:rsidRPr="0004720C">
        <w:rPr>
          <w:sz w:val="14"/>
          <w:szCs w:val="8"/>
        </w:rPr>
        <w:tab/>
      </w:r>
      <w:r w:rsidRPr="0004720C">
        <w:rPr>
          <w:sz w:val="14"/>
          <w:szCs w:val="8"/>
        </w:rPr>
        <w:tab/>
      </w:r>
    </w:p>
    <w:p w14:paraId="68E6919A" w14:textId="77777777" w:rsidR="00945DB5" w:rsidRPr="0004720C" w:rsidRDefault="00945DB5" w:rsidP="00945DB5">
      <w:pPr>
        <w:rPr>
          <w:sz w:val="14"/>
          <w:szCs w:val="8"/>
        </w:rPr>
      </w:pPr>
      <w:r w:rsidRPr="0004720C">
        <w:rPr>
          <w:sz w:val="14"/>
          <w:szCs w:val="8"/>
        </w:rPr>
        <w:t> Relative reduction (%)</w:t>
      </w:r>
      <w:r w:rsidRPr="0004720C">
        <w:rPr>
          <w:sz w:val="14"/>
          <w:szCs w:val="8"/>
        </w:rPr>
        <w:tab/>
      </w:r>
      <w:r w:rsidRPr="0004720C">
        <w:rPr>
          <w:sz w:val="14"/>
          <w:szCs w:val="8"/>
        </w:rPr>
        <w:tab/>
        <w:t>8.7</w:t>
      </w:r>
      <w:r w:rsidRPr="0004720C">
        <w:rPr>
          <w:sz w:val="14"/>
          <w:szCs w:val="8"/>
        </w:rPr>
        <w:tab/>
        <w:t>25.8</w:t>
      </w:r>
      <w:r w:rsidRPr="0004720C">
        <w:rPr>
          <w:sz w:val="14"/>
          <w:szCs w:val="8"/>
        </w:rPr>
        <w:tab/>
        <w:t>−11.2</w:t>
      </w:r>
      <w:r w:rsidRPr="0004720C">
        <w:rPr>
          <w:sz w:val="14"/>
          <w:szCs w:val="8"/>
        </w:rPr>
        <w:tab/>
        <w:t>34.5</w:t>
      </w:r>
      <w:r w:rsidRPr="0004720C">
        <w:rPr>
          <w:sz w:val="14"/>
          <w:szCs w:val="8"/>
        </w:rPr>
        <w:tab/>
        <w:t>.9</w:t>
      </w:r>
      <w:r w:rsidRPr="0004720C">
        <w:rPr>
          <w:sz w:val="14"/>
          <w:szCs w:val="8"/>
        </w:rPr>
        <w:tab/>
        <w:t>58.7</w:t>
      </w:r>
      <w:r w:rsidRPr="0004720C">
        <w:rPr>
          <w:sz w:val="14"/>
          <w:szCs w:val="8"/>
        </w:rPr>
        <w:tab/>
      </w:r>
    </w:p>
    <w:p w14:paraId="706CB29C" w14:textId="77777777" w:rsidR="00945DB5" w:rsidRPr="0004720C" w:rsidRDefault="00945DB5" w:rsidP="00945DB5">
      <w:pPr>
        <w:rPr>
          <w:sz w:val="14"/>
          <w:szCs w:val="8"/>
        </w:rPr>
      </w:pPr>
      <w:r w:rsidRPr="0004720C">
        <w:rPr>
          <w:sz w:val="14"/>
          <w:szCs w:val="8"/>
        </w:rPr>
        <w:t> Average value ($)</w:t>
      </w:r>
      <w:r w:rsidRPr="0004720C">
        <w:rPr>
          <w:sz w:val="14"/>
          <w:szCs w:val="8"/>
        </w:rPr>
        <w:tab/>
      </w:r>
      <w:r w:rsidRPr="0004720C">
        <w:rPr>
          <w:sz w:val="14"/>
          <w:szCs w:val="8"/>
        </w:rPr>
        <w:tab/>
        <w:t>15,905</w:t>
      </w:r>
      <w:r w:rsidRPr="0004720C">
        <w:rPr>
          <w:sz w:val="14"/>
          <w:szCs w:val="8"/>
        </w:rPr>
        <w:tab/>
        <w:t>5,309</w:t>
      </w:r>
      <w:r w:rsidRPr="0004720C">
        <w:rPr>
          <w:sz w:val="14"/>
          <w:szCs w:val="8"/>
        </w:rPr>
        <w:tab/>
        <w:t>−2,091</w:t>
      </w:r>
      <w:r w:rsidRPr="0004720C">
        <w:rPr>
          <w:sz w:val="14"/>
          <w:szCs w:val="8"/>
        </w:rPr>
        <w:tab/>
        <w:t>9,568</w:t>
      </w:r>
      <w:r w:rsidRPr="0004720C">
        <w:rPr>
          <w:sz w:val="14"/>
          <w:szCs w:val="8"/>
        </w:rPr>
        <w:tab/>
        <w:t>553</w:t>
      </w:r>
      <w:r w:rsidRPr="0004720C">
        <w:rPr>
          <w:sz w:val="14"/>
          <w:szCs w:val="8"/>
        </w:rPr>
        <w:tab/>
      </w:r>
      <w:r w:rsidRPr="0004720C">
        <w:rPr>
          <w:sz w:val="14"/>
          <w:szCs w:val="8"/>
        </w:rPr>
        <w:tab/>
      </w:r>
    </w:p>
    <w:p w14:paraId="150CF992" w14:textId="77777777" w:rsidR="00945DB5" w:rsidRPr="0004720C" w:rsidRDefault="00945DB5" w:rsidP="00945DB5">
      <w:pPr>
        <w:rPr>
          <w:sz w:val="14"/>
          <w:szCs w:val="8"/>
        </w:rPr>
      </w:pPr>
      <w:r w:rsidRPr="0004720C">
        <w:rPr>
          <w:sz w:val="14"/>
          <w:szCs w:val="8"/>
        </w:rPr>
        <w:t> % market-poor households receiving</w:t>
      </w:r>
      <w:r w:rsidRPr="0004720C">
        <w:rPr>
          <w:sz w:val="14"/>
          <w:szCs w:val="8"/>
        </w:rPr>
        <w:tab/>
      </w:r>
      <w:r w:rsidRPr="0004720C">
        <w:rPr>
          <w:sz w:val="14"/>
          <w:szCs w:val="8"/>
        </w:rPr>
        <w:tab/>
        <w:t>17.8</w:t>
      </w:r>
      <w:r w:rsidRPr="0004720C">
        <w:rPr>
          <w:sz w:val="14"/>
          <w:szCs w:val="8"/>
        </w:rPr>
        <w:tab/>
      </w:r>
      <w:r w:rsidRPr="0004720C">
        <w:rPr>
          <w:sz w:val="14"/>
          <w:szCs w:val="8"/>
        </w:rPr>
        <w:tab/>
      </w:r>
      <w:r w:rsidRPr="0004720C">
        <w:rPr>
          <w:sz w:val="14"/>
          <w:szCs w:val="8"/>
        </w:rPr>
        <w:tab/>
        <w:t>97.5</w:t>
      </w:r>
      <w:r w:rsidRPr="0004720C">
        <w:rPr>
          <w:sz w:val="14"/>
          <w:szCs w:val="8"/>
        </w:rPr>
        <w:tab/>
      </w:r>
      <w:r w:rsidRPr="0004720C">
        <w:rPr>
          <w:sz w:val="14"/>
          <w:szCs w:val="8"/>
        </w:rPr>
        <w:tab/>
      </w:r>
      <w:r w:rsidRPr="0004720C">
        <w:rPr>
          <w:sz w:val="14"/>
          <w:szCs w:val="8"/>
        </w:rPr>
        <w:tab/>
      </w:r>
    </w:p>
    <w:p w14:paraId="2DCF02EC" w14:textId="77777777" w:rsidR="00945DB5" w:rsidRPr="0004720C" w:rsidRDefault="00945DB5" w:rsidP="00945DB5">
      <w:pPr>
        <w:rPr>
          <w:sz w:val="14"/>
          <w:szCs w:val="8"/>
        </w:rPr>
      </w:pPr>
      <w:r w:rsidRPr="0004720C">
        <w:rPr>
          <w:sz w:val="14"/>
          <w:szCs w:val="8"/>
        </w:rPr>
        <w:t>Working-age households without children:</w:t>
      </w:r>
      <w:r w:rsidRPr="0004720C">
        <w:rPr>
          <w:sz w:val="14"/>
          <w:szCs w:val="8"/>
        </w:rPr>
        <w:tab/>
        <w:t>.183</w:t>
      </w:r>
      <w:r w:rsidRPr="0004720C">
        <w:rPr>
          <w:sz w:val="14"/>
          <w:szCs w:val="8"/>
        </w:rPr>
        <w:tab/>
      </w:r>
      <w:r w:rsidRPr="0004720C">
        <w:rPr>
          <w:sz w:val="14"/>
          <w:szCs w:val="8"/>
        </w:rPr>
        <w:tab/>
      </w:r>
      <w:r w:rsidRPr="0004720C">
        <w:rPr>
          <w:sz w:val="14"/>
          <w:szCs w:val="8"/>
        </w:rPr>
        <w:tab/>
      </w:r>
      <w:r w:rsidRPr="0004720C">
        <w:rPr>
          <w:sz w:val="14"/>
          <w:szCs w:val="8"/>
        </w:rPr>
        <w:tab/>
      </w:r>
      <w:r w:rsidRPr="0004720C">
        <w:rPr>
          <w:sz w:val="14"/>
          <w:szCs w:val="8"/>
        </w:rPr>
        <w:tab/>
      </w:r>
      <w:r w:rsidRPr="0004720C">
        <w:rPr>
          <w:sz w:val="14"/>
          <w:szCs w:val="8"/>
        </w:rPr>
        <w:tab/>
      </w:r>
      <w:r w:rsidRPr="0004720C">
        <w:rPr>
          <w:sz w:val="14"/>
          <w:szCs w:val="8"/>
        </w:rPr>
        <w:tab/>
        <w:t>.129</w:t>
      </w:r>
    </w:p>
    <w:p w14:paraId="79AFEA01" w14:textId="77777777" w:rsidR="00945DB5" w:rsidRPr="0004720C" w:rsidRDefault="00945DB5" w:rsidP="00945DB5">
      <w:pPr>
        <w:rPr>
          <w:sz w:val="14"/>
          <w:szCs w:val="8"/>
        </w:rPr>
      </w:pPr>
      <w:r w:rsidRPr="0004720C">
        <w:rPr>
          <w:sz w:val="14"/>
          <w:szCs w:val="8"/>
        </w:rPr>
        <w:t> Absolute reduction</w:t>
      </w:r>
      <w:r w:rsidRPr="0004720C">
        <w:rPr>
          <w:sz w:val="14"/>
          <w:szCs w:val="8"/>
        </w:rPr>
        <w:tab/>
      </w:r>
      <w:r w:rsidRPr="0004720C">
        <w:rPr>
          <w:sz w:val="14"/>
          <w:szCs w:val="8"/>
        </w:rPr>
        <w:tab/>
        <w:t>.046</w:t>
      </w:r>
      <w:r w:rsidRPr="0004720C">
        <w:rPr>
          <w:sz w:val="14"/>
          <w:szCs w:val="8"/>
        </w:rPr>
        <w:tab/>
        <w:t>−.001</w:t>
      </w:r>
      <w:r w:rsidRPr="0004720C">
        <w:rPr>
          <w:sz w:val="14"/>
          <w:szCs w:val="8"/>
        </w:rPr>
        <w:tab/>
        <w:t>−.011</w:t>
      </w:r>
      <w:r w:rsidRPr="0004720C">
        <w:rPr>
          <w:sz w:val="14"/>
          <w:szCs w:val="8"/>
        </w:rPr>
        <w:tab/>
        <w:t>.021</w:t>
      </w:r>
      <w:r w:rsidRPr="0004720C">
        <w:rPr>
          <w:sz w:val="14"/>
          <w:szCs w:val="8"/>
        </w:rPr>
        <w:tab/>
        <w:t>−.001</w:t>
      </w:r>
      <w:r w:rsidRPr="0004720C">
        <w:rPr>
          <w:sz w:val="14"/>
          <w:szCs w:val="8"/>
        </w:rPr>
        <w:tab/>
        <w:t>.054</w:t>
      </w:r>
      <w:r w:rsidRPr="0004720C">
        <w:rPr>
          <w:sz w:val="14"/>
          <w:szCs w:val="8"/>
        </w:rPr>
        <w:tab/>
      </w:r>
    </w:p>
    <w:p w14:paraId="6CB11322" w14:textId="77777777" w:rsidR="00945DB5" w:rsidRPr="0004720C" w:rsidRDefault="00945DB5" w:rsidP="00945DB5">
      <w:pPr>
        <w:rPr>
          <w:sz w:val="14"/>
          <w:szCs w:val="8"/>
        </w:rPr>
      </w:pPr>
      <w:r w:rsidRPr="0004720C">
        <w:rPr>
          <w:sz w:val="14"/>
          <w:szCs w:val="8"/>
        </w:rPr>
        <w:t> % total absolute poverty reduction</w:t>
      </w:r>
      <w:r w:rsidRPr="0004720C">
        <w:rPr>
          <w:sz w:val="14"/>
          <w:szCs w:val="8"/>
        </w:rPr>
        <w:tab/>
      </w:r>
      <w:r w:rsidRPr="0004720C">
        <w:rPr>
          <w:sz w:val="14"/>
          <w:szCs w:val="8"/>
        </w:rPr>
        <w:tab/>
        <w:t>86.6</w:t>
      </w:r>
      <w:r w:rsidRPr="0004720C">
        <w:rPr>
          <w:sz w:val="14"/>
          <w:szCs w:val="8"/>
        </w:rPr>
        <w:tab/>
        <w:t>−2.8</w:t>
      </w:r>
      <w:r w:rsidRPr="0004720C">
        <w:rPr>
          <w:sz w:val="14"/>
          <w:szCs w:val="8"/>
        </w:rPr>
        <w:tab/>
        <w:t>−21.5</w:t>
      </w:r>
      <w:r w:rsidRPr="0004720C">
        <w:rPr>
          <w:sz w:val="14"/>
          <w:szCs w:val="8"/>
        </w:rPr>
        <w:tab/>
        <w:t>38.7</w:t>
      </w:r>
      <w:r w:rsidRPr="0004720C">
        <w:rPr>
          <w:sz w:val="14"/>
          <w:szCs w:val="8"/>
        </w:rPr>
        <w:tab/>
        <w:t>−1.3</w:t>
      </w:r>
      <w:r w:rsidRPr="0004720C">
        <w:rPr>
          <w:sz w:val="14"/>
          <w:szCs w:val="8"/>
        </w:rPr>
        <w:tab/>
      </w:r>
      <w:r w:rsidRPr="0004720C">
        <w:rPr>
          <w:sz w:val="14"/>
          <w:szCs w:val="8"/>
        </w:rPr>
        <w:tab/>
      </w:r>
    </w:p>
    <w:p w14:paraId="6037F968" w14:textId="77777777" w:rsidR="00945DB5" w:rsidRPr="0004720C" w:rsidRDefault="00945DB5" w:rsidP="00945DB5">
      <w:pPr>
        <w:rPr>
          <w:sz w:val="14"/>
          <w:szCs w:val="8"/>
        </w:rPr>
      </w:pPr>
      <w:r w:rsidRPr="0004720C">
        <w:rPr>
          <w:sz w:val="14"/>
          <w:szCs w:val="8"/>
        </w:rPr>
        <w:t> Relative reduction (%)</w:t>
      </w:r>
      <w:r w:rsidRPr="0004720C">
        <w:rPr>
          <w:sz w:val="14"/>
          <w:szCs w:val="8"/>
        </w:rPr>
        <w:tab/>
      </w:r>
      <w:r w:rsidRPr="0004720C">
        <w:rPr>
          <w:sz w:val="14"/>
          <w:szCs w:val="8"/>
        </w:rPr>
        <w:tab/>
        <w:t>25.2</w:t>
      </w:r>
      <w:r w:rsidRPr="0004720C">
        <w:rPr>
          <w:sz w:val="14"/>
          <w:szCs w:val="8"/>
        </w:rPr>
        <w:tab/>
        <w:t>−.4</w:t>
      </w:r>
      <w:r w:rsidRPr="0004720C">
        <w:rPr>
          <w:sz w:val="14"/>
          <w:szCs w:val="8"/>
        </w:rPr>
        <w:tab/>
        <w:t>−6.2</w:t>
      </w:r>
      <w:r w:rsidRPr="0004720C">
        <w:rPr>
          <w:sz w:val="14"/>
          <w:szCs w:val="8"/>
        </w:rPr>
        <w:tab/>
        <w:t>11.2</w:t>
      </w:r>
      <w:r w:rsidRPr="0004720C">
        <w:rPr>
          <w:sz w:val="14"/>
          <w:szCs w:val="8"/>
        </w:rPr>
        <w:tab/>
        <w:t>−.8</w:t>
      </w:r>
      <w:r w:rsidRPr="0004720C">
        <w:rPr>
          <w:sz w:val="14"/>
          <w:szCs w:val="8"/>
        </w:rPr>
        <w:tab/>
        <w:t>29.0</w:t>
      </w:r>
      <w:r w:rsidRPr="0004720C">
        <w:rPr>
          <w:sz w:val="14"/>
          <w:szCs w:val="8"/>
        </w:rPr>
        <w:tab/>
      </w:r>
    </w:p>
    <w:p w14:paraId="5E6806F0" w14:textId="77777777" w:rsidR="00945DB5" w:rsidRPr="0004720C" w:rsidRDefault="00945DB5" w:rsidP="00945DB5">
      <w:pPr>
        <w:rPr>
          <w:sz w:val="14"/>
          <w:szCs w:val="8"/>
        </w:rPr>
      </w:pPr>
      <w:r w:rsidRPr="0004720C">
        <w:rPr>
          <w:sz w:val="14"/>
          <w:szCs w:val="8"/>
        </w:rPr>
        <w:t> Average value ($)</w:t>
      </w:r>
      <w:r w:rsidRPr="0004720C">
        <w:rPr>
          <w:sz w:val="14"/>
          <w:szCs w:val="8"/>
        </w:rPr>
        <w:tab/>
      </w:r>
      <w:r w:rsidRPr="0004720C">
        <w:rPr>
          <w:sz w:val="14"/>
          <w:szCs w:val="8"/>
        </w:rPr>
        <w:tab/>
        <w:t>16,142</w:t>
      </w:r>
      <w:r w:rsidRPr="0004720C">
        <w:rPr>
          <w:sz w:val="14"/>
          <w:szCs w:val="8"/>
        </w:rPr>
        <w:tab/>
        <w:t>228</w:t>
      </w:r>
      <w:r w:rsidRPr="0004720C">
        <w:rPr>
          <w:sz w:val="14"/>
          <w:szCs w:val="8"/>
        </w:rPr>
        <w:tab/>
        <w:t>−1,130</w:t>
      </w:r>
      <w:r w:rsidRPr="0004720C">
        <w:rPr>
          <w:sz w:val="14"/>
          <w:szCs w:val="8"/>
        </w:rPr>
        <w:tab/>
        <w:t>5,275</w:t>
      </w:r>
      <w:r w:rsidRPr="0004720C">
        <w:rPr>
          <w:sz w:val="14"/>
          <w:szCs w:val="8"/>
        </w:rPr>
        <w:tab/>
        <w:t>96</w:t>
      </w:r>
      <w:r w:rsidRPr="0004720C">
        <w:rPr>
          <w:sz w:val="14"/>
          <w:szCs w:val="8"/>
        </w:rPr>
        <w:tab/>
      </w:r>
      <w:r w:rsidRPr="0004720C">
        <w:rPr>
          <w:sz w:val="14"/>
          <w:szCs w:val="8"/>
        </w:rPr>
        <w:tab/>
      </w:r>
    </w:p>
    <w:p w14:paraId="57DEFE34" w14:textId="77777777" w:rsidR="00945DB5" w:rsidRPr="0004720C" w:rsidRDefault="00945DB5" w:rsidP="00945DB5">
      <w:pPr>
        <w:rPr>
          <w:sz w:val="14"/>
        </w:rPr>
      </w:pPr>
      <w:r w:rsidRPr="0004720C">
        <w:rPr>
          <w:sz w:val="14"/>
          <w:szCs w:val="8"/>
        </w:rPr>
        <w:t> % market-poor households receiving</w:t>
      </w:r>
      <w:r w:rsidRPr="0004720C">
        <w:rPr>
          <w:sz w:val="14"/>
          <w:szCs w:val="8"/>
        </w:rPr>
        <w:tab/>
      </w:r>
      <w:r w:rsidRPr="0004720C">
        <w:rPr>
          <w:sz w:val="14"/>
          <w:szCs w:val="8"/>
        </w:rPr>
        <w:tab/>
        <w:t>40.8</w:t>
      </w:r>
      <w:r w:rsidRPr="0004720C">
        <w:rPr>
          <w:sz w:val="14"/>
          <w:szCs w:val="8"/>
        </w:rPr>
        <w:tab/>
      </w:r>
      <w:r w:rsidRPr="0004720C">
        <w:rPr>
          <w:sz w:val="14"/>
          <w:szCs w:val="8"/>
        </w:rPr>
        <w:tab/>
      </w:r>
      <w:r w:rsidRPr="0004720C">
        <w:rPr>
          <w:sz w:val="14"/>
          <w:szCs w:val="8"/>
        </w:rPr>
        <w:tab/>
        <w:t>66.5</w:t>
      </w:r>
      <w:r w:rsidRPr="0004720C">
        <w:rPr>
          <w:sz w:val="14"/>
          <w:szCs w:val="8"/>
        </w:rPr>
        <w:tab/>
      </w:r>
      <w:r w:rsidRPr="0004720C">
        <w:rPr>
          <w:sz w:val="14"/>
        </w:rPr>
        <w:tab/>
      </w:r>
      <w:r w:rsidRPr="0004720C">
        <w:rPr>
          <w:sz w:val="14"/>
        </w:rPr>
        <w:tab/>
      </w:r>
    </w:p>
    <w:p w14:paraId="20CAE2A4" w14:textId="77777777" w:rsidR="00945DB5" w:rsidRPr="0004720C" w:rsidRDefault="00945DB5" w:rsidP="00945DB5">
      <w:pPr>
        <w:rPr>
          <w:sz w:val="14"/>
        </w:rPr>
      </w:pPr>
      <w:r w:rsidRPr="0004720C">
        <w:rPr>
          <w:sz w:val="14"/>
        </w:rPr>
        <w:t>Note. FICA = Federal Insurance Contributions Act. The calculations included in this table use a 3-year moving average (2015–2017) and include the Urban Institute’s Transfer Income Model benefit underreporting adjustments for state transfers (Supplemental Security Income, Temporary Assistance for Needy Families, and Supplemental Nutrition Assistance Program). See table A1 for the unadjusted estimates. Market- and disposable-income poverty calculations are the proportion of each household type in poverty using each income definition. Absolute poverty reductions are calculated as the difference between market and disposable income and the share (percentage) of this overall poverty reduction attributable to each mechanism. Relative reductions are calculated as the percentage of market-income poverty reduced overall and attributable to each mechanism. Average values are the average, nonzero dollar amounts paid or received from each mechanism by market-income-poor households and are inflation adjusted to 2016 dollars using the Consumer Price Index for All Urban Consumers Research Series. Tax values are net of all credits and liabilities. Percentages of market-poor households receiving are the percentages of these households who receive income from each source.</w:t>
      </w:r>
    </w:p>
    <w:p w14:paraId="22656793" w14:textId="77777777" w:rsidR="00945DB5" w:rsidRPr="0004720C" w:rsidRDefault="00945DB5" w:rsidP="00945DB5">
      <w:pPr>
        <w:rPr>
          <w:sz w:val="14"/>
        </w:rPr>
      </w:pPr>
    </w:p>
    <w:p w14:paraId="27433C82" w14:textId="77777777" w:rsidR="00945DB5" w:rsidRPr="0004720C" w:rsidRDefault="00945DB5" w:rsidP="00945DB5">
      <w:pPr>
        <w:rPr>
          <w:sz w:val="14"/>
        </w:rPr>
      </w:pPr>
      <w:r w:rsidRPr="0004720C">
        <w:rPr>
          <w:sz w:val="14"/>
        </w:rPr>
        <w:t>View Table Image</w:t>
      </w:r>
    </w:p>
    <w:p w14:paraId="5975135A" w14:textId="77777777" w:rsidR="00945DB5" w:rsidRPr="0004720C" w:rsidRDefault="00945DB5" w:rsidP="00945DB5">
      <w:pPr>
        <w:rPr>
          <w:sz w:val="14"/>
        </w:rPr>
      </w:pPr>
      <w:r w:rsidRPr="0004720C">
        <w:rPr>
          <w:sz w:val="14"/>
        </w:rPr>
        <w:t xml:space="preserve">Second, we find that the primary poverty reduction mechanisms for each household type differ. </w:t>
      </w:r>
      <w:r w:rsidRPr="00F73A99">
        <w:rPr>
          <w:rStyle w:val="StyleUnderline"/>
        </w:rPr>
        <w:t>Looking at poverty reduction absolutely or relatively</w:t>
      </w:r>
      <w:r w:rsidRPr="0004720C">
        <w:rPr>
          <w:sz w:val="14"/>
        </w:rPr>
        <w:t xml:space="preserve"> among households with children, </w:t>
      </w:r>
      <w:r w:rsidRPr="00846C54">
        <w:rPr>
          <w:rStyle w:val="Emphasis"/>
          <w:highlight w:val="cyan"/>
        </w:rPr>
        <w:t>the greatest poverty reduction is attributable to state transfers</w:t>
      </w:r>
      <w:r w:rsidRPr="0004720C">
        <w:rPr>
          <w:sz w:val="14"/>
        </w:rPr>
        <w:t xml:space="preserve"> (59 percent of overall absolute poverty reduction; market poverty reduced by 35 percent; see Table 3).14 </w:t>
      </w:r>
      <w:r w:rsidRPr="00F73A99">
        <w:rPr>
          <w:rStyle w:val="StyleUnderline"/>
        </w:rPr>
        <w:t>Federal income taxes have the second-largest poverty-reducing impact, followed by federal transfers and state taxes,</w:t>
      </w:r>
      <w:r w:rsidRPr="0004720C">
        <w:rPr>
          <w:sz w:val="14"/>
        </w:rPr>
        <w:t xml:space="preserve"> whereas FICA payments made by these households serve to increase market poverty. </w:t>
      </w:r>
      <w:r w:rsidRPr="00846C54">
        <w:rPr>
          <w:rStyle w:val="StyleUnderline"/>
          <w:highlight w:val="cyan"/>
        </w:rPr>
        <w:t>The large role of state transfers is attributable to</w:t>
      </w:r>
      <w:r w:rsidRPr="00F73A99">
        <w:rPr>
          <w:rStyle w:val="StyleUnderline"/>
        </w:rPr>
        <w:t xml:space="preserve"> the large average dollar amount received by households with market incomes below the poverty line</w:t>
      </w:r>
      <w:r w:rsidRPr="0004720C">
        <w:rPr>
          <w:sz w:val="14"/>
        </w:rPr>
        <w:t xml:space="preserve"> ($9,568), </w:t>
      </w:r>
      <w:r w:rsidRPr="00F73A99">
        <w:rPr>
          <w:rStyle w:val="StyleUnderline"/>
        </w:rPr>
        <w:t xml:space="preserve">and the </w:t>
      </w:r>
      <w:r w:rsidRPr="00846C54">
        <w:rPr>
          <w:rStyle w:val="Emphasis"/>
          <w:highlight w:val="cyan"/>
        </w:rPr>
        <w:t>high rate of receipt</w:t>
      </w:r>
      <w:r w:rsidRPr="0004720C">
        <w:rPr>
          <w:sz w:val="14"/>
        </w:rPr>
        <w:t xml:space="preserve"> (98 percent).15 Unpacking this mechanism to look at specific programs, we find that the vast majority of market-poor households with children received support from the two food assistance programs: almost 90 percent of households receive SNAP benefits, with an average value just under $5,000; 70 percent receive school lunch subsidies, with an imputed average value of slightly more than $1,000 (Table 4).16 Three other state transfers are received by approximately one in five of these households: SSI (20 percent), TANF (17 percent), and child support (17 percent), with average values of approximately $9,000, $4,000, and $5,000. The state transfer program with the highest average value ($17,401), workers’ compensation, is received by less than 2 percent of households. Moving to federal transfers, the smaller poverty reduction attributable to this mechanism results from the lower rates of receipt (18 percent), though the average dollar amount received is high ($15,905). In unpacking this mechanism to look at specific programs, we find that much of the poverty reduction attributable to federal transfers is from OASDI, which is received by 17 percent of these households, with average values of almost $15,000.</w:t>
      </w:r>
    </w:p>
    <w:p w14:paraId="7B745283" w14:textId="54F5FCD9" w:rsidR="00945DB5" w:rsidRDefault="00FC045F" w:rsidP="00FC045F">
      <w:pPr>
        <w:pStyle w:val="Heading3"/>
      </w:pPr>
      <w:r>
        <w:t>2NC---TELs</w:t>
      </w:r>
    </w:p>
    <w:p w14:paraId="27F4C067" w14:textId="275DF3E0" w:rsidR="00657411" w:rsidRDefault="00657411" w:rsidP="00657411">
      <w:pPr>
        <w:pStyle w:val="Heading4"/>
      </w:pPr>
      <w:r>
        <w:t xml:space="preserve">The counterplan </w:t>
      </w:r>
      <w:r w:rsidR="00945DB5">
        <w:t>results in overturning</w:t>
      </w:r>
      <w:r>
        <w:t xml:space="preserve"> Tax and Expenditure Limitations, which independently solves inequality. </w:t>
      </w:r>
    </w:p>
    <w:p w14:paraId="7385E7D6" w14:textId="77777777" w:rsidR="00657411" w:rsidRDefault="00657411" w:rsidP="00657411">
      <w:r w:rsidRPr="00236BEB">
        <w:t xml:space="preserve">Steven </w:t>
      </w:r>
      <w:r w:rsidRPr="00236BEB">
        <w:rPr>
          <w:rStyle w:val="Style13ptBold"/>
        </w:rPr>
        <w:t>Deller et al 20</w:t>
      </w:r>
      <w:r>
        <w:t xml:space="preserve">, </w:t>
      </w:r>
      <w:r w:rsidRPr="00236BEB">
        <w:t xml:space="preserve">Department of Agricultural and Applied Economics, Center for Community and Economic Development, University of Wisconsin—Madison. </w:t>
      </w:r>
      <w:proofErr w:type="spellStart"/>
      <w:r w:rsidRPr="00236BEB">
        <w:t>Craigh</w:t>
      </w:r>
      <w:proofErr w:type="spellEnd"/>
      <w:r w:rsidRPr="00236BEB">
        <w:t xml:space="preserve"> Maher, 2 School of Public Administration, University of Nebraska-Omaha. and Judith </w:t>
      </w:r>
      <w:proofErr w:type="spellStart"/>
      <w:r w:rsidRPr="00236BEB">
        <w:t>Stallmann</w:t>
      </w:r>
      <w:proofErr w:type="spellEnd"/>
      <w:r w:rsidRPr="00236BEB">
        <w:t>, 3 Departments of Agricultural and Applied Economics, Rural Sociology and Public Affairs, Community Development Extension, University of Missouri.  "Do tax and expenditure limitations exacerbate rising income inequality?" Economics and Politics.</w:t>
      </w:r>
      <w:r>
        <w:t xml:space="preserve"> //</w:t>
      </w:r>
      <w:proofErr w:type="spellStart"/>
      <w:r>
        <w:t>pipk</w:t>
      </w:r>
      <w:proofErr w:type="spellEnd"/>
    </w:p>
    <w:p w14:paraId="731BF453" w14:textId="77777777" w:rsidR="00657411" w:rsidRDefault="00657411" w:rsidP="00657411">
      <w:r>
        <w:t xml:space="preserve">At the same time as Harrison and Bluestone's “great U-turn,” </w:t>
      </w:r>
      <w:r w:rsidRPr="00800AF9">
        <w:rPr>
          <w:rStyle w:val="StyleUnderline"/>
        </w:rPr>
        <w:t>in the mid-1970s there was</w:t>
      </w:r>
      <w:r>
        <w:t xml:space="preserve"> also </w:t>
      </w:r>
      <w:r w:rsidRPr="00800AF9">
        <w:rPr>
          <w:rStyle w:val="StyleUnderline"/>
        </w:rPr>
        <w:t>a surge in antitax activity</w:t>
      </w:r>
      <w:r>
        <w:t xml:space="preserve">. On June 6, 1978, California voters approved Proposition 13, the “People's Initiative to Limit Property Taxation,” which placed a constitutional limit on increases in property tax assessments to two percent per year. Also, in 1978, voters approved the "Headlee" tax limitation amendments to the Michigan Constitution, limiting increases in property taxes to the rate of inflation. Two years later, Massachusetts approved Proposition 2½, which limited increases in the property tax (as well as automobile excise taxes) to only 2.5% per year (hence the name). The current era is one where </w:t>
      </w:r>
      <w:r w:rsidRPr="00800AF9">
        <w:t>almost every state</w:t>
      </w:r>
      <w:r>
        <w:t xml:space="preserve"> has some form of </w:t>
      </w:r>
      <w:r w:rsidRPr="002B0C2C">
        <w:rPr>
          <w:rStyle w:val="Emphasis"/>
        </w:rPr>
        <w:t>Tax and Expenditure Limitations (</w:t>
      </w:r>
      <w:r w:rsidRPr="00846C54">
        <w:rPr>
          <w:rStyle w:val="Emphasis"/>
          <w:highlight w:val="cyan"/>
        </w:rPr>
        <w:t>TELs</w:t>
      </w:r>
      <w:r w:rsidRPr="002B0C2C">
        <w:rPr>
          <w:rStyle w:val="Emphasis"/>
        </w:rPr>
        <w:t>)</w:t>
      </w:r>
      <w:r>
        <w:t xml:space="preserve"> legislation for local governments, and </w:t>
      </w:r>
      <w:r w:rsidRPr="00800AF9">
        <w:rPr>
          <w:rStyle w:val="StyleUnderline"/>
        </w:rPr>
        <w:t>most states have self-</w:t>
      </w:r>
      <w:r w:rsidRPr="00846C54">
        <w:rPr>
          <w:rStyle w:val="StyleUnderline"/>
          <w:highlight w:val="cyan"/>
        </w:rPr>
        <w:t>impose</w:t>
      </w:r>
      <w:r w:rsidRPr="00800AF9">
        <w:rPr>
          <w:rStyle w:val="StyleUnderline"/>
        </w:rPr>
        <w:t xml:space="preserve">d </w:t>
      </w:r>
      <w:r w:rsidRPr="00846C54">
        <w:rPr>
          <w:rStyle w:val="StyleUnderline"/>
          <w:highlight w:val="cyan"/>
        </w:rPr>
        <w:t>limits on state governments</w:t>
      </w:r>
      <w:r>
        <w:t xml:space="preserve"> (</w:t>
      </w:r>
      <w:proofErr w:type="spellStart"/>
      <w:r>
        <w:t>Amiel</w:t>
      </w:r>
      <w:proofErr w:type="spellEnd"/>
      <w:r>
        <w:t xml:space="preserve">, Deller, &amp; </w:t>
      </w:r>
      <w:proofErr w:type="spellStart"/>
      <w:r>
        <w:t>Stallmann</w:t>
      </w:r>
      <w:proofErr w:type="spellEnd"/>
      <w:r>
        <w:t>, 2009).</w:t>
      </w:r>
    </w:p>
    <w:p w14:paraId="12791076" w14:textId="77777777" w:rsidR="00657411" w:rsidRDefault="00657411" w:rsidP="00657411">
      <w:r>
        <w:t xml:space="preserve">The timing of </w:t>
      </w:r>
      <w:r w:rsidRPr="00800AF9">
        <w:rPr>
          <w:rStyle w:val="StyleUnderline"/>
        </w:rPr>
        <w:t>the reversal of income convergence</w:t>
      </w:r>
      <w:r>
        <w:t xml:space="preserve"> (the Great U-turn) </w:t>
      </w:r>
      <w:r w:rsidRPr="00800AF9">
        <w:rPr>
          <w:rStyle w:val="StyleUnderline"/>
        </w:rPr>
        <w:t>and the tax revolt movement</w:t>
      </w:r>
      <w:r>
        <w:t xml:space="preserve"> that occurred in the mid to late 1970s could be a coincidence, but it </w:t>
      </w:r>
      <w:r w:rsidRPr="00800AF9">
        <w:rPr>
          <w:rStyle w:val="StyleUnderline"/>
        </w:rPr>
        <w:t>raises important questions</w:t>
      </w:r>
      <w:r>
        <w:t xml:space="preserve">. First, was the tax revolt, and specifically the movement in support of TELs, an attempt by those with higher incomes to protect their income or wealth by lowering their taxes? Alternatively, did the desire for lower taxes by the public result in unintended consequences that exacerbate trends in widening income inequality? </w:t>
      </w:r>
      <w:r w:rsidRPr="00846C54">
        <w:rPr>
          <w:rStyle w:val="Emphasis"/>
          <w:highlight w:val="cyan"/>
        </w:rPr>
        <w:t>Taxes are unequally distributed</w:t>
      </w:r>
      <w:r w:rsidRPr="00800AF9">
        <w:rPr>
          <w:rStyle w:val="Emphasis"/>
        </w:rPr>
        <w:t xml:space="preserve"> across income groups </w:t>
      </w:r>
      <w:r w:rsidRPr="00846C54">
        <w:rPr>
          <w:rStyle w:val="Emphasis"/>
          <w:highlight w:val="cyan"/>
        </w:rPr>
        <w:t>and the instruments chosen to limit tax/spending growth</w:t>
      </w:r>
      <w:r>
        <w:t>—restricting property taxes versus sales taxes or limiting the overall ability to raise taxes or increase expenditures—</w:t>
      </w:r>
      <w:r w:rsidRPr="00800AF9">
        <w:rPr>
          <w:rStyle w:val="Emphasis"/>
        </w:rPr>
        <w:t xml:space="preserve">may have the unintended result of </w:t>
      </w:r>
      <w:r w:rsidRPr="00846C54">
        <w:rPr>
          <w:rStyle w:val="Emphasis"/>
          <w:highlight w:val="cyan"/>
        </w:rPr>
        <w:t>increas</w:t>
      </w:r>
      <w:r w:rsidRPr="00800AF9">
        <w:rPr>
          <w:rStyle w:val="Emphasis"/>
        </w:rPr>
        <w:t xml:space="preserve">ing income </w:t>
      </w:r>
      <w:r w:rsidRPr="00846C54">
        <w:rPr>
          <w:rStyle w:val="Emphasis"/>
          <w:highlight w:val="cyan"/>
        </w:rPr>
        <w:t>inequality</w:t>
      </w:r>
      <w:r>
        <w:t xml:space="preserve">. Additionally, </w:t>
      </w:r>
      <w:r w:rsidRPr="00846C54">
        <w:rPr>
          <w:rStyle w:val="StyleUnderline"/>
          <w:highlight w:val="cyan"/>
        </w:rPr>
        <w:t>unintended consequences may be the result of lower revenues and increasing budget inflexibility that result in cuts to programs that address income inequality</w:t>
      </w:r>
      <w:r>
        <w:t>.</w:t>
      </w:r>
    </w:p>
    <w:p w14:paraId="49793F88" w14:textId="77777777" w:rsidR="00657411" w:rsidRDefault="00657411" w:rsidP="00657411">
      <w:r>
        <w:t xml:space="preserve">The literature finds that subnational or </w:t>
      </w:r>
      <w:r w:rsidRPr="00846C54">
        <w:rPr>
          <w:rStyle w:val="Emphasis"/>
          <w:highlight w:val="cyan"/>
        </w:rPr>
        <w:t>state-level policies</w:t>
      </w:r>
      <w:r>
        <w:t xml:space="preserve"> can </w:t>
      </w:r>
      <w:r w:rsidRPr="00846C54">
        <w:rPr>
          <w:rStyle w:val="Emphasis"/>
          <w:highlight w:val="cyan"/>
        </w:rPr>
        <w:t>affect income inequality, positively or negatively</w:t>
      </w:r>
      <w:r>
        <w:t xml:space="preserve">. Hatch and Rigby (2015) find that </w:t>
      </w:r>
      <w:r w:rsidRPr="00846C54">
        <w:rPr>
          <w:rStyle w:val="StyleUnderline"/>
          <w:highlight w:val="cyan"/>
        </w:rPr>
        <w:t>state-level</w:t>
      </w:r>
      <w:r w:rsidRPr="00800AF9">
        <w:rPr>
          <w:rStyle w:val="StyleUnderline"/>
        </w:rPr>
        <w:t xml:space="preserve"> policies, such as </w:t>
      </w:r>
      <w:r w:rsidRPr="00846C54">
        <w:rPr>
          <w:rStyle w:val="StyleUnderline"/>
          <w:highlight w:val="cyan"/>
        </w:rPr>
        <w:t xml:space="preserve">social </w:t>
      </w:r>
      <w:r w:rsidRPr="001F6935">
        <w:rPr>
          <w:rStyle w:val="StyleUnderline"/>
        </w:rPr>
        <w:t>support</w:t>
      </w:r>
      <w:r w:rsidRPr="00800AF9">
        <w:rPr>
          <w:rStyle w:val="StyleUnderline"/>
        </w:rPr>
        <w:t xml:space="preserve"> </w:t>
      </w:r>
      <w:r w:rsidRPr="00846C54">
        <w:rPr>
          <w:rStyle w:val="StyleUnderline"/>
          <w:highlight w:val="cyan"/>
        </w:rPr>
        <w:t>programs and taxation policy, which can be hindered by TELs, can</w:t>
      </w:r>
      <w:r w:rsidRPr="00800AF9">
        <w:rPr>
          <w:rStyle w:val="StyleUnderline"/>
        </w:rPr>
        <w:t xml:space="preserve"> help </w:t>
      </w:r>
      <w:r w:rsidRPr="00846C54">
        <w:rPr>
          <w:rStyle w:val="StyleUnderline"/>
          <w:highlight w:val="cyan"/>
        </w:rPr>
        <w:t>reduce income inequality</w:t>
      </w:r>
      <w:r w:rsidRPr="00800AF9">
        <w:rPr>
          <w:rStyle w:val="StyleUnderline"/>
        </w:rPr>
        <w:t>.</w:t>
      </w:r>
      <w:r>
        <w:t xml:space="preserve"> Kelly and </w:t>
      </w:r>
      <w:proofErr w:type="spellStart"/>
      <w:r>
        <w:t>Witko</w:t>
      </w:r>
      <w:proofErr w:type="spellEnd"/>
      <w:r>
        <w:t xml:space="preserve"> (2012) find that </w:t>
      </w:r>
      <w:r w:rsidRPr="00800AF9">
        <w:rPr>
          <w:rStyle w:val="StyleUnderline"/>
        </w:rPr>
        <w:t>states that tend to be “</w:t>
      </w:r>
      <w:proofErr w:type="gramStart"/>
      <w:r w:rsidRPr="00800AF9">
        <w:rPr>
          <w:rStyle w:val="StyleUnderline"/>
        </w:rPr>
        <w:t>left-leaning</w:t>
      </w:r>
      <w:proofErr w:type="gramEnd"/>
      <w:r w:rsidRPr="00800AF9">
        <w:rPr>
          <w:rStyle w:val="StyleUnderline"/>
        </w:rPr>
        <w:t>” in terms of fiscal policies tend to have lower growth rates in income inequality than more conservative states, states more likely to impose restrictive TELs.</w:t>
      </w:r>
      <w:r>
        <w:t xml:space="preserve"> Franko and </w:t>
      </w:r>
      <w:proofErr w:type="spellStart"/>
      <w:r>
        <w:t>Witko</w:t>
      </w:r>
      <w:proofErr w:type="spellEnd"/>
      <w:r>
        <w:t xml:space="preserve"> (2017) find more </w:t>
      </w:r>
      <w:r w:rsidRPr="00800AF9">
        <w:rPr>
          <w:rStyle w:val="StyleUnderline"/>
        </w:rPr>
        <w:t>majoritarian policies are found in states with citizens who are more aware of growing inequality and with left-leaning politicians</w:t>
      </w:r>
      <w:r>
        <w:t xml:space="preserve">. At the same time, Bartels (2008), while not specifically addressing the role of TELs in income inequality, lays out a political argument that the rationale behind </w:t>
      </w:r>
      <w:r w:rsidRPr="00800AF9">
        <w:rPr>
          <w:rStyle w:val="StyleUnderline"/>
        </w:rPr>
        <w:t>initiatives such as TELs have exacerbated income inequality</w:t>
      </w:r>
      <w:r>
        <w:t xml:space="preserve">. In essence, </w:t>
      </w:r>
      <w:r w:rsidRPr="00800AF9">
        <w:rPr>
          <w:rStyle w:val="Emphasis"/>
        </w:rPr>
        <w:t xml:space="preserve">the presence of </w:t>
      </w:r>
      <w:r w:rsidRPr="00846C54">
        <w:rPr>
          <w:rStyle w:val="Emphasis"/>
          <w:highlight w:val="cyan"/>
        </w:rPr>
        <w:t>TELs limit</w:t>
      </w:r>
      <w:r w:rsidRPr="001F6935">
        <w:rPr>
          <w:rStyle w:val="Emphasis"/>
        </w:rPr>
        <w:t>s</w:t>
      </w:r>
      <w:r w:rsidRPr="00800AF9">
        <w:rPr>
          <w:rStyle w:val="Emphasis"/>
        </w:rPr>
        <w:t xml:space="preserve"> the flexibility of state governments to implement </w:t>
      </w:r>
      <w:r w:rsidRPr="00846C54">
        <w:rPr>
          <w:rStyle w:val="Emphasis"/>
          <w:highlight w:val="cyan"/>
        </w:rPr>
        <w:t>policies that</w:t>
      </w:r>
      <w:r w:rsidRPr="00800AF9">
        <w:rPr>
          <w:rStyle w:val="Emphasis"/>
        </w:rPr>
        <w:t xml:space="preserve"> can help </w:t>
      </w:r>
      <w:r w:rsidRPr="00846C54">
        <w:rPr>
          <w:rStyle w:val="Emphasis"/>
          <w:highlight w:val="cyan"/>
        </w:rPr>
        <w:t>address</w:t>
      </w:r>
      <w:r w:rsidRPr="00800AF9">
        <w:rPr>
          <w:rStyle w:val="Emphasis"/>
        </w:rPr>
        <w:t xml:space="preserve"> rising income </w:t>
      </w:r>
      <w:r w:rsidRPr="00846C54">
        <w:rPr>
          <w:rStyle w:val="Emphasis"/>
          <w:highlight w:val="cyan"/>
        </w:rPr>
        <w:t>inequality such as</w:t>
      </w:r>
      <w:r w:rsidRPr="00800AF9">
        <w:rPr>
          <w:rStyle w:val="Emphasis"/>
        </w:rPr>
        <w:t xml:space="preserve"> implementing more </w:t>
      </w:r>
      <w:r w:rsidRPr="00846C54">
        <w:rPr>
          <w:rStyle w:val="Emphasis"/>
          <w:highlight w:val="cyan"/>
        </w:rPr>
        <w:t>progressive tax rates</w:t>
      </w:r>
      <w:r w:rsidRPr="00800AF9">
        <w:rPr>
          <w:rStyle w:val="Emphasis"/>
        </w:rPr>
        <w:t xml:space="preserve"> relative to income </w:t>
      </w:r>
      <w:r w:rsidRPr="00846C54">
        <w:rPr>
          <w:rStyle w:val="Emphasis"/>
          <w:highlight w:val="cyan"/>
        </w:rPr>
        <w:t>or expanding social support programs</w:t>
      </w:r>
      <w:r>
        <w:t>.</w:t>
      </w:r>
    </w:p>
    <w:p w14:paraId="4B8714E1" w14:textId="77777777" w:rsidR="00657411" w:rsidRDefault="00657411" w:rsidP="00657411">
      <w:r>
        <w:t xml:space="preserve">This study is situated within the broad literature of the impact of political, specifically fiscal, institutions on inequality. In this study, we examine the drivers of state-level income inequality with a focus on how TELs may have influenced those patterns. Arguments about the role of TELs in increasing income inequality include the following: 1) </w:t>
      </w:r>
      <w:r w:rsidRPr="003316A9">
        <w:rPr>
          <w:rStyle w:val="StyleUnderline"/>
        </w:rPr>
        <w:t>higher-income groups support TELs, particularly limits on the property tax, to protect their assets and income;</w:t>
      </w:r>
      <w:r>
        <w:t xml:space="preserve"> 2) </w:t>
      </w:r>
      <w:r w:rsidRPr="003316A9">
        <w:rPr>
          <w:rStyle w:val="StyleUnderline"/>
        </w:rPr>
        <w:t>budget constraints as a result of a TEL result in service cuts that disproportionately affect lower-income groups</w:t>
      </w:r>
      <w:r>
        <w:t xml:space="preserve">; 3) </w:t>
      </w:r>
      <w:r w:rsidRPr="003316A9">
        <w:rPr>
          <w:rStyle w:val="StyleUnderline"/>
        </w:rPr>
        <w:t>there are unintended consequences of people, in general, wanting lower taxes</w:t>
      </w:r>
      <w:r>
        <w:t>.</w:t>
      </w:r>
    </w:p>
    <w:p w14:paraId="1838D8BA" w14:textId="77777777" w:rsidR="00657411" w:rsidRDefault="00657411" w:rsidP="00657411">
      <w:r w:rsidRPr="003316A9">
        <w:rPr>
          <w:rStyle w:val="StyleUnderline"/>
        </w:rPr>
        <w:t>The sample frame consists of a panel of the 49 states</w:t>
      </w:r>
      <w:r>
        <w:t xml:space="preserve"> (we lose one state to missing data) </w:t>
      </w:r>
      <w:r w:rsidRPr="003316A9">
        <w:rPr>
          <w:rStyle w:val="StyleUnderline"/>
        </w:rPr>
        <w:t>over a 19-year period</w:t>
      </w:r>
      <w:r>
        <w:t xml:space="preserve"> (1992 to 2010) </w:t>
      </w:r>
      <w:r w:rsidRPr="003316A9">
        <w:rPr>
          <w:rStyle w:val="StyleUnderline"/>
        </w:rPr>
        <w:t>to model four different measures of state-level income inequality</w:t>
      </w:r>
      <w:r>
        <w:t xml:space="preserve">. Generally, the </w:t>
      </w:r>
      <w:r w:rsidRPr="003316A9">
        <w:rPr>
          <w:rStyle w:val="StyleUnderline"/>
        </w:rPr>
        <w:t>restrictions set up by TELs become binding overtime rather than immediately.</w:t>
      </w:r>
      <w:r>
        <w:t xml:space="preserve"> There are fourteen states that did not have a TEL during the period under study. In addition, this time period includes two economic cycles, one a major economic downturn, with decreasing and increasing levels of inequality: there was peak in March 2001 and a trough, November 2001: a peak, December 2007, and through, June 2009 (NBER, 2010). Using a pooled panel and time fixed-effects estimators, we find that </w:t>
      </w:r>
      <w:r w:rsidRPr="00846C54">
        <w:rPr>
          <w:rStyle w:val="Emphasis"/>
          <w:highlight w:val="cyan"/>
        </w:rPr>
        <w:t>TELs are associated with income inequality</w:t>
      </w:r>
      <w:r>
        <w:t xml:space="preserve">. </w:t>
      </w:r>
      <w:r w:rsidRPr="00846C54">
        <w:rPr>
          <w:rStyle w:val="Emphasis"/>
          <w:highlight w:val="cyan"/>
        </w:rPr>
        <w:t>Revenue and expenditure TELs that are more restrictive are associated with higher</w:t>
      </w:r>
      <w:r w:rsidRPr="003316A9">
        <w:rPr>
          <w:rStyle w:val="Emphasis"/>
        </w:rPr>
        <w:t xml:space="preserve"> levels of income </w:t>
      </w:r>
      <w:r w:rsidRPr="00846C54">
        <w:rPr>
          <w:rStyle w:val="Emphasis"/>
          <w:highlight w:val="cyan"/>
        </w:rPr>
        <w:t>inequality</w:t>
      </w:r>
      <w:r>
        <w:t xml:space="preserve">. These results complement the findings of Hatch and Rigby (2015), Kelly and </w:t>
      </w:r>
      <w:proofErr w:type="spellStart"/>
      <w:r>
        <w:t>Witko</w:t>
      </w:r>
      <w:proofErr w:type="spellEnd"/>
      <w:r>
        <w:t xml:space="preserve"> (2012), Bartels (2008) and Franko and Witco (2017) that subnational or </w:t>
      </w:r>
      <w:r w:rsidRPr="00846C54">
        <w:rPr>
          <w:rStyle w:val="Emphasis"/>
          <w:highlight w:val="cyan"/>
        </w:rPr>
        <w:t>state-level policies can have a significant impact, positively or negatively, on income inequality</w:t>
      </w:r>
      <w:r w:rsidRPr="00846C54">
        <w:rPr>
          <w:highlight w:val="cyan"/>
        </w:rPr>
        <w:t>.</w:t>
      </w:r>
    </w:p>
    <w:p w14:paraId="57DF1B01" w14:textId="77777777" w:rsidR="00657411" w:rsidRDefault="00657411" w:rsidP="00657411"/>
    <w:p w14:paraId="478CE6BB" w14:textId="77777777" w:rsidR="00385650" w:rsidRDefault="00385650" w:rsidP="00385650">
      <w:pPr>
        <w:pStyle w:val="Heading4"/>
      </w:pPr>
      <w:r>
        <w:t xml:space="preserve">That overcomes the inequality-depoliticization cycle. Increasing state-level fiscal redistribution is key. </w:t>
      </w:r>
    </w:p>
    <w:p w14:paraId="037C63D0" w14:textId="77777777" w:rsidR="00385650" w:rsidRDefault="00385650" w:rsidP="00385650">
      <w:r w:rsidRPr="00236BEB">
        <w:t xml:space="preserve">Steven </w:t>
      </w:r>
      <w:r w:rsidRPr="00236BEB">
        <w:rPr>
          <w:rStyle w:val="Style13ptBold"/>
        </w:rPr>
        <w:t>Deller et al 20</w:t>
      </w:r>
      <w:r>
        <w:t xml:space="preserve">, </w:t>
      </w:r>
      <w:r w:rsidRPr="00236BEB">
        <w:t xml:space="preserve">Department of Agricultural and Applied Economics, Center for Community and Economic Development, University of Wisconsin—Madison. </w:t>
      </w:r>
      <w:proofErr w:type="spellStart"/>
      <w:r w:rsidRPr="00236BEB">
        <w:t>Craigh</w:t>
      </w:r>
      <w:proofErr w:type="spellEnd"/>
      <w:r w:rsidRPr="00236BEB">
        <w:t xml:space="preserve"> Maher, 2 School of Public Administration, University of Nebraska-Omaha. and Judith </w:t>
      </w:r>
      <w:proofErr w:type="spellStart"/>
      <w:r w:rsidRPr="00236BEB">
        <w:t>Stallmann</w:t>
      </w:r>
      <w:proofErr w:type="spellEnd"/>
      <w:r w:rsidRPr="00236BEB">
        <w:t>, 3 Departments of Agricultural and Applied Economics, Rural Sociology and Public Affairs, Community Development Extension, University of Missouri.  "Do tax and expenditure limitations exacerbate rising income inequality?" Economics and Politics.</w:t>
      </w:r>
      <w:r>
        <w:t xml:space="preserve"> //</w:t>
      </w:r>
      <w:proofErr w:type="spellStart"/>
      <w:r>
        <w:t>pipk</w:t>
      </w:r>
      <w:proofErr w:type="spellEnd"/>
    </w:p>
    <w:p w14:paraId="560DC7CD" w14:textId="77777777" w:rsidR="00385650" w:rsidRDefault="00385650" w:rsidP="00385650">
      <w:r>
        <w:t xml:space="preserve">Political scientists concur with international trade economists who argue that </w:t>
      </w:r>
      <w:r w:rsidRPr="008B4CA8">
        <w:rPr>
          <w:rStyle w:val="StyleUnderline"/>
        </w:rPr>
        <w:t>institutional structures, rules, and policies matter</w:t>
      </w:r>
      <w:r>
        <w:t xml:space="preserve">. While </w:t>
      </w:r>
      <w:proofErr w:type="spellStart"/>
      <w:r w:rsidRPr="008B4CA8">
        <w:rPr>
          <w:rStyle w:val="StyleUnderline"/>
        </w:rPr>
        <w:t>multicountry</w:t>
      </w:r>
      <w:proofErr w:type="spellEnd"/>
      <w:r w:rsidRPr="008B4CA8">
        <w:rPr>
          <w:rStyle w:val="StyleUnderline"/>
        </w:rPr>
        <w:t xml:space="preserve"> studies</w:t>
      </w:r>
      <w:r>
        <w:t xml:space="preserve"> may explain how national policies affect </w:t>
      </w:r>
      <w:proofErr w:type="spellStart"/>
      <w:r>
        <w:t>crosscountry</w:t>
      </w:r>
      <w:proofErr w:type="spellEnd"/>
      <w:r>
        <w:t xml:space="preserve"> differences in income inequality, they </w:t>
      </w:r>
      <w:r w:rsidRPr="008B4CA8">
        <w:rPr>
          <w:rStyle w:val="StyleUnderline"/>
        </w:rPr>
        <w:t>do not help us understand how national policies affect within-country income inequality</w:t>
      </w:r>
      <w:r>
        <w:t xml:space="preserve">. Hatch and Rigby (2015) note </w:t>
      </w:r>
      <w:r w:rsidRPr="00846C54">
        <w:rPr>
          <w:rStyle w:val="Emphasis"/>
          <w:highlight w:val="cyan"/>
        </w:rPr>
        <w:t>there is significant heterogeneity in U.S. states’ fiscal policies</w:t>
      </w:r>
      <w:r>
        <w:t>—</w:t>
      </w:r>
      <w:r w:rsidRPr="00846C54">
        <w:rPr>
          <w:rStyle w:val="Emphasis"/>
          <w:highlight w:val="cyan"/>
        </w:rPr>
        <w:t>taxation and expenditures</w:t>
      </w:r>
      <w:r>
        <w:t>—</w:t>
      </w:r>
      <w:r w:rsidRPr="008B4CA8">
        <w:rPr>
          <w:rStyle w:val="StyleUnderline"/>
        </w:rPr>
        <w:t>and other</w:t>
      </w:r>
      <w:r>
        <w:t xml:space="preserve">. </w:t>
      </w:r>
      <w:r w:rsidRPr="008B4CA8">
        <w:rPr>
          <w:rStyle w:val="StyleUnderline"/>
        </w:rPr>
        <w:t>laws, including labor laws such as right to work</w:t>
      </w:r>
      <w:r>
        <w:t xml:space="preserve"> Kelly and </w:t>
      </w:r>
      <w:proofErr w:type="spellStart"/>
      <w:r>
        <w:t>Witko</w:t>
      </w:r>
      <w:proofErr w:type="spellEnd"/>
      <w:r>
        <w:t xml:space="preserve"> (2012) find that </w:t>
      </w:r>
      <w:r w:rsidRPr="00846C54">
        <w:rPr>
          <w:rStyle w:val="Emphasis"/>
          <w:highlight w:val="cyan"/>
        </w:rPr>
        <w:t>state policy</w:t>
      </w:r>
      <w:r>
        <w:t xml:space="preserve">, such as state minimum wage laws, </w:t>
      </w:r>
      <w:r w:rsidRPr="00846C54">
        <w:rPr>
          <w:rStyle w:val="Emphasis"/>
          <w:highlight w:val="cyan"/>
        </w:rPr>
        <w:t>plays an important role in reducing</w:t>
      </w:r>
      <w:r w:rsidRPr="008B4CA8">
        <w:rPr>
          <w:rStyle w:val="Emphasis"/>
        </w:rPr>
        <w:t xml:space="preserve"> income </w:t>
      </w:r>
      <w:r w:rsidRPr="00846C54">
        <w:rPr>
          <w:rStyle w:val="Emphasis"/>
          <w:highlight w:val="cyan"/>
        </w:rPr>
        <w:t>inequality</w:t>
      </w:r>
      <w:r>
        <w:t xml:space="preserve">, and Franko and Witco (2017) find that state laws that weaken unions also increase income inequality. Langer (2001) finds </w:t>
      </w:r>
      <w:r w:rsidRPr="00CD0BA0">
        <w:rPr>
          <w:rStyle w:val="StyleUnderline"/>
        </w:rPr>
        <w:t xml:space="preserve">states that adopt more </w:t>
      </w:r>
      <w:proofErr w:type="spellStart"/>
      <w:r w:rsidRPr="00CD0BA0">
        <w:rPr>
          <w:rStyle w:val="StyleUnderline"/>
        </w:rPr>
        <w:t>demandside</w:t>
      </w:r>
      <w:proofErr w:type="spellEnd"/>
      <w:r w:rsidRPr="00CD0BA0">
        <w:rPr>
          <w:rStyle w:val="StyleUnderline"/>
        </w:rPr>
        <w:t xml:space="preserve"> economic development policies, such as investment in education and research and development, as opposed to more traditional supply-side policies, such as tax incentives, show reductions in income inequality</w:t>
      </w:r>
      <w:r>
        <w:t xml:space="preserve">. </w:t>
      </w:r>
      <w:proofErr w:type="spellStart"/>
      <w:r>
        <w:t>Solt</w:t>
      </w:r>
      <w:proofErr w:type="spellEnd"/>
      <w:r>
        <w:t xml:space="preserve"> (2008) finds that </w:t>
      </w:r>
      <w:r w:rsidRPr="00846C54">
        <w:rPr>
          <w:rStyle w:val="Emphasis"/>
          <w:highlight w:val="cyan"/>
        </w:rPr>
        <w:t>as inequality rises those in</w:t>
      </w:r>
      <w:r w:rsidRPr="00CD0BA0">
        <w:rPr>
          <w:rStyle w:val="Emphasis"/>
        </w:rPr>
        <w:t xml:space="preserve"> the </w:t>
      </w:r>
      <w:r w:rsidRPr="00846C54">
        <w:rPr>
          <w:rStyle w:val="Emphasis"/>
          <w:highlight w:val="cyan"/>
        </w:rPr>
        <w:t>lower-income</w:t>
      </w:r>
      <w:r w:rsidRPr="00CD0BA0">
        <w:rPr>
          <w:rStyle w:val="Emphasis"/>
        </w:rPr>
        <w:t xml:space="preserve"> categories </w:t>
      </w:r>
      <w:r w:rsidRPr="00846C54">
        <w:rPr>
          <w:rStyle w:val="Emphasis"/>
          <w:highlight w:val="cyan"/>
        </w:rPr>
        <w:t>become disengaged from the political process leading to a cycle where greater</w:t>
      </w:r>
      <w:r w:rsidRPr="00CD0BA0">
        <w:rPr>
          <w:rStyle w:val="Emphasis"/>
        </w:rPr>
        <w:t xml:space="preserve"> income </w:t>
      </w:r>
      <w:r w:rsidRPr="00846C54">
        <w:rPr>
          <w:rStyle w:val="Emphasis"/>
          <w:highlight w:val="cyan"/>
        </w:rPr>
        <w:t>inequality results in greater political inequality</w:t>
      </w:r>
      <w:r w:rsidRPr="00CD0BA0">
        <w:rPr>
          <w:rStyle w:val="Emphasis"/>
        </w:rPr>
        <w:t xml:space="preserve"> thus </w:t>
      </w:r>
      <w:r w:rsidRPr="00846C54">
        <w:rPr>
          <w:rStyle w:val="Emphasis"/>
          <w:highlight w:val="cyan"/>
        </w:rPr>
        <w:t>reinforcing policies that</w:t>
      </w:r>
      <w:r w:rsidRPr="00CD0BA0">
        <w:rPr>
          <w:rStyle w:val="Emphasis"/>
        </w:rPr>
        <w:t xml:space="preserve"> may </w:t>
      </w:r>
      <w:r w:rsidRPr="00846C54">
        <w:rPr>
          <w:rStyle w:val="Emphasis"/>
          <w:highlight w:val="cyan"/>
        </w:rPr>
        <w:t xml:space="preserve">favor the wealthy </w:t>
      </w:r>
      <w:r w:rsidRPr="00BD50FA">
        <w:rPr>
          <w:rStyle w:val="Emphasis"/>
        </w:rPr>
        <w:t>at</w:t>
      </w:r>
      <w:r w:rsidRPr="00CD0BA0">
        <w:rPr>
          <w:rStyle w:val="Emphasis"/>
        </w:rPr>
        <w:t xml:space="preserve"> the expense of the poorer.</w:t>
      </w:r>
      <w:r>
        <w:t xml:space="preserve"> This latter result is largely reaffirmed by Kelly and Enns (2010: p855) who find “</w:t>
      </w:r>
      <w:r w:rsidRPr="00846C54">
        <w:rPr>
          <w:rStyle w:val="Emphasis"/>
          <w:highlight w:val="cyan"/>
        </w:rPr>
        <w:t>economic inequality is</w:t>
      </w:r>
      <w:r>
        <w:t xml:space="preserve">, in fact, </w:t>
      </w:r>
      <w:r w:rsidRPr="00846C54">
        <w:rPr>
          <w:rStyle w:val="Emphasis"/>
          <w:highlight w:val="cyan"/>
        </w:rPr>
        <w:t>self-reinforcing</w:t>
      </w:r>
      <w:r w:rsidRPr="00CD0BA0">
        <w:rPr>
          <w:rStyle w:val="Emphasis"/>
        </w:rPr>
        <w:t>”</w:t>
      </w:r>
      <w:r>
        <w:t xml:space="preserve"> through policy actions. As Hayes and Medina Vidal (2015) discuss, </w:t>
      </w:r>
      <w:r w:rsidRPr="00CD0BA0">
        <w:rPr>
          <w:rStyle w:val="StyleUnderline"/>
        </w:rPr>
        <w:t>there is political response bias in favor of the wealthier, which also reinforces inequality</w:t>
      </w:r>
      <w:r>
        <w:t>.</w:t>
      </w:r>
    </w:p>
    <w:p w14:paraId="69B6E7E0" w14:textId="77777777" w:rsidR="00385650" w:rsidRDefault="00385650" w:rsidP="00385650">
      <w:r>
        <w:t xml:space="preserve">Newman et al. (2015) talk in terms of how income inequality can influence public policies in terms of redistributive and inequality democracy perspectives. Here, the former argues that </w:t>
      </w:r>
      <w:r w:rsidRPr="00CD0BA0">
        <w:rPr>
          <w:rStyle w:val="StyleUnderline"/>
        </w:rPr>
        <w:t>democratic processes create the potential for addressing inequality that is generated by economic forces.</w:t>
      </w:r>
      <w:r>
        <w:t xml:space="preserve"> </w:t>
      </w:r>
      <w:r w:rsidRPr="00CD0BA0">
        <w:rPr>
          <w:rStyle w:val="StyleUnderline"/>
        </w:rPr>
        <w:t xml:space="preserve">The bulk of the electorate will vote in their own economic self-interested and pursue policies that promote redistribution. Unequal democracies take a grimmer perspective in that </w:t>
      </w:r>
      <w:r w:rsidRPr="00846C54">
        <w:rPr>
          <w:rStyle w:val="StyleUnderline"/>
          <w:highlight w:val="cyan"/>
        </w:rPr>
        <w:t>higher-income voters have a disproportionate influence on economic policies</w:t>
      </w:r>
      <w:r w:rsidRPr="00CD0BA0">
        <w:rPr>
          <w:rStyle w:val="StyleUnderline"/>
        </w:rPr>
        <w:t xml:space="preserve"> to the detriment of lower- and middle-income voters</w:t>
      </w:r>
      <w:r>
        <w:t>.</w:t>
      </w:r>
      <w:r w:rsidRPr="00662329">
        <w:t xml:space="preserve"> </w:t>
      </w:r>
      <w:proofErr w:type="spellStart"/>
      <w:r>
        <w:t>Gilens</w:t>
      </w:r>
      <w:proofErr w:type="spellEnd"/>
      <w:r>
        <w:t xml:space="preserve"> (2005, p778) in a study of voting behavior across different income levels finds “…that </w:t>
      </w:r>
      <w:r w:rsidRPr="00FD00E1">
        <w:rPr>
          <w:rStyle w:val="StyleUnderline"/>
        </w:rPr>
        <w:t>when Americans with different income levels differ in their policy preferences, actual policy outcomes strongly reflect the preferences of the most affluent but bear virtually no relationship to the preferences of the poor or middle-income Americans</w:t>
      </w:r>
      <w:r>
        <w:t>.”</w:t>
      </w:r>
    </w:p>
    <w:p w14:paraId="28EA6580" w14:textId="77777777" w:rsidR="00385650" w:rsidRDefault="00385650" w:rsidP="00385650">
      <w:r>
        <w:t>Tax and expenditure limitations (</w:t>
      </w:r>
      <w:r w:rsidRPr="00846C54">
        <w:rPr>
          <w:rStyle w:val="Emphasis"/>
          <w:highlight w:val="cyan"/>
        </w:rPr>
        <w:t>TELs</w:t>
      </w:r>
      <w:r>
        <w:t xml:space="preserve">) </w:t>
      </w:r>
      <w:r w:rsidRPr="00FD1E19">
        <w:rPr>
          <w:rStyle w:val="Emphasis"/>
        </w:rPr>
        <w:t>are one subnational policy that may</w:t>
      </w:r>
      <w:r w:rsidRPr="00FD00E1">
        <w:rPr>
          <w:rStyle w:val="Emphasis"/>
        </w:rPr>
        <w:t xml:space="preserve"> have </w:t>
      </w:r>
      <w:r w:rsidRPr="00846C54">
        <w:rPr>
          <w:rStyle w:val="Emphasis"/>
          <w:highlight w:val="cyan"/>
        </w:rPr>
        <w:t>impact</w:t>
      </w:r>
      <w:r w:rsidRPr="00FD1E19">
        <w:rPr>
          <w:rStyle w:val="Emphasis"/>
        </w:rPr>
        <w:t>s</w:t>
      </w:r>
      <w:r w:rsidRPr="00FD00E1">
        <w:rPr>
          <w:rStyle w:val="Emphasis"/>
        </w:rPr>
        <w:t xml:space="preserve"> on </w:t>
      </w:r>
      <w:r w:rsidRPr="00846C54">
        <w:rPr>
          <w:rStyle w:val="Emphasis"/>
          <w:highlight w:val="cyan"/>
        </w:rPr>
        <w:t>income distribution</w:t>
      </w:r>
      <w:r>
        <w:t xml:space="preserve">. By their </w:t>
      </w:r>
      <w:r w:rsidRPr="00FD1E19">
        <w:t xml:space="preserve">design, </w:t>
      </w:r>
      <w:r w:rsidRPr="00FD1E19">
        <w:rPr>
          <w:rStyle w:val="StyleUnderline"/>
        </w:rPr>
        <w:t>TELs limit the flexibility of states</w:t>
      </w:r>
      <w:r>
        <w:t xml:space="preserve"> (and local governments) </w:t>
      </w:r>
      <w:r w:rsidRPr="00846C54">
        <w:rPr>
          <w:rStyle w:val="StyleUnderline"/>
          <w:highlight w:val="cyan"/>
        </w:rPr>
        <w:t>in terms of fiscal policy</w:t>
      </w:r>
      <w:r w:rsidRPr="00FD00E1">
        <w:rPr>
          <w:rStyle w:val="StyleUnderline"/>
        </w:rPr>
        <w:t xml:space="preserve"> and widely set the tone of how the state thinks about its role in economic growth and development policies, including policies </w:t>
      </w:r>
      <w:r w:rsidRPr="00846C54">
        <w:rPr>
          <w:rStyle w:val="StyleUnderline"/>
          <w:highlight w:val="cyan"/>
        </w:rPr>
        <w:t>for addressing</w:t>
      </w:r>
      <w:r w:rsidRPr="00FD00E1">
        <w:rPr>
          <w:rStyle w:val="StyleUnderline"/>
        </w:rPr>
        <w:t xml:space="preserve"> rising income </w:t>
      </w:r>
      <w:r w:rsidRPr="00846C54">
        <w:rPr>
          <w:rStyle w:val="StyleUnderline"/>
          <w:highlight w:val="cyan"/>
        </w:rPr>
        <w:t>inequality</w:t>
      </w:r>
      <w:r>
        <w:t xml:space="preserve">. As noted by Joyce and Mullins (1991), Mullins and </w:t>
      </w:r>
      <w:proofErr w:type="spellStart"/>
      <w:r>
        <w:t>Wallin</w:t>
      </w:r>
      <w:proofErr w:type="spellEnd"/>
      <w:r>
        <w:t xml:space="preserve"> (2004) and </w:t>
      </w:r>
      <w:proofErr w:type="spellStart"/>
      <w:r>
        <w:t>Stallmann</w:t>
      </w:r>
      <w:proofErr w:type="spellEnd"/>
      <w:r>
        <w:t xml:space="preserve"> (2007), </w:t>
      </w:r>
      <w:r w:rsidRPr="00FD00E1">
        <w:rPr>
          <w:rStyle w:val="StyleUnderline"/>
        </w:rPr>
        <w:t>TELs have been justified</w:t>
      </w:r>
      <w:r>
        <w:t xml:space="preserve"> for a multitude of reasons, but the most common is </w:t>
      </w:r>
      <w:r w:rsidRPr="00FD00E1">
        <w:rPr>
          <w:rStyle w:val="StyleUnderline"/>
        </w:rPr>
        <w:t>to impose discipline to restrain</w:t>
      </w:r>
      <w:r>
        <w:t xml:space="preserve"> </w:t>
      </w:r>
      <w:proofErr w:type="spellStart"/>
      <w:r>
        <w:t>Niskanen</w:t>
      </w:r>
      <w:proofErr w:type="spellEnd"/>
      <w:r>
        <w:t xml:space="preserve">–Buchanan– </w:t>
      </w:r>
      <w:proofErr w:type="spellStart"/>
      <w:r>
        <w:t>Tullock</w:t>
      </w:r>
      <w:proofErr w:type="spellEnd"/>
      <w:r>
        <w:t xml:space="preserve"> or Leviathan-type </w:t>
      </w:r>
      <w:r w:rsidRPr="00FD00E1">
        <w:rPr>
          <w:rStyle w:val="StyleUnderline"/>
        </w:rPr>
        <w:t>government</w:t>
      </w:r>
      <w:r>
        <w:t>. Due to the lack of competitive market forces, elected officials lack the discipline to impose fiscal restraint. Rather they respond to political pressures from special interest groups and bureaucrats to increase program budgets, resulting in taxes or revenues and expenditures that exceed efficient levels (Fraser, 2005; New &amp; Slivinski, 2005). Thus, a constraint, such as a TEL, is required to force said fiscal discipline. It is argued that TELs “curb the perceived excess associated with a piecemeal budgetary process which yields …larger expenditures than a majority of voters deem desirable” (Abrams &amp; Dougan, 1986, pg. 105).</w:t>
      </w:r>
    </w:p>
    <w:p w14:paraId="4344B345" w14:textId="77777777" w:rsidR="00385650" w:rsidRDefault="00385650" w:rsidP="00385650">
      <w:r>
        <w:t xml:space="preserve">As noted by </w:t>
      </w:r>
      <w:proofErr w:type="spellStart"/>
      <w:r>
        <w:t>Stallmann</w:t>
      </w:r>
      <w:proofErr w:type="spellEnd"/>
      <w:r>
        <w:t xml:space="preserve">, Maher, Deller, and Park (2017) there are two sets of literature on the outcomes of TELs. One literature examines whether the TELs yield the outcomes for which they were intended, and the second literature examines unintended outcomes. One type of unintended outcomes is perverse outcomes—opposite of the intended while a second type of unintended outcome is an outcome that was not contemplated at the time. In the case of TELs, such an unintended outcome may be income inequality due to the restraints the TEL places on state governments to act. Almeida (2020) discusses the increase in inequality after the 2008 recession when transfer programs were phased out. This suggests that </w:t>
      </w:r>
      <w:r w:rsidRPr="001445A1">
        <w:rPr>
          <w:rStyle w:val="StyleUnderline"/>
        </w:rPr>
        <w:t xml:space="preserve">if </w:t>
      </w:r>
      <w:r w:rsidRPr="00846C54">
        <w:rPr>
          <w:rStyle w:val="StyleUnderline"/>
          <w:highlight w:val="cyan"/>
        </w:rPr>
        <w:t>TELs restrict</w:t>
      </w:r>
      <w:r w:rsidRPr="001445A1">
        <w:rPr>
          <w:rStyle w:val="StyleUnderline"/>
        </w:rPr>
        <w:t xml:space="preserve"> budget flexibility to provide </w:t>
      </w:r>
      <w:r w:rsidRPr="00846C54">
        <w:rPr>
          <w:rStyle w:val="StyleUnderline"/>
          <w:highlight w:val="cyan"/>
        </w:rPr>
        <w:t>transfer programs</w:t>
      </w:r>
      <w:r w:rsidRPr="001445A1">
        <w:rPr>
          <w:rStyle w:val="StyleUnderline"/>
        </w:rPr>
        <w:t>, inequality may increase</w:t>
      </w:r>
      <w:r>
        <w:t>.</w:t>
      </w:r>
    </w:p>
    <w:p w14:paraId="3D9E3AC1" w14:textId="77777777" w:rsidR="00385650" w:rsidRDefault="00385650" w:rsidP="00385650">
      <w:pPr>
        <w:rPr>
          <w:rStyle w:val="StyleUnderline"/>
        </w:rPr>
      </w:pPr>
      <w:r>
        <w:t xml:space="preserve">The literature addresses a wide variety of the intended outcomes of TELs and whether they were achieved. One area of the literature examines the impacts of TELs on how state and local governments conduct business (e.g., Joyce &amp; Mullins, 1991; Mullins &amp; Joyce, 1996; </w:t>
      </w:r>
      <w:proofErr w:type="spellStart"/>
      <w:r>
        <w:t>Shadbegian</w:t>
      </w:r>
      <w:proofErr w:type="spellEnd"/>
      <w:r>
        <w:t xml:space="preserve">, 1996, 1998, 1999; Skidmore, 1999); government performance, especially in public schools (e.g., Downes, Dye, &amp; McGuire, 1998; </w:t>
      </w:r>
      <w:proofErr w:type="spellStart"/>
      <w:r>
        <w:t>Figlio</w:t>
      </w:r>
      <w:proofErr w:type="spellEnd"/>
      <w:r>
        <w:t xml:space="preserve"> &amp; Rueben, 2001; </w:t>
      </w:r>
      <w:proofErr w:type="spellStart"/>
      <w:r>
        <w:t>Shadbegian</w:t>
      </w:r>
      <w:proofErr w:type="spellEnd"/>
      <w:r>
        <w:t xml:space="preserve">, 2003); and fiscal outcomes (e.g., Maher &amp; Deller, 2012; </w:t>
      </w:r>
      <w:proofErr w:type="spellStart"/>
      <w:r>
        <w:t>Amiel</w:t>
      </w:r>
      <w:proofErr w:type="spellEnd"/>
      <w:r>
        <w:t xml:space="preserve">, Deller, </w:t>
      </w:r>
      <w:proofErr w:type="spellStart"/>
      <w:r>
        <w:t>Stallmann</w:t>
      </w:r>
      <w:proofErr w:type="spellEnd"/>
      <w:r>
        <w:t xml:space="preserve">, &amp; Maher, 2014). While one should take care in drawing broad generalizations from a complex literature, researchers generally conclude that </w:t>
      </w:r>
      <w:r w:rsidRPr="00057141">
        <w:rPr>
          <w:rStyle w:val="StyleUnderline"/>
        </w:rPr>
        <w:t>tax and expenditure limitations alter government behavior but not necessarily in the ways envisioned by TEL proponents.</w:t>
      </w:r>
    </w:p>
    <w:p w14:paraId="60A5E6F5" w14:textId="77777777" w:rsidR="00935E72" w:rsidRPr="00935E72" w:rsidRDefault="00935E72" w:rsidP="00935E72"/>
    <w:p w14:paraId="01E1E6BE" w14:textId="6CA64037" w:rsidR="00DD0635" w:rsidRDefault="00DD0635" w:rsidP="00EB5C17">
      <w:pPr>
        <w:pStyle w:val="Heading3"/>
      </w:pPr>
      <w:r>
        <w:t>2NC---AT: Uniformity Good</w:t>
      </w:r>
    </w:p>
    <w:p w14:paraId="4511AB4A" w14:textId="00BE4501" w:rsidR="002227A2" w:rsidRDefault="002227A2" w:rsidP="002227A2">
      <w:pPr>
        <w:pStyle w:val="Heading4"/>
      </w:pPr>
      <w:r>
        <w:t xml:space="preserve">Federal redistribution programs are not implemented uniformly even when </w:t>
      </w:r>
      <w:r w:rsidR="007A1650">
        <w:t xml:space="preserve">designed to be </w:t>
      </w:r>
      <w:r w:rsidR="004404FD">
        <w:t>uniform</w:t>
      </w:r>
      <w:r>
        <w:t>. Building public support for redistribution at the local level is a prerequisite, which means the counterplan results in uniform</w:t>
      </w:r>
      <w:r w:rsidR="004404FD">
        <w:t xml:space="preserve">ity </w:t>
      </w:r>
      <w:r>
        <w:t xml:space="preserve">and the </w:t>
      </w:r>
      <w:proofErr w:type="spellStart"/>
      <w:r>
        <w:t>aff</w:t>
      </w:r>
      <w:proofErr w:type="spellEnd"/>
      <w:r>
        <w:t xml:space="preserve"> </w:t>
      </w:r>
      <w:proofErr w:type="gramStart"/>
      <w:r>
        <w:t>doesn’t</w:t>
      </w:r>
      <w:proofErr w:type="gramEnd"/>
    </w:p>
    <w:p w14:paraId="51E520A8" w14:textId="77777777" w:rsidR="002227A2" w:rsidRDefault="002227A2" w:rsidP="002227A2">
      <w:r w:rsidRPr="00DD0635">
        <w:t xml:space="preserve">Vladimir </w:t>
      </w:r>
      <w:r w:rsidRPr="00DD0635">
        <w:rPr>
          <w:rStyle w:val="Style13ptBold"/>
        </w:rPr>
        <w:t>Kogan 17,</w:t>
      </w:r>
      <w:r w:rsidRPr="00DD0635">
        <w:t xml:space="preserve"> Director of Undergraduate Studies, Professor, studies state and local government in the United States. His research focuses on the intersection of politics and public policy in areas including education and social policy. Kogan serves on the editorial board of Urban Affairs Review and is affiliated with OSU’s Institute for Democratic Engagement and Accountability, the Education Governance and Accountability Project, and the Translational Data Analytics Institute. "Administrative Centralization and Bureaucratic Responsiveness: Evidence from the Food Stamp Program" Journal of Public Administration Research and Theory: J-PART, Vol. 27, No. 4 (October 2017), pp. 629-646 //</w:t>
      </w:r>
      <w:proofErr w:type="spellStart"/>
      <w:r w:rsidRPr="00DD0635">
        <w:t>pipk</w:t>
      </w:r>
      <w:proofErr w:type="spellEnd"/>
    </w:p>
    <w:p w14:paraId="5E22A0A6" w14:textId="77CFD5A2" w:rsidR="002227A2" w:rsidRDefault="002227A2" w:rsidP="002227A2">
      <w:r w:rsidRPr="00846C54">
        <w:rPr>
          <w:rStyle w:val="StyleUnderline"/>
          <w:highlight w:val="cyan"/>
        </w:rPr>
        <w:t>Delegation is part and parcel of politics because elected officials who</w:t>
      </w:r>
      <w:r w:rsidRPr="00712BA2">
        <w:rPr>
          <w:rStyle w:val="StyleUnderline"/>
        </w:rPr>
        <w:t xml:space="preserve"> write statutes and </w:t>
      </w:r>
      <w:r w:rsidRPr="00846C54">
        <w:rPr>
          <w:rStyle w:val="StyleUnderline"/>
          <w:highlight w:val="cyan"/>
        </w:rPr>
        <w:t>make policy rarely personally implement these directives on the ground</w:t>
      </w:r>
      <w:r>
        <w:t xml:space="preserve">. </w:t>
      </w:r>
      <w:r w:rsidRPr="00846C54">
        <w:rPr>
          <w:rStyle w:val="StyleUnderline"/>
          <w:highlight w:val="cyan"/>
        </w:rPr>
        <w:t xml:space="preserve">The central challenge </w:t>
      </w:r>
      <w:r w:rsidRPr="00664A2F">
        <w:rPr>
          <w:rStyle w:val="StyleUnderline"/>
        </w:rPr>
        <w:t>in</w:t>
      </w:r>
      <w:r w:rsidRPr="00712BA2">
        <w:rPr>
          <w:rStyle w:val="StyleUnderline"/>
        </w:rPr>
        <w:t xml:space="preserve"> the design of government institutions </w:t>
      </w:r>
      <w:r w:rsidRPr="00846C54">
        <w:rPr>
          <w:rStyle w:val="StyleUnderline"/>
          <w:highlight w:val="cyan"/>
        </w:rPr>
        <w:t>is thus to provide street-level bureaucrats with sufficient authority</w:t>
      </w:r>
      <w:r w:rsidRPr="00712BA2">
        <w:rPr>
          <w:rStyle w:val="StyleUnderline"/>
        </w:rPr>
        <w:t xml:space="preserve"> to utilize their expertise </w:t>
      </w:r>
      <w:r w:rsidRPr="00846C54">
        <w:rPr>
          <w:rStyle w:val="StyleUnderline"/>
          <w:highlight w:val="cyan"/>
        </w:rPr>
        <w:t>while avoiding</w:t>
      </w:r>
      <w:r w:rsidRPr="00712BA2">
        <w:rPr>
          <w:rStyle w:val="StyleUnderline"/>
        </w:rPr>
        <w:t xml:space="preserve"> having this discretion be abused to pursue </w:t>
      </w:r>
      <w:r w:rsidRPr="00846C54">
        <w:rPr>
          <w:rStyle w:val="StyleUnderline"/>
          <w:highlight w:val="cyan"/>
        </w:rPr>
        <w:t>divergent policy goals</w:t>
      </w:r>
      <w:r w:rsidRPr="00846C54">
        <w:rPr>
          <w:highlight w:val="cyan"/>
        </w:rPr>
        <w:t>.</w:t>
      </w:r>
      <w:r>
        <w:t xml:space="preserve"> This dilemma remains at the heart of the study of bureaucratic politics. However, the dilemma presupposes a trade- off between the discretion thought necessary for bureaucratic effectiveness and democratic responsive- ness (e.g., Epstein and O'Halloran 1999, 6). </w:t>
      </w:r>
      <w:proofErr w:type="gramStart"/>
      <w:r>
        <w:t>In reality, there</w:t>
      </w:r>
      <w:proofErr w:type="gramEnd"/>
      <w:r>
        <w:t xml:space="preserve"> are ample arenas in which discretion and </w:t>
      </w:r>
      <w:proofErr w:type="spellStart"/>
      <w:r>
        <w:t>respon</w:t>
      </w:r>
      <w:proofErr w:type="spellEnd"/>
      <w:r>
        <w:t xml:space="preserve">- </w:t>
      </w:r>
      <w:proofErr w:type="spellStart"/>
      <w:r>
        <w:t>siveness</w:t>
      </w:r>
      <w:proofErr w:type="spellEnd"/>
      <w:r>
        <w:t xml:space="preserve"> go hand-in-hand - with street-level bureau- crats exercising their authority in highly </w:t>
      </w:r>
      <w:r w:rsidRPr="00525C1C">
        <w:t xml:space="preserve">responsive ways. </w:t>
      </w:r>
      <w:r w:rsidRPr="00525C1C">
        <w:rPr>
          <w:rStyle w:val="StyleUnderline"/>
        </w:rPr>
        <w:t>Across many policy areas, including Medicaid</w:t>
      </w:r>
      <w:r w:rsidRPr="00525C1C">
        <w:t xml:space="preserve"> (</w:t>
      </w:r>
      <w:proofErr w:type="spellStart"/>
      <w:r w:rsidRPr="00525C1C">
        <w:t>Weissert</w:t>
      </w:r>
      <w:proofErr w:type="spellEnd"/>
      <w:r w:rsidRPr="00525C1C">
        <w:t xml:space="preserve"> 1994), occupational health and safety (Scholz 1986; Scholz, Twombly, and Headrick 1991), labor law (Schmidt 2002), </w:t>
      </w:r>
      <w:r w:rsidRPr="00525C1C">
        <w:rPr>
          <w:rStyle w:val="Emphasis"/>
        </w:rPr>
        <w:t>Social Security</w:t>
      </w:r>
      <w:r w:rsidRPr="00525C1C">
        <w:t xml:space="preserve"> disability insurance (Keiser 1999), and immigration (Lewis</w:t>
      </w:r>
      <w:r>
        <w:t xml:space="preserve"> et al. 2013), </w:t>
      </w:r>
      <w:r w:rsidRPr="00846C54">
        <w:rPr>
          <w:rStyle w:val="Emphasis"/>
          <w:highlight w:val="cyan"/>
        </w:rPr>
        <w:t>local workers</w:t>
      </w:r>
      <w:r>
        <w:t xml:space="preserve"> appear to </w:t>
      </w:r>
      <w:r w:rsidRPr="00846C54">
        <w:rPr>
          <w:rStyle w:val="Emphasis"/>
          <w:highlight w:val="cyan"/>
        </w:rPr>
        <w:t>use</w:t>
      </w:r>
      <w:r w:rsidRPr="006A17DD">
        <w:rPr>
          <w:rStyle w:val="Emphasis"/>
        </w:rPr>
        <w:t xml:space="preserve"> their </w:t>
      </w:r>
      <w:r w:rsidRPr="00846C54">
        <w:rPr>
          <w:rStyle w:val="Emphasis"/>
          <w:highlight w:val="cyan"/>
        </w:rPr>
        <w:t>discretion to align realized policy outcomes with</w:t>
      </w:r>
      <w:r w:rsidRPr="006A17DD">
        <w:rPr>
          <w:rStyle w:val="Emphasis"/>
        </w:rPr>
        <w:t xml:space="preserve"> the </w:t>
      </w:r>
      <w:r w:rsidRPr="00846C54">
        <w:rPr>
          <w:rStyle w:val="Emphasis"/>
          <w:highlight w:val="cyan"/>
        </w:rPr>
        <w:t>local</w:t>
      </w:r>
      <w:r w:rsidRPr="006A17DD">
        <w:rPr>
          <w:rStyle w:val="Emphasis"/>
        </w:rPr>
        <w:t xml:space="preserve"> community </w:t>
      </w:r>
      <w:r w:rsidRPr="00846C54">
        <w:rPr>
          <w:rStyle w:val="Emphasis"/>
          <w:highlight w:val="cyan"/>
        </w:rPr>
        <w:t>norms</w:t>
      </w:r>
      <w:r w:rsidRPr="006A17DD">
        <w:rPr>
          <w:rStyle w:val="Emphasis"/>
        </w:rPr>
        <w:t xml:space="preserve"> and values, </w:t>
      </w:r>
      <w:r w:rsidRPr="00846C54">
        <w:rPr>
          <w:rStyle w:val="Emphasis"/>
          <w:highlight w:val="cyan"/>
        </w:rPr>
        <w:t>even when their formal responsibility is to implement otherwise identical statutory language</w:t>
      </w:r>
      <w:r w:rsidRPr="006A17DD">
        <w:rPr>
          <w:rStyle w:val="Emphasis"/>
        </w:rPr>
        <w:t>.</w:t>
      </w:r>
      <w:r>
        <w:t xml:space="preserve"> </w:t>
      </w:r>
      <w:r w:rsidRPr="007931B7">
        <w:rPr>
          <w:rStyle w:val="StyleUnderline"/>
        </w:rPr>
        <w:t>Such</w:t>
      </w:r>
      <w:r>
        <w:t xml:space="preserve"> behavior is a different sort of </w:t>
      </w:r>
      <w:r w:rsidRPr="007931B7">
        <w:rPr>
          <w:rStyle w:val="StyleUnderline"/>
        </w:rPr>
        <w:t>bureaucratic responsiveness</w:t>
      </w:r>
      <w:r>
        <w:t xml:space="preserve">, one that </w:t>
      </w:r>
      <w:r w:rsidRPr="007931B7">
        <w:rPr>
          <w:rStyle w:val="StyleUnderline"/>
        </w:rPr>
        <w:t>may conflict with the clear intent of the legislators and elected executives who crafted the relevant legislation</w:t>
      </w:r>
      <w:r>
        <w:t>. In these and many other settings, discretion potentially brings about too much responsiveness rather than too little of it from the point of view the laws' authors.</w:t>
      </w:r>
    </w:p>
    <w:p w14:paraId="7179F56A" w14:textId="5A26E5E3" w:rsidR="002227A2" w:rsidRDefault="002227A2" w:rsidP="002227A2">
      <w:r w:rsidRPr="00107981">
        <w:rPr>
          <w:rStyle w:val="StyleUnderline"/>
        </w:rPr>
        <w:t xml:space="preserve">The present study examines bureaucratic adaptation </w:t>
      </w:r>
      <w:r w:rsidRPr="00846C54">
        <w:rPr>
          <w:rStyle w:val="StyleUnderline"/>
          <w:highlight w:val="cyan"/>
        </w:rPr>
        <w:t xml:space="preserve">in the context of the </w:t>
      </w:r>
      <w:r w:rsidRPr="00846C54">
        <w:rPr>
          <w:rStyle w:val="Emphasis"/>
          <w:highlight w:val="cyan"/>
        </w:rPr>
        <w:t>national</w:t>
      </w:r>
      <w:r w:rsidRPr="00107981">
        <w:rPr>
          <w:rStyle w:val="StyleUnderline"/>
        </w:rPr>
        <w:t xml:space="preserve"> food stamp </w:t>
      </w:r>
      <w:r w:rsidRPr="00846C54">
        <w:rPr>
          <w:rStyle w:val="Emphasis"/>
          <w:highlight w:val="cyan"/>
        </w:rPr>
        <w:t>program</w:t>
      </w:r>
      <w:r w:rsidRPr="00107981">
        <w:rPr>
          <w:rStyle w:val="StyleUnderline"/>
        </w:rPr>
        <w:t xml:space="preserve">. </w:t>
      </w:r>
      <w:r>
        <w:t>Using administrative records from the federal Department of Agriculture and various state social service agencies</w:t>
      </w:r>
      <w:r w:rsidRPr="00107981">
        <w:rPr>
          <w:rStyle w:val="StyleUnderline"/>
        </w:rPr>
        <w:t xml:space="preserve">, </w:t>
      </w:r>
      <w:r w:rsidRPr="00846C54">
        <w:rPr>
          <w:rStyle w:val="Emphasis"/>
          <w:highlight w:val="cyan"/>
        </w:rPr>
        <w:t>I document substantial local variation</w:t>
      </w:r>
      <w:r>
        <w:t xml:space="preserve"> in food stamp enrollment rates and show </w:t>
      </w:r>
      <w:r w:rsidRPr="00846C54">
        <w:rPr>
          <w:rStyle w:val="StyleUnderline"/>
          <w:highlight w:val="cyan"/>
        </w:rPr>
        <w:t>that</w:t>
      </w:r>
      <w:r>
        <w:t xml:space="preserve"> these differences </w:t>
      </w:r>
      <w:r w:rsidRPr="00846C54">
        <w:rPr>
          <w:rStyle w:val="StyleUnderline"/>
          <w:highlight w:val="cyan"/>
        </w:rPr>
        <w:t>correspond to local</w:t>
      </w:r>
      <w:r w:rsidRPr="00107981">
        <w:rPr>
          <w:rStyle w:val="StyleUnderline"/>
        </w:rPr>
        <w:t xml:space="preserve"> voter </w:t>
      </w:r>
      <w:r w:rsidRPr="00846C54">
        <w:rPr>
          <w:rStyle w:val="StyleUnderline"/>
          <w:highlight w:val="cyan"/>
        </w:rPr>
        <w:t>attitudes</w:t>
      </w:r>
      <w:r w:rsidRPr="00107981">
        <w:rPr>
          <w:rStyle w:val="StyleUnderline"/>
        </w:rPr>
        <w:t xml:space="preserve"> toward government economic policies</w:t>
      </w:r>
      <w:r>
        <w:t xml:space="preserve">. </w:t>
      </w:r>
      <w:r w:rsidRPr="00107981">
        <w:rPr>
          <w:rStyle w:val="StyleUnderline"/>
        </w:rPr>
        <w:t>The existence of such differences</w:t>
      </w:r>
      <w:r>
        <w:t xml:space="preserve"> in food stamp access </w:t>
      </w:r>
      <w:r w:rsidRPr="00107981">
        <w:rPr>
          <w:rStyle w:val="StyleUnderline"/>
        </w:rPr>
        <w:t xml:space="preserve">is surprising because </w:t>
      </w:r>
      <w:r w:rsidRPr="00846C54">
        <w:rPr>
          <w:rStyle w:val="StyleUnderline"/>
          <w:highlight w:val="cyan"/>
        </w:rPr>
        <w:t xml:space="preserve">Congress took </w:t>
      </w:r>
      <w:proofErr w:type="gramStart"/>
      <w:r w:rsidRPr="00846C54">
        <w:rPr>
          <w:rStyle w:val="StyleUnderline"/>
          <w:highlight w:val="cyan"/>
        </w:rPr>
        <w:t>a number of</w:t>
      </w:r>
      <w:proofErr w:type="gramEnd"/>
      <w:r w:rsidRPr="00846C54">
        <w:rPr>
          <w:rStyle w:val="StyleUnderline"/>
          <w:highlight w:val="cyan"/>
        </w:rPr>
        <w:t xml:space="preserve"> steps to bring about national uniformity</w:t>
      </w:r>
      <w:r w:rsidRPr="00107981">
        <w:rPr>
          <w:rStyle w:val="StyleUnderline"/>
        </w:rPr>
        <w:t xml:space="preserve"> </w:t>
      </w:r>
      <w:r>
        <w:t xml:space="preserve">in the program in the late 1960s and early 1970s, </w:t>
      </w:r>
      <w:r w:rsidRPr="00107981">
        <w:rPr>
          <w:rStyle w:val="StyleUnderline"/>
        </w:rPr>
        <w:t xml:space="preserve">when </w:t>
      </w:r>
      <w:r w:rsidRPr="00846C54">
        <w:rPr>
          <w:rStyle w:val="StyleUnderline"/>
          <w:highlight w:val="cyan"/>
        </w:rPr>
        <w:t>lawmakers centralized</w:t>
      </w:r>
      <w:r w:rsidRPr="00107981">
        <w:rPr>
          <w:rStyle w:val="StyleUnderline"/>
        </w:rPr>
        <w:t xml:space="preserve"> many </w:t>
      </w:r>
      <w:r w:rsidRPr="00846C54">
        <w:rPr>
          <w:rStyle w:val="StyleUnderline"/>
          <w:highlight w:val="cyan"/>
        </w:rPr>
        <w:t>key decisions</w:t>
      </w:r>
      <w:r>
        <w:t xml:space="preserve"> over its design in Washington, DC. The second part of my anal- </w:t>
      </w:r>
      <w:proofErr w:type="spellStart"/>
      <w:r>
        <w:t>ysis</w:t>
      </w:r>
      <w:proofErr w:type="spellEnd"/>
      <w:r>
        <w:t xml:space="preserve">, which takes advantage of state-level variation in the way the program is administered, offers an </w:t>
      </w:r>
      <w:proofErr w:type="spellStart"/>
      <w:r>
        <w:t>explana</w:t>
      </w:r>
      <w:proofErr w:type="spellEnd"/>
      <w:r>
        <w:t xml:space="preserve">- </w:t>
      </w:r>
      <w:proofErr w:type="spellStart"/>
      <w:r>
        <w:t>tion</w:t>
      </w:r>
      <w:proofErr w:type="spellEnd"/>
      <w:r>
        <w:t xml:space="preserve"> why these centralization efforts did not ultimately produce their desired effect. Most US state governments retain administrative responsibility over food stamps. In these states, potential beneficiaries submit their </w:t>
      </w:r>
      <w:proofErr w:type="spellStart"/>
      <w:r>
        <w:t>applica</w:t>
      </w:r>
      <w:proofErr w:type="spellEnd"/>
      <w:r>
        <w:t xml:space="preserve">- </w:t>
      </w:r>
      <w:proofErr w:type="spellStart"/>
      <w:r>
        <w:t>tions</w:t>
      </w:r>
      <w:proofErr w:type="spellEnd"/>
      <w:r>
        <w:t xml:space="preserve"> at local offices, but the caseworkers who staff these offices report directly to state-level agencies. In a dozen remaining states, by contrast, administrative </w:t>
      </w:r>
      <w:proofErr w:type="spellStart"/>
      <w:r>
        <w:t>respon</w:t>
      </w:r>
      <w:proofErr w:type="spellEnd"/>
      <w:r>
        <w:t xml:space="preserve">- </w:t>
      </w:r>
      <w:proofErr w:type="spellStart"/>
      <w:r>
        <w:t>sibility</w:t>
      </w:r>
      <w:proofErr w:type="spellEnd"/>
      <w:r>
        <w:t xml:space="preserve"> for the program is devolved further to county governments, which are overseen by locally elected </w:t>
      </w:r>
      <w:proofErr w:type="spellStart"/>
      <w:r>
        <w:t>offi</w:t>
      </w:r>
      <w:proofErr w:type="spellEnd"/>
      <w:r>
        <w:t xml:space="preserve">- </w:t>
      </w:r>
      <w:proofErr w:type="spellStart"/>
      <w:r>
        <w:t>cials</w:t>
      </w:r>
      <w:proofErr w:type="spellEnd"/>
      <w:r>
        <w:t xml:space="preserve">. Surprisingly, I show that </w:t>
      </w:r>
      <w:r w:rsidRPr="00175157">
        <w:rPr>
          <w:rStyle w:val="StyleUnderline"/>
        </w:rPr>
        <w:t xml:space="preserve">the degree of administrative </w:t>
      </w:r>
      <w:r w:rsidRPr="00846C54">
        <w:rPr>
          <w:rStyle w:val="Emphasis"/>
          <w:highlight w:val="cyan"/>
        </w:rPr>
        <w:t>centralization does not affect</w:t>
      </w:r>
      <w:r w:rsidRPr="00175157">
        <w:rPr>
          <w:rStyle w:val="StyleUnderline"/>
        </w:rPr>
        <w:t xml:space="preserve"> the level of </w:t>
      </w:r>
      <w:r w:rsidRPr="00846C54">
        <w:rPr>
          <w:rStyle w:val="Emphasis"/>
          <w:highlight w:val="cyan"/>
        </w:rPr>
        <w:t>observed</w:t>
      </w:r>
      <w:r w:rsidRPr="00175157">
        <w:rPr>
          <w:rStyle w:val="StyleUnderline"/>
        </w:rPr>
        <w:t xml:space="preserve"> bureaucratic </w:t>
      </w:r>
      <w:r w:rsidRPr="00846C54">
        <w:rPr>
          <w:rStyle w:val="Emphasis"/>
          <w:highlight w:val="cyan"/>
        </w:rPr>
        <w:t>responsiveness to</w:t>
      </w:r>
      <w:r w:rsidRPr="00175157">
        <w:rPr>
          <w:rStyle w:val="StyleUnderline"/>
        </w:rPr>
        <w:t xml:space="preserve"> the </w:t>
      </w:r>
      <w:r w:rsidRPr="00846C54">
        <w:rPr>
          <w:rStyle w:val="Emphasis"/>
          <w:highlight w:val="cyan"/>
        </w:rPr>
        <w:t>preferences of local voters</w:t>
      </w:r>
      <w:r w:rsidRPr="00175157">
        <w:rPr>
          <w:rStyle w:val="StyleUnderline"/>
        </w:rPr>
        <w:t>, which is high in both institutional settings</w:t>
      </w:r>
      <w:r>
        <w:t>.</w:t>
      </w:r>
    </w:p>
    <w:p w14:paraId="6EC8E009" w14:textId="77777777" w:rsidR="002227A2" w:rsidRDefault="002227A2" w:rsidP="002227A2">
      <w:r>
        <w:t xml:space="preserve">These findings contribute to an extensive literature on bureaucratic decision-making in the context of social welfare service provision (e.g., Keiser and </w:t>
      </w:r>
      <w:proofErr w:type="spellStart"/>
      <w:r>
        <w:t>Soss</w:t>
      </w:r>
      <w:proofErr w:type="spellEnd"/>
      <w:r>
        <w:t xml:space="preserve"> 1998; Schram et al. 2009; </w:t>
      </w:r>
      <w:proofErr w:type="spellStart"/>
      <w:r>
        <w:t>Weissert</w:t>
      </w:r>
      <w:proofErr w:type="spellEnd"/>
      <w:r>
        <w:t xml:space="preserve"> 1994). Much of this work, however, focuses on joint state-federal cash income support programs, which provide for substantial local discretion over eligibility, benefit levels, and sanctions enforcement (</w:t>
      </w:r>
      <w:proofErr w:type="spellStart"/>
      <w:r>
        <w:t>Haveman</w:t>
      </w:r>
      <w:proofErr w:type="spellEnd"/>
      <w:r>
        <w:t xml:space="preserve"> et al. 2015). Indeed, there is </w:t>
      </w:r>
      <w:proofErr w:type="spellStart"/>
      <w:r>
        <w:t>evi</w:t>
      </w:r>
      <w:proofErr w:type="spellEnd"/>
      <w:r>
        <w:t xml:space="preserve">- </w:t>
      </w:r>
      <w:proofErr w:type="spellStart"/>
      <w:r>
        <w:t>dence</w:t>
      </w:r>
      <w:proofErr w:type="spellEnd"/>
      <w:r>
        <w:t xml:space="preserve"> that local discretion was built into these programs by design (Lieberman 1998). By contrast, </w:t>
      </w:r>
      <w:r w:rsidRPr="00846C54">
        <w:rPr>
          <w:rStyle w:val="StyleUnderline"/>
          <w:highlight w:val="cyan"/>
        </w:rPr>
        <w:t>food stamps are a nationally funded federal benefit with a single set of</w:t>
      </w:r>
      <w:r w:rsidRPr="00175157">
        <w:rPr>
          <w:rStyle w:val="StyleUnderline"/>
        </w:rPr>
        <w:t xml:space="preserve"> formula-based eligibility </w:t>
      </w:r>
      <w:r w:rsidRPr="00846C54">
        <w:rPr>
          <w:rStyle w:val="StyleUnderline"/>
          <w:highlight w:val="cyan"/>
        </w:rPr>
        <w:t>criteria, leaving little statutory room for local discretion</w:t>
      </w:r>
      <w:r>
        <w:t xml:space="preserve">.1 Indeed, as Currie (2003) notes, </w:t>
      </w:r>
      <w:r w:rsidRPr="00175157">
        <w:rPr>
          <w:rStyle w:val="Emphasis"/>
        </w:rPr>
        <w:t xml:space="preserve">the food stamp program is </w:t>
      </w:r>
      <w:r w:rsidRPr="00846C54">
        <w:rPr>
          <w:rStyle w:val="Emphasis"/>
          <w:highlight w:val="cyan"/>
        </w:rPr>
        <w:t>designed to offset state</w:t>
      </w:r>
      <w:r w:rsidRPr="00175157">
        <w:rPr>
          <w:rStyle w:val="Emphasis"/>
        </w:rPr>
        <w:t xml:space="preserve"> and local </w:t>
      </w:r>
      <w:r w:rsidRPr="00846C54">
        <w:rPr>
          <w:rStyle w:val="Emphasis"/>
          <w:highlight w:val="cyan"/>
        </w:rPr>
        <w:t>variation by "providing a minimum federal safety net”</w:t>
      </w:r>
      <w:r>
        <w:t xml:space="preserve"> (p. 206). </w:t>
      </w:r>
      <w:r w:rsidRPr="00846C54">
        <w:rPr>
          <w:rStyle w:val="Emphasis"/>
          <w:highlight w:val="cyan"/>
        </w:rPr>
        <w:t>Despite this</w:t>
      </w:r>
      <w:r w:rsidRPr="00175157">
        <w:rPr>
          <w:rStyle w:val="Emphasis"/>
        </w:rPr>
        <w:t xml:space="preserve"> objective</w:t>
      </w:r>
      <w:r>
        <w:t xml:space="preserve">, how </w:t>
      </w:r>
      <w:r w:rsidRPr="00846C54">
        <w:rPr>
          <w:rStyle w:val="StyleUnderline"/>
          <w:highlight w:val="cyan"/>
        </w:rPr>
        <w:t>I</w:t>
      </w:r>
      <w:r w:rsidRPr="00175157">
        <w:rPr>
          <w:rStyle w:val="StyleUnderline"/>
        </w:rPr>
        <w:t xml:space="preserve"> nevertheless </w:t>
      </w:r>
      <w:r w:rsidRPr="00846C54">
        <w:rPr>
          <w:rStyle w:val="StyleUnderline"/>
          <w:highlight w:val="cyan"/>
        </w:rPr>
        <w:t>find substantial variation in local implementation of this nominally federal program</w:t>
      </w:r>
      <w:r w:rsidRPr="00846C54">
        <w:rPr>
          <w:highlight w:val="cyan"/>
        </w:rPr>
        <w:t>.</w:t>
      </w:r>
    </w:p>
    <w:p w14:paraId="2B47B547" w14:textId="77777777" w:rsidR="002227A2" w:rsidRDefault="002227A2" w:rsidP="002227A2">
      <w:r>
        <w:t xml:space="preserve">Documenting this variation and examining how affected by the design of political institutions also contributes to a broader understanding of public administration. First, the findings suggest that </w:t>
      </w:r>
      <w:r w:rsidRPr="00846C54">
        <w:rPr>
          <w:rStyle w:val="StyleUnderline"/>
          <w:highlight w:val="cyan"/>
        </w:rPr>
        <w:t>local political culture</w:t>
      </w:r>
      <w:r w:rsidRPr="00241DD7">
        <w:rPr>
          <w:rStyle w:val="StyleUnderline"/>
        </w:rPr>
        <w:t xml:space="preserve"> and norms </w:t>
      </w:r>
      <w:r w:rsidRPr="00846C54">
        <w:rPr>
          <w:rStyle w:val="StyleUnderline"/>
          <w:highlight w:val="cyan"/>
        </w:rPr>
        <w:t xml:space="preserve">play an important role in shaping the behavior of civil servants, </w:t>
      </w:r>
      <w:r w:rsidRPr="00562427">
        <w:rPr>
          <w:rStyle w:val="StyleUnderline"/>
        </w:rPr>
        <w:t xml:space="preserve">highlighting </w:t>
      </w:r>
      <w:r w:rsidRPr="00846C54">
        <w:rPr>
          <w:rStyle w:val="StyleUnderline"/>
          <w:highlight w:val="cyan"/>
        </w:rPr>
        <w:t>an explanation for</w:t>
      </w:r>
      <w:r w:rsidRPr="00241DD7">
        <w:rPr>
          <w:rStyle w:val="StyleUnderline"/>
        </w:rPr>
        <w:t xml:space="preserve"> the </w:t>
      </w:r>
      <w:r w:rsidRPr="00562427">
        <w:rPr>
          <w:rStyle w:val="StyleUnderline"/>
        </w:rPr>
        <w:t xml:space="preserve">intrastate </w:t>
      </w:r>
      <w:r w:rsidRPr="00846C54">
        <w:rPr>
          <w:rStyle w:val="StyleUnderline"/>
          <w:highlight w:val="cyan"/>
        </w:rPr>
        <w:t>variation in policy implementation</w:t>
      </w:r>
      <w:r w:rsidRPr="00241DD7">
        <w:rPr>
          <w:rStyle w:val="StyleUnderline"/>
        </w:rPr>
        <w:t xml:space="preserve"> that has been documented for a variety of programs. </w:t>
      </w:r>
      <w:r>
        <w:t xml:space="preserve">Although such variation is well-known in the literature, </w:t>
      </w:r>
      <w:r w:rsidRPr="00846C54">
        <w:rPr>
          <w:rStyle w:val="StyleUnderline"/>
          <w:highlight w:val="cyan"/>
        </w:rPr>
        <w:t>existing accounts</w:t>
      </w:r>
      <w:r>
        <w:t xml:space="preserve"> generally </w:t>
      </w:r>
      <w:r w:rsidRPr="00846C54">
        <w:rPr>
          <w:rStyle w:val="StyleUnderline"/>
          <w:highlight w:val="cyan"/>
        </w:rPr>
        <w:t>focus on</w:t>
      </w:r>
      <w:r>
        <w:t xml:space="preserve"> incentives of program administrators and their subordinates and </w:t>
      </w:r>
      <w:r w:rsidRPr="00846C54">
        <w:rPr>
          <w:rStyle w:val="StyleUnderline"/>
          <w:highlight w:val="cyan"/>
        </w:rPr>
        <w:t>organizational design</w:t>
      </w:r>
      <w:r>
        <w:t xml:space="preserve"> as the key explanatory factors, </w:t>
      </w:r>
      <w:r w:rsidRPr="00F50367">
        <w:rPr>
          <w:rStyle w:val="StyleUnderline"/>
        </w:rPr>
        <w:t>overlooking the important role played by the local political context</w:t>
      </w:r>
      <w:r>
        <w:t xml:space="preserve">. Second, since the potentially troubling normative implications if otherwise similarly situated individuals receive disparate treatment from government officials due solely to place of residence, </w:t>
      </w:r>
      <w:r w:rsidRPr="003755FD">
        <w:rPr>
          <w:rStyle w:val="StyleUnderline"/>
        </w:rPr>
        <w:t>studying whether different institutional arrangements affect the uniformity of implementation is also valuable for identifying opportunities for socially desirable reform</w:t>
      </w:r>
      <w:r>
        <w:t xml:space="preserve">. Finally, </w:t>
      </w:r>
      <w:r w:rsidRPr="003755FD">
        <w:rPr>
          <w:rStyle w:val="StyleUnderline"/>
        </w:rPr>
        <w:t xml:space="preserve">accounting for local variation in policy implementation is important for correctly interpreting existing empirical research on democratic responsiveness and for understanding the precise mechanisms through which responsiveness is achieved. </w:t>
      </w:r>
      <w:r w:rsidRPr="003755FD">
        <w:t>I</w:t>
      </w:r>
      <w:r>
        <w:t xml:space="preserve"> return to these broader questions in the concluding section of the article.</w:t>
      </w:r>
    </w:p>
    <w:p w14:paraId="79022FF1" w14:textId="77777777" w:rsidR="002227A2" w:rsidRPr="002227A2" w:rsidRDefault="002227A2" w:rsidP="002227A2">
      <w:pPr>
        <w:rPr>
          <w:rStyle w:val="StyleUnderline"/>
        </w:rPr>
      </w:pPr>
      <w:r w:rsidRPr="00AD38ED">
        <w:t xml:space="preserve">After reviewing the relevant literature and providing an overview of the food stamp program, my analysis proceeds in two parts. First, I utilize administrative data from 36 states to document variation in food stamp participation at the county level. I combine these administrative records with </w:t>
      </w:r>
      <w:r w:rsidRPr="002227A2">
        <w:rPr>
          <w:rStyle w:val="StyleUnderline"/>
        </w:rPr>
        <w:t xml:space="preserve">a new dataset of county-level public opinion toward </w:t>
      </w:r>
      <w:r w:rsidRPr="00846C54">
        <w:rPr>
          <w:rStyle w:val="Emphasis"/>
          <w:highlight w:val="cyan"/>
        </w:rPr>
        <w:t>government redistribution</w:t>
      </w:r>
      <w:r w:rsidRPr="00AD38ED">
        <w:t xml:space="preserve">, constructed using multilevel regression with poststratification (MRP), and </w:t>
      </w:r>
      <w:r w:rsidRPr="00846C54">
        <w:rPr>
          <w:rStyle w:val="Emphasis"/>
          <w:highlight w:val="cyan"/>
        </w:rPr>
        <w:t>show</w:t>
      </w:r>
      <w:r w:rsidRPr="002227A2">
        <w:rPr>
          <w:rStyle w:val="Emphasis"/>
        </w:rPr>
        <w:t xml:space="preserve"> that </w:t>
      </w:r>
      <w:r w:rsidRPr="00846C54">
        <w:rPr>
          <w:rStyle w:val="Emphasis"/>
          <w:highlight w:val="cyan"/>
        </w:rPr>
        <w:t>differences in observed enrollment rates</w:t>
      </w:r>
      <w:r w:rsidRPr="002227A2">
        <w:rPr>
          <w:rStyle w:val="Emphasis"/>
        </w:rPr>
        <w:t xml:space="preserve"> correspond to local voter attitudes</w:t>
      </w:r>
      <w:r w:rsidRPr="00AD38ED">
        <w:t xml:space="preserve">: </w:t>
      </w:r>
      <w:r w:rsidRPr="002227A2">
        <w:rPr>
          <w:rStyle w:val="Emphasis"/>
        </w:rPr>
        <w:t>In counties where opposition to government redistribution is higher</w:t>
      </w:r>
      <w:r w:rsidRPr="00AD38ED">
        <w:t xml:space="preserve">, food stamp </w:t>
      </w:r>
      <w:r w:rsidRPr="002227A2">
        <w:rPr>
          <w:rStyle w:val="Emphasis"/>
        </w:rPr>
        <w:t>enrollment is</w:t>
      </w:r>
      <w:r w:rsidRPr="00AD38ED">
        <w:t xml:space="preserve"> statistically and </w:t>
      </w:r>
      <w:r w:rsidRPr="002227A2">
        <w:rPr>
          <w:rStyle w:val="Emphasis"/>
        </w:rPr>
        <w:t>substantively lower</w:t>
      </w:r>
      <w:r w:rsidRPr="00AD38ED">
        <w:t xml:space="preserve">. The analysis further shows that </w:t>
      </w:r>
      <w:r w:rsidRPr="002227A2">
        <w:rPr>
          <w:rStyle w:val="StyleUnderline"/>
        </w:rPr>
        <w:t xml:space="preserve">the strength of </w:t>
      </w:r>
      <w:r w:rsidRPr="00846C54">
        <w:rPr>
          <w:rStyle w:val="Emphasis"/>
          <w:highlight w:val="cyan"/>
        </w:rPr>
        <w:t>this</w:t>
      </w:r>
      <w:r w:rsidRPr="002227A2">
        <w:rPr>
          <w:rStyle w:val="StyleUnderline"/>
        </w:rPr>
        <w:t xml:space="preserve"> relationship </w:t>
      </w:r>
      <w:r w:rsidRPr="00846C54">
        <w:rPr>
          <w:rStyle w:val="Emphasis"/>
          <w:highlight w:val="cyan"/>
        </w:rPr>
        <w:t>does not vary</w:t>
      </w:r>
      <w:r w:rsidRPr="002227A2">
        <w:rPr>
          <w:rStyle w:val="StyleUnderline"/>
        </w:rPr>
        <w:t xml:space="preserve"> significantly between states </w:t>
      </w:r>
      <w:r w:rsidRPr="00846C54">
        <w:rPr>
          <w:rStyle w:val="Emphasis"/>
          <w:highlight w:val="cyan"/>
        </w:rPr>
        <w:t>with centralized</w:t>
      </w:r>
      <w:r w:rsidRPr="002227A2">
        <w:rPr>
          <w:rStyle w:val="StyleUnderline"/>
        </w:rPr>
        <w:t xml:space="preserve"> and devolved </w:t>
      </w:r>
      <w:r w:rsidRPr="00846C54">
        <w:rPr>
          <w:rStyle w:val="Emphasis"/>
          <w:highlight w:val="cyan"/>
        </w:rPr>
        <w:t>program administration</w:t>
      </w:r>
      <w:r w:rsidRPr="002227A2">
        <w:rPr>
          <w:rStyle w:val="StyleUnderline"/>
        </w:rPr>
        <w:t>.</w:t>
      </w:r>
    </w:p>
    <w:p w14:paraId="4A2E6ABC" w14:textId="77777777" w:rsidR="00EE5FA3" w:rsidRPr="00816F65" w:rsidRDefault="00EE5FA3" w:rsidP="00EE5FA3"/>
    <w:p w14:paraId="6AF6F877" w14:textId="348393AE" w:rsidR="00AD38ED" w:rsidRPr="00AD38ED" w:rsidRDefault="007A1650" w:rsidP="007A1650">
      <w:pPr>
        <w:pStyle w:val="Heading4"/>
      </w:pPr>
      <w:r>
        <w:t xml:space="preserve">It doesn’t matter that the </w:t>
      </w:r>
      <w:proofErr w:type="spellStart"/>
      <w:r>
        <w:t>aff</w:t>
      </w:r>
      <w:proofErr w:type="spellEnd"/>
      <w:r>
        <w:t xml:space="preserve"> doesn’t allow for discretion</w:t>
      </w:r>
      <w:r w:rsidR="00FD4345">
        <w:t xml:space="preserve">. The </w:t>
      </w:r>
      <w:r w:rsidR="001D76DC">
        <w:t>range</w:t>
      </w:r>
      <w:r w:rsidR="00FD4345">
        <w:t xml:space="preserve"> of permissible actions at the local level </w:t>
      </w:r>
      <w:r w:rsidR="001D76DC">
        <w:t xml:space="preserve">beyond the scope of the plan </w:t>
      </w:r>
      <w:r w:rsidR="00FD4345">
        <w:t>still allow</w:t>
      </w:r>
      <w:r w:rsidR="001D76DC">
        <w:t>s</w:t>
      </w:r>
      <w:r w:rsidR="00FD4345">
        <w:t xml:space="preserve"> for non-uniform implementation. </w:t>
      </w:r>
    </w:p>
    <w:p w14:paraId="232C1C9D" w14:textId="77777777" w:rsidR="00AD38ED" w:rsidRDefault="00AD38ED" w:rsidP="00AD38ED">
      <w:r w:rsidRPr="00DD0635">
        <w:t xml:space="preserve">Vladimir </w:t>
      </w:r>
      <w:r w:rsidRPr="00DD0635">
        <w:rPr>
          <w:rStyle w:val="Style13ptBold"/>
        </w:rPr>
        <w:t>Kogan 17,</w:t>
      </w:r>
      <w:r w:rsidRPr="00DD0635">
        <w:t xml:space="preserve"> Director of Undergraduate Studies, Professor, studies state and local government in the United States. His research focuses on the intersection of politics and public policy in areas including education and social policy. Kogan serves on the editorial board of Urban Affairs Review and is affiliated with OSU’s Institute for Democratic Engagement and Accountability, the Education Governance and Accountability Project, and the Translational Data Analytics Institute. "Administrative Centralization and Bureaucratic Responsiveness: Evidence from the Food Stamp Program" Journal of Public Administration Research and Theory: J-PART, Vol. 27, No. 4 (October 2017), pp. 629-646 //</w:t>
      </w:r>
      <w:proofErr w:type="spellStart"/>
      <w:r w:rsidRPr="00DD0635">
        <w:t>pipk</w:t>
      </w:r>
      <w:proofErr w:type="spellEnd"/>
    </w:p>
    <w:p w14:paraId="1C74AEAC" w14:textId="77777777" w:rsidR="0065073B" w:rsidRDefault="0065073B" w:rsidP="0065073B">
      <w:r>
        <w:t>Bureaucratic Discretion and Responsiveness</w:t>
      </w:r>
    </w:p>
    <w:p w14:paraId="7E64C8D1" w14:textId="29B172EA" w:rsidR="0065073B" w:rsidRDefault="0065073B" w:rsidP="0065073B">
      <w:r w:rsidRPr="00846C54">
        <w:rPr>
          <w:rStyle w:val="StyleUnderline"/>
          <w:highlight w:val="cyan"/>
        </w:rPr>
        <w:t>Bureaucrats exercise a great deal of discretion during</w:t>
      </w:r>
      <w:r w:rsidRPr="00FD4345">
        <w:rPr>
          <w:rStyle w:val="StyleUnderline"/>
        </w:rPr>
        <w:t xml:space="preserve"> the </w:t>
      </w:r>
      <w:r w:rsidRPr="00846C54">
        <w:rPr>
          <w:rStyle w:val="StyleUnderline"/>
          <w:highlight w:val="cyan"/>
        </w:rPr>
        <w:t>implementation</w:t>
      </w:r>
      <w:r w:rsidRPr="00FD4345">
        <w:rPr>
          <w:rStyle w:val="StyleUnderline"/>
        </w:rPr>
        <w:t xml:space="preserve"> phase </w:t>
      </w:r>
      <w:r w:rsidRPr="00525C1C">
        <w:rPr>
          <w:rStyle w:val="StyleUnderline"/>
        </w:rPr>
        <w:t>of almost all public policies</w:t>
      </w:r>
      <w:r>
        <w:t xml:space="preserve"> (Pressman and </w:t>
      </w:r>
      <w:proofErr w:type="spellStart"/>
      <w:r>
        <w:t>Wildavsky</w:t>
      </w:r>
      <w:proofErr w:type="spellEnd"/>
      <w:r>
        <w:t xml:space="preserve"> 1994), </w:t>
      </w:r>
      <w:r w:rsidRPr="00FD4345">
        <w:rPr>
          <w:rStyle w:val="Emphasis"/>
        </w:rPr>
        <w:t xml:space="preserve">but their scope of influence is </w:t>
      </w:r>
      <w:r w:rsidRPr="00846C54">
        <w:rPr>
          <w:rStyle w:val="Emphasis"/>
          <w:highlight w:val="cyan"/>
        </w:rPr>
        <w:t>particularly</w:t>
      </w:r>
      <w:r w:rsidRPr="00FD4345">
        <w:rPr>
          <w:rStyle w:val="Emphasis"/>
        </w:rPr>
        <w:t xml:space="preserve"> broad </w:t>
      </w:r>
      <w:r w:rsidRPr="00846C54">
        <w:rPr>
          <w:rStyle w:val="Emphasis"/>
          <w:highlight w:val="cyan"/>
        </w:rPr>
        <w:t>in the context of social welfare programs.</w:t>
      </w:r>
      <w:r>
        <w:t xml:space="preserve"> </w:t>
      </w:r>
      <w:r w:rsidRPr="00846C54">
        <w:rPr>
          <w:rStyle w:val="Emphasis"/>
          <w:highlight w:val="cyan"/>
        </w:rPr>
        <w:t>This reflects</w:t>
      </w:r>
      <w:r w:rsidRPr="00FD4345">
        <w:rPr>
          <w:rStyle w:val="Emphasis"/>
        </w:rPr>
        <w:t xml:space="preserve"> both </w:t>
      </w:r>
      <w:r w:rsidRPr="00846C54">
        <w:rPr>
          <w:rStyle w:val="Emphasis"/>
          <w:highlight w:val="cyan"/>
        </w:rPr>
        <w:t>the</w:t>
      </w:r>
      <w:r w:rsidRPr="00FD4345">
        <w:rPr>
          <w:rStyle w:val="Emphasis"/>
        </w:rPr>
        <w:t xml:space="preserve"> unusual characteristics of the </w:t>
      </w:r>
      <w:r w:rsidRPr="00846C54">
        <w:rPr>
          <w:rStyle w:val="Emphasis"/>
          <w:highlight w:val="cyan"/>
        </w:rPr>
        <w:t>population targeted by these services and the design of the programs themselves</w:t>
      </w:r>
      <w:r>
        <w:t xml:space="preserve">. Because most welfare services benefit disadvantaged populations with low levels of human capital, </w:t>
      </w:r>
      <w:r w:rsidRPr="00846C54">
        <w:rPr>
          <w:rStyle w:val="Emphasis"/>
          <w:highlight w:val="cyan"/>
        </w:rPr>
        <w:t>modest changes in</w:t>
      </w:r>
      <w:r w:rsidRPr="00FD4345">
        <w:rPr>
          <w:rStyle w:val="Emphasis"/>
        </w:rPr>
        <w:t xml:space="preserve"> program design and </w:t>
      </w:r>
      <w:r w:rsidRPr="00846C54">
        <w:rPr>
          <w:rStyle w:val="Emphasis"/>
          <w:highlight w:val="cyan"/>
        </w:rPr>
        <w:t>implementation can produce large differences in outcomes</w:t>
      </w:r>
      <w:r>
        <w:t>—</w:t>
      </w:r>
      <w:r w:rsidRPr="00846C54">
        <w:rPr>
          <w:rStyle w:val="Emphasis"/>
          <w:highlight w:val="cyan"/>
        </w:rPr>
        <w:t>particularly for take-up rates</w:t>
      </w:r>
      <w:r>
        <w:t xml:space="preserve">. For example, research consistently shows that </w:t>
      </w:r>
      <w:r w:rsidRPr="00FD4345">
        <w:rPr>
          <w:rStyle w:val="Emphasis"/>
        </w:rPr>
        <w:t xml:space="preserve">many </w:t>
      </w:r>
      <w:r w:rsidRPr="00846C54">
        <w:rPr>
          <w:rStyle w:val="Emphasis"/>
          <w:highlight w:val="cyan"/>
        </w:rPr>
        <w:t>individuals fail to apply</w:t>
      </w:r>
      <w:r>
        <w:t xml:space="preserve"> for public services </w:t>
      </w:r>
      <w:r w:rsidRPr="00846C54">
        <w:rPr>
          <w:rStyle w:val="Emphasis"/>
          <w:highlight w:val="cyan"/>
        </w:rPr>
        <w:t>because they</w:t>
      </w:r>
      <w:r w:rsidRPr="00FD4345">
        <w:rPr>
          <w:rStyle w:val="Emphasis"/>
        </w:rPr>
        <w:t xml:space="preserve"> simply </w:t>
      </w:r>
      <w:r w:rsidRPr="00846C54">
        <w:rPr>
          <w:rStyle w:val="Emphasis"/>
          <w:highlight w:val="cyan"/>
        </w:rPr>
        <w:t>do not know</w:t>
      </w:r>
      <w:r w:rsidRPr="00FD4345">
        <w:rPr>
          <w:rStyle w:val="Emphasis"/>
        </w:rPr>
        <w:t xml:space="preserve"> that </w:t>
      </w:r>
      <w:r w:rsidRPr="00846C54">
        <w:rPr>
          <w:rStyle w:val="Emphasis"/>
          <w:highlight w:val="cyan"/>
        </w:rPr>
        <w:t>they are eligible, so</w:t>
      </w:r>
      <w:r w:rsidRPr="00FD4345">
        <w:rPr>
          <w:rStyle w:val="Emphasis"/>
        </w:rPr>
        <w:t xml:space="preserve"> the effort administrators and </w:t>
      </w:r>
      <w:r w:rsidRPr="00846C54">
        <w:rPr>
          <w:rStyle w:val="Emphasis"/>
          <w:highlight w:val="cyan"/>
        </w:rPr>
        <w:t>local workers</w:t>
      </w:r>
      <w:r w:rsidRPr="00FD4345">
        <w:rPr>
          <w:rStyle w:val="Emphasis"/>
        </w:rPr>
        <w:t xml:space="preserve"> put into </w:t>
      </w:r>
      <w:r w:rsidRPr="00846C54">
        <w:rPr>
          <w:rStyle w:val="Emphasis"/>
          <w:highlight w:val="cyan"/>
        </w:rPr>
        <w:t>publicizing</w:t>
      </w:r>
      <w:r w:rsidRPr="00FD4345">
        <w:rPr>
          <w:rStyle w:val="Emphasis"/>
        </w:rPr>
        <w:t xml:space="preserve"> program </w:t>
      </w:r>
      <w:r w:rsidRPr="00846C54">
        <w:rPr>
          <w:rStyle w:val="Emphasis"/>
          <w:highlight w:val="cyan"/>
        </w:rPr>
        <w:t>rules and working with other support organizations to disseminate information is particularly important</w:t>
      </w:r>
      <w:r>
        <w:t xml:space="preserve"> (</w:t>
      </w:r>
      <w:proofErr w:type="spellStart"/>
      <w:r>
        <w:t>Daponte</w:t>
      </w:r>
      <w:proofErr w:type="spellEnd"/>
      <w:r>
        <w:t xml:space="preserve">, Sanders, and Taylor 1999; Doe 1983; </w:t>
      </w:r>
      <w:proofErr w:type="spellStart"/>
      <w:r>
        <w:t>Figlio</w:t>
      </w:r>
      <w:proofErr w:type="spellEnd"/>
      <w:r>
        <w:t xml:space="preserve">, </w:t>
      </w:r>
      <w:proofErr w:type="spellStart"/>
      <w:r>
        <w:t>Hamersma</w:t>
      </w:r>
      <w:proofErr w:type="spellEnd"/>
      <w:r>
        <w:t xml:space="preserve">, and Roth 2015). Even among those who successfully learn about their eligibility and </w:t>
      </w:r>
      <w:proofErr w:type="gramStart"/>
      <w:r>
        <w:t>make an effort</w:t>
      </w:r>
      <w:proofErr w:type="gramEnd"/>
      <w:r>
        <w:t xml:space="preserve"> to apply for benefits, </w:t>
      </w:r>
      <w:r w:rsidRPr="00846C54">
        <w:rPr>
          <w:rStyle w:val="Emphasis"/>
          <w:highlight w:val="cyan"/>
        </w:rPr>
        <w:t>relatively minor procedural hurdles can become insurmountable barriers</w:t>
      </w:r>
      <w:r>
        <w:t xml:space="preserve"> (Moynihan, Herd, and Harvey 2015). As </w:t>
      </w:r>
      <w:proofErr w:type="spellStart"/>
      <w:r>
        <w:t>Weissert</w:t>
      </w:r>
      <w:proofErr w:type="spellEnd"/>
      <w:r>
        <w:t xml:space="preserve"> (1994) notes:</w:t>
      </w:r>
    </w:p>
    <w:p w14:paraId="6B5CF2F1" w14:textId="16EEAE44" w:rsidR="0065073B" w:rsidRDefault="0065073B" w:rsidP="0065073B">
      <w:r w:rsidRPr="00846C54">
        <w:rPr>
          <w:rStyle w:val="StyleUnderline"/>
          <w:highlight w:val="cyan"/>
        </w:rPr>
        <w:t>Office hours</w:t>
      </w:r>
      <w:r>
        <w:t xml:space="preserve">, </w:t>
      </w:r>
      <w:proofErr w:type="gramStart"/>
      <w:r>
        <w:t>whether or not</w:t>
      </w:r>
      <w:proofErr w:type="gramEnd"/>
      <w:r>
        <w:t xml:space="preserve"> the </w:t>
      </w:r>
      <w:r w:rsidRPr="002B1F22">
        <w:t xml:space="preserve">intake </w:t>
      </w:r>
      <w:r w:rsidRPr="002B1F22">
        <w:rPr>
          <w:rStyle w:val="StyleUnderline"/>
        </w:rPr>
        <w:t>workers</w:t>
      </w:r>
      <w:r w:rsidRPr="002B1F22">
        <w:t xml:space="preserve"> are </w:t>
      </w:r>
      <w:r w:rsidRPr="002B1F22">
        <w:rPr>
          <w:rStyle w:val="StyleUnderline"/>
        </w:rPr>
        <w:t>available only at certain times</w:t>
      </w:r>
      <w:r w:rsidRPr="00FD4345">
        <w:rPr>
          <w:rStyle w:val="StyleUnderline"/>
        </w:rPr>
        <w:t xml:space="preserve"> of the day</w:t>
      </w:r>
      <w:r>
        <w:t xml:space="preserve">, and policies that relate to accepting new recipients all </w:t>
      </w:r>
      <w:r w:rsidRPr="00846C54">
        <w:rPr>
          <w:rStyle w:val="StyleUnderline"/>
          <w:highlight w:val="cyan"/>
        </w:rPr>
        <w:t>can be facilitating factors, especially to clients who might find it difficult to travel</w:t>
      </w:r>
      <w:r w:rsidRPr="00FD4345">
        <w:rPr>
          <w:rStyle w:val="StyleUnderline"/>
        </w:rPr>
        <w:t xml:space="preserve"> to a social services office</w:t>
      </w:r>
      <w:r>
        <w:t xml:space="preserve">. </w:t>
      </w:r>
      <w:r w:rsidRPr="00846C54">
        <w:rPr>
          <w:rStyle w:val="StyleUnderline"/>
          <w:highlight w:val="cyan"/>
        </w:rPr>
        <w:t>Long waiting-times</w:t>
      </w:r>
      <w:r w:rsidRPr="00FD4345">
        <w:rPr>
          <w:rStyle w:val="StyleUnderline"/>
        </w:rPr>
        <w:t xml:space="preserve"> are widely reported to </w:t>
      </w:r>
      <w:proofErr w:type="gramStart"/>
      <w:r w:rsidRPr="002B1F22">
        <w:rPr>
          <w:rStyle w:val="StyleUnderline"/>
        </w:rPr>
        <w:t>have an effect on</w:t>
      </w:r>
      <w:proofErr w:type="gramEnd"/>
      <w:r w:rsidRPr="002B1F22">
        <w:rPr>
          <w:rStyle w:val="StyleUnderline"/>
        </w:rPr>
        <w:t xml:space="preserve"> utilization</w:t>
      </w:r>
      <w:r w:rsidRPr="00FD4345">
        <w:rPr>
          <w:rStyle w:val="StyleUnderline"/>
        </w:rPr>
        <w:t xml:space="preserve"> and complexity of the application process and can </w:t>
      </w:r>
      <w:r w:rsidRPr="00846C54">
        <w:rPr>
          <w:rStyle w:val="StyleUnderline"/>
          <w:highlight w:val="cyan"/>
        </w:rPr>
        <w:t>lead to</w:t>
      </w:r>
      <w:r w:rsidRPr="00FD4345">
        <w:rPr>
          <w:rStyle w:val="StyleUnderline"/>
        </w:rPr>
        <w:t xml:space="preserve"> delays and </w:t>
      </w:r>
      <w:r w:rsidRPr="00846C54">
        <w:rPr>
          <w:rStyle w:val="StyleUnderline"/>
          <w:highlight w:val="cyan"/>
        </w:rPr>
        <w:t>lower</w:t>
      </w:r>
      <w:r w:rsidRPr="00FD4345">
        <w:rPr>
          <w:rStyle w:val="StyleUnderline"/>
        </w:rPr>
        <w:t xml:space="preserve"> levels of </w:t>
      </w:r>
      <w:r w:rsidRPr="00846C54">
        <w:rPr>
          <w:rStyle w:val="StyleUnderline"/>
          <w:highlight w:val="cyan"/>
        </w:rPr>
        <w:t>participation</w:t>
      </w:r>
      <w:r>
        <w:t>.</w:t>
      </w:r>
    </w:p>
    <w:p w14:paraId="3D6C5A73" w14:textId="229156F1" w:rsidR="0065073B" w:rsidRDefault="0065073B" w:rsidP="0065073B">
      <w:r w:rsidRPr="00846C54">
        <w:rPr>
          <w:rStyle w:val="StyleUnderline"/>
          <w:highlight w:val="cyan"/>
        </w:rPr>
        <w:t>Provision of information is another key</w:t>
      </w:r>
      <w:r w:rsidRPr="00FD4345">
        <w:rPr>
          <w:rStyle w:val="StyleUnderline"/>
        </w:rPr>
        <w:t xml:space="preserve"> element of office procedure</w:t>
      </w:r>
      <w:r w:rsidRPr="00535044">
        <w:rPr>
          <w:rStyle w:val="StyleUnderline"/>
        </w:rPr>
        <w:t xml:space="preserve">. </w:t>
      </w:r>
      <w:r w:rsidRPr="00846C54">
        <w:rPr>
          <w:rStyle w:val="StyleUnderline"/>
          <w:highlight w:val="cyan"/>
        </w:rPr>
        <w:t>Is the caseworker willing to tell the client where to get the necessary papers</w:t>
      </w:r>
      <w:r>
        <w:t xml:space="preserve"> and how to identify persons in organizations who might be able to help? </w:t>
      </w:r>
      <w:r w:rsidRPr="00535044">
        <w:rPr>
          <w:rStyle w:val="StyleUnderline"/>
        </w:rPr>
        <w:t xml:space="preserve">Will the caseworker give advice how and when to get these materials, </w:t>
      </w:r>
      <w:r w:rsidRPr="00846C54">
        <w:rPr>
          <w:rStyle w:val="StyleUnderline"/>
          <w:highlight w:val="cyan"/>
        </w:rPr>
        <w:t>the location of</w:t>
      </w:r>
      <w:r w:rsidRPr="00535044">
        <w:rPr>
          <w:rStyle w:val="StyleUnderline"/>
        </w:rPr>
        <w:t xml:space="preserve"> the </w:t>
      </w:r>
      <w:r w:rsidRPr="00846C54">
        <w:rPr>
          <w:rStyle w:val="StyleUnderline"/>
          <w:highlight w:val="cyan"/>
        </w:rPr>
        <w:t>pertinent offices, and directions to reach them</w:t>
      </w:r>
      <w:r>
        <w:t xml:space="preserve">? Clearly, </w:t>
      </w:r>
      <w:r w:rsidRPr="00846C54">
        <w:rPr>
          <w:rStyle w:val="Emphasis"/>
          <w:highlight w:val="cyan"/>
        </w:rPr>
        <w:t>helping</w:t>
      </w:r>
      <w:r>
        <w:t xml:space="preserve"> the client </w:t>
      </w:r>
      <w:r w:rsidRPr="00846C54">
        <w:rPr>
          <w:rStyle w:val="Emphasis"/>
          <w:highlight w:val="cyan"/>
        </w:rPr>
        <w:t>with these issues is not a</w:t>
      </w:r>
      <w:r>
        <w:t xml:space="preserve"> job </w:t>
      </w:r>
      <w:r w:rsidRPr="00846C54">
        <w:rPr>
          <w:rStyle w:val="Emphasis"/>
          <w:highlight w:val="cyan"/>
        </w:rPr>
        <w:t>requirement, yet these elements</w:t>
      </w:r>
      <w:r>
        <w:t xml:space="preserve"> may </w:t>
      </w:r>
      <w:r w:rsidRPr="00846C54">
        <w:rPr>
          <w:rStyle w:val="Emphasis"/>
          <w:highlight w:val="cyan"/>
        </w:rPr>
        <w:t>determine</w:t>
      </w:r>
      <w:r w:rsidRPr="00535044">
        <w:rPr>
          <w:rStyle w:val="Emphasis"/>
        </w:rPr>
        <w:t xml:space="preserve"> whether the client </w:t>
      </w:r>
      <w:r w:rsidRPr="00846C54">
        <w:rPr>
          <w:rStyle w:val="Emphasis"/>
          <w:highlight w:val="cyan"/>
        </w:rPr>
        <w:t>success</w:t>
      </w:r>
      <w:r w:rsidRPr="00535044">
        <w:rPr>
          <w:rStyle w:val="Emphasis"/>
        </w:rPr>
        <w:t>fully completes the application</w:t>
      </w:r>
      <w:r>
        <w:t xml:space="preserve"> (pp. 229–30, internal citations omitted).</w:t>
      </w:r>
    </w:p>
    <w:p w14:paraId="496FF8AF" w14:textId="5EF3D4AA" w:rsidR="0065073B" w:rsidRDefault="0065073B" w:rsidP="0065073B">
      <w:proofErr w:type="spellStart"/>
      <w:r>
        <w:t>Brodkin</w:t>
      </w:r>
      <w:proofErr w:type="spellEnd"/>
      <w:r>
        <w:t xml:space="preserve"> and </w:t>
      </w:r>
      <w:proofErr w:type="spellStart"/>
      <w:r>
        <w:t>Majmundar</w:t>
      </w:r>
      <w:proofErr w:type="spellEnd"/>
      <w:r>
        <w:t xml:space="preserve"> (2010) show that such “</w:t>
      </w:r>
      <w:r w:rsidRPr="00846C54">
        <w:rPr>
          <w:rStyle w:val="Emphasis"/>
          <w:highlight w:val="cyan"/>
        </w:rPr>
        <w:t>procedural discretion” plays an important role in explaining variation in access to welfare services</w:t>
      </w:r>
      <w:r>
        <w:t xml:space="preserve">. Of course, the design of many of social programs creates further opportunities for exercising bureaucratic discretion, particularly among front-line workers who most regularly interact with potential beneficiaries. For example, Aid to Dependent Children (ADC), America’s first national welfare program created under the Social Security Act of 1935, required mothers in many states to meet subjective moral and “suitable home” qualifications. Inconsistent enforcement of these qualifications allowed caseworkers to systematically limit access for disadvantaged groups (Poole 2006). After the passage of welfare reform in the mid-1990s, states gained even greater leeway to incorporate subjective conditions into their programs. For example, state officials retain some discretion over the severity of sanctions imposed on recipients who fail to meet minimum work requirements (Fording, </w:t>
      </w:r>
      <w:proofErr w:type="spellStart"/>
      <w:r>
        <w:t>Soss</w:t>
      </w:r>
      <w:proofErr w:type="spellEnd"/>
      <w:r>
        <w:t xml:space="preserve">, and Schram 2007; Keiser, </w:t>
      </w:r>
      <w:proofErr w:type="spellStart"/>
      <w:r>
        <w:t>Mueser</w:t>
      </w:r>
      <w:proofErr w:type="spellEnd"/>
      <w:r>
        <w:t xml:space="preserve">, and Choi 2004; </w:t>
      </w:r>
      <w:proofErr w:type="spellStart"/>
      <w:r>
        <w:t>Soss</w:t>
      </w:r>
      <w:proofErr w:type="spellEnd"/>
      <w:r>
        <w:t xml:space="preserve">, Fording, and Schram 2011) and can decide whether to withhold child support payments from benefits (Keiser and </w:t>
      </w:r>
      <w:proofErr w:type="spellStart"/>
      <w:r>
        <w:t>Soss</w:t>
      </w:r>
      <w:proofErr w:type="spellEnd"/>
      <w:r>
        <w:t xml:space="preserve"> 1998).</w:t>
      </w:r>
    </w:p>
    <w:p w14:paraId="20DD363D" w14:textId="707E8572" w:rsidR="0065073B" w:rsidRDefault="0065073B" w:rsidP="0065073B">
      <w:r>
        <w:t xml:space="preserve">Research commissioned by the federal government has found that local offices responsible for administering the food stamp program exercise discretion in these and related spheres. For examples, </w:t>
      </w:r>
      <w:r w:rsidRPr="00846C54">
        <w:rPr>
          <w:rStyle w:val="StyleUnderline"/>
          <w:highlight w:val="cyan"/>
        </w:rPr>
        <w:t>offices vary</w:t>
      </w:r>
      <w:r w:rsidRPr="00535044">
        <w:rPr>
          <w:rStyle w:val="StyleUnderline"/>
        </w:rPr>
        <w:t xml:space="preserve"> </w:t>
      </w:r>
      <w:r w:rsidRPr="00846C54">
        <w:rPr>
          <w:rStyle w:val="StyleUnderline"/>
          <w:highlight w:val="cyan"/>
        </w:rPr>
        <w:t>in</w:t>
      </w:r>
      <w:r w:rsidRPr="00535044">
        <w:rPr>
          <w:rStyle w:val="StyleUnderline"/>
        </w:rPr>
        <w:t xml:space="preserve"> the amount of </w:t>
      </w:r>
      <w:r w:rsidRPr="00846C54">
        <w:rPr>
          <w:rStyle w:val="StyleUnderline"/>
          <w:highlight w:val="cyan"/>
        </w:rPr>
        <w:t>outreach</w:t>
      </w:r>
      <w:r w:rsidRPr="00535044">
        <w:rPr>
          <w:rStyle w:val="StyleUnderline"/>
        </w:rPr>
        <w:t xml:space="preserve"> they conduct </w:t>
      </w:r>
      <w:r w:rsidRPr="00846C54">
        <w:rPr>
          <w:rStyle w:val="StyleUnderline"/>
          <w:highlight w:val="cyan"/>
        </w:rPr>
        <w:t xml:space="preserve">to advertise </w:t>
      </w:r>
      <w:r w:rsidRPr="00482007">
        <w:rPr>
          <w:rStyle w:val="StyleUnderline"/>
        </w:rPr>
        <w:t>the</w:t>
      </w:r>
      <w:r w:rsidRPr="00535044">
        <w:rPr>
          <w:rStyle w:val="StyleUnderline"/>
        </w:rPr>
        <w:t xml:space="preserve"> program</w:t>
      </w:r>
      <w:r>
        <w:t xml:space="preserve">, the number of visits required to complete the application process, whether interviews can be scheduled in advance, and whether they make use of unannounced home visits for fraud detection (Gabor et al. 2003). </w:t>
      </w:r>
      <w:r w:rsidRPr="00535044">
        <w:rPr>
          <w:rStyle w:val="StyleUnderline"/>
        </w:rPr>
        <w:t xml:space="preserve">There is similar </w:t>
      </w:r>
      <w:r w:rsidRPr="00846C54">
        <w:rPr>
          <w:rStyle w:val="StyleUnderline"/>
          <w:highlight w:val="cyan"/>
        </w:rPr>
        <w:t>variation in how caseworkers handle missed appointments</w:t>
      </w:r>
      <w:r w:rsidRPr="00535044">
        <w:rPr>
          <w:rStyle w:val="StyleUnderline"/>
        </w:rPr>
        <w:t xml:space="preserve">. </w:t>
      </w:r>
      <w:proofErr w:type="gramStart"/>
      <w:r w:rsidRPr="00846C54">
        <w:rPr>
          <w:rStyle w:val="StyleUnderline"/>
          <w:highlight w:val="cyan"/>
        </w:rPr>
        <w:t>All of</w:t>
      </w:r>
      <w:proofErr w:type="gramEnd"/>
      <w:r w:rsidRPr="00846C54">
        <w:rPr>
          <w:rStyle w:val="StyleUnderline"/>
          <w:highlight w:val="cyan"/>
        </w:rPr>
        <w:t xml:space="preserve"> these practices</w:t>
      </w:r>
      <w:r w:rsidRPr="00535044">
        <w:rPr>
          <w:rStyle w:val="StyleUnderline"/>
        </w:rPr>
        <w:t xml:space="preserve"> have been shown to </w:t>
      </w:r>
      <w:r w:rsidRPr="00846C54">
        <w:rPr>
          <w:rStyle w:val="StyleUnderline"/>
          <w:highlight w:val="cyan"/>
        </w:rPr>
        <w:t>affect whether</w:t>
      </w:r>
      <w:r w:rsidRPr="00535044">
        <w:rPr>
          <w:rStyle w:val="StyleUnderline"/>
        </w:rPr>
        <w:t xml:space="preserve"> eligible </w:t>
      </w:r>
      <w:r w:rsidRPr="00846C54">
        <w:rPr>
          <w:rStyle w:val="StyleUnderline"/>
          <w:highlight w:val="cyan"/>
        </w:rPr>
        <w:t>households</w:t>
      </w:r>
      <w:r w:rsidRPr="00535044">
        <w:rPr>
          <w:rStyle w:val="StyleUnderline"/>
        </w:rPr>
        <w:t xml:space="preserve"> ultimately </w:t>
      </w:r>
      <w:r w:rsidRPr="00846C54">
        <w:rPr>
          <w:rStyle w:val="StyleUnderline"/>
          <w:highlight w:val="cyan"/>
        </w:rPr>
        <w:t>enroll</w:t>
      </w:r>
      <w:r w:rsidRPr="00535044">
        <w:rPr>
          <w:rStyle w:val="StyleUnderline"/>
        </w:rPr>
        <w:t xml:space="preserve"> in the program</w:t>
      </w:r>
      <w:r>
        <w:t xml:space="preserve"> (Bartlett and Burstein 2004).</w:t>
      </w:r>
    </w:p>
    <w:p w14:paraId="0646F0D2" w14:textId="61769434" w:rsidR="001F79B8" w:rsidRDefault="0065073B" w:rsidP="0065073B">
      <w:r>
        <w:t xml:space="preserve">In making decisions about these and other related facets of implementation, existing evidence suggests that </w:t>
      </w:r>
      <w:r w:rsidRPr="00846C54">
        <w:rPr>
          <w:rStyle w:val="StyleUnderline"/>
          <w:highlight w:val="cyan"/>
        </w:rPr>
        <w:t>caseworkers can be highly responsive to</w:t>
      </w:r>
      <w:r w:rsidRPr="00535044">
        <w:rPr>
          <w:rStyle w:val="StyleUnderline"/>
        </w:rPr>
        <w:t xml:space="preserve"> their political contexts and the preferences of </w:t>
      </w:r>
      <w:r w:rsidRPr="00846C54">
        <w:rPr>
          <w:rStyle w:val="StyleUnderline"/>
          <w:highlight w:val="cyan"/>
        </w:rPr>
        <w:t>local constituents</w:t>
      </w:r>
      <w:r>
        <w:t xml:space="preserve"> (Grubb 1984; </w:t>
      </w:r>
      <w:proofErr w:type="spellStart"/>
      <w:r>
        <w:t>Weissert</w:t>
      </w:r>
      <w:proofErr w:type="spellEnd"/>
      <w:r>
        <w:t xml:space="preserve"> 1994).2 </w:t>
      </w:r>
      <w:r w:rsidRPr="00E75632">
        <w:rPr>
          <w:rStyle w:val="StyleUnderline"/>
        </w:rPr>
        <w:t>The observed relationship between bureaucratic behavior and local voter preferences might arise because street-level bureaucrats are chosen through political processes, in which recommendations from local elected officials or political leaders carry a great deal of weight; because their activities are constrained by the local interest group environment</w:t>
      </w:r>
      <w:r>
        <w:t xml:space="preserve"> (e.g., Schmidt 2002); </w:t>
      </w:r>
      <w:r w:rsidRPr="00E75632">
        <w:rPr>
          <w:rStyle w:val="StyleUnderline"/>
        </w:rPr>
        <w:t>or simply because local officials are members of the community within which they work and are thus, on average, themselves likely to hold preferences and values that are in line with local norms</w:t>
      </w:r>
      <w:r>
        <w:t xml:space="preserve">.3 I should emphasize that this kind responsiveness differs significantly from what is often described as “representative bureaucracy” in the public administration literature (e.g., Coleman, </w:t>
      </w:r>
      <w:proofErr w:type="spellStart"/>
      <w:r>
        <w:t>Brudney</w:t>
      </w:r>
      <w:proofErr w:type="spellEnd"/>
      <w:r>
        <w:t xml:space="preserve">, and </w:t>
      </w:r>
      <w:proofErr w:type="spellStart"/>
      <w:r>
        <w:t>Kellough</w:t>
      </w:r>
      <w:proofErr w:type="spellEnd"/>
      <w:r>
        <w:t xml:space="preserve"> 1998; Meier, Wrinkle, and </w:t>
      </w:r>
      <w:proofErr w:type="spellStart"/>
      <w:r>
        <w:t>Polinard</w:t>
      </w:r>
      <w:proofErr w:type="spellEnd"/>
      <w:r>
        <w:t xml:space="preserve"> 1999). The research on representative bureaucracy focuses on the identity of program users or beneficiaries, not on the preferences of local voters. This line of research asks whether bureaucrats who share descriptive or demographic characteristics of the population served by government programs are more effective in achieving these programs’ objectives. By contrast, I examine the extent to which local caseworkers respond to the ideological and policy preferences of the local community in which they work. Although these questions are related, there are likely significant differences between the composition of program beneficiaries and the broader population of local voters, particularly in the context of social welfare programs.</w:t>
      </w:r>
    </w:p>
    <w:p w14:paraId="245DB284" w14:textId="77777777" w:rsidR="0065073B" w:rsidRDefault="0065073B" w:rsidP="0065073B"/>
    <w:p w14:paraId="153883B7" w14:textId="270E1B36" w:rsidR="001D76DC" w:rsidRDefault="00597A7F" w:rsidP="001D76DC">
      <w:pPr>
        <w:pStyle w:val="Heading4"/>
      </w:pPr>
      <w:r>
        <w:t xml:space="preserve">Uniformity in the plan and centralization through the federal government still allows for variation in </w:t>
      </w:r>
      <w:proofErr w:type="gramStart"/>
      <w:r>
        <w:t>implementation</w:t>
      </w:r>
      <w:proofErr w:type="gramEnd"/>
    </w:p>
    <w:p w14:paraId="3421B35C" w14:textId="77777777" w:rsidR="001D76DC" w:rsidRDefault="001D76DC" w:rsidP="001D76DC">
      <w:r w:rsidRPr="00DD0635">
        <w:t xml:space="preserve">Vladimir </w:t>
      </w:r>
      <w:r w:rsidRPr="00DD0635">
        <w:rPr>
          <w:rStyle w:val="Style13ptBold"/>
        </w:rPr>
        <w:t>Kogan 17,</w:t>
      </w:r>
      <w:r w:rsidRPr="00DD0635">
        <w:t xml:space="preserve"> Director of Undergraduate Studies, Professor, studies state and local government in the United States. His research focuses on the intersection of politics and public policy in areas including education and social policy. Kogan serves on the editorial board of Urban Affairs Review and is affiliated with OSU’s Institute for Democratic Engagement and Accountability, the Education Governance and Accountability Project, and the Translational Data Analytics Institute. "Administrative Centralization and Bureaucratic Responsiveness: Evidence from the Food Stamp Program" Journal of Public Administration Research and Theory: J-PART, Vol. 27, No. 4 (October 2017), pp. 629-646 //</w:t>
      </w:r>
      <w:proofErr w:type="spellStart"/>
      <w:r w:rsidRPr="00DD0635">
        <w:t>pipk</w:t>
      </w:r>
      <w:proofErr w:type="spellEnd"/>
    </w:p>
    <w:p w14:paraId="0BEAACE3" w14:textId="77777777" w:rsidR="001D76DC" w:rsidRDefault="001D76DC" w:rsidP="001D76DC">
      <w:r w:rsidRPr="00846C54">
        <w:rPr>
          <w:rStyle w:val="StyleUnderline"/>
          <w:highlight w:val="cyan"/>
        </w:rPr>
        <w:t>Delegation</w:t>
      </w:r>
      <w:r>
        <w:t xml:space="preserve"> of administrative authority </w:t>
      </w:r>
      <w:r w:rsidRPr="00846C54">
        <w:rPr>
          <w:rStyle w:val="StyleUnderline"/>
          <w:highlight w:val="cyan"/>
        </w:rPr>
        <w:t>is commonly thought to involve</w:t>
      </w:r>
      <w:r w:rsidRPr="00B362C9">
        <w:rPr>
          <w:rStyle w:val="StyleUnderline"/>
        </w:rPr>
        <w:t xml:space="preserve"> a </w:t>
      </w:r>
      <w:r w:rsidRPr="00846C54">
        <w:rPr>
          <w:rStyle w:val="StyleUnderline"/>
          <w:highlight w:val="cyan"/>
        </w:rPr>
        <w:t>tradeoff between</w:t>
      </w:r>
      <w:r w:rsidRPr="00B362C9">
        <w:rPr>
          <w:rStyle w:val="StyleUnderline"/>
        </w:rPr>
        <w:t xml:space="preserve"> </w:t>
      </w:r>
      <w:r w:rsidRPr="00B362C9">
        <w:t>the</w:t>
      </w:r>
      <w:r>
        <w:t xml:space="preserve"> </w:t>
      </w:r>
      <w:r w:rsidRPr="00B362C9">
        <w:rPr>
          <w:rStyle w:val="StyleUnderline"/>
        </w:rPr>
        <w:t xml:space="preserve">discretion necessary for bureaucratic </w:t>
      </w:r>
      <w:r w:rsidRPr="00846C54">
        <w:rPr>
          <w:rStyle w:val="StyleUnderline"/>
          <w:highlight w:val="cyan"/>
        </w:rPr>
        <w:t>effectiveness and democratic responsiveness</w:t>
      </w:r>
      <w:r>
        <w:t xml:space="preserve">. In many con- texts, however, discretion and responsiveness go </w:t>
      </w:r>
      <w:proofErr w:type="gramStart"/>
      <w:r>
        <w:t>hand-in-hand</w:t>
      </w:r>
      <w:proofErr w:type="gramEnd"/>
      <w:r>
        <w:t xml:space="preserve">: </w:t>
      </w:r>
      <w:r w:rsidRPr="00846C54">
        <w:rPr>
          <w:rStyle w:val="Emphasis"/>
          <w:highlight w:val="cyan"/>
        </w:rPr>
        <w:t>Street-level bureaucrats</w:t>
      </w:r>
      <w:r>
        <w:t xml:space="preserve"> may </w:t>
      </w:r>
      <w:r w:rsidRPr="00846C54">
        <w:rPr>
          <w:rStyle w:val="Emphasis"/>
          <w:highlight w:val="cyan"/>
        </w:rPr>
        <w:t>adapt</w:t>
      </w:r>
      <w:r w:rsidRPr="00B362C9">
        <w:rPr>
          <w:rStyle w:val="Emphasis"/>
        </w:rPr>
        <w:t xml:space="preserve"> their </w:t>
      </w:r>
      <w:r w:rsidRPr="00846C54">
        <w:rPr>
          <w:rStyle w:val="Emphasis"/>
          <w:highlight w:val="cyan"/>
        </w:rPr>
        <w:t>behavior to accommodate local norms</w:t>
      </w:r>
      <w:r w:rsidRPr="00B362C9">
        <w:rPr>
          <w:rStyle w:val="Emphasis"/>
        </w:rPr>
        <w:t xml:space="preserve"> and values, </w:t>
      </w:r>
      <w:r w:rsidRPr="00846C54">
        <w:rPr>
          <w:rStyle w:val="Emphasis"/>
          <w:highlight w:val="cyan"/>
        </w:rPr>
        <w:t>even when implementing</w:t>
      </w:r>
      <w:r w:rsidRPr="00B362C9">
        <w:rPr>
          <w:rStyle w:val="Emphasis"/>
        </w:rPr>
        <w:t xml:space="preserve"> the </w:t>
      </w:r>
      <w:r w:rsidRPr="00846C54">
        <w:rPr>
          <w:rStyle w:val="Emphasis"/>
          <w:highlight w:val="cyan"/>
        </w:rPr>
        <w:t>identical statutory language</w:t>
      </w:r>
      <w:r>
        <w:t xml:space="preserve">. I argue that </w:t>
      </w:r>
      <w:r w:rsidRPr="00846C54">
        <w:rPr>
          <w:rStyle w:val="StyleUnderline"/>
          <w:highlight w:val="cyan"/>
        </w:rPr>
        <w:t>this</w:t>
      </w:r>
      <w:r w:rsidRPr="00B362C9">
        <w:rPr>
          <w:rStyle w:val="StyleUnderline"/>
        </w:rPr>
        <w:t xml:space="preserve"> type of </w:t>
      </w:r>
      <w:r w:rsidRPr="00846C54">
        <w:rPr>
          <w:rStyle w:val="StyleUnderline"/>
          <w:highlight w:val="cyan"/>
        </w:rPr>
        <w:t>bureaucratic adaptation can explain local variation</w:t>
      </w:r>
      <w:r>
        <w:t xml:space="preserve"> in participation rates </w:t>
      </w:r>
      <w:r w:rsidRPr="00846C54">
        <w:rPr>
          <w:rStyle w:val="StyleUnderline"/>
          <w:highlight w:val="cyan"/>
        </w:rPr>
        <w:t>in the national</w:t>
      </w:r>
      <w:r>
        <w:t xml:space="preserve"> food stamp </w:t>
      </w:r>
      <w:r w:rsidRPr="00846C54">
        <w:rPr>
          <w:rStyle w:val="StyleUnderline"/>
          <w:highlight w:val="cyan"/>
        </w:rPr>
        <w:t>program</w:t>
      </w:r>
      <w:r>
        <w:t xml:space="preserve">. </w:t>
      </w:r>
      <w:r w:rsidRPr="00C34771">
        <w:rPr>
          <w:rStyle w:val="StyleUnderline"/>
        </w:rPr>
        <w:t>By exploiting between-state differences in the level at which the program is administered</w:t>
      </w:r>
      <w:r>
        <w:t xml:space="preserve">, I further show that </w:t>
      </w:r>
      <w:r w:rsidRPr="00846C54">
        <w:rPr>
          <w:rStyle w:val="Emphasis"/>
          <w:highlight w:val="cyan"/>
        </w:rPr>
        <w:t>administrative centralization does not appear to moderate such responsiveness, which is high across institutional settings</w:t>
      </w:r>
      <w:r>
        <w:t xml:space="preserve">. Using data on application denial rates for a subset of these states, I offer additional evidence that some of the </w:t>
      </w:r>
      <w:r w:rsidRPr="00846C54">
        <w:rPr>
          <w:rStyle w:val="StyleUnderline"/>
          <w:highlight w:val="cyan"/>
        </w:rPr>
        <w:t>county-level variation in program participation is a product of decisions made by local caseworkers</w:t>
      </w:r>
      <w:r>
        <w:t>. Together, these findings offer important insights on the institutional preconditions for bureaucratic responsiveness and control.</w:t>
      </w:r>
    </w:p>
    <w:p w14:paraId="44F7397C" w14:textId="77777777" w:rsidR="001D76DC" w:rsidRDefault="001D76DC" w:rsidP="001D76DC"/>
    <w:p w14:paraId="5B652CA7" w14:textId="77777777" w:rsidR="001D76DC" w:rsidRDefault="001D76DC" w:rsidP="001D76DC"/>
    <w:p w14:paraId="3C20A66A" w14:textId="7A5AF0F0" w:rsidR="007931B7" w:rsidRDefault="007931B7" w:rsidP="00EB5C17">
      <w:pPr>
        <w:pStyle w:val="Heading3"/>
      </w:pPr>
      <w:r>
        <w:t>2NC---AT: Uniformity Good---Social Security</w:t>
      </w:r>
    </w:p>
    <w:p w14:paraId="7C038AFA" w14:textId="77777777" w:rsidR="000E1546" w:rsidRDefault="000E1546" w:rsidP="000E1546">
      <w:pPr>
        <w:pStyle w:val="Heading4"/>
      </w:pPr>
      <w:r>
        <w:t xml:space="preserve">Social security </w:t>
      </w:r>
      <w:proofErr w:type="spellStart"/>
      <w:r>
        <w:t>aff</w:t>
      </w:r>
      <w:proofErr w:type="spellEnd"/>
      <w:r>
        <w:t xml:space="preserve"> isn’t </w:t>
      </w:r>
      <w:proofErr w:type="gramStart"/>
      <w:r>
        <w:t>uniform</w:t>
      </w:r>
      <w:proofErr w:type="gramEnd"/>
    </w:p>
    <w:p w14:paraId="2EF7973A" w14:textId="77777777" w:rsidR="000E1546" w:rsidRDefault="000E1546" w:rsidP="000E1546">
      <w:r w:rsidRPr="00DD0635">
        <w:t xml:space="preserve">Vladimir </w:t>
      </w:r>
      <w:r w:rsidRPr="00DD0635">
        <w:rPr>
          <w:rStyle w:val="Style13ptBold"/>
        </w:rPr>
        <w:t>Kogan 17,</w:t>
      </w:r>
      <w:r w:rsidRPr="00DD0635">
        <w:t xml:space="preserve"> Director of Undergraduate Studies, Professor, studies state and local government in the United States. His research focuses on the intersection of politics and public policy in areas including education and social policy. Kogan serves on the editorial board of Urban Affairs Review and is affiliated with OSU’s Institute for Democratic Engagement and Accountability, the Education Governance and Accountability Project, and the Translational Data Analytics Institute. "Administrative Centralization and Bureaucratic Responsiveness: Evidence from the Food Stamp Program" Journal of Public Administration Research and Theory: J-PART, Vol. 27, No. 4 (October 2017), pp. 629-646 //</w:t>
      </w:r>
      <w:proofErr w:type="spellStart"/>
      <w:r w:rsidRPr="00DD0635">
        <w:t>pipk</w:t>
      </w:r>
      <w:proofErr w:type="spellEnd"/>
    </w:p>
    <w:p w14:paraId="6B715007" w14:textId="77777777" w:rsidR="000E1546" w:rsidRDefault="000E1546" w:rsidP="000E1546">
      <w:r w:rsidRPr="00712BA2">
        <w:rPr>
          <w:rStyle w:val="StyleUnderline"/>
        </w:rPr>
        <w:t>Delegation is part and parcel of politics because elected officials who write statutes and make policy rarely personally implement these directives on the ground</w:t>
      </w:r>
      <w:r>
        <w:t xml:space="preserve">. </w:t>
      </w:r>
      <w:r w:rsidRPr="00712BA2">
        <w:rPr>
          <w:rStyle w:val="StyleUnderline"/>
        </w:rPr>
        <w:t>The central challenge in the design of government institutions is thus to provide street-level bureaucrats with sufficient authority to utilize their expertise while avoiding having this discretion be abused to pursue divergent policy goals</w:t>
      </w:r>
      <w:r>
        <w:t xml:space="preserve">. This dilemma remains at the heart of the study of bureaucratic politics. However, the dilemma presupposes a trade- off between the discretion thought necessary for bureaucratic effectiveness and democratic responsive- ness (e.g., Epstein and O'Halloran 1999, 6). </w:t>
      </w:r>
      <w:proofErr w:type="gramStart"/>
      <w:r>
        <w:t>In reality, there</w:t>
      </w:r>
      <w:proofErr w:type="gramEnd"/>
      <w:r>
        <w:t xml:space="preserve"> are ample arenas in which discretion and </w:t>
      </w:r>
      <w:proofErr w:type="spellStart"/>
      <w:r>
        <w:t>respon</w:t>
      </w:r>
      <w:proofErr w:type="spellEnd"/>
      <w:r>
        <w:t xml:space="preserve">- </w:t>
      </w:r>
      <w:proofErr w:type="spellStart"/>
      <w:r>
        <w:t>siveness</w:t>
      </w:r>
      <w:proofErr w:type="spellEnd"/>
      <w:r>
        <w:t xml:space="preserve"> go hand-in-hand - with street-level bureau- crats exercising their authority in highly responsive ways. </w:t>
      </w:r>
      <w:r w:rsidRPr="006A17DD">
        <w:rPr>
          <w:rStyle w:val="StyleUnderline"/>
        </w:rPr>
        <w:t>Across many policy areas, including Medicaid</w:t>
      </w:r>
      <w:r>
        <w:t xml:space="preserve"> (</w:t>
      </w:r>
      <w:proofErr w:type="spellStart"/>
      <w:r>
        <w:t>Weissert</w:t>
      </w:r>
      <w:proofErr w:type="spellEnd"/>
      <w:r>
        <w:t xml:space="preserve"> 1994), occupational health and safety (Scholz 1986; Scholz, Twombly, and Headrick 1991), labor law (Schmidt 2002), </w:t>
      </w:r>
      <w:r w:rsidRPr="006A17DD">
        <w:rPr>
          <w:rStyle w:val="Emphasis"/>
        </w:rPr>
        <w:t>Social Security</w:t>
      </w:r>
      <w:r>
        <w:t xml:space="preserve"> disability insurance (Keiser 1999), and immigration (Lewis et al. 2013), </w:t>
      </w:r>
      <w:r w:rsidRPr="006A17DD">
        <w:rPr>
          <w:rStyle w:val="Emphasis"/>
        </w:rPr>
        <w:t>local workers</w:t>
      </w:r>
      <w:r>
        <w:t xml:space="preserve"> appear to </w:t>
      </w:r>
      <w:r w:rsidRPr="006A17DD">
        <w:rPr>
          <w:rStyle w:val="Emphasis"/>
        </w:rPr>
        <w:t xml:space="preserve">use their discretion to align realized policy outcomes with the local community norms and values, even when their formal </w:t>
      </w:r>
      <w:proofErr w:type="spellStart"/>
      <w:r w:rsidRPr="006A17DD">
        <w:rPr>
          <w:rStyle w:val="Emphasis"/>
        </w:rPr>
        <w:t>responsibil</w:t>
      </w:r>
      <w:proofErr w:type="spellEnd"/>
      <w:r w:rsidRPr="006A17DD">
        <w:rPr>
          <w:rStyle w:val="Emphasis"/>
        </w:rPr>
        <w:t xml:space="preserve">- </w:t>
      </w:r>
      <w:proofErr w:type="spellStart"/>
      <w:r w:rsidRPr="006A17DD">
        <w:rPr>
          <w:rStyle w:val="Emphasis"/>
        </w:rPr>
        <w:t>ity</w:t>
      </w:r>
      <w:proofErr w:type="spellEnd"/>
      <w:r w:rsidRPr="006A17DD">
        <w:rPr>
          <w:rStyle w:val="Emphasis"/>
        </w:rPr>
        <w:t xml:space="preserve"> is to implement otherwise identical statutory </w:t>
      </w:r>
      <w:proofErr w:type="spellStart"/>
      <w:r w:rsidRPr="006A17DD">
        <w:rPr>
          <w:rStyle w:val="Emphasis"/>
        </w:rPr>
        <w:t>lan</w:t>
      </w:r>
      <w:proofErr w:type="spellEnd"/>
      <w:r w:rsidRPr="006A17DD">
        <w:rPr>
          <w:rStyle w:val="Emphasis"/>
        </w:rPr>
        <w:t xml:space="preserve">- </w:t>
      </w:r>
      <w:proofErr w:type="spellStart"/>
      <w:r w:rsidRPr="006A17DD">
        <w:rPr>
          <w:rStyle w:val="Emphasis"/>
        </w:rPr>
        <w:t>guage</w:t>
      </w:r>
      <w:proofErr w:type="spellEnd"/>
      <w:r w:rsidRPr="006A17DD">
        <w:rPr>
          <w:rStyle w:val="Emphasis"/>
        </w:rPr>
        <w:t>.</w:t>
      </w:r>
      <w:r>
        <w:t xml:space="preserve"> </w:t>
      </w:r>
      <w:r w:rsidRPr="007931B7">
        <w:rPr>
          <w:rStyle w:val="StyleUnderline"/>
        </w:rPr>
        <w:t>Such</w:t>
      </w:r>
      <w:r>
        <w:t xml:space="preserve"> behavior is a different sort of </w:t>
      </w:r>
      <w:r w:rsidRPr="007931B7">
        <w:rPr>
          <w:rStyle w:val="StyleUnderline"/>
        </w:rPr>
        <w:t>bureaucratic responsiveness</w:t>
      </w:r>
      <w:r>
        <w:t xml:space="preserve">, one that </w:t>
      </w:r>
      <w:r w:rsidRPr="007931B7">
        <w:rPr>
          <w:rStyle w:val="StyleUnderline"/>
        </w:rPr>
        <w:t>may conflict with the clear intent of the legislators and elected executives who crafted the relevant legislation</w:t>
      </w:r>
      <w:r>
        <w:t>. In these and many other settings, discretion potentially brings about too much responsiveness rather than too little of it from the point of view the laws' authors.</w:t>
      </w:r>
    </w:p>
    <w:p w14:paraId="03B609A2" w14:textId="77777777" w:rsidR="007931B7" w:rsidRPr="007931B7" w:rsidRDefault="007931B7" w:rsidP="007931B7"/>
    <w:p w14:paraId="58A778D6" w14:textId="41A597AD" w:rsidR="00844AC0" w:rsidRDefault="00844AC0" w:rsidP="00EB5C17">
      <w:pPr>
        <w:pStyle w:val="Heading3"/>
      </w:pPr>
      <w:r>
        <w:t xml:space="preserve">2NC---AT: Fiscal </w:t>
      </w:r>
      <w:r w:rsidR="00F80F36">
        <w:t>Volatility</w:t>
      </w:r>
      <w:r>
        <w:t xml:space="preserve"> DA</w:t>
      </w:r>
    </w:p>
    <w:p w14:paraId="5BB50D0E" w14:textId="77777777" w:rsidR="00FA05E0" w:rsidRDefault="00FA05E0" w:rsidP="00FA05E0">
      <w:pPr>
        <w:pStyle w:val="Heading4"/>
      </w:pPr>
      <w:r>
        <w:t xml:space="preserve">State budgets are expanding now, they eat up </w:t>
      </w:r>
      <w:proofErr w:type="gramStart"/>
      <w:r>
        <w:t>reserves</w:t>
      </w:r>
      <w:proofErr w:type="gramEnd"/>
    </w:p>
    <w:p w14:paraId="4BC2B1EB" w14:textId="77777777" w:rsidR="00FA05E0" w:rsidRPr="00FA05E0" w:rsidRDefault="00FA05E0" w:rsidP="00FA05E0">
      <w:r w:rsidRPr="00ED5DD4">
        <w:rPr>
          <w:rStyle w:val="Style13ptBold"/>
        </w:rPr>
        <w:t>NASBO 22</w:t>
      </w:r>
      <w:r w:rsidRPr="00ED5DD4">
        <w:t>, National Association of State Budget Officers. December 16. "Summary: Fall 2022 Fiscal Survey of States" https://higherlogicdownload.s3.amazonaws.com/NASBO/9d2d2db1-c943-4f1b-b750-0fca152d64c2/UploadedImages/Issue%20Briefs%20/Summary_Fall_2022_Fiscal_Survey_of_States.pdf //</w:t>
      </w:r>
      <w:proofErr w:type="spellStart"/>
      <w:proofErr w:type="gramStart"/>
      <w:r w:rsidRPr="00ED5DD4">
        <w:t>pipk</w:t>
      </w:r>
      <w:proofErr w:type="spellEnd"/>
      <w:proofErr w:type="gramEnd"/>
    </w:p>
    <w:p w14:paraId="07306A6D" w14:textId="77777777" w:rsidR="00FA05E0" w:rsidRDefault="00FA05E0" w:rsidP="00FA05E0">
      <w:r w:rsidRPr="00402C5A">
        <w:rPr>
          <w:rStyle w:val="StyleUnderline"/>
        </w:rPr>
        <w:t>Spending Continues to Grow in Fiscal 2023</w:t>
      </w:r>
      <w:r>
        <w:t xml:space="preserve"> Budgets Following Largest Ever Increase in Fiscal 2022 </w:t>
      </w:r>
      <w:r w:rsidRPr="00A47C04">
        <w:rPr>
          <w:rStyle w:val="StyleUnderline"/>
        </w:rPr>
        <w:t>Enacted budgets call for general fund spending totaling $1.16 trillion in fiscal 2023, a 6.7 percent increase over preliminary actual spending levels for fiscal 2022</w:t>
      </w:r>
      <w:r>
        <w:t xml:space="preserve">. </w:t>
      </w:r>
      <w:r w:rsidRPr="00A47C04">
        <w:rPr>
          <w:rStyle w:val="StyleUnderline"/>
        </w:rPr>
        <w:t>This increase follows rapid spending growth in fiscal 2022,</w:t>
      </w:r>
      <w:r>
        <w:t xml:space="preserve"> when general fund spending increased 18.3 percent – the highest growth rate ever recorded in the Fiscal Survey of States. Overall, 40 states are projecting general fund spending increases in fiscal 2023, while 10 states are forecasting declines. Fiscal 2023 budgets that states reported on in this survey were enacted as early as spring 2021 for some biennial states and as late as summer 2022. </w:t>
      </w:r>
      <w:r w:rsidRPr="00A47C04">
        <w:rPr>
          <w:rStyle w:val="StyleUnderline"/>
        </w:rPr>
        <w:t>Upward revisions to revenue forecasts since budget enactment may increase spending levels for fiscal 2023</w:t>
      </w:r>
      <w:r>
        <w:t>.</w:t>
      </w:r>
    </w:p>
    <w:p w14:paraId="676F9A35" w14:textId="77777777" w:rsidR="00FA05E0" w:rsidRDefault="00FA05E0" w:rsidP="00FA05E0">
      <w:r w:rsidRPr="002530CE">
        <w:rPr>
          <w:rStyle w:val="StyleUnderline"/>
        </w:rPr>
        <w:t>Based on preliminary actual data (as well as estimates for some states), general fund spending totaled $1.08 trillion in fiscal 2022, an 18.3 percent increase over fiscal 2021 levels. This steep increase is driven by a number of factors, including the high rate of inflation; states spending down surplus funds from fiscal 2021</w:t>
      </w:r>
      <w:r>
        <w:t xml:space="preserve"> (and fiscal 2022) </w:t>
      </w:r>
      <w:r w:rsidRPr="002530CE">
        <w:rPr>
          <w:rStyle w:val="StyleUnderline"/>
        </w:rPr>
        <w:t>on one-time investments; a shift from a reliance on federal funds to general funds in certain areas; a lower baseline in fiscal 2021, when some states made budget cuts in anticipation of revenue shortfalls; and the inclusion of federal COVID-19 funds in expenditure amounts for a few states. Adjusted for inflation, general fund spending in fiscal 2022 grew 9.6 percent.</w:t>
      </w:r>
      <w:r>
        <w:t>1 (See Figure 1.)</w:t>
      </w:r>
    </w:p>
    <w:p w14:paraId="3F7BCF73" w14:textId="77777777" w:rsidR="00FA05E0" w:rsidRDefault="00FA05E0" w:rsidP="00FA05E0">
      <w:r w:rsidRPr="005B489D">
        <w:rPr>
          <w:rStyle w:val="StyleUnderline"/>
        </w:rPr>
        <w:t>Enacted Budgets for Fiscal 2023 Call for Significant Increases in Nearly All Program Areas</w:t>
      </w:r>
      <w:r>
        <w:t xml:space="preserve"> Enacted budgets for fiscal 2023 provided for $113.9 billion in additional general fund appropriations compared to enacted levels in fiscal 2022. This is greater than the already sizeable increases projected in governors’ proposed budgets for fiscal 2023, as reported on in NASBO’s Spring 2022 Fiscal Survey. </w:t>
      </w:r>
      <w:proofErr w:type="gramStart"/>
      <w:r>
        <w:t>Similar to</w:t>
      </w:r>
      <w:proofErr w:type="gramEnd"/>
      <w:r>
        <w:t xml:space="preserve"> what transpired last year, </w:t>
      </w:r>
      <w:r w:rsidRPr="002530CE">
        <w:rPr>
          <w:rStyle w:val="StyleUnderline"/>
        </w:rPr>
        <w:t>enacted budgets for fiscal 2023 ended up being considerably larger than what governors proposed, thanks to upward revisions in revenue projections</w:t>
      </w:r>
      <w:r>
        <w:t>. (See Figure 2.)</w:t>
      </w:r>
    </w:p>
    <w:p w14:paraId="0BD253B6" w14:textId="77777777" w:rsidR="00FA05E0" w:rsidRDefault="00FA05E0" w:rsidP="00FA05E0">
      <w:r w:rsidRPr="002530CE">
        <w:rPr>
          <w:rStyle w:val="StyleUnderline"/>
        </w:rPr>
        <w:t>All program areas would see substantial net increases in general fund appropriations according to enacted budgets for fiscal 2023 except transportation, a program area that is primarily funded by special fund sources outside of the general fund</w:t>
      </w:r>
      <w:r>
        <w:t>. The “all other” category received the largest net increase, followed by Medicaid and then K-12 education as the second and third largest recipients of new funds, respectively. Some states provided further detail on enacted appropriation changes in the “all other” category, including both recurring and nonrecurring investments in areas such as disaster response, housing and homelessness, public health and human services, environmental protection, economic development, and information technology. Other one-time expenditures reported in this category and supported largely with surplus funds include supplemental pension payments, deposits to rainy day funds, paying down debt, and capital construction projects.</w:t>
      </w:r>
    </w:p>
    <w:p w14:paraId="711F2B16" w14:textId="77777777" w:rsidR="00844AC0" w:rsidRPr="00844AC0" w:rsidRDefault="00844AC0" w:rsidP="00844AC0"/>
    <w:p w14:paraId="7B353FDB" w14:textId="77777777" w:rsidR="009E1078" w:rsidRDefault="009E1078" w:rsidP="009E1078">
      <w:pPr>
        <w:pStyle w:val="Heading4"/>
      </w:pPr>
      <w:r>
        <w:t xml:space="preserve">Removing TELs solves. Leads to lower debt levels, and boosts economic growth and </w:t>
      </w:r>
      <w:proofErr w:type="gramStart"/>
      <w:r>
        <w:t>development</w:t>
      </w:r>
      <w:proofErr w:type="gramEnd"/>
    </w:p>
    <w:p w14:paraId="44DF9B83" w14:textId="77777777" w:rsidR="009E1078" w:rsidRPr="005955E5" w:rsidRDefault="009E1078" w:rsidP="009E1078">
      <w:r w:rsidRPr="00236BEB">
        <w:t xml:space="preserve">Steven </w:t>
      </w:r>
      <w:r w:rsidRPr="00236BEB">
        <w:rPr>
          <w:rStyle w:val="Style13ptBold"/>
        </w:rPr>
        <w:t>Deller et al 20</w:t>
      </w:r>
      <w:r>
        <w:t xml:space="preserve">, </w:t>
      </w:r>
      <w:r w:rsidRPr="00236BEB">
        <w:t xml:space="preserve">Department of Agricultural and Applied Economics, Center for Community and Economic Development, University of Wisconsin—Madison. </w:t>
      </w:r>
      <w:proofErr w:type="spellStart"/>
      <w:r w:rsidRPr="00236BEB">
        <w:t>Craigh</w:t>
      </w:r>
      <w:proofErr w:type="spellEnd"/>
      <w:r w:rsidRPr="00236BEB">
        <w:t xml:space="preserve"> Maher, 2 School of Public Administration, University of Nebraska-Omaha. and Judith </w:t>
      </w:r>
      <w:proofErr w:type="spellStart"/>
      <w:r w:rsidRPr="00236BEB">
        <w:t>Stallmann</w:t>
      </w:r>
      <w:proofErr w:type="spellEnd"/>
      <w:r w:rsidRPr="00236BEB">
        <w:t>, 3 Departments of Agricultural and Applied Economics, Rural Sociology and Public Affairs, Community Development Extension, University of Missouri.  "Do tax and expenditure limitations exacerbate rising income inequality?" Economics and Politics.</w:t>
      </w:r>
      <w:r>
        <w:t xml:space="preserve"> //</w:t>
      </w:r>
      <w:proofErr w:type="spellStart"/>
      <w:r>
        <w:t>pipk</w:t>
      </w:r>
      <w:proofErr w:type="spellEnd"/>
    </w:p>
    <w:p w14:paraId="515DBA3E" w14:textId="77777777" w:rsidR="009E1078" w:rsidRDefault="009E1078" w:rsidP="009E1078">
      <w:r>
        <w:t xml:space="preserve">Bae and Jung (2011), for example, find that </w:t>
      </w:r>
      <w:r w:rsidRPr="00057141">
        <w:rPr>
          <w:rStyle w:val="StyleUnderline"/>
        </w:rPr>
        <w:t xml:space="preserve">the restrictiveness of </w:t>
      </w:r>
      <w:r w:rsidRPr="00846C54">
        <w:rPr>
          <w:rStyle w:val="StyleUnderline"/>
          <w:highlight w:val="cyan"/>
        </w:rPr>
        <w:t>state TELs has no impact on the overall level of either state expenditures or revenues</w:t>
      </w:r>
      <w:r>
        <w:t xml:space="preserve">. </w:t>
      </w:r>
      <w:proofErr w:type="spellStart"/>
      <w:r>
        <w:t>Amiel</w:t>
      </w:r>
      <w:proofErr w:type="spellEnd"/>
      <w:r>
        <w:t xml:space="preserve"> et al. (2014) find that </w:t>
      </w:r>
      <w:r w:rsidRPr="00846C54">
        <w:rPr>
          <w:rStyle w:val="StyleUnderline"/>
          <w:highlight w:val="cyan"/>
        </w:rPr>
        <w:t>states switch their revenue mix to</w:t>
      </w:r>
      <w:r w:rsidRPr="00057141">
        <w:rPr>
          <w:rStyle w:val="StyleUnderline"/>
        </w:rPr>
        <w:t xml:space="preserve"> more reliance on </w:t>
      </w:r>
      <w:r w:rsidRPr="00846C54">
        <w:rPr>
          <w:rStyle w:val="StyleUnderline"/>
          <w:highlight w:val="cyan"/>
        </w:rPr>
        <w:t>fees and miscellaneous revenues</w:t>
      </w:r>
      <w:r w:rsidRPr="00057141">
        <w:rPr>
          <w:rStyle w:val="StyleUnderline"/>
        </w:rPr>
        <w:t xml:space="preserve"> and the mix of expenditures is affected</w:t>
      </w:r>
      <w:r>
        <w:t xml:space="preserve">. Nicholson-Crotty and Theobald (2011) find that the presence and restrictiveness of TELs influence how states use federal transportation aids; states with no TEL spend 66 cents of state funds for every federal dollar, while those with the most restrictive TELS spend only 36 cents of state funds per federal dollar for transportation. Shi (2017) finds that TELs imposed on local </w:t>
      </w:r>
      <w:proofErr w:type="spellStart"/>
      <w:r>
        <w:t>governrements</w:t>
      </w:r>
      <w:proofErr w:type="spellEnd"/>
      <w:r>
        <w:t xml:space="preserve"> increased the number of special districts, specifically to </w:t>
      </w:r>
      <w:proofErr w:type="gramStart"/>
      <w:r>
        <w:t>side step</w:t>
      </w:r>
      <w:proofErr w:type="gramEnd"/>
      <w:r>
        <w:t xml:space="preserve"> the restrictions of the TEL.</w:t>
      </w:r>
    </w:p>
    <w:p w14:paraId="13BECB92" w14:textId="77777777" w:rsidR="009E1078" w:rsidRDefault="009E1078" w:rsidP="009E1078">
      <w:r w:rsidRPr="006B624A">
        <w:rPr>
          <w:rStyle w:val="StyleUnderline"/>
        </w:rPr>
        <w:t>Tax and expenditure limitations tend not to fulfill the intended outcomes of a smaller and more efficient government because they are, at best, a blunt instrument</w:t>
      </w:r>
      <w:r>
        <w:t xml:space="preserve">. For example, Deller, Maher, </w:t>
      </w:r>
      <w:proofErr w:type="spellStart"/>
      <w:r>
        <w:t>Stallmann</w:t>
      </w:r>
      <w:proofErr w:type="spellEnd"/>
      <w:r>
        <w:t xml:space="preserve">, and </w:t>
      </w:r>
      <w:proofErr w:type="spellStart"/>
      <w:r>
        <w:t>Amiel</w:t>
      </w:r>
      <w:proofErr w:type="spellEnd"/>
      <w:r>
        <w:t xml:space="preserve"> (2013) find that </w:t>
      </w:r>
      <w:r w:rsidRPr="00846C54">
        <w:rPr>
          <w:rStyle w:val="StyleUnderline"/>
          <w:highlight w:val="cyan"/>
        </w:rPr>
        <w:t>states with</w:t>
      </w:r>
      <w:r>
        <w:t xml:space="preserve"> more restrictive </w:t>
      </w:r>
      <w:r w:rsidRPr="00846C54">
        <w:rPr>
          <w:rStyle w:val="StyleUnderline"/>
          <w:highlight w:val="cyan"/>
        </w:rPr>
        <w:t>TELs</w:t>
      </w:r>
      <w:r>
        <w:t xml:space="preserve"> tend to </w:t>
      </w:r>
      <w:r w:rsidRPr="00846C54">
        <w:rPr>
          <w:rStyle w:val="StyleUnderline"/>
          <w:highlight w:val="cyan"/>
        </w:rPr>
        <w:t>have higher levels of debt</w:t>
      </w:r>
      <w:r w:rsidRPr="006B624A">
        <w:rPr>
          <w:rStyle w:val="StyleUnderline"/>
        </w:rPr>
        <w:t>.</w:t>
      </w:r>
      <w:r>
        <w:t xml:space="preserve"> While one could argue that states incur debt to circumvent revenue limits, they find that </w:t>
      </w:r>
      <w:r w:rsidRPr="005955E5">
        <w:rPr>
          <w:rStyle w:val="StyleUnderline"/>
        </w:rPr>
        <w:t xml:space="preserve">states with </w:t>
      </w:r>
      <w:r w:rsidRPr="00846C54">
        <w:rPr>
          <w:rStyle w:val="StyleUnderline"/>
          <w:highlight w:val="cyan"/>
        </w:rPr>
        <w:t>TELs</w:t>
      </w:r>
      <w:r w:rsidRPr="00880D52">
        <w:rPr>
          <w:rStyle w:val="StyleUnderline"/>
        </w:rPr>
        <w:t xml:space="preserve"> with expenditure limits also have higher levels of debt.</w:t>
      </w:r>
      <w:r>
        <w:t xml:space="preserve"> In a study of the impact of</w:t>
      </w:r>
      <w:r w:rsidRPr="00EE61E3">
        <w:t xml:space="preserve"> </w:t>
      </w:r>
      <w:r>
        <w:t xml:space="preserve">TELs on public infrastructure, Deller, </w:t>
      </w:r>
      <w:proofErr w:type="spellStart"/>
      <w:r>
        <w:t>Amiel</w:t>
      </w:r>
      <w:proofErr w:type="spellEnd"/>
      <w:r>
        <w:t xml:space="preserve">, </w:t>
      </w:r>
      <w:proofErr w:type="spellStart"/>
      <w:r>
        <w:t>Stallmann</w:t>
      </w:r>
      <w:proofErr w:type="spellEnd"/>
      <w:r>
        <w:t xml:space="preserve">, and Maher (2013) find that TELs that are more restrictive have a weak negative impact on the percentage of bridges deemed structurally deficient but are associated with an increasing number of bridges deemed functionally obsolete. Benson (1980) found that California's Proposition 13 </w:t>
      </w:r>
      <w:r w:rsidRPr="00846C54">
        <w:rPr>
          <w:rStyle w:val="Emphasis"/>
          <w:highlight w:val="cyan"/>
        </w:rPr>
        <w:t>increased the interest costs of general obligation bonds, a reflection of poorer bond ratings</w:t>
      </w:r>
      <w:r w:rsidRPr="00880D52">
        <w:rPr>
          <w:rStyle w:val="Emphasis"/>
        </w:rPr>
        <w:t>.</w:t>
      </w:r>
      <w:r>
        <w:t xml:space="preserve"> Wagner (2004) reports that </w:t>
      </w:r>
      <w:r w:rsidRPr="00880D52">
        <w:rPr>
          <w:rStyle w:val="StyleUnderline"/>
        </w:rPr>
        <w:t xml:space="preserve">a revenue </w:t>
      </w:r>
      <w:r w:rsidRPr="00846C54">
        <w:rPr>
          <w:rStyle w:val="StyleUnderline"/>
          <w:highlight w:val="cyan"/>
        </w:rPr>
        <w:t xml:space="preserve">TEL lowers credit </w:t>
      </w:r>
      <w:proofErr w:type="gramStart"/>
      <w:r w:rsidRPr="00846C54">
        <w:rPr>
          <w:rStyle w:val="StyleUnderline"/>
          <w:highlight w:val="cyan"/>
        </w:rPr>
        <w:t>ratings</w:t>
      </w:r>
      <w:proofErr w:type="gramEnd"/>
      <w:r>
        <w:t xml:space="preserve"> and an expenditure TEL increases credit ratings of state governments. </w:t>
      </w:r>
      <w:proofErr w:type="spellStart"/>
      <w:r>
        <w:t>Stallmann</w:t>
      </w:r>
      <w:proofErr w:type="spellEnd"/>
      <w:r>
        <w:t xml:space="preserve">, Deller, </w:t>
      </w:r>
      <w:proofErr w:type="spellStart"/>
      <w:r>
        <w:t>Amiel</w:t>
      </w:r>
      <w:proofErr w:type="spellEnd"/>
      <w:r>
        <w:t xml:space="preserve">, and Maher (2012) report similar findings for states using indices of TEL restrictiveness by type of TEL. In complementary studies, Maher, Deller, </w:t>
      </w:r>
      <w:proofErr w:type="spellStart"/>
      <w:r>
        <w:t>Stallmann</w:t>
      </w:r>
      <w:proofErr w:type="spellEnd"/>
      <w:r>
        <w:t>, and Park (2016) found more restrictive TELs on cities have a negative impact on their credit ratings and Maher, Park, and Harrold (2016) found that municipal TELs reduced other postemployment benefit (OPEB) funding ratios.</w:t>
      </w:r>
    </w:p>
    <w:p w14:paraId="19945ADC" w14:textId="77777777" w:rsidR="009E1078" w:rsidRDefault="009E1078" w:rsidP="009E1078">
      <w:r>
        <w:t xml:space="preserve">Tax and expenditure limits have also been promoted as a means of fostering economic growth and development by reducing taxes and improving government efficiency (Poterba &amp; Rueben, 1995). If they promote economic growth and development, one could argue that TELs could improve income equality. The handful of studies that explore the relationship between TELs and economic performance (e.g., Deller &amp; </w:t>
      </w:r>
      <w:proofErr w:type="spellStart"/>
      <w:r>
        <w:t>Stallmann</w:t>
      </w:r>
      <w:proofErr w:type="spellEnd"/>
      <w:r>
        <w:t xml:space="preserve">, 2007; </w:t>
      </w:r>
      <w:proofErr w:type="spellStart"/>
      <w:r>
        <w:t>Stallmann</w:t>
      </w:r>
      <w:proofErr w:type="spellEnd"/>
      <w:r>
        <w:t xml:space="preserve"> &amp; Deller, 2010; </w:t>
      </w:r>
      <w:proofErr w:type="spellStart"/>
      <w:r>
        <w:t>Stallmann</w:t>
      </w:r>
      <w:proofErr w:type="spellEnd"/>
      <w:r>
        <w:t xml:space="preserve"> &amp; Deller, 2011; </w:t>
      </w:r>
      <w:proofErr w:type="spellStart"/>
      <w:r>
        <w:t>Amiel</w:t>
      </w:r>
      <w:proofErr w:type="spellEnd"/>
      <w:r>
        <w:t xml:space="preserve">, Deller, &amp; </w:t>
      </w:r>
      <w:proofErr w:type="spellStart"/>
      <w:r>
        <w:t>Stallmann</w:t>
      </w:r>
      <w:proofErr w:type="spellEnd"/>
      <w:r>
        <w:t xml:space="preserve">, 2012; Deller, </w:t>
      </w:r>
      <w:proofErr w:type="spellStart"/>
      <w:r>
        <w:t>Stallmann</w:t>
      </w:r>
      <w:proofErr w:type="spellEnd"/>
      <w:r>
        <w:t xml:space="preserve"> and Amiel,2012; Bae, Moon, &amp; Jung, 2012) find no such positive relationship and more </w:t>
      </w:r>
      <w:r w:rsidRPr="00846C54">
        <w:rPr>
          <w:rStyle w:val="Emphasis"/>
          <w:highlight w:val="cyan"/>
        </w:rPr>
        <w:t>restrictive TELs</w:t>
      </w:r>
      <w:r>
        <w:t xml:space="preserve"> may </w:t>
      </w:r>
      <w:proofErr w:type="gramStart"/>
      <w:r>
        <w:t xml:space="preserve">actually </w:t>
      </w:r>
      <w:r w:rsidRPr="00846C54">
        <w:rPr>
          <w:rStyle w:val="Emphasis"/>
          <w:highlight w:val="cyan"/>
        </w:rPr>
        <w:t>hinder</w:t>
      </w:r>
      <w:proofErr w:type="gramEnd"/>
      <w:r w:rsidRPr="00846C54">
        <w:rPr>
          <w:rStyle w:val="Emphasis"/>
          <w:highlight w:val="cyan"/>
        </w:rPr>
        <w:t xml:space="preserve"> economic growth and development</w:t>
      </w:r>
      <w:r>
        <w:t xml:space="preserve">. While there is much debate in the literature as to the relationship between economic growth and income inequality (e.g., Panizza, 2002), if such a relationship does exist and TELs have a dampening </w:t>
      </w:r>
      <w:proofErr w:type="spellStart"/>
      <w:r>
        <w:t>affect</w:t>
      </w:r>
      <w:proofErr w:type="spellEnd"/>
      <w:r>
        <w:t xml:space="preserve"> on growth, there could be an indirect link between TELs and income inequality.</w:t>
      </w:r>
    </w:p>
    <w:p w14:paraId="6B6E73F3" w14:textId="77777777" w:rsidR="009E1078" w:rsidRDefault="009E1078" w:rsidP="009E1078"/>
    <w:p w14:paraId="07631CCE" w14:textId="77777777" w:rsidR="009E1078" w:rsidRDefault="009E1078" w:rsidP="009E1078"/>
    <w:p w14:paraId="0054B121" w14:textId="77777777" w:rsidR="009E1078" w:rsidRDefault="009E1078" w:rsidP="009E1078"/>
    <w:p w14:paraId="4770E43E" w14:textId="77777777" w:rsidR="001C4B81" w:rsidRDefault="001C4B81" w:rsidP="001C4B81"/>
    <w:p w14:paraId="3DCBEC8F" w14:textId="744D684E" w:rsidR="002E1FF5" w:rsidRDefault="002E1FF5" w:rsidP="00EB5C17">
      <w:pPr>
        <w:pStyle w:val="Heading3"/>
      </w:pPr>
      <w:r>
        <w:t>2NC---Theory</w:t>
      </w:r>
    </w:p>
    <w:p w14:paraId="2FD1BC25" w14:textId="77777777" w:rsidR="002E1FF5" w:rsidRPr="002E1FF5" w:rsidRDefault="002E1FF5" w:rsidP="002E1FF5"/>
    <w:p w14:paraId="1F41DD65" w14:textId="311E4C5B" w:rsidR="002E1FF5" w:rsidRDefault="002E1FF5" w:rsidP="002E1FF5">
      <w:pPr>
        <w:pStyle w:val="Heading4"/>
      </w:pPr>
      <w:r>
        <w:t xml:space="preserve">Counterplan is </w:t>
      </w:r>
      <w:r w:rsidR="004F17C7">
        <w:t xml:space="preserve">uniquely educational on this </w:t>
      </w:r>
      <w:proofErr w:type="gramStart"/>
      <w:r w:rsidR="004F17C7">
        <w:t>topic</w:t>
      </w:r>
      <w:proofErr w:type="gramEnd"/>
    </w:p>
    <w:p w14:paraId="3CD72982" w14:textId="77777777" w:rsidR="002E1FF5" w:rsidRDefault="002E1FF5" w:rsidP="002E1FF5">
      <w:r w:rsidRPr="00EB5C17">
        <w:t xml:space="preserve">Sarah K. </w:t>
      </w:r>
      <w:r w:rsidRPr="00EB5C17">
        <w:rPr>
          <w:rStyle w:val="Style13ptBold"/>
        </w:rPr>
        <w:t>Bruch et al 23</w:t>
      </w:r>
      <w:r w:rsidRPr="00EB5C17">
        <w:t xml:space="preserve">, associate professor at the Joseph R. Biden, Jr., School of Public Policy and Administration and the Department of Sociology and Criminal Justice at the University of Delaware. Joseph van der </w:t>
      </w:r>
      <w:proofErr w:type="spellStart"/>
      <w:r w:rsidRPr="00EB5C17">
        <w:t>Naald</w:t>
      </w:r>
      <w:proofErr w:type="spellEnd"/>
      <w:r w:rsidRPr="00EB5C17">
        <w:t xml:space="preserve"> is a doctoral candidate in the sociology program at the Graduate Center of the City University of New York. Janet </w:t>
      </w:r>
      <w:proofErr w:type="spellStart"/>
      <w:r w:rsidRPr="00EB5C17">
        <w:t>Gornick</w:t>
      </w:r>
      <w:proofErr w:type="spellEnd"/>
      <w:r w:rsidRPr="00EB5C17">
        <w:t xml:space="preserve"> is a professor of political science and sociology at the Graduate Center of the City University of New York. She also serves as director of the James M. and Cathleen D. Stone Center on Socio-Economic Inequality, which includes the US office of LIS (the cross-national data archive in Luxembourg).</w:t>
      </w:r>
      <w:r>
        <w:t xml:space="preserve"> Social Service Review.  </w:t>
      </w:r>
      <w:proofErr w:type="gramStart"/>
      <w:r>
        <w:t>“</w:t>
      </w:r>
      <w:r w:rsidRPr="00EB5C17">
        <w:t xml:space="preserve"> </w:t>
      </w:r>
      <w:r w:rsidRPr="00427757">
        <w:t>Poverty</w:t>
      </w:r>
      <w:proofErr w:type="gramEnd"/>
      <w:r w:rsidRPr="00427757">
        <w:t xml:space="preserve"> Reduction through Federal and State Policy Mechanisms: Variation over Time and across the United States</w:t>
      </w:r>
      <w:r>
        <w:t xml:space="preserve">” May 2. </w:t>
      </w:r>
      <w:hyperlink r:id="rId26" w:anchor="d21216324e4057" w:history="1">
        <w:r w:rsidRPr="002F76AE">
          <w:rPr>
            <w:rStyle w:val="Hyperlink"/>
          </w:rPr>
          <w:t>https://www.journals.uchicago.edu/doi/full/10.1086/724556#d21216324e4057</w:t>
        </w:r>
      </w:hyperlink>
      <w:r>
        <w:t xml:space="preserve"> //</w:t>
      </w:r>
      <w:proofErr w:type="spellStart"/>
      <w:r>
        <w:t>pipk</w:t>
      </w:r>
      <w:proofErr w:type="spellEnd"/>
    </w:p>
    <w:p w14:paraId="25603473" w14:textId="77777777" w:rsidR="002E1FF5" w:rsidRDefault="002E1FF5" w:rsidP="002E1FF5">
      <w:r w:rsidRPr="00427757">
        <w:rPr>
          <w:rStyle w:val="StyleUnderline"/>
        </w:rPr>
        <w:t xml:space="preserve">The </w:t>
      </w:r>
      <w:r w:rsidRPr="00846C54">
        <w:rPr>
          <w:rStyle w:val="StyleUnderline"/>
          <w:highlight w:val="cyan"/>
        </w:rPr>
        <w:t>efficacy of</w:t>
      </w:r>
      <w:r w:rsidRPr="00427757">
        <w:t xml:space="preserve"> the </w:t>
      </w:r>
      <w:r w:rsidRPr="00846C54">
        <w:rPr>
          <w:rStyle w:val="StyleUnderline"/>
          <w:highlight w:val="cyan"/>
        </w:rPr>
        <w:t xml:space="preserve">US </w:t>
      </w:r>
      <w:proofErr w:type="spellStart"/>
      <w:r w:rsidRPr="00846C54">
        <w:rPr>
          <w:rStyle w:val="StyleUnderline"/>
          <w:highlight w:val="cyan"/>
        </w:rPr>
        <w:t>anti poverty</w:t>
      </w:r>
      <w:proofErr w:type="spellEnd"/>
      <w:r w:rsidRPr="00846C54">
        <w:rPr>
          <w:rStyle w:val="StyleUnderline"/>
          <w:highlight w:val="cyan"/>
        </w:rPr>
        <w:t xml:space="preserve"> policy is shaped</w:t>
      </w:r>
      <w:r w:rsidRPr="00427757">
        <w:t xml:space="preserve"> both by its reliance on categorical sorting and </w:t>
      </w:r>
      <w:r w:rsidRPr="00846C54">
        <w:rPr>
          <w:rStyle w:val="StyleUnderline"/>
          <w:highlight w:val="cyan"/>
        </w:rPr>
        <w:t xml:space="preserve">by its </w:t>
      </w:r>
      <w:r w:rsidRPr="00846C54">
        <w:rPr>
          <w:rStyle w:val="Emphasis"/>
          <w:highlight w:val="cyan"/>
        </w:rPr>
        <w:t>decentralized structure</w:t>
      </w:r>
      <w:r w:rsidRPr="00427757">
        <w:t xml:space="preserve">. </w:t>
      </w:r>
      <w:r w:rsidRPr="00846C54">
        <w:rPr>
          <w:rStyle w:val="StyleUnderline"/>
          <w:highlight w:val="cyan"/>
        </w:rPr>
        <w:t>To examine</w:t>
      </w:r>
      <w:r w:rsidRPr="00427757">
        <w:rPr>
          <w:rStyle w:val="StyleUnderline"/>
        </w:rPr>
        <w:t xml:space="preserve"> the </w:t>
      </w:r>
      <w:r w:rsidRPr="00846C54">
        <w:rPr>
          <w:rStyle w:val="StyleUnderline"/>
          <w:highlight w:val="cyan"/>
        </w:rPr>
        <w:t>implications</w:t>
      </w:r>
      <w:r w:rsidRPr="00427757">
        <w:rPr>
          <w:rStyle w:val="StyleUnderline"/>
        </w:rPr>
        <w:t xml:space="preserve"> of these features, this study introduces a novel </w:t>
      </w:r>
      <w:r w:rsidRPr="00846C54">
        <w:rPr>
          <w:rStyle w:val="StyleUnderline"/>
          <w:highlight w:val="cyan"/>
        </w:rPr>
        <w:t>disaggregat</w:t>
      </w:r>
      <w:r w:rsidRPr="00427757">
        <w:rPr>
          <w:rStyle w:val="StyleUnderline"/>
        </w:rPr>
        <w:t xml:space="preserve">ion of </w:t>
      </w:r>
      <w:r w:rsidRPr="00846C54">
        <w:rPr>
          <w:rStyle w:val="StyleUnderline"/>
          <w:highlight w:val="cyan"/>
        </w:rPr>
        <w:t>poverty reduction instruments into</w:t>
      </w:r>
      <w:r w:rsidRPr="00427757">
        <w:rPr>
          <w:rStyle w:val="StyleUnderline"/>
        </w:rPr>
        <w:t xml:space="preserve"> </w:t>
      </w:r>
      <w:r w:rsidRPr="00427757">
        <w:rPr>
          <w:rStyle w:val="Emphasis"/>
        </w:rPr>
        <w:t>four mechanisms</w:t>
      </w:r>
      <w:r w:rsidRPr="00427757">
        <w:t xml:space="preserve">: </w:t>
      </w:r>
      <w:r w:rsidRPr="00846C54">
        <w:rPr>
          <w:rStyle w:val="Emphasis"/>
          <w:highlight w:val="cyan"/>
        </w:rPr>
        <w:t>federal taxes and</w:t>
      </w:r>
      <w:r w:rsidRPr="00427757">
        <w:t xml:space="preserve"> federal </w:t>
      </w:r>
      <w:r w:rsidRPr="00846C54">
        <w:rPr>
          <w:rStyle w:val="Emphasis"/>
          <w:highlight w:val="cyan"/>
        </w:rPr>
        <w:t>transfers</w:t>
      </w:r>
      <w:r w:rsidRPr="00427757">
        <w:t xml:space="preserve"> (</w:t>
      </w:r>
      <w:r w:rsidRPr="00427757">
        <w:rPr>
          <w:rStyle w:val="Emphasis"/>
        </w:rPr>
        <w:t>centralized</w:t>
      </w:r>
      <w:r w:rsidRPr="00427757">
        <w:t xml:space="preserve">) </w:t>
      </w:r>
      <w:r w:rsidRPr="00846C54">
        <w:rPr>
          <w:rStyle w:val="Emphasis"/>
          <w:highlight w:val="cyan"/>
        </w:rPr>
        <w:t>and state taxes and</w:t>
      </w:r>
      <w:r w:rsidRPr="00427757">
        <w:t xml:space="preserve"> state </w:t>
      </w:r>
      <w:r w:rsidRPr="00846C54">
        <w:rPr>
          <w:rStyle w:val="Emphasis"/>
          <w:highlight w:val="cyan"/>
        </w:rPr>
        <w:t>transfers</w:t>
      </w:r>
      <w:r w:rsidRPr="00427757">
        <w:rPr>
          <w:rStyle w:val="Emphasis"/>
        </w:rPr>
        <w:t xml:space="preserve"> (decentralized</w:t>
      </w:r>
      <w:r w:rsidRPr="00427757">
        <w:t xml:space="preserve">). Using the Current Population Survey’s Annual Social and Economic Supplement data and a sequence-independent decomposition, </w:t>
      </w:r>
      <w:r w:rsidRPr="00427757">
        <w:rPr>
          <w:rStyle w:val="StyleUnderline"/>
        </w:rPr>
        <w:t>this analysis assesses the relative effectiveness of the mechanisms at the national level</w:t>
      </w:r>
      <w:r w:rsidRPr="00427757">
        <w:t xml:space="preserve"> between 1996 and 2016 </w:t>
      </w:r>
      <w:r w:rsidRPr="00427757">
        <w:rPr>
          <w:rStyle w:val="StyleUnderline"/>
        </w:rPr>
        <w:t>and across the states</w:t>
      </w:r>
      <w:r w:rsidRPr="00427757">
        <w:t xml:space="preserve"> in 2016. </w:t>
      </w:r>
      <w:r w:rsidRPr="00427757">
        <w:rPr>
          <w:rStyle w:val="StyleUnderline"/>
        </w:rPr>
        <w:t>The study finds that absolute and relative poverty reduction is greater and has increased over time for working-age households with children compared with those without children</w:t>
      </w:r>
      <w:r w:rsidRPr="00427757">
        <w:t xml:space="preserve">. </w:t>
      </w:r>
      <w:r w:rsidRPr="00A96D65">
        <w:rPr>
          <w:rStyle w:val="StyleUnderline"/>
        </w:rPr>
        <w:t>We</w:t>
      </w:r>
      <w:r w:rsidRPr="00427757">
        <w:t xml:space="preserve"> also </w:t>
      </w:r>
      <w:r w:rsidRPr="00A96D65">
        <w:rPr>
          <w:rStyle w:val="StyleUnderline"/>
        </w:rPr>
        <w:t xml:space="preserve">find cross-state variation in </w:t>
      </w:r>
      <w:r w:rsidRPr="00A96D65">
        <w:t>market- and disposable-income</w:t>
      </w:r>
      <w:r w:rsidRPr="00A96D65">
        <w:rPr>
          <w:rStyle w:val="StyleUnderline"/>
        </w:rPr>
        <w:t xml:space="preserve"> poverty and in the poverty reduction attributable to </w:t>
      </w:r>
      <w:r w:rsidRPr="00980776">
        <w:rPr>
          <w:rStyle w:val="StyleUnderline"/>
        </w:rPr>
        <w:t xml:space="preserve">each of the </w:t>
      </w:r>
      <w:r w:rsidRPr="00980776">
        <w:rPr>
          <w:rStyle w:val="Emphasis"/>
        </w:rPr>
        <w:t xml:space="preserve">redistributive </w:t>
      </w:r>
      <w:r w:rsidRPr="00980776">
        <w:rPr>
          <w:rStyle w:val="StyleUnderline"/>
        </w:rPr>
        <w:t>mechanisms</w:t>
      </w:r>
      <w:r w:rsidRPr="00980776">
        <w:rPr>
          <w:rStyle w:val="Emphasis"/>
        </w:rPr>
        <w:t xml:space="preserve">, </w:t>
      </w:r>
      <w:r w:rsidRPr="00846C54">
        <w:rPr>
          <w:rStyle w:val="Emphasis"/>
          <w:highlight w:val="cyan"/>
        </w:rPr>
        <w:t>highlighting the importance of examining</w:t>
      </w:r>
      <w:r w:rsidRPr="00980776">
        <w:rPr>
          <w:rStyle w:val="Emphasis"/>
        </w:rPr>
        <w:t xml:space="preserve"> </w:t>
      </w:r>
      <w:r w:rsidRPr="00980776">
        <w:rPr>
          <w:rStyle w:val="StyleUnderline"/>
        </w:rPr>
        <w:t>poverty and</w:t>
      </w:r>
      <w:r w:rsidRPr="00980776">
        <w:rPr>
          <w:rStyle w:val="Emphasis"/>
        </w:rPr>
        <w:t xml:space="preserve"> </w:t>
      </w:r>
      <w:r w:rsidRPr="00846C54">
        <w:rPr>
          <w:rStyle w:val="Emphasis"/>
          <w:highlight w:val="cyan"/>
        </w:rPr>
        <w:t xml:space="preserve">antipoverty policy </w:t>
      </w:r>
      <w:proofErr w:type="spellStart"/>
      <w:r w:rsidRPr="00846C54">
        <w:rPr>
          <w:rStyle w:val="Emphasis"/>
          <w:highlight w:val="cyan"/>
        </w:rPr>
        <w:t>subnationally</w:t>
      </w:r>
      <w:proofErr w:type="spellEnd"/>
      <w:r w:rsidRPr="00427757">
        <w:t>.</w:t>
      </w:r>
    </w:p>
    <w:p w14:paraId="76C8D98B" w14:textId="77777777" w:rsidR="002E1FF5" w:rsidRDefault="002E1FF5" w:rsidP="002E1FF5"/>
    <w:p w14:paraId="124EAB6D" w14:textId="77777777" w:rsidR="002E1FF5" w:rsidRDefault="002E1FF5" w:rsidP="002E1FF5"/>
    <w:p w14:paraId="4B81FD31" w14:textId="54EDB16C" w:rsidR="00185676" w:rsidRDefault="00185676" w:rsidP="006A079B">
      <w:pPr>
        <w:pStyle w:val="Heading2"/>
      </w:pPr>
      <w:r>
        <w:t>Revenue Planks</w:t>
      </w:r>
    </w:p>
    <w:p w14:paraId="008362F2" w14:textId="77777777" w:rsidR="00185676" w:rsidRPr="00185676" w:rsidRDefault="00185676" w:rsidP="00185676"/>
    <w:p w14:paraId="00165F14" w14:textId="5DD1A40E" w:rsidR="00AC634F" w:rsidRDefault="00AC634F" w:rsidP="00185676">
      <w:pPr>
        <w:pStyle w:val="Heading3"/>
      </w:pPr>
      <w:r>
        <w:t>1NC---Income Tax</w:t>
      </w:r>
    </w:p>
    <w:p w14:paraId="2C8849A1" w14:textId="77777777" w:rsidR="00AC634F" w:rsidRDefault="00AC634F" w:rsidP="00AC634F">
      <w:pPr>
        <w:pStyle w:val="Heading4"/>
      </w:pPr>
      <w:r>
        <w:t xml:space="preserve">CP generates sufficient revenue without hurting </w:t>
      </w:r>
      <w:proofErr w:type="gramStart"/>
      <w:r>
        <w:t>growth</w:t>
      </w:r>
      <w:proofErr w:type="gramEnd"/>
    </w:p>
    <w:p w14:paraId="037D7FEE" w14:textId="77777777" w:rsidR="00AC634F" w:rsidRDefault="00AC634F" w:rsidP="00AC634F">
      <w:r w:rsidRPr="00AE649A">
        <w:t xml:space="preserve">Wesley </w:t>
      </w:r>
      <w:r w:rsidRPr="00AE649A">
        <w:rPr>
          <w:rStyle w:val="Style13ptBold"/>
        </w:rPr>
        <w:t>Tharpe 19</w:t>
      </w:r>
      <w:r w:rsidRPr="00AE649A">
        <w:t xml:space="preserve">, Senior Advisor for State Tax Policy, Center on Budget and Policy Priorities. February 7. "Raising State Income Tax Rates at the Top a Sensible Way to Fund Key Investments" </w:t>
      </w:r>
      <w:hyperlink r:id="rId27" w:history="1">
        <w:r w:rsidRPr="00550760">
          <w:rPr>
            <w:rStyle w:val="Hyperlink"/>
          </w:rPr>
          <w:t>https://www.cbpp.org/research/state-budget-and-tax/raising-state-income-tax-rates-at-the-top-a-sensible-way-to-fund-key</w:t>
        </w:r>
      </w:hyperlink>
      <w:r>
        <w:t xml:space="preserve"> //</w:t>
      </w:r>
      <w:proofErr w:type="spellStart"/>
      <w:r>
        <w:t>pipk</w:t>
      </w:r>
      <w:proofErr w:type="spellEnd"/>
    </w:p>
    <w:p w14:paraId="00A18A28" w14:textId="77777777" w:rsidR="00AC634F" w:rsidRDefault="00AC634F" w:rsidP="00AC634F">
      <w:r w:rsidRPr="00B0515C">
        <w:t xml:space="preserve">Policymakers in several </w:t>
      </w:r>
      <w:r w:rsidRPr="007558AC">
        <w:rPr>
          <w:rStyle w:val="StyleUnderline"/>
        </w:rPr>
        <w:t>states are reviewing options to strengthen support for public investments crucial to state economies and residents’ well-being</w:t>
      </w:r>
      <w:r w:rsidRPr="00B0515C">
        <w:t xml:space="preserve">, such as quality early education, affordable college, and modern infrastructure. </w:t>
      </w:r>
      <w:r w:rsidRPr="007558AC">
        <w:rPr>
          <w:rStyle w:val="StyleUnderline"/>
        </w:rPr>
        <w:t>One way to raise the necessary funds is to raise personal income tax rates on the highest incomes</w:t>
      </w:r>
      <w:r w:rsidRPr="00B0515C">
        <w:t xml:space="preserve">, a policy choice sometimes referred to as a “millionaires’ tax.” </w:t>
      </w:r>
      <w:r w:rsidRPr="007558AC">
        <w:rPr>
          <w:rStyle w:val="StyleUnderline"/>
        </w:rPr>
        <w:t>This</w:t>
      </w:r>
      <w:r w:rsidRPr="00B0515C">
        <w:t xml:space="preserve"> approach </w:t>
      </w:r>
      <w:r w:rsidRPr="007558AC">
        <w:rPr>
          <w:rStyle w:val="StyleUnderline"/>
        </w:rPr>
        <w:t>makes sense</w:t>
      </w:r>
      <w:r w:rsidRPr="00B0515C">
        <w:t xml:space="preserve">: evidence indicates </w:t>
      </w:r>
      <w:r w:rsidRPr="007558AC">
        <w:rPr>
          <w:rStyle w:val="Emphasis"/>
        </w:rPr>
        <w:t>it can generate substantial revenue for public investments that boost a state’s productivity in the long run, without harming economic growth in the short term</w:t>
      </w:r>
      <w:r w:rsidRPr="00B0515C">
        <w:t>.</w:t>
      </w:r>
    </w:p>
    <w:p w14:paraId="503DD8F4" w14:textId="77777777" w:rsidR="00AC634F" w:rsidRDefault="00AC634F" w:rsidP="00AC634F">
      <w:r w:rsidRPr="00A54C2B">
        <w:rPr>
          <w:rStyle w:val="StyleUnderline"/>
        </w:rPr>
        <w:t>High-income tax increases can generate substantial revenues for investments in people and communities that provide economic and social benefits over the long term</w:t>
      </w:r>
      <w:r>
        <w:t xml:space="preserve">. </w:t>
      </w:r>
      <w:r w:rsidRPr="00A54C2B">
        <w:rPr>
          <w:rStyle w:val="Emphasis"/>
        </w:rPr>
        <w:t>Raising personal income tax rates has allowed states to</w:t>
      </w:r>
      <w:r w:rsidRPr="00A54C2B">
        <w:rPr>
          <w:rStyle w:val="StyleUnderline"/>
        </w:rPr>
        <w:t xml:space="preserve"> prevent or minimize harmful budget cuts or </w:t>
      </w:r>
      <w:r w:rsidRPr="00A54C2B">
        <w:rPr>
          <w:rStyle w:val="Emphasis"/>
        </w:rPr>
        <w:t>invest in ambitious new initiatives</w:t>
      </w:r>
      <w:r>
        <w:t xml:space="preserve"> such as expanding early education, boosting access to college, improving infrastructure, and strengthening “rainy day” funds to prepare for the next recession. Evidence indicates that </w:t>
      </w:r>
      <w:r w:rsidRPr="00A54C2B">
        <w:rPr>
          <w:rStyle w:val="StyleUnderline"/>
        </w:rPr>
        <w:t>sustained support for public building blocks of growth can help states improve their residents’ well-being, expand opportunity and racial equity, and build more prosperous economies over time</w:t>
      </w:r>
      <w:r>
        <w:t>.</w:t>
      </w:r>
    </w:p>
    <w:p w14:paraId="6FB8D9DD" w14:textId="77777777" w:rsidR="00AC634F" w:rsidRDefault="00AC634F" w:rsidP="00AC634F">
      <w:r>
        <w:t xml:space="preserve">Real-world experience suggests that </w:t>
      </w:r>
      <w:r w:rsidRPr="00A54C2B">
        <w:rPr>
          <w:rStyle w:val="StyleUnderline"/>
        </w:rPr>
        <w:t>raising top income tax rates is unlikely to harm state economies in the short run, contrary to some claims.</w:t>
      </w:r>
      <w:r>
        <w:t xml:space="preserve"> </w:t>
      </w:r>
      <w:r w:rsidRPr="00A54C2B">
        <w:rPr>
          <w:rStyle w:val="StyleUnderline"/>
        </w:rPr>
        <w:t>In</w:t>
      </w:r>
      <w:r>
        <w:t xml:space="preserve"> six of eight </w:t>
      </w:r>
      <w:r w:rsidRPr="00A54C2B">
        <w:rPr>
          <w:rStyle w:val="StyleUnderline"/>
        </w:rPr>
        <w:t>states</w:t>
      </w:r>
      <w:r>
        <w:t xml:space="preserve"> (including the District of Columbia) </w:t>
      </w:r>
      <w:r w:rsidRPr="00A54C2B">
        <w:rPr>
          <w:rStyle w:val="StyleUnderline"/>
        </w:rPr>
        <w:t>that enacted millionaires’ taxes</w:t>
      </w:r>
      <w:r>
        <w:t xml:space="preserve"> since 2000, </w:t>
      </w:r>
      <w:r w:rsidRPr="00A54C2B">
        <w:rPr>
          <w:rStyle w:val="StyleUnderline"/>
        </w:rPr>
        <w:t>private-sector economic growth met or exceeded that of neighboring states since enacting the tax increases</w:t>
      </w:r>
      <w:r>
        <w:t>.[1] Seven of the eight states had per capita growth in personal incomes at least as strong as nearby states, and five of the eight added jobs at least as quickly as their neighbors. Only one state that raised its state income tax rates, Connecticut, has seen markedly weaker growth than its neighbors, likely for reasons other than state tax levels.</w:t>
      </w:r>
    </w:p>
    <w:p w14:paraId="218AD4B2" w14:textId="77777777" w:rsidR="00AC634F" w:rsidRDefault="00AC634F" w:rsidP="00AC634F">
      <w:r w:rsidRPr="00A54C2B">
        <w:rPr>
          <w:rStyle w:val="Emphasis"/>
        </w:rPr>
        <w:t>The bulk of mainstream academic research finds that interstate differences in taxes, including differences in top personal income tax rates, have minimal effects on state economic growth</w:t>
      </w:r>
      <w:r>
        <w:t>. Fifteen of the 20 major studies published in academic journals since 2000 that examined the broad economic effect of state personal income tax levels found no significant effects and one of the others produced internally inconsistent results.[2] As a pair of university researchers described in a comprehensive literature review in 2018, “</w:t>
      </w:r>
      <w:r w:rsidRPr="00A54C2B">
        <w:rPr>
          <w:rStyle w:val="StyleUnderline"/>
        </w:rPr>
        <w:t>The vast majority of the academic studies that examined the relationship between state and local taxes and economic growth found little or no effect</w:t>
      </w:r>
      <w:proofErr w:type="gramStart"/>
      <w:r>
        <w:t>.”[</w:t>
      </w:r>
      <w:proofErr w:type="gramEnd"/>
      <w:r>
        <w:t>3]</w:t>
      </w:r>
    </w:p>
    <w:p w14:paraId="660E693C" w14:textId="77777777" w:rsidR="00AC634F" w:rsidRDefault="00AC634F" w:rsidP="00AC634F">
      <w:r>
        <w:t>Millionaires’ Taxes Increasingly Common</w:t>
      </w:r>
    </w:p>
    <w:p w14:paraId="51E801F4" w14:textId="77777777" w:rsidR="00AC634F" w:rsidRDefault="00AC634F" w:rsidP="00AC634F">
      <w:r w:rsidRPr="00A54C2B">
        <w:rPr>
          <w:rStyle w:val="Emphasis"/>
        </w:rPr>
        <w:t>The personal income tax is a major source of revenue for 41 states</w:t>
      </w:r>
      <w:r>
        <w:t xml:space="preserve">. Although some states apply a flat rate to all taxable income, </w:t>
      </w:r>
      <w:r w:rsidRPr="00A54C2B">
        <w:rPr>
          <w:rStyle w:val="StyleUnderline"/>
        </w:rPr>
        <w:t>most states with a personal income tax maintain a graduated structure that applies increasing rates to increasing levels of income</w:t>
      </w:r>
      <w:r>
        <w:t>. Prior to the 2000s, however, special brackets or rates targeted specifically to the highest incomes were relatively uncommon. California levied a temporary 11 percent rate on incomes above about $200,000 from 1991 to 1996,[4] and in 1992 Ohio created a new bracket on incomes above that same level.[5] But as of 2000, only five states had top rates kicking in above $100,000.[6]</w:t>
      </w:r>
    </w:p>
    <w:p w14:paraId="4C9FE1B4" w14:textId="77777777" w:rsidR="00AC634F" w:rsidRDefault="00AC634F" w:rsidP="00AC634F">
      <w:r>
        <w:t>In the early 2000s, policymakers began looking at targeted rate increases for affluent households to help close stubborn budget shortfalls stemming from the 2001 recession, as well as to respond to the increasingly skewed concentration of wealth and income at the top. The top 1 percent of households accounted for 21.5 percent of income in 2017, compared to only 9 percent in 1970.[7] (See Figure 1.)</w:t>
      </w:r>
    </w:p>
    <w:p w14:paraId="2CA29E18" w14:textId="77777777" w:rsidR="00AC634F" w:rsidRDefault="00AC634F" w:rsidP="00AC634F">
      <w:r>
        <w:t>In 2003, New York launched the trend by enacting a three-year surcharge on incomes above $500,000; California and New Jersey followed suit with millionaires’ taxes in 2004.[8] Overall, 12 states (including the District of Columbia) have enacted rate increases targeted to affluent taxpayers since 2000. Nine of them — California, Connecticut, District of Columbia, Hawaii, Maryland, Minnesota, New Jersey, New York, and Oregon — either still have some form of the policy today or maintained it over a span of several years. The other three (Maine, North Carolina, and Wisconsin) either repealed the policy before implementing it, kept the higher rates for only a short span, or undermined them through later income tax cuts. [9]</w:t>
      </w:r>
    </w:p>
    <w:p w14:paraId="7597C12D" w14:textId="77777777" w:rsidR="00AC634F" w:rsidRDefault="00AC634F" w:rsidP="00AC634F">
      <w:r>
        <w:t>In some cases, a so-called “millionaire’s tax” only applies to people with annual incomes of at least $1 million. But the term can also refer to a range of personal income tax increases on the highest incomes, generally starting at about $100,000 or more. For example, California levies top personal income tax rates of 10.3, 11.3, and 12.3 percent on annual individual incomes over $250,000, $300,000, and $500,000, respectively, as well as an additional 1 percent surtax on incomes over $1 million, for a top rate of 13.3 percent on the state’s wealthiest residents. People subject to these top rates still pay the same rates as other state residents on their income below these thresholds, since graduated income tax systems apply different marginal rates to different increments of income, rather than taxing all income at the same rate.[10]</w:t>
      </w:r>
    </w:p>
    <w:p w14:paraId="59DADFF8" w14:textId="77777777" w:rsidR="00AC634F" w:rsidRDefault="00AC634F" w:rsidP="00AC634F">
      <w:r>
        <w:t>In most cases, states created a new bracket or set of brackets above a higher threshold of income, rather than raise existing tax rates. Minnesota, for example, created a new 9.85 percent bracket for top earners, 2 percentage points above its prior top rate, which applied to incomes over about $250,000 for married couples and $150,000 for single filers (adjusted annually for inflation). Hawaii created three new brackets with rates of 9, 10, and 11 percent — a policy that expired in 2015 but was reauthorized in 2018.[11]</w:t>
      </w:r>
    </w:p>
    <w:p w14:paraId="3CCF1A6A" w14:textId="77777777" w:rsidR="00AC634F" w:rsidRDefault="00AC634F" w:rsidP="00AC634F">
      <w:r w:rsidRPr="00974D0E">
        <w:rPr>
          <w:rStyle w:val="StyleUnderline"/>
        </w:rPr>
        <w:t>Even modest rate increases on high incomes can generate significant revenue from a relatively small number of taxpayers</w:t>
      </w:r>
      <w:r>
        <w:t xml:space="preserve"> — namely, the narrow sliver of households at the top of the income distribution, who are most able to afford the cost. In California, just 0.3 percent of taxpayers reported more than $1 million in income when the state’s 2005 millionaires’ tax took effect, yet they accounted for more than 21 percent of all income in the state.[12] When Oregon approved an increase on high-income earners in 2009, the state’s legislative office projected that it would raise nearly $472 million over two years from 2.5 percent of tax filers.[13] And in Maine, a 3 percent surcharge on household incomes above $200,000 that voters approved in 2016 but the legislature repealed and was never implemented would have raised over $320 million a year from fewer than 1 in 40 state taxpayers, according to one estimate.[14]</w:t>
      </w:r>
    </w:p>
    <w:p w14:paraId="70352EDE" w14:textId="77777777" w:rsidR="00AC634F" w:rsidRDefault="00AC634F" w:rsidP="00AC634F">
      <w:r>
        <w:t>This report focuses on the eight states that substantially raised top income tax rates since 2000 and have characteristics allowing for reasonable comparisons to other states: California, Connecticut, the District of Columbia, Maryland, Minnesota, New Jersey, New York, and Oregon. It excludes Hawaii, as is done in some academic studies, since its unique geography complicates comparisons to other states.[15]</w:t>
      </w:r>
    </w:p>
    <w:p w14:paraId="4353FD19" w14:textId="77777777" w:rsidR="00AC634F" w:rsidRDefault="00AC634F" w:rsidP="00AC634F">
      <w:r>
        <w:t>Track Record of Tax-Raising States Rebuts Dire Predictions</w:t>
      </w:r>
    </w:p>
    <w:p w14:paraId="08218B11" w14:textId="77777777" w:rsidR="00AC634F" w:rsidRDefault="00AC634F" w:rsidP="00AC634F">
      <w:r w:rsidRPr="00A16FF7">
        <w:rPr>
          <w:rStyle w:val="StyleUnderline"/>
        </w:rPr>
        <w:t>Proposals to raise state income tax rates often spark contentious debate, with anti-tax activists and commentators predicting widespread economic harm</w:t>
      </w:r>
      <w:r>
        <w:t xml:space="preserve">. </w:t>
      </w:r>
      <w:r w:rsidRPr="00A16FF7">
        <w:rPr>
          <w:rStyle w:val="StyleUnderline"/>
        </w:rPr>
        <w:t>Yet the actual experience of the eight states that have adopted this approach over the past decade belies such claims</w:t>
      </w:r>
      <w:r>
        <w:t>.</w:t>
      </w:r>
    </w:p>
    <w:p w14:paraId="09E0BCA2" w14:textId="77777777" w:rsidR="00AC634F" w:rsidRDefault="00AC634F" w:rsidP="00AC634F">
      <w:r w:rsidRPr="00A16FF7">
        <w:rPr>
          <w:rStyle w:val="StyleUnderline"/>
        </w:rPr>
        <w:t>Available data on common measures of economic health, like job creation and per-person income growth, reveal that these tax-raising states have performed comparably to other states in their region after raising taxes</w:t>
      </w:r>
      <w:r>
        <w:t xml:space="preserve">. </w:t>
      </w:r>
      <w:r w:rsidRPr="00A16FF7">
        <w:rPr>
          <w:rStyle w:val="StyleUnderline"/>
        </w:rPr>
        <w:t>Some states have exceeded their peers across multiple measures, while others have done so only on some measures</w:t>
      </w:r>
      <w:r>
        <w:t>. Only Connecticut has consistently underperformed relative to its neighbors, likely for reasons unrelated to the state’s income tax levels (see box, “Connecticut’s Economic Struggles Likely Reflect Non-Tax Factors”).</w:t>
      </w:r>
    </w:p>
    <w:p w14:paraId="0DB141D6" w14:textId="77777777" w:rsidR="00AC634F" w:rsidRDefault="00AC634F" w:rsidP="00AC634F">
      <w:r>
        <w:t>Six of the eight states enacting millionaires’ taxes since 2000 had economic growth about as good or better than neighboring states while the tax cuts were in effect. (See Figure 2.) In four of the eight states (California, the District of Columbia, Maryland, and New York), growth in private-sector gross domestic product (GDP) exceeded other states in the region. Two other states (Minnesota and Oregon) had about the same growth as their neighbors, while in Connecticut and New Jersey, economic growth fell below that of nearby states.</w:t>
      </w:r>
    </w:p>
    <w:p w14:paraId="64375DF2" w14:textId="77777777" w:rsidR="00AC634F" w:rsidRDefault="00AC634F" w:rsidP="00AC634F">
      <w:r w:rsidRPr="00E750ED">
        <w:t>Seven of the eight states had per capita income growth as least as good as their neighbors after enacting a millionaires’ tax. California, Minnesota, and New York exceeded their neighbors’ average by at least 5 percentage points, while the District of Columbia, Maryland, New Jersey, and Oregon met or slightly surpassed it. Connecticut fell behind on this measure, as it did on private-sector GDP growth. (See Figure 3.)</w:t>
      </w:r>
    </w:p>
    <w:p w14:paraId="3B1BF763" w14:textId="77777777" w:rsidR="00AC634F" w:rsidRDefault="00AC634F" w:rsidP="00AC634F">
      <w:r w:rsidRPr="00E750ED">
        <w:t>Five of the eight states added jobs at least as quickly as their neighbors. New York added jobs at a significantly higher rate than its neighbors; Minnesota slightly exceeded its neighbors; and the District of Columbia, Maryland, and Oregon kept pace with their neighbors. California, despite strong growth in its overall economy, fell slightly below the regional average on jobs due to above-average employment growth in neighboring states such as Arizona and Nevada, though it exceeded the U.S. average.[16] Connecticut and New Jersey trailed behind on job creation after raising tax rates. (See Figure 4.)</w:t>
      </w:r>
    </w:p>
    <w:p w14:paraId="3AEE6F13" w14:textId="77777777" w:rsidR="00AC634F" w:rsidRDefault="00AC634F" w:rsidP="00AC634F">
      <w:r w:rsidRPr="004A219A">
        <w:t>These trends closely resemble these states’ relative economic performance before they raised income tax rates at the top. Six of the eight states had job growth about as good or better than their neighbors in the three years preceding their income tax hike, for example. In the three years before raising taxes in May 2013, for example, Minnesota added jobs at a rate of 4.9 percent, compared to a 5.1 percent average in neighboring states. Since that time, its rate of job growth equals 8.1 percent, versus 6.9 percent in adjacent states. Similar trends play out across the other states and on other economic measures as well.</w:t>
      </w:r>
    </w:p>
    <w:p w14:paraId="68280B22" w14:textId="77777777" w:rsidR="00AC634F" w:rsidRDefault="00AC634F" w:rsidP="00AC634F">
      <w:r>
        <w:t>Research Confirms State Personal Income Taxes Don’t Harm Growth</w:t>
      </w:r>
    </w:p>
    <w:p w14:paraId="63401262" w14:textId="77777777" w:rsidR="00AC634F" w:rsidRDefault="00AC634F" w:rsidP="00AC634F">
      <w:r>
        <w:t>Examining how a state’s tax policies affect its relative economic performance can be difficult, since large-scale trends like job creation and personal income growth depend on many interrelated factors, ranging from local workforce and economic development policies to global forces like trade. Most mainstream academic experts have found that state tax rates may play some role at the margins but likely have little to no impact on states’ overall economic performance. Thus, modest changes to personal income tax rates would be highly unlikely to alter core economic trends.</w:t>
      </w:r>
    </w:p>
    <w:p w14:paraId="2C0E1D2F" w14:textId="77777777" w:rsidR="00AC634F" w:rsidRDefault="00AC634F" w:rsidP="00AC634F">
      <w:r>
        <w:t>Empirical studies conducted by economists over the last 40 years find no consensus that lowering state taxes is a good strategy to boost state economic growth and create jobs, or, conversely, that raising taxes dampens economic growth.[17] Studies focusing on narrower issues, such as the impact of state tax levels on entrepreneurship, also find little to no impact. For instance, a rigorous 2012 study commissioned by the U.S. Small Business Administration found “no evidence of an economically significant effect of state tax portfolios on entrepreneurial activity</w:t>
      </w:r>
      <w:proofErr w:type="gramStart"/>
      <w:r>
        <w:t>.”[</w:t>
      </w:r>
      <w:proofErr w:type="gramEnd"/>
      <w:r>
        <w:t>18]</w:t>
      </w:r>
    </w:p>
    <w:p w14:paraId="348256E9" w14:textId="77777777" w:rsidR="00AC634F" w:rsidRDefault="00AC634F" w:rsidP="00AC634F">
      <w:r>
        <w:t>The same is true of research on personal income taxes. Of the 20 major studies published in academic journals since 2000 that examined the effect of state personal income tax levels on broad measures of state economic growth, 15 found little to no significant effect, and one of the others produced internally inconsistent results.[19] (See Appendix II.)</w:t>
      </w:r>
    </w:p>
    <w:p w14:paraId="074D0363" w14:textId="77777777" w:rsidR="00AC634F" w:rsidRDefault="00AC634F" w:rsidP="00AC634F">
      <w:r>
        <w:t>Another recent analysis comes to similar conclusions. A comprehensive literature review by two Oklahoma State University tax experts in 2018 looked at 36 studies, including ten published since 2014. [20] Regarding state tax policies overall, they concluded:</w:t>
      </w:r>
    </w:p>
    <w:p w14:paraId="30879F2B" w14:textId="77777777" w:rsidR="00AC634F" w:rsidRDefault="00AC634F" w:rsidP="00AC634F">
      <w:r>
        <w:t xml:space="preserve">The overall state and local tax burden is not a major driver of economic growth differences across states. </w:t>
      </w:r>
      <w:proofErr w:type="gramStart"/>
      <w:r>
        <w:t>The vast majority of</w:t>
      </w:r>
      <w:proofErr w:type="gramEnd"/>
      <w:r>
        <w:t xml:space="preserve"> the academic studies that examined the relationship between state and local taxes and economic growth found little or no effect. Where [statistically] significant effects were found, they generally were modest at most.</w:t>
      </w:r>
    </w:p>
    <w:p w14:paraId="5DF202EB" w14:textId="77777777" w:rsidR="00AC634F" w:rsidRDefault="00AC634F" w:rsidP="00AC634F">
      <w:r>
        <w:t>As for state personal income tax taxes in particular, the researchers found evidence suggesting that “states recently reducing their personal income taxes more likely harmed economic growth and states increasing their personal income taxes more likely spurred their economic growth.”</w:t>
      </w:r>
    </w:p>
    <w:p w14:paraId="2866EA75" w14:textId="77777777" w:rsidR="00AC634F" w:rsidRPr="002A0D7B" w:rsidRDefault="00AC634F" w:rsidP="00AC634F">
      <w:pPr>
        <w:rPr>
          <w:rStyle w:val="StyleUnderline"/>
        </w:rPr>
      </w:pPr>
      <w:r w:rsidRPr="002A0D7B">
        <w:rPr>
          <w:rStyle w:val="StyleUnderline"/>
        </w:rPr>
        <w:t>Millionaires’ Taxes Enabling States to Make Crucial Investments</w:t>
      </w:r>
    </w:p>
    <w:p w14:paraId="0F3D525D" w14:textId="77777777" w:rsidR="00AC634F" w:rsidRDefault="00AC634F" w:rsidP="00AC634F">
      <w:r w:rsidRPr="002A0D7B">
        <w:rPr>
          <w:rStyle w:val="StyleUnderline"/>
        </w:rPr>
        <w:t xml:space="preserve">Targeted income tax increases on high-income households can </w:t>
      </w:r>
      <w:r w:rsidRPr="002A0D7B">
        <w:rPr>
          <w:rStyle w:val="Emphasis"/>
        </w:rPr>
        <w:t>generate substantial revenues</w:t>
      </w:r>
      <w:r w:rsidRPr="002A0D7B">
        <w:rPr>
          <w:rStyle w:val="StyleUnderline"/>
        </w:rPr>
        <w:t>, allowing lawmakers to</w:t>
      </w:r>
      <w:r>
        <w:t xml:space="preserve"> minimize harmful cuts when budgets are tight as well as to </w:t>
      </w:r>
      <w:r w:rsidRPr="002A0D7B">
        <w:rPr>
          <w:rStyle w:val="Emphasis"/>
        </w:rPr>
        <w:t>undertake ambitious initiatives</w:t>
      </w:r>
      <w:r>
        <w:t xml:space="preserve"> such as expanding early education, boosting college access, improving infrastructure, and strengthening “rainy day” funds to prepare for the next recession. For example:</w:t>
      </w:r>
    </w:p>
    <w:p w14:paraId="3E8D74AE" w14:textId="77777777" w:rsidR="00AC634F" w:rsidRDefault="00AC634F" w:rsidP="00AC634F">
      <w:r>
        <w:t>Minnesota created a new income tax bracket in 2013 for the state’s richest households, along with other changes such as revisions to the state’s tobacco and corporate taxes. The new revenue-raisers prevented more than $600 million in cuts over two years to services such as schools, natural resource protection, and assistance programs for children and seniors,[21] and allowed lawmakers to invest more in residents and communities.[22] In the years following, revenues from the higher taxes and a rising economy enabled the state to make a number of promising investments in education in particular, including making free full-day kindergarten possible in all public school districts,[23] helping more low-income children afford preschool,[24] bolstering financial aid for low- and middle-income college students, and helping stabilize tuition after years of higher education cuts.[25] The state also boosted spending for economic development, affordable housing, and support for local communities.</w:t>
      </w:r>
    </w:p>
    <w:p w14:paraId="53C20835" w14:textId="77777777" w:rsidR="00AC634F" w:rsidRDefault="00AC634F" w:rsidP="00AC634F">
      <w:r>
        <w:t>California lawmakers have enacted two millionaires’ taxes since 2000. The first, passed in 2004 and still in effect, levies an additional 1 percent on incomes above $1 million to help local communities fund mental health services such as prevention and early treatment. A rigorous study found that the tax, which raises about $2 billion a year, has helped local governments improve mental health outcomes, minimize unnecessary hospitalizations, and reduce homelessness and incarceration.[26]</w:t>
      </w:r>
    </w:p>
    <w:p w14:paraId="55C1C0A7" w14:textId="77777777" w:rsidR="00AC634F" w:rsidRDefault="00AC634F" w:rsidP="00AC634F">
      <w:r>
        <w:t>In 2012, California voters approved Proposition 30, which added new rates of 10.3, 11.3, and 12.3 percent on varying levels of income starting at $250,000, bringing the state’s top rate to 13.3 percent on incomes above $1 million. The state used the resulting revenues to increase investments in K-12 and college access and to rebuild the state’s “rainy day” fund (see box).</w:t>
      </w:r>
    </w:p>
    <w:p w14:paraId="0508B9FD" w14:textId="77777777" w:rsidR="00AC634F" w:rsidRDefault="00AC634F" w:rsidP="00AC634F">
      <w:r>
        <w:t>Other states have used targeted personal income tax increases to close stubborn budget shortfalls and stave off harmful budget cuts, especially in the wake of falling state revenues after the Great Recession.</w:t>
      </w:r>
    </w:p>
    <w:p w14:paraId="3AD3C0EE" w14:textId="77777777" w:rsidR="00AC634F" w:rsidRDefault="00AC634F" w:rsidP="00AC634F">
      <w:r>
        <w:t>In Oregon, lawmakers in 2009 approved two new top rates of 10.8 percent and 11 percent on households above $250,000 and $500,000 in income, respectively; the new rates were merged into a single 9.9 percent top bracket in 2012.[27] The policy responded to a pending $4 billion shortfall caused by prior state tax policy choices and declining revenues. The tax increase, which raised an estimated $349 million over the first two years,[28] was part of a balanced approach to the state’s budget that combined new revenues with federal stimulus funds to reduce the harm to core state services.[29]</w:t>
      </w:r>
    </w:p>
    <w:p w14:paraId="689D2FC4" w14:textId="77777777" w:rsidR="00AC634F" w:rsidRDefault="00AC634F" w:rsidP="00AC634F">
      <w:r>
        <w:t>Several other states raised personal income tax rates on high earners in the wake of the Great Recession to minimize harmful budget cuts caused by falling revenues.[30] The District of Columbia, for instance, added a top rate of 8.95 percent on income over $350,000 in 2011, after personal income tax revenues had fallen by nearly 20 percent over the prior two years.[31]New York in 2009 enacted a millionaires’ tax estimated at the time to raise $4 billion a year, after projected revenues for the coming fiscal year came in $3.2 billion below original expectations.[32] And in 2012, Maryland approved a package of rate increases on six-figure earners designed to prevent more than $400 million in cuts to schools, police, and other services.[33]</w:t>
      </w:r>
    </w:p>
    <w:p w14:paraId="713E7314" w14:textId="77777777" w:rsidR="00AC634F" w:rsidRPr="001214C7" w:rsidRDefault="00AC634F" w:rsidP="00AC634F">
      <w:pPr>
        <w:rPr>
          <w:rStyle w:val="StyleUnderline"/>
        </w:rPr>
      </w:pPr>
      <w:r w:rsidRPr="001214C7">
        <w:rPr>
          <w:rStyle w:val="StyleUnderline"/>
        </w:rPr>
        <w:t>New Revenues for Public Investments Can Help State Economies Long-Term</w:t>
      </w:r>
    </w:p>
    <w:p w14:paraId="03D1B04B" w14:textId="77777777" w:rsidR="00AC634F" w:rsidRDefault="00AC634F" w:rsidP="00AC634F">
      <w:r>
        <w:t xml:space="preserve">Expert research and evidence from other states indicate that </w:t>
      </w:r>
      <w:r w:rsidRPr="001214C7">
        <w:rPr>
          <w:rStyle w:val="StyleUnderline"/>
        </w:rPr>
        <w:t>sustained support for the kinds of public investments made possible by personal income tax increases can help states improve their residents’ well-being and expand opportunity, especially for people of color and other marginalized communities. That, in turn, can help bolster states’ overall economies over time</w:t>
      </w:r>
      <w:r>
        <w:t>.[34]</w:t>
      </w:r>
    </w:p>
    <w:p w14:paraId="1E64E1A0" w14:textId="77777777" w:rsidR="00AC634F" w:rsidRDefault="00AC634F" w:rsidP="00AC634F">
      <w:r>
        <w:t>FIGURE 6</w:t>
      </w:r>
    </w:p>
    <w:p w14:paraId="1F306954" w14:textId="77777777" w:rsidR="00AC634F" w:rsidRDefault="00AC634F" w:rsidP="00AC634F">
      <w:r>
        <w:t>School Funding Increased Lead to Big Gains for Poor Kids</w:t>
      </w:r>
    </w:p>
    <w:p w14:paraId="1F4589D1" w14:textId="77777777" w:rsidR="00AC634F" w:rsidRDefault="00AC634F" w:rsidP="00AC634F">
      <w:r>
        <w:t>High-quality education. Well-funded public schools help children get a good start in life, especially when funding targets investments shown to produce better outcomes, such as early learning programs, smaller classes, and higher teacher quality.[35] One extensive nationwide study examined the relationship between school funding and student outcomes from the early 1970’s to 2011. It found that low-income children whose school districts received a 10 percent increase in per-pupil spending before they began their 12 years of public school had 10 percent higher earnings — and 17 percent higher family income — in adulthood, were likelier to complete high school, and were less likely as adults to be poor.[36] (See Figure 6.)</w:t>
      </w:r>
    </w:p>
    <w:p w14:paraId="49C4E9A5" w14:textId="77777777" w:rsidR="00AC634F" w:rsidRDefault="00AC634F" w:rsidP="00AC634F">
      <w:r>
        <w:t>Long-term economic benefits also flow from investments beyond the K-12 system, especially early education and affordable access to college. High-quality preschool improves not only children’s academic performance but also recipients’ earnings in adulthood, one landmark study found. The analysis estimated that workers’ increased earnings alone outweigh the cost of preschool by more than five times.[37]</w:t>
      </w:r>
    </w:p>
    <w:p w14:paraId="22444D2A" w14:textId="77777777" w:rsidR="00AC634F" w:rsidRDefault="00AC634F" w:rsidP="00AC634F">
      <w:r>
        <w:t>FIGURE 7</w:t>
      </w:r>
    </w:p>
    <w:p w14:paraId="3150FF27" w14:textId="77777777" w:rsidR="00AC634F" w:rsidRDefault="00AC634F" w:rsidP="00AC634F">
      <w:r>
        <w:t>Higher Earned Income Tax Credit or Other Income for Poor Children Expected to Boost Work and Earnings Later in Life</w:t>
      </w:r>
    </w:p>
    <w:p w14:paraId="0B594C2B" w14:textId="77777777" w:rsidR="00AC634F" w:rsidRDefault="00AC634F" w:rsidP="00AC634F">
      <w:r>
        <w:t>Affordable access to higher education is important as well, but many states have underfunded their public colleges, universities, and financial aid in recent years.[38] When students from low- and high-income families attend the same college, they earn similar salaries post-college; this helps level the playing field for students of different backgrounds, providing an added economic boost down the road.[39] These are among the many reasons why states with a better-educated workforce tend to have higher wages and better productivity in the long run, as one study demonstrated.[40]</w:t>
      </w:r>
    </w:p>
    <w:p w14:paraId="7BCBCEA8" w14:textId="77777777" w:rsidR="00AC634F" w:rsidRDefault="00AC634F" w:rsidP="00AC634F">
      <w:r>
        <w:t>Stronger family finances. State economies also thrive when families have enough income to afford the basics, invest in their own well-being, and have enough left over to support local shops, restaurants, and financial institutions. For example, a growing body of research finds that young children in low-income families that get an income boost from policies such as the Earned Income Tax Credit (EITC) tend to do better and go further in school because the additional resources help parents better meet their needs.</w:t>
      </w:r>
    </w:p>
    <w:p w14:paraId="54C3F658" w14:textId="77777777" w:rsidR="00AC634F" w:rsidRDefault="00AC634F" w:rsidP="00AC634F">
      <w:r>
        <w:t>And because children in low-income families that receive income boosts attain more skills and education, they tend to work more and earn more as adults. Each $3,000 a year in added income that children in a poor family receive before age 6 leads to an estimated 135 more working hours a year between ages 25 and 37, plus a 17 percent increase in annual earnings, research has found.[41] (See Figure 7.) This helps communities and the economy because it means more people and families are on solid ground and fewer need help over the long haul.</w:t>
      </w:r>
    </w:p>
    <w:p w14:paraId="7CCE7CC9" w14:textId="77777777" w:rsidR="00AC634F" w:rsidRDefault="00AC634F" w:rsidP="00AC634F">
      <w:r>
        <w:t>Better infrastructure and amenities. States that generate new revenues for targeted investments in key infrastructure systems can create jobs now and improve economic growth and job quality in the long run.[42] Businesses need well-maintained roads, rails, and ports to get products to market, and local communities need well-functioning water, sewer, and traffic systems to maintain health and preserve a high quality of life. Expanding and improving a state’s broadband internet infrastructure can especially help smaller towns and rural areas, where unreliable access to high-speed internet poses a steep obstacle to residents looking to start a business or obtain an online credential. [43]</w:t>
      </w:r>
    </w:p>
    <w:p w14:paraId="18961DAA" w14:textId="77777777" w:rsidR="00AC634F" w:rsidRDefault="00AC634F" w:rsidP="00AC634F">
      <w:r>
        <w:t xml:space="preserve">State investment in other public amenities such as greenspace, libraries, and cultural institutions can give communities a competitive edge, too. Both </w:t>
      </w:r>
      <w:proofErr w:type="gramStart"/>
      <w:r>
        <w:t>entrepreneurs[</w:t>
      </w:r>
      <w:proofErr w:type="gramEnd"/>
      <w:r>
        <w:t>44] and well-educated professionals[45] are often drawn to communities with attractive amenities and pleasant neighborhoods, according to research. And larger companies looking to relocate or expand increasingly take the quality and attractiveness of local services and amenities into account. As Amazon noted in its 2017 search for a second headquarters, “We want to invest in a community where our employees will enjoy living, recreational opportunities, educational opportunities, and an overall high quality of life</w:t>
      </w:r>
      <w:proofErr w:type="gramStart"/>
      <w:r>
        <w:t>.”[</w:t>
      </w:r>
      <w:proofErr w:type="gramEnd"/>
      <w:r>
        <w:t>46]</w:t>
      </w:r>
    </w:p>
    <w:p w14:paraId="51FCB2F0" w14:textId="77777777" w:rsidR="00AC634F" w:rsidRDefault="00AC634F" w:rsidP="00AC634F">
      <w:r>
        <w:t>Improved planning and review. States can maximize the value of new tax revenues by making sure they’re spending existing dollars efficiently. For example, a growing number of states are saving money and improving residents’ well-being by reforming outdated criminal justice systems and dramatically reducing overincarceration. High rates of adult incarceration are costly to families, communities, and state budgets, particularly communities of color overly targeted by harsh incarceration policies.[47]</w:t>
      </w:r>
    </w:p>
    <w:p w14:paraId="66697328" w14:textId="77777777" w:rsidR="00AC634F" w:rsidRDefault="00AC634F" w:rsidP="00AC634F">
      <w:r>
        <w:t>States also can improve their planning practices, such as by strengthening state “rainy day” funds. In hard times, these funds help protect state investments that promote economic growth and provide taxpayers with vital services.</w:t>
      </w:r>
    </w:p>
    <w:p w14:paraId="7673BACB" w14:textId="77777777" w:rsidR="00AC634F" w:rsidRDefault="00AC634F" w:rsidP="00AC634F">
      <w:r>
        <w:t>Millionaires’ Taxes Can Help States Advance Racial Equity</w:t>
      </w:r>
    </w:p>
    <w:p w14:paraId="50D1E1D9" w14:textId="77777777" w:rsidR="00AC634F" w:rsidRPr="003B7F69" w:rsidRDefault="00AC634F" w:rsidP="00AC634F">
      <w:pPr>
        <w:rPr>
          <w:u w:val="single"/>
        </w:rPr>
      </w:pPr>
      <w:r w:rsidRPr="003B7F69">
        <w:rPr>
          <w:rStyle w:val="StyleUnderline"/>
        </w:rPr>
        <w:t>Targeted income tax hikes for high-income residents can allow state lawmakers to</w:t>
      </w:r>
      <w:r>
        <w:t xml:space="preserve"> pursue another crucial goal beyond raising revenue and curbing runaway economic inequality: </w:t>
      </w:r>
      <w:r w:rsidRPr="003B7F69">
        <w:rPr>
          <w:rStyle w:val="StyleUnderline"/>
        </w:rPr>
        <w:t>redress</w:t>
      </w:r>
      <w:r>
        <w:t xml:space="preserve">ing </w:t>
      </w:r>
      <w:r w:rsidRPr="003B7F69">
        <w:rPr>
          <w:rStyle w:val="StyleUnderline"/>
        </w:rPr>
        <w:t>historic and current racial inequities and building a more inclusive economy.</w:t>
      </w:r>
    </w:p>
    <w:p w14:paraId="1ED23573" w14:textId="77777777" w:rsidR="00AC634F" w:rsidRDefault="00AC634F" w:rsidP="00AC634F">
      <w:r>
        <w:t>Although policymakers typically think of tax policy as neutral with respect to race, most state tax structures worsen racial and ethnic inequities because they fall harder on lower-income households, which are disproportionately households of color.[48] Black and Latinx households comprise 22 percent of total U.S. population, for example, yet account for nearly 30 percent of the nation’s poorest households.[49] And in 45 of 50 states, lower-income households pay a larger share of their income in state and local taxes than high-income households.[50] The poorest fifth of U.S. households pay an estimated 11.4 percent of their income in state and local taxes, on average, whereas the top 1 percent of households pay just 7.4 percent.[51]</w:t>
      </w:r>
    </w:p>
    <w:p w14:paraId="01593AAC" w14:textId="77777777" w:rsidR="00AC634F" w:rsidRDefault="00AC634F" w:rsidP="00AC634F">
      <w:r>
        <w:t>Millionaires’ taxes can be a sound strategy for making state tax systems more equitable, for two reasons. First, they fall exclusively on taxpayers at the very top, who are disproportionately white. White families are about three times more likely than Black and Latinx families to be among the nation’s top 1 percent of earners, according to one estimate.[52] Racial gaps in wealth are also stark: white families comprise 65 percent of U.S. households but own an estimated 87 percent of the nation’s wealth, whereas people of color make up 35 percent of all households but own just 13 percent of the wealth.[53] (See Figure 8.)</w:t>
      </w:r>
    </w:p>
    <w:p w14:paraId="572C8D4F" w14:textId="77777777" w:rsidR="00AC634F" w:rsidRDefault="00AC634F" w:rsidP="00AC634F">
      <w:r>
        <w:t>FIGURE 8</w:t>
      </w:r>
    </w:p>
    <w:p w14:paraId="6335EBB6" w14:textId="77777777" w:rsidR="00AC634F" w:rsidRDefault="00AC634F" w:rsidP="00AC634F">
      <w:r>
        <w:t>Wealthiest 10 Percent of White Households Own Two-Thirds of U.S. Wealth</w:t>
      </w:r>
    </w:p>
    <w:p w14:paraId="26A08C85" w14:textId="77777777" w:rsidR="00AC634F" w:rsidRDefault="00AC634F" w:rsidP="00AC634F">
      <w:r>
        <w:t>Second, targeted income tax increases provide resources that lawmakers can use to improve schools in low-income communities of color, invest in safer water systems and other public infrastructure that supports these communities, expand access to affordable health care, and make other crucial investments that reduce racial and ethnic inequities and help build an economy whose benefits are more widely shared. One example is Minnesota, which in 2013 adopted a new income tax rate on very high incomes and used the revenue in part to help more low-income children attend high-quality preschool programs, providing an outsized benefit to young people of color.[54]</w:t>
      </w:r>
    </w:p>
    <w:p w14:paraId="783B9744" w14:textId="77777777" w:rsidR="00AC634F" w:rsidRDefault="00AC634F" w:rsidP="00AC634F"/>
    <w:p w14:paraId="2126FA73" w14:textId="77777777" w:rsidR="00AC634F" w:rsidRDefault="00AC634F" w:rsidP="00AC634F">
      <w:r>
        <w:t>Conclusion</w:t>
      </w:r>
    </w:p>
    <w:p w14:paraId="6F62D33C" w14:textId="77777777" w:rsidR="00AC634F" w:rsidRPr="000E7488" w:rsidRDefault="00AC634F" w:rsidP="00AC634F">
      <w:r>
        <w:t xml:space="preserve">Raising income tax rates on high-income residents can enable states to boost investment in education, infrastructure, and other vital services that strengthen local communities and aid long-term economic growth. Similar policies enacted in the past decade haven’t harmed states’ ability to add jobs or compete with neighboring states, evidence shows. Mainstream experts largely </w:t>
      </w:r>
      <w:proofErr w:type="gramStart"/>
      <w:r>
        <w:t>agree:</w:t>
      </w:r>
      <w:proofErr w:type="gramEnd"/>
      <w:r>
        <w:t xml:space="preserve"> modest shifts in state income tax rates, including rate hikes on high-income residents, are unlikely to affect short-term growth. And the additional revenues may provide economic benefits down the road if they go toward proven, targeted investments like high-quality education and tax credits for working families, which bolster opportunity and help people maximize their economic contributions over time.</w:t>
      </w:r>
    </w:p>
    <w:p w14:paraId="782E8A9B" w14:textId="77777777" w:rsidR="00AC634F" w:rsidRPr="00AC634F" w:rsidRDefault="00AC634F" w:rsidP="00AC634F"/>
    <w:p w14:paraId="5169C14F" w14:textId="0FD1D649" w:rsidR="00185676" w:rsidRDefault="00185676" w:rsidP="00185676">
      <w:pPr>
        <w:pStyle w:val="Heading3"/>
      </w:pPr>
      <w:r>
        <w:t>1NC---Taxes</w:t>
      </w:r>
    </w:p>
    <w:p w14:paraId="6129DE3F" w14:textId="45E05F13" w:rsidR="00185676" w:rsidRDefault="00185676" w:rsidP="00185676">
      <w:pPr>
        <w:pStyle w:val="Heading4"/>
      </w:pPr>
      <w:r>
        <w:t>Counterplan generates</w:t>
      </w:r>
      <w:r w:rsidR="00854597">
        <w:t xml:space="preserve"> sufficient</w:t>
      </w:r>
      <w:r>
        <w:t xml:space="preserve"> </w:t>
      </w:r>
      <w:proofErr w:type="gramStart"/>
      <w:r>
        <w:t>revenue</w:t>
      </w:r>
      <w:proofErr w:type="gramEnd"/>
    </w:p>
    <w:p w14:paraId="1E3FFBF8" w14:textId="77777777" w:rsidR="00185676" w:rsidRDefault="00185676" w:rsidP="00185676">
      <w:r w:rsidRPr="00F94A5D">
        <w:t xml:space="preserve">Michael </w:t>
      </w:r>
      <w:proofErr w:type="spellStart"/>
      <w:r w:rsidRPr="00F94A5D">
        <w:rPr>
          <w:rStyle w:val="Style13ptBold"/>
        </w:rPr>
        <w:t>Leachman</w:t>
      </w:r>
      <w:proofErr w:type="spellEnd"/>
      <w:r w:rsidRPr="00F94A5D">
        <w:rPr>
          <w:rStyle w:val="Style13ptBold"/>
        </w:rPr>
        <w:t xml:space="preserve"> and</w:t>
      </w:r>
      <w:r w:rsidRPr="00F94A5D">
        <w:t xml:space="preserve"> Michael </w:t>
      </w:r>
      <w:proofErr w:type="spellStart"/>
      <w:r w:rsidRPr="00F94A5D">
        <w:rPr>
          <w:rStyle w:val="Style13ptBold"/>
        </w:rPr>
        <w:t>Mazerov</w:t>
      </w:r>
      <w:proofErr w:type="spellEnd"/>
      <w:r w:rsidRPr="00F94A5D">
        <w:rPr>
          <w:rStyle w:val="Style13ptBold"/>
        </w:rPr>
        <w:t xml:space="preserve"> 18</w:t>
      </w:r>
      <w:r w:rsidRPr="00F94A5D">
        <w:t xml:space="preserve">, Senior Vice President for State Fiscal Policy and Co-Leader of the State Fiscal Policy Division. Senior Fellow with the Center's State Fiscal Project. "How Should States Respond to Recent Federal Tax Changes?" Center on Budget and Policy Priorities, January 23. </w:t>
      </w:r>
      <w:hyperlink r:id="rId28" w:history="1">
        <w:r w:rsidRPr="00550760">
          <w:rPr>
            <w:rStyle w:val="Hyperlink"/>
          </w:rPr>
          <w:t>https://www.cbpp.org/sites/default/files/atoms/files/1-23-18sfp.pdf</w:t>
        </w:r>
      </w:hyperlink>
      <w:r>
        <w:t xml:space="preserve"> //</w:t>
      </w:r>
      <w:proofErr w:type="spellStart"/>
      <w:r>
        <w:t>pipk</w:t>
      </w:r>
      <w:proofErr w:type="spellEnd"/>
    </w:p>
    <w:p w14:paraId="17B20DD9" w14:textId="77777777" w:rsidR="00185676" w:rsidRDefault="00185676" w:rsidP="00185676">
      <w:r w:rsidRPr="00AC634F">
        <w:rPr>
          <w:rStyle w:val="StyleUnderline"/>
        </w:rPr>
        <w:t>The federal tax law’s extraordinary windfall for corporations and very high-income households will further concentrate income and wealth at the top. States may wish to reject this approach and to offset some of the windfall for those at the top by raising taxes on these households and investing the resulting revenue in middle- and lower-income Americans</w:t>
      </w:r>
      <w:r w:rsidRPr="0020178B">
        <w:t>. Examples of policies that states could implement include: •Recouping the ill-advised tax break for “pass-through” income. Only a small number of states are coupled to the new federal deduction for pass-through income and will need to decouple from it to avoid losing revenue. But all states could go further and impose a surcharge on pass-through income that will benefit from this unwarranted giveaway, the benefits from which are highly tilted to the wealthy and large companies. 13 Alternatively (or in</w:t>
      </w:r>
      <w:r>
        <w:t xml:space="preserve"> addition), states could follow the example of California, Illinois, and Massachusetts and impose a low-rate tax directly on pass-through businesses. 14</w:t>
      </w:r>
    </w:p>
    <w:p w14:paraId="24C9EC84" w14:textId="77777777" w:rsidR="00185676" w:rsidRDefault="00185676" w:rsidP="00185676">
      <w:r>
        <w:t>Establishing a strong minimum corporate income tax. States could impose a corporate minimum tax based on a measure of in-state corporate activity that is less easily manipulated than corporate profits, such as a minimum tax tied to gross receipts or the “value added” by the firm — basically, the difference between the company’s purchases of inputs from independent firms and its sales of finished products. New Jersey and Kentucky had low-rate gross-receipts-based minimum taxes in the recent past, and New Hampshire still levies a “Business Enterprise Tax” based on the value added by the company.</w:t>
      </w:r>
    </w:p>
    <w:p w14:paraId="71833DA5" w14:textId="77777777" w:rsidR="00185676" w:rsidRDefault="00185676" w:rsidP="00185676">
      <w:r>
        <w:t>Closing loopholes that profitable corporations use to avoid state taxes. The minority of states with corporate income taxes that haven’t yet implemented “combined reporting” — a tax accounting method that treats parent corporations and their subsidiaries as one corporation for tax purposes — could do so. And both they and existing combined reporting states could follow the lead of Oregon, Montana, and several other states and include foreign tax haven subsidiaries under this method. This will help states avoid revenue losses they are otherwise likely to experience because the shift to a territorial corporate tax system at the federal level will increase incentives for multinational corporations to disguise U.S.-earned profits as foreign profits.</w:t>
      </w:r>
    </w:p>
    <w:p w14:paraId="52E0DDE6" w14:textId="77777777" w:rsidR="00185676" w:rsidRPr="0020178B" w:rsidRDefault="00185676" w:rsidP="00185676">
      <w:r>
        <w:t>Raising state-level taxes on the profits of corporations and/or raising rates for the wealthiest households. More than 15 states have cut their corporate income tax rates in recent years in misguided attempts to boost their economies. The tax windfall that corporations will receive under the federal tax legislation creates an opportunity for states to raise state corporate tax rates to fund investments in middle- and low-income families while still leaving corporations paying significantly lower combined state and federal corporate taxes than before. States could similarly raise income tax rates for very high-income residents to recoup some of the windfall these households will receive from the federal tax legislation. States also could consider creating a state surcharge on carried interest to recoup revenue lost at the federal level to a widely derided loophole that allows hedge fund managers and others to pay lower taxes on their income than other wage earners and salaried individuals.</w:t>
      </w:r>
    </w:p>
    <w:p w14:paraId="70649156" w14:textId="77777777" w:rsidR="00185676" w:rsidRDefault="00185676" w:rsidP="00185676">
      <w:pPr>
        <w:pStyle w:val="Heading3"/>
      </w:pPr>
      <w:r>
        <w:t>1NC---Estate Tax</w:t>
      </w:r>
    </w:p>
    <w:p w14:paraId="5D289085" w14:textId="77777777" w:rsidR="00185676" w:rsidRDefault="00185676" w:rsidP="00185676">
      <w:pPr>
        <w:pStyle w:val="Heading4"/>
      </w:pPr>
      <w:r>
        <w:t xml:space="preserve">Counterplan generates revenue and independently solves the </w:t>
      </w:r>
      <w:proofErr w:type="gramStart"/>
      <w:r>
        <w:t>case</w:t>
      </w:r>
      <w:proofErr w:type="gramEnd"/>
    </w:p>
    <w:p w14:paraId="783D16F4" w14:textId="77777777" w:rsidR="00185676" w:rsidRDefault="00185676" w:rsidP="00185676">
      <w:r w:rsidRPr="00B60FF4">
        <w:t xml:space="preserve">Elizabeth </w:t>
      </w:r>
      <w:r w:rsidRPr="00B60FF4">
        <w:rPr>
          <w:rStyle w:val="Style13ptBold"/>
        </w:rPr>
        <w:t>McNichol &amp;</w:t>
      </w:r>
      <w:r w:rsidRPr="00B60FF4">
        <w:t xml:space="preserve"> Samantha </w:t>
      </w:r>
      <w:r w:rsidRPr="00B60FF4">
        <w:rPr>
          <w:rStyle w:val="Style13ptBold"/>
        </w:rPr>
        <w:t>Waxman 21</w:t>
      </w:r>
      <w:r w:rsidRPr="00B60FF4">
        <w:t xml:space="preserve">, Deputy Director of State Policy Research on the State Fiscal Policy team at the Center on Budget and Policy Priorities. "State Taxes on Inherited Wealth" June 21. </w:t>
      </w:r>
      <w:hyperlink r:id="rId29" w:history="1">
        <w:r w:rsidRPr="00525FE7">
          <w:rPr>
            <w:rStyle w:val="Hyperlink"/>
          </w:rPr>
          <w:t>https://www.cbpp.org/research/state-budget-and-tax/state-taxes-on-inherited-wealth</w:t>
        </w:r>
      </w:hyperlink>
      <w:r>
        <w:t xml:space="preserve"> //</w:t>
      </w:r>
      <w:proofErr w:type="spellStart"/>
      <w:r>
        <w:t>pipk</w:t>
      </w:r>
      <w:proofErr w:type="spellEnd"/>
    </w:p>
    <w:p w14:paraId="5AA68A45" w14:textId="77777777" w:rsidR="00185676" w:rsidRDefault="00185676" w:rsidP="00185676">
      <w:r>
        <w:t xml:space="preserve">A historically large share of the nation’s wealth is concentrated in the hands of a few. As a result, millions of American families have less wealth, and therefore fewer opportunities, than they otherwise would. Further, since wealthy people are overwhelmingly white, this extreme wealth concentration reinforces barriers that make it harder for people of color to make gains. </w:t>
      </w:r>
      <w:r w:rsidRPr="001F3337">
        <w:rPr>
          <w:rStyle w:val="StyleUnderline"/>
        </w:rPr>
        <w:t>State taxes on inherited wealth</w:t>
      </w:r>
      <w:r>
        <w:t xml:space="preserve"> — estate and inheritance taxes — </w:t>
      </w:r>
      <w:r w:rsidRPr="001F3337">
        <w:rPr>
          <w:rStyle w:val="StyleUnderline"/>
        </w:rPr>
        <w:t>can be a powerful tool for building a more broadly shared prosperity</w:t>
      </w:r>
      <w:r>
        <w:t>.</w:t>
      </w:r>
    </w:p>
    <w:p w14:paraId="42136E2E" w14:textId="77777777" w:rsidR="00185676" w:rsidRDefault="00185676" w:rsidP="00185676">
      <w:r>
        <w:t xml:space="preserve">Most state and local tax systems are upside down: the wealthy pay a smaller share of their income in these taxes than low- and middle-income people do, even though they are best able to afford it. </w:t>
      </w:r>
      <w:r w:rsidRPr="00AB3AB5">
        <w:rPr>
          <w:rStyle w:val="StyleUnderline"/>
        </w:rPr>
        <w:t>State taxes on inherited wealth</w:t>
      </w:r>
      <w:r>
        <w:t xml:space="preserve"> are an exception, since they apply only to the wealthiest individuals and are the primary state tax on wealth. But these taxes </w:t>
      </w:r>
      <w:r w:rsidRPr="00AB3AB5">
        <w:rPr>
          <w:rStyle w:val="StyleUnderline"/>
        </w:rPr>
        <w:t>have gradually eroded even as wealth and income have become more concentrated</w:t>
      </w:r>
      <w:r>
        <w:t xml:space="preserve">. States with these taxes should maintain them, and </w:t>
      </w:r>
      <w:r w:rsidRPr="00AB3AB5">
        <w:rPr>
          <w:rStyle w:val="StyleUnderline"/>
        </w:rPr>
        <w:t>states without them should consider enacting them — or consider taxing inheritances as income</w:t>
      </w:r>
      <w:r>
        <w:t xml:space="preserve">. </w:t>
      </w:r>
      <w:r w:rsidRPr="00AB3AB5">
        <w:rPr>
          <w:rStyle w:val="StyleUnderline"/>
        </w:rPr>
        <w:t>State taxes on inherited wealth do not depend on the existence of the federal estate tax</w:t>
      </w:r>
      <w:r>
        <w:t>.</w:t>
      </w:r>
    </w:p>
    <w:p w14:paraId="7E76B0E0" w14:textId="77777777" w:rsidR="00185676" w:rsidRDefault="00185676" w:rsidP="00185676">
      <w:r>
        <w:t>What Is an Estate or Inheritance Tax?</w:t>
      </w:r>
    </w:p>
    <w:p w14:paraId="2A6C7D3C" w14:textId="77777777" w:rsidR="00185676" w:rsidRDefault="00185676" w:rsidP="00185676">
      <w:r>
        <w:t>An estate tax is a tax on property (cash, real estate, stock, and other assets) transferred from deceased persons to their heirs. A state applies a tax rate to the value of an estate that exceeds a certain threshold; both the rate and the exemption threshold differ by state. A typical state with an estate tax exempts $2 to $5 million per estate and applies rates ranging from 1 percent to 16 percent to the value of property left to any heirs except a spouse. On average, fewer than 3 percent of estates — very large ones owned by the wealthiest individuals — owe state estate taxes.</w:t>
      </w:r>
    </w:p>
    <w:p w14:paraId="1F0D2404" w14:textId="77777777" w:rsidR="00185676" w:rsidRDefault="00185676" w:rsidP="00185676"/>
    <w:p w14:paraId="562B704A" w14:textId="77777777" w:rsidR="00185676" w:rsidRDefault="00185676" w:rsidP="00185676">
      <w:r>
        <w:t>Some states levy an inheritance tax rather than an estate tax. It is levied on the recipients of the estate (the heirs) instead of the deceased person’s estate.</w:t>
      </w:r>
    </w:p>
    <w:p w14:paraId="5B7FA19F" w14:textId="77777777" w:rsidR="00185676" w:rsidRDefault="00185676" w:rsidP="00185676"/>
    <w:p w14:paraId="4A682954" w14:textId="77777777" w:rsidR="00185676" w:rsidRDefault="00185676" w:rsidP="00185676">
      <w:r>
        <w:t>For example, consider an unmarried woman who owns a house, stocks, cash, and other assets worth $30 million. She leaves those assets to her three children in equal shares upon her death. In a state with an estate tax, the tax is based on the value of the entire $30 million estate and is subtracted from the value of the estate before its distribution to the heirs. In a state with an inheritance tax, the children each receive their $10 million bequest and then owe inheritance tax on that bequest.</w:t>
      </w:r>
    </w:p>
    <w:p w14:paraId="190649D2" w14:textId="77777777" w:rsidR="00185676" w:rsidRDefault="00185676" w:rsidP="00185676"/>
    <w:p w14:paraId="214AA9A6" w14:textId="77777777" w:rsidR="00185676" w:rsidRDefault="00185676" w:rsidP="00185676">
      <w:r>
        <w:t>How Many States Tax Inherited Wealth?</w:t>
      </w:r>
    </w:p>
    <w:p w14:paraId="485B0D29" w14:textId="77777777" w:rsidR="00185676" w:rsidRDefault="00185676" w:rsidP="00185676">
      <w:r>
        <w:t>The federal government has levied an estate tax since 1916. Until 2001, every state also levied a tax that allowed them to “pick up” a share of federal estate tax revenues. The “pick-up” taxes didn’t increase an estate’s total estate tax liability because estates received a dollar-for-dollar federal credit that reduced their federal estate tax liability by the amount they paid to the state. In addition, a dozen states levied a separate inheritance tax.</w:t>
      </w:r>
    </w:p>
    <w:p w14:paraId="6814BF26" w14:textId="77777777" w:rsidR="00185676" w:rsidRDefault="00185676" w:rsidP="00185676"/>
    <w:p w14:paraId="7EF60C29" w14:textId="77777777" w:rsidR="00185676" w:rsidRDefault="00185676" w:rsidP="00185676">
      <w:r>
        <w:t xml:space="preserve">In 2001, policymakers cut the federal estate tax and eliminated the federal credit. Most states had set their estate taxes to equal the amount of the federal credit, and after its elimination, </w:t>
      </w:r>
      <w:proofErr w:type="gramStart"/>
      <w:r>
        <w:t>a number of</w:t>
      </w:r>
      <w:proofErr w:type="gramEnd"/>
      <w:r>
        <w:t xml:space="preserve"> states simply allowed their estate taxes to disappear as well, while others affirmatively either repealed or retained their estate taxes. As of June 2021, only 17 states and the District of Columbia still levy an estate or inheritance tax. (See Figure 1 and Appendix.) These taxes generate about $5 billion per year. (See Table 1.) If all states reinstated an estate tax, they could generate an additional $3.7 to $15 billion. (See Table 2.)</w:t>
      </w:r>
    </w:p>
    <w:p w14:paraId="403D8EA9" w14:textId="77777777" w:rsidR="00185676" w:rsidRDefault="00185676" w:rsidP="00185676"/>
    <w:p w14:paraId="1496B659" w14:textId="77777777" w:rsidR="00185676" w:rsidRDefault="00185676" w:rsidP="00185676">
      <w:r>
        <w:t>Only 17 States Plus the District of Columbia Tax Inherited Wealth</w:t>
      </w:r>
    </w:p>
    <w:p w14:paraId="74DE3CB6" w14:textId="77777777" w:rsidR="00185676" w:rsidRDefault="00185676" w:rsidP="00185676">
      <w:r>
        <w:t>How Does an Estate or Inheritance Tax Affect State Economies?</w:t>
      </w:r>
    </w:p>
    <w:p w14:paraId="0CCBFDCB" w14:textId="77777777" w:rsidR="00185676" w:rsidRDefault="00185676" w:rsidP="00185676">
      <w:r>
        <w:t>States spend most of their tax revenues on three major building blocks of thriving communities: K-12 and higher education, health care, and public safety. State estate and inheritance taxes, by increasing the share of state revenues paid by the wealthy, allow states to keep taxes lower on people with moderate incomes, enabling them to spend more of their incomes to boost local economies.</w:t>
      </w:r>
    </w:p>
    <w:p w14:paraId="08D408FA" w14:textId="77777777" w:rsidR="00185676" w:rsidRDefault="00185676" w:rsidP="00185676"/>
    <w:p w14:paraId="49690316" w14:textId="77777777" w:rsidR="00185676" w:rsidRDefault="00185676" w:rsidP="00185676">
      <w:r>
        <w:t>Little credible evidence supports the claim that an estate or inheritance tax harms a state’s economy by causing large numbers of elderly people to leave the state or by discouraging them from moving there. At most, academic studies find that these taxes have a small effect on the residence decisions of a few, very wealthy elderly people.[1] The revenue loss from reducing or eliminating the estate tax, in contrast, reduces a state’s ability to make public investments that undergird economic growth and help produce an economy that works for everyone. Cuts in state services resulting from eliminating the tax can discourage businesses and individuals — both retirees and others — from remaining in or relocating to a state, likely doing more harm to the state’s economic growth than any small potential benefit from having no estate or inheritance tax.</w:t>
      </w:r>
    </w:p>
    <w:p w14:paraId="5CA83988" w14:textId="77777777" w:rsidR="00185676" w:rsidRDefault="00185676" w:rsidP="00185676"/>
    <w:p w14:paraId="3CB40EBE" w14:textId="77777777" w:rsidR="00185676" w:rsidRDefault="00185676" w:rsidP="00185676">
      <w:r>
        <w:t>States With an Estate or Inheritance Tax Should Maintain It</w:t>
      </w:r>
    </w:p>
    <w:p w14:paraId="62A65DEC" w14:textId="77777777" w:rsidR="00185676" w:rsidRDefault="00185676" w:rsidP="00185676">
      <w:r>
        <w:t xml:space="preserve">States with an estate or inheritance </w:t>
      </w:r>
      <w:proofErr w:type="gramStart"/>
      <w:r>
        <w:t>tax[</w:t>
      </w:r>
      <w:proofErr w:type="gramEnd"/>
      <w:r>
        <w:t>2] should resist efforts to eliminate or significantly weaken it. As noted, claims that these taxes harm a state’s economy lack foundation.</w:t>
      </w:r>
    </w:p>
    <w:p w14:paraId="236E0AD7" w14:textId="77777777" w:rsidR="00185676" w:rsidRDefault="00185676" w:rsidP="00185676"/>
    <w:p w14:paraId="4FA2A75B" w14:textId="77777777" w:rsidR="00185676" w:rsidRDefault="00185676" w:rsidP="00185676">
      <w:r>
        <w:t>States also should protect their estate taxes from the impact of cuts to the federal estate tax. For example, the tax law enacted in late 2017 doubled the federal estate tax exemption, from $11 million to $22 million per couple.[3] At that time, the estate taxes of four states (Connecticut, Hawai'i, Maryland, and Maine) and the District of Columbia were directly linked to the federal exemption, so their estate taxes would have been cut dramatically if they did nothing. Four of the five acted to break this link and avoid further erosion of their estate taxes.</w:t>
      </w:r>
    </w:p>
    <w:p w14:paraId="2DFB3250" w14:textId="77777777" w:rsidR="00185676" w:rsidRDefault="00185676" w:rsidP="00185676"/>
    <w:p w14:paraId="18C60241" w14:textId="77777777" w:rsidR="00185676" w:rsidRDefault="00185676" w:rsidP="00185676">
      <w:r>
        <w:t>States with an estate tax should consider lowering their exemptions to increase the amount of revenue the tax generates. For example, the District of Columbia lowered its estate tax exemption from $5.67 million to $4 million starting in 2021. The revenue boosts could be significant, especially in states that now exempt all but the very largest estates.</w:t>
      </w:r>
    </w:p>
    <w:p w14:paraId="7F512D42" w14:textId="77777777" w:rsidR="00185676" w:rsidRDefault="00185676" w:rsidP="00185676"/>
    <w:p w14:paraId="68423F46" w14:textId="77777777" w:rsidR="00185676" w:rsidRDefault="00185676" w:rsidP="00185676">
      <w:r>
        <w:t>States Without an Estate or Inheritance Tax Should Consider Adopting One</w:t>
      </w:r>
    </w:p>
    <w:p w14:paraId="50825BD6" w14:textId="77777777" w:rsidR="00185676" w:rsidRDefault="00185676" w:rsidP="00185676">
      <w:r>
        <w:t>States that no longer levy an estate or inheritance tax should consider restoring them. One option would be for states to set their estate tax at the same level as the federal credit before the 2001 federal tax law eliminated it. This has the advantage of statutory simplicity but reduces state flexibility.</w:t>
      </w:r>
    </w:p>
    <w:p w14:paraId="340A00CD" w14:textId="77777777" w:rsidR="00185676" w:rsidRDefault="00185676" w:rsidP="00185676"/>
    <w:p w14:paraId="7ECD8D10" w14:textId="77777777" w:rsidR="00185676" w:rsidRDefault="00185676" w:rsidP="00185676">
      <w:r>
        <w:t>States may instead prefer to enact estate taxes that are similar in structure to the pick-up tax but are not linked to the federal estate tax rules — as Connecticut, Hawai’i, Maine, Oregon, Vermont, and Washington have done. States that adopt such a stand-alone tax can customize the tax to fit their state’s circumstances. They can choose exemption levels and tax rates and can exempt certain assets such as farms if they desire.</w:t>
      </w:r>
    </w:p>
    <w:p w14:paraId="2EA9A1CA" w14:textId="77777777" w:rsidR="00185676" w:rsidRDefault="00185676" w:rsidP="00185676"/>
    <w:p w14:paraId="3CB08957" w14:textId="77777777" w:rsidR="00185676" w:rsidRDefault="00185676" w:rsidP="00185676">
      <w:r>
        <w:t>In a few states, however, there are additional barriers to reinstating an estate tax. For example, in California, restoring the estate tax would require a vote of the people; in Alabama, Florida, and Nevada, constitutional provisions restricting the amount of estate tax levied would need to be altered.[4] In addition, some states require a supermajority vote to raise taxes.</w:t>
      </w:r>
    </w:p>
    <w:p w14:paraId="5B91A8F8" w14:textId="77777777" w:rsidR="00185676" w:rsidRDefault="00185676" w:rsidP="00185676"/>
    <w:p w14:paraId="7E0C0E2D" w14:textId="77777777" w:rsidR="00185676" w:rsidRDefault="00185676" w:rsidP="00185676">
      <w:r>
        <w:t>A New Approach to Taxing Inherited Wealth</w:t>
      </w:r>
    </w:p>
    <w:p w14:paraId="2F88DD9E" w14:textId="77777777" w:rsidR="00185676" w:rsidRDefault="00185676" w:rsidP="00185676">
      <w:r>
        <w:t>Another way to preserve and expand state taxes on inherited wealth is to shift from an estate tax (a tax on the value of an estate) to a tax on the heirs to the estate that varies based on their incomes — essentially a form of inheritance tax. (A handful of states currently levy inheritance taxes, but these are generally small and are not tied to income.)</w:t>
      </w:r>
    </w:p>
    <w:p w14:paraId="30AAC73F" w14:textId="77777777" w:rsidR="00185676" w:rsidRDefault="00185676" w:rsidP="00185676"/>
    <w:p w14:paraId="22AA955A" w14:textId="77777777" w:rsidR="00185676" w:rsidRDefault="00185676" w:rsidP="00185676">
      <w:r>
        <w:t>States would tax an heir’s inheritance by treating some or all of it as income subject to the income tax. In a state with a progressive income tax, a wealthier heir would pay a higher tax rate on the inheritance than an heir of lesser means.</w:t>
      </w:r>
    </w:p>
    <w:p w14:paraId="053072E5" w14:textId="77777777" w:rsidR="00185676" w:rsidRDefault="00185676" w:rsidP="00185676"/>
    <w:p w14:paraId="2EB45C76" w14:textId="77777777" w:rsidR="00185676" w:rsidRDefault="00185676" w:rsidP="00185676">
      <w:r>
        <w:t>Economist Lily Batchelder, formerly deputy director of the National Economic Council (and current nominee for Treasury Assistant Secretary for Tax Policy), proposed a federal inheritance tax along these lines in 2007.[5] It would tax an heir’s cumulative lifetime inheritances in excess of $2.3 million at the heir’s federal income tax rate plus 15 percentage points and exempt up to $5,000 in gifts and $25,000 in bequests annually. It was designed to raise as much federal revenue each year as the federal estate tax under 2009 parameters.</w:t>
      </w:r>
    </w:p>
    <w:p w14:paraId="584BE738" w14:textId="77777777" w:rsidR="00185676" w:rsidRDefault="00185676" w:rsidP="00185676"/>
    <w:p w14:paraId="72F22CB4" w14:textId="77777777" w:rsidR="00185676" w:rsidRDefault="00185676" w:rsidP="00185676">
      <w:r>
        <w:t xml:space="preserve">A new approach to a state inheritance tax could be broadly </w:t>
      </w:r>
      <w:proofErr w:type="gramStart"/>
      <w:r>
        <w:t>similar to</w:t>
      </w:r>
      <w:proofErr w:type="gramEnd"/>
      <w:r>
        <w:t xml:space="preserve"> Batchelder’s federal proposal, but adapting it to states would require resolving a number of issues:</w:t>
      </w:r>
    </w:p>
    <w:p w14:paraId="4FA9DBAB" w14:textId="77777777" w:rsidR="00185676" w:rsidRDefault="00185676" w:rsidP="00185676"/>
    <w:p w14:paraId="425D06B6" w14:textId="77777777" w:rsidR="00185676" w:rsidRDefault="00185676" w:rsidP="00185676">
      <w:r>
        <w:t>Should states adopt a uniform set of rates and definition of the tax base (that is, the assets to which the tax would apply)?</w:t>
      </w:r>
    </w:p>
    <w:p w14:paraId="05D75AEC" w14:textId="77777777" w:rsidR="00185676" w:rsidRDefault="00185676" w:rsidP="00185676">
      <w:r>
        <w:t>How should the tax apply to assets inherited from a resident of a different state or left to someone in a different state? The alternatives include (1) taxing all inheritances by residents of the state as income regardless of the decedent’s state, (2) taxing all bequests by residents of the state regardless of the heirs’ state (the executor of the estate would withhold the tax owed by out-of-state heirs and pay it to the state before sending the bequest to the heirs, which is how existing state inheritance taxes operate), or (3) exempting interstate inheritances (with provisions to minimize tax avoidance).</w:t>
      </w:r>
    </w:p>
    <w:p w14:paraId="31C7CB4E" w14:textId="77777777" w:rsidR="00185676" w:rsidRDefault="00185676" w:rsidP="00185676">
      <w:r>
        <w:t>How should a state without an income tax administer the inheritance tax? Such states could set their own rates or use the federal income tax rates. Either way, in place of income tax returns, the state could require executors of estates to file returns listing recipients of bequests and the tax they owe.</w:t>
      </w:r>
    </w:p>
    <w:p w14:paraId="58CF3252" w14:textId="77777777" w:rsidR="00185676" w:rsidRDefault="00185676" w:rsidP="00185676">
      <w:r>
        <w:t>Another way to tax inherited wealth that could either complement an estate or inheritance tax or stand on its own would be to eliminate the “stepped-up basis” for taxing capital gains, which often shields a significant share of accrued gains on inherited assets (such as stocks, bonds, and real estate) from taxation. See CBPP’s issue brief on capital gains for details.[6]</w:t>
      </w:r>
    </w:p>
    <w:p w14:paraId="1FCA5C77" w14:textId="77777777" w:rsidR="00185676" w:rsidRPr="00B60FF4" w:rsidRDefault="00185676" w:rsidP="00185676"/>
    <w:p w14:paraId="74738ECC" w14:textId="77777777" w:rsidR="00E4325E" w:rsidRDefault="00E4325E" w:rsidP="00E4325E">
      <w:pPr>
        <w:pStyle w:val="Heading3"/>
      </w:pPr>
      <w:r>
        <w:t>1NC---Multistate RDF</w:t>
      </w:r>
    </w:p>
    <w:p w14:paraId="103A0B78" w14:textId="3DB5E03F" w:rsidR="00E4325E" w:rsidRDefault="00E4325E" w:rsidP="00E4325E">
      <w:pPr>
        <w:pStyle w:val="Heading4"/>
      </w:pPr>
      <w:r>
        <w:t>Multistate RDF solves</w:t>
      </w:r>
      <w:r w:rsidR="00854597">
        <w:t xml:space="preserve"> fiscal </w:t>
      </w:r>
      <w:proofErr w:type="gramStart"/>
      <w:r w:rsidR="00854597">
        <w:t>volatility</w:t>
      </w:r>
      <w:proofErr w:type="gramEnd"/>
    </w:p>
    <w:p w14:paraId="1DD6A8AD" w14:textId="77777777" w:rsidR="00E4325E" w:rsidRPr="00EF5FDD" w:rsidRDefault="00E4325E" w:rsidP="00E4325E">
      <w:r w:rsidRPr="00675777">
        <w:t xml:space="preserve">John R. </w:t>
      </w:r>
      <w:r w:rsidRPr="00675777">
        <w:rPr>
          <w:rStyle w:val="Style13ptBold"/>
        </w:rPr>
        <w:t>Brooks</w:t>
      </w:r>
      <w:r w:rsidRPr="00675777">
        <w:t xml:space="preserve"> II </w:t>
      </w:r>
      <w:r w:rsidRPr="00675777">
        <w:rPr>
          <w:rStyle w:val="Style13ptBold"/>
        </w:rPr>
        <w:t>14</w:t>
      </w:r>
      <w:r w:rsidRPr="00675777">
        <w:t>, Associate Professor of Law, Georgetown University Law Center. Fiscal Federalism as Risk-Sharing: The Insurance Role of Redistributive Taxation, 68 Tax L. Rev. 89</w:t>
      </w:r>
      <w:r>
        <w:t xml:space="preserve"> //</w:t>
      </w:r>
      <w:proofErr w:type="spellStart"/>
      <w:proofErr w:type="gramStart"/>
      <w:r>
        <w:t>pipk</w:t>
      </w:r>
      <w:proofErr w:type="spellEnd"/>
      <w:proofErr w:type="gramEnd"/>
    </w:p>
    <w:p w14:paraId="4F11C386" w14:textId="77777777" w:rsidR="00E4325E" w:rsidRDefault="00E4325E" w:rsidP="00E4325E">
      <w:r>
        <w:t>Therefore, it may be appropriate, or at least predictable, for a state to perform some of the redistributive function of taxation, but costly for it to perform the insurance function. Given that states use, and likely always will use, redistributive programs such as a progressive income tax, we should ask whether there are ways to limit those insurance costs and thereby mitigate some of the painful revenue volatility faced by states, due in part to their use of income taxes.</w:t>
      </w:r>
    </w:p>
    <w:p w14:paraId="7786BAE0" w14:textId="77777777" w:rsidR="00E4325E" w:rsidRDefault="00E4325E" w:rsidP="00E4325E">
      <w:r w:rsidRPr="00536E9C">
        <w:rPr>
          <w:rStyle w:val="StyleUnderline"/>
        </w:rPr>
        <w:t>Because the costs of limited state-level progressive income taxation are related to insurance, rather than redistribution, there is an obvious way to mitigate those costs, at least theoretically: reinsurance. If it is possible to reinsure the state-level risks of a progressive income tax at the national level, then it would be possible in theory to have our cake and eat (at least some of it) too. We could have some state-level redistribution while still having largely national-level income insurance</w:t>
      </w:r>
      <w:r>
        <w:t>.</w:t>
      </w:r>
    </w:p>
    <w:p w14:paraId="06BC235B" w14:textId="77777777" w:rsidR="00E4325E" w:rsidRDefault="00E4325E" w:rsidP="00E4325E">
      <w:r>
        <w:t xml:space="preserve">In particular, </w:t>
      </w:r>
      <w:r w:rsidRPr="00536E9C">
        <w:rPr>
          <w:rStyle w:val="Emphasis"/>
        </w:rPr>
        <w:t>the most direct theoretical solution would be an actual pooled reinsurance fund, also known as a multistate rainy-day fund</w:t>
      </w:r>
      <w:r>
        <w:t xml:space="preserve"> (RDF). 14 </w:t>
      </w:r>
      <w:r w:rsidRPr="00536E9C">
        <w:rPr>
          <w:rStyle w:val="Emphasis"/>
        </w:rPr>
        <w:t>A multistate RDF could pool the risks of state revenue volatility and provide some of the national risk-pooling benefits of a federal income tax.</w:t>
      </w:r>
      <w:r>
        <w:t xml:space="preserve"> </w:t>
      </w:r>
      <w:r w:rsidRPr="00536E9C">
        <w:rPr>
          <w:rStyle w:val="StyleUnderline"/>
        </w:rPr>
        <w:t xml:space="preserve">Many states already have their own </w:t>
      </w:r>
      <w:proofErr w:type="gramStart"/>
      <w:r w:rsidRPr="00536E9C">
        <w:rPr>
          <w:rStyle w:val="StyleUnderline"/>
        </w:rPr>
        <w:t>independent</w:t>
      </w:r>
      <w:r>
        <w:t xml:space="preserve">  [</w:t>
      </w:r>
      <w:proofErr w:type="gramEnd"/>
      <w:r>
        <w:t xml:space="preserve">*93]  </w:t>
      </w:r>
      <w:r w:rsidRPr="00536E9C">
        <w:rPr>
          <w:rStyle w:val="StyleUnderline"/>
        </w:rPr>
        <w:t>RDFs</w:t>
      </w:r>
      <w:r>
        <w:t xml:space="preserve">, 15 </w:t>
      </w:r>
      <w:r w:rsidRPr="00536E9C">
        <w:rPr>
          <w:rStyle w:val="StyleUnderline"/>
        </w:rPr>
        <w:t>which are essentially a form of self-insurance</w:t>
      </w:r>
      <w:r>
        <w:t xml:space="preserve">. </w:t>
      </w:r>
      <w:r w:rsidRPr="00536E9C">
        <w:rPr>
          <w:rStyle w:val="Emphasis"/>
        </w:rPr>
        <w:t>The multistate RDF would improve on these, much as pooled health or casualty insurance for individuals is superior to self-insurance.</w:t>
      </w:r>
    </w:p>
    <w:p w14:paraId="7AA516D2" w14:textId="77777777" w:rsidR="00E4325E" w:rsidRDefault="00E4325E" w:rsidP="00E4325E">
      <w:r>
        <w:t xml:space="preserve">There has been relatively little work addressing the theory and design of a multistate RDF. What little work there is tends to be limited to basic policy proposals cast as second-best options for managing state fiscal volatility; 16 here, by contrast, I argue that, properly conceived, a multistate RDF would </w:t>
      </w:r>
      <w:proofErr w:type="gramStart"/>
      <w:r>
        <w:t>actually be</w:t>
      </w:r>
      <w:proofErr w:type="gramEnd"/>
      <w:r>
        <w:t xml:space="preserve"> part of an appropriate risk-management system for the combined federal/state tax-and-transfer system.</w:t>
      </w:r>
    </w:p>
    <w:p w14:paraId="2A698268" w14:textId="77777777" w:rsidR="00E4325E" w:rsidRDefault="00E4325E" w:rsidP="00E4325E">
      <w:r>
        <w:t xml:space="preserve">The legal literature tends to be dismissive of a multistate approach, mostly due to the classic insurance problems of adverse selection 17 and moral hazard. 18 This Article suggests some design features to mitigate those problems. </w:t>
      </w:r>
      <w:proofErr w:type="gramStart"/>
      <w:r>
        <w:t>In particular, a</w:t>
      </w:r>
      <w:proofErr w:type="gramEnd"/>
      <w:r>
        <w:t xml:space="preserve"> key insight of this Article is that some </w:t>
      </w:r>
      <w:r w:rsidRPr="009D36F3">
        <w:rPr>
          <w:rStyle w:val="StyleUnderline"/>
        </w:rPr>
        <w:t>moral hazard</w:t>
      </w:r>
      <w:r>
        <w:t xml:space="preserve">, in the form of increasing state reliance on income taxes, </w:t>
      </w:r>
      <w:r w:rsidRPr="009D36F3">
        <w:rPr>
          <w:rStyle w:val="StyleUnderline"/>
        </w:rPr>
        <w:t>is</w:t>
      </w:r>
      <w:r>
        <w:t xml:space="preserve"> a </w:t>
      </w:r>
      <w:r w:rsidRPr="009D36F3">
        <w:rPr>
          <w:rStyle w:val="StyleUnderline"/>
        </w:rPr>
        <w:t>less of a threat when a purpose of the RDF is precisely to help support state-level redistribution</w:t>
      </w:r>
      <w:r>
        <w:t xml:space="preserve">. In the social insurance context, some moral hazard can be "good," in the sense that the behavior being motivated, while costly, is ultimately desirable. 19 Just as health insurance coverage leads to more health care, 20 </w:t>
      </w:r>
      <w:r w:rsidRPr="009D36F3">
        <w:rPr>
          <w:rStyle w:val="Emphasis"/>
        </w:rPr>
        <w:t>state revenue insurance could lead to more redistribution</w:t>
      </w:r>
      <w:r>
        <w:t>. Therefore, moral hazard becomes less of a bug and more of a feature (though one that still requires close management).</w:t>
      </w:r>
    </w:p>
    <w:p w14:paraId="2CBC9D09" w14:textId="4ECB9F6A" w:rsidR="00E4325E" w:rsidRDefault="00854597" w:rsidP="00854597">
      <w:pPr>
        <w:pStyle w:val="Heading3"/>
      </w:pPr>
      <w:r>
        <w:t>2NC---Multistate RDF</w:t>
      </w:r>
    </w:p>
    <w:p w14:paraId="5AE12029" w14:textId="77777777" w:rsidR="00E4325E" w:rsidRDefault="00E4325E" w:rsidP="00E4325E"/>
    <w:p w14:paraId="099BA016" w14:textId="75463F3C" w:rsidR="00E4325E" w:rsidRDefault="00E4325E" w:rsidP="00E4325E">
      <w:pPr>
        <w:pStyle w:val="Heading4"/>
      </w:pPr>
      <w:r>
        <w:t>Multistate RDF</w:t>
      </w:r>
      <w:r w:rsidR="00854597">
        <w:t xml:space="preserve"> </w:t>
      </w:r>
      <w:r w:rsidR="00453B09">
        <w:t xml:space="preserve">solves revenue </w:t>
      </w:r>
      <w:proofErr w:type="gramStart"/>
      <w:r w:rsidR="00453B09">
        <w:t>shortages</w:t>
      </w:r>
      <w:proofErr w:type="gramEnd"/>
    </w:p>
    <w:p w14:paraId="325921A4" w14:textId="77777777" w:rsidR="00E4325E" w:rsidRPr="00EF5FDD" w:rsidRDefault="00E4325E" w:rsidP="00E4325E">
      <w:r w:rsidRPr="00675777">
        <w:t xml:space="preserve">John R. </w:t>
      </w:r>
      <w:r w:rsidRPr="00675777">
        <w:rPr>
          <w:rStyle w:val="Style13ptBold"/>
        </w:rPr>
        <w:t>Brooks</w:t>
      </w:r>
      <w:r w:rsidRPr="00675777">
        <w:t xml:space="preserve"> II </w:t>
      </w:r>
      <w:r w:rsidRPr="00675777">
        <w:rPr>
          <w:rStyle w:val="Style13ptBold"/>
        </w:rPr>
        <w:t>14</w:t>
      </w:r>
      <w:r w:rsidRPr="00675777">
        <w:t>, Associate Professor of Law, Georgetown University Law Center. Fiscal Federalism as Risk-Sharing: The Insurance Role of Redistributive Taxation, 68 Tax L. Rev. 89</w:t>
      </w:r>
      <w:r>
        <w:t xml:space="preserve"> //</w:t>
      </w:r>
      <w:proofErr w:type="spellStart"/>
      <w:proofErr w:type="gramStart"/>
      <w:r>
        <w:t>pipk</w:t>
      </w:r>
      <w:proofErr w:type="spellEnd"/>
      <w:proofErr w:type="gramEnd"/>
    </w:p>
    <w:p w14:paraId="206C6C84" w14:textId="77777777" w:rsidR="00E4325E" w:rsidRDefault="00E4325E" w:rsidP="00E4325E">
      <w:r>
        <w:t xml:space="preserve">With each state effectively on its own, it should come as little surprise that </w:t>
      </w:r>
      <w:r w:rsidRPr="007F6CA7">
        <w:rPr>
          <w:rStyle w:val="StyleUnderline"/>
        </w:rPr>
        <w:t>state RDFs have not been adequate to fund large revenue shortfalls</w:t>
      </w:r>
      <w:r>
        <w:t xml:space="preserve">. 203 </w:t>
      </w:r>
      <w:r w:rsidRPr="007F6CA7">
        <w:rPr>
          <w:rStyle w:val="StyleUnderline"/>
        </w:rPr>
        <w:t xml:space="preserve">Self-insurance against uncorrelated risk is simply not the best move. </w:t>
      </w:r>
      <w:r>
        <w:t>Consider the inefficiencies of requiring every individual to self-insure against untimely death or property loss. This would lead to either massive over-saving or frequent painful consumption shocks. The counter-factual is absurd, simply because the market case for insurance in these situations is so clear that the product has existed for centuries. Why not a similar approach for states?</w:t>
      </w:r>
    </w:p>
    <w:p w14:paraId="7A8BD8EB" w14:textId="77777777" w:rsidR="00E4325E" w:rsidRDefault="00E4325E" w:rsidP="00E4325E">
      <w:r>
        <w:t xml:space="preserve">In its simplest form, </w:t>
      </w:r>
      <w:r w:rsidRPr="0059762D">
        <w:rPr>
          <w:rStyle w:val="Emphasis"/>
        </w:rPr>
        <w:t>a multistate RDF would function essentially like pooled insurance</w:t>
      </w:r>
      <w:r>
        <w:t xml:space="preserve">. </w:t>
      </w:r>
      <w:r w:rsidRPr="0059762D">
        <w:rPr>
          <w:rStyle w:val="StyleUnderline"/>
        </w:rPr>
        <w:t>Each state would pay an annual premium to the multistate RDF</w:t>
      </w:r>
      <w:r>
        <w:t xml:space="preserve"> - much as they already are to their own independent RDFs - </w:t>
      </w:r>
      <w:r w:rsidRPr="0059762D">
        <w:rPr>
          <w:rStyle w:val="StyleUnderline"/>
        </w:rPr>
        <w:t>and the multistate RDF would pay out when revenue dropped below a particular level</w:t>
      </w:r>
      <w:r>
        <w:t xml:space="preserve">. 204 </w:t>
      </w:r>
      <w:r w:rsidRPr="0059762D">
        <w:rPr>
          <w:rStyle w:val="StyleUnderline"/>
        </w:rPr>
        <w:t>The premiums would be based on a combination of overall group risk</w:t>
      </w:r>
      <w:r>
        <w:t xml:space="preserve">, with perhaps some experience-rated variation to account for differences among states. The premiums would also depend on the size of the </w:t>
      </w:r>
      <w:proofErr w:type="gramStart"/>
      <w:r>
        <w:t>particular state's</w:t>
      </w:r>
      <w:proofErr w:type="gramEnd"/>
      <w:r>
        <w:t xml:space="preserve"> budget. The payout itself would be some percentage of the shortfall from expected revenues. For example, if a state is expected to raise (or, alternatively, had spending commitments of) $ 1000 per capita but only raised $ 700 per capita, the RDF could make up the shortfall. Depending on the degree of co-insurance, the RDF might pay out 100% of the $ 300 shortfall, or something less than 100%.</w:t>
      </w:r>
    </w:p>
    <w:p w14:paraId="620DAED3" w14:textId="77777777" w:rsidR="00E4325E" w:rsidRDefault="00E4325E" w:rsidP="00E4325E">
      <w:r>
        <w:t xml:space="preserve"> [*129</w:t>
      </w:r>
      <w:proofErr w:type="gramStart"/>
      <w:r>
        <w:t>]  Premiums</w:t>
      </w:r>
      <w:proofErr w:type="gramEnd"/>
      <w:r>
        <w:t xml:space="preserve"> and payouts would thus depend on the relative size of the state's budget. A state like California would contribute much more, but also get larger payouts, than a state like Rhode Island. This raises the question, however, of when a state becomes large enough to be a sufficiently diverse risk pool on its own. California may be such a state, though further research and modeling would be required to be certain. California is limited in its ability to borrow, however, which means that it is still not as well-equipped to self-insure as it could be.</w:t>
      </w:r>
    </w:p>
    <w:p w14:paraId="41F8AD71" w14:textId="77777777" w:rsidR="00E4325E" w:rsidRDefault="00E4325E" w:rsidP="00E4325E"/>
    <w:p w14:paraId="7C22AB41" w14:textId="77777777" w:rsidR="00E4325E" w:rsidRPr="0080610B" w:rsidRDefault="00E4325E" w:rsidP="00E4325E"/>
    <w:p w14:paraId="5910C955" w14:textId="77777777" w:rsidR="00E4325E" w:rsidRPr="00D11026" w:rsidRDefault="00E4325E" w:rsidP="00E4325E"/>
    <w:p w14:paraId="1E50E702" w14:textId="3A07778C" w:rsidR="007D61AC" w:rsidRDefault="007D61AC" w:rsidP="00185676">
      <w:pPr>
        <w:pStyle w:val="Heading2"/>
      </w:pPr>
      <w:r>
        <w:t>Advantage Counterplans</w:t>
      </w:r>
    </w:p>
    <w:p w14:paraId="23B73F04" w14:textId="77777777" w:rsidR="00D84DA5" w:rsidRPr="00D84DA5" w:rsidRDefault="00D84DA5" w:rsidP="00D84DA5"/>
    <w:p w14:paraId="6ADEC86D" w14:textId="7AFEAA10" w:rsidR="00E30D8B" w:rsidRDefault="00E30D8B" w:rsidP="002E42F0">
      <w:pPr>
        <w:pStyle w:val="Heading3"/>
      </w:pPr>
      <w:r>
        <w:t>1NC---TANF</w:t>
      </w:r>
      <w:r w:rsidR="00BC29E4">
        <w:t xml:space="preserve"> Reform</w:t>
      </w:r>
    </w:p>
    <w:p w14:paraId="069E51BC" w14:textId="16A74CBB" w:rsidR="00E30D8B" w:rsidRDefault="00C07F70" w:rsidP="00C07F70">
      <w:pPr>
        <w:pStyle w:val="Heading4"/>
      </w:pPr>
      <w:r>
        <w:t xml:space="preserve">Redirecting TANF funds solves </w:t>
      </w:r>
      <w:proofErr w:type="gramStart"/>
      <w:r>
        <w:t>equity</w:t>
      </w:r>
      <w:proofErr w:type="gramEnd"/>
    </w:p>
    <w:p w14:paraId="05BD4458" w14:textId="7D52C792" w:rsidR="00C07F70" w:rsidRDefault="00C07F70" w:rsidP="00C07F70">
      <w:r w:rsidRPr="00C07F70">
        <w:t xml:space="preserve">Diana </w:t>
      </w:r>
      <w:r w:rsidRPr="00C07F70">
        <w:rPr>
          <w:rStyle w:val="Style13ptBold"/>
        </w:rPr>
        <w:t>Azevedo-McCaffrey and</w:t>
      </w:r>
      <w:r w:rsidRPr="00C07F70">
        <w:t xml:space="preserve"> Ali </w:t>
      </w:r>
      <w:proofErr w:type="spellStart"/>
      <w:r w:rsidRPr="00C07F70">
        <w:rPr>
          <w:rStyle w:val="Style13ptBold"/>
        </w:rPr>
        <w:t>Safawi</w:t>
      </w:r>
      <w:proofErr w:type="spellEnd"/>
      <w:r w:rsidRPr="00C07F70">
        <w:rPr>
          <w:rStyle w:val="Style13ptBold"/>
        </w:rPr>
        <w:t xml:space="preserve"> 22</w:t>
      </w:r>
      <w:r w:rsidRPr="00C07F70">
        <w:t xml:space="preserve">, Policy Analyst on the Housing and Income Security team and Research Associate with the Family Income Support team, Center on Budget and Policy Priorities. "To Promote Equity, States Should Invest More TANF Dollars in Basic Assistance" January 12. </w:t>
      </w:r>
      <w:hyperlink r:id="rId30" w:history="1">
        <w:r w:rsidRPr="00BC3E4D">
          <w:rPr>
            <w:rStyle w:val="Hyperlink"/>
          </w:rPr>
          <w:t>https://www.cbpp.org/sites/default/files/atoms/files/1-5-17tanf.pdf</w:t>
        </w:r>
      </w:hyperlink>
      <w:r>
        <w:t xml:space="preserve"> //</w:t>
      </w:r>
      <w:proofErr w:type="spellStart"/>
      <w:r>
        <w:t>pipk</w:t>
      </w:r>
      <w:proofErr w:type="spellEnd"/>
    </w:p>
    <w:p w14:paraId="220DE14F" w14:textId="41296A59" w:rsidR="00C07F70" w:rsidRDefault="00BC29E4" w:rsidP="00C07F70">
      <w:r>
        <w:t>Since replacing Aid to Families with Dependent Children (AFDC) in 1996, the Temporary Assistance for Needy Families (TANF) block grant has been the primary source of funding for states to provide basic cash assistance for families with children when they face a crisis or have very low incomes. But states only spend a little over one-fifth of their combined federal and state TANF dollars on basic assistance for families with children, our analysis of the latest data from fiscal year 2020 shows. 2 (See Table 1.) States continue to use their considerable flexibility under TANF to divert funds away from income support for families and toward other, often unrelated, state budget areas. By redirecting the funds back toward cash assistance, however, states could promote racial equity and child well-being.</w:t>
      </w:r>
    </w:p>
    <w:p w14:paraId="6FA01792" w14:textId="7D4493F2" w:rsidR="00BC29E4" w:rsidRDefault="00BC29E4" w:rsidP="00C07F70">
      <w:r>
        <w:t xml:space="preserve">Cash assistance to families struggling to make ends meet can improve children’s long-term outcomes while also providing parents with the cash they need to afford </w:t>
      </w:r>
      <w:proofErr w:type="gramStart"/>
      <w:r>
        <w:t>basic necessities</w:t>
      </w:r>
      <w:proofErr w:type="gramEnd"/>
      <w:r>
        <w:t xml:space="preserve"> such as rent, utilities, personal hygiene products, and school supplies. Over time, however, TANF has significantly declined in performing this core task. Fewer families in need have access to the program (in 2020, for every 100 families living in poverty, only 21 received TANF cash assistance, down from 68 families when TANF was created</w:t>
      </w:r>
      <w:proofErr w:type="gramStart"/>
      <w:r>
        <w:t>3 )</w:t>
      </w:r>
      <w:proofErr w:type="gramEnd"/>
      <w:r>
        <w:t>; benefits leave those who do have access far below the poverty line; and as this report explains, states are spending a shrinking portion of their TANF funds on basic assistance.</w:t>
      </w:r>
    </w:p>
    <w:p w14:paraId="4E63E13C" w14:textId="2E09C8AD" w:rsidR="00BC29E4" w:rsidRDefault="00BC29E4" w:rsidP="00C07F70">
      <w:r>
        <w:t>While TANF provides inadequate support for all children, it does a particularly poor job of aiding Black children, who are more likely than white children to live in states with the weakest TANF programs.4 Black children also experience poverty at twice the rate of white children, owing to historical and continuing barriers to economic opportunity faced by Black families. American Indian and Alaska Native, Asian, and Latinx children also experience higher poverty rates than white children.</w:t>
      </w:r>
    </w:p>
    <w:p w14:paraId="2C48280F" w14:textId="19DC6C15" w:rsidR="00BC29E4" w:rsidRDefault="00BC29E4" w:rsidP="00C07F70">
      <w:r>
        <w:t>States can promote equity by redirecting TANF funds toward providing higher cash benefits to more families. Once TANF cash assistance is strengthened, states should direct remaining TANF funds to well-targeted work programs and supports so that families can address barriers to economic mobility and make the best choices for them. While states can act now, ultimately, federal action to change TANF’s funding structure is needed to ensure that all children live in states that will support them if their families face hard times.</w:t>
      </w:r>
    </w:p>
    <w:p w14:paraId="5B51770C" w14:textId="77777777" w:rsidR="0071570C" w:rsidRPr="0071570C" w:rsidRDefault="0071570C" w:rsidP="00CF0798"/>
    <w:p w14:paraId="0DEECDAA" w14:textId="77777777" w:rsidR="00BC29E4" w:rsidRPr="00C07F70" w:rsidRDefault="00BC29E4" w:rsidP="00C07F70"/>
    <w:p w14:paraId="51A8A2BE" w14:textId="51B6BF89" w:rsidR="00D627FF" w:rsidRDefault="00D627FF" w:rsidP="002E42F0">
      <w:pPr>
        <w:pStyle w:val="Heading3"/>
      </w:pPr>
      <w:r>
        <w:t>1NC---EITC</w:t>
      </w:r>
    </w:p>
    <w:p w14:paraId="33E4ADC6" w14:textId="55CA7631" w:rsidR="00D627FF" w:rsidRDefault="00D37E49" w:rsidP="00D37E49">
      <w:pPr>
        <w:pStyle w:val="Heading4"/>
      </w:pPr>
      <w:r>
        <w:t xml:space="preserve">EITC solves </w:t>
      </w:r>
      <w:proofErr w:type="gramStart"/>
      <w:r>
        <w:t>equity</w:t>
      </w:r>
      <w:proofErr w:type="gramEnd"/>
    </w:p>
    <w:p w14:paraId="5417473C" w14:textId="7424FFD7" w:rsidR="00D37E49" w:rsidRDefault="00D37E49" w:rsidP="00D37E49">
      <w:r w:rsidRPr="00D37E49">
        <w:rPr>
          <w:rStyle w:val="Style13ptBold"/>
        </w:rPr>
        <w:t>CBPP 21</w:t>
      </w:r>
      <w:r w:rsidRPr="00D37E49">
        <w:t xml:space="preserve">, Center on Budget and Policy Priorities. October 13. "Policy Basics: State Earned Income Tax Credits" </w:t>
      </w:r>
      <w:hyperlink r:id="rId31" w:history="1">
        <w:r w:rsidR="00AA0311" w:rsidRPr="00525FE7">
          <w:rPr>
            <w:rStyle w:val="Hyperlink"/>
          </w:rPr>
          <w:t>https://www.cbpp.org/research/state-budget-and-tax/state-earned-income-tax-credits</w:t>
        </w:r>
      </w:hyperlink>
      <w:r w:rsidR="00AA0311">
        <w:t xml:space="preserve"> //</w:t>
      </w:r>
      <w:proofErr w:type="spellStart"/>
      <w:proofErr w:type="gramStart"/>
      <w:r w:rsidR="00AA0311">
        <w:t>pipk</w:t>
      </w:r>
      <w:proofErr w:type="spellEnd"/>
      <w:proofErr w:type="gramEnd"/>
    </w:p>
    <w:p w14:paraId="449649DE" w14:textId="77777777" w:rsidR="00AA0311" w:rsidRPr="00AA0311" w:rsidRDefault="00AA0311" w:rsidP="00AA0311">
      <w:r w:rsidRPr="00AA0311">
        <w:t xml:space="preserve">To help more families make ends meet during the pandemic and beyond, states without an EITC should adopt one and those with one should continue expanding them. States can enact new credits, those that have not yet made their credits fully available to all families (sometimes called making the credits “fully refundable”) like the federal credit should do so, and all states should expand beyond the parameters of the federal credit to provide equitable treatment for those who are currently excluded. That includes increasing the credit and eliminating age restrictions for working adults without children in the </w:t>
      </w:r>
      <w:proofErr w:type="gramStart"/>
      <w:r w:rsidRPr="00AA0311">
        <w:t>home, and</w:t>
      </w:r>
      <w:proofErr w:type="gramEnd"/>
      <w:r w:rsidRPr="00AA0311">
        <w:t xml:space="preserve"> ending the exclusion for individuals using Individual Tax Identification Numbers.</w:t>
      </w:r>
    </w:p>
    <w:p w14:paraId="37DA6F3A" w14:textId="77777777" w:rsidR="006C50E5" w:rsidRDefault="006C50E5" w:rsidP="006C50E5">
      <w:r>
        <w:t>EITCs Boost Family Income, Communities, and Local Economies</w:t>
      </w:r>
    </w:p>
    <w:p w14:paraId="51E9CCAD" w14:textId="77777777" w:rsidR="006C50E5" w:rsidRDefault="006C50E5" w:rsidP="006C50E5">
      <w:r>
        <w:t>The benefits of EITCs go far beyond the dollars that a family receives. By helping families keep up basic spending, EITCs help families build economic security, improve longer-term health and well-being, and boost state and local economies. Especially during a pandemic that is hitting workers paid low wages the hardest, EITCs are a critical lifeline to struggling families, while also helping communities and the economy.</w:t>
      </w:r>
    </w:p>
    <w:p w14:paraId="115DE311" w14:textId="77777777" w:rsidR="006C50E5" w:rsidRDefault="006C50E5" w:rsidP="006C50E5"/>
    <w:p w14:paraId="59DCAAF6" w14:textId="77777777" w:rsidR="006C50E5" w:rsidRDefault="006C50E5" w:rsidP="006C50E5">
      <w:r>
        <w:t>That’s because they:</w:t>
      </w:r>
    </w:p>
    <w:p w14:paraId="01978A85" w14:textId="77777777" w:rsidR="006C50E5" w:rsidRDefault="006C50E5" w:rsidP="006C50E5"/>
    <w:p w14:paraId="2DA9BA0E" w14:textId="77777777" w:rsidR="006C50E5" w:rsidRDefault="006C50E5" w:rsidP="006C50E5">
      <w:r>
        <w:t>Reduce poverty, especially in communities of color. Over 7 million children in working families lived below the official poverty line (about $26,000 for a family of four) in 2019. As described above, the federal EITC is one of the nation’s most effective tools for reducing the struggles of working families and children. While state and federal EITCs serve a larger number of white households than any other racial or ethnic group (due in part to population size), they serve a larger proportion of people of color relative to their population size, and the EITC has an outsized impact in reducing poverty rates for households of color.</w:t>
      </w:r>
    </w:p>
    <w:p w14:paraId="6353653B" w14:textId="77777777" w:rsidR="006C50E5" w:rsidRDefault="006C50E5" w:rsidP="006C50E5">
      <w:r>
        <w:t>Help children and families thrive. Research suggests that the income from tax credits like the EITC helps children from birth through retirement. For instance, research indicates that children in families receiving such income do better in school, are likelier to attend college, and are likely to earn more as adults, and women especially are likely to see a more secure retirement. The EITC may play a particularly important role in helping children of color improve their math achievement, complete high school, and enroll in college, the research suggests.</w:t>
      </w:r>
    </w:p>
    <w:p w14:paraId="115F6BFB" w14:textId="77777777" w:rsidR="006C50E5" w:rsidRDefault="006C50E5" w:rsidP="006C50E5">
      <w:r>
        <w:t>Boost local economies. Tax credits like the EITC help families who earn low wages to keep up basic spending. Families spend their EITCs partially to make bigger purchases such as a car repair or a security deposit on an apartment, and partially on routine bills and expenses. Working to raise household income and make sure families can access the supports they need is therefore a straightforward way for policymakers to foster more long-term innovation, as well as to improve children’s outcomes and their likelihood of future success more generally.</w:t>
      </w:r>
    </w:p>
    <w:p w14:paraId="14BE2865" w14:textId="77777777" w:rsidR="006C50E5" w:rsidRDefault="006C50E5" w:rsidP="006C50E5">
      <w:r>
        <w:t>Thirty states plus the District of Columbia and Puerto Rico have enacted state EITCs to help people paid low wages meet basic needs.</w:t>
      </w:r>
    </w:p>
    <w:p w14:paraId="5E20649C" w14:textId="77777777" w:rsidR="006C50E5" w:rsidRDefault="006C50E5" w:rsidP="006C50E5"/>
    <w:p w14:paraId="1BC09E2C" w14:textId="77777777" w:rsidR="006C50E5" w:rsidRDefault="006C50E5" w:rsidP="006C50E5">
      <w:r>
        <w:t>States Can Help Families Claim EITCs</w:t>
      </w:r>
    </w:p>
    <w:p w14:paraId="4780CE3C" w14:textId="77777777" w:rsidR="006C50E5" w:rsidRDefault="006C50E5" w:rsidP="006C50E5">
      <w:r>
        <w:t>Given the credit’s benefits for families, communities, and local economies, states have a vested interest in assisting residents in claiming EITCs. States can take steps to lower barriers to claiming the EITC and other tax credits for which families are eligible by:</w:t>
      </w:r>
    </w:p>
    <w:p w14:paraId="33749BE1" w14:textId="77777777" w:rsidR="006C50E5" w:rsidRDefault="006C50E5" w:rsidP="006C50E5"/>
    <w:p w14:paraId="1B8CD68A" w14:textId="77777777" w:rsidR="006C50E5" w:rsidRDefault="006C50E5" w:rsidP="006C50E5">
      <w:r>
        <w:t>Supporting free tax preparation through VITA (Volunteer Income Tax Assistance). VITA sites provide free, high-quality tax preparation services to people earning less than about $57,000, which includes virtually all families eligible for EITCs. The IRS coordinates the program, and VITA tax preparers maintain a high degree of accuracy in tax preparation. States can help provide matched funding and assist VITA sites with community outreach, including virtual options during the COVID-19 pandemic.</w:t>
      </w:r>
    </w:p>
    <w:p w14:paraId="050F30C5" w14:textId="77777777" w:rsidR="006C50E5" w:rsidRDefault="006C50E5" w:rsidP="006C50E5">
      <w:r>
        <w:t>Pre-filling and sending tax forms for families likely to be eligible for EITCs. States receive wage, withholding, and other tax information from employers. They can pre-fill a state tax form with this information and send it to families to assist in preparing their taxes.</w:t>
      </w:r>
    </w:p>
    <w:p w14:paraId="32CEB7BB" w14:textId="77777777" w:rsidR="006C50E5" w:rsidRDefault="006C50E5" w:rsidP="006C50E5">
      <w:r>
        <w:t>Educating the public. States can advertise the availability of EITCs through newspapers and social media, on the radio, and by other means.</w:t>
      </w:r>
    </w:p>
    <w:p w14:paraId="3F6B4352" w14:textId="77777777" w:rsidR="006C50E5" w:rsidRDefault="006C50E5" w:rsidP="006C50E5">
      <w:r>
        <w:t xml:space="preserve">Conducting targeted outreach to families already enrolled in economic security programs. Many families who are eligible for SNAP, Medicaid, and other economic security programs may be eligible for the EITC and other state tax credits. State agencies can send notices and </w:t>
      </w:r>
      <w:proofErr w:type="gramStart"/>
      <w:r>
        <w:t>reminders, and</w:t>
      </w:r>
      <w:proofErr w:type="gramEnd"/>
      <w:r>
        <w:t xml:space="preserve"> can connect enrolled families to trusted tax preparation assistance providers like VITA and the United Way.</w:t>
      </w:r>
    </w:p>
    <w:p w14:paraId="71538C65" w14:textId="11027815" w:rsidR="00AA0311" w:rsidRPr="00D37E49" w:rsidRDefault="006C50E5" w:rsidP="006C50E5">
      <w:r>
        <w:t>Requiring employers to share information about the EITC with employees. States can require employers to send or post notices to their employees who may qualify for the EITC. States with such requirements for either the federal or state EITC include California, Illinois, Louisiana, Maryland, New Jersey, Oregon, Texas, and Virginia.</w:t>
      </w:r>
    </w:p>
    <w:p w14:paraId="4195B589" w14:textId="3541D4F7" w:rsidR="00E52646" w:rsidRDefault="00E52646" w:rsidP="002E42F0">
      <w:pPr>
        <w:pStyle w:val="Heading3"/>
      </w:pPr>
      <w:r>
        <w:t>2NC---EITC</w:t>
      </w:r>
    </w:p>
    <w:p w14:paraId="7519DF8F" w14:textId="6490DC23" w:rsidR="00E52646" w:rsidRDefault="001A25E6" w:rsidP="001A25E6">
      <w:pPr>
        <w:pStyle w:val="Heading4"/>
      </w:pPr>
      <w:r>
        <w:t xml:space="preserve">State EITC solves and is easy to </w:t>
      </w:r>
      <w:proofErr w:type="gramStart"/>
      <w:r>
        <w:t>administer</w:t>
      </w:r>
      <w:proofErr w:type="gramEnd"/>
    </w:p>
    <w:p w14:paraId="2F44CC8A" w14:textId="7930F54E" w:rsidR="001A25E6" w:rsidRDefault="001A25E6" w:rsidP="001A25E6">
      <w:r w:rsidRPr="001A25E6">
        <w:t xml:space="preserve">Erica </w:t>
      </w:r>
      <w:r w:rsidRPr="00524B5F">
        <w:rPr>
          <w:rStyle w:val="Style13ptBold"/>
        </w:rPr>
        <w:t xml:space="preserve">Williams et al </w:t>
      </w:r>
      <w:proofErr w:type="gramStart"/>
      <w:r w:rsidRPr="00524B5F">
        <w:rPr>
          <w:rStyle w:val="Style13ptBold"/>
        </w:rPr>
        <w:t>20,</w:t>
      </w:r>
      <w:r w:rsidRPr="001A25E6">
        <w:t xml:space="preserve">  (</w:t>
      </w:r>
      <w:proofErr w:type="gramEnd"/>
      <w:r w:rsidRPr="001A25E6">
        <w:t xml:space="preserve">former Vice President for State Fiscal Policy at CBPP), Samantha Waxman (Deputy Director of State Policy Research) and Julian Legendre (State Visual Communications Specialist with the State Fiscal Policy (SFP) team.). March 9. "States Can Adopt or Expand Earned Income Tax Credits to Build a Stronger Future Economy" </w:t>
      </w:r>
      <w:hyperlink r:id="rId32" w:history="1">
        <w:r w:rsidR="0091190D" w:rsidRPr="00525FE7">
          <w:rPr>
            <w:rStyle w:val="Hyperlink"/>
          </w:rPr>
          <w:t>https://www.cbpp.org/research/state-budget-and-tax/states-can-adopt-or-expand-earned-income-tax-credits-to-build-a</w:t>
        </w:r>
      </w:hyperlink>
      <w:r w:rsidR="0091190D">
        <w:t xml:space="preserve"> //</w:t>
      </w:r>
      <w:proofErr w:type="spellStart"/>
      <w:r w:rsidR="0091190D">
        <w:t>pipk</w:t>
      </w:r>
      <w:proofErr w:type="spellEnd"/>
    </w:p>
    <w:p w14:paraId="31630797" w14:textId="77777777" w:rsidR="00232DD4" w:rsidRDefault="00232DD4" w:rsidP="00232DD4">
      <w:r>
        <w:t>Twenty-nine states plus the District of Columbia and Puerto Rico have enacted their own version of the federal Earned Income Tax Credit (EITC) to help working families paid low wages meet basic needs.[1] State EITCs build on the success of the federal credit by keeping people on the job and reducing hardship for working families and children. This important state support also extends the federal EITC’s well-documented long-term positive effects on children, boosting the nation’s future economic prospects.</w:t>
      </w:r>
    </w:p>
    <w:p w14:paraId="3F26FDD4" w14:textId="77777777" w:rsidR="00232DD4" w:rsidRDefault="00232DD4" w:rsidP="00232DD4"/>
    <w:p w14:paraId="31BF0D28" w14:textId="55E47CEA" w:rsidR="0091190D" w:rsidRDefault="00232DD4" w:rsidP="00232DD4">
      <w:r>
        <w:t xml:space="preserve">State EITCs provide extensive benefits to children, families, and communities, and are straightforward to administer and to claim. Lawmakers in states without their own EITC should consider enacting one. The small number of states that have cut back or eliminated their credits should reverse course, and states that have limited their credits so that they only offset income taxes should expand them to help offset the full range of state and local taxes that low-income households pay. In addition, states can extend the credit to certain workers who currently are ineligible, such as younger workers not claiming children and those filing taxes with an individual taxpayer identification number (ITIN). </w:t>
      </w:r>
      <w:proofErr w:type="gramStart"/>
      <w:r>
        <w:t>All of</w:t>
      </w:r>
      <w:proofErr w:type="gramEnd"/>
      <w:r>
        <w:t xml:space="preserve"> these steps would substantially enhance the credits’ impact. By investing in an EITC, states can make a real difference in the lives of working families with low and moderate incomes.</w:t>
      </w:r>
    </w:p>
    <w:p w14:paraId="3541AC25" w14:textId="77777777" w:rsidR="00524B5F" w:rsidRDefault="00524B5F" w:rsidP="00232DD4"/>
    <w:p w14:paraId="4D0290CF" w14:textId="0C8DAC2A" w:rsidR="00524B5F" w:rsidRDefault="00BE272C" w:rsidP="00524B5F">
      <w:pPr>
        <w:pStyle w:val="Heading4"/>
      </w:pPr>
      <w:r>
        <w:t>Boosts work</w:t>
      </w:r>
    </w:p>
    <w:p w14:paraId="4A9E147E" w14:textId="77777777" w:rsidR="00524B5F" w:rsidRDefault="00524B5F" w:rsidP="00524B5F">
      <w:r w:rsidRPr="001A25E6">
        <w:t xml:space="preserve">Erica </w:t>
      </w:r>
      <w:r w:rsidRPr="00524B5F">
        <w:rPr>
          <w:rStyle w:val="Style13ptBold"/>
        </w:rPr>
        <w:t xml:space="preserve">Williams et al </w:t>
      </w:r>
      <w:proofErr w:type="gramStart"/>
      <w:r w:rsidRPr="00524B5F">
        <w:rPr>
          <w:rStyle w:val="Style13ptBold"/>
        </w:rPr>
        <w:t>20</w:t>
      </w:r>
      <w:r w:rsidRPr="001A25E6">
        <w:t>,  (</w:t>
      </w:r>
      <w:proofErr w:type="gramEnd"/>
      <w:r w:rsidRPr="001A25E6">
        <w:t xml:space="preserve">former Vice President for State Fiscal Policy at CBPP), Samantha Waxman (Deputy Director of State Policy Research) and Julian Legendre (State Visual Communications Specialist with the State Fiscal Policy (SFP) team.). March 9. "States Can Adopt or Expand Earned Income Tax Credits to Build a Stronger Future Economy" </w:t>
      </w:r>
      <w:hyperlink r:id="rId33" w:history="1">
        <w:r w:rsidRPr="00525FE7">
          <w:rPr>
            <w:rStyle w:val="Hyperlink"/>
          </w:rPr>
          <w:t>https://www.cbpp.org/research/state-budget-and-tax/states-can-adopt-or-expand-earned-income-tax-credits-to-build-a</w:t>
        </w:r>
      </w:hyperlink>
      <w:r>
        <w:t xml:space="preserve"> //</w:t>
      </w:r>
      <w:proofErr w:type="spellStart"/>
      <w:r>
        <w:t>pipk</w:t>
      </w:r>
      <w:proofErr w:type="spellEnd"/>
    </w:p>
    <w:p w14:paraId="1CC1A434" w14:textId="77777777" w:rsidR="00A44E48" w:rsidRDefault="00A44E48" w:rsidP="00A44E48">
      <w:r>
        <w:t>EITC’s Design Boosts Work</w:t>
      </w:r>
    </w:p>
    <w:p w14:paraId="4BC52D1E" w14:textId="77777777" w:rsidR="00A44E48" w:rsidRDefault="00A44E48" w:rsidP="00A44E48">
      <w:r>
        <w:t>The EITC goes to working families and is designed to boost work. For families with very low earnings, the EITC increases as earnings rise. Working families with children earning up to about $41,000 to $56,000 (depending on marital status and the number of children in the family) generally qualify for a state EITC, with the largest benefits going to families with incomes between about $10,000 and $24,000. Workers without children can also qualify in most states, but the benefit is small, and they can receive it only if their income is below about $15,000 ($21,000 for a married couple).</w:t>
      </w:r>
    </w:p>
    <w:p w14:paraId="6660A3A6" w14:textId="77777777" w:rsidR="00A44E48" w:rsidRDefault="00A44E48" w:rsidP="00A44E48"/>
    <w:p w14:paraId="247309A6" w14:textId="77777777" w:rsidR="00A44E48" w:rsidRDefault="00A44E48" w:rsidP="00A44E48">
      <w:r>
        <w:t>The EITC’s design also reflects the reality that larger families face higher living expenses than smaller families: the maximum benefit varies for families with one, two, and three or more children. For example, the maximum federal benefit for families with two children in tax year 2019 is $5,828, compared to $3,526 for families with one child. (As with most other federal tax provisions, the IRS adjusts EITC benefit amounts and eligibility levels each year for inflation.) [9] However, recent federal tax changes will erode somewhat the value of the credit over time (see Box 2).</w:t>
      </w:r>
    </w:p>
    <w:p w14:paraId="6C45DFD2" w14:textId="77777777" w:rsidR="00A44E48" w:rsidRDefault="00A44E48" w:rsidP="00A44E48"/>
    <w:p w14:paraId="60A58ED8" w14:textId="4FA8762C" w:rsidR="00524B5F" w:rsidRDefault="00A44E48" w:rsidP="00A44E48">
      <w:r>
        <w:t>Figure 2 shows how the federal EITC works for a single-parent family with one child earning the minimum wage in 2019 (about $15,000 a year for full-time, year-round work). For every dollar she earns, she gets 34 cents in EITC benefits. The value of the credit continues rising at that rate until her earnings reach $10,370. At that point, she receives the maximum benefit of $3,526. Once her earnings exceed $19,030, the credit shrinks by about 16 cents for each additional dollar of earnings until reaching zero at about $41,000 in earnings.</w:t>
      </w:r>
    </w:p>
    <w:p w14:paraId="47C42A91" w14:textId="77777777" w:rsidR="00A44E48" w:rsidRDefault="00A44E48" w:rsidP="00A44E48"/>
    <w:p w14:paraId="538561F4" w14:textId="3E31AA77" w:rsidR="00524B5F" w:rsidRDefault="008F491D" w:rsidP="008F491D">
      <w:pPr>
        <w:pStyle w:val="Heading4"/>
      </w:pPr>
      <w:r>
        <w:t>Childless workers</w:t>
      </w:r>
    </w:p>
    <w:p w14:paraId="5CF755B1" w14:textId="3628AB09" w:rsidR="008F491D" w:rsidRPr="008F491D" w:rsidRDefault="008F491D" w:rsidP="008F491D">
      <w:r w:rsidRPr="001A25E6">
        <w:t xml:space="preserve">Erica </w:t>
      </w:r>
      <w:r w:rsidRPr="00524B5F">
        <w:rPr>
          <w:rStyle w:val="Style13ptBold"/>
        </w:rPr>
        <w:t xml:space="preserve">Williams et al </w:t>
      </w:r>
      <w:proofErr w:type="gramStart"/>
      <w:r w:rsidRPr="00524B5F">
        <w:rPr>
          <w:rStyle w:val="Style13ptBold"/>
        </w:rPr>
        <w:t>20</w:t>
      </w:r>
      <w:r w:rsidRPr="001A25E6">
        <w:t>,  (</w:t>
      </w:r>
      <w:proofErr w:type="gramEnd"/>
      <w:r w:rsidRPr="001A25E6">
        <w:t xml:space="preserve">former Vice President for State Fiscal Policy at CBPP), Samantha Waxman (Deputy Director of State Policy Research) and Julian Legendre (State Visual Communications Specialist with the State Fiscal Policy (SFP) team.). March 9. "States Can Adopt or Expand Earned Income Tax Credits to Build a Stronger Future Economy" </w:t>
      </w:r>
      <w:hyperlink r:id="rId34" w:history="1">
        <w:r w:rsidRPr="00525FE7">
          <w:rPr>
            <w:rStyle w:val="Hyperlink"/>
          </w:rPr>
          <w:t>https://www.cbpp.org/research/state-budget-and-tax/states-can-adopt-or-expand-earned-income-tax-credits-to-build-a</w:t>
        </w:r>
      </w:hyperlink>
      <w:r>
        <w:t xml:space="preserve"> //</w:t>
      </w:r>
      <w:proofErr w:type="spellStart"/>
      <w:r>
        <w:t>pipk</w:t>
      </w:r>
      <w:proofErr w:type="spellEnd"/>
    </w:p>
    <w:p w14:paraId="25B43E0F" w14:textId="77777777" w:rsidR="008F491D" w:rsidRDefault="008F491D" w:rsidP="008F491D">
      <w:r>
        <w:t>Box 3: Expanding EITC for Workers Not Raising Children Would Improve Equity</w:t>
      </w:r>
    </w:p>
    <w:p w14:paraId="0EBD958D" w14:textId="77777777" w:rsidR="008F491D" w:rsidRDefault="008F491D" w:rsidP="008F491D">
      <w:r>
        <w:t xml:space="preserve">Expanding the EITC for workers not raising children in their home would ensure that the credit offers a hand up to more workers struggling to get by on low </w:t>
      </w:r>
      <w:proofErr w:type="spellStart"/>
      <w:proofErr w:type="gramStart"/>
      <w:r>
        <w:t>wages.a</w:t>
      </w:r>
      <w:proofErr w:type="spellEnd"/>
      <w:proofErr w:type="gramEnd"/>
      <w:r>
        <w:t xml:space="preserve"> The federal EITC for these workers is very limited and small, even though they are integral members of their communities and local economies. Many are non-custodial parents or future parents.</w:t>
      </w:r>
    </w:p>
    <w:p w14:paraId="1A1EFC5F" w14:textId="77777777" w:rsidR="008F491D" w:rsidRDefault="008F491D" w:rsidP="008F491D"/>
    <w:p w14:paraId="31C47A31" w14:textId="77777777" w:rsidR="008F491D" w:rsidRDefault="008F491D" w:rsidP="008F491D">
      <w:r>
        <w:t xml:space="preserve">Partly because the EITC for these workers is so small, they are the lone group that federal income and payroll taxes push into or deeper into poverty. Proposals to expand the federal credit for these workers — such as the nearly identical proposals of former President Obama and former House Speaker Paul Ryan — would help address this </w:t>
      </w:r>
      <w:proofErr w:type="spellStart"/>
      <w:proofErr w:type="gramStart"/>
      <w:r>
        <w:t>problem.b</w:t>
      </w:r>
      <w:proofErr w:type="spellEnd"/>
      <w:proofErr w:type="gramEnd"/>
    </w:p>
    <w:p w14:paraId="59906DAF" w14:textId="77777777" w:rsidR="008F491D" w:rsidRDefault="008F491D" w:rsidP="008F491D"/>
    <w:p w14:paraId="14CCC225" w14:textId="77777777" w:rsidR="008F491D" w:rsidRDefault="008F491D" w:rsidP="008F491D">
      <w:r>
        <w:t xml:space="preserve">An expansion also would modestly reduce the income disparity between high- and low-income households by boosting incomes at the bottom. Some 13 million workers would benefit from the Obama/Ryan proposals — people who do important but low-paid work in hospitals, schools, office buildings, and construction sites across the country. Just under half of them are women, more than half are under age 35, and more than half are white. People of color would benefit substantially, since they are likelier than whites to have low incomes. Lesbian, Gay, Bisexual, Transgender, and Queer (LGBTQ) people also would benefit, both because LGBTQ adults are more likely to earn low wages than heterosexual adults and because same-sex couples are less likely to be raising a qualifying child than other </w:t>
      </w:r>
      <w:proofErr w:type="spellStart"/>
      <w:r>
        <w:t>families.c</w:t>
      </w:r>
      <w:proofErr w:type="spellEnd"/>
    </w:p>
    <w:p w14:paraId="0E40CAAE" w14:textId="77777777" w:rsidR="008F491D" w:rsidRDefault="008F491D" w:rsidP="008F491D"/>
    <w:p w14:paraId="66AC2264" w14:textId="77777777" w:rsidR="008F491D" w:rsidRDefault="008F491D" w:rsidP="008F491D">
      <w:r>
        <w:t xml:space="preserve">In addition to making work pay and boosting incomes at the bottom of the wage scale, an expansion of the EITC for workers not raising children in the home would likely produce other benefits. Research indicates that it can increase employment rates among workers not raising </w:t>
      </w:r>
      <w:proofErr w:type="spellStart"/>
      <w:proofErr w:type="gramStart"/>
      <w:r>
        <w:t>children,d</w:t>
      </w:r>
      <w:proofErr w:type="spellEnd"/>
      <w:proofErr w:type="gramEnd"/>
      <w:r>
        <w:t xml:space="preserve"> as EITC expansions in the early 1990s did among single mothers. It also could strengthen attachment to the labor force among less-educated, younger workers, whose rates of employment and incomes have fallen over the last couple of decades.</w:t>
      </w:r>
    </w:p>
    <w:p w14:paraId="74B04478" w14:textId="77777777" w:rsidR="008F491D" w:rsidRDefault="008F491D" w:rsidP="008F491D"/>
    <w:p w14:paraId="595089F8" w14:textId="293FB03F" w:rsidR="008F491D" w:rsidRPr="008F491D" w:rsidRDefault="008F491D" w:rsidP="008F491D">
      <w:r>
        <w:t>States need not wait for an expansion of the federal credit for childless workers. The District of Columbia expanded its own EITC to fully match the federal credit for workers without children in the home in 2014. In 2017, Minnesota expanded its Working Families Credit so that young workers without dependent children can qualify at age 21. In 2018, California extended its EITC to workers 18 and over, and Maryland eliminated the credit’s lower age limit. In 2019, Maine extended its credit to workers 18-24 without children in the home and enabled them to receive a credit worth 25 percent of the federal EITC. Several other states are considering similar expansions.</w:t>
      </w:r>
    </w:p>
    <w:p w14:paraId="3DCC82C9" w14:textId="56F33F45" w:rsidR="00232DD4" w:rsidRDefault="00586A23" w:rsidP="008F491D">
      <w:pPr>
        <w:pStyle w:val="Heading4"/>
      </w:pPr>
      <w:r>
        <w:t>Solves</w:t>
      </w:r>
    </w:p>
    <w:p w14:paraId="2E31B37F" w14:textId="77777777" w:rsidR="008F491D" w:rsidRPr="008F491D" w:rsidRDefault="008F491D" w:rsidP="008F491D">
      <w:r w:rsidRPr="001A25E6">
        <w:t xml:space="preserve">Erica </w:t>
      </w:r>
      <w:r w:rsidRPr="00524B5F">
        <w:rPr>
          <w:rStyle w:val="Style13ptBold"/>
        </w:rPr>
        <w:t xml:space="preserve">Williams et al </w:t>
      </w:r>
      <w:proofErr w:type="gramStart"/>
      <w:r w:rsidRPr="00524B5F">
        <w:rPr>
          <w:rStyle w:val="Style13ptBold"/>
        </w:rPr>
        <w:t>20</w:t>
      </w:r>
      <w:r w:rsidRPr="001A25E6">
        <w:t>,  (</w:t>
      </w:r>
      <w:proofErr w:type="gramEnd"/>
      <w:r w:rsidRPr="001A25E6">
        <w:t xml:space="preserve">former Vice President for State Fiscal Policy at CBPP), Samantha Waxman (Deputy Director of State Policy Research) and Julian Legendre (State Visual Communications Specialist with the State Fiscal Policy (SFP) team.). March 9. "States Can Adopt or Expand Earned Income Tax Credits to Build a Stronger Future Economy" </w:t>
      </w:r>
      <w:hyperlink r:id="rId35" w:history="1">
        <w:r w:rsidRPr="00525FE7">
          <w:rPr>
            <w:rStyle w:val="Hyperlink"/>
          </w:rPr>
          <w:t>https://www.cbpp.org/research/state-budget-and-tax/states-can-adopt-or-expand-earned-income-tax-credits-to-build-a</w:t>
        </w:r>
      </w:hyperlink>
      <w:r>
        <w:t xml:space="preserve"> //</w:t>
      </w:r>
      <w:proofErr w:type="spellStart"/>
      <w:r>
        <w:t>pipk</w:t>
      </w:r>
      <w:proofErr w:type="spellEnd"/>
    </w:p>
    <w:p w14:paraId="79D88FFA" w14:textId="77777777" w:rsidR="00586A23" w:rsidRDefault="00586A23" w:rsidP="00586A23">
      <w:r>
        <w:t>State EITCs Are Easy to Administer, Offer Good Value to States</w:t>
      </w:r>
    </w:p>
    <w:p w14:paraId="0418762A" w14:textId="77777777" w:rsidR="00586A23" w:rsidRDefault="00586A23" w:rsidP="00586A23">
      <w:r>
        <w:t>State EITCs are easy for states to administer and for working families to claim. States incur virtually no costs for determining eligibility for the credit because, in most cases, families eligible for the federal credit also are eligible for the state credit. Since state credits typically are set at a fixed percentage of the federal credit, state revenue departments need only add one line to a state’s income tax form, and filers need only multiply their federal EITC by a specified rate to determine their state credit.</w:t>
      </w:r>
    </w:p>
    <w:p w14:paraId="3979E4FA" w14:textId="77777777" w:rsidR="00586A23" w:rsidRDefault="00586A23" w:rsidP="00586A23"/>
    <w:p w14:paraId="14521BBF" w14:textId="77777777" w:rsidR="00586A23" w:rsidRDefault="00586A23" w:rsidP="00586A23">
      <w:r>
        <w:t>State EITCs also offer a good value to states. In states with an income tax and a refundable EITC, the EITC costs less than 2 percent of state tax revenues each year.[11] Because state EITCs are well targeted to low- and moderate-income working families, they cost less than many other tax cuts that states consider.[12] A credit of a few hundred dollars can make a big difference to many families without making a major dent in a state’s treasury.</w:t>
      </w:r>
    </w:p>
    <w:p w14:paraId="2CFF2875" w14:textId="77777777" w:rsidR="00586A23" w:rsidRDefault="00586A23" w:rsidP="00586A23"/>
    <w:p w14:paraId="7ACADEE5" w14:textId="53BFE193" w:rsidR="008F491D" w:rsidRDefault="00586A23" w:rsidP="00586A23">
      <w:r>
        <w:t>Also, if a state raises a tax that hits low-income households hardest, like the sales tax or gas tax, it can help make low-income families whole again by setting aside part of the resulting revenue to adopt or expand an EITC.</w:t>
      </w:r>
    </w:p>
    <w:p w14:paraId="2CA8E799" w14:textId="77777777" w:rsidR="00586A23" w:rsidRDefault="00586A23" w:rsidP="00586A23"/>
    <w:p w14:paraId="62A66CB7" w14:textId="56A0D81D" w:rsidR="00586A23" w:rsidRDefault="00586A23" w:rsidP="00586A23">
      <w:pPr>
        <w:pStyle w:val="Heading4"/>
      </w:pPr>
      <w:r>
        <w:t>AT: No state income tax</w:t>
      </w:r>
    </w:p>
    <w:p w14:paraId="68D76EE6" w14:textId="77777777" w:rsidR="00586A23" w:rsidRPr="008F491D" w:rsidRDefault="00586A23" w:rsidP="00586A23">
      <w:r w:rsidRPr="001A25E6">
        <w:t xml:space="preserve">Erica </w:t>
      </w:r>
      <w:r w:rsidRPr="00524B5F">
        <w:rPr>
          <w:rStyle w:val="Style13ptBold"/>
        </w:rPr>
        <w:t xml:space="preserve">Williams et al </w:t>
      </w:r>
      <w:proofErr w:type="gramStart"/>
      <w:r w:rsidRPr="00524B5F">
        <w:rPr>
          <w:rStyle w:val="Style13ptBold"/>
        </w:rPr>
        <w:t>20</w:t>
      </w:r>
      <w:r w:rsidRPr="001A25E6">
        <w:t>,  (</w:t>
      </w:r>
      <w:proofErr w:type="gramEnd"/>
      <w:r w:rsidRPr="001A25E6">
        <w:t xml:space="preserve">former Vice President for State Fiscal Policy at CBPP), Samantha Waxman (Deputy Director of State Policy Research) and Julian Legendre (State Visual Communications Specialist with the State Fiscal Policy (SFP) team.). March 9. "States Can Adopt or Expand Earned Income Tax Credits to Build a Stronger Future Economy" </w:t>
      </w:r>
      <w:hyperlink r:id="rId36" w:history="1">
        <w:r w:rsidRPr="00525FE7">
          <w:rPr>
            <w:rStyle w:val="Hyperlink"/>
          </w:rPr>
          <w:t>https://www.cbpp.org/research/state-budget-and-tax/states-can-adopt-or-expand-earned-income-tax-credits-to-build-a</w:t>
        </w:r>
      </w:hyperlink>
      <w:r>
        <w:t xml:space="preserve"> //</w:t>
      </w:r>
      <w:proofErr w:type="spellStart"/>
      <w:r>
        <w:t>pipk</w:t>
      </w:r>
      <w:proofErr w:type="spellEnd"/>
    </w:p>
    <w:p w14:paraId="1907E08F" w14:textId="77777777" w:rsidR="00586A23" w:rsidRDefault="00586A23" w:rsidP="00586A23">
      <w:r>
        <w:t>Like the federal EITC, state EITCs have a long, successful history of using the income tax to improve the economic security of low-income working families. Some question whether a state without an income tax could offer similar assistance, since state revenue departments in these states do not typically collect the information about family income and structure needed to determine EITC eligibility. The example of Washington State’s Working Families Tax Rebate, however, illustrates how states without an income tax could work with the IRS to provide a state credit.</w:t>
      </w:r>
    </w:p>
    <w:p w14:paraId="5E3E8CAA" w14:textId="77777777" w:rsidR="00586A23" w:rsidRDefault="00586A23" w:rsidP="00586A23"/>
    <w:p w14:paraId="20A730DF" w14:textId="77777777" w:rsidR="00586A23" w:rsidRDefault="00586A23" w:rsidP="00586A23">
      <w:r>
        <w:t xml:space="preserve">The Washington EITC has never taken effect because the state legislature hasn’t funded </w:t>
      </w:r>
      <w:proofErr w:type="spellStart"/>
      <w:proofErr w:type="gramStart"/>
      <w:r>
        <w:t>it,a</w:t>
      </w:r>
      <w:proofErr w:type="spellEnd"/>
      <w:proofErr w:type="gramEnd"/>
      <w:r>
        <w:t xml:space="preserve"> but its design shows how it would work in the absence of a state income tax. To confirm eligibility, Washington State would use data on federal EITC claimants that the IRS provides to state revenue departments under a data-sharing arrangement. Piggybacking on these federal efforts saves administrative costs for the state. State officials estimate that when the credit was phased in fully, the administrative costs would constitute only about 4 percent of the cost of the EITC </w:t>
      </w:r>
      <w:proofErr w:type="spellStart"/>
      <w:proofErr w:type="gramStart"/>
      <w:r>
        <w:t>itself.b</w:t>
      </w:r>
      <w:proofErr w:type="spellEnd"/>
      <w:proofErr w:type="gramEnd"/>
      <w:r>
        <w:t xml:space="preserve"> (Administrative costs in states that already have an income tax are substantially lower, typically well below 1 percent of the credit’s value.) If Washington were to increase the size of its credit, the administrative costs would be an even smaller share of the total cost.</w:t>
      </w:r>
    </w:p>
    <w:p w14:paraId="490AB00E" w14:textId="77777777" w:rsidR="00586A23" w:rsidRDefault="00586A23" w:rsidP="00586A23"/>
    <w:p w14:paraId="69E3F268" w14:textId="3A10E925" w:rsidR="00586A23" w:rsidRDefault="00586A23" w:rsidP="00586A23">
      <w:r>
        <w:t xml:space="preserve">Other states without a broad-based income tax (Alaska, Florida, Nevada, New Hampshire, South Dakota, Tennessee, Texas, and Wyoming) could follow the Washington State model. State EITCs could be particularly helpful in these states because their tax systems rely heavily on excise taxes, property taxes, and in most cases sales taxes. Because of this reliance, low- and moderate-income families in these states tend to pay a significantly higher share of their income in taxes than wealthier </w:t>
      </w:r>
      <w:proofErr w:type="spellStart"/>
      <w:r>
        <w:t>families.c</w:t>
      </w:r>
      <w:proofErr w:type="spellEnd"/>
    </w:p>
    <w:p w14:paraId="76525114" w14:textId="77777777" w:rsidR="004203ED" w:rsidRDefault="004203ED" w:rsidP="00586A23"/>
    <w:p w14:paraId="67D5D057" w14:textId="23D589E3" w:rsidR="004203ED" w:rsidRDefault="004203ED" w:rsidP="004203ED">
      <w:pPr>
        <w:pStyle w:val="Heading4"/>
      </w:pPr>
      <w:r>
        <w:t xml:space="preserve">Childless adults </w:t>
      </w:r>
      <w:r w:rsidR="001D4E7C">
        <w:t>key</w:t>
      </w:r>
    </w:p>
    <w:p w14:paraId="6B79EBB4" w14:textId="33980D9F" w:rsidR="001D4E7C" w:rsidRDefault="008B38F4" w:rsidP="001D4E7C">
      <w:r w:rsidRPr="008B38F4">
        <w:t xml:space="preserve">Chuck </w:t>
      </w:r>
      <w:r w:rsidRPr="008B38F4">
        <w:rPr>
          <w:rStyle w:val="Style13ptBold"/>
        </w:rPr>
        <w:t>Marr &amp;</w:t>
      </w:r>
      <w:r w:rsidRPr="008B38F4">
        <w:t xml:space="preserve"> </w:t>
      </w:r>
      <w:proofErr w:type="spellStart"/>
      <w:r w:rsidRPr="008B38F4">
        <w:t>Yixuan</w:t>
      </w:r>
      <w:proofErr w:type="spellEnd"/>
      <w:r w:rsidRPr="008B38F4">
        <w:t xml:space="preserve"> </w:t>
      </w:r>
      <w:r w:rsidRPr="008B38F4">
        <w:rPr>
          <w:rStyle w:val="Style13ptBold"/>
        </w:rPr>
        <w:t>Huang 20</w:t>
      </w:r>
      <w:r w:rsidRPr="008B38F4">
        <w:t xml:space="preserve">, Vice President for Federal Tax Policy at the Center on Budget and Policy Priorities. Former Research Associate with the Center's Federal Fiscal Policy division. "Childless Adults Are Lone Group Taxed </w:t>
      </w:r>
      <w:proofErr w:type="gramStart"/>
      <w:r w:rsidRPr="008B38F4">
        <w:t>Into</w:t>
      </w:r>
      <w:proofErr w:type="gramEnd"/>
      <w:r w:rsidRPr="008B38F4">
        <w:t xml:space="preserve"> Poverty EITC Expansion Could Address Problem" March 2. </w:t>
      </w:r>
      <w:hyperlink r:id="rId37" w:history="1">
        <w:r w:rsidRPr="00525FE7">
          <w:rPr>
            <w:rStyle w:val="Hyperlink"/>
          </w:rPr>
          <w:t>https://www.cbpp.org/sites/default/files/atoms/files/3-2-16tax.pdf</w:t>
        </w:r>
      </w:hyperlink>
      <w:r>
        <w:t xml:space="preserve"> //</w:t>
      </w:r>
      <w:proofErr w:type="spellStart"/>
      <w:r>
        <w:t>pipk</w:t>
      </w:r>
      <w:proofErr w:type="spellEnd"/>
    </w:p>
    <w:p w14:paraId="5D2915C2" w14:textId="77777777" w:rsidR="008B38F4" w:rsidRPr="001D4E7C" w:rsidRDefault="008B38F4" w:rsidP="001D4E7C"/>
    <w:p w14:paraId="7800D1E3" w14:textId="0378884F" w:rsidR="002E42F0" w:rsidRDefault="002E42F0" w:rsidP="002E42F0">
      <w:pPr>
        <w:pStyle w:val="Heading3"/>
      </w:pPr>
      <w:r>
        <w:t>1NC---Baby Bonds</w:t>
      </w:r>
    </w:p>
    <w:p w14:paraId="5280ED3F" w14:textId="77777777" w:rsidR="002E42F0" w:rsidRDefault="002E42F0" w:rsidP="002E42F0"/>
    <w:p w14:paraId="371A666D" w14:textId="343947D6" w:rsidR="002E42F0" w:rsidRDefault="00C84BA7" w:rsidP="002E42F0">
      <w:pPr>
        <w:pStyle w:val="Heading4"/>
      </w:pPr>
      <w:r>
        <w:t xml:space="preserve">CP solves wealth </w:t>
      </w:r>
      <w:proofErr w:type="gramStart"/>
      <w:r>
        <w:t>building</w:t>
      </w:r>
      <w:proofErr w:type="gramEnd"/>
    </w:p>
    <w:p w14:paraId="0AD82397" w14:textId="77777777" w:rsidR="002E42F0" w:rsidRPr="001C0690" w:rsidRDefault="002E42F0" w:rsidP="002E42F0">
      <w:r w:rsidRPr="000525CD">
        <w:t xml:space="preserve">Nolan </w:t>
      </w:r>
      <w:r w:rsidRPr="000525CD">
        <w:rPr>
          <w:rStyle w:val="Style13ptBold"/>
        </w:rPr>
        <w:t>Downey 22</w:t>
      </w:r>
      <w:r w:rsidRPr="000525CD">
        <w:t>, Staff Attorney for the Legal Impact Network at the Shriver Center on Poverty Law. Economic Security Project. April 13. "Guaranteed Income</w:t>
      </w:r>
      <w:r>
        <w:t>: States Lead the Way in Reimagining the Social Safety Net”</w:t>
      </w:r>
      <w:r w:rsidRPr="000525CD">
        <w:t xml:space="preserve"> </w:t>
      </w:r>
      <w:hyperlink r:id="rId38" w:history="1">
        <w:r w:rsidRPr="002F76AE">
          <w:rPr>
            <w:rStyle w:val="Hyperlink"/>
          </w:rPr>
          <w:t>https://economicsecurityproject.org/resource/states-lead/</w:t>
        </w:r>
      </w:hyperlink>
      <w:r>
        <w:t xml:space="preserve"> //</w:t>
      </w:r>
      <w:proofErr w:type="spellStart"/>
      <w:proofErr w:type="gramStart"/>
      <w:r>
        <w:t>pipk</w:t>
      </w:r>
      <w:proofErr w:type="spellEnd"/>
      <w:proofErr w:type="gramEnd"/>
    </w:p>
    <w:p w14:paraId="20DA0FFB" w14:textId="77777777" w:rsidR="002E42F0" w:rsidRDefault="002E42F0" w:rsidP="002E42F0">
      <w:r>
        <w:t>Appendix A: State Considerations: Building Wealth</w:t>
      </w:r>
    </w:p>
    <w:p w14:paraId="68A3C588" w14:textId="77777777" w:rsidR="002E42F0" w:rsidRDefault="002E42F0" w:rsidP="002E42F0">
      <w:r>
        <w:t xml:space="preserve">A guaranteed income is a direct and effective strategy to ensure that everyone can meet their basic needs and reduce unconscionable levels of income inequality. However, even </w:t>
      </w:r>
      <w:r w:rsidRPr="002E42F0">
        <w:rPr>
          <w:rStyle w:val="StyleUnderline"/>
        </w:rPr>
        <w:t>wider disparities exist when it comes to wealth</w:t>
      </w:r>
      <w:r>
        <w:t xml:space="preserve">. </w:t>
      </w:r>
      <w:r w:rsidRPr="002E42F0">
        <w:rPr>
          <w:rStyle w:val="StyleUnderline"/>
        </w:rPr>
        <w:t>Available data shows that guaranteed income allows people to save money, pursue additional education and training, and improve their employment situation, all of which can increase a household’s opportunity to invest and accumulate wealth, but states should strongly consider wealth building strategies that are more direct to complement a guaranteed income</w:t>
      </w:r>
      <w:r>
        <w:t>.</w:t>
      </w:r>
    </w:p>
    <w:p w14:paraId="72D448D4" w14:textId="2567D769" w:rsidR="002E42F0" w:rsidRDefault="002E42F0" w:rsidP="002E42F0">
      <w:r w:rsidRPr="00C84BA7">
        <w:rPr>
          <w:rStyle w:val="Emphasis"/>
        </w:rPr>
        <w:t>One such model is baby bonds</w:t>
      </w:r>
      <w:r>
        <w:t xml:space="preserve">. The basic idea of a baby bond is that children in eligible families would have an initial deposit placed into a government managed trust that would guarantee growth of the investment until the child turns 18. Upon their 18th birthday, the child is able to access the money – which will have appreciated significantly – and, in most models, is limited to using it for specific purposes such as pursuing higher education, buying a home, or starting a business.104 However, states could adopt and modify such a policy, remove restrictions on how the money is eventually spent, and pair this asset building strategy with cash transfers like guaranteed income to produce even greater outcomes.105 In 2021, Connecticut became the first state in the country to pass a statewide baby bond program106 while state legislators in other states, like New Jersey, Iowa, and Maryland, have also introduced proposals.107 </w:t>
      </w:r>
    </w:p>
    <w:p w14:paraId="54FAEB1E" w14:textId="77777777" w:rsidR="002E42F0" w:rsidRPr="005045CA" w:rsidRDefault="002E42F0" w:rsidP="002E42F0">
      <w:r>
        <w:t>Local governments have been invested in baby bonds programs as well. Since 2017, the City of Oakland has funded Oakland Promises’ Brilliant Baby program – a College Savings Account program – for Oakland families under 200% FPL, where $500 is placed in a qualifying child’s 529 account108 and can be accessed when they turn 18 and used toward college tuition.109 The District of Columbia has also recently created a municipal level baby bonds program for eligible D.C. families under 300% FPL where, similar to other proposals, an initial deposit of $1,000 followed by annual deposits based on income will be placed into an invested trust fund that children can access when they turn 18 to pay for education, buying a home, or other qualified expenses.110 Most baby bonds models consider a household’s income when assessing eligibility. Just as a guaranteed income is targeted to households based on their level of income, wealth building policies may be more appropriately targeted based on a household’s wealth (assets and resources) rather than income. As discussed above, cash transfer policies like guaranteed income could be extremely potent in mitigating disparities in income, but matching cash payments with policies that build assets in a targeted manner could better address the massive disparity in intergenerational wealth transfers – especially for people of color – which is a critical piece in promoting both racial and economic equity.111</w:t>
      </w:r>
    </w:p>
    <w:p w14:paraId="3C1CEF0F" w14:textId="1EAE4319" w:rsidR="006A079B" w:rsidRDefault="006A079B" w:rsidP="005B3953">
      <w:pPr>
        <w:pStyle w:val="Heading2"/>
      </w:pPr>
      <w:proofErr w:type="spellStart"/>
      <w:r>
        <w:t>Aff</w:t>
      </w:r>
      <w:proofErr w:type="spellEnd"/>
    </w:p>
    <w:p w14:paraId="6BC149D8" w14:textId="7C5A3440" w:rsidR="00FF1E01" w:rsidRDefault="00FF1E01" w:rsidP="00BC551D">
      <w:pPr>
        <w:pStyle w:val="Heading3"/>
      </w:pPr>
      <w:r>
        <w:t>2AC---AT: States CP</w:t>
      </w:r>
    </w:p>
    <w:p w14:paraId="5130C2B3" w14:textId="77777777" w:rsidR="00FF1E01" w:rsidRPr="00FF1E01" w:rsidRDefault="00FF1E01" w:rsidP="00FF1E01"/>
    <w:p w14:paraId="1ED68670" w14:textId="77777777" w:rsidR="00FF1E01" w:rsidRPr="00FF1E01" w:rsidRDefault="00FF1E01" w:rsidP="00FF1E01"/>
    <w:p w14:paraId="03167736" w14:textId="77777777" w:rsidR="00FF1E01" w:rsidRDefault="00FF1E01" w:rsidP="006024F5">
      <w:pPr>
        <w:pStyle w:val="Heading4"/>
        <w:numPr>
          <w:ilvl w:val="0"/>
          <w:numId w:val="2"/>
        </w:numPr>
      </w:pPr>
      <w:r>
        <w:t xml:space="preserve">Perm do </w:t>
      </w:r>
      <w:proofErr w:type="gramStart"/>
      <w:r>
        <w:t>both</w:t>
      </w:r>
      <w:proofErr w:type="gramEnd"/>
    </w:p>
    <w:p w14:paraId="0FE806C5" w14:textId="77777777" w:rsidR="00FF1E01" w:rsidRDefault="00FF1E01" w:rsidP="00FF1E01"/>
    <w:p w14:paraId="5358773A" w14:textId="77777777" w:rsidR="00FF1E01" w:rsidRDefault="00FF1E01" w:rsidP="006024F5">
      <w:pPr>
        <w:pStyle w:val="Heading4"/>
        <w:numPr>
          <w:ilvl w:val="0"/>
          <w:numId w:val="2"/>
        </w:numPr>
      </w:pPr>
      <w:r>
        <w:t xml:space="preserve">Perm do the counterplan and then federal follow-on. </w:t>
      </w:r>
    </w:p>
    <w:p w14:paraId="03E2DDBE" w14:textId="77777777" w:rsidR="00FF1E01" w:rsidRDefault="00FF1E01" w:rsidP="00FF1E01"/>
    <w:p w14:paraId="31616431" w14:textId="77777777" w:rsidR="00FF1E01" w:rsidRDefault="00FF1E01" w:rsidP="006024F5">
      <w:pPr>
        <w:pStyle w:val="Heading4"/>
        <w:numPr>
          <w:ilvl w:val="0"/>
          <w:numId w:val="2"/>
        </w:numPr>
      </w:pPr>
      <w:r>
        <w:t xml:space="preserve">Perm do the parts of the counterplan that have the states generate revenue and then do the plan using that funding. Solves the link to politics by avoiding fights over raising taxes and isn’t severance because it still redistributes income through a federal transfer program. </w:t>
      </w:r>
    </w:p>
    <w:p w14:paraId="004D7F0D" w14:textId="77777777" w:rsidR="00FF1E01" w:rsidRPr="00647D6A" w:rsidRDefault="00FF1E01" w:rsidP="00FF1E01"/>
    <w:p w14:paraId="477DB478" w14:textId="77777777" w:rsidR="00155677" w:rsidRDefault="00C87181" w:rsidP="006024F5">
      <w:pPr>
        <w:pStyle w:val="Heading4"/>
        <w:numPr>
          <w:ilvl w:val="0"/>
          <w:numId w:val="2"/>
        </w:numPr>
      </w:pPr>
      <w:r>
        <w:t>Counterplan can’t solv</w:t>
      </w:r>
      <w:r w:rsidR="00155677">
        <w:t>e</w:t>
      </w:r>
      <w:r w:rsidR="00903FEE">
        <w:t xml:space="preserve">. </w:t>
      </w:r>
    </w:p>
    <w:p w14:paraId="2BE75172" w14:textId="59337C5B" w:rsidR="000C732F" w:rsidRDefault="00F75349" w:rsidP="006024F5">
      <w:pPr>
        <w:pStyle w:val="Heading4"/>
        <w:numPr>
          <w:ilvl w:val="1"/>
          <w:numId w:val="2"/>
        </w:numPr>
      </w:pPr>
      <w:r>
        <w:t xml:space="preserve">Geographic disparities </w:t>
      </w:r>
      <w:proofErr w:type="gramStart"/>
      <w:r>
        <w:t>means</w:t>
      </w:r>
      <w:proofErr w:type="gramEnd"/>
      <w:r>
        <w:t xml:space="preserve"> states </w:t>
      </w:r>
      <w:r w:rsidR="00D216B0">
        <w:t>can’t redistribute</w:t>
      </w:r>
      <w:r w:rsidR="00532C2C">
        <w:t xml:space="preserve">. Some states are just too poor, federal action is </w:t>
      </w:r>
      <w:proofErr w:type="gramStart"/>
      <w:r w:rsidR="00532C2C">
        <w:t>key</w:t>
      </w:r>
      <w:proofErr w:type="gramEnd"/>
    </w:p>
    <w:p w14:paraId="642C4AA5" w14:textId="77777777" w:rsidR="000C732F" w:rsidRPr="00BC531C" w:rsidRDefault="000C732F" w:rsidP="000C732F">
      <w:r w:rsidRPr="00BC531C">
        <w:t xml:space="preserve">Brian </w:t>
      </w:r>
      <w:r w:rsidRPr="00BC531C">
        <w:rPr>
          <w:rStyle w:val="Heading4Char"/>
        </w:rPr>
        <w:t>Highsmith 19</w:t>
      </w:r>
      <w:r w:rsidRPr="00BC531C">
        <w:t>, Skadden Fellow, National Consumer Law Center. "The Implications of Inequality for Fiscal Federalism (or Why the Federal Government Should Pay for Local Public Schools)" 67 Buff. L. Rev. 407 //</w:t>
      </w:r>
      <w:proofErr w:type="spellStart"/>
      <w:r w:rsidRPr="00BC531C">
        <w:t>pipk</w:t>
      </w:r>
      <w:proofErr w:type="spellEnd"/>
    </w:p>
    <w:p w14:paraId="123879AE" w14:textId="77777777" w:rsidR="000C732F" w:rsidRDefault="000C732F" w:rsidP="000C732F">
      <w:r w:rsidRPr="000C1E23">
        <w:rPr>
          <w:rStyle w:val="StyleUnderline"/>
        </w:rPr>
        <w:t>Many have missed the deep implications of economic inequality for core tenants of fiscal federalism</w:t>
      </w:r>
      <w:r>
        <w:t xml:space="preserve">. This framework shows that </w:t>
      </w:r>
      <w:r w:rsidRPr="00730DCC">
        <w:rPr>
          <w:rStyle w:val="StyleUnderline"/>
        </w:rPr>
        <w:t>debates about the proper assignment of redistribution assume a different character depending on the preexisting level of inequality within the political community</w:t>
      </w:r>
      <w:r>
        <w:t xml:space="preserve">. Specifically, </w:t>
      </w:r>
      <w:r w:rsidRPr="00730DCC">
        <w:rPr>
          <w:rStyle w:val="Emphasis"/>
        </w:rPr>
        <w:t>economic inequality raises the stakes of "fiscal splintering" for redistributive outcomes and possibilities</w:t>
      </w:r>
      <w:r>
        <w:t xml:space="preserve">: </w:t>
      </w:r>
      <w:r w:rsidRPr="00730DCC">
        <w:rPr>
          <w:rStyle w:val="StyleUnderline"/>
        </w:rPr>
        <w:t xml:space="preserve">where </w:t>
      </w:r>
      <w:r w:rsidRPr="00730DCC">
        <w:rPr>
          <w:rStyle w:val="StyleUnderline"/>
          <w:highlight w:val="cyan"/>
        </w:rPr>
        <w:t>economic resources are unevenly distributed</w:t>
      </w:r>
      <w:r w:rsidRPr="00730DCC">
        <w:rPr>
          <w:rStyle w:val="StyleUnderline"/>
        </w:rPr>
        <w:t xml:space="preserve"> across geography, </w:t>
      </w:r>
      <w:r w:rsidRPr="00730DCC">
        <w:rPr>
          <w:rStyle w:val="StyleUnderline"/>
          <w:highlight w:val="cyan"/>
        </w:rPr>
        <w:t>the spatial definition of fiscal units takes on great significance</w:t>
      </w:r>
      <w:r>
        <w:t xml:space="preserve">. </w:t>
      </w:r>
      <w:r w:rsidRPr="00730DCC">
        <w:rPr>
          <w:rStyle w:val="StyleUnderline"/>
          <w:highlight w:val="cyan"/>
        </w:rPr>
        <w:t>And</w:t>
      </w:r>
      <w:r>
        <w:t xml:space="preserve"> the presence of economic inequality </w:t>
      </w:r>
      <w:r w:rsidRPr="00730DCC">
        <w:rPr>
          <w:rStyle w:val="Emphasis"/>
          <w:highlight w:val="cyan"/>
        </w:rPr>
        <w:t>places a ceiling on local governments' ability to</w:t>
      </w:r>
      <w:r>
        <w:t xml:space="preserve"> provide public goods or </w:t>
      </w:r>
      <w:r w:rsidRPr="00730DCC">
        <w:rPr>
          <w:rStyle w:val="Emphasis"/>
          <w:highlight w:val="cyan"/>
        </w:rPr>
        <w:t xml:space="preserve">achieve redistribution, absent </w:t>
      </w:r>
      <w:proofErr w:type="gramStart"/>
      <w:r w:rsidRPr="00730DCC">
        <w:rPr>
          <w:rStyle w:val="Emphasis"/>
          <w:highlight w:val="cyan"/>
        </w:rPr>
        <w:t>centrally-coordinated</w:t>
      </w:r>
      <w:proofErr w:type="gramEnd"/>
      <w:r w:rsidRPr="00730DCC">
        <w:rPr>
          <w:rStyle w:val="Emphasis"/>
          <w:highlight w:val="cyan"/>
        </w:rPr>
        <w:t xml:space="preserve"> fiscal transfers</w:t>
      </w:r>
      <w:r>
        <w:t>.</w:t>
      </w:r>
    </w:p>
    <w:p w14:paraId="1BA0C49B" w14:textId="77777777" w:rsidR="000C732F" w:rsidRDefault="000C732F" w:rsidP="000C732F">
      <w:r w:rsidRPr="00805150">
        <w:rPr>
          <w:rStyle w:val="StyleUnderline"/>
          <w:highlight w:val="cyan"/>
        </w:rPr>
        <w:t>Traditional models</w:t>
      </w:r>
      <w:r w:rsidRPr="00C12652">
        <w:rPr>
          <w:rStyle w:val="StyleUnderline"/>
        </w:rPr>
        <w:t xml:space="preserve"> of fiscal federalism </w:t>
      </w:r>
      <w:r w:rsidRPr="00805150">
        <w:rPr>
          <w:rStyle w:val="StyleUnderline"/>
          <w:highlight w:val="cyan"/>
        </w:rPr>
        <w:t>overlook this</w:t>
      </w:r>
      <w:r w:rsidRPr="00C12652">
        <w:rPr>
          <w:rStyle w:val="StyleUnderline"/>
        </w:rPr>
        <w:t xml:space="preserve"> important relationship</w:t>
      </w:r>
      <w:r>
        <w:t xml:space="preserve">. Orthodox models of decentralization argue that location-mobility of residents is a disciplining measure for local governments. The consensus view is that mobility limits the ability of local governments to achieve redistribution, because high-income people will exit when it is attempted. 97 Others point to evidence showing that locations decisions are relatively inelastic to support their conclusion that redistribution can happen at the local level.98 I show that this debate does not need to be settled in order to conclude that </w:t>
      </w:r>
      <w:r w:rsidRPr="00C12652">
        <w:rPr>
          <w:rStyle w:val="StyleUnderline"/>
        </w:rPr>
        <w:t xml:space="preserve">rising levels of economic </w:t>
      </w:r>
      <w:r w:rsidRPr="00805150">
        <w:rPr>
          <w:rStyle w:val="StyleUnderline"/>
          <w:highlight w:val="cyan"/>
        </w:rPr>
        <w:t>inequality support moving redistribution to higher levels of governance</w:t>
      </w:r>
      <w:r w:rsidRPr="00C12652">
        <w:rPr>
          <w:rStyle w:val="StyleUnderline"/>
        </w:rPr>
        <w:t>.</w:t>
      </w:r>
    </w:p>
    <w:p w14:paraId="01A33139" w14:textId="6C85B590" w:rsidR="000C732F" w:rsidRDefault="000C732F" w:rsidP="000C732F">
      <w:r>
        <w:t xml:space="preserve">Just as scholars have argued that the competitive forces of residential mobility have the effect of making local redistribution impossible, these examples suggest that-on a static basis-high levels of inequality will tend to have the same effect. So </w:t>
      </w:r>
      <w:proofErr w:type="gramStart"/>
      <w:r>
        <w:t>as long as</w:t>
      </w:r>
      <w:proofErr w:type="gramEnd"/>
      <w:r>
        <w:t xml:space="preserve"> there are some constraints on mobility, then it can be said-without qualification-that </w:t>
      </w:r>
      <w:r w:rsidRPr="00155677">
        <w:rPr>
          <w:rStyle w:val="StyleUnderline"/>
        </w:rPr>
        <w:t xml:space="preserve">rising </w:t>
      </w:r>
      <w:r w:rsidRPr="00805150">
        <w:rPr>
          <w:rStyle w:val="StyleUnderline"/>
          <w:highlight w:val="cyan"/>
        </w:rPr>
        <w:t>inequality will</w:t>
      </w:r>
      <w:r w:rsidRPr="00155677">
        <w:rPr>
          <w:rStyle w:val="StyleUnderline"/>
        </w:rPr>
        <w:t xml:space="preserve"> always and necessarily have the effect of </w:t>
      </w:r>
      <w:r w:rsidRPr="008E4A5F">
        <w:rPr>
          <w:rStyle w:val="StyleUnderline"/>
          <w:highlight w:val="cyan"/>
        </w:rPr>
        <w:t>increas</w:t>
      </w:r>
      <w:r w:rsidRPr="00155677">
        <w:rPr>
          <w:rStyle w:val="StyleUnderline"/>
        </w:rPr>
        <w:t xml:space="preserve">ing the </w:t>
      </w:r>
      <w:r w:rsidRPr="008E4A5F">
        <w:rPr>
          <w:rStyle w:val="StyleUnderline"/>
          <w:highlight w:val="cyan"/>
        </w:rPr>
        <w:t>geographic clustering of resources</w:t>
      </w:r>
      <w:r>
        <w:t xml:space="preserve">. This follows mathematically from the fact that </w:t>
      </w:r>
      <w:r w:rsidRPr="001830C8">
        <w:rPr>
          <w:rStyle w:val="StyleUnderline"/>
        </w:rPr>
        <w:t>inequality is defined as an increasing concentration of economic resources across a population, and</w:t>
      </w:r>
      <w:r>
        <w:t xml:space="preserve"> that </w:t>
      </w:r>
      <w:r w:rsidRPr="001830C8">
        <w:rPr>
          <w:rStyle w:val="StyleUnderline"/>
        </w:rPr>
        <w:t>people</w:t>
      </w:r>
      <w:r>
        <w:t xml:space="preserve"> are indivisible economic units-they </w:t>
      </w:r>
      <w:r w:rsidRPr="001830C8">
        <w:rPr>
          <w:rStyle w:val="StyleUnderline"/>
        </w:rPr>
        <w:t>exist at only one place in time</w:t>
      </w:r>
      <w:r>
        <w:t xml:space="preserve">. And </w:t>
      </w:r>
      <w:r w:rsidRPr="001830C8">
        <w:rPr>
          <w:rStyle w:val="StyleUnderline"/>
        </w:rPr>
        <w:t xml:space="preserve">to the extent that economic </w:t>
      </w:r>
      <w:r w:rsidRPr="008E4A5F">
        <w:rPr>
          <w:rStyle w:val="StyleUnderline"/>
          <w:highlight w:val="cyan"/>
        </w:rPr>
        <w:t>resources are unevenly spread</w:t>
      </w:r>
      <w:r w:rsidRPr="001830C8">
        <w:rPr>
          <w:rStyle w:val="StyleUnderline"/>
        </w:rPr>
        <w:t xml:space="preserve"> across a political community, then the exercise of </w:t>
      </w:r>
      <w:r w:rsidRPr="008E4A5F">
        <w:rPr>
          <w:rStyle w:val="StyleUnderline"/>
          <w:highlight w:val="cyan"/>
        </w:rPr>
        <w:t>line drawing</w:t>
      </w:r>
      <w:r w:rsidRPr="001830C8">
        <w:rPr>
          <w:rStyle w:val="StyleUnderline"/>
        </w:rPr>
        <w:t xml:space="preserve">-of </w:t>
      </w:r>
      <w:r w:rsidRPr="008E4A5F">
        <w:rPr>
          <w:rStyle w:val="StyleUnderline"/>
          <w:highlight w:val="cyan"/>
        </w:rPr>
        <w:t>determining the size and placement of the fiscal units</w:t>
      </w:r>
      <w:r w:rsidR="008E4A5F">
        <w:rPr>
          <w:rStyle w:val="StyleUnderline"/>
        </w:rPr>
        <w:t>-</w:t>
      </w:r>
      <w:r w:rsidRPr="008E4A5F">
        <w:rPr>
          <w:rStyle w:val="StyleUnderline"/>
          <w:highlight w:val="cyan"/>
        </w:rPr>
        <w:t>becomes</w:t>
      </w:r>
      <w:r w:rsidRPr="001830C8">
        <w:rPr>
          <w:rStyle w:val="StyleUnderline"/>
        </w:rPr>
        <w:t xml:space="preserve"> increasingly important as a </w:t>
      </w:r>
      <w:r w:rsidRPr="008E4A5F">
        <w:rPr>
          <w:rStyle w:val="StyleUnderline"/>
          <w:highlight w:val="cyan"/>
        </w:rPr>
        <w:t xml:space="preserve">determinant of the </w:t>
      </w:r>
      <w:r w:rsidRPr="008E4A5F">
        <w:rPr>
          <w:rStyle w:val="StyleUnderline"/>
        </w:rPr>
        <w:t xml:space="preserve">practical </w:t>
      </w:r>
      <w:r w:rsidRPr="008E4A5F">
        <w:rPr>
          <w:rStyle w:val="StyleUnderline"/>
          <w:highlight w:val="cyan"/>
        </w:rPr>
        <w:t>availability of inter-unit economic redistribution</w:t>
      </w:r>
      <w:r>
        <w:t>.</w:t>
      </w:r>
    </w:p>
    <w:p w14:paraId="6CA4130C" w14:textId="77777777" w:rsidR="000C732F" w:rsidRDefault="000C732F" w:rsidP="000C732F">
      <w:r w:rsidRPr="000A64BA">
        <w:rPr>
          <w:rStyle w:val="StyleUnderline"/>
          <w:highlight w:val="cyan"/>
        </w:rPr>
        <w:t>For public finance scholars, the</w:t>
      </w:r>
      <w:r w:rsidRPr="00B64416">
        <w:rPr>
          <w:rStyle w:val="StyleUnderline"/>
        </w:rPr>
        <w:t xml:space="preserve"> predominant </w:t>
      </w:r>
      <w:r w:rsidRPr="000A64BA">
        <w:rPr>
          <w:rStyle w:val="StyleUnderline"/>
          <w:highlight w:val="cyan"/>
        </w:rPr>
        <w:t>policy response</w:t>
      </w:r>
      <w:r>
        <w:t xml:space="preserve"> to the trend of economic stratification </w:t>
      </w:r>
      <w:r w:rsidRPr="000A64BA">
        <w:rPr>
          <w:rStyle w:val="StyleUnderline"/>
          <w:highlight w:val="cyan"/>
        </w:rPr>
        <w:t>has been to increase</w:t>
      </w:r>
      <w:r w:rsidRPr="00B64416">
        <w:rPr>
          <w:rStyle w:val="StyleUnderline"/>
        </w:rPr>
        <w:t xml:space="preserve"> the burden of </w:t>
      </w:r>
      <w:r w:rsidRPr="000A64BA">
        <w:rPr>
          <w:rStyle w:val="StyleUnderline"/>
          <w:highlight w:val="cyan"/>
        </w:rPr>
        <w:t>taxation</w:t>
      </w:r>
      <w:r w:rsidRPr="00B64416">
        <w:rPr>
          <w:rStyle w:val="StyleUnderline"/>
        </w:rPr>
        <w:t xml:space="preserve"> </w:t>
      </w:r>
      <w:r w:rsidRPr="000A64BA">
        <w:rPr>
          <w:rStyle w:val="StyleUnderline"/>
          <w:highlight w:val="cyan"/>
        </w:rPr>
        <w:t>on very high-wealth individuals</w:t>
      </w:r>
      <w:r>
        <w:t xml:space="preserve">. 99 </w:t>
      </w:r>
      <w:r w:rsidRPr="000A64BA">
        <w:rPr>
          <w:rStyle w:val="Emphasis"/>
          <w:highlight w:val="cyan"/>
        </w:rPr>
        <w:t>But</w:t>
      </w:r>
      <w:r>
        <w:t xml:space="preserve"> as the model supporting this framework demonstrates, </w:t>
      </w:r>
      <w:r w:rsidRPr="00B64416">
        <w:rPr>
          <w:rStyle w:val="StyleUnderline"/>
        </w:rPr>
        <w:t xml:space="preserve">the case for centralizing </w:t>
      </w:r>
      <w:r w:rsidRPr="000E51DA">
        <w:rPr>
          <w:rStyle w:val="StyleUnderline"/>
          <w:highlight w:val="cyan"/>
        </w:rPr>
        <w:t>redistribution</w:t>
      </w:r>
      <w:r w:rsidRPr="00B64416">
        <w:rPr>
          <w:rStyle w:val="StyleUnderline"/>
        </w:rPr>
        <w:t xml:space="preserve"> depends in large part on the level of economic inequality in a polity-and is thus greatly strengthened by rising inequality</w:t>
      </w:r>
      <w:r>
        <w:t xml:space="preserve">. The significant implications of this basic relationship have not been fully explored. Service </w:t>
      </w:r>
      <w:r w:rsidRPr="000A64BA">
        <w:rPr>
          <w:rStyle w:val="StyleUnderline"/>
          <w:highlight w:val="cyan"/>
        </w:rPr>
        <w:t>devolution</w:t>
      </w:r>
      <w:r w:rsidRPr="00B64416">
        <w:rPr>
          <w:rStyle w:val="StyleUnderline"/>
        </w:rPr>
        <w:t xml:space="preserve"> to lower, smaller geographic units</w:t>
      </w:r>
      <w:r>
        <w:t xml:space="preserve"> has been praised for various virtues according to America's favorite versions of democratic theory.100 But under a set of straightforward assumptions, these structures </w:t>
      </w:r>
      <w:r w:rsidRPr="000E51DA">
        <w:rPr>
          <w:rStyle w:val="StyleUnderline"/>
          <w:highlight w:val="cyan"/>
        </w:rPr>
        <w:t>will</w:t>
      </w:r>
      <w:r>
        <w:t xml:space="preserve"> also </w:t>
      </w:r>
      <w:r w:rsidRPr="000E51DA">
        <w:rPr>
          <w:rStyle w:val="StyleUnderline"/>
          <w:highlight w:val="cyan"/>
        </w:rPr>
        <w:t xml:space="preserve">have the </w:t>
      </w:r>
      <w:r w:rsidRPr="000E51DA">
        <w:rPr>
          <w:rStyle w:val="Emphasis"/>
          <w:highlight w:val="cyan"/>
        </w:rPr>
        <w:t>inevitable effect of deepening inequality</w:t>
      </w:r>
      <w:r w:rsidRPr="00B64416">
        <w:rPr>
          <w:rStyle w:val="StyleUnderline"/>
        </w:rPr>
        <w:t xml:space="preserve"> and making the efficient provision of public services less likely</w:t>
      </w:r>
      <w:r>
        <w:t xml:space="preserve">. As a policy matter, it suggests that </w:t>
      </w:r>
      <w:r w:rsidRPr="000E51DA">
        <w:rPr>
          <w:rStyle w:val="StyleUnderline"/>
          <w:highlight w:val="cyan"/>
        </w:rPr>
        <w:t>we should</w:t>
      </w:r>
      <w:r w:rsidRPr="00B64416">
        <w:rPr>
          <w:rStyle w:val="StyleUnderline"/>
        </w:rPr>
        <w:t xml:space="preserve"> focus on either increasing the size of fiscal units of redistribution to include ultra-wealthy or alternatively </w:t>
      </w:r>
      <w:r w:rsidRPr="000E51DA">
        <w:rPr>
          <w:rStyle w:val="StyleUnderline"/>
          <w:highlight w:val="cyan"/>
        </w:rPr>
        <w:t>shift</w:t>
      </w:r>
      <w:r w:rsidRPr="00B64416">
        <w:rPr>
          <w:rStyle w:val="StyleUnderline"/>
        </w:rPr>
        <w:t xml:space="preserve">ing </w:t>
      </w:r>
      <w:r w:rsidRPr="000E51DA">
        <w:rPr>
          <w:rStyle w:val="StyleUnderline"/>
          <w:highlight w:val="cyan"/>
        </w:rPr>
        <w:t>the site of redistribution to the circle</w:t>
      </w:r>
      <w:r w:rsidRPr="00B64416">
        <w:rPr>
          <w:rStyle w:val="StyleUnderline"/>
        </w:rPr>
        <w:t xml:space="preserve"> that is </w:t>
      </w:r>
      <w:r w:rsidRPr="000E51DA">
        <w:rPr>
          <w:rStyle w:val="StyleUnderline"/>
          <w:highlight w:val="cyan"/>
        </w:rPr>
        <w:t>large enough to include both</w:t>
      </w:r>
      <w:r w:rsidRPr="00B64416">
        <w:rPr>
          <w:rStyle w:val="StyleUnderline"/>
        </w:rPr>
        <w:t xml:space="preserve"> the </w:t>
      </w:r>
      <w:r w:rsidRPr="000E51DA">
        <w:rPr>
          <w:rStyle w:val="StyleUnderline"/>
          <w:highlight w:val="cyan"/>
        </w:rPr>
        <w:t>haves and</w:t>
      </w:r>
      <w:r w:rsidRPr="00B64416">
        <w:rPr>
          <w:rStyle w:val="StyleUnderline"/>
        </w:rPr>
        <w:t xml:space="preserve"> the </w:t>
      </w:r>
      <w:proofErr w:type="spellStart"/>
      <w:r w:rsidRPr="000E51DA">
        <w:rPr>
          <w:rStyle w:val="StyleUnderline"/>
          <w:highlight w:val="cyan"/>
        </w:rPr>
        <w:t>havenots</w:t>
      </w:r>
      <w:proofErr w:type="spellEnd"/>
      <w:r>
        <w:t>.</w:t>
      </w:r>
    </w:p>
    <w:p w14:paraId="6D7BAE2A" w14:textId="77777777" w:rsidR="000C732F" w:rsidRDefault="000C732F" w:rsidP="000C732F">
      <w:r>
        <w:t xml:space="preserve">I argue here that </w:t>
      </w:r>
      <w:r w:rsidRPr="000E51DA">
        <w:rPr>
          <w:rStyle w:val="Emphasis"/>
          <w:highlight w:val="cyan"/>
        </w:rPr>
        <w:t>on</w:t>
      </w:r>
      <w:r w:rsidRPr="00B64416">
        <w:rPr>
          <w:rStyle w:val="Emphasis"/>
        </w:rPr>
        <w:t xml:space="preserve"> policy matters involving</w:t>
      </w:r>
      <w:r>
        <w:t xml:space="preserve"> some element of </w:t>
      </w:r>
      <w:r w:rsidRPr="000E51DA">
        <w:rPr>
          <w:rStyle w:val="Emphasis"/>
          <w:highlight w:val="cyan"/>
        </w:rPr>
        <w:t>redistribution</w:t>
      </w:r>
      <w:r w:rsidRPr="00B64416">
        <w:t>-</w:t>
      </w:r>
      <w:r>
        <w:t>that is, almost everything the government does-</w:t>
      </w:r>
      <w:r w:rsidRPr="000E51DA">
        <w:rPr>
          <w:rStyle w:val="Emphasis"/>
          <w:highlight w:val="cyan"/>
        </w:rPr>
        <w:t>fiscal decentralization</w:t>
      </w:r>
      <w:r>
        <w:t xml:space="preserve">, under the background condition of economic segregation, </w:t>
      </w:r>
      <w:r w:rsidRPr="000E51DA">
        <w:rPr>
          <w:rStyle w:val="Emphasis"/>
          <w:highlight w:val="cyan"/>
        </w:rPr>
        <w:t>will always result in increased inequality, compared to centralized redistribution</w:t>
      </w:r>
      <w:r>
        <w:t>. The existence of rising income inequality thus provides support for shifting the site of revenue collection to higher levels of government as a general policy, even as decision-making may be retained at local levels. This conclusion represents the opposite direction of recent policy debates, which have proposed sharply curbing or even eliminating federal support to states and local governments.</w:t>
      </w:r>
    </w:p>
    <w:p w14:paraId="3CD581E9" w14:textId="77777777" w:rsidR="000C732F" w:rsidRPr="00DD2C6F" w:rsidRDefault="000C732F" w:rsidP="000C732F">
      <w:r w:rsidRPr="000E51DA">
        <w:rPr>
          <w:rStyle w:val="Emphasis"/>
          <w:highlight w:val="cyan"/>
        </w:rPr>
        <w:t>The federal government can easily capture</w:t>
      </w:r>
      <w:r w:rsidRPr="0016151F">
        <w:rPr>
          <w:rStyle w:val="Emphasis"/>
        </w:rPr>
        <w:t xml:space="preserve"> the tremendous </w:t>
      </w:r>
      <w:r w:rsidRPr="000E51DA">
        <w:rPr>
          <w:rStyle w:val="Emphasis"/>
          <w:highlight w:val="cyan"/>
        </w:rPr>
        <w:t>wealth</w:t>
      </w:r>
      <w:r w:rsidRPr="0016151F">
        <w:rPr>
          <w:rStyle w:val="Emphasis"/>
        </w:rPr>
        <w:t xml:space="preserve"> that our economy produces, </w:t>
      </w:r>
      <w:r w:rsidRPr="000E51DA">
        <w:rPr>
          <w:rStyle w:val="Emphasis"/>
          <w:highlight w:val="cyan"/>
        </w:rPr>
        <w:t>no matter how it is distributed over geographic space within the country</w:t>
      </w:r>
      <w:r>
        <w:t xml:space="preserve">. From this basic insight, we can both better understand the shortcomings of the current system </w:t>
      </w:r>
      <w:proofErr w:type="gramStart"/>
      <w:r>
        <w:t>and also</w:t>
      </w:r>
      <w:proofErr w:type="gramEnd"/>
      <w:r>
        <w:t xml:space="preserve"> make specific recommendations for reform. </w:t>
      </w:r>
      <w:r w:rsidRPr="00F42766">
        <w:rPr>
          <w:rStyle w:val="StyleUnderline"/>
          <w:highlight w:val="cyan"/>
        </w:rPr>
        <w:t>Instead of devolving</w:t>
      </w:r>
      <w:r w:rsidRPr="0016151F">
        <w:rPr>
          <w:rStyle w:val="StyleUnderline"/>
        </w:rPr>
        <w:t xml:space="preserve"> the </w:t>
      </w:r>
      <w:r w:rsidRPr="00F42766">
        <w:rPr>
          <w:rStyle w:val="StyleUnderline"/>
          <w:highlight w:val="cyan"/>
        </w:rPr>
        <w:t>financing</w:t>
      </w:r>
      <w:r w:rsidRPr="0016151F">
        <w:rPr>
          <w:rStyle w:val="StyleUnderline"/>
        </w:rPr>
        <w:t xml:space="preserve"> of public investments</w:t>
      </w:r>
      <w:r>
        <w:t>-whether schools or courts or infrastructure-</w:t>
      </w:r>
      <w:r w:rsidRPr="00F42766">
        <w:rPr>
          <w:rStyle w:val="StyleUnderline"/>
          <w:highlight w:val="cyan"/>
        </w:rPr>
        <w:t>to ill-equipped</w:t>
      </w:r>
      <w:r>
        <w:t xml:space="preserve"> cities and </w:t>
      </w:r>
      <w:r w:rsidRPr="00F42766">
        <w:rPr>
          <w:rStyle w:val="StyleUnderline"/>
          <w:highlight w:val="cyan"/>
        </w:rPr>
        <w:t>states, the federal government should respond to</w:t>
      </w:r>
      <w:r w:rsidRPr="0016151F">
        <w:rPr>
          <w:rStyle w:val="StyleUnderline"/>
        </w:rPr>
        <w:t xml:space="preserve"> rising economic </w:t>
      </w:r>
      <w:r w:rsidRPr="00F42766">
        <w:rPr>
          <w:rStyle w:val="StyleUnderline"/>
          <w:highlight w:val="cyan"/>
        </w:rPr>
        <w:t>inequality by assuming responsibility for their funding</w:t>
      </w:r>
      <w:r>
        <w:t>.</w:t>
      </w:r>
    </w:p>
    <w:p w14:paraId="13939955" w14:textId="07B4AAAB" w:rsidR="00D04707" w:rsidRDefault="00D04707" w:rsidP="006024F5">
      <w:pPr>
        <w:pStyle w:val="Heading4"/>
        <w:numPr>
          <w:ilvl w:val="1"/>
          <w:numId w:val="2"/>
        </w:numPr>
      </w:pPr>
      <w:r>
        <w:t xml:space="preserve"> Local administrat</w:t>
      </w:r>
      <w:r w:rsidR="006024F5">
        <w:t>ion isn’t uniform</w:t>
      </w:r>
      <w:r>
        <w:t xml:space="preserve">, </w:t>
      </w:r>
      <w:r w:rsidR="006024F5">
        <w:t>results</w:t>
      </w:r>
      <w:r>
        <w:t xml:space="preserve"> in less uptake</w:t>
      </w:r>
      <w:r w:rsidR="006024F5">
        <w:t xml:space="preserve"> and reinforces </w:t>
      </w:r>
      <w:proofErr w:type="gramStart"/>
      <w:r w:rsidR="006024F5">
        <w:t>inequality</w:t>
      </w:r>
      <w:proofErr w:type="gramEnd"/>
    </w:p>
    <w:p w14:paraId="206E1398" w14:textId="77777777" w:rsidR="00D04707" w:rsidRDefault="00D04707" w:rsidP="00D04707">
      <w:r w:rsidRPr="00673024">
        <w:t xml:space="preserve">Sarah K. </w:t>
      </w:r>
      <w:r w:rsidRPr="00673024">
        <w:rPr>
          <w:rStyle w:val="Style13ptBold"/>
        </w:rPr>
        <w:t>Bruch et al 22,</w:t>
      </w:r>
      <w:r w:rsidRPr="00673024">
        <w:t xml:space="preserve"> associate professor in the Joseph R. Biden, Jr. School of Public Policy and Administration and the Department of Sociology and Criminal Justice at the University of Delaware. Janet C. </w:t>
      </w:r>
      <w:proofErr w:type="spellStart"/>
      <w:r w:rsidRPr="00673024">
        <w:t>Gornick</w:t>
      </w:r>
      <w:proofErr w:type="spellEnd"/>
      <w:r w:rsidRPr="00673024">
        <w:t xml:space="preserve"> is a professor of political science and sociology, director of the Stone Center on Socio- Economic Inequality, and the James M. and Cathleen D. Stone Distinguished Chair in Socio- Economic Inequality at the Graduate Center at the City University of New York. Joseph van der </w:t>
      </w:r>
      <w:proofErr w:type="spellStart"/>
      <w:r w:rsidRPr="00673024">
        <w:t>Naald</w:t>
      </w:r>
      <w:proofErr w:type="spellEnd"/>
      <w:r w:rsidRPr="00673024">
        <w:t xml:space="preserve"> is a PhD candidate in the sociology program at the Graduate Center of the City University of New York. "Geographic Inequality in Social Provision: Variation across the US States" </w:t>
      </w:r>
      <w:r w:rsidRPr="00673024">
        <w:rPr>
          <w:u w:val="single"/>
        </w:rPr>
        <w:t>Measuring Distribution and Mobility of Income and Wealth</w:t>
      </w:r>
      <w:r w:rsidRPr="00673024">
        <w:t>, Chapter 16.</w:t>
      </w:r>
      <w:r>
        <w:t xml:space="preserve"> //</w:t>
      </w:r>
      <w:proofErr w:type="spellStart"/>
      <w:r>
        <w:t>pipk</w:t>
      </w:r>
      <w:proofErr w:type="spellEnd"/>
    </w:p>
    <w:p w14:paraId="39F26D29" w14:textId="77777777" w:rsidR="00D04707" w:rsidRDefault="00D04707" w:rsidP="00D04707">
      <w:r>
        <w:t xml:space="preserve">The decentralized nature of the social safety net for economically vulnerable families with children is one of the most important structural features of the US welfare state. Our research establishes that </w:t>
      </w:r>
      <w:r w:rsidRPr="00D33B60">
        <w:rPr>
          <w:rStyle w:val="StyleUnderline"/>
        </w:rPr>
        <w:t xml:space="preserve">the extent of </w:t>
      </w:r>
      <w:proofErr w:type="spellStart"/>
      <w:r w:rsidRPr="000D614C">
        <w:rPr>
          <w:rStyle w:val="StyleUnderline"/>
          <w:highlight w:val="cyan"/>
        </w:rPr>
        <w:t>crossstate</w:t>
      </w:r>
      <w:proofErr w:type="spellEnd"/>
      <w:r w:rsidRPr="000D614C">
        <w:rPr>
          <w:rStyle w:val="StyleUnderline"/>
          <w:highlight w:val="cyan"/>
        </w:rPr>
        <w:t xml:space="preserve"> variation in</w:t>
      </w:r>
      <w:r w:rsidRPr="00D33B60">
        <w:rPr>
          <w:rStyle w:val="StyleUnderline"/>
        </w:rPr>
        <w:t xml:space="preserve"> the generosity and </w:t>
      </w:r>
      <w:r w:rsidRPr="000D614C">
        <w:rPr>
          <w:rStyle w:val="StyleUnderline"/>
          <w:highlight w:val="cyan"/>
        </w:rPr>
        <w:t>inclusiveness of safety net provision is extensive</w:t>
      </w:r>
      <w:r w:rsidRPr="00D33B60">
        <w:rPr>
          <w:rStyle w:val="StyleUnderline"/>
        </w:rPr>
        <w:t xml:space="preserve">, thus </w:t>
      </w:r>
      <w:r w:rsidRPr="000D614C">
        <w:rPr>
          <w:rStyle w:val="StyleUnderline"/>
          <w:highlight w:val="cyan"/>
        </w:rPr>
        <w:t>constituting a crucial form of inequality</w:t>
      </w:r>
      <w:r>
        <w:t>— inequality in the treatment of similar needs and claims by people who happen to live in different states.</w:t>
      </w:r>
    </w:p>
    <w:p w14:paraId="2452878D" w14:textId="77777777" w:rsidR="00D04707" w:rsidRDefault="00D04707" w:rsidP="00D04707">
      <w:r>
        <w:t xml:space="preserve">We argue that </w:t>
      </w:r>
      <w:r w:rsidRPr="00D33B60">
        <w:rPr>
          <w:rStyle w:val="StyleUnderline"/>
        </w:rPr>
        <w:t>this</w:t>
      </w:r>
      <w:r>
        <w:t xml:space="preserve"> form of inequality </w:t>
      </w:r>
      <w:r w:rsidRPr="00D33B60">
        <w:rPr>
          <w:rStyle w:val="StyleUnderline"/>
        </w:rPr>
        <w:t>deserves</w:t>
      </w:r>
      <w:r>
        <w:t xml:space="preserve"> more </w:t>
      </w:r>
      <w:r w:rsidRPr="00D33B60">
        <w:rPr>
          <w:rStyle w:val="StyleUnderline"/>
        </w:rPr>
        <w:t xml:space="preserve">sustained attention, particularly </w:t>
      </w:r>
      <w:proofErr w:type="gramStart"/>
      <w:r w:rsidRPr="00D33B60">
        <w:rPr>
          <w:rStyle w:val="StyleUnderline"/>
        </w:rPr>
        <w:t>with regard to</w:t>
      </w:r>
      <w:proofErr w:type="gramEnd"/>
      <w:r w:rsidRPr="00D33B60">
        <w:rPr>
          <w:rStyle w:val="StyleUnderline"/>
        </w:rPr>
        <w:t xml:space="preserve"> policy design and reform</w:t>
      </w:r>
      <w:r>
        <w:t xml:space="preserve">. </w:t>
      </w:r>
      <w:r w:rsidRPr="00D33B60">
        <w:rPr>
          <w:rStyle w:val="StyleUnderline"/>
        </w:rPr>
        <w:t xml:space="preserve">In designing social policies, </w:t>
      </w:r>
      <w:r w:rsidRPr="000D614C">
        <w:rPr>
          <w:rStyle w:val="StyleUnderline"/>
          <w:highlight w:val="cyan"/>
        </w:rPr>
        <w:t>there is a clear trade- off between uniformity through national provision</w:t>
      </w:r>
      <w:r w:rsidRPr="00D33B60">
        <w:rPr>
          <w:rStyle w:val="StyleUnderline"/>
        </w:rPr>
        <w:t xml:space="preserve">, reflective of equality in social rights and equity considerations, </w:t>
      </w:r>
      <w:r w:rsidRPr="000D614C">
        <w:rPr>
          <w:rStyle w:val="StyleUnderline"/>
          <w:highlight w:val="cyan"/>
        </w:rPr>
        <w:t>and variability through state</w:t>
      </w:r>
      <w:r w:rsidRPr="00D33B60">
        <w:rPr>
          <w:rStyle w:val="StyleUnderline"/>
        </w:rPr>
        <w:t xml:space="preserve"> or local </w:t>
      </w:r>
      <w:r w:rsidRPr="000D614C">
        <w:rPr>
          <w:rStyle w:val="StyleUnderline"/>
          <w:highlight w:val="cyan"/>
        </w:rPr>
        <w:t>provision</w:t>
      </w:r>
      <w:r w:rsidRPr="00D33B60">
        <w:rPr>
          <w:rStyle w:val="StyleUnderline"/>
        </w:rPr>
        <w:t xml:space="preserve">, indicating substantial inequality in rights and a lack of centralized effort aimed at equity in provision </w:t>
      </w:r>
      <w:r>
        <w:t>(</w:t>
      </w:r>
      <w:proofErr w:type="spellStart"/>
      <w:r>
        <w:t>Obinger</w:t>
      </w:r>
      <w:proofErr w:type="spellEnd"/>
      <w:r>
        <w:t xml:space="preserve">, Castles, and </w:t>
      </w:r>
      <w:proofErr w:type="spellStart"/>
      <w:r>
        <w:t>Leibfried</w:t>
      </w:r>
      <w:proofErr w:type="spellEnd"/>
      <w:r>
        <w:t xml:space="preserve"> 2005). As Aaron </w:t>
      </w:r>
      <w:proofErr w:type="spellStart"/>
      <w:r>
        <w:t>Wildavsky</w:t>
      </w:r>
      <w:proofErr w:type="spellEnd"/>
      <w:r>
        <w:t xml:space="preserve"> (1985) famously noted, “</w:t>
      </w:r>
      <w:r w:rsidRPr="000D614C">
        <w:rPr>
          <w:rStyle w:val="Emphasis"/>
          <w:highlight w:val="cyan"/>
        </w:rPr>
        <w:t>federalism means inequality</w:t>
      </w:r>
      <w:r>
        <w:t xml:space="preserve">”— </w:t>
      </w:r>
      <w:r w:rsidRPr="00D33B60">
        <w:rPr>
          <w:rStyle w:val="Emphasis"/>
        </w:rPr>
        <w:t xml:space="preserve">and </w:t>
      </w:r>
      <w:r w:rsidRPr="000D614C">
        <w:rPr>
          <w:rStyle w:val="Emphasis"/>
          <w:highlight w:val="cyan"/>
        </w:rPr>
        <w:t>our work confirms that</w:t>
      </w:r>
      <w:r w:rsidRPr="00D33B60">
        <w:rPr>
          <w:rStyle w:val="Emphasis"/>
        </w:rPr>
        <w:t>.</w:t>
      </w:r>
    </w:p>
    <w:p w14:paraId="0D26F4E8" w14:textId="77777777" w:rsidR="00D04707" w:rsidRDefault="00D04707" w:rsidP="00D04707">
      <w:r>
        <w:t xml:space="preserve">While more research is needed, the findings we present in this chapter demonstrate that </w:t>
      </w:r>
      <w:r w:rsidRPr="00D33B60">
        <w:rPr>
          <w:rStyle w:val="StyleUnderline"/>
        </w:rPr>
        <w:t>the</w:t>
      </w:r>
      <w:r>
        <w:t xml:space="preserve"> </w:t>
      </w:r>
      <w:r w:rsidRPr="000D614C">
        <w:rPr>
          <w:rStyle w:val="Emphasis"/>
          <w:highlight w:val="cyan"/>
        </w:rPr>
        <w:t>U</w:t>
      </w:r>
      <w:r>
        <w:t xml:space="preserve">nited </w:t>
      </w:r>
      <w:r w:rsidRPr="000D614C">
        <w:rPr>
          <w:rStyle w:val="Emphasis"/>
          <w:highlight w:val="cyan"/>
        </w:rPr>
        <w:t>S</w:t>
      </w:r>
      <w:r>
        <w:t xml:space="preserve">tates’ </w:t>
      </w:r>
      <w:r w:rsidRPr="000D614C">
        <w:rPr>
          <w:rStyle w:val="Emphasis"/>
          <w:highlight w:val="cyan"/>
        </w:rPr>
        <w:t xml:space="preserve">decentralized safety net leads to </w:t>
      </w:r>
      <w:proofErr w:type="spellStart"/>
      <w:r w:rsidRPr="000D614C">
        <w:rPr>
          <w:rStyle w:val="Emphasis"/>
          <w:highlight w:val="cyan"/>
        </w:rPr>
        <w:t>crossstate</w:t>
      </w:r>
      <w:proofErr w:type="spellEnd"/>
      <w:r w:rsidRPr="000D614C">
        <w:rPr>
          <w:rStyle w:val="Emphasis"/>
          <w:highlight w:val="cyan"/>
        </w:rPr>
        <w:t xml:space="preserve"> inequalities</w:t>
      </w:r>
      <w:r w:rsidRPr="00D33B60">
        <w:rPr>
          <w:rStyle w:val="Emphasis"/>
        </w:rPr>
        <w:t xml:space="preserve"> in public supports for citizens with similar needs</w:t>
      </w:r>
      <w:r>
        <w:t xml:space="preserve">. That is an important finding, because this policy variation is associated with </w:t>
      </w:r>
      <w:r w:rsidRPr="000D614C">
        <w:rPr>
          <w:rStyle w:val="StyleUnderline"/>
          <w:highlight w:val="cyan"/>
        </w:rPr>
        <w:t>state</w:t>
      </w:r>
      <w:r>
        <w:t xml:space="preserve">s’ racial and ethnic composition, </w:t>
      </w:r>
      <w:r w:rsidRPr="00AB0761">
        <w:rPr>
          <w:rStyle w:val="StyleUnderline"/>
        </w:rPr>
        <w:t>such</w:t>
      </w:r>
      <w:r>
        <w:t xml:space="preserve"> that </w:t>
      </w:r>
      <w:r w:rsidRPr="00AB0761">
        <w:rPr>
          <w:rStyle w:val="StyleUnderline"/>
        </w:rPr>
        <w:t xml:space="preserve">social </w:t>
      </w:r>
      <w:r w:rsidRPr="000D614C">
        <w:rPr>
          <w:rStyle w:val="StyleUnderline"/>
          <w:highlight w:val="cyan"/>
        </w:rPr>
        <w:t>policies</w:t>
      </w:r>
      <w:r w:rsidRPr="00AB0761">
        <w:rPr>
          <w:rStyle w:val="StyleUnderline"/>
        </w:rPr>
        <w:t xml:space="preserve"> reflect and </w:t>
      </w:r>
      <w:r w:rsidRPr="000D614C">
        <w:rPr>
          <w:rStyle w:val="StyleUnderline"/>
          <w:highlight w:val="cyan"/>
        </w:rPr>
        <w:t>reinforce localized structures of inequality</w:t>
      </w:r>
      <w:r>
        <w:t xml:space="preserve">. </w:t>
      </w:r>
      <w:r w:rsidRPr="00AB0761">
        <w:rPr>
          <w:rStyle w:val="StyleUnderline"/>
        </w:rPr>
        <w:t xml:space="preserve">The </w:t>
      </w:r>
      <w:r w:rsidRPr="000D614C">
        <w:rPr>
          <w:rStyle w:val="StyleUnderline"/>
          <w:highlight w:val="cyan"/>
        </w:rPr>
        <w:t xml:space="preserve">implications of </w:t>
      </w:r>
      <w:r w:rsidRPr="000D614C">
        <w:rPr>
          <w:rStyle w:val="StyleUnderline"/>
        </w:rPr>
        <w:t xml:space="preserve">policy </w:t>
      </w:r>
      <w:r w:rsidRPr="000D614C">
        <w:rPr>
          <w:rStyle w:val="StyleUnderline"/>
          <w:highlight w:val="cyan"/>
        </w:rPr>
        <w:t>decentralization for</w:t>
      </w:r>
      <w:r w:rsidRPr="00AB0761">
        <w:rPr>
          <w:rStyle w:val="StyleUnderline"/>
        </w:rPr>
        <w:t xml:space="preserve"> the patterning of </w:t>
      </w:r>
      <w:r w:rsidRPr="000D614C">
        <w:rPr>
          <w:rStyle w:val="StyleUnderline"/>
          <w:highlight w:val="cyan"/>
        </w:rPr>
        <w:t>racial inequality</w:t>
      </w:r>
      <w:r w:rsidRPr="00AB0761">
        <w:rPr>
          <w:rStyle w:val="StyleUnderline"/>
        </w:rPr>
        <w:t xml:space="preserve"> in the US </w:t>
      </w:r>
      <w:r w:rsidRPr="000D614C">
        <w:rPr>
          <w:rStyle w:val="StyleUnderline"/>
          <w:highlight w:val="cyan"/>
        </w:rPr>
        <w:t xml:space="preserve">are </w:t>
      </w:r>
      <w:r w:rsidRPr="000D614C">
        <w:rPr>
          <w:rStyle w:val="StyleUnderline"/>
        </w:rPr>
        <w:t xml:space="preserve">most </w:t>
      </w:r>
      <w:r w:rsidRPr="000D614C">
        <w:rPr>
          <w:rStyle w:val="StyleUnderline"/>
          <w:highlight w:val="cyan"/>
        </w:rPr>
        <w:t>visible</w:t>
      </w:r>
      <w:r>
        <w:t>, as we have shown, in the disparity between the two programs that we examined closely: TANF and SSI.</w:t>
      </w:r>
    </w:p>
    <w:p w14:paraId="2A8E231A" w14:textId="77777777" w:rsidR="00D04707" w:rsidRDefault="00D04707" w:rsidP="00D04707">
      <w:r>
        <w:t xml:space="preserve">One of our key conclusions is that, </w:t>
      </w:r>
      <w:r w:rsidRPr="00AB0761">
        <w:rPr>
          <w:rStyle w:val="StyleUnderline"/>
        </w:rPr>
        <w:t xml:space="preserve">among programs that operate with greater levels of state discretion, </w:t>
      </w:r>
      <w:r w:rsidRPr="000D614C">
        <w:rPr>
          <w:rStyle w:val="StyleUnderline"/>
          <w:highlight w:val="cyan"/>
        </w:rPr>
        <w:t>states</w:t>
      </w:r>
      <w:r w:rsidRPr="00AB0761">
        <w:rPr>
          <w:rStyle w:val="StyleUnderline"/>
        </w:rPr>
        <w:t xml:space="preserve"> with a higher proportion of Blacks and historically marginalized populations provide lesser benefits and </w:t>
      </w:r>
      <w:r w:rsidRPr="000D614C">
        <w:rPr>
          <w:rStyle w:val="StyleUnderline"/>
          <w:highlight w:val="cyan"/>
        </w:rPr>
        <w:t>serve fewer needy individuals</w:t>
      </w:r>
      <w:r>
        <w:t>. That is, while program design provides all states the same degree of discretion, that discretion is used in ways that reflect the state’s racial composition. As we noted earlier, links between states’ social provision and their racial and ethnic composition are complex. Our motivating concern was that correlations between policy features and racial and ethnic composition might lead to an insidious form of disparity: Blacks and members of other marginalized populations, due to their patterns of residential location, may receive less generous and less inclusive social protection. Our empirical results support that conclusion.</w:t>
      </w:r>
    </w:p>
    <w:p w14:paraId="29E5667A" w14:textId="77777777" w:rsidR="00D04707" w:rsidRDefault="00D04707" w:rsidP="00D04707">
      <w:r w:rsidRPr="00B07304">
        <w:rPr>
          <w:rStyle w:val="StyleUnderline"/>
          <w:highlight w:val="cyan"/>
        </w:rPr>
        <w:t>When analyzing</w:t>
      </w:r>
      <w:r>
        <w:t xml:space="preserve"> potential improvements to </w:t>
      </w:r>
      <w:r w:rsidRPr="00B07304">
        <w:rPr>
          <w:rStyle w:val="StyleUnderline"/>
          <w:highlight w:val="cyan"/>
        </w:rPr>
        <w:t>the US safety net, it is crucial</w:t>
      </w:r>
      <w:r w:rsidRPr="00754523">
        <w:rPr>
          <w:rStyle w:val="StyleUnderline"/>
        </w:rPr>
        <w:t xml:space="preserve"> that </w:t>
      </w:r>
      <w:r w:rsidRPr="00B07304">
        <w:rPr>
          <w:rStyle w:val="StyleUnderline"/>
          <w:highlight w:val="cyan"/>
        </w:rPr>
        <w:t>we</w:t>
      </w:r>
      <w:r w:rsidRPr="00754523">
        <w:rPr>
          <w:rStyle w:val="StyleUnderline"/>
        </w:rPr>
        <w:t xml:space="preserve"> better </w:t>
      </w:r>
      <w:r w:rsidRPr="00B07304">
        <w:rPr>
          <w:rStyle w:val="StyleUnderline"/>
          <w:highlight w:val="cyan"/>
        </w:rPr>
        <w:t>understand the role of state and local</w:t>
      </w:r>
      <w:r w:rsidRPr="00754523">
        <w:rPr>
          <w:rStyle w:val="StyleUnderline"/>
        </w:rPr>
        <w:t xml:space="preserve"> policymakers and </w:t>
      </w:r>
      <w:r w:rsidRPr="00B07304">
        <w:rPr>
          <w:rStyle w:val="StyleUnderline"/>
          <w:highlight w:val="cyan"/>
        </w:rPr>
        <w:t xml:space="preserve">administrators, as well as the equalizing role that the federal government </w:t>
      </w:r>
      <w:r w:rsidRPr="00B07304">
        <w:rPr>
          <w:rStyle w:val="StyleUnderline"/>
        </w:rPr>
        <w:t>and</w:t>
      </w:r>
      <w:r w:rsidRPr="00754523">
        <w:rPr>
          <w:rStyle w:val="StyleUnderline"/>
        </w:rPr>
        <w:t xml:space="preserve">/or more uniform policy designs </w:t>
      </w:r>
      <w:r w:rsidRPr="00B07304">
        <w:rPr>
          <w:rStyle w:val="StyleUnderline"/>
          <w:highlight w:val="cyan"/>
        </w:rPr>
        <w:t>can play in ensuring equal protection</w:t>
      </w:r>
      <w:r w:rsidRPr="00754523">
        <w:rPr>
          <w:rStyle w:val="StyleUnderline"/>
        </w:rPr>
        <w:t xml:space="preserve"> and rights. </w:t>
      </w:r>
      <w:proofErr w:type="gramStart"/>
      <w:r w:rsidRPr="00754523">
        <w:rPr>
          <w:rStyle w:val="StyleUnderline"/>
        </w:rPr>
        <w:t>Both of these</w:t>
      </w:r>
      <w:proofErr w:type="gramEnd"/>
      <w:r w:rsidRPr="00754523">
        <w:rPr>
          <w:rStyle w:val="StyleUnderline"/>
        </w:rPr>
        <w:t xml:space="preserve"> analytic perspectives are </w:t>
      </w:r>
      <w:r w:rsidRPr="00B07304">
        <w:rPr>
          <w:rStyle w:val="StyleUnderline"/>
          <w:highlight w:val="cyan"/>
        </w:rPr>
        <w:t>increasingly pressing</w:t>
      </w:r>
      <w:r w:rsidRPr="00B07304">
        <w:rPr>
          <w:rStyle w:val="StyleUnderline"/>
        </w:rPr>
        <w:t xml:space="preserve">; </w:t>
      </w:r>
      <w:r w:rsidRPr="00B07304">
        <w:t>the</w:t>
      </w:r>
      <w:r>
        <w:t xml:space="preserve"> effects of the COVID- 19 pandemic, and the concurrent economic and social crises, have already revealed familiar patterns of racial inequality, </w:t>
      </w:r>
      <w:r w:rsidRPr="00B07304">
        <w:rPr>
          <w:rStyle w:val="StyleUnderline"/>
          <w:highlight w:val="cyan"/>
        </w:rPr>
        <w:t>with respect to</w:t>
      </w:r>
      <w:r w:rsidRPr="00754523">
        <w:rPr>
          <w:rStyle w:val="StyleUnderline"/>
        </w:rPr>
        <w:t xml:space="preserve"> both </w:t>
      </w:r>
      <w:r w:rsidRPr="00B07304">
        <w:rPr>
          <w:rStyle w:val="StyleUnderline"/>
          <w:highlight w:val="cyan"/>
        </w:rPr>
        <w:t>health</w:t>
      </w:r>
      <w:r w:rsidRPr="00754523">
        <w:rPr>
          <w:rStyle w:val="StyleUnderline"/>
        </w:rPr>
        <w:t xml:space="preserve"> outcomes </w:t>
      </w:r>
      <w:r w:rsidRPr="00B07304">
        <w:rPr>
          <w:rStyle w:val="StyleUnderline"/>
          <w:highlight w:val="cyan"/>
        </w:rPr>
        <w:t>and economic insecurity</w:t>
      </w:r>
      <w:r>
        <w:t xml:space="preserve"> (Gould and Wilson 2020).</w:t>
      </w:r>
    </w:p>
    <w:p w14:paraId="60991B7A" w14:textId="77777777" w:rsidR="00D04707" w:rsidRPr="002949B4" w:rsidRDefault="00D04707" w:rsidP="00D04707"/>
    <w:p w14:paraId="0F10DC26" w14:textId="1C1AC622" w:rsidR="00C87181" w:rsidRDefault="00C87181" w:rsidP="006024F5">
      <w:pPr>
        <w:pStyle w:val="Heading4"/>
        <w:numPr>
          <w:ilvl w:val="0"/>
          <w:numId w:val="2"/>
        </w:numPr>
      </w:pPr>
      <w:r>
        <w:t>Uniform fifty state fiat is a voting issue. Distorts the literature, is bad for education, disincentivizes research, avoids clash in favor of fiat. Our counter-</w:t>
      </w:r>
      <w:proofErr w:type="spellStart"/>
      <w:r>
        <w:t>interp</w:t>
      </w:r>
      <w:proofErr w:type="spellEnd"/>
      <w:r>
        <w:t xml:space="preserve"> is they can fiat non-uniformity to allow for state variation which allows for better clash because that’s what the literature assumes. Even if it’s not a voter, they didn’t fiat uniformity of implementation, just uniformity of policy. Variation is still inevitable which means the relative federal efficacy of implementation is still a deficit they can’t fiat through.  </w:t>
      </w:r>
    </w:p>
    <w:p w14:paraId="7F5FCC73" w14:textId="77777777" w:rsidR="0016151F" w:rsidRPr="0016151F" w:rsidRDefault="0016151F" w:rsidP="0016151F"/>
    <w:p w14:paraId="2A08D9C5" w14:textId="458959EF" w:rsidR="00E74AD0" w:rsidRPr="00E74AD0" w:rsidRDefault="00E74AD0" w:rsidP="006024F5">
      <w:pPr>
        <w:pStyle w:val="Heading4"/>
        <w:numPr>
          <w:ilvl w:val="0"/>
          <w:numId w:val="2"/>
        </w:numPr>
      </w:pPr>
      <w:r>
        <w:t xml:space="preserve">Fiscal volatility </w:t>
      </w:r>
      <w:proofErr w:type="spellStart"/>
      <w:r>
        <w:t>disad</w:t>
      </w:r>
      <w:proofErr w:type="spellEnd"/>
      <w:r w:rsidR="00CB7476">
        <w:t xml:space="preserve">. </w:t>
      </w:r>
    </w:p>
    <w:p w14:paraId="345E2299" w14:textId="299F03DB" w:rsidR="00A667E8" w:rsidRDefault="00A667E8" w:rsidP="006024F5">
      <w:pPr>
        <w:pStyle w:val="Heading4"/>
        <w:numPr>
          <w:ilvl w:val="1"/>
          <w:numId w:val="2"/>
        </w:numPr>
      </w:pPr>
      <w:r>
        <w:t xml:space="preserve">The counterplan causes </w:t>
      </w:r>
      <w:r w:rsidR="008A36E0">
        <w:t>it. Makes</w:t>
      </w:r>
      <w:r w:rsidR="00224281">
        <w:t xml:space="preserve"> </w:t>
      </w:r>
      <w:r w:rsidR="004B383D">
        <w:t xml:space="preserve">the inevitable next recession worse, which </w:t>
      </w:r>
      <w:r w:rsidR="00D7152E">
        <w:t>means we control the internal link to the economy impact</w:t>
      </w:r>
      <w:r w:rsidR="00224281">
        <w:t xml:space="preserve">. </w:t>
      </w:r>
    </w:p>
    <w:p w14:paraId="1A62180F" w14:textId="77777777" w:rsidR="00A667E8" w:rsidRPr="00EF5FDD" w:rsidRDefault="00A667E8" w:rsidP="00A667E8">
      <w:r w:rsidRPr="00675777">
        <w:t xml:space="preserve">John R. </w:t>
      </w:r>
      <w:r w:rsidRPr="00675777">
        <w:rPr>
          <w:rStyle w:val="Style13ptBold"/>
        </w:rPr>
        <w:t>Brooks</w:t>
      </w:r>
      <w:r w:rsidRPr="00675777">
        <w:t xml:space="preserve"> II </w:t>
      </w:r>
      <w:r w:rsidRPr="00675777">
        <w:rPr>
          <w:rStyle w:val="Style13ptBold"/>
        </w:rPr>
        <w:t>14</w:t>
      </w:r>
      <w:r w:rsidRPr="00675777">
        <w:t>, Associate Professor of Law, Georgetown University Law Center. Fiscal Federalism as Risk-Sharing: The Insurance Role of Redistributive Taxation, 68 Tax L. Rev. 89</w:t>
      </w:r>
      <w:r>
        <w:t xml:space="preserve"> //</w:t>
      </w:r>
      <w:proofErr w:type="spellStart"/>
      <w:proofErr w:type="gramStart"/>
      <w:r>
        <w:t>pipk</w:t>
      </w:r>
      <w:proofErr w:type="spellEnd"/>
      <w:proofErr w:type="gramEnd"/>
    </w:p>
    <w:p w14:paraId="4041AE12" w14:textId="77777777" w:rsidR="00A667E8" w:rsidRDefault="00A667E8" w:rsidP="00A667E8">
      <w:r>
        <w:t>B. Insurance Function</w:t>
      </w:r>
    </w:p>
    <w:p w14:paraId="32BFD257" w14:textId="77777777" w:rsidR="00A667E8" w:rsidRDefault="00A667E8" w:rsidP="00A667E8">
      <w:r>
        <w:t xml:space="preserve">While a state may rationally choose to perform some redistribution without causing crippling levels of migration, that does not mean that </w:t>
      </w:r>
      <w:r w:rsidRPr="00CB7476">
        <w:rPr>
          <w:rStyle w:val="StyleUnderline"/>
          <w:highlight w:val="cyan"/>
        </w:rPr>
        <w:t>there are</w:t>
      </w:r>
      <w:r>
        <w:t xml:space="preserve"> no </w:t>
      </w:r>
      <w:r w:rsidRPr="00CB7476">
        <w:rPr>
          <w:rStyle w:val="StyleUnderline"/>
          <w:highlight w:val="cyan"/>
        </w:rPr>
        <w:t>costs of state-level redistribution</w:t>
      </w:r>
      <w:r w:rsidRPr="00455B91">
        <w:rPr>
          <w:rStyle w:val="StyleUnderline"/>
        </w:rPr>
        <w:t xml:space="preserve"> and progressive income taxes.</w:t>
      </w:r>
      <w:r>
        <w:t xml:space="preserve"> This Section focuses on two other costs of a progressive income tax: </w:t>
      </w:r>
      <w:r w:rsidRPr="00CB7476">
        <w:rPr>
          <w:rStyle w:val="Emphasis"/>
          <w:highlight w:val="cyan"/>
        </w:rPr>
        <w:t xml:space="preserve">fiscal volatility </w:t>
      </w:r>
      <w:r w:rsidRPr="004546C5">
        <w:t>and the actuarial costs of a smaller risk pool.</w:t>
      </w:r>
    </w:p>
    <w:p w14:paraId="03F5195E" w14:textId="77777777" w:rsidR="00A667E8" w:rsidRDefault="00A667E8" w:rsidP="00A667E8">
      <w:r>
        <w:t xml:space="preserve">These costs are </w:t>
      </w:r>
      <w:r w:rsidRPr="00455B91">
        <w:rPr>
          <w:rStyle w:val="StyleUnderline"/>
        </w:rPr>
        <w:t>rooted in the insurance function of a redistributive tax-and-transfer system</w:t>
      </w:r>
      <w:r>
        <w:t xml:space="preserve">, rather than solely its redistributive function. </w:t>
      </w:r>
      <w:r w:rsidRPr="00AE0EBE">
        <w:rPr>
          <w:rStyle w:val="StyleUnderline"/>
          <w:highlight w:val="cyan"/>
        </w:rPr>
        <w:t>State fiscal volatility reflects</w:t>
      </w:r>
      <w:r w:rsidRPr="00455B91">
        <w:rPr>
          <w:rStyle w:val="StyleUnderline"/>
        </w:rPr>
        <w:t xml:space="preserve"> the increased demand on the system as a result of </w:t>
      </w:r>
      <w:r w:rsidRPr="00AE0EBE">
        <w:rPr>
          <w:rStyle w:val="StyleUnderline"/>
          <w:highlight w:val="cyan"/>
        </w:rPr>
        <w:t>individual income fluctuations and shocks</w:t>
      </w:r>
      <w:r w:rsidRPr="00455B91">
        <w:rPr>
          <w:rStyle w:val="StyleUnderline"/>
        </w:rPr>
        <w:t xml:space="preserve"> that are at least somewhat independent of individuals' endowments and </w:t>
      </w:r>
      <w:proofErr w:type="gramStart"/>
      <w:r w:rsidRPr="00455B91">
        <w:rPr>
          <w:rStyle w:val="StyleUnderline"/>
        </w:rPr>
        <w:t xml:space="preserve">effort, </w:t>
      </w:r>
      <w:r w:rsidRPr="00AE0EBE">
        <w:rPr>
          <w:rStyle w:val="StyleUnderline"/>
          <w:highlight w:val="cyan"/>
        </w:rPr>
        <w:t>and</w:t>
      </w:r>
      <w:proofErr w:type="gramEnd"/>
      <w:r w:rsidRPr="00AE0EBE">
        <w:rPr>
          <w:rStyle w:val="StyleUnderline"/>
          <w:highlight w:val="cyan"/>
        </w:rPr>
        <w:t xml:space="preserve"> shows the strain on a state as it tries to smooth the volatility of individuals' incomes</w:t>
      </w:r>
      <w:r>
        <w:t xml:space="preserve">. And this is partly because </w:t>
      </w:r>
      <w:r w:rsidRPr="00AE0EBE">
        <w:rPr>
          <w:rStyle w:val="StyleUnderline"/>
          <w:highlight w:val="cyan"/>
        </w:rPr>
        <w:t>a state risk pool is smaller and more cross-correlated than a federal risk pool, and thus does not provide sufficient income smoothing</w:t>
      </w:r>
      <w:r>
        <w:t>. 165</w:t>
      </w:r>
    </w:p>
    <w:p w14:paraId="6CDAE2BE" w14:textId="77777777" w:rsidR="00A667E8" w:rsidRDefault="00A667E8" w:rsidP="00A667E8">
      <w:r>
        <w:t>1. Fiscal Volatility</w:t>
      </w:r>
    </w:p>
    <w:p w14:paraId="24398AB0" w14:textId="77777777" w:rsidR="00A667E8" w:rsidRDefault="00A667E8" w:rsidP="00A667E8">
      <w:r w:rsidRPr="00AE0EBE">
        <w:rPr>
          <w:rStyle w:val="Emphasis"/>
          <w:highlight w:val="cyan"/>
        </w:rPr>
        <w:t>Due to</w:t>
      </w:r>
      <w:r w:rsidRPr="00AA7D8D">
        <w:rPr>
          <w:rStyle w:val="Emphasis"/>
        </w:rPr>
        <w:t xml:space="preserve"> the </w:t>
      </w:r>
      <w:r w:rsidRPr="00AE0EBE">
        <w:rPr>
          <w:rStyle w:val="Emphasis"/>
          <w:highlight w:val="cyan"/>
        </w:rPr>
        <w:t>fluctuation of incomes with the business cycle</w:t>
      </w:r>
      <w:r w:rsidRPr="00AA7D8D">
        <w:rPr>
          <w:rStyle w:val="Emphasis"/>
        </w:rPr>
        <w:t xml:space="preserve">, personal </w:t>
      </w:r>
      <w:r w:rsidRPr="00AE0EBE">
        <w:rPr>
          <w:rStyle w:val="Emphasis"/>
          <w:highlight w:val="cyan"/>
        </w:rPr>
        <w:t>income taxes are among the most volatile of revenue sources, second only to corporate income taxes</w:t>
      </w:r>
      <w:r>
        <w:t xml:space="preserve">. 166 </w:t>
      </w:r>
      <w:r w:rsidRPr="00AA7D8D">
        <w:rPr>
          <w:rStyle w:val="Emphasis"/>
        </w:rPr>
        <w:t xml:space="preserve">As a result, </w:t>
      </w:r>
      <w:r w:rsidRPr="004E0C71">
        <w:rPr>
          <w:rStyle w:val="Emphasis"/>
          <w:highlight w:val="cyan"/>
        </w:rPr>
        <w:t>states that rely heavily on personal income taxes face the risk of budget shortfalls during an economic downturn, precisely when the demand for social services is likely to be higher</w:t>
      </w:r>
      <w:r>
        <w:t xml:space="preserve">. 167 Furthermore, state reliance on personal income taxes has increased, going from 16.6% of total state and local tax revenues in 1977 to a peak of 22.9% in 2008, before dropping to 20.5% </w:t>
      </w:r>
      <w:proofErr w:type="gramStart"/>
      <w:r>
        <w:t>in  [</w:t>
      </w:r>
      <w:proofErr w:type="gramEnd"/>
      <w:r>
        <w:t>*121]  2010 168 (the drop in response to the Great Recession being evidence of precisely that short-term volatility).</w:t>
      </w:r>
    </w:p>
    <w:p w14:paraId="4E8A388F" w14:textId="77777777" w:rsidR="00A667E8" w:rsidRDefault="00A667E8" w:rsidP="00A667E8">
      <w:r w:rsidRPr="004E0C71">
        <w:rPr>
          <w:rStyle w:val="Emphasis"/>
          <w:highlight w:val="cyan"/>
        </w:rPr>
        <w:t>A progressive income tax is especially volatile</w:t>
      </w:r>
      <w:r>
        <w:t xml:space="preserve">, </w:t>
      </w:r>
      <w:r w:rsidRPr="00F23BFC">
        <w:rPr>
          <w:rStyle w:val="StyleUnderline"/>
        </w:rPr>
        <w:t>since it raises a greater proportion of its revenue from the wealthiest residents</w:t>
      </w:r>
      <w:r>
        <w:t xml:space="preserve">. </w:t>
      </w:r>
      <w:r w:rsidRPr="002A1326">
        <w:rPr>
          <w:rStyle w:val="StyleUnderline"/>
          <w:highlight w:val="cyan"/>
        </w:rPr>
        <w:t>Income for those in higher brackets tends to be more volatile</w:t>
      </w:r>
      <w:r w:rsidRPr="00F23BFC">
        <w:rPr>
          <w:rStyle w:val="StyleUnderline"/>
        </w:rPr>
        <w:t>, especially because capital income is a larger proportion of overall income for high earners</w:t>
      </w:r>
      <w:r>
        <w:t xml:space="preserve">, 169 </w:t>
      </w:r>
      <w:r w:rsidRPr="00F23BFC">
        <w:rPr>
          <w:rStyle w:val="StyleUnderline"/>
        </w:rPr>
        <w:t>and thus a progressive income tax is likely to be more volatile than a proportional income tax that has the same expected revenue</w:t>
      </w:r>
      <w:r>
        <w:t xml:space="preserve">. 170 </w:t>
      </w:r>
      <w:r w:rsidRPr="00F23BFC">
        <w:rPr>
          <w:rStyle w:val="StyleUnderline"/>
        </w:rPr>
        <w:t xml:space="preserve">Finally, </w:t>
      </w:r>
      <w:r w:rsidRPr="002A1326">
        <w:rPr>
          <w:rStyle w:val="StyleUnderline"/>
          <w:highlight w:val="cyan"/>
        </w:rPr>
        <w:t>as income inequality increases, the relative reliance on volatile upper incomes is becoming even more pronounced</w:t>
      </w:r>
      <w:r>
        <w:t>. 171</w:t>
      </w:r>
    </w:p>
    <w:p w14:paraId="27A8AFC0" w14:textId="77777777" w:rsidR="00A667E8" w:rsidRDefault="00A667E8" w:rsidP="00A667E8">
      <w:r w:rsidRPr="002A1326">
        <w:rPr>
          <w:rStyle w:val="StyleUnderline"/>
          <w:highlight w:val="cyan"/>
        </w:rPr>
        <w:t>The procyclical volatility on the revenue side is</w:t>
      </w:r>
      <w:r w:rsidRPr="00F23BFC">
        <w:rPr>
          <w:rStyle w:val="StyleUnderline"/>
        </w:rPr>
        <w:t xml:space="preserve"> also </w:t>
      </w:r>
      <w:r w:rsidRPr="002A1326">
        <w:rPr>
          <w:rStyle w:val="StyleUnderline"/>
          <w:highlight w:val="cyan"/>
        </w:rPr>
        <w:t>exacerbated by the procyclical nature of</w:t>
      </w:r>
      <w:r w:rsidRPr="00F23BFC">
        <w:rPr>
          <w:rStyle w:val="StyleUnderline"/>
        </w:rPr>
        <w:t xml:space="preserve"> much </w:t>
      </w:r>
      <w:r w:rsidRPr="002A1326">
        <w:rPr>
          <w:rStyle w:val="StyleUnderline"/>
          <w:highlight w:val="cyan"/>
        </w:rPr>
        <w:t xml:space="preserve">state </w:t>
      </w:r>
      <w:r w:rsidRPr="002A1326">
        <w:rPr>
          <w:rStyle w:val="StyleUnderline"/>
        </w:rPr>
        <w:t>spending</w:t>
      </w:r>
      <w:r>
        <w:t xml:space="preserve">. </w:t>
      </w:r>
      <w:r w:rsidRPr="006E3587">
        <w:rPr>
          <w:rStyle w:val="StyleUnderline"/>
        </w:rPr>
        <w:t xml:space="preserve">States carry a large share of the burden of </w:t>
      </w:r>
      <w:r w:rsidRPr="002A1326">
        <w:rPr>
          <w:rStyle w:val="StyleUnderline"/>
          <w:highlight w:val="cyan"/>
        </w:rPr>
        <w:t>redistributive</w:t>
      </w:r>
      <w:r w:rsidRPr="006E3587">
        <w:rPr>
          <w:rStyle w:val="StyleUnderline"/>
        </w:rPr>
        <w:t xml:space="preserve"> social insurance </w:t>
      </w:r>
      <w:r w:rsidRPr="002A1326">
        <w:rPr>
          <w:rStyle w:val="StyleUnderline"/>
          <w:highlight w:val="cyan"/>
        </w:rPr>
        <w:t>programs</w:t>
      </w:r>
      <w:r w:rsidRPr="006E3587">
        <w:rPr>
          <w:rStyle w:val="StyleUnderline"/>
        </w:rPr>
        <w:t>, such as Medicaid, TANF, and unemployment insurance</w:t>
      </w:r>
      <w:r>
        <w:t xml:space="preserve">. 172 Ironically, given the classic fiscal federalism view that redistribution and social insurance should be centralized, the design of much of these programs derives from some of the same theories of fiscal federalism. Oates and Musgrave, among others, argue that a major problem with state-level programs such as these is the potential for spillovers to nonresidents, which could lead to </w:t>
      </w:r>
      <w:proofErr w:type="spellStart"/>
      <w:r>
        <w:t>underprovision</w:t>
      </w:r>
      <w:proofErr w:type="spellEnd"/>
      <w:r>
        <w:t xml:space="preserve"> of goods and services, since the costs to the state could outweigh the benefits to its residents. 173 The way to address this, they argue, is with federal matching grants as a Pigouvian subsidy. 174 The matching grant lowers the price to the state government down to a level where they are willing to provide the good or service. The catch, however, is that states </w:t>
      </w:r>
      <w:proofErr w:type="gramStart"/>
      <w:r>
        <w:t>have to</w:t>
      </w:r>
      <w:proofErr w:type="gramEnd"/>
      <w:r>
        <w:t xml:space="preserve"> step up and allocate some of their budgets to the program, in amounts that may be somewhat out of reach during economic downturns. 175</w:t>
      </w:r>
    </w:p>
    <w:p w14:paraId="0D6B1E83" w14:textId="77777777" w:rsidR="00A667E8" w:rsidRDefault="00A667E8" w:rsidP="00A667E8">
      <w:r>
        <w:t xml:space="preserve">To be clear, however, the state budget problems are not only because of the volatility of the progressive income tax and the provision of social services. Indeed, the federal government relies largely on </w:t>
      </w:r>
      <w:proofErr w:type="gramStart"/>
      <w:r>
        <w:t>a  [</w:t>
      </w:r>
      <w:proofErr w:type="gramEnd"/>
      <w:r>
        <w:t xml:space="preserve">*122]  personal income tax, and a much more progressive one, without nearly as much budget strain, and obviously spends a lot on redistributive social insurance programs. As discussed below, this is in part because </w:t>
      </w:r>
      <w:r w:rsidRPr="006E668B">
        <w:rPr>
          <w:rStyle w:val="StyleUnderline"/>
          <w:highlight w:val="cyan"/>
        </w:rPr>
        <w:t>the federal government is better able to handle the risk of revenue volatility</w:t>
      </w:r>
      <w:r>
        <w:t xml:space="preserve">, but </w:t>
      </w:r>
      <w:r w:rsidRPr="006E3587">
        <w:rPr>
          <w:rStyle w:val="StyleUnderline"/>
        </w:rPr>
        <w:t>state expenditure volatility also stems from the additional features of state tax and budget policy</w:t>
      </w:r>
      <w:r>
        <w:t xml:space="preserve"> discussed in Part III.</w:t>
      </w:r>
    </w:p>
    <w:p w14:paraId="617E3F2F" w14:textId="77777777" w:rsidR="00A667E8" w:rsidRDefault="00A667E8" w:rsidP="00A667E8">
      <w:r w:rsidRPr="006E3587">
        <w:rPr>
          <w:rStyle w:val="StyleUnderline"/>
        </w:rPr>
        <w:t>As a result of balanced budget requirements, debt limits, and other fiscal institutions</w:t>
      </w:r>
      <w:r>
        <w:t xml:space="preserve">, 176 </w:t>
      </w:r>
      <w:r w:rsidRPr="006E668B">
        <w:rPr>
          <w:rStyle w:val="Emphasis"/>
          <w:highlight w:val="cyan"/>
        </w:rPr>
        <w:t>states cannot easily borrow to make up revenue shortfalls during an economic downturn</w:t>
      </w:r>
      <w:r>
        <w:t xml:space="preserve">. </w:t>
      </w:r>
      <w:r w:rsidRPr="006E668B">
        <w:rPr>
          <w:rStyle w:val="Emphasis"/>
          <w:highlight w:val="cyan"/>
        </w:rPr>
        <w:t>This means</w:t>
      </w:r>
      <w:r w:rsidRPr="006E3587">
        <w:rPr>
          <w:rStyle w:val="Emphasis"/>
        </w:rPr>
        <w:t xml:space="preserve"> that </w:t>
      </w:r>
      <w:r w:rsidRPr="006E668B">
        <w:rPr>
          <w:rStyle w:val="Emphasis"/>
          <w:highlight w:val="cyan"/>
        </w:rPr>
        <w:t>a state may not be able even to maintain its baseline level of expenditures and services, much less deal with the increased demand for safety net services during a downturn</w:t>
      </w:r>
      <w:r>
        <w:t xml:space="preserve">. 177 </w:t>
      </w:r>
      <w:r w:rsidRPr="006E668B">
        <w:rPr>
          <w:rStyle w:val="StyleUnderline"/>
          <w:highlight w:val="cyan"/>
        </w:rPr>
        <w:t>The fed</w:t>
      </w:r>
      <w:r w:rsidRPr="006E3587">
        <w:rPr>
          <w:rStyle w:val="StyleUnderline"/>
        </w:rPr>
        <w:t xml:space="preserve">eral government, by contrast, </w:t>
      </w:r>
      <w:r w:rsidRPr="006E668B">
        <w:rPr>
          <w:rStyle w:val="StyleUnderline"/>
          <w:highlight w:val="cyan"/>
        </w:rPr>
        <w:t>can borrow cheaply and easily, and is</w:t>
      </w:r>
      <w:r w:rsidRPr="006E3587">
        <w:rPr>
          <w:rStyle w:val="StyleUnderline"/>
        </w:rPr>
        <w:t xml:space="preserve"> thus </w:t>
      </w:r>
      <w:r w:rsidRPr="006E668B">
        <w:rPr>
          <w:rStyle w:val="StyleUnderline"/>
          <w:highlight w:val="cyan"/>
        </w:rPr>
        <w:t>much more able to</w:t>
      </w:r>
      <w:r w:rsidRPr="006E3587">
        <w:rPr>
          <w:rStyle w:val="StyleUnderline"/>
        </w:rPr>
        <w:t xml:space="preserve"> maintain or even </w:t>
      </w:r>
      <w:r w:rsidRPr="006E668B">
        <w:rPr>
          <w:rStyle w:val="StyleUnderline"/>
          <w:highlight w:val="cyan"/>
        </w:rPr>
        <w:t>increase spending during a recession</w:t>
      </w:r>
      <w:r>
        <w:t>.</w:t>
      </w:r>
    </w:p>
    <w:p w14:paraId="434AE5BC" w14:textId="77777777" w:rsidR="00A667E8" w:rsidRDefault="00A667E8" w:rsidP="00A667E8">
      <w:r w:rsidRPr="006E668B">
        <w:rPr>
          <w:rStyle w:val="StyleUnderline"/>
          <w:highlight w:val="cyan"/>
        </w:rPr>
        <w:t>Since a state cannot implement counter-cyclical budget policy well using debt, the standard answer has been for it to instead maintain a rainy-day fund</w:t>
      </w:r>
      <w:r w:rsidRPr="006E3587">
        <w:rPr>
          <w:rStyle w:val="StyleUnderline"/>
        </w:rPr>
        <w:t xml:space="preserve"> - set aside a portion of revenue during strong economic times in order to make up revenue shortfalls during weaker times</w:t>
      </w:r>
      <w:r>
        <w:t xml:space="preserve">. 178 </w:t>
      </w:r>
      <w:r w:rsidRPr="006E3587">
        <w:rPr>
          <w:rStyle w:val="StyleUnderline"/>
        </w:rPr>
        <w:t>Yet</w:t>
      </w:r>
      <w:r>
        <w:t xml:space="preserve"> as an empirical matter, </w:t>
      </w:r>
      <w:r w:rsidRPr="006E3587">
        <w:rPr>
          <w:rStyle w:val="StyleUnderline"/>
        </w:rPr>
        <w:t xml:space="preserve">state RDFs are generally underfunded and do not sufficiently cover costs during downturns. </w:t>
      </w:r>
      <w:r w:rsidRPr="006E3587">
        <w:t>179</w:t>
      </w:r>
      <w:r>
        <w:t xml:space="preserve"> This is especially so during extreme times such as the period beginning with the 2008 financial crisis. </w:t>
      </w:r>
      <w:r w:rsidRPr="006E3587">
        <w:rPr>
          <w:rStyle w:val="StyleUnderline"/>
        </w:rPr>
        <w:t>Even a fully funded RDF would be unlikely to cover extreme events</w:t>
      </w:r>
      <w:r>
        <w:t xml:space="preserve"> such as that. 180</w:t>
      </w:r>
    </w:p>
    <w:p w14:paraId="2B5C3A36" w14:textId="77777777" w:rsidR="00A667E8" w:rsidRDefault="00A667E8" w:rsidP="00A667E8">
      <w:r w:rsidRPr="00E23D23">
        <w:rPr>
          <w:rStyle w:val="StyleUnderline"/>
        </w:rPr>
        <w:t xml:space="preserve">As a result of limited borrowing capacity and limited use of RDFs, </w:t>
      </w:r>
      <w:r w:rsidRPr="00364CBB">
        <w:rPr>
          <w:rStyle w:val="StyleUnderline"/>
          <w:highlight w:val="cyan"/>
        </w:rPr>
        <w:t>states that rely</w:t>
      </w:r>
      <w:r w:rsidRPr="00E23D23">
        <w:rPr>
          <w:rStyle w:val="StyleUnderline"/>
        </w:rPr>
        <w:t xml:space="preserve"> more heavily </w:t>
      </w:r>
      <w:r w:rsidRPr="00364CBB">
        <w:rPr>
          <w:rStyle w:val="StyleUnderline"/>
          <w:highlight w:val="cyan"/>
        </w:rPr>
        <w:t>on volatile personal income taxes face more revenue, and thus expenditure, volatility</w:t>
      </w:r>
      <w:r w:rsidRPr="00E23D23">
        <w:rPr>
          <w:rStyle w:val="StyleUnderline"/>
        </w:rPr>
        <w:t>.</w:t>
      </w:r>
      <w:r>
        <w:t xml:space="preserve"> </w:t>
      </w:r>
      <w:r w:rsidRPr="00364CBB">
        <w:rPr>
          <w:rStyle w:val="Emphasis"/>
          <w:highlight w:val="cyan"/>
        </w:rPr>
        <w:t>This exacerbates the economic effects of the business cycle, rather than mitigating them the way Keynesian theory teaches</w:t>
      </w:r>
      <w:r>
        <w:t xml:space="preserve">. </w:t>
      </w:r>
      <w:r w:rsidRPr="00364CBB">
        <w:rPr>
          <w:rStyle w:val="Emphasis"/>
          <w:highlight w:val="cyan"/>
        </w:rPr>
        <w:t>The resulting economic slowdown, job losses, and the like, are very real costs to states</w:t>
      </w:r>
      <w:r w:rsidRPr="005B119C">
        <w:rPr>
          <w:rStyle w:val="StyleUnderline"/>
        </w:rPr>
        <w:t>. This is not the way insurance ought to operate</w:t>
      </w:r>
      <w:r>
        <w:t>.</w:t>
      </w:r>
    </w:p>
    <w:p w14:paraId="09C723C7" w14:textId="77777777" w:rsidR="00A667E8" w:rsidRPr="00CD4AC9" w:rsidRDefault="00A667E8" w:rsidP="00A667E8"/>
    <w:p w14:paraId="02A114A3" w14:textId="57A1BBBB" w:rsidR="00E74AD0" w:rsidRDefault="00E74AD0" w:rsidP="006024F5">
      <w:pPr>
        <w:pStyle w:val="Heading4"/>
        <w:numPr>
          <w:ilvl w:val="1"/>
          <w:numId w:val="2"/>
        </w:numPr>
      </w:pPr>
      <w:r>
        <w:t>State fiscal volatility crushes federalism</w:t>
      </w:r>
    </w:p>
    <w:p w14:paraId="78A16CC8" w14:textId="77777777" w:rsidR="00E74AD0" w:rsidRDefault="00E74AD0" w:rsidP="00E74AD0">
      <w:r w:rsidRPr="00687C0A">
        <w:t xml:space="preserve">Brian </w:t>
      </w:r>
      <w:r w:rsidRPr="00687C0A">
        <w:rPr>
          <w:rStyle w:val="Heading4Char"/>
        </w:rPr>
        <w:t>Galle &amp;</w:t>
      </w:r>
      <w:r w:rsidRPr="00687C0A">
        <w:t xml:space="preserve"> Jonathan </w:t>
      </w:r>
      <w:r w:rsidRPr="00687C0A">
        <w:rPr>
          <w:rStyle w:val="Heading4Char"/>
        </w:rPr>
        <w:t>Klick 10</w:t>
      </w:r>
      <w:r w:rsidRPr="00687C0A">
        <w:t>, Assistant Professor, Boston College Law School. Professor of Law, University of Pennsylvania Law School. "Recessions and the Social Safety Net: The Alternative Minimum Tax as a Countercyclical Fiscal Stabilizer, 63 Stan. L. Rev. 187" //</w:t>
      </w:r>
      <w:proofErr w:type="spellStart"/>
      <w:r w:rsidRPr="00687C0A">
        <w:t>pipk</w:t>
      </w:r>
      <w:proofErr w:type="spellEnd"/>
    </w:p>
    <w:p w14:paraId="63D71E02" w14:textId="77777777" w:rsidR="00E74AD0" w:rsidRDefault="00E74AD0" w:rsidP="00E74AD0">
      <w:r w:rsidRPr="004546C5">
        <w:rPr>
          <w:rStyle w:val="StyleUnderline"/>
          <w:highlight w:val="cyan"/>
        </w:rPr>
        <w:t>The inability of states to smooth expenditures over the business cycle</w:t>
      </w:r>
      <w:r w:rsidRPr="001F4C8C">
        <w:rPr>
          <w:rStyle w:val="StyleUnderline"/>
        </w:rPr>
        <w:t xml:space="preserve"> has implications beyond sound fiscal housekeeping</w:t>
      </w:r>
      <w:r>
        <w:t xml:space="preserve">. </w:t>
      </w:r>
      <w:r w:rsidRPr="001F4C8C">
        <w:rPr>
          <w:rStyle w:val="StyleUnderline"/>
        </w:rPr>
        <w:t>Ultimately</w:t>
      </w:r>
      <w:r>
        <w:t xml:space="preserve">, the pathologies of state budgeting </w:t>
      </w:r>
      <w:r w:rsidRPr="004546C5">
        <w:rPr>
          <w:rStyle w:val="Emphasis"/>
          <w:highlight w:val="cyan"/>
        </w:rPr>
        <w:t>imperil the project of federalism itself</w:t>
      </w:r>
      <w:r>
        <w:t xml:space="preserve">. </w:t>
      </w:r>
      <w:r w:rsidRPr="004546C5">
        <w:rPr>
          <w:rStyle w:val="Emphasis"/>
          <w:highlight w:val="cyan"/>
        </w:rPr>
        <w:t>State budget crises prompt demands for federal bailouts</w:t>
      </w:r>
      <w:r>
        <w:t xml:space="preserve">, as evidenced in the most recent federal stimulus package. 11 </w:t>
      </w:r>
      <w:r w:rsidRPr="004546C5">
        <w:rPr>
          <w:rStyle w:val="StyleUnderline"/>
          <w:highlight w:val="cyan"/>
        </w:rPr>
        <w:t>Federal bailouts</w:t>
      </w:r>
      <w:r w:rsidRPr="001F4C8C">
        <w:rPr>
          <w:rStyle w:val="StyleUnderline"/>
        </w:rPr>
        <w:t xml:space="preserve"> answer a short-term problem of how to maintain spending levels in a fiscal crunch, but they also </w:t>
      </w:r>
      <w:r w:rsidRPr="004546C5">
        <w:rPr>
          <w:rStyle w:val="Emphasis"/>
          <w:highlight w:val="cyan"/>
        </w:rPr>
        <w:t>risk</w:t>
      </w:r>
      <w:r w:rsidRPr="001F4C8C">
        <w:rPr>
          <w:rStyle w:val="Emphasis"/>
        </w:rPr>
        <w:t xml:space="preserve"> undermining the goals of </w:t>
      </w:r>
      <w:r w:rsidRPr="004546C5">
        <w:rPr>
          <w:rStyle w:val="Emphasis"/>
          <w:highlight w:val="cyan"/>
        </w:rPr>
        <w:t>federalism</w:t>
      </w:r>
      <w:r>
        <w:t xml:space="preserve">. Most significantly, bailouts result in a softening of the budget constraint that states face. </w:t>
      </w:r>
      <w:r w:rsidRPr="004546C5">
        <w:rPr>
          <w:rStyle w:val="StyleUnderline"/>
          <w:highlight w:val="cyan"/>
        </w:rPr>
        <w:t>Each new bailout erodes the incentive for fiscal responsibility in the future, jeopardizing</w:t>
      </w:r>
      <w:r w:rsidRPr="001F4C8C">
        <w:rPr>
          <w:rStyle w:val="StyleUnderline"/>
        </w:rPr>
        <w:t xml:space="preserve"> the supposed efficiency benefits of </w:t>
      </w:r>
      <w:r w:rsidRPr="004546C5">
        <w:rPr>
          <w:rStyle w:val="StyleUnderline"/>
          <w:highlight w:val="cyan"/>
        </w:rPr>
        <w:t>decentralization</w:t>
      </w:r>
      <w:r>
        <w:t xml:space="preserve">. Moreover, to the extent that </w:t>
      </w:r>
      <w:r w:rsidRPr="004546C5">
        <w:rPr>
          <w:rStyle w:val="Emphasis"/>
          <w:highlight w:val="cyan"/>
        </w:rPr>
        <w:t>federal bailouts come with strings attached</w:t>
      </w:r>
      <w:r>
        <w:t xml:space="preserve"> (as is almost always the case), </w:t>
      </w:r>
      <w:r w:rsidRPr="004546C5">
        <w:rPr>
          <w:rStyle w:val="Emphasis"/>
          <w:highlight w:val="cyan"/>
        </w:rPr>
        <w:t xml:space="preserve">state </w:t>
      </w:r>
      <w:r w:rsidRPr="004546C5">
        <w:rPr>
          <w:rStyle w:val="Emphasis"/>
        </w:rPr>
        <w:t xml:space="preserve">fiscal </w:t>
      </w:r>
      <w:r w:rsidRPr="004546C5">
        <w:rPr>
          <w:rStyle w:val="Emphasis"/>
          <w:highlight w:val="cyan"/>
        </w:rPr>
        <w:t>autonomy is</w:t>
      </w:r>
      <w:r w:rsidRPr="001F4C8C">
        <w:rPr>
          <w:rStyle w:val="Emphasis"/>
        </w:rPr>
        <w:t xml:space="preserve"> also </w:t>
      </w:r>
      <w:r w:rsidRPr="004546C5">
        <w:rPr>
          <w:rStyle w:val="Emphasis"/>
          <w:highlight w:val="cyan"/>
        </w:rPr>
        <w:t>compromised</w:t>
      </w:r>
      <w:r>
        <w:t xml:space="preserve">. 12 </w:t>
      </w:r>
      <w:r w:rsidRPr="00BE6481">
        <w:rPr>
          <w:rStyle w:val="StyleUnderline"/>
        </w:rPr>
        <w:t xml:space="preserve">Over time, if states cannot responsibly manage their own finances, there will be increasing pressure to return the task of revenue raising to the federal government. </w:t>
      </w:r>
      <w:r w:rsidRPr="004546C5">
        <w:rPr>
          <w:rStyle w:val="StyleUnderline"/>
          <w:highlight w:val="cyan"/>
        </w:rPr>
        <w:t>Centralized funding in turn implies</w:t>
      </w:r>
      <w:r w:rsidRPr="00BE6481">
        <w:rPr>
          <w:rStyle w:val="StyleUnderline"/>
        </w:rPr>
        <w:t xml:space="preserve"> </w:t>
      </w:r>
      <w:r w:rsidRPr="00BE6481">
        <w:t>either</w:t>
      </w:r>
      <w:r w:rsidRPr="00BE6481">
        <w:rPr>
          <w:rStyle w:val="StyleUnderline"/>
        </w:rPr>
        <w:t xml:space="preserve"> </w:t>
      </w:r>
      <w:r w:rsidRPr="004546C5">
        <w:rPr>
          <w:rStyle w:val="Emphasis"/>
          <w:highlight w:val="cyan"/>
        </w:rPr>
        <w:t>federal control over policy</w:t>
      </w:r>
      <w:r>
        <w:t xml:space="preserve"> or legal controversy over the rules for disbursing federal grants.</w:t>
      </w:r>
    </w:p>
    <w:p w14:paraId="0C348CCF" w14:textId="47E8CFC0" w:rsidR="00B774A8" w:rsidRPr="00491534" w:rsidRDefault="00B774A8" w:rsidP="006024F5">
      <w:pPr>
        <w:pStyle w:val="Heading4"/>
        <w:numPr>
          <w:ilvl w:val="1"/>
          <w:numId w:val="2"/>
        </w:numPr>
      </w:pPr>
      <w:r w:rsidRPr="00491534">
        <w:t>Extinction</w:t>
      </w:r>
    </w:p>
    <w:p w14:paraId="570A85EA" w14:textId="77777777" w:rsidR="00B774A8" w:rsidRPr="00491534" w:rsidRDefault="00B774A8" w:rsidP="00B774A8">
      <w:r w:rsidRPr="00491534">
        <w:t xml:space="preserve">Craig S </w:t>
      </w:r>
      <w:r w:rsidRPr="00491534">
        <w:rPr>
          <w:rStyle w:val="Style13ptBold"/>
        </w:rPr>
        <w:t>Lerner 17</w:t>
      </w:r>
      <w:r w:rsidRPr="00491534">
        <w:t xml:space="preserve">, Professor of Law, Antonin Scalia Law School, George Mason University. 19 N.C. J.L. &amp; Tech. 69 "The Tower of Babel Revisited: Global Governance as a Problematic Solution to Existential Threats" </w:t>
      </w:r>
      <w:hyperlink r:id="rId39" w:history="1">
        <w:r w:rsidRPr="00491534">
          <w:rPr>
            <w:rStyle w:val="Hyperlink"/>
          </w:rPr>
          <w:t>https://scholarship.law.unc.edu/cgi/viewcontent.cgi?article=1345&amp;context=ncjolt</w:t>
        </w:r>
      </w:hyperlink>
    </w:p>
    <w:p w14:paraId="49C03BFF" w14:textId="77777777" w:rsidR="00B774A8" w:rsidRPr="00491534" w:rsidRDefault="00B774A8" w:rsidP="00B774A8">
      <w:pPr>
        <w:rPr>
          <w:sz w:val="14"/>
        </w:rPr>
      </w:pPr>
      <w:r w:rsidRPr="00491534">
        <w:rPr>
          <w:sz w:val="14"/>
        </w:rPr>
        <w:t xml:space="preserve">The previous section has sketched the cost to </w:t>
      </w:r>
      <w:r w:rsidRPr="00491534">
        <w:rPr>
          <w:rStyle w:val="StyleUnderline"/>
        </w:rPr>
        <w:t>a</w:t>
      </w:r>
      <w:r w:rsidRPr="00491534">
        <w:rPr>
          <w:sz w:val="14"/>
        </w:rPr>
        <w:t xml:space="preserve"> unified </w:t>
      </w:r>
      <w:r w:rsidRPr="00491534">
        <w:rPr>
          <w:rStyle w:val="StyleUnderline"/>
        </w:rPr>
        <w:t xml:space="preserve">response to the panoply of </w:t>
      </w:r>
      <w:r w:rsidRPr="00846C54">
        <w:rPr>
          <w:rStyle w:val="Emphasis"/>
          <w:highlight w:val="cyan"/>
        </w:rPr>
        <w:t>existential threats</w:t>
      </w:r>
      <w:r w:rsidRPr="00491534">
        <w:rPr>
          <w:rStyle w:val="StyleUnderline"/>
        </w:rPr>
        <w:t xml:space="preserve"> we </w:t>
      </w:r>
      <w:r w:rsidRPr="00212D84">
        <w:rPr>
          <w:rStyle w:val="StyleUnderline"/>
        </w:rPr>
        <w:t>face</w:t>
      </w:r>
      <w:r w:rsidRPr="00491534">
        <w:rPr>
          <w:sz w:val="14"/>
        </w:rPr>
        <w:t xml:space="preserve">. This section restates the argument in a positive light: </w:t>
      </w:r>
      <w:r w:rsidRPr="00491534">
        <w:rPr>
          <w:rStyle w:val="StyleUnderline"/>
        </w:rPr>
        <w:t xml:space="preserve">there are indeed </w:t>
      </w:r>
      <w:r w:rsidRPr="00846C54">
        <w:rPr>
          <w:rStyle w:val="StyleUnderline"/>
          <w:highlight w:val="cyan"/>
        </w:rPr>
        <w:t>benefits</w:t>
      </w:r>
      <w:r w:rsidRPr="00491534">
        <w:rPr>
          <w:rStyle w:val="StyleUnderline"/>
        </w:rPr>
        <w:t xml:space="preserve"> to </w:t>
      </w:r>
      <w:r w:rsidRPr="00846C54">
        <w:rPr>
          <w:rStyle w:val="StyleUnderline"/>
          <w:highlight w:val="cyan"/>
        </w:rPr>
        <w:t xml:space="preserve">a </w:t>
      </w:r>
      <w:r w:rsidRPr="00846C54">
        <w:rPr>
          <w:rStyle w:val="Emphasis"/>
          <w:highlight w:val="cyan"/>
        </w:rPr>
        <w:t>decentralized response</w:t>
      </w:r>
      <w:r w:rsidRPr="00491534">
        <w:rPr>
          <w:sz w:val="14"/>
        </w:rPr>
        <w:t>.</w:t>
      </w:r>
    </w:p>
    <w:p w14:paraId="6ECA853E" w14:textId="77777777" w:rsidR="00B774A8" w:rsidRPr="00491534" w:rsidRDefault="00B774A8" w:rsidP="00B774A8">
      <w:pPr>
        <w:rPr>
          <w:sz w:val="14"/>
        </w:rPr>
      </w:pPr>
      <w:r w:rsidRPr="00491534">
        <w:rPr>
          <w:rStyle w:val="StyleUnderline"/>
        </w:rPr>
        <w:t xml:space="preserve">The tradeoff between centralization and decentralization is an enduring political issue and is salient in the context of responses to </w:t>
      </w:r>
      <w:r w:rsidRPr="00491534">
        <w:rPr>
          <w:rStyle w:val="Emphasis"/>
        </w:rPr>
        <w:t>existential threats</w:t>
      </w:r>
      <w:r w:rsidRPr="00491534">
        <w:rPr>
          <w:sz w:val="14"/>
        </w:rPr>
        <w:t>. The case for centralization is clear: some nations, by failing to address climate change or regulate science, are imposing risks on other nations. These nations are said to create negative externalities that are borne, unfairly, by others.146 But this is simply a new presentation of a common problem. Whenever one jurisdiction engages in activities that create externalities that jeopardize the welfare of others, the situation arguably calls for centralization and the harmonization of regulation across jurisdictions.147</w:t>
      </w:r>
    </w:p>
    <w:p w14:paraId="6A669308" w14:textId="77777777" w:rsidR="00B774A8" w:rsidRPr="00491534" w:rsidRDefault="00B774A8" w:rsidP="00B774A8">
      <w:pPr>
        <w:rPr>
          <w:sz w:val="14"/>
        </w:rPr>
      </w:pPr>
      <w:r w:rsidRPr="00491534">
        <w:rPr>
          <w:sz w:val="14"/>
        </w:rPr>
        <w:t xml:space="preserve">However, the </w:t>
      </w:r>
      <w:proofErr w:type="gramStart"/>
      <w:r w:rsidRPr="00491534">
        <w:rPr>
          <w:sz w:val="14"/>
        </w:rPr>
        <w:t>counter-argument</w:t>
      </w:r>
      <w:proofErr w:type="gramEnd"/>
      <w:r w:rsidRPr="00491534">
        <w:rPr>
          <w:sz w:val="14"/>
        </w:rPr>
        <w:t xml:space="preserve"> must be addressed: </w:t>
      </w:r>
      <w:r w:rsidRPr="00491534">
        <w:rPr>
          <w:rStyle w:val="StyleUnderline"/>
        </w:rPr>
        <w:t>centralization</w:t>
      </w:r>
      <w:r w:rsidRPr="00491534">
        <w:rPr>
          <w:sz w:val="14"/>
        </w:rPr>
        <w:t xml:space="preserve"> and harmonization </w:t>
      </w:r>
      <w:r w:rsidRPr="00491534">
        <w:rPr>
          <w:rStyle w:val="StyleUnderline"/>
        </w:rPr>
        <w:t xml:space="preserve">mean not only the stifling of local preferences but also </w:t>
      </w:r>
      <w:r w:rsidRPr="00491534">
        <w:rPr>
          <w:rStyle w:val="Emphasis"/>
        </w:rPr>
        <w:t>reduced experimentation</w:t>
      </w:r>
      <w:r w:rsidRPr="00491534">
        <w:rPr>
          <w:sz w:val="14"/>
        </w:rPr>
        <w:t xml:space="preserve">. </w:t>
      </w:r>
      <w:r w:rsidRPr="00491534">
        <w:rPr>
          <w:rStyle w:val="Emphasis"/>
        </w:rPr>
        <w:t xml:space="preserve">Within the constitutional framework of the United States, </w:t>
      </w:r>
      <w:r w:rsidRPr="00846C54">
        <w:rPr>
          <w:rStyle w:val="Emphasis"/>
          <w:highlight w:val="cyan"/>
        </w:rPr>
        <w:t>it is</w:t>
      </w:r>
      <w:r w:rsidRPr="00491534">
        <w:rPr>
          <w:rStyle w:val="Emphasis"/>
        </w:rPr>
        <w:t xml:space="preserve"> generally considered to be </w:t>
      </w:r>
      <w:r w:rsidRPr="00846C54">
        <w:rPr>
          <w:rStyle w:val="Emphasis"/>
          <w:highlight w:val="cyan"/>
        </w:rPr>
        <w:t xml:space="preserve">advantageous </w:t>
      </w:r>
      <w:r w:rsidRPr="00491534">
        <w:rPr>
          <w:rStyle w:val="Emphasis"/>
        </w:rPr>
        <w:t xml:space="preserve">that </w:t>
      </w:r>
      <w:r w:rsidRPr="00846C54">
        <w:rPr>
          <w:rStyle w:val="Emphasis"/>
          <w:highlight w:val="cyan"/>
        </w:rPr>
        <w:t>states preserve</w:t>
      </w:r>
      <w:r w:rsidRPr="00491534">
        <w:rPr>
          <w:rStyle w:val="Emphasis"/>
        </w:rPr>
        <w:t xml:space="preserve"> a sphere of </w:t>
      </w:r>
      <w:r w:rsidRPr="00846C54">
        <w:rPr>
          <w:rStyle w:val="Emphasis"/>
          <w:highlight w:val="cyan"/>
        </w:rPr>
        <w:t xml:space="preserve">autonomy </w:t>
      </w:r>
      <w:r w:rsidRPr="00491534">
        <w:rPr>
          <w:rStyle w:val="Emphasis"/>
        </w:rPr>
        <w:t xml:space="preserve">and can act as “laboratories,” </w:t>
      </w:r>
      <w:r w:rsidRPr="00846C54">
        <w:rPr>
          <w:rStyle w:val="Emphasis"/>
          <w:highlight w:val="cyan"/>
        </w:rPr>
        <w:t xml:space="preserve">testing </w:t>
      </w:r>
      <w:r w:rsidRPr="00491534">
        <w:rPr>
          <w:rStyle w:val="Emphasis"/>
        </w:rPr>
        <w:t xml:space="preserve">which </w:t>
      </w:r>
      <w:r w:rsidRPr="00846C54">
        <w:rPr>
          <w:rStyle w:val="Emphasis"/>
          <w:highlight w:val="cyan"/>
        </w:rPr>
        <w:t>reg</w:t>
      </w:r>
      <w:r w:rsidRPr="00491534">
        <w:rPr>
          <w:rStyle w:val="Emphasis"/>
        </w:rPr>
        <w:t>ulation</w:t>
      </w:r>
      <w:r w:rsidRPr="00846C54">
        <w:rPr>
          <w:rStyle w:val="Emphasis"/>
          <w:highlight w:val="cyan"/>
        </w:rPr>
        <w:t xml:space="preserve">s </w:t>
      </w:r>
      <w:proofErr w:type="gramStart"/>
      <w:r w:rsidRPr="00491534">
        <w:rPr>
          <w:rStyle w:val="Emphasis"/>
        </w:rPr>
        <w:t>work</w:t>
      </w:r>
      <w:proofErr w:type="gramEnd"/>
      <w:r w:rsidRPr="00491534">
        <w:rPr>
          <w:rStyle w:val="Emphasis"/>
        </w:rPr>
        <w:t xml:space="preserve"> and which do not.</w:t>
      </w:r>
      <w:r w:rsidRPr="00491534">
        <w:rPr>
          <w:sz w:val="14"/>
        </w:rPr>
        <w:t xml:space="preserve"> 148 With respect to some matters, it is preferable that a single rule applies to all states, but in other respects, </w:t>
      </w:r>
      <w:r w:rsidRPr="00491534">
        <w:rPr>
          <w:rStyle w:val="Emphasis"/>
        </w:rPr>
        <w:t>regulatory differences are beneficial</w:t>
      </w:r>
      <w:r w:rsidRPr="00491534">
        <w:rPr>
          <w:sz w:val="14"/>
        </w:rPr>
        <w:t xml:space="preserve">. </w:t>
      </w:r>
      <w:r w:rsidRPr="00491534">
        <w:rPr>
          <w:rStyle w:val="StyleUnderline"/>
        </w:rPr>
        <w:t xml:space="preserve">When capital moves freely among jurisdictions, better regulatory approaches can be </w:t>
      </w:r>
      <w:r w:rsidRPr="00491534">
        <w:rPr>
          <w:rStyle w:val="Emphasis"/>
        </w:rPr>
        <w:t>tested and rewarded</w:t>
      </w:r>
      <w:r w:rsidRPr="00491534">
        <w:rPr>
          <w:sz w:val="14"/>
        </w:rPr>
        <w:t>.149</w:t>
      </w:r>
    </w:p>
    <w:p w14:paraId="7C238F51" w14:textId="77777777" w:rsidR="00B774A8" w:rsidRPr="00491534" w:rsidRDefault="00B774A8" w:rsidP="00B774A8">
      <w:pPr>
        <w:rPr>
          <w:rStyle w:val="StyleUnderline"/>
        </w:rPr>
      </w:pPr>
      <w:r w:rsidRPr="00491534">
        <w:rPr>
          <w:sz w:val="14"/>
        </w:rPr>
        <w:t xml:space="preserve">In assessing the tradeoff between centralization and its opposite, the costs and benefits must be analyzed in each circumstance. The context in which the tradeoff is considered here is that of the problem posed by </w:t>
      </w:r>
      <w:r w:rsidRPr="00846C54">
        <w:rPr>
          <w:rStyle w:val="Emphasis"/>
          <w:highlight w:val="cyan"/>
        </w:rPr>
        <w:t xml:space="preserve">catastrophic threats </w:t>
      </w:r>
      <w:r w:rsidRPr="00491534">
        <w:rPr>
          <w:rStyle w:val="Emphasis"/>
        </w:rPr>
        <w:t>to humanity</w:t>
      </w:r>
      <w:r w:rsidRPr="00491534">
        <w:rPr>
          <w:sz w:val="14"/>
        </w:rPr>
        <w:t xml:space="preserve">. As set forth elaborately above, 150 these threats </w:t>
      </w:r>
      <w:r w:rsidRPr="00846C54">
        <w:rPr>
          <w:rStyle w:val="StyleUnderline"/>
          <w:highlight w:val="cyan"/>
        </w:rPr>
        <w:t xml:space="preserve">are </w:t>
      </w:r>
      <w:r w:rsidRPr="00491534">
        <w:rPr>
          <w:rStyle w:val="Emphasis"/>
        </w:rPr>
        <w:t>varied</w:t>
      </w:r>
      <w:r w:rsidRPr="00491534">
        <w:rPr>
          <w:rStyle w:val="StyleUnderline"/>
        </w:rPr>
        <w:t xml:space="preserve"> and </w:t>
      </w:r>
      <w:r w:rsidRPr="00846C54">
        <w:rPr>
          <w:rStyle w:val="Emphasis"/>
          <w:highlight w:val="cyan"/>
        </w:rPr>
        <w:t>complex</w:t>
      </w:r>
      <w:r w:rsidRPr="00491534">
        <w:rPr>
          <w:sz w:val="14"/>
        </w:rPr>
        <w:t xml:space="preserve">, seemingly </w:t>
      </w:r>
      <w:r w:rsidRPr="00491534">
        <w:rPr>
          <w:rStyle w:val="StyleUnderline"/>
        </w:rPr>
        <w:t>defying our poor human powers to resolve</w:t>
      </w:r>
      <w:r w:rsidRPr="00491534">
        <w:rPr>
          <w:sz w:val="14"/>
        </w:rPr>
        <w:t xml:space="preserve">. And furthermore, </w:t>
      </w:r>
      <w:r w:rsidRPr="00491534">
        <w:rPr>
          <w:rStyle w:val="StyleUnderline"/>
        </w:rPr>
        <w:t>responding to one threat can exacerbate other threats, thereby multiplying the complexity.</w:t>
      </w:r>
      <w:r w:rsidRPr="00491534">
        <w:rPr>
          <w:sz w:val="14"/>
        </w:rPr>
        <w:t xml:space="preserve"> </w:t>
      </w:r>
      <w:proofErr w:type="gramStart"/>
      <w:r w:rsidRPr="00491534">
        <w:rPr>
          <w:rStyle w:val="StyleUnderline"/>
        </w:rPr>
        <w:t>In light of</w:t>
      </w:r>
      <w:proofErr w:type="gramEnd"/>
      <w:r w:rsidRPr="00491534">
        <w:rPr>
          <w:rStyle w:val="StyleUnderline"/>
        </w:rPr>
        <w:t xml:space="preserve"> these monumental difficulties, there are compelling, if often underappreciated, advantages to a decentralized response.</w:t>
      </w:r>
    </w:p>
    <w:p w14:paraId="7B3E0877" w14:textId="77777777" w:rsidR="00B774A8" w:rsidRPr="00491534" w:rsidRDefault="00B774A8" w:rsidP="00B774A8">
      <w:pPr>
        <w:rPr>
          <w:sz w:val="14"/>
        </w:rPr>
      </w:pPr>
      <w:r w:rsidRPr="00491534">
        <w:rPr>
          <w:sz w:val="14"/>
        </w:rPr>
        <w:t xml:space="preserve">Professor John McGinnis’s work highlights many of these benefits.151 </w:t>
      </w:r>
      <w:r w:rsidRPr="00491534">
        <w:rPr>
          <w:rStyle w:val="StyleUnderline"/>
        </w:rPr>
        <w:t xml:space="preserve">First, </w:t>
      </w:r>
      <w:r w:rsidRPr="00846C54">
        <w:rPr>
          <w:rStyle w:val="StyleUnderline"/>
          <w:highlight w:val="cyan"/>
        </w:rPr>
        <w:t>there are</w:t>
      </w:r>
      <w:r w:rsidRPr="00491534">
        <w:rPr>
          <w:rStyle w:val="StyleUnderline"/>
        </w:rPr>
        <w:t xml:space="preserve"> the </w:t>
      </w:r>
      <w:r w:rsidRPr="00846C54">
        <w:rPr>
          <w:rStyle w:val="StyleUnderline"/>
          <w:highlight w:val="cyan"/>
        </w:rPr>
        <w:t>infor</w:t>
      </w:r>
      <w:r w:rsidRPr="00491534">
        <w:rPr>
          <w:rStyle w:val="StyleUnderline"/>
        </w:rPr>
        <w:t xml:space="preserve">mation-eliciting </w:t>
      </w:r>
      <w:r w:rsidRPr="00846C54">
        <w:rPr>
          <w:rStyle w:val="StyleUnderline"/>
          <w:highlight w:val="cyan"/>
        </w:rPr>
        <w:t xml:space="preserve">consequences to </w:t>
      </w:r>
      <w:r w:rsidRPr="00491534">
        <w:rPr>
          <w:rStyle w:val="StyleUnderline"/>
        </w:rPr>
        <w:t xml:space="preserve">a </w:t>
      </w:r>
      <w:r w:rsidRPr="00846C54">
        <w:rPr>
          <w:rStyle w:val="StyleUnderline"/>
          <w:highlight w:val="cyan"/>
        </w:rPr>
        <w:t xml:space="preserve">decentralized </w:t>
      </w:r>
      <w:r w:rsidRPr="00491534">
        <w:rPr>
          <w:rStyle w:val="StyleUnderline"/>
        </w:rPr>
        <w:t>response</w:t>
      </w:r>
      <w:r w:rsidRPr="00491534">
        <w:rPr>
          <w:sz w:val="14"/>
        </w:rPr>
        <w:t xml:space="preserve">: </w:t>
      </w:r>
      <w:r w:rsidRPr="00491534">
        <w:rPr>
          <w:rStyle w:val="StyleUnderline"/>
        </w:rPr>
        <w:t xml:space="preserve">More people working on </w:t>
      </w:r>
      <w:r w:rsidRPr="00846C54">
        <w:rPr>
          <w:rStyle w:val="StyleUnderline"/>
          <w:highlight w:val="cyan"/>
        </w:rPr>
        <w:t>more solutions</w:t>
      </w:r>
      <w:r w:rsidRPr="00491534">
        <w:rPr>
          <w:rStyle w:val="StyleUnderline"/>
        </w:rPr>
        <w:t xml:space="preserve"> will mean more </w:t>
      </w:r>
      <w:r w:rsidRPr="00846C54">
        <w:rPr>
          <w:rStyle w:val="StyleUnderline"/>
          <w:highlight w:val="cyan"/>
        </w:rPr>
        <w:t>data</w:t>
      </w:r>
      <w:r w:rsidRPr="00491534">
        <w:rPr>
          <w:rStyle w:val="StyleUnderline"/>
        </w:rPr>
        <w:t xml:space="preserve"> to be crunched about what works and what does not. </w:t>
      </w:r>
      <w:r w:rsidRPr="00491534">
        <w:rPr>
          <w:sz w:val="14"/>
        </w:rPr>
        <w:t>As McGinnis puts it, “</w:t>
      </w:r>
      <w:r w:rsidRPr="00491534">
        <w:rPr>
          <w:rStyle w:val="StyleUnderline"/>
        </w:rPr>
        <w:t xml:space="preserve">the possibility of sustained </w:t>
      </w:r>
      <w:r w:rsidRPr="00846C54">
        <w:rPr>
          <w:rStyle w:val="StyleUnderline"/>
          <w:highlight w:val="cyan"/>
        </w:rPr>
        <w:t xml:space="preserve">empiricism </w:t>
      </w:r>
      <w:r w:rsidRPr="00491534">
        <w:rPr>
          <w:rStyle w:val="StyleUnderline"/>
        </w:rPr>
        <w:t>adds an important weight to</w:t>
      </w:r>
      <w:r w:rsidRPr="00491534">
        <w:rPr>
          <w:sz w:val="14"/>
        </w:rPr>
        <w:t xml:space="preserve"> the </w:t>
      </w:r>
      <w:r w:rsidRPr="00491534">
        <w:rPr>
          <w:rStyle w:val="StyleUnderline"/>
        </w:rPr>
        <w:t>decentralization</w:t>
      </w:r>
      <w:r w:rsidRPr="00491534">
        <w:rPr>
          <w:sz w:val="14"/>
        </w:rPr>
        <w:t xml:space="preserve"> side of the scale: </w:t>
      </w:r>
      <w:r w:rsidRPr="00491534">
        <w:rPr>
          <w:rStyle w:val="StyleUnderline"/>
        </w:rPr>
        <w:t>decentralization facilitates the empirical investigation of the differing consequences of social policy</w:t>
      </w:r>
      <w:r w:rsidRPr="00491534">
        <w:rPr>
          <w:sz w:val="14"/>
        </w:rPr>
        <w:t xml:space="preserve">.”152 </w:t>
      </w:r>
      <w:r w:rsidRPr="00846C54">
        <w:rPr>
          <w:rStyle w:val="StyleUnderline"/>
          <w:highlight w:val="cyan"/>
        </w:rPr>
        <w:t>In</w:t>
      </w:r>
      <w:r w:rsidRPr="00491534">
        <w:rPr>
          <w:rStyle w:val="StyleUnderline"/>
        </w:rPr>
        <w:t xml:space="preserve"> an era of accelerating </w:t>
      </w:r>
      <w:r w:rsidRPr="00846C54">
        <w:rPr>
          <w:rStyle w:val="Emphasis"/>
          <w:highlight w:val="cyan"/>
        </w:rPr>
        <w:t>a</w:t>
      </w:r>
      <w:r w:rsidRPr="00491534">
        <w:rPr>
          <w:rStyle w:val="StyleUnderline"/>
        </w:rPr>
        <w:t xml:space="preserve">rtificial </w:t>
      </w:r>
      <w:r w:rsidRPr="00846C54">
        <w:rPr>
          <w:rStyle w:val="Emphasis"/>
          <w:highlight w:val="cyan"/>
        </w:rPr>
        <w:t>i</w:t>
      </w:r>
      <w:r w:rsidRPr="00491534">
        <w:rPr>
          <w:rStyle w:val="StyleUnderline"/>
        </w:rPr>
        <w:t>ntelligence</w:t>
      </w:r>
      <w:r w:rsidRPr="00491534">
        <w:rPr>
          <w:sz w:val="14"/>
        </w:rPr>
        <w:t xml:space="preserve">, </w:t>
      </w:r>
      <w:r w:rsidRPr="00846C54">
        <w:rPr>
          <w:rStyle w:val="Emphasis"/>
          <w:highlight w:val="cyan"/>
        </w:rPr>
        <w:t>there are</w:t>
      </w:r>
      <w:r w:rsidRPr="00491534">
        <w:rPr>
          <w:rStyle w:val="Emphasis"/>
        </w:rPr>
        <w:t xml:space="preserve"> </w:t>
      </w:r>
      <w:proofErr w:type="gramStart"/>
      <w:r w:rsidRPr="00491534">
        <w:rPr>
          <w:rStyle w:val="Emphasis"/>
        </w:rPr>
        <w:t xml:space="preserve">particular </w:t>
      </w:r>
      <w:r w:rsidRPr="00846C54">
        <w:rPr>
          <w:rStyle w:val="Emphasis"/>
          <w:highlight w:val="cyan"/>
        </w:rPr>
        <w:t>benefits</w:t>
      </w:r>
      <w:proofErr w:type="gramEnd"/>
      <w:r w:rsidRPr="00846C54">
        <w:rPr>
          <w:rStyle w:val="Emphasis"/>
          <w:highlight w:val="cyan"/>
        </w:rPr>
        <w:t xml:space="preserve"> </w:t>
      </w:r>
      <w:r w:rsidRPr="00491534">
        <w:rPr>
          <w:rStyle w:val="Emphasis"/>
        </w:rPr>
        <w:t>to this sort of information-eliciting decentralization.</w:t>
      </w:r>
      <w:r w:rsidRPr="00491534">
        <w:rPr>
          <w:sz w:val="14"/>
        </w:rPr>
        <w:t xml:space="preserve"> </w:t>
      </w:r>
      <w:r w:rsidRPr="00491534">
        <w:rPr>
          <w:rStyle w:val="StyleUnderline"/>
        </w:rPr>
        <w:t>The reams of data generated by multiple solutions will eventually be grist for supercomputers operating at computational speeds multiples of current abilities</w:t>
      </w:r>
      <w:r w:rsidRPr="00491534">
        <w:rPr>
          <w:sz w:val="14"/>
        </w:rPr>
        <w:t xml:space="preserve">. 153 Finally, consider that </w:t>
      </w:r>
      <w:r w:rsidRPr="00846C54">
        <w:rPr>
          <w:rStyle w:val="StyleUnderline"/>
          <w:highlight w:val="cyan"/>
        </w:rPr>
        <w:t>advances in one area</w:t>
      </w:r>
      <w:r w:rsidRPr="00491534">
        <w:rPr>
          <w:rStyle w:val="StyleUnderline"/>
        </w:rPr>
        <w:t xml:space="preserve"> of research, such as </w:t>
      </w:r>
      <w:r w:rsidRPr="00846C54">
        <w:rPr>
          <w:rStyle w:val="StyleUnderline"/>
          <w:highlight w:val="cyan"/>
        </w:rPr>
        <w:t>nano</w:t>
      </w:r>
      <w:r w:rsidRPr="00491534">
        <w:rPr>
          <w:rStyle w:val="StyleUnderline"/>
        </w:rPr>
        <w:t xml:space="preserve">technology, </w:t>
      </w:r>
      <w:r w:rsidRPr="00846C54">
        <w:rPr>
          <w:rStyle w:val="StyleUnderline"/>
          <w:highlight w:val="cyan"/>
        </w:rPr>
        <w:t xml:space="preserve">can </w:t>
      </w:r>
      <w:r w:rsidRPr="00491534">
        <w:rPr>
          <w:rStyle w:val="StyleUnderline"/>
        </w:rPr>
        <w:t xml:space="preserve">provide </w:t>
      </w:r>
      <w:r w:rsidRPr="00846C54">
        <w:rPr>
          <w:rStyle w:val="StyleUnderline"/>
          <w:highlight w:val="cyan"/>
        </w:rPr>
        <w:t>solutions in other</w:t>
      </w:r>
      <w:r w:rsidRPr="00491534">
        <w:rPr>
          <w:rStyle w:val="StyleUnderline"/>
        </w:rPr>
        <w:t xml:space="preserve"> area</w:t>
      </w:r>
      <w:r w:rsidRPr="00846C54">
        <w:rPr>
          <w:rStyle w:val="StyleUnderline"/>
          <w:highlight w:val="cyan"/>
        </w:rPr>
        <w:t xml:space="preserve">s, </w:t>
      </w:r>
      <w:r w:rsidRPr="00491534">
        <w:rPr>
          <w:rStyle w:val="StyleUnderline"/>
        </w:rPr>
        <w:t xml:space="preserve">such as </w:t>
      </w:r>
      <w:r w:rsidRPr="00846C54">
        <w:rPr>
          <w:rStyle w:val="StyleUnderline"/>
          <w:highlight w:val="cyan"/>
        </w:rPr>
        <w:t xml:space="preserve">climate </w:t>
      </w:r>
      <w:r w:rsidRPr="00491534">
        <w:rPr>
          <w:rStyle w:val="StyleUnderline"/>
        </w:rPr>
        <w:t>change</w:t>
      </w:r>
      <w:r w:rsidRPr="00491534">
        <w:rPr>
          <w:sz w:val="14"/>
        </w:rPr>
        <w:t>. The interweaving layers of complexity strongly suggest advantages to multiple groups working separately, rather than subject to a unified, “global” hierarchy.</w:t>
      </w:r>
    </w:p>
    <w:p w14:paraId="15D7A8C1" w14:textId="77777777" w:rsidR="00B774A8" w:rsidRPr="00491534" w:rsidRDefault="00B774A8" w:rsidP="00B774A8">
      <w:pPr>
        <w:rPr>
          <w:sz w:val="14"/>
        </w:rPr>
      </w:pPr>
      <w:r w:rsidRPr="00491534">
        <w:rPr>
          <w:rStyle w:val="StyleUnderline"/>
        </w:rPr>
        <w:t>People frequently assume that a centralized or top-down response, overseen by “experts,” is necessarily optimal in response to a catastrophic threat</w:t>
      </w:r>
      <w:r w:rsidRPr="00491534">
        <w:rPr>
          <w:sz w:val="14"/>
        </w:rPr>
        <w:t>. The television series The Walking Dead, although of course wildly unrealistic, stimulates reflections of a different kind. In the aftermath of an infectious disease that has swept mankind, all hope is invested in a central body, the Center for Disease Control and Prevention (CDC) in Atlanta. People flock there in search of a cure. Yet the CDC proves to be of no help; indeed, it is a menacing institution that not only fails to aid, but also kills survivors and destroys the one specimen that might aid in the discovery of a cure. At least as depicted in that show, any hope of human survival will come not from experts, but in decentralized bands of human beings.154</w:t>
      </w:r>
    </w:p>
    <w:p w14:paraId="0D71C0C5" w14:textId="77777777" w:rsidR="00B774A8" w:rsidRPr="00491534" w:rsidRDefault="00B774A8" w:rsidP="00B774A8">
      <w:pPr>
        <w:rPr>
          <w:sz w:val="14"/>
        </w:rPr>
      </w:pPr>
      <w:r w:rsidRPr="00491534">
        <w:rPr>
          <w:sz w:val="14"/>
        </w:rPr>
        <w:t xml:space="preserve">If the species is confronted by an apocalyptic health crisis, a decisive cure is most likely to come through centralized government planning. And yet </w:t>
      </w:r>
      <w:r w:rsidRPr="00491534">
        <w:rPr>
          <w:rStyle w:val="StyleUnderline"/>
        </w:rPr>
        <w:t>if</w:t>
      </w:r>
      <w:r w:rsidRPr="00491534">
        <w:rPr>
          <w:sz w:val="14"/>
        </w:rPr>
        <w:t xml:space="preserve"> such a </w:t>
      </w:r>
      <w:r w:rsidRPr="00491534">
        <w:rPr>
          <w:rStyle w:val="StyleUnderline"/>
        </w:rPr>
        <w:t>crisis goes unchecked and spins out of control, it would soon be difficult for any top-down approach to succeed</w:t>
      </w:r>
      <w:r w:rsidRPr="00491534">
        <w:rPr>
          <w:sz w:val="14"/>
        </w:rPr>
        <w:t xml:space="preserve">.155 None of these considerations are offered to resolve the issue; the point is simply to emphasize the meaningful benefits to maintaining a decentralized response. In short, </w:t>
      </w:r>
      <w:r w:rsidRPr="00846C54">
        <w:rPr>
          <w:rStyle w:val="Emphasis"/>
          <w:highlight w:val="cyan"/>
        </w:rPr>
        <w:t xml:space="preserve">the variety </w:t>
      </w:r>
      <w:r w:rsidRPr="00491534">
        <w:rPr>
          <w:rStyle w:val="Emphasis"/>
        </w:rPr>
        <w:t xml:space="preserve">and indeterminacy </w:t>
      </w:r>
      <w:r w:rsidRPr="00846C54">
        <w:rPr>
          <w:rStyle w:val="Emphasis"/>
          <w:highlight w:val="cyan"/>
        </w:rPr>
        <w:t xml:space="preserve">of </w:t>
      </w:r>
      <w:r w:rsidRPr="00491534">
        <w:rPr>
          <w:rStyle w:val="Emphasis"/>
        </w:rPr>
        <w:t xml:space="preserve">humanity’s catastrophic </w:t>
      </w:r>
      <w:r w:rsidRPr="00846C54">
        <w:rPr>
          <w:rStyle w:val="Emphasis"/>
          <w:highlight w:val="cyan"/>
        </w:rPr>
        <w:t xml:space="preserve">threats highlight </w:t>
      </w:r>
      <w:r w:rsidRPr="00491534">
        <w:rPr>
          <w:rStyle w:val="Emphasis"/>
        </w:rPr>
        <w:t xml:space="preserve">the </w:t>
      </w:r>
      <w:r w:rsidRPr="00846C54">
        <w:rPr>
          <w:rStyle w:val="Emphasis"/>
          <w:highlight w:val="cyan"/>
        </w:rPr>
        <w:t>advantages of decentralized</w:t>
      </w:r>
      <w:r w:rsidRPr="00491534">
        <w:rPr>
          <w:rStyle w:val="Emphasis"/>
        </w:rPr>
        <w:t xml:space="preserve"> and varied </w:t>
      </w:r>
      <w:r w:rsidRPr="00846C54">
        <w:rPr>
          <w:rStyle w:val="Emphasis"/>
          <w:highlight w:val="cyan"/>
        </w:rPr>
        <w:t>responses</w:t>
      </w:r>
      <w:r w:rsidRPr="00491534">
        <w:rPr>
          <w:rStyle w:val="Emphasis"/>
        </w:rPr>
        <w:t>.</w:t>
      </w:r>
    </w:p>
    <w:p w14:paraId="3B062396" w14:textId="77777777" w:rsidR="00BE3993" w:rsidRDefault="00BE3993" w:rsidP="00B774A8"/>
    <w:p w14:paraId="2E0503CE" w14:textId="77777777" w:rsidR="004D7543" w:rsidRDefault="004D7543" w:rsidP="004D7543">
      <w:pPr>
        <w:pStyle w:val="Heading3"/>
      </w:pPr>
      <w:r>
        <w:t>1AR---Solvency</w:t>
      </w:r>
    </w:p>
    <w:p w14:paraId="116FCF9A" w14:textId="77777777" w:rsidR="004D7543" w:rsidRPr="00BC551D" w:rsidRDefault="004D7543" w:rsidP="004D7543"/>
    <w:p w14:paraId="097C11A7" w14:textId="77777777" w:rsidR="004D7543" w:rsidRDefault="004D7543" w:rsidP="004D7543">
      <w:pPr>
        <w:pStyle w:val="Heading4"/>
      </w:pPr>
      <w:r>
        <w:t>Decentralization fails. It’s comparatively less effective at solving inequality.</w:t>
      </w:r>
    </w:p>
    <w:p w14:paraId="77BDEAD0" w14:textId="77777777" w:rsidR="004D7543" w:rsidRDefault="004D7543" w:rsidP="004D7543">
      <w:r w:rsidRPr="00EB5C17">
        <w:t xml:space="preserve">Sarah K. </w:t>
      </w:r>
      <w:r w:rsidRPr="00EB5C17">
        <w:rPr>
          <w:rStyle w:val="Style13ptBold"/>
        </w:rPr>
        <w:t>Bruch et al 23</w:t>
      </w:r>
      <w:r w:rsidRPr="00EB5C17">
        <w:t xml:space="preserve">, associate professor at the Joseph R. Biden, Jr., School of Public Policy and Administration and the Department of Sociology and Criminal Justice at the University of Delaware. Joseph van der </w:t>
      </w:r>
      <w:proofErr w:type="spellStart"/>
      <w:r w:rsidRPr="00EB5C17">
        <w:t>Naald</w:t>
      </w:r>
      <w:proofErr w:type="spellEnd"/>
      <w:r w:rsidRPr="00EB5C17">
        <w:t xml:space="preserve"> is a doctoral candidate in the sociology program at the Graduate Center of the City University of New York. Janet </w:t>
      </w:r>
      <w:proofErr w:type="spellStart"/>
      <w:r w:rsidRPr="00EB5C17">
        <w:t>Gornick</w:t>
      </w:r>
      <w:proofErr w:type="spellEnd"/>
      <w:r w:rsidRPr="00EB5C17">
        <w:t xml:space="preserve"> is a professor of political science and sociology at the Graduate Center of the City University of New York. She also serves as director of the James M. and Cathleen D. Stone Center on Socio-Economic Inequality, which includes the US office of LIS (the cross-national data archive in Luxembourg).</w:t>
      </w:r>
      <w:r>
        <w:t xml:space="preserve"> Social Service Review.  </w:t>
      </w:r>
      <w:proofErr w:type="gramStart"/>
      <w:r>
        <w:t>“</w:t>
      </w:r>
      <w:r w:rsidRPr="00EB5C17">
        <w:t xml:space="preserve"> </w:t>
      </w:r>
      <w:r w:rsidRPr="00427757">
        <w:t>Poverty</w:t>
      </w:r>
      <w:proofErr w:type="gramEnd"/>
      <w:r w:rsidRPr="00427757">
        <w:t xml:space="preserve"> Reduction through Federal and State Policy Mechanisms: Variation over Time and across the United States</w:t>
      </w:r>
      <w:r>
        <w:t xml:space="preserve">” May 2. </w:t>
      </w:r>
      <w:hyperlink r:id="rId40" w:anchor="d21216324e4057" w:history="1">
        <w:r w:rsidRPr="002F76AE">
          <w:rPr>
            <w:rStyle w:val="Hyperlink"/>
          </w:rPr>
          <w:t>https://www.journals.uchicago.edu/doi/full/10.1086/724556#d21216324e4057</w:t>
        </w:r>
      </w:hyperlink>
      <w:r>
        <w:t xml:space="preserve"> //</w:t>
      </w:r>
      <w:proofErr w:type="spellStart"/>
      <w:r>
        <w:t>pipk</w:t>
      </w:r>
      <w:proofErr w:type="spellEnd"/>
    </w:p>
    <w:p w14:paraId="4BE621C7" w14:textId="77777777" w:rsidR="004D7543" w:rsidRDefault="004D7543" w:rsidP="004D7543">
      <w:r>
        <w:t>Introduction</w:t>
      </w:r>
    </w:p>
    <w:p w14:paraId="56AA9EA4" w14:textId="77777777" w:rsidR="004D7543" w:rsidRDefault="004D7543" w:rsidP="004D7543">
      <w:r>
        <w:t xml:space="preserve">One of the most common terms used to describe </w:t>
      </w:r>
      <w:r w:rsidRPr="00100CB0">
        <w:rPr>
          <w:rStyle w:val="StyleUnderline"/>
        </w:rPr>
        <w:t>social welfare policies in the United States is “</w:t>
      </w:r>
      <w:r w:rsidRPr="00100CB0">
        <w:rPr>
          <w:rStyle w:val="Emphasis"/>
        </w:rPr>
        <w:t>patchwork</w:t>
      </w:r>
      <w:r>
        <w:t xml:space="preserve">.” Meant to refer to </w:t>
      </w:r>
      <w:r w:rsidRPr="00100CB0">
        <w:rPr>
          <w:rStyle w:val="StyleUnderline"/>
        </w:rPr>
        <w:t>the assortment of programs</w:t>
      </w:r>
      <w:r>
        <w:t xml:space="preserve"> that </w:t>
      </w:r>
      <w:r w:rsidRPr="00100CB0">
        <w:t>are</w:t>
      </w:r>
      <w:r w:rsidRPr="00100CB0">
        <w:rPr>
          <w:rStyle w:val="StyleUnderline"/>
        </w:rPr>
        <w:t xml:space="preserve"> defined by their categorical eligibility structures and income targeting</w:t>
      </w:r>
      <w:r>
        <w:t xml:space="preserve">, these programs </w:t>
      </w:r>
      <w:r w:rsidRPr="00100CB0">
        <w:rPr>
          <w:rStyle w:val="StyleUnderline"/>
        </w:rPr>
        <w:t>provide different forms of assistance</w:t>
      </w:r>
      <w:r>
        <w:t>—</w:t>
      </w:r>
      <w:r w:rsidRPr="00100CB0">
        <w:rPr>
          <w:rStyle w:val="StyleUnderline"/>
        </w:rPr>
        <w:t>from cash to</w:t>
      </w:r>
      <w:r>
        <w:t xml:space="preserve"> in-kind </w:t>
      </w:r>
      <w:r w:rsidRPr="00100CB0">
        <w:rPr>
          <w:rStyle w:val="StyleUnderline"/>
        </w:rPr>
        <w:t>services</w:t>
      </w:r>
      <w:r>
        <w:t xml:space="preserve">—to groups such as children or the elderly (Bailey and Danziger 2013; Brady, Finnigan, and </w:t>
      </w:r>
      <w:proofErr w:type="spellStart"/>
      <w:r>
        <w:t>Hübgen</w:t>
      </w:r>
      <w:proofErr w:type="spellEnd"/>
      <w:r>
        <w:t xml:space="preserve"> 2017; Duncan and Le </w:t>
      </w:r>
      <w:proofErr w:type="spellStart"/>
      <w:r>
        <w:t>Menestrel</w:t>
      </w:r>
      <w:proofErr w:type="spellEnd"/>
      <w:r>
        <w:t xml:space="preserve"> 2019). Although this aspect of social welfare policy is well known, </w:t>
      </w:r>
      <w:r w:rsidRPr="00100CB0">
        <w:rPr>
          <w:rStyle w:val="StyleUnderline"/>
        </w:rPr>
        <w:t>a</w:t>
      </w:r>
      <w:r>
        <w:t xml:space="preserve"> second </w:t>
      </w:r>
      <w:r w:rsidRPr="00100CB0">
        <w:rPr>
          <w:rStyle w:val="Emphasis"/>
        </w:rPr>
        <w:t>key institutional feature that has attracted increasing attention is the variety of federal-state arrangements that define the decentralized configurations of these programs</w:t>
      </w:r>
      <w:r>
        <w:t xml:space="preserve"> (Bruch, Meyers, and </w:t>
      </w:r>
      <w:proofErr w:type="spellStart"/>
      <w:r>
        <w:t>Gornick</w:t>
      </w:r>
      <w:proofErr w:type="spellEnd"/>
      <w:r>
        <w:t xml:space="preserve"> 2018). Taken together, </w:t>
      </w:r>
      <w:r w:rsidRPr="00100CB0">
        <w:rPr>
          <w:rStyle w:val="StyleUnderline"/>
        </w:rPr>
        <w:t>these two features</w:t>
      </w:r>
      <w:r>
        <w:t xml:space="preserve"> (categorical and income-targeted </w:t>
      </w:r>
      <w:r w:rsidRPr="00100CB0">
        <w:rPr>
          <w:rStyle w:val="Emphasis"/>
        </w:rPr>
        <w:t>policy designs</w:t>
      </w:r>
      <w:r>
        <w:t xml:space="preserve"> </w:t>
      </w:r>
      <w:r w:rsidRPr="00100CB0">
        <w:rPr>
          <w:rStyle w:val="Emphasis"/>
        </w:rPr>
        <w:t>and decentralization</w:t>
      </w:r>
      <w:r>
        <w:t xml:space="preserve">), to a large extent, </w:t>
      </w:r>
      <w:r w:rsidRPr="00100CB0">
        <w:rPr>
          <w:rStyle w:val="Emphasis"/>
        </w:rPr>
        <w:t>shape the distributional consequences of social welfare policies.</w:t>
      </w:r>
    </w:p>
    <w:p w14:paraId="6A94E120" w14:textId="77777777" w:rsidR="004D7543" w:rsidRPr="00980776" w:rsidRDefault="004D7543" w:rsidP="004D7543">
      <w:r>
        <w:t xml:space="preserve">In this article, </w:t>
      </w:r>
      <w:r w:rsidRPr="005F47F1">
        <w:rPr>
          <w:rStyle w:val="StyleUnderline"/>
        </w:rPr>
        <w:t>we examine the distributional consequences of these key institutional features of social welfare policies</w:t>
      </w:r>
      <w:r>
        <w:t xml:space="preserve">. We </w:t>
      </w:r>
      <w:r w:rsidRPr="005F47F1">
        <w:rPr>
          <w:rStyle w:val="Emphasis"/>
        </w:rPr>
        <w:t>begin by distinguishing between federal- and state-level policy making and between transfers and taxes.</w:t>
      </w:r>
      <w:r>
        <w:t xml:space="preserve"> Combining those, </w:t>
      </w:r>
      <w:r w:rsidRPr="005F47F1">
        <w:rPr>
          <w:rStyle w:val="StyleUnderline"/>
        </w:rPr>
        <w:t>we assess and compare four policy mechanisms</w:t>
      </w:r>
      <w:r>
        <w:t xml:space="preserve">: </w:t>
      </w:r>
      <w:r w:rsidRPr="005F47F1">
        <w:rPr>
          <w:rStyle w:val="Emphasis"/>
        </w:rPr>
        <w:t>federal transfers, state transfers, federal taxes, and state taxes</w:t>
      </w:r>
      <w:r>
        <w:t xml:space="preserve">. To capture the different categorical eligibility structures embedded in our policy mechanisms, </w:t>
      </w:r>
      <w:r w:rsidRPr="005F47F1">
        <w:rPr>
          <w:rStyle w:val="StyleUnderline"/>
        </w:rPr>
        <w:t>we measure poverty reduction within</w:t>
      </w:r>
      <w:r>
        <w:t xml:space="preserve"> two important household types: working-age </w:t>
      </w:r>
      <w:r w:rsidRPr="005F47F1">
        <w:rPr>
          <w:rStyle w:val="StyleUnderline"/>
        </w:rPr>
        <w:t>households with children and</w:t>
      </w:r>
      <w:r>
        <w:t xml:space="preserve"> working-age households </w:t>
      </w:r>
      <w:r w:rsidRPr="005F47F1">
        <w:rPr>
          <w:rStyle w:val="StyleUnderline"/>
        </w:rPr>
        <w:t>without</w:t>
      </w:r>
      <w:r>
        <w:t xml:space="preserve"> children. Using the Current Population Survey’s Annual Social and Economic Supplement (CPS ASEC) data and a sequence-independent Shapley decomposition, </w:t>
      </w:r>
      <w:r w:rsidRPr="00171D77">
        <w:rPr>
          <w:rStyle w:val="Emphasis"/>
        </w:rPr>
        <w:t>we examine the levels of absolute and relative poverty reduction attributable to the four policy mechanisms</w:t>
      </w:r>
      <w:r>
        <w:t xml:space="preserve">—further disaggregated by household type, by year (1996–2016), and by state. In doing so, we contribute conceptually and empirically to scholarly understanding of how </w:t>
      </w:r>
      <w:r w:rsidRPr="00171D77">
        <w:rPr>
          <w:rStyle w:val="Emphasis"/>
        </w:rPr>
        <w:t>the institutional features of social provision shape poverty reduction, directing attention to two important consequences of safety net decentralization</w:t>
      </w:r>
      <w:r>
        <w:t>—</w:t>
      </w:r>
      <w:r w:rsidRPr="00171D77">
        <w:rPr>
          <w:rStyle w:val="Emphasis"/>
        </w:rPr>
        <w:t>inequalities in poverty reduction across household types and geographic inequalities in poverty reduction</w:t>
      </w:r>
      <w:r>
        <w:t>.</w:t>
      </w:r>
    </w:p>
    <w:p w14:paraId="6C8D89E0" w14:textId="77777777" w:rsidR="004D7543" w:rsidRDefault="004D7543" w:rsidP="004D7543">
      <w:r>
        <w:t>Categorical Eligibility, Deservingness, and Poverty Reduction</w:t>
      </w:r>
    </w:p>
    <w:p w14:paraId="0CEF3CE1" w14:textId="77777777" w:rsidR="004D7543" w:rsidRDefault="004D7543" w:rsidP="004D7543">
      <w:r>
        <w:t xml:space="preserve">One of the key features of US social provision is the tiered design of programs based on demographically defined, categorical eligibility structures. Whereas some groups, such as the elderly and workers, enjoy standardized, national sources of assistance through contributory social insurance policy designs, others, such as parents of dependent children, have access to more limited and localized supports that are largely income targeted (i.e., means tested). Importantly, these categorically defined programs differ in terms of the overall quality and quantity of benefits, as well as the policy instrument used (i.e., cash, in-kind, service, tax expenditure). These differences map onto social distinctions—especially race and gender—and related constructions of “deservingness” (Anderson 2004; Fraser and Gordon 1992; Katz 2013; Schneider and Ingram 1993; </w:t>
      </w:r>
      <w:proofErr w:type="spellStart"/>
      <w:r>
        <w:t>Steensland</w:t>
      </w:r>
      <w:proofErr w:type="spellEnd"/>
      <w:r>
        <w:t xml:space="preserve"> 2006). Together, these result in a bifurcation between programs mainly serving the “deserving” groups, which are more politically popular and thus more stable, and programs with more targeted designs serving less “deserving” populations (Brady and Bostic 2015; </w:t>
      </w:r>
      <w:proofErr w:type="spellStart"/>
      <w:r>
        <w:t>Korpi</w:t>
      </w:r>
      <w:proofErr w:type="spellEnd"/>
      <w:r>
        <w:t xml:space="preserve"> and Palme 1998; Pierson 1995).</w:t>
      </w:r>
    </w:p>
    <w:p w14:paraId="50FF49CC" w14:textId="77777777" w:rsidR="004D7543" w:rsidRDefault="004D7543" w:rsidP="004D7543">
      <w:r w:rsidRPr="001D61AD">
        <w:rPr>
          <w:rStyle w:val="StyleUnderline"/>
        </w:rPr>
        <w:t>Recent empirical research in this area examines the distributional impacts of shifting approaches to social provision</w:t>
      </w:r>
      <w:r>
        <w:t xml:space="preserve"> (i.e., different types of policy instruments), </w:t>
      </w:r>
      <w:r w:rsidRPr="001D61AD">
        <w:rPr>
          <w:rStyle w:val="StyleUnderline"/>
        </w:rPr>
        <w:t>as well as changes to specific programs, in terms of expanding and contracting eligibility across populations</w:t>
      </w:r>
      <w:r>
        <w:t xml:space="preserve"> (Brady and Parolin 2020; Fox et al. 2015; Moffitt 2015; </w:t>
      </w:r>
      <w:proofErr w:type="spellStart"/>
      <w:r>
        <w:t>Wimer</w:t>
      </w:r>
      <w:proofErr w:type="spellEnd"/>
      <w:r>
        <w:t xml:space="preserve"> et al. 2020). Seen as a particularly deserving group, children have been the focus of a great deal of poverty policy research (</w:t>
      </w:r>
      <w:proofErr w:type="spellStart"/>
      <w:r>
        <w:t>Bitler</w:t>
      </w:r>
      <w:proofErr w:type="spellEnd"/>
      <w:r>
        <w:t xml:space="preserve">, </w:t>
      </w:r>
      <w:proofErr w:type="spellStart"/>
      <w:r>
        <w:t>Hoynes</w:t>
      </w:r>
      <w:proofErr w:type="spellEnd"/>
      <w:r>
        <w:t xml:space="preserve">, and Kuka 2017; Chen and </w:t>
      </w:r>
      <w:proofErr w:type="spellStart"/>
      <w:r>
        <w:t>Corak</w:t>
      </w:r>
      <w:proofErr w:type="spellEnd"/>
      <w:r>
        <w:t xml:space="preserve"> 2008; Duncan and Le </w:t>
      </w:r>
      <w:proofErr w:type="spellStart"/>
      <w:r>
        <w:t>Menestrel</w:t>
      </w:r>
      <w:proofErr w:type="spellEnd"/>
      <w:r>
        <w:t xml:space="preserve"> 2019; </w:t>
      </w:r>
      <w:proofErr w:type="spellStart"/>
      <w:r>
        <w:t>Gornick</w:t>
      </w:r>
      <w:proofErr w:type="spellEnd"/>
      <w:r>
        <w:t xml:space="preserve"> and </w:t>
      </w:r>
      <w:proofErr w:type="spellStart"/>
      <w:r>
        <w:t>Jäntti</w:t>
      </w:r>
      <w:proofErr w:type="spellEnd"/>
      <w:r>
        <w:t xml:space="preserve"> 2012; Pac, Nam, et al. 2017; Pac, </w:t>
      </w:r>
      <w:proofErr w:type="spellStart"/>
      <w:r>
        <w:t>Waldfogel</w:t>
      </w:r>
      <w:proofErr w:type="spellEnd"/>
      <w:r>
        <w:t xml:space="preserve">, and </w:t>
      </w:r>
      <w:proofErr w:type="spellStart"/>
      <w:r>
        <w:t>Wimer</w:t>
      </w:r>
      <w:proofErr w:type="spellEnd"/>
      <w:r>
        <w:t xml:space="preserve"> 2017; Parolin 2021b; Rainwater and Smeeding 2003).1 </w:t>
      </w:r>
      <w:r w:rsidRPr="001D61AD">
        <w:rPr>
          <w:rStyle w:val="Emphasis"/>
        </w:rPr>
        <w:t>Among the most consistent findings in this research is that federal income tax credits</w:t>
      </w:r>
      <w:r>
        <w:t xml:space="preserve"> (most especially the Earned Income Tax Credit, or EITC) </w:t>
      </w:r>
      <w:r w:rsidRPr="001D61AD">
        <w:rPr>
          <w:rStyle w:val="Emphasis"/>
        </w:rPr>
        <w:t>and near-cash food assistance</w:t>
      </w:r>
      <w:r>
        <w:t xml:space="preserve"> (Supplemental Nutrition Assistance Program, or SNAP) </w:t>
      </w:r>
      <w:r w:rsidRPr="001D61AD">
        <w:rPr>
          <w:rStyle w:val="Emphasis"/>
        </w:rPr>
        <w:t>have played the largest roles in reducing child poverty over the past 20 years</w:t>
      </w:r>
      <w:r>
        <w:t xml:space="preserve">. Importantly, however, many social programs are conditioned on employment and so are less effective for some of the most economically marginalized families experiencing deep or extreme poverty (Brady and Parolin 2020; Duncan and Le </w:t>
      </w:r>
      <w:proofErr w:type="spellStart"/>
      <w:r>
        <w:t>Menestrel</w:t>
      </w:r>
      <w:proofErr w:type="spellEnd"/>
      <w:r>
        <w:t xml:space="preserve"> 2019; Shaefer and Edin 2013; Shaefer et al. 2020).</w:t>
      </w:r>
    </w:p>
    <w:p w14:paraId="6CBEEA94" w14:textId="77777777" w:rsidR="004D7543" w:rsidRDefault="004D7543" w:rsidP="004D7543">
      <w:r>
        <w:t xml:space="preserve">In part because of the work-conditioned and child-centered focus of many safety net programs, an increasing amount of research examines working-age adults and households, both with and without children (Brady and Parolin 2020; </w:t>
      </w:r>
      <w:proofErr w:type="spellStart"/>
      <w:r>
        <w:t>Hingtgen</w:t>
      </w:r>
      <w:proofErr w:type="spellEnd"/>
      <w:r>
        <w:t xml:space="preserve">, Saenz, and Zippel 2021; </w:t>
      </w:r>
      <w:proofErr w:type="spellStart"/>
      <w:r>
        <w:t>Wimer</w:t>
      </w:r>
      <w:proofErr w:type="spellEnd"/>
      <w:r>
        <w:t xml:space="preserve"> et al. 2016, 2020), as well as forms of assistance available for able-bodied adults without dependents or “ABAWDs” (Hahn et al. 2019). A consistent finding in this area is that households without children have experienced greater economic marginalization compared with households with children and have received considerably less antipoverty assistance over the past few decades. These differences in poverty reduction across demographically different households reflect the categorical eligibility and income targeting shaping both access to assistance and the efficacy of differently designed programs for reducing poverty.</w:t>
      </w:r>
    </w:p>
    <w:p w14:paraId="733A16F0" w14:textId="77777777" w:rsidR="004D7543" w:rsidRDefault="004D7543" w:rsidP="004D7543">
      <w:r>
        <w:t>In the case of childless households, the categorical nature of eligibility is visible in the limited number of programs from which they benefit unless they are “categorized into assistance.” Although households without children can receive assistance specific to people with disabilities (e.g., Social Security Disability Insurance or Supplemental Security Income [SSI]), veterans (benefits from the Department of Veterans Affairs, including disability compensation, retirement, or pension payments), or those who were recently employed (such as unemployment insurance [UI] and worker’s compensation), many people do not satisfy the additional categorical eligibility criteria these programs require, resulting in low levels of receipt (a pattern that we demonstrate below). Often the only recourse for childless households is assistance from state-based general assistance and SNAP. General assistance, however, is limited in its generosity (Schott 2020), and although SNAP has a substantial impact on poverty among childless households (Brady and Parolin 2020), SNAP’s requirement of employment limits its effectiveness (Carlson, Rosenbaum, and Keith-Jennings 2016), resulting in poverty reductions substantially lower than those among households with children.</w:t>
      </w:r>
    </w:p>
    <w:p w14:paraId="168EFA0A" w14:textId="77777777" w:rsidR="004D7543" w:rsidRDefault="004D7543" w:rsidP="004D7543">
      <w:r>
        <w:t>Changes Over Time in Poverty Reduction in the United States</w:t>
      </w:r>
    </w:p>
    <w:p w14:paraId="061B0710" w14:textId="77777777" w:rsidR="004D7543" w:rsidRDefault="004D7543" w:rsidP="004D7543">
      <w:r>
        <w:t>In the US context, scholars have focused a great deal of attention on examining how the policy changes enacted during the “big bangs” of social policy—represented by the 1930s’ New Deal period, the 1960s’ War on Poverty, and the 1990s’ welfare reforms—have affected the economic outcomes of households, families, and individuals. Efforts to determine whether President Lyndon B. Johnson’s War on Poverty was “won” and the consequences of a reconfigured safety net that provides conditional, work-supporting services and expense-reducing benefits continue to receive considerable attention (</w:t>
      </w:r>
      <w:proofErr w:type="spellStart"/>
      <w:r>
        <w:t>Burkhauser</w:t>
      </w:r>
      <w:proofErr w:type="spellEnd"/>
      <w:r>
        <w:t xml:space="preserve"> et al. 2019; Fox et al. 2015; </w:t>
      </w:r>
      <w:proofErr w:type="spellStart"/>
      <w:r>
        <w:t>Haveman</w:t>
      </w:r>
      <w:proofErr w:type="spellEnd"/>
      <w:r>
        <w:t xml:space="preserve"> et al. 2015; Blank 2002; Halpern-</w:t>
      </w:r>
      <w:proofErr w:type="spellStart"/>
      <w:r>
        <w:t>Meekin</w:t>
      </w:r>
      <w:proofErr w:type="spellEnd"/>
      <w:r>
        <w:t xml:space="preserve"> et al. 2015; Heinrich and Scholz 2009; </w:t>
      </w:r>
      <w:proofErr w:type="spellStart"/>
      <w:r>
        <w:t>Ziliak</w:t>
      </w:r>
      <w:proofErr w:type="spellEnd"/>
      <w:r>
        <w:t xml:space="preserve"> 2009). Recent work has also explored the efficacy of largely temporary policy changes made in response to the Great Recession (</w:t>
      </w:r>
      <w:proofErr w:type="spellStart"/>
      <w:r>
        <w:t>Bitler</w:t>
      </w:r>
      <w:proofErr w:type="spellEnd"/>
      <w:r>
        <w:t xml:space="preserve"> and </w:t>
      </w:r>
      <w:proofErr w:type="spellStart"/>
      <w:r>
        <w:t>Hoynes</w:t>
      </w:r>
      <w:proofErr w:type="spellEnd"/>
      <w:r>
        <w:t xml:space="preserve"> 2016; Chang, </w:t>
      </w:r>
      <w:proofErr w:type="spellStart"/>
      <w:r>
        <w:t>Romich</w:t>
      </w:r>
      <w:proofErr w:type="spellEnd"/>
      <w:r>
        <w:t xml:space="preserve">, and Ybarra 2021; Larrimore, </w:t>
      </w:r>
      <w:proofErr w:type="spellStart"/>
      <w:r>
        <w:t>Burkhauser</w:t>
      </w:r>
      <w:proofErr w:type="spellEnd"/>
      <w:r>
        <w:t xml:space="preserve">, and </w:t>
      </w:r>
      <w:proofErr w:type="spellStart"/>
      <w:r>
        <w:t>Armour</w:t>
      </w:r>
      <w:proofErr w:type="spellEnd"/>
      <w:r>
        <w:t xml:space="preserve"> 2015; Moffitt 2013) and the COVID-19 pandemic (Bernstein, Gonzalez, and </w:t>
      </w:r>
      <w:proofErr w:type="spellStart"/>
      <w:r>
        <w:t>Karpman</w:t>
      </w:r>
      <w:proofErr w:type="spellEnd"/>
      <w:r>
        <w:t xml:space="preserve"> 2021; </w:t>
      </w:r>
      <w:proofErr w:type="spellStart"/>
      <w:r>
        <w:t>Bitler</w:t>
      </w:r>
      <w:proofErr w:type="spellEnd"/>
      <w:r>
        <w:t xml:space="preserve">, </w:t>
      </w:r>
      <w:proofErr w:type="spellStart"/>
      <w:r>
        <w:t>Hoynes</w:t>
      </w:r>
      <w:proofErr w:type="spellEnd"/>
      <w:r>
        <w:t xml:space="preserve">, and </w:t>
      </w:r>
      <w:proofErr w:type="spellStart"/>
      <w:r>
        <w:t>Schanzenbach</w:t>
      </w:r>
      <w:proofErr w:type="spellEnd"/>
      <w:r>
        <w:t xml:space="preserve"> 2020; Cooney and Shaefer 2021; Moffitt and </w:t>
      </w:r>
      <w:proofErr w:type="spellStart"/>
      <w:r>
        <w:t>Ziliak</w:t>
      </w:r>
      <w:proofErr w:type="spellEnd"/>
      <w:r>
        <w:t xml:space="preserve"> 2020; Parolin and Curran 2021), characterized by fiscal stimulus cash supports and temporary federal extensions of benefits or eligibility for specific programs.</w:t>
      </w:r>
    </w:p>
    <w:p w14:paraId="55EA917B" w14:textId="77777777" w:rsidR="004D7543" w:rsidRDefault="004D7543" w:rsidP="004D7543">
      <w:r w:rsidRPr="00225D09">
        <w:rPr>
          <w:rStyle w:val="Emphasis"/>
        </w:rPr>
        <w:t>Several consistent empirical findings summarize the state of knowledge in this area</w:t>
      </w:r>
      <w:r>
        <w:t>. First, programs initiated or expanded during the War on Poverty and shortly after substantially reduced rates of poverty (Fox et al. 2015). Second, the cyclicality of the responsiveness of safety net programs has changed in the post–welfare reform period, with cash assistance becoming less responsive (</w:t>
      </w:r>
      <w:proofErr w:type="spellStart"/>
      <w:r>
        <w:t>Bitler</w:t>
      </w:r>
      <w:proofErr w:type="spellEnd"/>
      <w:r>
        <w:t xml:space="preserve"> and </w:t>
      </w:r>
      <w:proofErr w:type="spellStart"/>
      <w:r>
        <w:t>Hoynes</w:t>
      </w:r>
      <w:proofErr w:type="spellEnd"/>
      <w:r>
        <w:t xml:space="preserve"> 2010; Hardy, Smeeding, and </w:t>
      </w:r>
      <w:proofErr w:type="spellStart"/>
      <w:r>
        <w:t>Ziliak</w:t>
      </w:r>
      <w:proofErr w:type="spellEnd"/>
      <w:r>
        <w:t xml:space="preserve"> 2018; Parolin 2021a). Third, in the post–welfare reform period, the role of cash assistance has declined (especially the Temporary Assistance for Needy Families [TANF] program), increasing the importance of in-kind food assistance (SNAP in particular) and of work-conditioned tax benefits (federal and state EITCs), especially for poverty reduction and income gains among households with children and those able to work (Chang et al. 2021; Fox et al. 2015; </w:t>
      </w:r>
      <w:proofErr w:type="spellStart"/>
      <w:r>
        <w:t>Hoynes</w:t>
      </w:r>
      <w:proofErr w:type="spellEnd"/>
      <w:r>
        <w:t xml:space="preserve"> and </w:t>
      </w:r>
      <w:proofErr w:type="spellStart"/>
      <w:r>
        <w:t>Schanzenbach</w:t>
      </w:r>
      <w:proofErr w:type="spellEnd"/>
      <w:r>
        <w:t xml:space="preserve"> 2018; </w:t>
      </w:r>
      <w:proofErr w:type="spellStart"/>
      <w:r>
        <w:t>Wimer</w:t>
      </w:r>
      <w:proofErr w:type="spellEnd"/>
      <w:r>
        <w:t xml:space="preserve"> et al. 2020).</w:t>
      </w:r>
    </w:p>
    <w:p w14:paraId="22DBFD04" w14:textId="77777777" w:rsidR="004D7543" w:rsidRDefault="004D7543" w:rsidP="004D7543">
      <w:r>
        <w:t>Decentralization in Social Provision</w:t>
      </w:r>
    </w:p>
    <w:p w14:paraId="6C865A6B" w14:textId="77777777" w:rsidR="004D7543" w:rsidRDefault="004D7543" w:rsidP="004D7543">
      <w:r w:rsidRPr="0088054D">
        <w:rPr>
          <w:rStyle w:val="Emphasis"/>
        </w:rPr>
        <w:t>The second key institutional feature that defines safety net provision in the United States is the decentralization—the degree to which authority or discretion has been devolved to subnational governments, especially state governments</w:t>
      </w:r>
      <w:r>
        <w:t xml:space="preserve">. </w:t>
      </w:r>
      <w:r w:rsidRPr="0088054D">
        <w:rPr>
          <w:rStyle w:val="StyleUnderline"/>
        </w:rPr>
        <w:t>The programs that make up the patchwork of safety net provisions, from cash assistance to a wide range of in-kind forms of assistance and services, are decentralized to varying degrees</w:t>
      </w:r>
      <w:r>
        <w:t xml:space="preserve">. </w:t>
      </w:r>
      <w:r w:rsidRPr="0088054D">
        <w:rPr>
          <w:rStyle w:val="Emphasis"/>
        </w:rPr>
        <w:t>The devolution of discretion to state or local governments can occur in three dimensions—financing, administration, and rulemaking—each of which can be conceptualized as falling on a scale that runs from low to high levels of state discretion</w:t>
      </w:r>
      <w:r>
        <w:t xml:space="preserve"> (Bruch et al. 2018</w:t>
      </w:r>
      <w:r w:rsidRPr="0026184C">
        <w:rPr>
          <w:rStyle w:val="StyleUnderline"/>
        </w:rPr>
        <w:t>). In terms of financing, the range of state discretion is shaped by the way in which fiscal responsibility (program funding) is split between state and federal jurisdictions (ranging from completely state-financed programs to completely federally financed programs) and the degree of autonomy states have in spending federal dollars (e.g., block grants)</w:t>
      </w:r>
      <w:r>
        <w:t xml:space="preserve">. </w:t>
      </w:r>
      <w:r w:rsidRPr="0026184C">
        <w:rPr>
          <w:rStyle w:val="StyleUnderline"/>
        </w:rPr>
        <w:t>In terms of rulemaking, the range of discretion is shaped both by the jurisdiction (federal and state) at which the basic standards for coverage, eligibility, and other program elements are set and by the range of choices allowed within those standards. In terms of administration, the range of state discretion is shaped by the direct jurisdictional responsibility (federal, state, and local) for the design and management of program implementation and by the degree of autonomy afforded to state or local administrative agencies</w:t>
      </w:r>
      <w:r>
        <w:t xml:space="preserve">. </w:t>
      </w:r>
      <w:r w:rsidRPr="0026184C">
        <w:rPr>
          <w:rStyle w:val="Emphasis"/>
        </w:rPr>
        <w:t>Each safety net program has a distinct configuration of decentralization across these dimensions that represents the specific federal-state arrangement of shared responsibility.</w:t>
      </w:r>
    </w:p>
    <w:p w14:paraId="79479E26" w14:textId="77777777" w:rsidR="004D7543" w:rsidRDefault="004D7543" w:rsidP="004D7543">
      <w:r w:rsidRPr="0026184C">
        <w:rPr>
          <w:rStyle w:val="StyleUnderline"/>
        </w:rPr>
        <w:t>Recognition of the extent and dimensions of decentralization in safety net programs has increasingly motivated examinations of cross-state differences in the generosity and scope of benefits and terms or conditions of receipt</w:t>
      </w:r>
      <w:r>
        <w:t xml:space="preserve"> (</w:t>
      </w:r>
      <w:proofErr w:type="spellStart"/>
      <w:r>
        <w:t>Bentele</w:t>
      </w:r>
      <w:proofErr w:type="spellEnd"/>
      <w:r>
        <w:t xml:space="preserve"> and </w:t>
      </w:r>
      <w:proofErr w:type="spellStart"/>
      <w:r>
        <w:t>Nicoli</w:t>
      </w:r>
      <w:proofErr w:type="spellEnd"/>
      <w:r>
        <w:t xml:space="preserve"> 2012; Cheng and Lo 2018; Hahn et al. 2017; </w:t>
      </w:r>
      <w:proofErr w:type="spellStart"/>
      <w:r>
        <w:t>Soss</w:t>
      </w:r>
      <w:proofErr w:type="spellEnd"/>
      <w:r>
        <w:t xml:space="preserve">, Fording, Schram 2011; Bruch, </w:t>
      </w:r>
      <w:proofErr w:type="spellStart"/>
      <w:r>
        <w:t>Gornick</w:t>
      </w:r>
      <w:proofErr w:type="spellEnd"/>
      <w:r>
        <w:t xml:space="preserve">, and van der </w:t>
      </w:r>
      <w:proofErr w:type="spellStart"/>
      <w:r>
        <w:t>Naald</w:t>
      </w:r>
      <w:proofErr w:type="spellEnd"/>
      <w:r>
        <w:t xml:space="preserve"> 2022). </w:t>
      </w:r>
      <w:r w:rsidRPr="0026184C">
        <w:rPr>
          <w:rStyle w:val="StyleUnderline"/>
        </w:rPr>
        <w:t>Other scholars have examined how different state policy choices result in cross-state variation or inequality in social safety net provision and family policies</w:t>
      </w:r>
      <w:r>
        <w:t xml:space="preserve"> (Bruch et al. 2018; Campbell 2014; Parolin and </w:t>
      </w:r>
      <w:proofErr w:type="spellStart"/>
      <w:r>
        <w:t>Daiger</w:t>
      </w:r>
      <w:proofErr w:type="spellEnd"/>
      <w:r>
        <w:t xml:space="preserve"> von Gleichen 2020; Meyers, </w:t>
      </w:r>
      <w:proofErr w:type="spellStart"/>
      <w:r>
        <w:t>Gornick</w:t>
      </w:r>
      <w:proofErr w:type="spellEnd"/>
      <w:r>
        <w:t xml:space="preserve">, and Peck 2001), </w:t>
      </w:r>
      <w:r w:rsidRPr="0026184C">
        <w:rPr>
          <w:rStyle w:val="StyleUnderline"/>
        </w:rPr>
        <w:t>in social service provision</w:t>
      </w:r>
      <w:r>
        <w:t xml:space="preserve"> (Allard 2009; Kelly and </w:t>
      </w:r>
      <w:proofErr w:type="spellStart"/>
      <w:r>
        <w:t>Lobao</w:t>
      </w:r>
      <w:proofErr w:type="spellEnd"/>
      <w:r>
        <w:t xml:space="preserve"> 2021), </w:t>
      </w:r>
      <w:r w:rsidRPr="0026184C">
        <w:rPr>
          <w:rStyle w:val="StyleUnderline"/>
        </w:rPr>
        <w:t>and in state and local spending</w:t>
      </w:r>
      <w:r>
        <w:t xml:space="preserve"> (</w:t>
      </w:r>
      <w:proofErr w:type="spellStart"/>
      <w:r>
        <w:t>Gais</w:t>
      </w:r>
      <w:proofErr w:type="spellEnd"/>
      <w:r>
        <w:t xml:space="preserve"> 2009; </w:t>
      </w:r>
      <w:proofErr w:type="spellStart"/>
      <w:r>
        <w:t>Hoynes</w:t>
      </w:r>
      <w:proofErr w:type="spellEnd"/>
      <w:r>
        <w:t xml:space="preserve"> and </w:t>
      </w:r>
      <w:proofErr w:type="spellStart"/>
      <w:r>
        <w:t>Schanzenbach</w:t>
      </w:r>
      <w:proofErr w:type="spellEnd"/>
      <w:r>
        <w:t xml:space="preserve"> 2018; McGuire and Merriman 2006; Hardy, Samudra, and Davis 2019; Reynolds, Fox, and Young 2021; Azevedo-McCaffrey and </w:t>
      </w:r>
      <w:proofErr w:type="spellStart"/>
      <w:r>
        <w:t>Safawi</w:t>
      </w:r>
      <w:proofErr w:type="spellEnd"/>
      <w:r>
        <w:t xml:space="preserve"> 2022) </w:t>
      </w:r>
      <w:r w:rsidRPr="0026184C">
        <w:rPr>
          <w:rStyle w:val="StyleUnderline"/>
        </w:rPr>
        <w:t>and taxes</w:t>
      </w:r>
      <w:r>
        <w:t xml:space="preserve"> (Newman and O’Brien 2011; O’Brien 2017). Most </w:t>
      </w:r>
      <w:proofErr w:type="gramStart"/>
      <w:r>
        <w:t>similar to</w:t>
      </w:r>
      <w:proofErr w:type="gramEnd"/>
      <w:r>
        <w:t xml:space="preserve"> the current study, </w:t>
      </w:r>
      <w:r w:rsidRPr="0026184C">
        <w:rPr>
          <w:rStyle w:val="Emphasis"/>
        </w:rPr>
        <w:t>many scholars have examined the consequences for the economic well-being of cross-state variation in policy designs and social provision</w:t>
      </w:r>
      <w:r>
        <w:t xml:space="preserve"> (</w:t>
      </w:r>
      <w:proofErr w:type="spellStart"/>
      <w:r>
        <w:t>Bitler</w:t>
      </w:r>
      <w:proofErr w:type="spellEnd"/>
      <w:r>
        <w:t xml:space="preserve"> et al. 2017; Hardy et al. 2018; Laird et al. 2018; Shaefer et al. 2020; Parolin 2021b). </w:t>
      </w:r>
      <w:r w:rsidRPr="0026184C">
        <w:rPr>
          <w:rStyle w:val="Emphasis"/>
        </w:rPr>
        <w:t>A key takeaway from all this research is that there is substantial cross-state variation in market-based poverty, in the programs and services available to assist economically marginalized populations, and in the efficacy of these programs at reducing poverty</w:t>
      </w:r>
      <w:r>
        <w:t>.</w:t>
      </w:r>
    </w:p>
    <w:p w14:paraId="4B8B0B92" w14:textId="77777777" w:rsidR="004D7543" w:rsidRDefault="004D7543" w:rsidP="004D7543">
      <w:r>
        <w:t>Contributions and Research Questions</w:t>
      </w:r>
    </w:p>
    <w:p w14:paraId="3047ABF1" w14:textId="77777777" w:rsidR="004D7543" w:rsidRDefault="004D7543" w:rsidP="004D7543">
      <w:r w:rsidRPr="00094983">
        <w:rPr>
          <w:rStyle w:val="StyleUnderline"/>
        </w:rPr>
        <w:t>Recognizing the ways in which social welfare policy is structured is crucial; we must use the institutional features defining it to guide empirical work exploring its consequences</w:t>
      </w:r>
      <w:r>
        <w:t xml:space="preserve">. In this article, </w:t>
      </w:r>
      <w:r w:rsidRPr="00094983">
        <w:rPr>
          <w:rStyle w:val="StyleUnderline"/>
        </w:rPr>
        <w:t>we link the institutional features of</w:t>
      </w:r>
      <w:r>
        <w:t xml:space="preserve"> categorically defined eligibility, income targeting, and </w:t>
      </w:r>
      <w:r w:rsidRPr="00094983">
        <w:rPr>
          <w:rStyle w:val="Emphasis"/>
        </w:rPr>
        <w:t>decentralization to four redistributive mechanisms</w:t>
      </w:r>
      <w:r>
        <w:t xml:space="preserve"> </w:t>
      </w:r>
      <w:proofErr w:type="gramStart"/>
      <w:r w:rsidRPr="00094983">
        <w:rPr>
          <w:rStyle w:val="Emphasis"/>
        </w:rPr>
        <w:t>in an attempt to</w:t>
      </w:r>
      <w:proofErr w:type="gramEnd"/>
      <w:r w:rsidRPr="00094983">
        <w:rPr>
          <w:rStyle w:val="Emphasis"/>
        </w:rPr>
        <w:t xml:space="preserve"> examine the efficacy of poverty reduction</w:t>
      </w:r>
      <w:r>
        <w:t xml:space="preserve"> </w:t>
      </w:r>
      <w:r w:rsidRPr="00094983">
        <w:rPr>
          <w:rStyle w:val="StyleUnderline"/>
        </w:rPr>
        <w:t>over time and</w:t>
      </w:r>
      <w:r>
        <w:t xml:space="preserve"> between demographically different households and </w:t>
      </w:r>
      <w:r w:rsidRPr="00094983">
        <w:rPr>
          <w:rStyle w:val="StyleUnderline"/>
        </w:rPr>
        <w:t>to assess how poverty reduction varies across states</w:t>
      </w:r>
      <w:r>
        <w:t xml:space="preserve">. </w:t>
      </w:r>
      <w:r w:rsidRPr="00094983">
        <w:rPr>
          <w:rStyle w:val="Emphasis"/>
        </w:rPr>
        <w:t>To measure</w:t>
      </w:r>
      <w:r>
        <w:t xml:space="preserve"> the extent to which government actions reduce market-generated poverty through </w:t>
      </w:r>
      <w:r w:rsidRPr="00094983">
        <w:rPr>
          <w:rStyle w:val="StyleUnderline"/>
        </w:rPr>
        <w:t xml:space="preserve">income </w:t>
      </w:r>
      <w:r w:rsidRPr="00094983">
        <w:rPr>
          <w:rStyle w:val="Emphasis"/>
        </w:rPr>
        <w:t>redistribution</w:t>
      </w:r>
      <w:r w:rsidRPr="00094983">
        <w:rPr>
          <w:rStyle w:val="StyleUnderline"/>
        </w:rPr>
        <w:t>, we aggregate household-level data</w:t>
      </w:r>
      <w:r>
        <w:t xml:space="preserve">, creating “income packages” </w:t>
      </w:r>
      <w:r w:rsidRPr="00094983">
        <w:rPr>
          <w:rStyle w:val="StyleUnderline"/>
        </w:rPr>
        <w:t>composed of</w:t>
      </w:r>
      <w:r>
        <w:t xml:space="preserve"> market and private </w:t>
      </w:r>
      <w:r w:rsidRPr="00094983">
        <w:rPr>
          <w:rStyle w:val="Emphasis"/>
        </w:rPr>
        <w:t>income</w:t>
      </w:r>
      <w:r>
        <w:t xml:space="preserve"> sources, income </w:t>
      </w:r>
      <w:r w:rsidRPr="00094983">
        <w:rPr>
          <w:rStyle w:val="Emphasis"/>
        </w:rPr>
        <w:t>transfers from</w:t>
      </w:r>
      <w:r>
        <w:t xml:space="preserve"> various </w:t>
      </w:r>
      <w:r w:rsidRPr="00094983">
        <w:rPr>
          <w:rStyle w:val="Emphasis"/>
        </w:rPr>
        <w:t>government programs, and income taxes.2</w:t>
      </w:r>
      <w:r>
        <w:t xml:space="preserve"> We categorize social welfare programs and policies into four types. </w:t>
      </w:r>
      <w:r w:rsidRPr="00094983">
        <w:rPr>
          <w:rStyle w:val="StyleUnderline"/>
        </w:rPr>
        <w:t xml:space="preserve">We first draw on a distinction between </w:t>
      </w:r>
      <w:r w:rsidRPr="00094983">
        <w:rPr>
          <w:rStyle w:val="Emphasis"/>
        </w:rPr>
        <w:t>taxes and transfers</w:t>
      </w:r>
      <w:r>
        <w:t xml:space="preserve">, and </w:t>
      </w:r>
      <w:r w:rsidRPr="00094983">
        <w:rPr>
          <w:rStyle w:val="StyleUnderline"/>
        </w:rPr>
        <w:t xml:space="preserve">then layer an additional distinction between </w:t>
      </w:r>
      <w:r w:rsidRPr="00094983">
        <w:rPr>
          <w:rStyle w:val="Emphasis"/>
        </w:rPr>
        <w:t>federal and state roles to separate redistributive instruments that are centralized</w:t>
      </w:r>
      <w:r>
        <w:t xml:space="preserve"> (i.e., financed, administered, or designed at the federal level) </w:t>
      </w:r>
      <w:r w:rsidRPr="008E1F58">
        <w:rPr>
          <w:rStyle w:val="StyleUnderline"/>
        </w:rPr>
        <w:t>from those that are partially or wholly decentralized</w:t>
      </w:r>
      <w:r>
        <w:t xml:space="preserve"> (i.e., </w:t>
      </w:r>
      <w:r w:rsidRPr="008E1F58">
        <w:rPr>
          <w:rStyle w:val="Emphasis"/>
        </w:rPr>
        <w:t>financed, administered, or designed at the state or local level</w:t>
      </w:r>
      <w:r>
        <w:t xml:space="preserve">). </w:t>
      </w:r>
      <w:r w:rsidRPr="008E1F58">
        <w:rPr>
          <w:rStyle w:val="Emphasis"/>
        </w:rPr>
        <w:t xml:space="preserve">Combining these two axes results in four </w:t>
      </w:r>
      <w:proofErr w:type="spellStart"/>
      <w:r w:rsidRPr="008E1F58">
        <w:rPr>
          <w:rStyle w:val="Emphasis"/>
        </w:rPr>
        <w:t>redistributional</w:t>
      </w:r>
      <w:proofErr w:type="spellEnd"/>
      <w:r w:rsidRPr="008E1F58">
        <w:rPr>
          <w:rStyle w:val="Emphasis"/>
        </w:rPr>
        <w:t xml:space="preserve"> policy mechanisms: federal transfers, state transfers, federal taxes, and state taxes.</w:t>
      </w:r>
    </w:p>
    <w:p w14:paraId="489C1677" w14:textId="77777777" w:rsidR="004D7543" w:rsidRDefault="004D7543" w:rsidP="004D7543">
      <w:r w:rsidRPr="008E1F58">
        <w:rPr>
          <w:rStyle w:val="Emphasis"/>
        </w:rPr>
        <w:t>We distinguish between taxes and transfers for both conceptual and empirical reason</w:t>
      </w:r>
      <w:r>
        <w:t xml:space="preserve">s. </w:t>
      </w:r>
      <w:r w:rsidRPr="008E1F58">
        <w:rPr>
          <w:rStyle w:val="StyleUnderline"/>
        </w:rPr>
        <w:t>Conceptually, both taxes and transfers are government interventions aimed at reshaping market-income distributions</w:t>
      </w:r>
      <w:r>
        <w:t xml:space="preserve">; in the end, </w:t>
      </w:r>
      <w:r w:rsidRPr="008E1F58">
        <w:rPr>
          <w:rStyle w:val="Emphasis"/>
        </w:rPr>
        <w:t>their effects on</w:t>
      </w:r>
      <w:r>
        <w:t xml:space="preserve"> households’ disposable </w:t>
      </w:r>
      <w:r w:rsidRPr="008E1F58">
        <w:rPr>
          <w:rStyle w:val="Emphasis"/>
        </w:rPr>
        <w:t>income are</w:t>
      </w:r>
      <w:r>
        <w:t xml:space="preserve"> arguably </w:t>
      </w:r>
      <w:r w:rsidRPr="008E1F58">
        <w:rPr>
          <w:rStyle w:val="Emphasis"/>
        </w:rPr>
        <w:t>experienced together</w:t>
      </w:r>
      <w:r>
        <w:t xml:space="preserve">. </w:t>
      </w:r>
      <w:r w:rsidRPr="008E1F58">
        <w:rPr>
          <w:rStyle w:val="StyleUnderline"/>
        </w:rPr>
        <w:t>However, government transfers and taxes represent distinct policy tools that affect household income in different ways</w:t>
      </w:r>
      <w:r>
        <w:t xml:space="preserve">—as documented in recent studies of poverty and inequality reduction in the United States, as well as in cross-national comparative research (see, e.g., OECD 2008; </w:t>
      </w:r>
      <w:proofErr w:type="spellStart"/>
      <w:r>
        <w:t>Gornick</w:t>
      </w:r>
      <w:proofErr w:type="spellEnd"/>
      <w:r>
        <w:t xml:space="preserve"> and Smeeding 2018; </w:t>
      </w:r>
      <w:proofErr w:type="spellStart"/>
      <w:r>
        <w:t>Caminada</w:t>
      </w:r>
      <w:proofErr w:type="spellEnd"/>
      <w:r>
        <w:t xml:space="preserve"> et al. 2019; </w:t>
      </w:r>
      <w:proofErr w:type="spellStart"/>
      <w:r>
        <w:t>Guillaud</w:t>
      </w:r>
      <w:proofErr w:type="spellEnd"/>
      <w:r>
        <w:t xml:space="preserve">, </w:t>
      </w:r>
      <w:proofErr w:type="spellStart"/>
      <w:r>
        <w:t>Olckers</w:t>
      </w:r>
      <w:proofErr w:type="spellEnd"/>
      <w:r>
        <w:t xml:space="preserve">, and </w:t>
      </w:r>
      <w:proofErr w:type="spellStart"/>
      <w:r>
        <w:t>Zemmour</w:t>
      </w:r>
      <w:proofErr w:type="spellEnd"/>
      <w:r>
        <w:t xml:space="preserve"> 2020; Parolin and </w:t>
      </w:r>
      <w:proofErr w:type="spellStart"/>
      <w:r>
        <w:t>Gornick</w:t>
      </w:r>
      <w:proofErr w:type="spellEnd"/>
      <w:r>
        <w:t xml:space="preserve"> 2021). </w:t>
      </w:r>
      <w:r w:rsidRPr="00357F5B">
        <w:rPr>
          <w:rStyle w:val="StyleUnderline"/>
        </w:rPr>
        <w:t>Scholars have</w:t>
      </w:r>
      <w:r>
        <w:t xml:space="preserve"> also </w:t>
      </w:r>
      <w:r w:rsidRPr="00357F5B">
        <w:rPr>
          <w:rStyle w:val="StyleUnderline"/>
        </w:rPr>
        <w:t>paid increasing attention to the unique role of taxes in relation to poverty—both in terms of poverty alleviation through progressive taxation systems and income-targeted tax credits and in terms of fiscal impoverishment, whereby the payment of taxes pushes households into poverty by reducing their income</w:t>
      </w:r>
      <w:r>
        <w:t xml:space="preserve"> (Martin and Prasad 2014; Kleiman, 2020; </w:t>
      </w:r>
      <w:proofErr w:type="spellStart"/>
      <w:r>
        <w:t>Schechtl</w:t>
      </w:r>
      <w:proofErr w:type="spellEnd"/>
      <w:r>
        <w:t xml:space="preserve"> and O’Brien 2022). </w:t>
      </w:r>
      <w:r w:rsidRPr="00357F5B">
        <w:rPr>
          <w:rStyle w:val="Emphasis"/>
        </w:rPr>
        <w:t>A central point made in both these areas of scholarship is the importance of identifying the distributive impacts of various types of direct taxes (especially income taxes and payroll taxes) for households at different points in the income distribution</w:t>
      </w:r>
      <w:r>
        <w:t>. As Martin and Prasad (2014, 332) state, “</w:t>
      </w:r>
      <w:r w:rsidRPr="00357F5B">
        <w:rPr>
          <w:rStyle w:val="Emphasis"/>
        </w:rPr>
        <w:t>Sociologists who ignore recent scholarship on taxation will misunderstand the causes of poverty and inequality and the means to address them.</w:t>
      </w:r>
      <w:r>
        <w:t>”</w:t>
      </w:r>
    </w:p>
    <w:p w14:paraId="2716ABDF" w14:textId="77777777" w:rsidR="004D7543" w:rsidRDefault="004D7543" w:rsidP="004D7543">
      <w:r w:rsidRPr="00357F5B">
        <w:rPr>
          <w:rStyle w:val="Emphasis"/>
        </w:rPr>
        <w:t>We distinguish between federal and state levels of government because of the large number of programs and policies that are designed, administered, or financed either jointly or wholly at the state or local levels</w:t>
      </w:r>
      <w:r>
        <w:t xml:space="preserve">. </w:t>
      </w:r>
      <w:r w:rsidRPr="00357F5B">
        <w:t>We use the term</w:t>
      </w:r>
      <w:r>
        <w:t xml:space="preserve"> “</w:t>
      </w:r>
      <w:r w:rsidRPr="00357F5B">
        <w:rPr>
          <w:rStyle w:val="Emphasis"/>
        </w:rPr>
        <w:t>state transfers</w:t>
      </w:r>
      <w:r>
        <w:t xml:space="preserve">” </w:t>
      </w:r>
      <w:r w:rsidRPr="00357F5B">
        <w:t>to</w:t>
      </w:r>
      <w:r w:rsidRPr="00357F5B">
        <w:rPr>
          <w:rStyle w:val="Emphasis"/>
        </w:rPr>
        <w:t xml:space="preserve"> refer to both programs that are fully financed and operated by states</w:t>
      </w:r>
      <w:r>
        <w:t xml:space="preserve"> (e.g., general assistance) </w:t>
      </w:r>
      <w:r w:rsidRPr="00357F5B">
        <w:rPr>
          <w:rStyle w:val="StyleUnderline"/>
        </w:rPr>
        <w:t>and</w:t>
      </w:r>
      <w:r>
        <w:t xml:space="preserve"> to </w:t>
      </w:r>
      <w:r w:rsidRPr="00357F5B">
        <w:rPr>
          <w:rStyle w:val="StyleUnderline"/>
        </w:rPr>
        <w:t>programs that allow for some degree of state discretion in financing, administration, or rulemaking</w:t>
      </w:r>
      <w:r>
        <w:t xml:space="preserve">. For many safety net programs, </w:t>
      </w:r>
      <w:r w:rsidRPr="00357F5B">
        <w:rPr>
          <w:rStyle w:val="StyleUnderline"/>
        </w:rPr>
        <w:t>the degree of decentralization represents the latitude afforded to state or local government to make discretionary decisions within federal programs</w:t>
      </w:r>
      <w:r>
        <w:t xml:space="preserve">; in this sense, </w:t>
      </w:r>
      <w:r w:rsidRPr="00357F5B">
        <w:rPr>
          <w:rStyle w:val="Emphasis"/>
        </w:rPr>
        <w:t>these programs are operated jointly</w:t>
      </w:r>
      <w:r>
        <w:t xml:space="preserve">. </w:t>
      </w:r>
      <w:r w:rsidRPr="00357F5B">
        <w:rPr>
          <w:rStyle w:val="StyleUnderline"/>
        </w:rPr>
        <w:t>We also distinguish federal from state taxes to capture the unique role of state income taxes on household incomes</w:t>
      </w:r>
      <w:r>
        <w:t xml:space="preserve"> (Newman and O’Brien 2011; </w:t>
      </w:r>
      <w:proofErr w:type="spellStart"/>
      <w:r>
        <w:t>Oliff</w:t>
      </w:r>
      <w:proofErr w:type="spellEnd"/>
      <w:r>
        <w:t>, Mai, and Johnson 2012; O’Brien 2017; Williams, Waxman, and Legendre 2020).</w:t>
      </w:r>
    </w:p>
    <w:p w14:paraId="2BCC5F48" w14:textId="77777777" w:rsidR="004D7543" w:rsidRDefault="004D7543" w:rsidP="004D7543">
      <w:r w:rsidRPr="00357F5B">
        <w:rPr>
          <w:rStyle w:val="StyleUnderline"/>
        </w:rPr>
        <w:t xml:space="preserve">Because of the decentralized designs of many safety net programs, states have varying levels and types of discretion that likely affect the efficacy of poverty reduction for specific programs. </w:t>
      </w:r>
      <w:proofErr w:type="gramStart"/>
      <w:r>
        <w:t>In particular, administrative</w:t>
      </w:r>
      <w:proofErr w:type="gramEnd"/>
      <w:r>
        <w:t xml:space="preserve"> and rulemaking discretionary choices that affect initial program access or take-up and continued enrollment, and financial and rulemaking choices that influence the generosity of benefits and availability of support services, stand out as particularly important for understanding poverty reduction. The role of state discretion in highly decentralized programs like TANF has received </w:t>
      </w:r>
      <w:proofErr w:type="gramStart"/>
      <w:r>
        <w:t>the vast majority of</w:t>
      </w:r>
      <w:proofErr w:type="gramEnd"/>
      <w:r>
        <w:t xml:space="preserve"> attention. Previous scholarship has demonstrated how </w:t>
      </w:r>
      <w:r w:rsidRPr="00357F5B">
        <w:rPr>
          <w:rStyle w:val="Emphasis"/>
        </w:rPr>
        <w:t>the devolution of discretion in relation to</w:t>
      </w:r>
      <w:r>
        <w:t xml:space="preserve"> financial decisions (e.g., how to spend federal block-granted dollars, the use of state matching funds) and </w:t>
      </w:r>
      <w:r w:rsidRPr="00357F5B">
        <w:rPr>
          <w:rStyle w:val="Emphasis"/>
        </w:rPr>
        <w:t>administrative and rulemaking decisions (e.g., the design and administration of the program, setting of benefit levels, or determination of the provision of a wide range of supportive services) is associated with large cross-state differences</w:t>
      </w:r>
      <w:r>
        <w:t xml:space="preserve"> in rates of receipt and average benefits received (Azevedo-McCaffrey and </w:t>
      </w:r>
      <w:proofErr w:type="spellStart"/>
      <w:r>
        <w:t>Safawi</w:t>
      </w:r>
      <w:proofErr w:type="spellEnd"/>
      <w:r>
        <w:t xml:space="preserve"> 2022; Hahn et al. 2017) </w:t>
      </w:r>
      <w:r w:rsidRPr="00357F5B">
        <w:rPr>
          <w:rStyle w:val="Emphasis"/>
        </w:rPr>
        <w:t>and varying rates of poverty reduction</w:t>
      </w:r>
      <w:r>
        <w:t xml:space="preserve"> (Parolin 2021b; Hardy et al. 2019). </w:t>
      </w:r>
      <w:r w:rsidRPr="00357F5B">
        <w:rPr>
          <w:rStyle w:val="Emphasis"/>
        </w:rPr>
        <w:t>However, substantial cross-state variation in program enrollment and average benefit levels exists even in programs with much lower levels of state discretion, such as SNAP</w:t>
      </w:r>
      <w:r>
        <w:t xml:space="preserve"> (</w:t>
      </w:r>
      <w:proofErr w:type="spellStart"/>
      <w:r>
        <w:t>Ganong</w:t>
      </w:r>
      <w:proofErr w:type="spellEnd"/>
      <w:r>
        <w:t xml:space="preserve"> and Liebman 2018; Kogan 2017) </w:t>
      </w:r>
      <w:r w:rsidRPr="00357F5B">
        <w:rPr>
          <w:rStyle w:val="Emphasis"/>
        </w:rPr>
        <w:t>and SSI</w:t>
      </w:r>
      <w:r>
        <w:t xml:space="preserve"> (Duggan, Kearney, and </w:t>
      </w:r>
      <w:proofErr w:type="spellStart"/>
      <w:r>
        <w:t>Rennane</w:t>
      </w:r>
      <w:proofErr w:type="spellEnd"/>
      <w:r>
        <w:t xml:space="preserve"> 2016; </w:t>
      </w:r>
      <w:proofErr w:type="spellStart"/>
      <w:r>
        <w:t>Soss</w:t>
      </w:r>
      <w:proofErr w:type="spellEnd"/>
      <w:r>
        <w:t xml:space="preserve"> and Keiser 2006). </w:t>
      </w:r>
      <w:r w:rsidRPr="00357F5B">
        <w:rPr>
          <w:rStyle w:val="Emphasis"/>
        </w:rPr>
        <w:t xml:space="preserve">In fact, </w:t>
      </w:r>
      <w:r w:rsidRPr="00357F5B">
        <w:t>looking across</w:t>
      </w:r>
      <w:r w:rsidRPr="00357F5B">
        <w:rPr>
          <w:rStyle w:val="Emphasis"/>
        </w:rPr>
        <w:t xml:space="preserve"> 10 safety net programs </w:t>
      </w:r>
      <w:r w:rsidRPr="00357F5B">
        <w:t>and</w:t>
      </w:r>
      <w:r w:rsidRPr="00357F5B">
        <w:rPr>
          <w:rStyle w:val="Emphasis"/>
        </w:rPr>
        <w:t xml:space="preserve"> using comparable policy indicators</w:t>
      </w:r>
      <w:r>
        <w:t xml:space="preserve">, Bruch and colleagues (2018) </w:t>
      </w:r>
      <w:r w:rsidRPr="00357F5B">
        <w:rPr>
          <w:rStyle w:val="Emphasis"/>
        </w:rPr>
        <w:t>demonstrate that the level of state discretion in safety net programs is associated with the magnitude of cross-state variation in the generosity of benefits and the inclusiveness of receipt.</w:t>
      </w:r>
      <w:r>
        <w:t xml:space="preserve"> They also show that the </w:t>
      </w:r>
      <w:r w:rsidRPr="00357F5B">
        <w:rPr>
          <w:rStyle w:val="Emphasis"/>
        </w:rPr>
        <w:t>increasing levels of discretion provided to states</w:t>
      </w:r>
      <w:r>
        <w:t xml:space="preserve"> in the welfare reforms of the mid-1990s </w:t>
      </w:r>
      <w:r w:rsidRPr="00357F5B">
        <w:rPr>
          <w:rStyle w:val="Emphasis"/>
        </w:rPr>
        <w:t>was associated with increased cross-state variation</w:t>
      </w:r>
      <w:r>
        <w:t xml:space="preserve"> (Bruch et al. 2018). Categorizing programs and policies along these two axes—transfers and taxes, and federal and state—reflects the interconnectedness between the institutional features of categorical eligibility and decentralization and allows for an examination of the patterns of poverty reduction for differently situated households, as well as how this varies over time and across states.</w:t>
      </w:r>
    </w:p>
    <w:p w14:paraId="5A701BC1" w14:textId="77777777" w:rsidR="004D7543" w:rsidRDefault="004D7543" w:rsidP="004D7543">
      <w:r w:rsidRPr="00F74C71">
        <w:rPr>
          <w:rStyle w:val="StyleUnderline"/>
        </w:rPr>
        <w:t>Among the wide range of methods used to estimate poverty reduction and redistribution, one common approach examines fiscal redistribution by adding (or subtracting) income components and sources and comparing the “pre-” and “post-” measures of poverty or inequality to estimate distributional impacts</w:t>
      </w:r>
      <w:r>
        <w:t xml:space="preserve"> (</w:t>
      </w:r>
      <w:proofErr w:type="spellStart"/>
      <w:r>
        <w:t>Gornick</w:t>
      </w:r>
      <w:proofErr w:type="spellEnd"/>
      <w:r>
        <w:t xml:space="preserve"> and Smeeding 2018; Mahler and Jesuit 2006). Other common methods include microsimulation models that estimate the distributional impact of specific policies or programs (Duncan and Le </w:t>
      </w:r>
      <w:proofErr w:type="spellStart"/>
      <w:r>
        <w:t>Menestrel</w:t>
      </w:r>
      <w:proofErr w:type="spellEnd"/>
      <w:r>
        <w:t xml:space="preserve"> 2019; Fox et al. 2015; Pac et al. 2020), a variety of analytic approaches that use microdata and time-series methods (</w:t>
      </w:r>
      <w:proofErr w:type="spellStart"/>
      <w:r>
        <w:t>Bitler</w:t>
      </w:r>
      <w:proofErr w:type="spellEnd"/>
      <w:r>
        <w:t xml:space="preserve"> et al. 2017; Hardy et al. 2018), microdata paired with aggregate policy indicators (</w:t>
      </w:r>
      <w:proofErr w:type="spellStart"/>
      <w:r>
        <w:t>Alper</w:t>
      </w:r>
      <w:proofErr w:type="spellEnd"/>
      <w:r>
        <w:t xml:space="preserve">, Huber, and Stephens 2021; Brady and Burroway 2012), and decomposition methods (Brady et al. 2017; Chen and </w:t>
      </w:r>
      <w:proofErr w:type="spellStart"/>
      <w:r>
        <w:t>Corak</w:t>
      </w:r>
      <w:proofErr w:type="spellEnd"/>
      <w:r>
        <w:t xml:space="preserve"> 2008).</w:t>
      </w:r>
    </w:p>
    <w:p w14:paraId="19E5A9B6" w14:textId="77777777" w:rsidR="004D7543" w:rsidRDefault="004D7543" w:rsidP="004D7543">
      <w:r>
        <w:t xml:space="preserve">In this article, </w:t>
      </w:r>
      <w:r w:rsidRPr="004621FE">
        <w:rPr>
          <w:rStyle w:val="StyleUnderline"/>
        </w:rPr>
        <w:t xml:space="preserve">we examine the contribution of the four mechanisms to poverty reduction using a decomposition analysis unaffected by the sequence in which components are assessed based on the Shapley value </w:t>
      </w:r>
      <w:r>
        <w:t xml:space="preserve">(Azevedo, </w:t>
      </w:r>
      <w:proofErr w:type="spellStart"/>
      <w:r>
        <w:t>Sanfelice</w:t>
      </w:r>
      <w:proofErr w:type="spellEnd"/>
      <w:r>
        <w:t xml:space="preserve">, and Nguyen 2012). </w:t>
      </w:r>
      <w:r w:rsidRPr="004621FE">
        <w:rPr>
          <w:rStyle w:val="StyleUnderline"/>
        </w:rPr>
        <w:t>Using this sequence-independent decomposition, we estimate the poverty reduction attributable to each of the four policy mechanisms</w:t>
      </w:r>
      <w:r>
        <w:t xml:space="preserve">, across two household types, from 1996 to 2016, </w:t>
      </w:r>
      <w:r w:rsidRPr="004621FE">
        <w:rPr>
          <w:rStyle w:val="StyleUnderline"/>
        </w:rPr>
        <w:t>using nationally representative household survey data</w:t>
      </w:r>
      <w:r>
        <w:t>.</w:t>
      </w:r>
    </w:p>
    <w:p w14:paraId="1AAC627E" w14:textId="77777777" w:rsidR="004D7543" w:rsidRDefault="004D7543" w:rsidP="004D7543">
      <w:r>
        <w:t>We ask three research questions. First, how much poverty reduction is attributable to each of the four policy mechanisms, and how does poverty reduction differ between working-age households with children and without children? Second, given the considerable economic and social policy changes over the past few decades, how has the poverty reduction attributable to each of the policy mechanisms changed between 1996 and 2016? Third, given the substantial role of state-level social policy provision, how does poverty reduction attributable to the redistributive mechanisms vary across the United States?</w:t>
      </w:r>
    </w:p>
    <w:p w14:paraId="624B382A" w14:textId="77777777" w:rsidR="004D7543" w:rsidRDefault="004D7543" w:rsidP="004D7543">
      <w:r>
        <w:t>Data</w:t>
      </w:r>
    </w:p>
    <w:p w14:paraId="7AB68C87" w14:textId="77777777" w:rsidR="004D7543" w:rsidRDefault="004D7543" w:rsidP="004D7543">
      <w:r>
        <w:t>We use CPS ASEC data for the years 1995–2017 to create household income measures from the data’s detailed income components and then produce 3-year moving averages for 1996–2016.3 We focus on two household types: working-age households with children, defined as households with heads who are 18–64 years old and with resident children under the age of 18, and similar households without children (see appendix for more details on sample definition and measurement).</w:t>
      </w:r>
    </w:p>
    <w:p w14:paraId="483A1F1D" w14:textId="77777777" w:rsidR="004D7543" w:rsidRDefault="004D7543" w:rsidP="004D7543">
      <w:r>
        <w:t>Household Income Measures</w:t>
      </w:r>
    </w:p>
    <w:p w14:paraId="78C86FFA" w14:textId="77777777" w:rsidR="004D7543" w:rsidRDefault="004D7543" w:rsidP="004D7543">
      <w:r>
        <w:t xml:space="preserve">We create two income measures: pretax-pretransfer income and </w:t>
      </w:r>
      <w:proofErr w:type="spellStart"/>
      <w:r>
        <w:t>posttax-posttransfer</w:t>
      </w:r>
      <w:proofErr w:type="spellEnd"/>
      <w:r>
        <w:t xml:space="preserve"> income. Throughout this article, these are referred to as “market income” and “disposable income,” respectively. Market income includes income from wages and salary, self-employment earnings, farm income, retirement, survivor pensions, disability pensions, and annuities. Disposable income includes all market-income sources </w:t>
      </w:r>
      <w:proofErr w:type="gramStart"/>
      <w:r>
        <w:t>and also</w:t>
      </w:r>
      <w:proofErr w:type="gramEnd"/>
      <w:r>
        <w:t xml:space="preserve"> incorporates federal transfers, state transfers, federal taxes, and state taxes (see Table 1). We use the US Census Bureau’s poverty thresholds to determine whether a household is living in absolute poverty based on their market income or disposable household income.4</w:t>
      </w:r>
    </w:p>
    <w:p w14:paraId="3C7CBEDC" w14:textId="77777777" w:rsidR="004D7543" w:rsidRDefault="004D7543" w:rsidP="004D7543">
      <w:r>
        <w:t>Table 1.  Annual Social and Economic Supplement Data: Income Components</w:t>
      </w:r>
    </w:p>
    <w:p w14:paraId="18B2CD46" w14:textId="77777777" w:rsidR="004D7543" w:rsidRDefault="004D7543" w:rsidP="004D7543">
      <w:r>
        <w:t>Component</w:t>
      </w:r>
    </w:p>
    <w:p w14:paraId="1E79B79F" w14:textId="77777777" w:rsidR="004D7543" w:rsidRDefault="004D7543" w:rsidP="004D7543">
      <w:r>
        <w:t>Market income</w:t>
      </w:r>
      <w:r>
        <w:tab/>
        <w:t xml:space="preserve">Wage and salary; self-employment earnings; farm income; </w:t>
      </w:r>
      <w:proofErr w:type="gramStart"/>
      <w:r>
        <w:t>retirement;*</w:t>
      </w:r>
      <w:proofErr w:type="gramEnd"/>
      <w:r>
        <w:t xml:space="preserve"> survivor pensions;† disability pensions;† annuities;* rent, royalties, estate, and trust income; interest; dividends; friend/family financial assistance; alimony; interest from retirement accounts; other income not otherwise classified‡</w:t>
      </w:r>
    </w:p>
    <w:p w14:paraId="3E860349" w14:textId="77777777" w:rsidR="004D7543" w:rsidRDefault="004D7543" w:rsidP="004D7543">
      <w:r>
        <w:t>Federal transfers</w:t>
      </w:r>
      <w:r>
        <w:tab/>
      </w:r>
      <w:proofErr w:type="gramStart"/>
      <w:r>
        <w:t>OASDI;§</w:t>
      </w:r>
      <w:proofErr w:type="gramEnd"/>
      <w:r>
        <w:t xml:space="preserve"> veterans’ </w:t>
      </w:r>
      <w:proofErr w:type="spellStart"/>
      <w:r>
        <w:t>benefitsll</w:t>
      </w:r>
      <w:proofErr w:type="spellEnd"/>
    </w:p>
    <w:p w14:paraId="3638EE06" w14:textId="77777777" w:rsidR="004D7543" w:rsidRDefault="004D7543" w:rsidP="004D7543">
      <w:r>
        <w:t>State transfers</w:t>
      </w:r>
      <w:r>
        <w:tab/>
      </w:r>
      <w:proofErr w:type="gramStart"/>
      <w:r>
        <w:t>TANF;#</w:t>
      </w:r>
      <w:proofErr w:type="gramEnd"/>
      <w:r>
        <w:t xml:space="preserve"> unemployment insurance; general assistance;** workers’ compensation; SSI;†† child support; SNAP;‡‡ school lunch subsidy;‡‡,§§ housing subsidy;‡‡,</w:t>
      </w:r>
      <w:proofErr w:type="spellStart"/>
      <w:r>
        <w:t>llll</w:t>
      </w:r>
      <w:proofErr w:type="spellEnd"/>
      <w:r>
        <w:t xml:space="preserve"> energy assistance‡‡,##</w:t>
      </w:r>
    </w:p>
    <w:p w14:paraId="4110223D" w14:textId="77777777" w:rsidR="004D7543" w:rsidRDefault="004D7543" w:rsidP="004D7543">
      <w:r>
        <w:t xml:space="preserve">Federal </w:t>
      </w:r>
      <w:proofErr w:type="gramStart"/>
      <w:r>
        <w:t>taxes:*</w:t>
      </w:r>
      <w:proofErr w:type="gramEnd"/>
      <w:r>
        <w:t>**</w:t>
      </w:r>
      <w:r>
        <w:tab/>
      </w:r>
    </w:p>
    <w:p w14:paraId="22FE51A2" w14:textId="77777777" w:rsidR="004D7543" w:rsidRDefault="004D7543" w:rsidP="004D7543">
      <w:r>
        <w:t> Liabilities</w:t>
      </w:r>
      <w:r>
        <w:tab/>
        <w:t>Income tax liability</w:t>
      </w:r>
    </w:p>
    <w:p w14:paraId="118E74AB" w14:textId="77777777" w:rsidR="004D7543" w:rsidRDefault="004D7543" w:rsidP="004D7543">
      <w:r>
        <w:t> Credits</w:t>
      </w:r>
      <w:r>
        <w:tab/>
        <w:t xml:space="preserve">Earned income tax credit; child credit; child-care tax </w:t>
      </w:r>
      <w:proofErr w:type="gramStart"/>
      <w:r>
        <w:t>credit</w:t>
      </w:r>
      <w:proofErr w:type="gramEnd"/>
    </w:p>
    <w:p w14:paraId="211E7C2B" w14:textId="77777777" w:rsidR="004D7543" w:rsidRDefault="004D7543" w:rsidP="004D7543">
      <w:r>
        <w:t xml:space="preserve">State </w:t>
      </w:r>
      <w:proofErr w:type="gramStart"/>
      <w:r>
        <w:t>taxes:*</w:t>
      </w:r>
      <w:proofErr w:type="gramEnd"/>
      <w:r>
        <w:t>**</w:t>
      </w:r>
      <w:r>
        <w:tab/>
      </w:r>
    </w:p>
    <w:p w14:paraId="298E525E" w14:textId="77777777" w:rsidR="004D7543" w:rsidRDefault="004D7543" w:rsidP="004D7543">
      <w:r>
        <w:t> Liabilities</w:t>
      </w:r>
      <w:r>
        <w:tab/>
        <w:t>Income tax payments</w:t>
      </w:r>
    </w:p>
    <w:p w14:paraId="53FAA455" w14:textId="77777777" w:rsidR="004D7543" w:rsidRDefault="004D7543" w:rsidP="004D7543">
      <w:r>
        <w:t> Credits</w:t>
      </w:r>
      <w:r>
        <w:tab/>
        <w:t xml:space="preserve">Earned income tax credit; property credit; child-care and other tax </w:t>
      </w:r>
      <w:proofErr w:type="gramStart"/>
      <w:r>
        <w:t>credits</w:t>
      </w:r>
      <w:proofErr w:type="gramEnd"/>
    </w:p>
    <w:p w14:paraId="517F35F5" w14:textId="77777777" w:rsidR="004D7543" w:rsidRDefault="004D7543" w:rsidP="004D7543">
      <w:r>
        <w:t>Note. OASDI = Old-Age, Survivors, and Disability Insurance Program; SNAP = Supplemental Nutrition Assistance Program; SSI = Supplemental Security Income; TANF = Temporary Assistance for Needy Families.</w:t>
      </w:r>
    </w:p>
    <w:p w14:paraId="1845D31F" w14:textId="77777777" w:rsidR="004D7543" w:rsidRDefault="004D7543" w:rsidP="004D7543">
      <w:r>
        <w:t>*Sources of retirement income in this component include all those from a past employer or from a labor union (including pensions, individual retirement accounts, and annuities); sources from profit-sharing mechanisms; retirement income from the US military; pensions from employment by the federal, state, or local government; and the United States Railroad Retirement program. Not included in this component are any payments from the OASDI program or any payments from the Department of Veterans Affairs. Both are reported separately and are classified as federal transfers. Scholars continue to debate the placement of contributory benefits, such as old-age pensions and unemployment benefits. Some analysts argue that some or all contributory benefits should be allocated to “market income” because they are, arguably, deferred wages. We acknowledge the logic of considering contributory transfers to be market income. However, in this study, we follow what is still the dominant approach: we consider all state-administered transfers (contributory or not) to be disposable income. For a good synopsis of this debate, see Chancel and colleagues (2019).</w:t>
      </w:r>
    </w:p>
    <w:p w14:paraId="49C0FAF1" w14:textId="77777777" w:rsidR="004D7543" w:rsidRDefault="004D7543" w:rsidP="004D7543">
      <w:r>
        <w:t>† Disability and survivor income excludes any payments from the OASDI program (and any payments from the Department of Veterans Affairs), which are included under their respective components as federal transfers, as well as any survivor disability benefits income from workers’ compensation programs, which are included under state transfers.</w:t>
      </w:r>
    </w:p>
    <w:p w14:paraId="0B67CF9D" w14:textId="77777777" w:rsidR="004D7543" w:rsidRDefault="004D7543" w:rsidP="004D7543">
      <w:r>
        <w:t>‡ Though “other” income can also be derived from a variety of both market and nonmarket sources, we choose here to treat all other income as market income because most households that report income that is classified this way indicate the income is from market or private sources. A small number of households in any given year of the Current Population Survey report nonmarket other income, but this is infrequent, and the amounts are typically relatively small.</w:t>
      </w:r>
    </w:p>
    <w:p w14:paraId="28946845" w14:textId="77777777" w:rsidR="004D7543" w:rsidRDefault="004D7543" w:rsidP="004D7543">
      <w:r>
        <w:t>§ OASDI is composed of income from the Social Security Administration’s pension, survivors’ benefits, and permanent disability insurance payments.</w:t>
      </w:r>
    </w:p>
    <w:p w14:paraId="6070D550" w14:textId="77777777" w:rsidR="004D7543" w:rsidRDefault="004D7543" w:rsidP="004D7543">
      <w:proofErr w:type="spellStart"/>
      <w:r>
        <w:t>ll</w:t>
      </w:r>
      <w:proofErr w:type="spellEnd"/>
      <w:r>
        <w:t xml:space="preserve"> Veterans’ benefits are composed of payments made by the Department of Veterans Affairs for disability compensation, survivors’ benefits, veterans’ pension benefits, and educational assistance.</w:t>
      </w:r>
    </w:p>
    <w:p w14:paraId="63B44B62" w14:textId="77777777" w:rsidR="004D7543" w:rsidRDefault="004D7543" w:rsidP="004D7543">
      <w:r>
        <w:t># TANF is composed of income from cash assistance payments. Prior to 1997, this income component comprised cash assistance payments from the Aid to Families with Dependent Children (AFDC) program. The question posed to respondents asks whether anyone in the household received cash assistance from any state or county welfare program, but the census income measure only includes income reported as being received from welfare or welfare to work, TANF (or state program names), or AFDC.</w:t>
      </w:r>
    </w:p>
    <w:p w14:paraId="16BCC8F8" w14:textId="77777777" w:rsidR="004D7543" w:rsidRDefault="004D7543" w:rsidP="004D7543">
      <w:r>
        <w:t>**General assistance is composed of cash assistance from other non-TANF or non-AFDC sources. The question posed to respondents asks whether anyone in the household received cash assistance from any state or county welfare program, but the census income measure only includes income reported as being received from non-TANF or non-AFDC sources, which include state-level general assistance programs, emergency assistance/short-term cash assistance, diversion payments, refugee cash and medical assistance programs, general assistance from the Bureau of Indian Affairs, or tribal-administered general assistance. For additional information on how we calculate and disaggregate this component from TANF and AFDC, see Benefit Underreporting Data, Measures, and Analysis section of the appendix.</w:t>
      </w:r>
    </w:p>
    <w:p w14:paraId="637687D1" w14:textId="77777777" w:rsidR="004D7543" w:rsidRDefault="004D7543" w:rsidP="004D7543">
      <w:r>
        <w:t>†† SSI encompasses cash transfer payments to adults and children with eligible disabilities or vision impairments, as well as individuals 65 and older, whose income falls below a defined income-eligibility guideline.</w:t>
      </w:r>
    </w:p>
    <w:p w14:paraId="55453FD5" w14:textId="77777777" w:rsidR="004D7543" w:rsidRDefault="004D7543" w:rsidP="004D7543">
      <w:r>
        <w:t>‡‡ Reported at the household level.</w:t>
      </w:r>
    </w:p>
    <w:p w14:paraId="5CAE9F3A" w14:textId="77777777" w:rsidR="004D7543" w:rsidRDefault="004D7543" w:rsidP="004D7543">
      <w:r>
        <w:t>§§ School lunch subsidies are composed of the total household value of in-kind benefits provided to needy children through the National School Lunch Program. The value of school lunch subsidies is imputed by the Census Bureau and can encompass either free or reduced-price hot lunches served to children whose household income falls beneath a federally defined income-eligibility threshold. For additional information, see School Lunch and Housing Subsidies Value Imputation Details section of the appendix.</w:t>
      </w:r>
    </w:p>
    <w:p w14:paraId="321F4D89" w14:textId="77777777" w:rsidR="004D7543" w:rsidRDefault="004D7543" w:rsidP="004D7543">
      <w:proofErr w:type="spellStart"/>
      <w:r>
        <w:t>llll</w:t>
      </w:r>
      <w:proofErr w:type="spellEnd"/>
      <w:r>
        <w:t xml:space="preserve"> Housing subsidies are composed of the total household value of rental assistance programs and can encompass either the value of public housing, rental subsidies from the Section 8 Housing Choice Voucher Program, or other rental subsidies provided by state and local programs. This value is imputed by the Census Bureau. For additional information, see School Lunch and Housing Subsidies Value Imputation Details section of the appendix.</w:t>
      </w:r>
    </w:p>
    <w:p w14:paraId="75EE55F6" w14:textId="77777777" w:rsidR="004D7543" w:rsidRDefault="004D7543" w:rsidP="004D7543">
      <w:r>
        <w:t>## Energy subsidies are composed of the total household value of assistance received from the Federal Low-Income Home Energy Assistance Program, providing financial assistance to qualified households to help defray heating and cooling costs. Prior to 2011, interviewers only inquired about the value of energy assistance associated with heating subsidies and only asked households to estimate the value of energy assistance received between October 1 of the prior year and their March interview. After 2011, the interviewer questionnaire shifted to inquire about the value of both heating and cooling energy assistance received by the household during the entire prior year.</w:t>
      </w:r>
    </w:p>
    <w:p w14:paraId="5364AC5C" w14:textId="77777777" w:rsidR="004D7543" w:rsidRDefault="004D7543" w:rsidP="004D7543">
      <w:r>
        <w:t>***Derived from the National Bureau of Economic Research’s TAXSIM program, apart from the Federal Insurance Contributions Act (FICA), which is derived from the Census Bureau’s tax calculator.</w:t>
      </w:r>
    </w:p>
    <w:p w14:paraId="58353823" w14:textId="77777777" w:rsidR="004D7543" w:rsidRDefault="004D7543" w:rsidP="004D7543">
      <w:r>
        <w:t>View Table Image: 1 | 2</w:t>
      </w:r>
    </w:p>
    <w:p w14:paraId="0CB77414" w14:textId="77777777" w:rsidR="004D7543" w:rsidRDefault="004D7543" w:rsidP="004D7543">
      <w:r>
        <w:t>Transfers categorized as “state” include programs that range from completely state designed, financed, and administered (e.g., general assistance or worker’s compensation) to federal programs for which states have high levels of discretion in each of these areas (e.g., TANF; see Table 2).5 States administer both the federal TANF programs and separate state programs. They have broad flexibility in allocating how federal block grants funds are spent in the TANF program, and they use state funding (i.e., maintenance of effort) in both the federal program and separate state programs. States also have discretion over program rules that determine eligibility and participation requirements (and sanctions for noncompliance) and set benefit levels (Center on Budget and Policy Priorities 2022).</w:t>
      </w:r>
    </w:p>
    <w:p w14:paraId="74ECE32D" w14:textId="77777777" w:rsidR="004D7543" w:rsidRDefault="004D7543" w:rsidP="004D7543">
      <w:r>
        <w:t>Table 2.  Categorization of State Transfer Programs by Levels of State Discretion</w:t>
      </w:r>
    </w:p>
    <w:p w14:paraId="3ED4333A" w14:textId="77777777" w:rsidR="004D7543" w:rsidRDefault="004D7543" w:rsidP="004D7543">
      <w:r>
        <w:t>Financing</w:t>
      </w:r>
      <w:r>
        <w:tab/>
        <w:t>Rulemaking</w:t>
      </w:r>
      <w:r>
        <w:tab/>
        <w:t>Administration</w:t>
      </w:r>
    </w:p>
    <w:p w14:paraId="6DBE17E7" w14:textId="77777777" w:rsidR="004D7543" w:rsidRDefault="004D7543" w:rsidP="004D7543">
      <w:r>
        <w:t>General assistance</w:t>
      </w:r>
      <w:r>
        <w:tab/>
        <w:t>High</w:t>
      </w:r>
      <w:r>
        <w:tab/>
      </w:r>
      <w:proofErr w:type="spellStart"/>
      <w:r>
        <w:t>High</w:t>
      </w:r>
      <w:proofErr w:type="spellEnd"/>
      <w:r>
        <w:tab/>
      </w:r>
      <w:proofErr w:type="spellStart"/>
      <w:r>
        <w:t>High</w:t>
      </w:r>
      <w:proofErr w:type="spellEnd"/>
    </w:p>
    <w:p w14:paraId="30A7DEF9" w14:textId="77777777" w:rsidR="004D7543" w:rsidRDefault="004D7543" w:rsidP="004D7543">
      <w:r>
        <w:t>Workers’ compensation</w:t>
      </w:r>
      <w:r>
        <w:tab/>
        <w:t>High</w:t>
      </w:r>
      <w:r>
        <w:tab/>
        <w:t>High</w:t>
      </w:r>
      <w:r>
        <w:tab/>
        <w:t>High</w:t>
      </w:r>
    </w:p>
    <w:p w14:paraId="3321B938" w14:textId="77777777" w:rsidR="004D7543" w:rsidRDefault="004D7543" w:rsidP="004D7543">
      <w:r>
        <w:t>Temporary Assistance for Needy Families</w:t>
      </w:r>
      <w:r>
        <w:tab/>
        <w:t>High</w:t>
      </w:r>
      <w:r>
        <w:tab/>
      </w:r>
      <w:proofErr w:type="spellStart"/>
      <w:r>
        <w:t>High</w:t>
      </w:r>
      <w:proofErr w:type="spellEnd"/>
      <w:r>
        <w:tab/>
      </w:r>
      <w:proofErr w:type="spellStart"/>
      <w:r>
        <w:t>High</w:t>
      </w:r>
      <w:proofErr w:type="spellEnd"/>
    </w:p>
    <w:p w14:paraId="2FCB6D1D" w14:textId="77777777" w:rsidR="004D7543" w:rsidRDefault="004D7543" w:rsidP="004D7543">
      <w:r>
        <w:t>Child support</w:t>
      </w:r>
      <w:r>
        <w:tab/>
        <w:t>Medium</w:t>
      </w:r>
      <w:r>
        <w:tab/>
        <w:t>Medium</w:t>
      </w:r>
      <w:r>
        <w:tab/>
        <w:t>High</w:t>
      </w:r>
    </w:p>
    <w:p w14:paraId="2A25CE39" w14:textId="77777777" w:rsidR="004D7543" w:rsidRDefault="004D7543" w:rsidP="004D7543">
      <w:r>
        <w:t>Unemployment insurance</w:t>
      </w:r>
      <w:r>
        <w:tab/>
        <w:t>Medium</w:t>
      </w:r>
      <w:r>
        <w:tab/>
      </w:r>
      <w:proofErr w:type="spellStart"/>
      <w:r>
        <w:t>Medium</w:t>
      </w:r>
      <w:proofErr w:type="spellEnd"/>
      <w:r>
        <w:tab/>
      </w:r>
      <w:proofErr w:type="spellStart"/>
      <w:r>
        <w:t>Medium</w:t>
      </w:r>
      <w:proofErr w:type="spellEnd"/>
    </w:p>
    <w:p w14:paraId="07652EA3" w14:textId="77777777" w:rsidR="004D7543" w:rsidRDefault="004D7543" w:rsidP="004D7543">
      <w:r>
        <w:t>Low-Income Home Energy Assistance Program</w:t>
      </w:r>
      <w:r>
        <w:tab/>
        <w:t>Low</w:t>
      </w:r>
      <w:r>
        <w:tab/>
        <w:t>Medium</w:t>
      </w:r>
      <w:r>
        <w:tab/>
        <w:t>High</w:t>
      </w:r>
    </w:p>
    <w:p w14:paraId="4FBAD318" w14:textId="77777777" w:rsidR="004D7543" w:rsidRDefault="004D7543" w:rsidP="004D7543">
      <w:r>
        <w:t>Public housing and rental subsidies</w:t>
      </w:r>
      <w:r>
        <w:tab/>
        <w:t>Low</w:t>
      </w:r>
      <w:r>
        <w:tab/>
        <w:t>Medium</w:t>
      </w:r>
      <w:r>
        <w:tab/>
        <w:t>High</w:t>
      </w:r>
    </w:p>
    <w:p w14:paraId="4D411C2E" w14:textId="77777777" w:rsidR="004D7543" w:rsidRDefault="004D7543" w:rsidP="004D7543">
      <w:r>
        <w:t>Supplemental Nutrition Assistance Program</w:t>
      </w:r>
      <w:r>
        <w:tab/>
        <w:t>Low</w:t>
      </w:r>
      <w:r>
        <w:tab/>
        <w:t>Low</w:t>
      </w:r>
      <w:r>
        <w:tab/>
        <w:t>Medium</w:t>
      </w:r>
    </w:p>
    <w:p w14:paraId="55E2F018" w14:textId="77777777" w:rsidR="004D7543" w:rsidRDefault="004D7543" w:rsidP="004D7543">
      <w:r>
        <w:t>National School Lunch Program</w:t>
      </w:r>
      <w:r>
        <w:tab/>
        <w:t>Low</w:t>
      </w:r>
      <w:r>
        <w:tab/>
        <w:t>Low</w:t>
      </w:r>
      <w:r>
        <w:tab/>
        <w:t>Medium</w:t>
      </w:r>
    </w:p>
    <w:p w14:paraId="7E21AB52" w14:textId="77777777" w:rsidR="004D7543" w:rsidRDefault="004D7543" w:rsidP="004D7543">
      <w:r>
        <w:t>Supplemental Security Income</w:t>
      </w:r>
      <w:r>
        <w:tab/>
        <w:t>Low</w:t>
      </w:r>
      <w:r>
        <w:tab/>
      </w:r>
      <w:proofErr w:type="spellStart"/>
      <w:r>
        <w:t>Low</w:t>
      </w:r>
      <w:proofErr w:type="spellEnd"/>
      <w:r>
        <w:tab/>
      </w:r>
      <w:proofErr w:type="spellStart"/>
      <w:r>
        <w:t>Low</w:t>
      </w:r>
      <w:proofErr w:type="spellEnd"/>
    </w:p>
    <w:p w14:paraId="6CB66A7D" w14:textId="77777777" w:rsidR="004D7543" w:rsidRDefault="004D7543" w:rsidP="004D7543">
      <w:r>
        <w:t>Note. Low = limited state discretion; High = a great deal of state discretion. Authors’ coding based on program design features distributing federal, state, and local government responsibilities and authority.</w:t>
      </w:r>
    </w:p>
    <w:p w14:paraId="2D20276F" w14:textId="77777777" w:rsidR="004D7543" w:rsidRDefault="004D7543" w:rsidP="004D7543"/>
    <w:p w14:paraId="4595A810" w14:textId="77777777" w:rsidR="004D7543" w:rsidRDefault="004D7543" w:rsidP="004D7543">
      <w:r>
        <w:t>View Table Image</w:t>
      </w:r>
    </w:p>
    <w:p w14:paraId="195D4661" w14:textId="77777777" w:rsidR="004D7543" w:rsidRDefault="004D7543" w:rsidP="004D7543">
      <w:r>
        <w:t>States have moderate levels of discretion in financing, administration, and rulemaking in some federal-state programs where federal policies dictate program rules or guidelines within which states exercise discretion, including child support and UI. For example, although states are charged with enforcing child support orders and collecting and distributing assistance, they do so within broad federal rules and must meet certain federal requirements (e.g., establishing paternity). However, states set the bulk of enforcement guidelines, which are upheld by state courts, and have a great deal of discretion within the guidelines in how to determine support award amounts (Congressional Research Service 2019). States largely administer UI programs, with federal oversight; although federal laws and regulations provide broad guidelines on benefit coverage, eligibility, and benefit determination, the specifics of UI eligibility and benefits (amount and duration) are determined by each state and financed largely by state unemployment taxes (Congressional Research Service 2022).</w:t>
      </w:r>
    </w:p>
    <w:p w14:paraId="2A61C58A" w14:textId="77777777" w:rsidR="004D7543" w:rsidRDefault="004D7543" w:rsidP="004D7543"/>
    <w:p w14:paraId="03E411DC" w14:textId="77777777" w:rsidR="004D7543" w:rsidRDefault="004D7543" w:rsidP="004D7543">
      <w:r>
        <w:t xml:space="preserve">States have lower levels of discretion in financing, administration, and rulemaking in a handful of federal-state programs, including energy assistance, housing subsidies, SNAP, SSI, and school lunch subsidies. In the Low-Income Home Energy Assistance Program (LIHEAP), </w:t>
      </w:r>
      <w:proofErr w:type="gramStart"/>
      <w:r>
        <w:t>the majority of</w:t>
      </w:r>
      <w:proofErr w:type="gramEnd"/>
      <w:r>
        <w:t xml:space="preserve"> financing comes from a federal block grant provided to states, although a number of states provide supplemental state funds for specifically targeted groups. States have considerable rulemaking discretion in determining eligibility (categorical and income based) and benefit levels and targeting within broad federal guidelines; state and local governments administer programs, including outreach and enrollment, and benefits are directed to energy providers (National Center for Appropriate Technology 2022). The housing subsidies measure is an imputed value that includes both rental subsidy programs such as Section 8 vouchers and project-based public housing, both of which are primarily financed by the federal government.6 Similar to LIHEAP, states have considerable rulemaking discretion in determining eligibility (categorical and income based), benefit levels, and targeting within broad federal guidelines; in addition, state and local governments operate, manage, and administer the programs (Center on Budget and Policy Priorities 2021a, 2021b).</w:t>
      </w:r>
    </w:p>
    <w:p w14:paraId="5F8DC66A" w14:textId="77777777" w:rsidR="004D7543" w:rsidRDefault="004D7543" w:rsidP="004D7543"/>
    <w:p w14:paraId="5D01B1C3" w14:textId="77777777" w:rsidR="004D7543" w:rsidRDefault="004D7543" w:rsidP="004D7543">
      <w:r>
        <w:t>SNAP, formerly the Food Stamp Program, offers federally funded benefits. State and federal governments share financial responsibility for administration, which is done at the state and local county levels. However, the federal government reviews state eligibility and benefit determinations, which are largely determined by the federal government (</w:t>
      </w:r>
      <w:proofErr w:type="spellStart"/>
      <w:r>
        <w:t>Hoynes</w:t>
      </w:r>
      <w:proofErr w:type="spellEnd"/>
      <w:r>
        <w:t xml:space="preserve"> and </w:t>
      </w:r>
      <w:proofErr w:type="spellStart"/>
      <w:r>
        <w:t>Schanzenbach</w:t>
      </w:r>
      <w:proofErr w:type="spellEnd"/>
      <w:r>
        <w:t xml:space="preserve"> 2018). State administrative discretion and flexibility expanded with the passage of the 1996 Personal Responsibility and Work Opportunity Act and subsequent federal regulatory changes and policies, such as the 2002 and 2008 farm bills, which expanded access and outreach with expedited application and recertification processes. They also increased state discretion to determine and implement policies aimed at improving access to benefits—particularly for working families (e.g., broad-based categorical eligibility)—and to determine exemption policies and employment and training support provided for ABAWDs (USDA 2018; Economic Research Service 2022).</w:t>
      </w:r>
    </w:p>
    <w:p w14:paraId="250D7D34" w14:textId="77777777" w:rsidR="004D7543" w:rsidRDefault="004D7543" w:rsidP="004D7543"/>
    <w:p w14:paraId="1188F4EE" w14:textId="77777777" w:rsidR="004D7543" w:rsidRDefault="004D7543" w:rsidP="004D7543">
      <w:r>
        <w:t>The school lunch subsidies measure represents an imputed value for the National School Lunch Program, which is largely federally financed: local schools and districts are reimbursed by the federal government at a set rate per meal provided but can choose to supplement this with their own funds (USDA 2017).7 The program is administered at the federal and state levels in partnership with local schools and districts (</w:t>
      </w:r>
      <w:proofErr w:type="spellStart"/>
      <w:r>
        <w:t>Hoynes</w:t>
      </w:r>
      <w:proofErr w:type="spellEnd"/>
      <w:r>
        <w:t xml:space="preserve"> and </w:t>
      </w:r>
      <w:proofErr w:type="spellStart"/>
      <w:r>
        <w:t>Schanzenbach</w:t>
      </w:r>
      <w:proofErr w:type="spellEnd"/>
      <w:r>
        <w:t xml:space="preserve"> 2018). Administrative discretion concerning the contents and preparation of the lunch are made at the local level, but these must adhere to federally specified requirements. However, starting in 2010, local schools and districts gained discretion in being able to adopt community-eligibility free-meal policies (USDA 2015).</w:t>
      </w:r>
    </w:p>
    <w:p w14:paraId="4E291B69" w14:textId="77777777" w:rsidR="004D7543" w:rsidRDefault="004D7543" w:rsidP="004D7543"/>
    <w:p w14:paraId="1A0D79E4" w14:textId="77777777" w:rsidR="004D7543" w:rsidRDefault="004D7543" w:rsidP="004D7543">
      <w:r>
        <w:t>SSI is a federal program in which eligibility, benefit levels, and other rulemaking decisions are largely federally determined (Committee on Ways and Means 1996; SSA 2022). In terms of financing, benefits are largely federally funded—with states having the option to use their own funds to supplement these benefits—and administrative costs are shared by federal and state governments (Committee on Ways and Means, US House of Representatives 1996). Although the program is federally administered, states administer their own disability determination process and supplemental benefits, and they vary in other administrative decisions such as outreach (HHS 2015).</w:t>
      </w:r>
    </w:p>
    <w:p w14:paraId="1209E524" w14:textId="77777777" w:rsidR="004D7543" w:rsidRDefault="004D7543" w:rsidP="004D7543"/>
    <w:p w14:paraId="20A84A3B" w14:textId="77777777" w:rsidR="004D7543" w:rsidRDefault="004D7543" w:rsidP="004D7543">
      <w:r>
        <w:t xml:space="preserve">As these policy and program descriptions make clear, </w:t>
      </w:r>
      <w:r w:rsidRPr="00B85D6F">
        <w:rPr>
          <w:rStyle w:val="Emphasis"/>
        </w:rPr>
        <w:t xml:space="preserve">distinguishing state discretion in the specific domains of policy design (financing, administration, and rulemaking) allows us to pinpoint the </w:t>
      </w:r>
      <w:proofErr w:type="gramStart"/>
      <w:r w:rsidRPr="00B85D6F">
        <w:rPr>
          <w:rStyle w:val="Emphasis"/>
        </w:rPr>
        <w:t>particular types</w:t>
      </w:r>
      <w:proofErr w:type="gramEnd"/>
      <w:r w:rsidRPr="00B85D6F">
        <w:rPr>
          <w:rStyle w:val="Emphasis"/>
        </w:rPr>
        <w:t xml:space="preserve"> of decisions devolved to state and local governments</w:t>
      </w:r>
      <w:r>
        <w:t>. These descriptions also illustrate that state discretion in each of these domains of policy design is best conceptualized as a continuum in which there are lower or higher levels of discretion. We justify the classification of programs even with low levels of state discretion as state transfers to draw attention to the many ways that decentralized policy designs shape poverty reduction.</w:t>
      </w:r>
    </w:p>
    <w:p w14:paraId="73347D17" w14:textId="77777777" w:rsidR="004D7543" w:rsidRDefault="004D7543" w:rsidP="004D7543"/>
    <w:p w14:paraId="3FAFDC62" w14:textId="77777777" w:rsidR="004D7543" w:rsidRDefault="004D7543" w:rsidP="004D7543">
      <w:r>
        <w:t>We categorize two income sources as federal transfers—Old-Age, Survivors, and Disability Insurance (OASDI) and veterans’ benefits. Both income sources include income from several programs that are all administered and financed at the federal level by the Social Security Administration and the Department of Veterans Affairs, respectively.8</w:t>
      </w:r>
    </w:p>
    <w:p w14:paraId="58A66D59" w14:textId="77777777" w:rsidR="004D7543" w:rsidRDefault="004D7543" w:rsidP="004D7543"/>
    <w:p w14:paraId="03BDCFB2" w14:textId="77777777" w:rsidR="004D7543" w:rsidRDefault="004D7543" w:rsidP="004D7543">
      <w:r>
        <w:t>The final two policy mechanisms—federal taxes and state taxes—are captured by estimates derived from the National Bureau of Economic Research’s TAXSIM program, a microsimulation tool that estimates total federal and state tax liabilities and credits using survey data (</w:t>
      </w:r>
      <w:proofErr w:type="spellStart"/>
      <w:r>
        <w:t>Feenberg</w:t>
      </w:r>
      <w:proofErr w:type="spellEnd"/>
      <w:r>
        <w:t xml:space="preserve"> and Coutts 1993). In our analyses below, we further disaggregate federal taxes into federal income taxes and Federal Insurance Contributions Act (FICA) payments made by household members.9 In contrast, we do not include state-level payroll taxes for social programs paid by workers, because the magnitude of these taxes is limited—especially compared with FICA, which is characterized by both a high level of coverage and a substantial tax rate.10</w:t>
      </w:r>
    </w:p>
    <w:p w14:paraId="23D58368" w14:textId="77777777" w:rsidR="004D7543" w:rsidRDefault="004D7543" w:rsidP="004D7543"/>
    <w:p w14:paraId="511EF8E8" w14:textId="77777777" w:rsidR="004D7543" w:rsidRDefault="004D7543" w:rsidP="004D7543">
      <w:r>
        <w:t>Benefit Underreporting</w:t>
      </w:r>
    </w:p>
    <w:p w14:paraId="2C3FCB1A" w14:textId="77777777" w:rsidR="004D7543" w:rsidRDefault="004D7543" w:rsidP="004D7543">
      <w:r>
        <w:t xml:space="preserve">Underreporting, especially in low-income households, is an important source of measurement error in data based on household surveys such as the CPS ASEC, where underreporting distorts estimates of poverty and poverty reduction (Stevens, Fox, and </w:t>
      </w:r>
      <w:proofErr w:type="spellStart"/>
      <w:r>
        <w:t>Heggeness</w:t>
      </w:r>
      <w:proofErr w:type="spellEnd"/>
      <w:r>
        <w:t xml:space="preserve"> 2018). Underreporting of benefits refers to not reporting receipt, as well as reporting smaller dollar amounts than the </w:t>
      </w:r>
      <w:proofErr w:type="gramStart"/>
      <w:r>
        <w:t>amount</w:t>
      </w:r>
      <w:proofErr w:type="gramEnd"/>
      <w:r>
        <w:t xml:space="preserve"> of benefits received. Recent analyses comparing the CPS ASEC data with administrative data find that benefit underreporting ranges between 20 and 60 percent across several transfer programs, with higher rates of underreporting for workers’ compensation, TANF, and SNAP as compared with OASDI and UI (Meyer and </w:t>
      </w:r>
      <w:proofErr w:type="spellStart"/>
      <w:r>
        <w:t>Mittag</w:t>
      </w:r>
      <w:proofErr w:type="spellEnd"/>
      <w:r>
        <w:t xml:space="preserve"> 2019; Meyer, Mok, and Sullivan 2009; Wheaton 2008).</w:t>
      </w:r>
    </w:p>
    <w:p w14:paraId="265F70B9" w14:textId="77777777" w:rsidR="004D7543" w:rsidRDefault="004D7543" w:rsidP="004D7543"/>
    <w:p w14:paraId="36743F9A" w14:textId="77777777" w:rsidR="004D7543" w:rsidRDefault="004D7543" w:rsidP="004D7543">
      <w:r>
        <w:t>To correct for underreporting, we employ a procedure developed by Parolin (2019) that uses the Urban Institute’s Transfer Income Model (TRIM3) simulated benefit receipt data (</w:t>
      </w:r>
      <w:proofErr w:type="spellStart"/>
      <w:r>
        <w:t>Zedlewski</w:t>
      </w:r>
      <w:proofErr w:type="spellEnd"/>
      <w:r>
        <w:t xml:space="preserve"> and Giannarelli 2015). This correction approach imputes underreported benefit values using probability-based methods for three types of means-tested benefits: SNAP, TANF, and SSI. The approach increases the SNAP, TANF, and SSI dollars accounted for in the ASEC data to between 84 and 94 percent of corresponding amounts available in administrative data sources.11</w:t>
      </w:r>
    </w:p>
    <w:p w14:paraId="24B8BAFB" w14:textId="77777777" w:rsidR="004D7543" w:rsidRDefault="004D7543" w:rsidP="004D7543">
      <w:pPr>
        <w:pStyle w:val="Heading4"/>
      </w:pPr>
      <w:r>
        <w:t xml:space="preserve">States </w:t>
      </w:r>
      <w:proofErr w:type="gramStart"/>
      <w:r>
        <w:t>fail</w:t>
      </w:r>
      <w:proofErr w:type="gramEnd"/>
    </w:p>
    <w:p w14:paraId="5DEA0653" w14:textId="77777777" w:rsidR="004D7543" w:rsidRPr="00582C41" w:rsidRDefault="004D7543" w:rsidP="004D7543">
      <w:r w:rsidRPr="00EB5C17">
        <w:t xml:space="preserve">Sarah K. </w:t>
      </w:r>
      <w:r w:rsidRPr="00EB5C17">
        <w:rPr>
          <w:rStyle w:val="Style13ptBold"/>
        </w:rPr>
        <w:t>Bruch et al 23</w:t>
      </w:r>
      <w:r w:rsidRPr="00EB5C17">
        <w:t xml:space="preserve">, associate professor at the Joseph R. Biden, Jr., School of Public Policy and Administration and the Department of Sociology and Criminal Justice at the University of Delaware. Joseph van der </w:t>
      </w:r>
      <w:proofErr w:type="spellStart"/>
      <w:r w:rsidRPr="00EB5C17">
        <w:t>Naald</w:t>
      </w:r>
      <w:proofErr w:type="spellEnd"/>
      <w:r w:rsidRPr="00EB5C17">
        <w:t xml:space="preserve"> is a doctoral candidate in the sociology program at the Graduate Center of the City University of New York. Janet </w:t>
      </w:r>
      <w:proofErr w:type="spellStart"/>
      <w:r w:rsidRPr="00EB5C17">
        <w:t>Gornick</w:t>
      </w:r>
      <w:proofErr w:type="spellEnd"/>
      <w:r w:rsidRPr="00EB5C17">
        <w:t xml:space="preserve"> is a professor of political science and sociology at the Graduate Center of the City University of New York. She also serves as director of the James M. and Cathleen D. Stone Center on Socio-Economic Inequality, which includes the US office of LIS (the cross-national data archive in Luxembourg).</w:t>
      </w:r>
      <w:r>
        <w:t xml:space="preserve"> Social Service Review.  </w:t>
      </w:r>
      <w:proofErr w:type="gramStart"/>
      <w:r>
        <w:t>“</w:t>
      </w:r>
      <w:r w:rsidRPr="00EB5C17">
        <w:t xml:space="preserve"> </w:t>
      </w:r>
      <w:r w:rsidRPr="00427757">
        <w:t>Poverty</w:t>
      </w:r>
      <w:proofErr w:type="gramEnd"/>
      <w:r w:rsidRPr="00427757">
        <w:t xml:space="preserve"> Reduction through Federal and State Policy Mechanisms: Variation over Time and across the United States</w:t>
      </w:r>
      <w:r>
        <w:t xml:space="preserve">” May 2. </w:t>
      </w:r>
      <w:hyperlink r:id="rId41" w:anchor="d21216324e4057" w:history="1">
        <w:r w:rsidRPr="002F76AE">
          <w:rPr>
            <w:rStyle w:val="Hyperlink"/>
          </w:rPr>
          <w:t>https://www.journals.uchicago.edu/doi/full/10.1086/724556#d21216324e4057</w:t>
        </w:r>
      </w:hyperlink>
      <w:r>
        <w:t xml:space="preserve"> //</w:t>
      </w:r>
      <w:proofErr w:type="spellStart"/>
      <w:r>
        <w:t>pipk</w:t>
      </w:r>
      <w:proofErr w:type="spellEnd"/>
    </w:p>
    <w:p w14:paraId="76018181" w14:textId="77777777" w:rsidR="004D7543" w:rsidRDefault="004D7543" w:rsidP="004D7543">
      <w:r>
        <w:t>Discussion</w:t>
      </w:r>
    </w:p>
    <w:p w14:paraId="32D22C86" w14:textId="77777777" w:rsidR="004D7543" w:rsidRDefault="004D7543" w:rsidP="004D7543">
      <w:r>
        <w:t xml:space="preserve">In this article, we argue that </w:t>
      </w:r>
      <w:r w:rsidRPr="009B2B14">
        <w:rPr>
          <w:rStyle w:val="StyleUnderline"/>
        </w:rPr>
        <w:t>the institutional design features of</w:t>
      </w:r>
      <w:r>
        <w:t xml:space="preserve"> categorically defined eligibility, income targeting, and </w:t>
      </w:r>
      <w:r w:rsidRPr="009B2B14">
        <w:rPr>
          <w:rStyle w:val="StyleUnderline"/>
        </w:rPr>
        <w:t>decentralization in social welfare policies result in differential efficacy in poverty reduction across households with and without children</w:t>
      </w:r>
      <w:r>
        <w:t xml:space="preserve">. To highlight how this occurs, </w:t>
      </w:r>
      <w:r w:rsidRPr="009B2B14">
        <w:rPr>
          <w:rStyle w:val="Emphasis"/>
        </w:rPr>
        <w:t>we draw on the distinction between taxes and transfers as distinct mechanisms of redistribution</w:t>
      </w:r>
      <w:r>
        <w:t xml:space="preserve">, </w:t>
      </w:r>
      <w:r w:rsidRPr="00CB47EF">
        <w:rPr>
          <w:rStyle w:val="StyleUnderline"/>
        </w:rPr>
        <w:t>and we further distinguish between taxes and transfers that are wholly administered, financed, and designed at the federal level compared with taxes and transfers that allow for some level of state discretion</w:t>
      </w:r>
      <w:r>
        <w:t xml:space="preserve">. </w:t>
      </w:r>
      <w:r w:rsidRPr="00CB47EF">
        <w:rPr>
          <w:rStyle w:val="StyleUnderline"/>
        </w:rPr>
        <w:t>Using the resulting set of four redistributive mechanisms</w:t>
      </w:r>
      <w:r>
        <w:t xml:space="preserve"> (</w:t>
      </w:r>
      <w:r w:rsidRPr="00CB47EF">
        <w:rPr>
          <w:rStyle w:val="StyleUnderline"/>
        </w:rPr>
        <w:t>federal transfers, state transfers, federal taxes, and state taxes</w:t>
      </w:r>
      <w:r>
        <w:t xml:space="preserve">) </w:t>
      </w:r>
      <w:r w:rsidRPr="00CB47EF">
        <w:rPr>
          <w:rStyle w:val="StyleUnderline"/>
        </w:rPr>
        <w:t>and a sequence-independent decomposition procedure, we examine the poverty reduction efficacy attributable to each mechanism</w:t>
      </w:r>
      <w:r>
        <w:t xml:space="preserve"> for two household types (working-age with children and working-age without children) over a 20-year period.</w:t>
      </w:r>
    </w:p>
    <w:p w14:paraId="4402D17E" w14:textId="77777777" w:rsidR="004D7543" w:rsidRDefault="004D7543" w:rsidP="004D7543">
      <w:r>
        <w:t xml:space="preserve">Several important findings stand out. First, we find increasing and larger poverty reductions for working-age households with children compared with those without children from 1996 to 2016. </w:t>
      </w:r>
      <w:r w:rsidRPr="00CB47EF">
        <w:rPr>
          <w:rStyle w:val="StyleUnderline"/>
        </w:rPr>
        <w:t>A consequence of</w:t>
      </w:r>
      <w:r>
        <w:t xml:space="preserve"> these </w:t>
      </w:r>
      <w:r w:rsidRPr="00CB47EF">
        <w:rPr>
          <w:rStyle w:val="StyleUnderline"/>
        </w:rPr>
        <w:t>unequal poverty reductions is a widening gap in disposable-income poverty rates between households with and without children and a safety net that is more responsive to increases in market-income poverty for households with children compared with households without children</w:t>
      </w:r>
      <w:r>
        <w:t xml:space="preserve"> (Brady and Parolin 2020; </w:t>
      </w:r>
      <w:proofErr w:type="spellStart"/>
      <w:r>
        <w:t>Wimer</w:t>
      </w:r>
      <w:proofErr w:type="spellEnd"/>
      <w:r>
        <w:t xml:space="preserve"> et al. 2020).</w:t>
      </w:r>
    </w:p>
    <w:p w14:paraId="3B2BAD2F" w14:textId="77777777" w:rsidR="004D7543" w:rsidRDefault="004D7543" w:rsidP="004D7543">
      <w:r>
        <w:t xml:space="preserve">Second, </w:t>
      </w:r>
      <w:r w:rsidRPr="00CB47EF">
        <w:rPr>
          <w:rStyle w:val="Emphasis"/>
        </w:rPr>
        <w:t>market-poor households with children have a more diversified assistance package</w:t>
      </w:r>
      <w:r>
        <w:t xml:space="preserve">, whereby poverty is reduced to some degree by all four redistributive mechanisms and in which seven programs are received by at least 15 percent of this population. This finding contrasts with our results </w:t>
      </w:r>
      <w:r w:rsidRPr="00CB47EF">
        <w:rPr>
          <w:rStyle w:val="Emphasis"/>
        </w:rPr>
        <w:t>for market-poor households without children</w:t>
      </w:r>
      <w:r>
        <w:t xml:space="preserve">, for whom </w:t>
      </w:r>
      <w:r w:rsidRPr="00CB47EF">
        <w:rPr>
          <w:rStyle w:val="Emphasis"/>
        </w:rPr>
        <w:t>poverty is only reduced by federal and state transfers</w:t>
      </w:r>
      <w:r>
        <w:t xml:space="preserve">, </w:t>
      </w:r>
      <w:r w:rsidRPr="00CB47EF">
        <w:rPr>
          <w:rStyle w:val="Emphasis"/>
        </w:rPr>
        <w:t>most of which are received by only a small percentage of this population</w:t>
      </w:r>
      <w:r>
        <w:t xml:space="preserve"> (only four programs are received by at least 15 percent of this population), </w:t>
      </w:r>
      <w:r w:rsidRPr="00CB47EF">
        <w:rPr>
          <w:rStyle w:val="StyleUnderline"/>
        </w:rPr>
        <w:t>whereas federal and state taxes push these households further into poverty</w:t>
      </w:r>
      <w:r>
        <w:t xml:space="preserve">. </w:t>
      </w:r>
      <w:r w:rsidRPr="00CB47EF">
        <w:rPr>
          <w:rStyle w:val="Emphasis"/>
        </w:rPr>
        <w:t>Being able to access a broader set of safety net programs reflects the social construction of children as a particularly deserving population for whom a variety of programs are designed.</w:t>
      </w:r>
      <w:r>
        <w:t xml:space="preserve"> </w:t>
      </w:r>
      <w:r w:rsidRPr="00CB47EF">
        <w:rPr>
          <w:rStyle w:val="StyleUnderline"/>
        </w:rPr>
        <w:t>This situation contrasts with the social construction of working-age households without children as a group less deserving of targeted assistance</w:t>
      </w:r>
      <w:r>
        <w:t>—unless they have a specific status characteristic, such as being a veteran or having a disability, that categorizes them into assistance.</w:t>
      </w:r>
    </w:p>
    <w:p w14:paraId="159FB8D2" w14:textId="77777777" w:rsidR="004D7543" w:rsidRDefault="004D7543" w:rsidP="004D7543">
      <w:r>
        <w:t>However, though market-</w:t>
      </w:r>
      <w:r w:rsidRPr="00CB47EF">
        <w:rPr>
          <w:rStyle w:val="StyleUnderline"/>
        </w:rPr>
        <w:t>poor households with children are</w:t>
      </w:r>
      <w:r>
        <w:t xml:space="preserve"> categorically </w:t>
      </w:r>
      <w:r w:rsidRPr="00CB47EF">
        <w:rPr>
          <w:rStyle w:val="StyleUnderline"/>
        </w:rPr>
        <w:t>eligible for several different types of assistance, many</w:t>
      </w:r>
      <w:r>
        <w:t xml:space="preserve"> of these programs are </w:t>
      </w:r>
      <w:r w:rsidRPr="00CB47EF">
        <w:rPr>
          <w:rStyle w:val="StyleUnderline"/>
        </w:rPr>
        <w:t>decentralized</w:t>
      </w:r>
      <w:r>
        <w:t xml:space="preserve"> to some degree. </w:t>
      </w:r>
      <w:r w:rsidRPr="00CB47EF">
        <w:rPr>
          <w:rStyle w:val="Emphasis"/>
        </w:rPr>
        <w:t>A substantial share of the poverty reduction experienced by these households is attributable to decentralized transfer programs</w:t>
      </w:r>
      <w:r>
        <w:t xml:space="preserve"> such as UI, SNAP, SSI, TANF, workers’ compensation, and school lunch subsidies. It is also notable that the two state transfers that contribute the most to the poverty reduction for households with children (SNAP and SSI) are both programs with comparatively low levels of state discretion.</w:t>
      </w:r>
    </w:p>
    <w:p w14:paraId="2B82147A" w14:textId="77777777" w:rsidR="004D7543" w:rsidRDefault="004D7543" w:rsidP="004D7543">
      <w:r w:rsidRPr="00CB47EF">
        <w:rPr>
          <w:rStyle w:val="Emphasis"/>
        </w:rPr>
        <w:t>The decentralized nature of these transfer programs is important</w:t>
      </w:r>
      <w:r>
        <w:t>—whether low, moderate, or high—</w:t>
      </w:r>
      <w:r w:rsidRPr="00CB47EF">
        <w:rPr>
          <w:rStyle w:val="Emphasis"/>
        </w:rPr>
        <w:t>because the decisions that states make in financing, administration, or rulemaking result in geographically defined differences in quantity</w:t>
      </w:r>
      <w:r>
        <w:t xml:space="preserve"> (i.e., benefit levels), </w:t>
      </w:r>
      <w:r w:rsidRPr="00CB47EF">
        <w:rPr>
          <w:rStyle w:val="Emphasis"/>
        </w:rPr>
        <w:t>quality</w:t>
      </w:r>
      <w:r>
        <w:t xml:space="preserve"> (i.e., the terms or conditions of receipt), </w:t>
      </w:r>
      <w:r w:rsidRPr="00CB47EF">
        <w:rPr>
          <w:rStyle w:val="Emphasis"/>
        </w:rPr>
        <w:t>and access</w:t>
      </w:r>
      <w:r>
        <w:t xml:space="preserve"> to safety net assistance (i.e., coverage or inclusion) </w:t>
      </w:r>
      <w:r w:rsidRPr="00CB47EF">
        <w:rPr>
          <w:rStyle w:val="Emphasis"/>
        </w:rPr>
        <w:t>across states.</w:t>
      </w:r>
      <w:r>
        <w:t xml:space="preserve"> </w:t>
      </w:r>
      <w:r w:rsidRPr="00CB47EF">
        <w:rPr>
          <w:rStyle w:val="StyleUnderline"/>
        </w:rPr>
        <w:t>Although programs with higher levels of state discretion vary more considerably across states in their generosity and inclusiveness</w:t>
      </w:r>
      <w:r>
        <w:t xml:space="preserve"> (Bruch et al. 2018), </w:t>
      </w:r>
      <w:r w:rsidRPr="00CB47EF">
        <w:rPr>
          <w:rStyle w:val="Emphasis"/>
        </w:rPr>
        <w:t>state policy and administrative decisions in programs</w:t>
      </w:r>
      <w:r>
        <w:t xml:space="preserve"> (even those with lower levels of state discretion, including SNAP and SSI) </w:t>
      </w:r>
      <w:r w:rsidRPr="00CB47EF">
        <w:rPr>
          <w:rStyle w:val="Emphasis"/>
        </w:rPr>
        <w:t>have been shown to contribute to inequities in receipt and benefits for economically marginalized individuals and families</w:t>
      </w:r>
      <w:r>
        <w:t xml:space="preserve"> (</w:t>
      </w:r>
      <w:proofErr w:type="spellStart"/>
      <w:r>
        <w:t>Ganong</w:t>
      </w:r>
      <w:proofErr w:type="spellEnd"/>
      <w:r>
        <w:t xml:space="preserve"> and Liebman 2018; Kogan 2017; Edwards et al. 2016; HHS 2015; Sevak and Bruns 2018; </w:t>
      </w:r>
      <w:proofErr w:type="spellStart"/>
      <w:r>
        <w:t>Hemmeter</w:t>
      </w:r>
      <w:proofErr w:type="spellEnd"/>
      <w:r>
        <w:t xml:space="preserve"> et al. 2020). </w:t>
      </w:r>
      <w:r w:rsidRPr="00CB47EF">
        <w:rPr>
          <w:rStyle w:val="Emphasis"/>
        </w:rPr>
        <w:t>Policy and programmatic differences across states contribute to the cross-state inequality in poverty reduction reported in the current article and in previous research</w:t>
      </w:r>
      <w:r>
        <w:t xml:space="preserve"> (Laird et al. 2018; Parolin 2021b</w:t>
      </w:r>
      <w:r w:rsidRPr="00CB47EF">
        <w:rPr>
          <w:rStyle w:val="Emphasis"/>
        </w:rPr>
        <w:t>), reflecting the unequal responses to citizen needs across states</w:t>
      </w:r>
      <w:r>
        <w:t xml:space="preserve">. </w:t>
      </w:r>
      <w:r w:rsidRPr="00CB47EF">
        <w:rPr>
          <w:rStyle w:val="Emphasis"/>
        </w:rPr>
        <w:t>This unevenness is particularly concerning in regard to race</w:t>
      </w:r>
      <w:r>
        <w:t xml:space="preserve">—a considerable body of previous scholarship has demonstrated that </w:t>
      </w:r>
      <w:r w:rsidRPr="00CB47EF">
        <w:rPr>
          <w:rStyle w:val="StyleUnderline"/>
        </w:rPr>
        <w:t>states with higher percentages of African Americans have more paternalistic and punitive safety net policy designs</w:t>
      </w:r>
      <w:r>
        <w:t xml:space="preserve"> (</w:t>
      </w:r>
      <w:proofErr w:type="spellStart"/>
      <w:r>
        <w:t>Soss</w:t>
      </w:r>
      <w:proofErr w:type="spellEnd"/>
      <w:r>
        <w:t xml:space="preserve"> et al. 2011), </w:t>
      </w:r>
      <w:r w:rsidRPr="00CB47EF">
        <w:rPr>
          <w:rStyle w:val="StyleUnderline"/>
        </w:rPr>
        <w:t>are less inclusive</w:t>
      </w:r>
      <w:r>
        <w:t xml:space="preserve"> (Bruch et al. 2022; Floyd et al. 2021), </w:t>
      </w:r>
      <w:r w:rsidRPr="00CB47EF">
        <w:rPr>
          <w:rStyle w:val="StyleUnderline"/>
        </w:rPr>
        <w:t>and are less effective at reducing poverty for racially marginalized populations</w:t>
      </w:r>
      <w:r>
        <w:t xml:space="preserve"> (</w:t>
      </w:r>
      <w:proofErr w:type="spellStart"/>
      <w:r>
        <w:t>Bitler</w:t>
      </w:r>
      <w:proofErr w:type="spellEnd"/>
      <w:r>
        <w:t xml:space="preserve"> et al. 2017; Parolin 2021b; Gaines, Hardy, and Schweitzer 2021; Kelly and </w:t>
      </w:r>
      <w:proofErr w:type="spellStart"/>
      <w:r>
        <w:t>Lobao</w:t>
      </w:r>
      <w:proofErr w:type="spellEnd"/>
      <w:r>
        <w:t xml:space="preserve"> 2021). A key takeaway is that the role of </w:t>
      </w:r>
      <w:r w:rsidRPr="00CB47EF">
        <w:rPr>
          <w:rStyle w:val="Emphasis"/>
        </w:rPr>
        <w:t>decentralization in the US safety net</w:t>
      </w:r>
      <w:r>
        <w:t xml:space="preserve">, or “discretion by design,” encapsulated in our distinction between state and federal programs, </w:t>
      </w:r>
      <w:r w:rsidRPr="00CB47EF">
        <w:rPr>
          <w:rStyle w:val="Emphasis"/>
        </w:rPr>
        <w:t xml:space="preserve">is an important institutional feature that structures inequality in social provision </w:t>
      </w:r>
      <w:r w:rsidRPr="00CB47EF">
        <w:t>and deserves continued attention by poverty scholars</w:t>
      </w:r>
      <w:r>
        <w:t>.</w:t>
      </w:r>
    </w:p>
    <w:p w14:paraId="38584B09" w14:textId="77777777" w:rsidR="004D7543" w:rsidRDefault="004D7543" w:rsidP="004D7543">
      <w:r w:rsidRPr="00BC551D">
        <w:rPr>
          <w:rStyle w:val="StyleUnderline"/>
        </w:rPr>
        <w:t xml:space="preserve">The second key distinction made in this article, between transfers and taxes, also leads to </w:t>
      </w:r>
      <w:proofErr w:type="gramStart"/>
      <w:r w:rsidRPr="00BC551D">
        <w:rPr>
          <w:rStyle w:val="StyleUnderline"/>
        </w:rPr>
        <w:t>a number of</w:t>
      </w:r>
      <w:proofErr w:type="gramEnd"/>
      <w:r w:rsidRPr="00BC551D">
        <w:rPr>
          <w:rStyle w:val="StyleUnderline"/>
        </w:rPr>
        <w:t xml:space="preserve"> important insights</w:t>
      </w:r>
      <w:r>
        <w:t xml:space="preserve">. First, </w:t>
      </w:r>
      <w:r w:rsidRPr="00BC551D">
        <w:rPr>
          <w:rStyle w:val="StyleUnderline"/>
        </w:rPr>
        <w:t>federal taxes play an increasingly important role in poverty reduction for households with children</w:t>
      </w:r>
      <w:r>
        <w:t xml:space="preserve"> (Duncan and Le </w:t>
      </w:r>
      <w:proofErr w:type="spellStart"/>
      <w:r>
        <w:t>Menestrel</w:t>
      </w:r>
      <w:proofErr w:type="spellEnd"/>
      <w:r>
        <w:t xml:space="preserve"> 2019; Fox et al. 2015). Second, </w:t>
      </w:r>
      <w:r w:rsidRPr="00BC551D">
        <w:rPr>
          <w:rStyle w:val="StyleUnderline"/>
        </w:rPr>
        <w:t>state income taxes also provide an increasing, albeit smaller, role in poverty reduction for these households</w:t>
      </w:r>
      <w:r>
        <w:t xml:space="preserve"> (Williams et al. 2020; Pac et al. 2020). </w:t>
      </w:r>
      <w:r w:rsidRPr="00BC551D">
        <w:rPr>
          <w:rStyle w:val="Emphasis"/>
        </w:rPr>
        <w:t>The expanding role of tax mechanisms reflects growing evidence regarding their effectiveness in income targeting and poverty reduction</w:t>
      </w:r>
      <w:r>
        <w:t xml:space="preserve"> (</w:t>
      </w:r>
      <w:proofErr w:type="spellStart"/>
      <w:r>
        <w:t>Hoynes</w:t>
      </w:r>
      <w:proofErr w:type="spellEnd"/>
      <w:r>
        <w:t xml:space="preserve"> and Patel 2018; </w:t>
      </w:r>
      <w:proofErr w:type="spellStart"/>
      <w:r>
        <w:t>Eissa</w:t>
      </w:r>
      <w:proofErr w:type="spellEnd"/>
      <w:r>
        <w:t xml:space="preserve"> and </w:t>
      </w:r>
      <w:proofErr w:type="spellStart"/>
      <w:r>
        <w:t>Hoynes</w:t>
      </w:r>
      <w:proofErr w:type="spellEnd"/>
      <w:r>
        <w:t xml:space="preserve"> 2011). </w:t>
      </w:r>
      <w:r w:rsidRPr="00BC551D">
        <w:rPr>
          <w:rStyle w:val="Emphasis"/>
        </w:rPr>
        <w:t>Yet tax mechanisms differ from transfers in important ways: they are more “hidden,” have broader political support, and are less stigmatizing for recipients</w:t>
      </w:r>
      <w:r>
        <w:t xml:space="preserve"> (Howard 1999; Martin and Prasad 2014). </w:t>
      </w:r>
      <w:r w:rsidRPr="00BC551D">
        <w:rPr>
          <w:rStyle w:val="StyleUnderline"/>
        </w:rPr>
        <w:t>Identifying the unique role of state taxes also provides an opportunity to examine cross-state inequalities in treatment of similarly situated households and to explore the determinants of the policies that shape these distributional consequences</w:t>
      </w:r>
      <w:r>
        <w:t xml:space="preserve"> (Newman and O’Brien 2011; O’Brien 2017).</w:t>
      </w:r>
    </w:p>
    <w:p w14:paraId="2E437362" w14:textId="77777777" w:rsidR="004D7543" w:rsidRDefault="004D7543" w:rsidP="004D7543">
      <w:r>
        <w:t xml:space="preserve">The findings from our research also demonstrate the disadvantageous distributional consequences for households without children from both federal and state tax mechanisms, which serve to increase their impoverishment. </w:t>
      </w:r>
      <w:proofErr w:type="gramStart"/>
      <w:r>
        <w:t>This dynamic results</w:t>
      </w:r>
      <w:proofErr w:type="gramEnd"/>
      <w:r>
        <w:t>, in part, from relatively small percentages of these households receiving income from federal or state taxes and is reflected in the ongoing debate about whether to expand tax credits such as the EITC for childless adults and households (Dolby, Burnside, and Bunts 2022; Marr and Huang 2020).</w:t>
      </w:r>
    </w:p>
    <w:p w14:paraId="6CAE4BA5" w14:textId="77777777" w:rsidR="004D7543" w:rsidRDefault="004D7543" w:rsidP="004D7543"/>
    <w:p w14:paraId="7598D8FF" w14:textId="77777777" w:rsidR="004D7543" w:rsidRDefault="004D7543" w:rsidP="004D7543">
      <w:r w:rsidRPr="00FD0152">
        <w:rPr>
          <w:rStyle w:val="StyleUnderline"/>
        </w:rPr>
        <w:t>Our findings on the cyclical responsiveness of the US tax and transfer programs</w:t>
      </w:r>
      <w:r>
        <w:t xml:space="preserve"> (especially for households with children) </w:t>
      </w:r>
      <w:r w:rsidRPr="00FD0152">
        <w:rPr>
          <w:rStyle w:val="StyleUnderline"/>
        </w:rPr>
        <w:t>echo work on poverty alleviation in recent policy debates that demonstrate the importance of the expansion of social safety net programs during the pandemic</w:t>
      </w:r>
      <w:r>
        <w:t xml:space="preserve">. </w:t>
      </w:r>
      <w:r w:rsidRPr="00FD0152">
        <w:rPr>
          <w:rStyle w:val="Emphasis"/>
        </w:rPr>
        <w:t>These include cash transfers</w:t>
      </w:r>
      <w:r>
        <w:t xml:space="preserve">, such as the COVID-19 economic impact payments; expanded UI benefits; the expansion of food assistance programs, including both subsidized school meal assistance and SNAP; and the large antipoverty impact of the temporary expansion of the child tax credit (Parolin et al. 2022; Cooney, Shaefer, and </w:t>
      </w:r>
      <w:proofErr w:type="spellStart"/>
      <w:r>
        <w:t>Jubaed</w:t>
      </w:r>
      <w:proofErr w:type="spellEnd"/>
      <w:r>
        <w:t xml:space="preserve"> 2022).</w:t>
      </w:r>
    </w:p>
    <w:p w14:paraId="03C9A9BF" w14:textId="77777777" w:rsidR="004D7543" w:rsidRDefault="004D7543" w:rsidP="004D7543"/>
    <w:p w14:paraId="6A81C8A5" w14:textId="77777777" w:rsidR="004D7543" w:rsidRDefault="004D7543" w:rsidP="004D7543">
      <w:r>
        <w:t>The poverty reduction analyses provided in this article highlight the utility of sequence-independent decompositions for opening the black box of poverty reduction estimates and for examining between-state variation in poverty alleviation. Nevertheless, future research using decomposition methods that incorporate demographic, labor market, and other factors can build on this work to further unpack the state-level variation in taxes and transfers that we observe here. In addition, future work employing panel regression techniques will be important to assessing year-to-year changes within states and can serve as a complement to work such as ours that focuses on between-state differences.</w:t>
      </w:r>
    </w:p>
    <w:p w14:paraId="0FFB4DFE" w14:textId="77777777" w:rsidR="004D7543" w:rsidRPr="009A707F" w:rsidRDefault="004D7543" w:rsidP="004D7543"/>
    <w:p w14:paraId="36EBB9E7" w14:textId="77777777" w:rsidR="004D7543" w:rsidRDefault="004D7543" w:rsidP="004D7543">
      <w:pPr>
        <w:rPr>
          <w:rFonts w:asciiTheme="minorHAnsi" w:hAnsiTheme="minorHAnsi" w:cstheme="minorBidi"/>
        </w:rPr>
      </w:pPr>
    </w:p>
    <w:p w14:paraId="0C47A857" w14:textId="77777777" w:rsidR="004D7543" w:rsidRDefault="004D7543" w:rsidP="004D7543">
      <w:pPr>
        <w:rPr>
          <w:rFonts w:asciiTheme="minorHAnsi" w:hAnsiTheme="minorHAnsi" w:cstheme="minorBidi"/>
        </w:rPr>
      </w:pPr>
    </w:p>
    <w:p w14:paraId="6A2D4D6F" w14:textId="77777777" w:rsidR="004D7543" w:rsidRDefault="004D7543" w:rsidP="004D7543">
      <w:pPr>
        <w:pStyle w:val="Heading3"/>
      </w:pPr>
      <w:r>
        <w:t>1AR---Solvency---AT: Bruch</w:t>
      </w:r>
    </w:p>
    <w:p w14:paraId="6700838C" w14:textId="77777777" w:rsidR="004D7543" w:rsidRDefault="004D7543" w:rsidP="004D7543">
      <w:pPr>
        <w:pStyle w:val="Heading4"/>
      </w:pPr>
      <w:r>
        <w:t xml:space="preserve">Bruch concludes </w:t>
      </w:r>
      <w:proofErr w:type="spellStart"/>
      <w:proofErr w:type="gramStart"/>
      <w:r>
        <w:t>aff</w:t>
      </w:r>
      <w:proofErr w:type="spellEnd"/>
      <w:proofErr w:type="gramEnd"/>
    </w:p>
    <w:p w14:paraId="19C3851A" w14:textId="77777777" w:rsidR="004D7543" w:rsidRDefault="004D7543" w:rsidP="004D7543">
      <w:r w:rsidRPr="00EB5C17">
        <w:t xml:space="preserve">Sarah K. </w:t>
      </w:r>
      <w:r w:rsidRPr="00EB5C17">
        <w:rPr>
          <w:rStyle w:val="Style13ptBold"/>
        </w:rPr>
        <w:t>Bruch et al 23</w:t>
      </w:r>
      <w:r w:rsidRPr="00EB5C17">
        <w:t xml:space="preserve">, associate professor at the Joseph R. Biden, Jr., School of Public Policy and Administration and the Department of Sociology and Criminal Justice at the University of Delaware. Joseph van der </w:t>
      </w:r>
      <w:proofErr w:type="spellStart"/>
      <w:r w:rsidRPr="00EB5C17">
        <w:t>Naald</w:t>
      </w:r>
      <w:proofErr w:type="spellEnd"/>
      <w:r w:rsidRPr="00EB5C17">
        <w:t xml:space="preserve"> is a doctoral candidate in the sociology program at the Graduate Center of the City University of New York. Janet </w:t>
      </w:r>
      <w:proofErr w:type="spellStart"/>
      <w:r w:rsidRPr="00EB5C17">
        <w:t>Gornick</w:t>
      </w:r>
      <w:proofErr w:type="spellEnd"/>
      <w:r w:rsidRPr="00EB5C17">
        <w:t xml:space="preserve"> is a professor of political science and sociology at the Graduate Center of the City University of New York. She also serves as director of the James M. and Cathleen D. Stone Center on Socio-Economic Inequality, which includes the US office of LIS (the cross-national data archive in Luxembourg).</w:t>
      </w:r>
      <w:r>
        <w:t xml:space="preserve"> Social Service Review.  </w:t>
      </w:r>
      <w:proofErr w:type="gramStart"/>
      <w:r>
        <w:t>“</w:t>
      </w:r>
      <w:r w:rsidRPr="00EB5C17">
        <w:t xml:space="preserve"> </w:t>
      </w:r>
      <w:r w:rsidRPr="00427757">
        <w:t>Poverty</w:t>
      </w:r>
      <w:proofErr w:type="gramEnd"/>
      <w:r w:rsidRPr="00427757">
        <w:t xml:space="preserve"> Reduction through Federal and State Policy Mechanisms: Variation over Time and across the United States</w:t>
      </w:r>
      <w:r>
        <w:t xml:space="preserve">” May 2. </w:t>
      </w:r>
      <w:hyperlink r:id="rId42" w:anchor="d21216324e4057" w:history="1">
        <w:r w:rsidRPr="002F76AE">
          <w:rPr>
            <w:rStyle w:val="Hyperlink"/>
          </w:rPr>
          <w:t>https://www.journals.uchicago.edu/doi/full/10.1086/724556#d21216324e4057</w:t>
        </w:r>
      </w:hyperlink>
      <w:r>
        <w:t xml:space="preserve"> //</w:t>
      </w:r>
      <w:proofErr w:type="spellStart"/>
      <w:r>
        <w:t>pipk</w:t>
      </w:r>
      <w:proofErr w:type="spellEnd"/>
    </w:p>
    <w:p w14:paraId="7CD5F7DB" w14:textId="77777777" w:rsidR="004D7543" w:rsidRPr="00A53801" w:rsidRDefault="004D7543" w:rsidP="004D7543"/>
    <w:p w14:paraId="37927C5A" w14:textId="77777777" w:rsidR="004D7543" w:rsidRDefault="004D7543" w:rsidP="004D7543">
      <w:r w:rsidRPr="00881516">
        <w:rPr>
          <w:rStyle w:val="StyleUnderline"/>
        </w:rPr>
        <w:t>First</w:t>
      </w:r>
      <w:r>
        <w:t xml:space="preserve">, market- and disposable-income </w:t>
      </w:r>
      <w:r w:rsidRPr="00846C54">
        <w:rPr>
          <w:rStyle w:val="Emphasis"/>
          <w:highlight w:val="cyan"/>
        </w:rPr>
        <w:t>poverty rates vary across states</w:t>
      </w:r>
      <w:r w:rsidRPr="00881516">
        <w:rPr>
          <w:rStyle w:val="StyleUnderline"/>
        </w:rPr>
        <w:t>, but we see greater cross-state variation in disposable-income poverty than in market poverty.</w:t>
      </w:r>
      <w:r>
        <w:t xml:space="preserve"> </w:t>
      </w:r>
      <w:r w:rsidRPr="00881516">
        <w:rPr>
          <w:rStyle w:val="StyleUnderline"/>
        </w:rPr>
        <w:t>When only accounting for market income, the percentage of households with children who fall under the poverty threshold ranges from a high of 28 percent in Mississippi to a low of 9 percent in Minnesota</w:t>
      </w:r>
      <w:r>
        <w:t xml:space="preserve"> (a cross-state range of 19 percentage points; see fig. 3). </w:t>
      </w:r>
      <w:r w:rsidRPr="00802198">
        <w:rPr>
          <w:rStyle w:val="StyleUnderline"/>
        </w:rPr>
        <w:t>Looking at disposable-income poverty, the extent of cross-state variation declines from a high of 13 percent in Louisiana to a low of 3 percent in Minnesota</w:t>
      </w:r>
      <w:r>
        <w:t xml:space="preserve"> (a cross-state range of 10 percentage points). A similar pattern is found for households without children: market-income poverty ranges from 30 percent in West Virginia and Mississippi to 11 percent in North Dakota and New Hampshire (a cross-state range of 19 percentage points); disposable-income poverty ranges from 23 percent in Mississippi to 7 percent in New Hampshire (a cross-state range of 16 percentage points).</w:t>
      </w:r>
    </w:p>
    <w:p w14:paraId="09B962D6" w14:textId="77777777" w:rsidR="004D7543" w:rsidRDefault="004D7543" w:rsidP="004D7543">
      <w:r>
        <w:t xml:space="preserve">Figure 3. </w:t>
      </w:r>
    </w:p>
    <w:p w14:paraId="281172ED" w14:textId="77777777" w:rsidR="004D7543" w:rsidRDefault="004D7543" w:rsidP="004D7543">
      <w:r>
        <w:t>Figure 3.  Absolute market- and disposable-income poverty by state, 2016, for (A) working-age households with children and (B) working-age households without children. States ordered highest (top) to lowest (bottom) by market-income poverty. The left side of each horizontal bar shows the state-level disposable-income poverty rate, and the right side of the bar captures the state-level market-income poverty rate. The length of the bar thus illustrates the total absolute poverty reduction attributable to the four mechanisms. Detailed estimates provided in table A3 for households with children and table A4 for households without children. Results that do not include the TRIM3 benefit underreporting adjustments for state transfers are available in figure A1, table A7 for households with children, and table A8 for households without children. TRIM3 = Urban Institute’s Transfer Income Model.</w:t>
      </w:r>
    </w:p>
    <w:p w14:paraId="4072B701" w14:textId="77777777" w:rsidR="004D7543" w:rsidRDefault="004D7543" w:rsidP="004D7543">
      <w:r>
        <w:t xml:space="preserve">View Large </w:t>
      </w:r>
      <w:proofErr w:type="spellStart"/>
      <w:r>
        <w:t>ImageDownload</w:t>
      </w:r>
      <w:proofErr w:type="spellEnd"/>
      <w:r>
        <w:t xml:space="preserve"> PowerPoint</w:t>
      </w:r>
    </w:p>
    <w:p w14:paraId="0BE37117" w14:textId="77777777" w:rsidR="004D7543" w:rsidRDefault="004D7543" w:rsidP="004D7543">
      <w:r w:rsidRPr="00802198">
        <w:rPr>
          <w:rStyle w:val="StyleUnderline"/>
        </w:rPr>
        <w:t>Second, the total poverty reduction varies considerably across states</w:t>
      </w:r>
      <w:r>
        <w:t xml:space="preserve">. Looking first at absolute poverty reductions, we observe an important pattern for households with and without children: greater poverty reductions in states with higher levels of market poverty (see fig. 3). For example, Mississippi has the highest percentage of households with children in market-income poverty, and it also has the largest absolute poverty reduction (15 percentage points). Similarly, for households without children, West Virginia has the highest percentage of households in market-income poverty </w:t>
      </w:r>
      <w:proofErr w:type="gramStart"/>
      <w:r>
        <w:t>and also</w:t>
      </w:r>
      <w:proofErr w:type="gramEnd"/>
      <w:r>
        <w:t xml:space="preserve"> the largest absolute poverty reduction (11 percentage points). This pattern, in part, helps to explain why we observe </w:t>
      </w:r>
      <w:proofErr w:type="gramStart"/>
      <w:r>
        <w:t>a smaller degree of</w:t>
      </w:r>
      <w:proofErr w:type="gramEnd"/>
      <w:r>
        <w:t xml:space="preserve"> cross-state variation in disposable-income poverty levels compared with market-income poverty.</w:t>
      </w:r>
    </w:p>
    <w:p w14:paraId="2F763D06" w14:textId="77777777" w:rsidR="004D7543" w:rsidRPr="00A734FA" w:rsidRDefault="004D7543" w:rsidP="004D7543">
      <w:pPr>
        <w:rPr>
          <w:b/>
          <w:iCs/>
          <w:u w:val="single"/>
          <w:bdr w:val="single" w:sz="12" w:space="0" w:color="auto"/>
        </w:rPr>
      </w:pPr>
      <w:r w:rsidRPr="002B5580">
        <w:rPr>
          <w:rStyle w:val="StyleUnderline"/>
        </w:rPr>
        <w:t>However, a different picture emerges if we examine relative poverty reductions. For both household types, we see that although there are large cross-state differences in the percentage of market-income poverty reduced, states with the highest rates of market-income poverty do not have the largest percentage reductions</w:t>
      </w:r>
      <w:r>
        <w:t xml:space="preserve"> (see fig. 4). In fact, in the case of households with children, the state with the lowest rate of market-income poverty (Minnesota) has the highest relative reduction—reducing fully 73 percent of market-income poverty. Whereas in the state with the highest rate of market-income poverty (Mississippi), 54 percent of market-income poverty is reduced, and the two states with the smallest poverty reduction (North Dakota and Arizona, both with 45 percent) have very different levels of market-income poverty (12 and 22 percent, respectively). We can observe a similar pattern for households without children (see fig. 4). For example, although Alaska has the largest relative poverty reduction (43 percent), it is in the bottom quarter of states in terms of market-income poverty. These patterns suggest that </w:t>
      </w:r>
      <w:r w:rsidRPr="00846C54">
        <w:rPr>
          <w:rStyle w:val="Emphasis"/>
          <w:highlight w:val="cyan"/>
        </w:rPr>
        <w:t>the degree to which market-income poverty is reduced is</w:t>
      </w:r>
      <w:r>
        <w:t xml:space="preserve"> not simply </w:t>
      </w:r>
      <w:r w:rsidRPr="00846C54">
        <w:rPr>
          <w:rStyle w:val="Emphasis"/>
          <w:highlight w:val="cyan"/>
        </w:rPr>
        <w:t>a function of</w:t>
      </w:r>
      <w:r>
        <w:t xml:space="preserve"> market-income poverty but also other factors, including </w:t>
      </w:r>
      <w:r w:rsidRPr="00846C54">
        <w:rPr>
          <w:rStyle w:val="Emphasis"/>
          <w:highlight w:val="cyan"/>
        </w:rPr>
        <w:t>state-level differences in the</w:t>
      </w:r>
      <w:r w:rsidRPr="00A734FA">
        <w:rPr>
          <w:rStyle w:val="Emphasis"/>
        </w:rPr>
        <w:t xml:space="preserve"> poverty reduction </w:t>
      </w:r>
      <w:r w:rsidRPr="00846C54">
        <w:rPr>
          <w:rStyle w:val="Emphasis"/>
          <w:highlight w:val="cyan"/>
        </w:rPr>
        <w:t>efficacy of different policy mechanisms</w:t>
      </w:r>
      <w:r w:rsidRPr="00A734FA">
        <w:rPr>
          <w:rStyle w:val="Emphasis"/>
        </w:rPr>
        <w:t>.</w:t>
      </w:r>
    </w:p>
    <w:p w14:paraId="660FD576" w14:textId="77777777" w:rsidR="004D7543" w:rsidRDefault="004D7543" w:rsidP="004D7543">
      <w:r>
        <w:t xml:space="preserve">Figure 4. </w:t>
      </w:r>
    </w:p>
    <w:p w14:paraId="087CF83F" w14:textId="77777777" w:rsidR="004D7543" w:rsidRDefault="004D7543" w:rsidP="004D7543">
      <w:r>
        <w:t>Figure 4.  Relative poverty reduction by state, 2016, for (A) working-age households with children and (B) working-age households without children. States ordered highest (top) to lowest (bottom) by percentage of market poverty reduced (relative poverty reduction). Length of the bar illustrates the total relative poverty reduction attributable to the four mechanisms. Detailed estimates provided in table A5 for households with children and table A6 for households without children. Results that do not include the TRIM3 benefit underreporting adjustments for state transfers are available in figure A2, table A9 for households with children, and table A10 for households without children. TRIM3 = Urban Institute’s Transfer Income Model.</w:t>
      </w:r>
    </w:p>
    <w:p w14:paraId="3D4C3D56" w14:textId="77777777" w:rsidR="004D7543" w:rsidRDefault="004D7543" w:rsidP="004D7543">
      <w:r>
        <w:t xml:space="preserve">View Large </w:t>
      </w:r>
      <w:proofErr w:type="spellStart"/>
      <w:r>
        <w:t>ImageDownload</w:t>
      </w:r>
      <w:proofErr w:type="spellEnd"/>
      <w:r>
        <w:t xml:space="preserve"> PowerPoint</w:t>
      </w:r>
    </w:p>
    <w:p w14:paraId="30D9EBC7" w14:textId="77777777" w:rsidR="004D7543" w:rsidRDefault="004D7543" w:rsidP="004D7543">
      <w:r>
        <w:t xml:space="preserve">Third and finally, </w:t>
      </w:r>
      <w:r w:rsidRPr="00A734FA">
        <w:rPr>
          <w:rStyle w:val="StyleUnderline"/>
        </w:rPr>
        <w:t xml:space="preserve">the </w:t>
      </w:r>
      <w:r w:rsidRPr="00846C54">
        <w:rPr>
          <w:rStyle w:val="StyleUnderline"/>
          <w:highlight w:val="cyan"/>
        </w:rPr>
        <w:t>poverty reduction attributable to each policy mechanism varies across states</w:t>
      </w:r>
      <w:r w:rsidRPr="00A734FA">
        <w:rPr>
          <w:rStyle w:val="StyleUnderline"/>
        </w:rPr>
        <w:t>,</w:t>
      </w:r>
      <w:r>
        <w:t xml:space="preserve"> whether examined as an absolute reduction or percentage reduction of market-income poverty (see figs. 5 and 6). </w:t>
      </w:r>
      <w:r w:rsidRPr="00A734FA">
        <w:rPr>
          <w:rStyle w:val="StyleUnderline"/>
        </w:rPr>
        <w:t xml:space="preserve">As we found at the national level, for households with children, </w:t>
      </w:r>
      <w:r w:rsidRPr="00846C54">
        <w:rPr>
          <w:rStyle w:val="Emphasis"/>
          <w:highlight w:val="cyan"/>
        </w:rPr>
        <w:t>state transfers reduce poverty the most</w:t>
      </w:r>
      <w:r w:rsidRPr="00A734FA">
        <w:rPr>
          <w:rStyle w:val="Emphasis"/>
        </w:rPr>
        <w:t>,</w:t>
      </w:r>
      <w:r w:rsidRPr="00A734FA">
        <w:rPr>
          <w:rStyle w:val="StyleUnderline"/>
        </w:rPr>
        <w:t xml:space="preserve"> followed by federal taxes</w:t>
      </w:r>
      <w:r>
        <w:t xml:space="preserve">. We can see that </w:t>
      </w:r>
      <w:r w:rsidRPr="00846C54">
        <w:rPr>
          <w:rStyle w:val="StyleUnderline"/>
          <w:highlight w:val="cyan"/>
        </w:rPr>
        <w:t>the extent of</w:t>
      </w:r>
      <w:r w:rsidRPr="007907DC">
        <w:rPr>
          <w:rStyle w:val="StyleUnderline"/>
        </w:rPr>
        <w:t xml:space="preserve"> poverty </w:t>
      </w:r>
      <w:r w:rsidRPr="00846C54">
        <w:rPr>
          <w:rStyle w:val="StyleUnderline"/>
          <w:highlight w:val="cyan"/>
        </w:rPr>
        <w:t>reduction attributable to these mechanisms varies quite a bit across states</w:t>
      </w:r>
      <w:r w:rsidRPr="007907DC">
        <w:rPr>
          <w:rStyle w:val="StyleUnderline"/>
        </w:rPr>
        <w:t>:</w:t>
      </w:r>
      <w:r>
        <w:t xml:space="preserve"> for state transfers, the absolute reduction ranges from .03 to .08 and the relative reduction from 18 to 49 percent of market poverty; for federal taxes, the absolute reduction ranges from .02 to .07 and the relative reduction from 10 to 37 percent of market poverty. Looking at how these state-specific poverty reductions are associated with state-level market- and disposable-income levels, we find stronger associations between market-income poverty and these two mechanisms (state transfers </w:t>
      </w:r>
      <w:r>
        <w:rPr>
          <w:rFonts w:ascii="Cambria Math" w:hAnsi="Cambria Math" w:cs="Cambria Math"/>
        </w:rPr>
        <w:t>𝑟</w:t>
      </w:r>
      <w:r>
        <w:t>=.76</w:t>
      </w:r>
    </w:p>
    <w:p w14:paraId="3336FB79" w14:textId="77777777" w:rsidR="004D7543" w:rsidRDefault="004D7543" w:rsidP="004D7543">
      <w:r>
        <w:t xml:space="preserve">; federal taxes </w:t>
      </w:r>
      <w:r>
        <w:rPr>
          <w:rFonts w:ascii="Cambria Math" w:hAnsi="Cambria Math" w:cs="Cambria Math"/>
        </w:rPr>
        <w:t>𝑟</w:t>
      </w:r>
      <w:r>
        <w:t>=.83</w:t>
      </w:r>
    </w:p>
    <w:p w14:paraId="5F5A240D" w14:textId="77777777" w:rsidR="004D7543" w:rsidRDefault="004D7543" w:rsidP="004D7543">
      <w:r>
        <w:t xml:space="preserve">), but only slightly weaker associations between disposable-income poverty and these mechanisms (state transfers </w:t>
      </w:r>
      <w:r>
        <w:rPr>
          <w:rFonts w:ascii="Cambria Math" w:hAnsi="Cambria Math" w:cs="Cambria Math"/>
        </w:rPr>
        <w:t>𝑟</w:t>
      </w:r>
      <w:r>
        <w:t>=.56</w:t>
      </w:r>
    </w:p>
    <w:p w14:paraId="2025F16C" w14:textId="77777777" w:rsidR="004D7543" w:rsidRDefault="004D7543" w:rsidP="004D7543">
      <w:r>
        <w:t xml:space="preserve">; federal taxes </w:t>
      </w:r>
      <w:r>
        <w:rPr>
          <w:rFonts w:ascii="Cambria Math" w:hAnsi="Cambria Math" w:cs="Cambria Math"/>
        </w:rPr>
        <w:t>𝑟</w:t>
      </w:r>
      <w:r>
        <w:t>=.75</w:t>
      </w:r>
    </w:p>
    <w:p w14:paraId="6AAB88E2" w14:textId="77777777" w:rsidR="004D7543" w:rsidRDefault="004D7543" w:rsidP="004D7543">
      <w:r>
        <w:t>).</w:t>
      </w:r>
    </w:p>
    <w:p w14:paraId="51AF3F56" w14:textId="77777777" w:rsidR="004D7543" w:rsidRDefault="004D7543" w:rsidP="004D7543"/>
    <w:p w14:paraId="4B1D9C09" w14:textId="77777777" w:rsidR="004D7543" w:rsidRDefault="004D7543" w:rsidP="004D7543">
      <w:r>
        <w:t xml:space="preserve">Figure 5. </w:t>
      </w:r>
    </w:p>
    <w:p w14:paraId="49F7DE49" w14:textId="77777777" w:rsidR="004D7543" w:rsidRDefault="004D7543" w:rsidP="004D7543">
      <w:r>
        <w:t>Figure 5.  Average absolute poverty reduction attributed to redistributive mechanisms by state, 2016, for (A) working-age households with children and (B) working-age households without children. States ordered highest (top) to lowest (bottom) by market-income poverty. Positive estimates indicate reduction; negative estimates indicate mechanisms increasing poverty (as is the case with the Federal Insurance Contributions Act [FICA]). Detailed estimates provided in table A3 for households with children and table A4 for households without children. Results that do not include the TRIM3 benefit underreporting adjustments for state transfers are available in figure A3. TRIM3 = Urban Institute’s Transfer Income Model.</w:t>
      </w:r>
    </w:p>
    <w:p w14:paraId="45176844" w14:textId="77777777" w:rsidR="004D7543" w:rsidRDefault="004D7543" w:rsidP="004D7543">
      <w:r>
        <w:t xml:space="preserve">View Large </w:t>
      </w:r>
      <w:proofErr w:type="spellStart"/>
      <w:r>
        <w:t>ImageDownload</w:t>
      </w:r>
      <w:proofErr w:type="spellEnd"/>
      <w:r>
        <w:t xml:space="preserve"> PowerPoint</w:t>
      </w:r>
    </w:p>
    <w:p w14:paraId="2E07D910" w14:textId="77777777" w:rsidR="004D7543" w:rsidRDefault="004D7543" w:rsidP="004D7543">
      <w:r>
        <w:t xml:space="preserve">Figure 6. </w:t>
      </w:r>
    </w:p>
    <w:p w14:paraId="7E1F04EA" w14:textId="77777777" w:rsidR="004D7543" w:rsidRDefault="004D7543" w:rsidP="004D7543">
      <w:r>
        <w:t>Figure 6.  Average relative poverty reduction attributed to redistributive mechanisms by state, 2016, for (A) working-age households with children and (B) working-age households without children. States ordered highest (top) to lowest (bottom) by percentage of market poverty reduced (relative poverty reduction). Positive estimates indicate reduction; negative estimates indicate mechanisms increasing poverty (as is the case with the Federal Insurance Contributions Act [FICA]). Detailed estimates provided in table A5 for households with children and table A6 for households without children. Results that do not include the TRIM3 benefit underreporting adjustments for state transfers are available in figure A4. TRIM3 = Urban Institute’s Transfer Income Model.</w:t>
      </w:r>
    </w:p>
    <w:p w14:paraId="070C7781" w14:textId="77777777" w:rsidR="004D7543" w:rsidRDefault="004D7543" w:rsidP="004D7543">
      <w:r>
        <w:t xml:space="preserve">View Large </w:t>
      </w:r>
      <w:proofErr w:type="spellStart"/>
      <w:r>
        <w:t>ImageDownload</w:t>
      </w:r>
      <w:proofErr w:type="spellEnd"/>
      <w:r>
        <w:t xml:space="preserve"> PowerPoint</w:t>
      </w:r>
    </w:p>
    <w:p w14:paraId="045131F6" w14:textId="77777777" w:rsidR="004D7543" w:rsidRDefault="004D7543" w:rsidP="004D7543">
      <w:r>
        <w:t>Turning to households without children, we also observe a pattern consistent with the national level, finding that federal transfers reduce poverty the most. Like the cross-state variability findings for households with children, we find considerable cross-state variation in the poverty reduced by this mechanism: the absolute reduction ranges from .02 to .11, and the relative reduction ranges from 13 to 43 percent of market poverty. In terms of how these poverty reductions are associated with state-level market- and disposable-income levels, we find stronger associations between market-income poverty (</w:t>
      </w:r>
      <w:r>
        <w:rPr>
          <w:rFonts w:ascii="Cambria Math" w:hAnsi="Cambria Math" w:cs="Cambria Math"/>
        </w:rPr>
        <w:t>𝑟</w:t>
      </w:r>
      <w:r>
        <w:t>=.87</w:t>
      </w:r>
    </w:p>
    <w:p w14:paraId="39F65048" w14:textId="77777777" w:rsidR="004D7543" w:rsidRDefault="004D7543" w:rsidP="004D7543">
      <w:r>
        <w:t xml:space="preserve">) </w:t>
      </w:r>
      <w:proofErr w:type="gramStart"/>
      <w:r>
        <w:t>compared</w:t>
      </w:r>
      <w:proofErr w:type="gramEnd"/>
      <w:r>
        <w:t xml:space="preserve"> with disposable-income poverty (</w:t>
      </w:r>
      <w:r>
        <w:rPr>
          <w:rFonts w:ascii="Cambria Math" w:hAnsi="Cambria Math" w:cs="Cambria Math"/>
        </w:rPr>
        <w:t>𝑟</w:t>
      </w:r>
      <w:r>
        <w:t>=.74</w:t>
      </w:r>
    </w:p>
    <w:p w14:paraId="3972B08D" w14:textId="77777777" w:rsidR="004D7543" w:rsidRDefault="004D7543" w:rsidP="004D7543">
      <w:r>
        <w:t>). These patterns suggest that although the cross-state variations in poverty reduction attributable to the redistributive mechanisms are strongly related to levels of market- and disposable-income poverty, they also likely reflect compositional differences within these household types in addition to state-level differences in approaches to poverty.</w:t>
      </w:r>
    </w:p>
    <w:p w14:paraId="7FEBD541" w14:textId="77777777" w:rsidR="004D7543" w:rsidRDefault="004D7543" w:rsidP="004D7543">
      <w:pPr>
        <w:rPr>
          <w:rFonts w:asciiTheme="minorHAnsi" w:hAnsiTheme="minorHAnsi" w:cstheme="minorBidi"/>
        </w:rPr>
      </w:pPr>
    </w:p>
    <w:p w14:paraId="15611C1F" w14:textId="77777777" w:rsidR="004D7543" w:rsidRPr="003D3A41" w:rsidRDefault="004D7543" w:rsidP="004D7543"/>
    <w:p w14:paraId="49808E54" w14:textId="77777777" w:rsidR="004D7543" w:rsidRPr="0009143D" w:rsidRDefault="004D7543" w:rsidP="004D7543"/>
    <w:p w14:paraId="377F9FC0" w14:textId="657B6C7A" w:rsidR="00FB27DB" w:rsidRDefault="00FB27DB" w:rsidP="00FB27DB">
      <w:pPr>
        <w:pStyle w:val="Heading3"/>
      </w:pPr>
      <w:r>
        <w:t>1AR---AT: We fiat uniformity</w:t>
      </w:r>
    </w:p>
    <w:p w14:paraId="36205986" w14:textId="77777777" w:rsidR="00FB27DB" w:rsidRDefault="00FB27DB" w:rsidP="00FB27DB">
      <w:pPr>
        <w:pStyle w:val="Heading4"/>
      </w:pPr>
      <w:r>
        <w:t xml:space="preserve">This isn’t a question of fiat. Variation will happen while still complying with the letter of the </w:t>
      </w:r>
      <w:proofErr w:type="gramStart"/>
      <w:r>
        <w:t>law</w:t>
      </w:r>
      <w:proofErr w:type="gramEnd"/>
    </w:p>
    <w:p w14:paraId="12173C2E" w14:textId="77777777" w:rsidR="00FB27DB" w:rsidRDefault="00FB27DB" w:rsidP="00FB27DB">
      <w:r w:rsidRPr="00DD0635">
        <w:t xml:space="preserve">Vladimir </w:t>
      </w:r>
      <w:r w:rsidRPr="00DD0635">
        <w:rPr>
          <w:rStyle w:val="Style13ptBold"/>
        </w:rPr>
        <w:t>Kogan 17,</w:t>
      </w:r>
      <w:r w:rsidRPr="00DD0635">
        <w:t xml:space="preserve"> Director of Undergraduate Studies, Professor, studies state and local government in the United States. His research focuses on the intersection of politics and public policy in areas including education and social policy. Kogan serves on the editorial board of Urban Affairs Review and is affiliated with OSU’s Institute for Democratic Engagement and Accountability, the Education Governance and Accountability Project, and the Translational Data Analytics Institute. "Administrative Centralization and Bureaucratic Responsiveness: Evidence from the Food Stamp Program" Journal of Public Administration Research and Theory: J-PART, Vol. 27, No. 4 (October 2017), pp. 629-646 //</w:t>
      </w:r>
      <w:proofErr w:type="spellStart"/>
      <w:r w:rsidRPr="00DD0635">
        <w:t>pipk</w:t>
      </w:r>
      <w:proofErr w:type="spellEnd"/>
    </w:p>
    <w:p w14:paraId="206C63AA" w14:textId="77777777" w:rsidR="00FB27DB" w:rsidRDefault="00FB27DB" w:rsidP="00FB27DB">
      <w:r w:rsidRPr="00816F65">
        <w:t xml:space="preserve">More broadly, </w:t>
      </w:r>
      <w:r w:rsidRPr="00EE5FA3">
        <w:rPr>
          <w:rStyle w:val="StyleUnderline"/>
        </w:rPr>
        <w:t xml:space="preserve">the results presented above highlight the importance of </w:t>
      </w:r>
      <w:r w:rsidRPr="00170922">
        <w:rPr>
          <w:rStyle w:val="Emphasis"/>
          <w:highlight w:val="cyan"/>
        </w:rPr>
        <w:t>distinguish</w:t>
      </w:r>
      <w:r w:rsidRPr="00EE5FA3">
        <w:rPr>
          <w:rStyle w:val="StyleUnderline"/>
        </w:rPr>
        <w:t xml:space="preserve">ing </w:t>
      </w:r>
      <w:r w:rsidRPr="00170922">
        <w:rPr>
          <w:rStyle w:val="StyleUnderline"/>
          <w:highlight w:val="cyan"/>
        </w:rPr>
        <w:t xml:space="preserve">between the </w:t>
      </w:r>
      <w:r w:rsidRPr="00170922">
        <w:rPr>
          <w:rStyle w:val="Emphasis"/>
          <w:highlight w:val="cyan"/>
        </w:rPr>
        <w:t>letter of the law and</w:t>
      </w:r>
      <w:r w:rsidRPr="00EE5FA3">
        <w:rPr>
          <w:rStyle w:val="StyleUnderline"/>
        </w:rPr>
        <w:t xml:space="preserve"> the </w:t>
      </w:r>
      <w:r w:rsidRPr="00170922">
        <w:rPr>
          <w:rStyle w:val="Emphasis"/>
          <w:highlight w:val="cyan"/>
        </w:rPr>
        <w:t>actual implementation</w:t>
      </w:r>
      <w:r w:rsidRPr="00EE5FA3">
        <w:rPr>
          <w:rStyle w:val="StyleUnderline"/>
        </w:rPr>
        <w:t xml:space="preserve"> on the ground, both for deriving theoretical predictions about the impact of policies and for testing these predictions empirically.</w:t>
      </w:r>
      <w:r w:rsidRPr="00816F65">
        <w:t xml:space="preserve"> </w:t>
      </w:r>
      <w:r w:rsidRPr="00170922">
        <w:rPr>
          <w:rStyle w:val="Emphasis"/>
          <w:highlight w:val="cyan"/>
        </w:rPr>
        <w:t>Analyses that focus on</w:t>
      </w:r>
      <w:r w:rsidRPr="00816F65">
        <w:t xml:space="preserve"> formal statutes, </w:t>
      </w:r>
      <w:r w:rsidRPr="00170922">
        <w:rPr>
          <w:rStyle w:val="Emphasis"/>
          <w:highlight w:val="cyan"/>
        </w:rPr>
        <w:t>policies</w:t>
      </w:r>
      <w:r w:rsidRPr="00816F65">
        <w:t xml:space="preserve">, and regulations </w:t>
      </w:r>
      <w:r w:rsidRPr="00170922">
        <w:rPr>
          <w:rStyle w:val="Emphasis"/>
          <w:highlight w:val="cyan"/>
        </w:rPr>
        <w:t>alone</w:t>
      </w:r>
      <w:r w:rsidRPr="00816F65">
        <w:t xml:space="preserve">, </w:t>
      </w:r>
      <w:r w:rsidRPr="00EE5FA3">
        <w:rPr>
          <w:rStyle w:val="StyleUnderline"/>
        </w:rPr>
        <w:t xml:space="preserve">while </w:t>
      </w:r>
      <w:r w:rsidRPr="00170922">
        <w:rPr>
          <w:rStyle w:val="StyleUnderline"/>
          <w:highlight w:val="cyan"/>
        </w:rPr>
        <w:t>ignori</w:t>
      </w:r>
      <w:r w:rsidRPr="00EE5FA3">
        <w:rPr>
          <w:rStyle w:val="StyleUnderline"/>
        </w:rPr>
        <w:t xml:space="preserve">ng </w:t>
      </w:r>
      <w:r w:rsidRPr="00170922">
        <w:rPr>
          <w:rStyle w:val="StyleUnderline"/>
          <w:highlight w:val="cyan"/>
        </w:rPr>
        <w:t>the significant discretion that comes into play during</w:t>
      </w:r>
      <w:r w:rsidRPr="00EE5FA3">
        <w:rPr>
          <w:rStyle w:val="StyleUnderline"/>
        </w:rPr>
        <w:t xml:space="preserve"> the </w:t>
      </w:r>
      <w:r w:rsidRPr="00170922">
        <w:rPr>
          <w:rStyle w:val="StyleUnderline"/>
          <w:highlight w:val="cyan"/>
        </w:rPr>
        <w:t>implementation</w:t>
      </w:r>
      <w:r w:rsidRPr="00EE5FA3">
        <w:rPr>
          <w:rStyle w:val="StyleUnderline"/>
        </w:rPr>
        <w:t xml:space="preserve"> process, risk drawing the wrong inferences about the causes and consequences of public policy</w:t>
      </w:r>
      <w:r w:rsidRPr="00816F65">
        <w:t xml:space="preserve">. For example, </w:t>
      </w:r>
      <w:r w:rsidRPr="00EE5FA3">
        <w:rPr>
          <w:rStyle w:val="StyleUnderline"/>
        </w:rPr>
        <w:t>the problems of uneven implementation are generally overlooked in the expansive literature on welfare migration</w:t>
      </w:r>
      <w:r w:rsidRPr="00816F65">
        <w:t xml:space="preserve">. Motivated by the provocative argument made by Peterson and Rom (1989), scholars have examined whether states with relatively generous welfare regimes—measured in terms of spending, eligibility requirements, and benefit coverage—become “welfare magnets” that attract impoverished migrants from stingier neighbors, generally finding no evidence of such migration. If poor people make locational choices based on differences in actual welfare outcomes rather than formal welfare rules, however, they may be reluctant to move based on statutory promises alone if they expect actual implementation to </w:t>
      </w:r>
      <w:proofErr w:type="gramStart"/>
      <w:r w:rsidRPr="00816F65">
        <w:t>falls</w:t>
      </w:r>
      <w:proofErr w:type="gramEnd"/>
      <w:r w:rsidRPr="00816F65">
        <w:t xml:space="preserve"> well short of what the laws provide. While one may interpret the evidence from existing studies to mean that poor people do not respond cross-state differences in welfare policy, the null results may also indicate that the intrastate variation in implementation significantly weakens the attraction of even the most generous statutory welfare provisions by shaping the expectations of potential beneficiaries.</w:t>
      </w:r>
    </w:p>
    <w:p w14:paraId="79383803" w14:textId="77777777" w:rsidR="00FB27DB" w:rsidRDefault="00FB27DB" w:rsidP="00FB27DB">
      <w:pPr>
        <w:pStyle w:val="Heading4"/>
      </w:pPr>
      <w:r>
        <w:t xml:space="preserve">Uniform levels of taxation don’t result in uniform revenue, which means the </w:t>
      </w:r>
      <w:proofErr w:type="spellStart"/>
      <w:r>
        <w:t>aff</w:t>
      </w:r>
      <w:proofErr w:type="spellEnd"/>
      <w:r>
        <w:t xml:space="preserve"> results in differing levels of </w:t>
      </w:r>
      <w:proofErr w:type="gramStart"/>
      <w:r>
        <w:t>benefits</w:t>
      </w:r>
      <w:proofErr w:type="gramEnd"/>
    </w:p>
    <w:p w14:paraId="7CC9C153" w14:textId="77777777" w:rsidR="00FB27DB" w:rsidRDefault="00FB27DB" w:rsidP="00FB27DB">
      <w:r w:rsidRPr="0010424F">
        <w:t xml:space="preserve">Robert A. </w:t>
      </w:r>
      <w:r w:rsidRPr="0010424F">
        <w:rPr>
          <w:rStyle w:val="Style13ptBold"/>
        </w:rPr>
        <w:t>Schapiro 20</w:t>
      </w:r>
      <w:r w:rsidRPr="0010424F">
        <w:t>, Professor of Law, Emory University. States of Inequality: Fiscal Federalism, Unequal States, and Unequal People, 108 Calif. L. Rev. 1531 //</w:t>
      </w:r>
      <w:proofErr w:type="spellStart"/>
      <w:r w:rsidRPr="0010424F">
        <w:t>pipk</w:t>
      </w:r>
      <w:proofErr w:type="spellEnd"/>
    </w:p>
    <w:p w14:paraId="630A7F44" w14:textId="77777777" w:rsidR="00FB27DB" w:rsidRDefault="00FB27DB" w:rsidP="00FB27DB">
      <w:r>
        <w:t xml:space="preserve">As a historical matter, the states preceded the national government established by the Constitution of the United States. The national government did not divide a unitary nation into administrative regions. From the perspective of the residents of the various states, however, that history does not lessen the impact of inequality. To be sure, </w:t>
      </w:r>
      <w:r w:rsidRPr="00A02C74">
        <w:rPr>
          <w:rStyle w:val="StyleUnderline"/>
        </w:rPr>
        <w:t>the ability of states to allocate their resources differently from other states is generally considered to be a feature, not a bug, of federalism. Federalism allows the states to tailor their taxing and spending decisions to match the preferences of their citizens</w:t>
      </w:r>
      <w:r>
        <w:t xml:space="preserve">. </w:t>
      </w:r>
      <w:r w:rsidRPr="00A02C74">
        <w:rPr>
          <w:rStyle w:val="StyleUnderline"/>
        </w:rPr>
        <w:t>Those preferences, however, operate in a framework of dramatically differing capacities</w:t>
      </w:r>
      <w:r>
        <w:t xml:space="preserve">. </w:t>
      </w:r>
      <w:r w:rsidRPr="00A02C74">
        <w:rPr>
          <w:rStyle w:val="StyleUnderline"/>
        </w:rPr>
        <w:t xml:space="preserve">States' divergent </w:t>
      </w:r>
      <w:proofErr w:type="gramStart"/>
      <w:r w:rsidRPr="00A02C74">
        <w:rPr>
          <w:rStyle w:val="StyleUnderline"/>
        </w:rPr>
        <w:t>tax</w:t>
      </w:r>
      <w:r>
        <w:t xml:space="preserve">  [</w:t>
      </w:r>
      <w:proofErr w:type="gramEnd"/>
      <w:r>
        <w:t xml:space="preserve">*1535] </w:t>
      </w:r>
      <w:r w:rsidRPr="00A02C74">
        <w:rPr>
          <w:rStyle w:val="StyleUnderline"/>
        </w:rPr>
        <w:t>bases mean that a given level of taxation will yield much more revenue in some states than in others.</w:t>
      </w:r>
      <w:r>
        <w:t xml:space="preserve"> </w:t>
      </w:r>
      <w:r w:rsidRPr="00A02C74">
        <w:rPr>
          <w:rStyle w:val="StyleUnderline"/>
        </w:rPr>
        <w:t>These financial constraints impose varying limits on citizens' choices, depending on where they live</w:t>
      </w:r>
      <w:r w:rsidRPr="000020AC">
        <w:rPr>
          <w:rStyle w:val="StyleUnderline"/>
        </w:rPr>
        <w:t>. When it comes to raising revenue and investing</w:t>
      </w:r>
      <w:r>
        <w:t xml:space="preserve"> in schools, roads, or other priorities, </w:t>
      </w:r>
      <w:r w:rsidRPr="000020AC">
        <w:rPr>
          <w:rStyle w:val="StyleUnderline"/>
        </w:rPr>
        <w:t>citizens of poorer states have fewer options than citizens of richer states</w:t>
      </w:r>
      <w:r>
        <w:t>. Not only are the interstate disparities unfair, but they also undermine the values generally associated with federalism. 14</w:t>
      </w:r>
      <w:r w:rsidRPr="000020AC">
        <w:rPr>
          <w:rStyle w:val="StyleUnderline"/>
        </w:rPr>
        <w:t xml:space="preserve">Certain states have less ability than others to offer a broad range of choices to their citizens, or even a minimum level of support to </w:t>
      </w:r>
      <w:proofErr w:type="gramStart"/>
      <w:r w:rsidRPr="000020AC">
        <w:rPr>
          <w:rStyle w:val="StyleUnderline"/>
        </w:rPr>
        <w:t>all of</w:t>
      </w:r>
      <w:proofErr w:type="gramEnd"/>
      <w:r w:rsidRPr="000020AC">
        <w:rPr>
          <w:rStyle w:val="StyleUnderline"/>
        </w:rPr>
        <w:t xml:space="preserve"> their inhabitants</w:t>
      </w:r>
      <w:r>
        <w:t xml:space="preserve">. As discussed below, </w:t>
      </w:r>
      <w:r w:rsidRPr="000020AC">
        <w:rPr>
          <w:rStyle w:val="StyleUnderline"/>
        </w:rPr>
        <w:t>compared with citizens of poorer states</w:t>
      </w:r>
      <w:r>
        <w:t xml:space="preserve">, such as Mississippi and West Virginia, </w:t>
      </w:r>
      <w:r w:rsidRPr="000020AC">
        <w:rPr>
          <w:rStyle w:val="StyleUnderline"/>
        </w:rPr>
        <w:t xml:space="preserve">citizens of wealthier states, </w:t>
      </w:r>
      <w:r>
        <w:t xml:space="preserve">such as Connecticut and Delaware, </w:t>
      </w:r>
      <w:r w:rsidRPr="000020AC">
        <w:rPr>
          <w:rStyle w:val="StyleUnderline"/>
        </w:rPr>
        <w:t>have access to resources that are one and a half to two times as large, depending on the measure chosen</w:t>
      </w:r>
      <w:r>
        <w:t xml:space="preserve">. 15I argue that greater financial equality is essential for a well-functioning federal system. In a federal democracy, the principle of equality does not require that citizens receive equal levels of government services without regard to where they live or their </w:t>
      </w:r>
      <w:proofErr w:type="gramStart"/>
      <w:r>
        <w:t>particular preferences</w:t>
      </w:r>
      <w:proofErr w:type="gramEnd"/>
      <w:r>
        <w:t>. That promise of uniformity is not consistent with federalism. 16Equality does, however, require that citizens have equal opportunity to receive equal levels of government services. The current system of federalism in the United States does not honor that principle.</w:t>
      </w:r>
    </w:p>
    <w:p w14:paraId="24C1461F" w14:textId="77777777" w:rsidR="00FB27DB" w:rsidRDefault="00FB27DB" w:rsidP="00FB27DB"/>
    <w:p w14:paraId="25ABD4C0" w14:textId="77777777" w:rsidR="00FB27DB" w:rsidRDefault="00FB27DB" w:rsidP="00FB27DB"/>
    <w:p w14:paraId="4C0D9A26" w14:textId="77777777" w:rsidR="00FB27DB" w:rsidRPr="00B3752F" w:rsidRDefault="00FB27DB" w:rsidP="00FB27DB"/>
    <w:p w14:paraId="57E2FCF9" w14:textId="77777777" w:rsidR="00D04707" w:rsidRDefault="00D04707" w:rsidP="00D04707">
      <w:pPr>
        <w:pStyle w:val="Heading3"/>
      </w:pPr>
      <w:r>
        <w:t>1AR---Theory</w:t>
      </w:r>
    </w:p>
    <w:p w14:paraId="3A0FB134" w14:textId="77777777" w:rsidR="00D04707" w:rsidRDefault="00D04707" w:rsidP="00D04707">
      <w:pPr>
        <w:pStyle w:val="Heading4"/>
      </w:pPr>
      <w:r>
        <w:t xml:space="preserve">Extend that uniform, fifty-state fiat is a voting issue. </w:t>
      </w:r>
    </w:p>
    <w:p w14:paraId="070DDC14" w14:textId="77777777" w:rsidR="00D04707" w:rsidRDefault="00D04707" w:rsidP="006024F5">
      <w:pPr>
        <w:pStyle w:val="Heading4"/>
        <w:numPr>
          <w:ilvl w:val="0"/>
          <w:numId w:val="1"/>
        </w:numPr>
      </w:pPr>
      <w:r>
        <w:t xml:space="preserve">It’s bad for education. Literature should determine the scope of fiat and the state vs fed literature on poverty policy is centered on the question of variance as either a bug or a feature. </w:t>
      </w:r>
    </w:p>
    <w:p w14:paraId="39C0A9FB" w14:textId="2EB1B1AC" w:rsidR="00D04707" w:rsidRPr="0042108A" w:rsidRDefault="00D04707" w:rsidP="006024F5">
      <w:pPr>
        <w:pStyle w:val="Heading4"/>
        <w:numPr>
          <w:ilvl w:val="0"/>
          <w:numId w:val="1"/>
        </w:numPr>
      </w:pPr>
      <w:r>
        <w:t xml:space="preserve">It’s unfair. There are both genuinely good </w:t>
      </w:r>
      <w:proofErr w:type="spellStart"/>
      <w:r>
        <w:t>disads</w:t>
      </w:r>
      <w:proofErr w:type="spellEnd"/>
      <w:r>
        <w:t xml:space="preserve"> on federal action on this topic and a robust amount of literature defending</w:t>
      </w:r>
      <w:r w:rsidR="007B2D1F">
        <w:t xml:space="preserve"> variable</w:t>
      </w:r>
      <w:r>
        <w:t xml:space="preserve"> state action which means there is less of a need to over-fiat by the neg. This is especially true given federal follow-on and </w:t>
      </w:r>
      <w:proofErr w:type="spellStart"/>
      <w:r>
        <w:t>disad</w:t>
      </w:r>
      <w:proofErr w:type="spellEnd"/>
      <w:r>
        <w:t xml:space="preserve"> turns the case.</w:t>
      </w:r>
    </w:p>
    <w:p w14:paraId="2F45DD4C" w14:textId="77777777" w:rsidR="00D04707" w:rsidRPr="00226059" w:rsidRDefault="00D04707" w:rsidP="00D04707"/>
    <w:p w14:paraId="4A7CD7BA" w14:textId="195DDFD2" w:rsidR="00E74AD0" w:rsidRDefault="00053B2B" w:rsidP="00E74AD0">
      <w:pPr>
        <w:pStyle w:val="Heading3"/>
      </w:pPr>
      <w:r>
        <w:t>1AR---</w:t>
      </w:r>
      <w:r w:rsidR="00FB27DB">
        <w:t xml:space="preserve">Fiscal Volatility </w:t>
      </w:r>
      <w:r w:rsidR="00FE0769">
        <w:t>I/L</w:t>
      </w:r>
    </w:p>
    <w:p w14:paraId="5C558EAB" w14:textId="14A4E98A" w:rsidR="00A667E8" w:rsidRDefault="00A667E8" w:rsidP="00BC08A5">
      <w:pPr>
        <w:pStyle w:val="Heading4"/>
      </w:pPr>
      <w:r>
        <w:t>State redistribution is bad, exacerbates the consequences to recessions because it’s reliant on volatile income tax for revenue,</w:t>
      </w:r>
    </w:p>
    <w:p w14:paraId="594F2517" w14:textId="77777777" w:rsidR="00A667E8" w:rsidRDefault="00A667E8" w:rsidP="00A667E8">
      <w:r w:rsidRPr="00675777">
        <w:t xml:space="preserve">John R. </w:t>
      </w:r>
      <w:r w:rsidRPr="00675777">
        <w:rPr>
          <w:rStyle w:val="Style13ptBold"/>
        </w:rPr>
        <w:t>Brooks</w:t>
      </w:r>
      <w:r w:rsidRPr="00675777">
        <w:t xml:space="preserve"> II </w:t>
      </w:r>
      <w:r w:rsidRPr="00675777">
        <w:rPr>
          <w:rStyle w:val="Style13ptBold"/>
        </w:rPr>
        <w:t>14</w:t>
      </w:r>
      <w:r w:rsidRPr="00675777">
        <w:t>, Associate Professor of Law, Georgetown University Law Center. Fiscal Federalism as Risk-Sharing: The Insurance Role of Redistributive Taxation, 68 Tax L. Rev. 89</w:t>
      </w:r>
      <w:r>
        <w:t xml:space="preserve"> //</w:t>
      </w:r>
      <w:proofErr w:type="spellStart"/>
      <w:proofErr w:type="gramStart"/>
      <w:r>
        <w:t>pipk</w:t>
      </w:r>
      <w:proofErr w:type="spellEnd"/>
      <w:proofErr w:type="gramEnd"/>
    </w:p>
    <w:p w14:paraId="4C4EBD92" w14:textId="77777777" w:rsidR="00A667E8" w:rsidRDefault="00A667E8" w:rsidP="00A667E8">
      <w:r w:rsidRPr="00631062">
        <w:t xml:space="preserve">This Article takes a new look at the tax assignment question and argues that the literature has largely misidentified the costs of </w:t>
      </w:r>
      <w:r w:rsidRPr="00EE7A84">
        <w:rPr>
          <w:rStyle w:val="StyleUnderline"/>
        </w:rPr>
        <w:t>state redistributive tax-and-transfer systems</w:t>
      </w:r>
      <w:r w:rsidRPr="00631062">
        <w:t xml:space="preserve">. The relevant </w:t>
      </w:r>
      <w:r w:rsidRPr="00EE7A84">
        <w:rPr>
          <w:rStyle w:val="StyleUnderline"/>
        </w:rPr>
        <w:t>costs</w:t>
      </w:r>
      <w:r w:rsidRPr="00631062">
        <w:t xml:space="preserve">, at least within the range of plausible current policies, </w:t>
      </w:r>
      <w:r w:rsidRPr="00EE7A84">
        <w:rPr>
          <w:rStyle w:val="StyleUnderline"/>
        </w:rPr>
        <w:t>are</w:t>
      </w:r>
      <w:r w:rsidRPr="00631062">
        <w:t xml:space="preserve"> not from tax migration and crippling state tax competition, but rather </w:t>
      </w:r>
      <w:r w:rsidRPr="00EE7A84">
        <w:rPr>
          <w:rStyle w:val="StyleUnderline"/>
        </w:rPr>
        <w:t xml:space="preserve">from </w:t>
      </w:r>
      <w:r w:rsidRPr="00EE7A84">
        <w:rPr>
          <w:rStyle w:val="Emphasis"/>
        </w:rPr>
        <w:t>poor risk management</w:t>
      </w:r>
      <w:r w:rsidRPr="00631062">
        <w:t xml:space="preserve"> - </w:t>
      </w:r>
      <w:r w:rsidRPr="00EE7A84">
        <w:rPr>
          <w:rStyle w:val="Emphasis"/>
        </w:rPr>
        <w:t>suboptimal insurance against income shocks, both for states and their residents</w:t>
      </w:r>
      <w:r w:rsidRPr="00631062">
        <w:t xml:space="preserve">. </w:t>
      </w:r>
      <w:proofErr w:type="gramStart"/>
      <w:r w:rsidRPr="00EE7A84">
        <w:rPr>
          <w:rStyle w:val="StyleUnderline"/>
        </w:rPr>
        <w:t>Thus</w:t>
      </w:r>
      <w:proofErr w:type="gramEnd"/>
      <w:r w:rsidRPr="00EE7A84">
        <w:rPr>
          <w:rStyle w:val="StyleUnderline"/>
        </w:rPr>
        <w:t xml:space="preserve"> states have some space to perform redistribution, but insurance against low income should be addressed nationally</w:t>
      </w:r>
      <w:r w:rsidRPr="00631062">
        <w:t xml:space="preserve">. The problem is that </w:t>
      </w:r>
      <w:r w:rsidRPr="00B3161D">
        <w:rPr>
          <w:rStyle w:val="StyleUnderline"/>
        </w:rPr>
        <w:t>the central tool for both redistribution and income insurance is the same: the progressive income tax</w:t>
      </w:r>
      <w:r w:rsidRPr="00631062">
        <w:t>.</w:t>
      </w:r>
    </w:p>
    <w:p w14:paraId="03CB5831" w14:textId="77777777" w:rsidR="00A667E8" w:rsidRDefault="00A667E8" w:rsidP="00A667E8">
      <w:r w:rsidRPr="00B3161D">
        <w:rPr>
          <w:rStyle w:val="StyleUnderline"/>
        </w:rPr>
        <w:t xml:space="preserve">A redistributive tax-and-transfer system, and a </w:t>
      </w:r>
      <w:proofErr w:type="spellStart"/>
      <w:r w:rsidRPr="00B3161D">
        <w:rPr>
          <w:rStyle w:val="StyleUnderline"/>
        </w:rPr>
        <w:t>progress</w:t>
      </w:r>
      <w:r>
        <w:rPr>
          <w:rStyle w:val="StyleUnderline"/>
        </w:rPr>
        <w:t>f</w:t>
      </w:r>
      <w:r w:rsidRPr="00B3161D">
        <w:rPr>
          <w:rStyle w:val="StyleUnderline"/>
        </w:rPr>
        <w:t>ive</w:t>
      </w:r>
      <w:proofErr w:type="spellEnd"/>
      <w:r w:rsidRPr="00B3161D">
        <w:rPr>
          <w:rStyle w:val="StyleUnderline"/>
        </w:rPr>
        <w:t xml:space="preserve"> income </w:t>
      </w:r>
      <w:proofErr w:type="gramStart"/>
      <w:r w:rsidRPr="00B3161D">
        <w:rPr>
          <w:rStyle w:val="StyleUnderline"/>
        </w:rPr>
        <w:t>tax in particular, not</w:t>
      </w:r>
      <w:proofErr w:type="gramEnd"/>
      <w:r w:rsidRPr="00B3161D">
        <w:rPr>
          <w:rStyle w:val="StyleUnderline"/>
        </w:rPr>
        <w:t xml:space="preserve"> only funds the operations of government and provides for income redistribution, but also acts as a form of insurance against uncertain future income</w:t>
      </w:r>
      <w:r>
        <w:t xml:space="preserve">. </w:t>
      </w:r>
      <w:r w:rsidRPr="00B3161D">
        <w:t>This aspect of a progressive income tax is often forgotten in analyzing the tax, and that is particularly true in the fiscal federalism literature</w:t>
      </w:r>
      <w:r>
        <w:t xml:space="preserve">. 3 </w:t>
      </w:r>
      <w:r w:rsidRPr="00B3161D">
        <w:rPr>
          <w:rStyle w:val="StyleUnderline"/>
        </w:rPr>
        <w:t>Because a progressive income tax provides for relatively high taxes when incomes are high, and for low taxes, exemptions, and transfers when incomes are low, it acts to reduce the volatility in annual after-tax income for taxpayers, and reducing volatility is the classic function of insurance</w:t>
      </w:r>
      <w:r>
        <w:t xml:space="preserve">. </w:t>
      </w:r>
      <w:proofErr w:type="gramStart"/>
      <w:r>
        <w:t>Thus</w:t>
      </w:r>
      <w:proofErr w:type="gramEnd"/>
      <w:r>
        <w:t xml:space="preserve"> one can distinguish the redistributive function of an income tax - redistributing income from those with high ability or endowment to those with low ability or endowment - from the insurance function of an income tax - a given taxpayer paying some premium today that is a function of the expected value of potential transfers to her in the future.</w:t>
      </w:r>
    </w:p>
    <w:p w14:paraId="2B031496" w14:textId="77777777" w:rsidR="00A667E8" w:rsidRDefault="00A667E8" w:rsidP="00A667E8">
      <w:r w:rsidRPr="00C728D9">
        <w:rPr>
          <w:rStyle w:val="StyleUnderline"/>
        </w:rPr>
        <w:t>In considering the question of where best to assign the progressive income tax in a federal system, one can thus ask what levels of government can best perform each of these two functions - redistribution and insurance</w:t>
      </w:r>
      <w:r>
        <w:t xml:space="preserve">. This Article suggests that </w:t>
      </w:r>
      <w:r w:rsidRPr="00C728D9">
        <w:rPr>
          <w:rStyle w:val="Emphasis"/>
        </w:rPr>
        <w:t>the answer may be different for each function</w:t>
      </w:r>
      <w:r>
        <w:t xml:space="preserve">. Contrary to the classic fiscal federalism literature, </w:t>
      </w:r>
      <w:r w:rsidRPr="00C728D9">
        <w:rPr>
          <w:rStyle w:val="StyleUnderline"/>
        </w:rPr>
        <w:t>there are good reasons for some limited redistribution to be assigned to the states. This is not so for the insurance function, however</w:t>
      </w:r>
      <w:r>
        <w:t>.</w:t>
      </w:r>
    </w:p>
    <w:p w14:paraId="30398E98" w14:textId="77777777" w:rsidR="00A667E8" w:rsidRDefault="00A667E8" w:rsidP="00A667E8">
      <w:r>
        <w:t xml:space="preserve">First, </w:t>
      </w:r>
      <w:r w:rsidRPr="00C728D9">
        <w:rPr>
          <w:rStyle w:val="Emphasis"/>
        </w:rPr>
        <w:t>regarding redistribution</w:t>
      </w:r>
      <w:r>
        <w:t xml:space="preserve">, theoretical work shows that relaxing some of the assumptions in the early work of Richard Musgrave, Wallace Oates, Charles </w:t>
      </w:r>
      <w:proofErr w:type="spellStart"/>
      <w:r>
        <w:t>Tiebout</w:t>
      </w:r>
      <w:proofErr w:type="spellEnd"/>
      <w:r>
        <w:t xml:space="preserve">, and others leads to the result that </w:t>
      </w:r>
      <w:r w:rsidRPr="00C728D9">
        <w:rPr>
          <w:rStyle w:val="Emphasis"/>
        </w:rPr>
        <w:t>redistribution need not be exclusively federal</w:t>
      </w:r>
      <w:r>
        <w:t xml:space="preserve">. 4 Furthermore, recent empirical work shows that </w:t>
      </w:r>
      <w:r w:rsidRPr="00C728D9">
        <w:rPr>
          <w:rStyle w:val="StyleUnderline"/>
        </w:rPr>
        <w:t xml:space="preserve">the risks of tax migration actually may be quite limited, meaning that states may not pay a high economic </w:t>
      </w:r>
      <w:proofErr w:type="gramStart"/>
      <w:r w:rsidRPr="00C728D9">
        <w:rPr>
          <w:rStyle w:val="StyleUnderline"/>
        </w:rPr>
        <w:t>cost  [</w:t>
      </w:r>
      <w:proofErr w:type="gramEnd"/>
      <w:r w:rsidRPr="00C728D9">
        <w:rPr>
          <w:rStyle w:val="StyleUnderline"/>
        </w:rPr>
        <w:t>*91]  for implementing some limited redistribution</w:t>
      </w:r>
      <w:r>
        <w:t>. 5 With the burdens on state budgets increasing, as more and more social insurance and other duties are devolved to the states, this is good news - news that the fiscal federalism literature has not yet fully absorbed.</w:t>
      </w:r>
    </w:p>
    <w:p w14:paraId="2B20175D" w14:textId="77777777" w:rsidR="00A667E8" w:rsidRDefault="00A667E8" w:rsidP="00A667E8">
      <w:r>
        <w:t xml:space="preserve">Second, </w:t>
      </w:r>
      <w:r w:rsidRPr="00C728D9">
        <w:rPr>
          <w:rStyle w:val="StyleUnderline"/>
        </w:rPr>
        <w:t xml:space="preserve">regarding insurance, even if there is little potential for hurting economic output and state revenues due to tax migration, </w:t>
      </w:r>
      <w:r w:rsidRPr="00C728D9">
        <w:rPr>
          <w:rStyle w:val="Emphasis"/>
        </w:rPr>
        <w:t>other costs remain</w:t>
      </w:r>
      <w:r>
        <w:t xml:space="preserve">. </w:t>
      </w:r>
      <w:proofErr w:type="gramStart"/>
      <w:r w:rsidRPr="00C728D9">
        <w:rPr>
          <w:rStyle w:val="StyleUnderline"/>
        </w:rPr>
        <w:t>In particular, a</w:t>
      </w:r>
      <w:proofErr w:type="gramEnd"/>
      <w:r w:rsidRPr="00C728D9">
        <w:rPr>
          <w:rStyle w:val="StyleUnderline"/>
        </w:rPr>
        <w:t xml:space="preserve"> state and its residents are exposed to greater risk and volatility from a state progressive income tax</w:t>
      </w:r>
      <w:r>
        <w:t xml:space="preserve">. </w:t>
      </w:r>
      <w:r w:rsidRPr="00C728D9">
        <w:rPr>
          <w:rStyle w:val="Emphasis"/>
        </w:rPr>
        <w:t>At the state government level, reliance on an income tax exposes a state to greater revenue volatility, which can exacerbate the costs of an economic downturn, as we have seen</w:t>
      </w:r>
      <w:r>
        <w:t xml:space="preserve">. The volatility problem is well </w:t>
      </w:r>
      <w:proofErr w:type="gramStart"/>
      <w:r>
        <w:t>understood, and</w:t>
      </w:r>
      <w:proofErr w:type="gramEnd"/>
      <w:r>
        <w:t xml:space="preserve"> has prompted many calls for states to have better counter-cyclical budget policy. 6</w:t>
      </w:r>
    </w:p>
    <w:p w14:paraId="092D22D4" w14:textId="77777777" w:rsidR="00A667E8" w:rsidRDefault="00A667E8" w:rsidP="00A667E8">
      <w:r w:rsidRPr="00C728D9">
        <w:rPr>
          <w:rStyle w:val="StyleUnderline"/>
        </w:rPr>
        <w:t>A related cost</w:t>
      </w:r>
      <w:r>
        <w:t xml:space="preserve">, which has not previously been articulated in the literature, </w:t>
      </w:r>
      <w:r w:rsidRPr="00C728D9">
        <w:rPr>
          <w:rStyle w:val="StyleUnderline"/>
        </w:rPr>
        <w:t>is the risk to individual state residents</w:t>
      </w:r>
      <w:r>
        <w:t xml:space="preserve">. Since a progressive income tax is partly insurance against uncertain future income, insuring at only the state level is simply not as efficient as insuring at the federal level. </w:t>
      </w:r>
      <w:r w:rsidRPr="00C728D9">
        <w:rPr>
          <w:rStyle w:val="StyleUnderline"/>
        </w:rPr>
        <w:t>Because income shocks are often regionally correlated, a regionally defined insurer - that is, a state - is less equipped to smooth out income fluctuations than the federal government is. By pooling the risks of income shocks only at the state level, a state income tax misses out on the actuarial benefits of national risk-pooling present in a federal income tax</w:t>
      </w:r>
      <w:r>
        <w:t>.</w:t>
      </w:r>
    </w:p>
    <w:p w14:paraId="239DE2E7" w14:textId="77777777" w:rsidR="00A667E8" w:rsidRDefault="00A667E8" w:rsidP="00A667E8">
      <w:r w:rsidRPr="00C728D9">
        <w:rPr>
          <w:rStyle w:val="StyleUnderline"/>
        </w:rPr>
        <w:t>The costs of such suboptimal insurance were displayed during the Great Recession. Following the 2008 financial crisis, state tax revenues dropped dramatically</w:t>
      </w:r>
      <w:r>
        <w:t xml:space="preserve">, 7 </w:t>
      </w:r>
      <w:r w:rsidRPr="00C728D9">
        <w:rPr>
          <w:rStyle w:val="StyleUnderline"/>
        </w:rPr>
        <w:t>even while the demands on state social insurance programs rose</w:t>
      </w:r>
      <w:r>
        <w:t xml:space="preserve">. 8 </w:t>
      </w:r>
      <w:r w:rsidRPr="008708E3">
        <w:rPr>
          <w:rStyle w:val="Emphasis"/>
        </w:rPr>
        <w:t>This combination had a brutal effect on state budgets, state residents, and the overall economy</w:t>
      </w:r>
      <w:r>
        <w:t xml:space="preserve">: </w:t>
      </w:r>
      <w:r w:rsidRPr="008708E3">
        <w:rPr>
          <w:rStyle w:val="StyleUnderline"/>
        </w:rPr>
        <w:t xml:space="preserve">Nearly 750,000 state and local jobs were cut, 9 state services shrank, 10 </w:t>
      </w:r>
      <w:proofErr w:type="gramStart"/>
      <w:r w:rsidRPr="008708E3">
        <w:rPr>
          <w:rStyle w:val="StyleUnderline"/>
        </w:rPr>
        <w:t>schools  [</w:t>
      </w:r>
      <w:proofErr w:type="gramEnd"/>
      <w:r w:rsidRPr="008708E3">
        <w:rPr>
          <w:rStyle w:val="StyleUnderline"/>
        </w:rPr>
        <w:t>*92]  increased class sizes and cut programs, 11 and so on</w:t>
      </w:r>
      <w:r>
        <w:t xml:space="preserve">. </w:t>
      </w:r>
      <w:r w:rsidRPr="008708E3">
        <w:rPr>
          <w:rStyle w:val="Emphasis"/>
        </w:rPr>
        <w:t>These effects</w:t>
      </w:r>
      <w:r>
        <w:t xml:space="preserve"> not only likely </w:t>
      </w:r>
      <w:r w:rsidRPr="008708E3">
        <w:rPr>
          <w:rStyle w:val="Emphasis"/>
        </w:rPr>
        <w:t>slowed U.S. economic growth</w:t>
      </w:r>
      <w:r>
        <w:t xml:space="preserve"> 12 </w:t>
      </w:r>
      <w:r w:rsidRPr="008708E3">
        <w:rPr>
          <w:rStyle w:val="Emphasis"/>
        </w:rPr>
        <w:t>but also had a profound and lasting human cost</w:t>
      </w:r>
      <w:r>
        <w:t xml:space="preserve">. And they can be </w:t>
      </w:r>
      <w:r w:rsidRPr="008708E3">
        <w:rPr>
          <w:rStyle w:val="StyleUnderline"/>
        </w:rPr>
        <w:t>traced largely to</w:t>
      </w:r>
      <w:r>
        <w:t xml:space="preserve"> </w:t>
      </w:r>
      <w:r w:rsidRPr="008708E3">
        <w:rPr>
          <w:rStyle w:val="StyleUnderline"/>
        </w:rPr>
        <w:t>the risk-shifting properties of an income tax, and the revenue volatility that comes with that risk</w:t>
      </w:r>
      <w:r>
        <w:t xml:space="preserve">. 13 </w:t>
      </w:r>
      <w:r w:rsidRPr="00245C8F">
        <w:rPr>
          <w:rStyle w:val="Emphasis"/>
        </w:rPr>
        <w:t>Thus, there is a strong argument for assigning the</w:t>
      </w:r>
      <w:r>
        <w:t xml:space="preserve"> insurance function of a </w:t>
      </w:r>
      <w:r w:rsidRPr="00245C8F">
        <w:rPr>
          <w:rStyle w:val="Emphasis"/>
        </w:rPr>
        <w:t>progressive income tax to the federal government, which is better able to absorb that risk</w:t>
      </w:r>
      <w:r>
        <w:t>.</w:t>
      </w:r>
    </w:p>
    <w:p w14:paraId="7B16811F" w14:textId="77777777" w:rsidR="00A667E8" w:rsidRPr="00F961BA" w:rsidRDefault="00A667E8" w:rsidP="00A667E8"/>
    <w:p w14:paraId="1C6AE918" w14:textId="77777777" w:rsidR="00CC1229" w:rsidRDefault="00CC1229" w:rsidP="00CC1229">
      <w:pPr>
        <w:pStyle w:val="Heading4"/>
      </w:pPr>
      <w:r>
        <w:t xml:space="preserve">Revenue volatility exacerbates state fiscal </w:t>
      </w:r>
      <w:proofErr w:type="gramStart"/>
      <w:r>
        <w:t>crises</w:t>
      </w:r>
      <w:proofErr w:type="gramEnd"/>
    </w:p>
    <w:p w14:paraId="4C7D1097" w14:textId="77777777" w:rsidR="00CC1229" w:rsidRPr="00041D79" w:rsidRDefault="00CC1229" w:rsidP="00CC1229">
      <w:r w:rsidRPr="003E3F0B">
        <w:t xml:space="preserve">Kirk J. </w:t>
      </w:r>
      <w:r w:rsidRPr="003E3F0B">
        <w:rPr>
          <w:rStyle w:val="Style13ptBold"/>
        </w:rPr>
        <w:t>Stark 10,</w:t>
      </w:r>
      <w:r w:rsidRPr="003E3F0B">
        <w:t xml:space="preserve"> Professor of Law, UCLA School of Law. THE FEDERAL ROLE IN STATE TAX REFORM, 30 Va. Tax Rev. 407 //</w:t>
      </w:r>
      <w:proofErr w:type="spellStart"/>
      <w:r w:rsidRPr="003E3F0B">
        <w:t>pipk</w:t>
      </w:r>
      <w:proofErr w:type="spellEnd"/>
    </w:p>
    <w:p w14:paraId="74F246A5" w14:textId="77777777" w:rsidR="00CC1229" w:rsidRPr="00715C6E" w:rsidRDefault="00CC1229" w:rsidP="00CC1229">
      <w:r w:rsidRPr="00D06366">
        <w:t xml:space="preserve">There is a growing consensus among commentators and policymakers regarding the adverse effects of revenue volatility on state and local budgeting. In the years preceding the two most recent recessions, state and local tax revenues surged, permitting an expansion of government services and tax cuts. 26Link to the text of the note These boom-year fiscal policies generated political expectations regarding the level of services and taxes going forward. With the onset of each recession, however, state and local governments faced yawning gaps between expenditure levels and tax receipts - prompting demands for federal assistance. In other words, volatility played two separate and </w:t>
      </w:r>
      <w:proofErr w:type="gramStart"/>
      <w:r w:rsidRPr="00D06366">
        <w:t>equally  [</w:t>
      </w:r>
      <w:proofErr w:type="gramEnd"/>
      <w:r w:rsidRPr="00D06366">
        <w:t>*417]  important roles in creating the conditions for fiscal crisis - surging tax receipts during the boom years stimulated demand for new programs and tax cuts, while plunging tax receipts during the bust years made continued satisfaction of those demands impossible. The implicit counterfactual here is that more stable revenue levels across time would have translated into more consistent and realistic public service demands, thereby minimizing the likelihood of (or at least reducing the severity of) budget imbalance in the down cycle.</w:t>
      </w:r>
    </w:p>
    <w:p w14:paraId="0D8D2753" w14:textId="77777777" w:rsidR="00CC1229" w:rsidRDefault="00CC1229" w:rsidP="00CC1229"/>
    <w:p w14:paraId="7B2A4688" w14:textId="77777777" w:rsidR="00CC1229" w:rsidRDefault="00CC1229" w:rsidP="00CC1229"/>
    <w:p w14:paraId="1FE0D621" w14:textId="77777777" w:rsidR="00CC1229" w:rsidRPr="009C740D" w:rsidRDefault="00CC1229" w:rsidP="00CC1229"/>
    <w:p w14:paraId="6BDECB3B" w14:textId="77777777" w:rsidR="00CD4AC9" w:rsidRDefault="00CD4AC9" w:rsidP="00CD4AC9">
      <w:pPr>
        <w:pStyle w:val="Heading4"/>
      </w:pPr>
      <w:r>
        <w:t xml:space="preserve">State fiscal crises and volatility bad. Prevents countercyclical spending during the next </w:t>
      </w:r>
      <w:proofErr w:type="gramStart"/>
      <w:r>
        <w:t>recession</w:t>
      </w:r>
      <w:proofErr w:type="gramEnd"/>
    </w:p>
    <w:p w14:paraId="5D27767D" w14:textId="77777777" w:rsidR="00CD4AC9" w:rsidRPr="00041D79" w:rsidRDefault="00CD4AC9" w:rsidP="00CD4AC9">
      <w:r w:rsidRPr="003E3F0B">
        <w:t xml:space="preserve">Kirk J. </w:t>
      </w:r>
      <w:r w:rsidRPr="003E3F0B">
        <w:rPr>
          <w:rStyle w:val="Style13ptBold"/>
        </w:rPr>
        <w:t>Stark 10,</w:t>
      </w:r>
      <w:r w:rsidRPr="003E3F0B">
        <w:t xml:space="preserve"> Professor of Law, UCLA School of Law. THE FEDERAL ROLE IN STATE TAX REFORM, 30 Va. Tax Rev. 407 //</w:t>
      </w:r>
      <w:proofErr w:type="spellStart"/>
      <w:r w:rsidRPr="003E3F0B">
        <w:t>pipk</w:t>
      </w:r>
      <w:proofErr w:type="spellEnd"/>
    </w:p>
    <w:p w14:paraId="4DF99484" w14:textId="77777777" w:rsidR="00CD4AC9" w:rsidRDefault="00CD4AC9" w:rsidP="00CD4AC9">
      <w:r>
        <w:t>A. The Federal Interest in Minimizing State Fiscal Crises</w:t>
      </w:r>
    </w:p>
    <w:p w14:paraId="7AC3767F" w14:textId="77777777" w:rsidR="00CD4AC9" w:rsidRDefault="00CD4AC9" w:rsidP="00CD4AC9">
      <w:r w:rsidRPr="00BA2238">
        <w:rPr>
          <w:rStyle w:val="StyleUnderline"/>
        </w:rPr>
        <w:t>There are at least three reasons why the federal government has an interest in minimizing the frequency and severity of state fiscal crises</w:t>
      </w:r>
      <w:r>
        <w:t xml:space="preserve">. </w:t>
      </w:r>
      <w:r w:rsidRPr="00246896">
        <w:rPr>
          <w:rStyle w:val="StyleUnderline"/>
        </w:rPr>
        <w:t>First, and most obviously, state fiscal crises trigger demands for federal resources to provide fiscal relief to the states</w:t>
      </w:r>
      <w:r>
        <w:t xml:space="preserve">. 11 This can </w:t>
      </w:r>
      <w:proofErr w:type="gramStart"/>
      <w:r>
        <w:t>be  [</w:t>
      </w:r>
      <w:proofErr w:type="gramEnd"/>
      <w:r>
        <w:t>*413]  seen most clearly in the two most recent recessions - the 2001 recession and the December 2007 to June 2009 recession 12 - during which Congress enacted legislation providing substantial fiscal relief to the states. In May 2003, as part of the Jobs and Growth Tax Relief and Reconciliation Act (JGTRRA 2003), Congress appropriated $ 20 billion in state fiscal relief, which was delivered via an "Enhanced FMAP" as well as general fiscal relief. 13 In February 2009, through the American Recovery Reconstruction Act (ARRA 2009), Congress once again provided state fiscal relief, this time on a significantly larger scale. Two vehicles were used to deliver these resources: (1) $ 81.7 billion was appropriated for funding of an Enhanced FMAP for Medicaid (though these amounts are widely regarded as "largely available for fiscal relief"), and (2) $ 53.6 billion for the State Fiscal Stabilization Fund. Of the latter amount, $ 48.3 billion is regarded as "largely available for fiscal relief." In its December 2009 "State and Local Update" report, Goldman Sachs noted that "state and local budget gaps continue to persist." As a result, "talk of extending the state and local components of ARRA has surfaced in Washington." As of March 2010, it appears that there is continued pressure on Congress to provide additional fiscal relief for the states. 14</w:t>
      </w:r>
    </w:p>
    <w:p w14:paraId="37A5F194" w14:textId="77777777" w:rsidR="00CD4AC9" w:rsidRDefault="00CD4AC9" w:rsidP="00CD4AC9">
      <w:r w:rsidRPr="00246896">
        <w:rPr>
          <w:rStyle w:val="StyleUnderline"/>
        </w:rPr>
        <w:t>Second, the increased use of federal fiscal relief in response to state fiscal crises raises a more general concern about a potential softening of the budget constraint that state and local governments face.</w:t>
      </w:r>
      <w:r>
        <w:t xml:space="preserve"> 15 </w:t>
      </w:r>
      <w:r w:rsidRPr="00246896">
        <w:rPr>
          <w:rStyle w:val="StyleUnderline"/>
        </w:rPr>
        <w:t>The softening of subnational budget constraints is an ever-present danger of fiscal federalism. The problem is one of moral hazard</w:t>
      </w:r>
      <w:r>
        <w:t xml:space="preserve">. To the extent that state and local governments expect the federal government to provide fiscal relief during the next economic crisis, the incentive for fiscal discipline is diminished. Throughout the world, examples abound of federations that suffered the effects of </w:t>
      </w:r>
      <w:proofErr w:type="gramStart"/>
      <w:r>
        <w:t>soft  [</w:t>
      </w:r>
      <w:proofErr w:type="gramEnd"/>
      <w:r>
        <w:t>*414]  subnational budget constraints. 16</w:t>
      </w:r>
    </w:p>
    <w:p w14:paraId="743195F3" w14:textId="77777777" w:rsidR="00CD4AC9" w:rsidRDefault="00CD4AC9" w:rsidP="00CD4AC9">
      <w:r w:rsidRPr="000C1644">
        <w:rPr>
          <w:rStyle w:val="StyleUnderline"/>
        </w:rPr>
        <w:t>Among the world's federations, the United States stands out for its relative success in enforcing a hard budget constraint on state and local governments. To be sure, there are several mechanisms by which state and local governments can and do shift fiscal costs onto outsiders</w:t>
      </w:r>
      <w:r>
        <w:t xml:space="preserve">. 17 </w:t>
      </w:r>
      <w:r w:rsidRPr="000C1644">
        <w:rPr>
          <w:rStyle w:val="StyleUnderline"/>
        </w:rPr>
        <w:t xml:space="preserve">For the most part, however, the U.S. state and local sector has enjoyed a reputation for fiscal responsibility throughout the history of the republic. </w:t>
      </w:r>
      <w:r>
        <w:t xml:space="preserve">18 </w:t>
      </w:r>
      <w:r w:rsidRPr="000C1644">
        <w:rPr>
          <w:rStyle w:val="StyleUnderline"/>
        </w:rPr>
        <w:t>A key turning point in the development of this reputation was the refusal of the federal government to bail out the states after numerous bond defaults in the early 1840's. Similarly, when several Southern states repudiated their debts in the 1870s, the federal government made no effort to step in to satisfy bondholder claims</w:t>
      </w:r>
      <w:r>
        <w:t xml:space="preserve">. 19 These decisions both provided credible evidence of the U.S. government's commitment to a no-bailout strategy and prompted states to adopt constitutionally-based balanced budget </w:t>
      </w:r>
      <w:proofErr w:type="gramStart"/>
      <w:r>
        <w:t>requirements  [</w:t>
      </w:r>
      <w:proofErr w:type="gramEnd"/>
      <w:r>
        <w:t>*415]  and debt limitations. As Inman explains: "On most dimensions, the U.S. performance has been a success. Most local governments live within their means. Widespread fiscal crises, when they occur, depend on unique and generally rare events..." 20 The result has been a tradition of fiscal self-sufficiency among the U.S. states that stands in sharp contrast to the experience in many of the world's other federations, where the notion of a hard budget constraint for subnational governments is merely aspirational.</w:t>
      </w:r>
    </w:p>
    <w:p w14:paraId="2D528DA7" w14:textId="77777777" w:rsidR="00CD4AC9" w:rsidRDefault="00CD4AC9" w:rsidP="00CD4AC9">
      <w:r>
        <w:t xml:space="preserve">While it may be premature to draw strong inferences about a general softening of the U.S. state/local budget constraint, the recent experience of substantial federal assistance to state and local governments to backfill budgetary shortfalls does not bode well for the future of U.S. fiscal federalism. The availability of substantial federal relief during times of fiscal crisis softens the obligation that state and local governments face to keep their fiscal houses in order. </w:t>
      </w:r>
      <w:r w:rsidRPr="000B4507">
        <w:rPr>
          <w:rStyle w:val="StyleUnderline"/>
        </w:rPr>
        <w:t xml:space="preserve">The risk is that, despite state constitutional provisions requiring a balanced budget, states will pursue de facto deficit spending and simply offload the costs to the federal government during the next fiscal crisis. To date, most federal assistance to the states has not had an explicit "bailout" frame, proceeding instead under the guise of general fiscal relief. </w:t>
      </w:r>
      <w:r w:rsidRPr="000B4507">
        <w:rPr>
          <w:rStyle w:val="Emphasis"/>
        </w:rPr>
        <w:t>A more severe crisis, however, could easily prompt emergency federal intervention</w:t>
      </w:r>
      <w:r>
        <w:t>. As economist Kenneth Rogoff recently noted, ""if we ran into a situation where one state got into trouble, they'd be bailed out six ways from Tuesday.'" 21 Other commentators have called for a more comprehensive federal "rescue" of the states in the form of advances that would be charged against future federal transfers. 22 This type of action, though perhaps warranted in the short-term to avert catastrophe, must be evaluated against the risk of eroding the incentives for subnational fiscal discipline over the long run. An important object in the design of U.S. intergovernmental fiscal policy going forward should be to minimize the likelihood of future demands for state fiscal relief during economic downturns.</w:t>
      </w:r>
    </w:p>
    <w:p w14:paraId="53111B9B" w14:textId="77777777" w:rsidR="00CD4AC9" w:rsidRDefault="00CD4AC9" w:rsidP="00CD4AC9">
      <w:r>
        <w:t xml:space="preserve">Third, </w:t>
      </w:r>
      <w:r w:rsidRPr="000B4B7F">
        <w:rPr>
          <w:rStyle w:val="Emphasis"/>
        </w:rPr>
        <w:t>fiscal crises compromise the ability of state and local governments to serve a useful countercyclical function during economic downturns</w:t>
      </w:r>
      <w:r>
        <w:t xml:space="preserve">. It is well recognized that </w:t>
      </w:r>
      <w:r w:rsidRPr="000B4B7F">
        <w:rPr>
          <w:rStyle w:val="StyleUnderline"/>
        </w:rPr>
        <w:t xml:space="preserve">service demands </w:t>
      </w:r>
      <w:proofErr w:type="gramStart"/>
      <w:r w:rsidRPr="000B4B7F">
        <w:rPr>
          <w:rStyle w:val="StyleUnderline"/>
        </w:rPr>
        <w:t>on</w:t>
      </w:r>
      <w:r>
        <w:t xml:space="preserve">  [</w:t>
      </w:r>
      <w:proofErr w:type="gramEnd"/>
      <w:r>
        <w:t xml:space="preserve">*416]  </w:t>
      </w:r>
      <w:r w:rsidRPr="000B4B7F">
        <w:rPr>
          <w:rStyle w:val="StyleUnderline"/>
        </w:rPr>
        <w:t>state and local governments increase during a recession.</w:t>
      </w:r>
      <w:r>
        <w:t xml:space="preserve"> 23 </w:t>
      </w:r>
      <w:r w:rsidRPr="00715C6E">
        <w:rPr>
          <w:rStyle w:val="StyleUnderline"/>
        </w:rPr>
        <w:t>For example, state Medicaid expenditures increased significantly during the most recent recession, with an additional 3.7 million seeking program benefits in 2009 alone</w:t>
      </w:r>
      <w:r>
        <w:t xml:space="preserve">. 24 </w:t>
      </w:r>
      <w:r w:rsidRPr="00715C6E">
        <w:rPr>
          <w:rStyle w:val="StyleUnderline"/>
        </w:rPr>
        <w:t>Yet the existence of a fiscal crisis necessarily impairs state and local governments' ability to meet those service demands; in fact, fiscal crises may prompt the opposite strategy - i.e., a reduction in state and local services.</w:t>
      </w:r>
      <w:r>
        <w:t xml:space="preserve"> In order to preserve the ability of state and local governments to play a constructive role in countercyclical policy, the federal government may wish to adopt certain policies design to minimize the likelihood of future fiscal crises. 25 In other words, it is in the federal government's interest to minimize, to the extent possible, having state and local governments in budget crisis mode during the next economic downturn.</w:t>
      </w:r>
    </w:p>
    <w:p w14:paraId="525CDE47" w14:textId="77777777" w:rsidR="00CD4AC9" w:rsidRDefault="00CD4AC9" w:rsidP="00CD4AC9"/>
    <w:p w14:paraId="4FC822E2" w14:textId="77777777" w:rsidR="00CD4AC9" w:rsidRDefault="00CD4AC9" w:rsidP="00CD4AC9"/>
    <w:p w14:paraId="0AA80BF1" w14:textId="77777777" w:rsidR="00CD4AC9" w:rsidRPr="00CD4AC9" w:rsidRDefault="00CD4AC9" w:rsidP="00CD4AC9"/>
    <w:p w14:paraId="62E39D72" w14:textId="50D82DE7" w:rsidR="002F5760" w:rsidRDefault="00966D70" w:rsidP="002F5760">
      <w:pPr>
        <w:pStyle w:val="Heading3"/>
      </w:pPr>
      <w:r>
        <w:t>1AR</w:t>
      </w:r>
      <w:r w:rsidR="002F5760">
        <w:t>---</w:t>
      </w:r>
      <w:r w:rsidR="006D2B65">
        <w:t>Fiscal Reserves</w:t>
      </w:r>
      <w:r w:rsidR="002F5760">
        <w:t xml:space="preserve"> </w:t>
      </w:r>
      <w:proofErr w:type="spellStart"/>
      <w:r>
        <w:t>Uniq</w:t>
      </w:r>
      <w:proofErr w:type="spellEnd"/>
    </w:p>
    <w:p w14:paraId="24BE8A65" w14:textId="5B5993E0" w:rsidR="00295D53" w:rsidRDefault="00295D53" w:rsidP="00295D53">
      <w:pPr>
        <w:pStyle w:val="Heading4"/>
      </w:pPr>
      <w:r>
        <w:t xml:space="preserve">State fiscal reserves are high </w:t>
      </w:r>
      <w:proofErr w:type="gramStart"/>
      <w:r>
        <w:t>now</w:t>
      </w:r>
      <w:proofErr w:type="gramEnd"/>
    </w:p>
    <w:p w14:paraId="3CCFF7B8" w14:textId="77777777" w:rsidR="00295D53" w:rsidRDefault="00295D53" w:rsidP="00295D53">
      <w:r w:rsidRPr="00ED5DD4">
        <w:rPr>
          <w:rStyle w:val="Style13ptBold"/>
        </w:rPr>
        <w:t>NASBO 22</w:t>
      </w:r>
      <w:r w:rsidRPr="00ED5DD4">
        <w:t>, National Association of State Budget Officers. December 16. "Summary: Fall 2022 Fiscal Survey of States" https://higherlogicdownload.s3.amazonaws.com/NASBO/9d2d2db1-c943-4f1b-b750-0fca152d64c2/UploadedImages/Issue%20Briefs%20/Summary_Fall_2022_Fiscal_Survey_of_States.pdf //</w:t>
      </w:r>
      <w:proofErr w:type="spellStart"/>
      <w:proofErr w:type="gramStart"/>
      <w:r w:rsidRPr="00ED5DD4">
        <w:t>pipk</w:t>
      </w:r>
      <w:proofErr w:type="spellEnd"/>
      <w:proofErr w:type="gramEnd"/>
    </w:p>
    <w:p w14:paraId="115F1C12" w14:textId="77777777" w:rsidR="00295D53" w:rsidRDefault="00295D53" w:rsidP="00295D53">
      <w:r w:rsidRPr="0040740D">
        <w:rPr>
          <w:rStyle w:val="StyleUnderline"/>
        </w:rPr>
        <w:t>Growth in State Budgets and Reserves Remain Strong After Two Years of Record-Breaking Increases and Surpluses</w:t>
      </w:r>
      <w:r>
        <w:t xml:space="preserve"> </w:t>
      </w:r>
      <w:r w:rsidRPr="0040740D">
        <w:rPr>
          <w:rStyle w:val="Emphasis"/>
        </w:rPr>
        <w:t xml:space="preserve">State fiscal conditions remain strong </w:t>
      </w:r>
      <w:r w:rsidRPr="0040740D">
        <w:t>in</w:t>
      </w:r>
      <w:r>
        <w:t xml:space="preserve"> fiscal 2023, </w:t>
      </w:r>
      <w:r w:rsidRPr="0040740D">
        <w:rPr>
          <w:rStyle w:val="StyleUnderline"/>
        </w:rPr>
        <w:t>following record-breaking increases in general fund revenue</w:t>
      </w:r>
      <w:r>
        <w:t xml:space="preserve"> in fiscal 2021 </w:t>
      </w:r>
      <w:r w:rsidRPr="0040740D">
        <w:rPr>
          <w:rStyle w:val="StyleUnderline"/>
        </w:rPr>
        <w:t>and spending</w:t>
      </w:r>
      <w:r>
        <w:t xml:space="preserve"> in fiscal 2022. Enacted budgets for fiscal 2023 provide for a 6.7 percent increase in general fund spending compared to preliminary actual levels for fiscal 2022. This follows 18.3 percent spending growth in fiscal 2022, the highest annual spending increase ever recorded in the Fiscal Survey of States since its inception in 1979. Adjusted for inflation, general fund spending grew 9.6 percent in fiscal 2022.</w:t>
      </w:r>
    </w:p>
    <w:p w14:paraId="08C4AA4C" w14:textId="77777777" w:rsidR="00295D53" w:rsidRDefault="00295D53" w:rsidP="00295D53">
      <w:r w:rsidRPr="0040740D">
        <w:rPr>
          <w:rStyle w:val="StyleUnderline"/>
        </w:rPr>
        <w:t>States saw two consecutive years of double-digit percentage revenue growth and collections far exceeding budget forecasts</w:t>
      </w:r>
      <w:r>
        <w:t xml:space="preserve"> in fiscal 2021 and fiscal 2022. </w:t>
      </w:r>
      <w:r w:rsidRPr="0040740D">
        <w:rPr>
          <w:rStyle w:val="StyleUnderline"/>
        </w:rPr>
        <w:t>States experienced annual general fund revenue growth</w:t>
      </w:r>
      <w:r>
        <w:t xml:space="preserve"> of 16.6 percent in fiscal 2021, </w:t>
      </w:r>
      <w:r w:rsidRPr="0040740D">
        <w:rPr>
          <w:rStyle w:val="StyleUnderline"/>
        </w:rPr>
        <w:t>the highest annual revenue increase in the history of the Fiscal Survey</w:t>
      </w:r>
      <w:r>
        <w:t>, followed by 14.5 percent in fiscal 2022. Adjusted for inflation, general fund revenue grew 12.7 percent in fiscal 2021 and 5.8 percent in fiscal 2022.</w:t>
      </w:r>
    </w:p>
    <w:p w14:paraId="7BC5CB38" w14:textId="77777777" w:rsidR="00295D53" w:rsidRDefault="00295D53" w:rsidP="00295D53">
      <w:r>
        <w:t xml:space="preserve">Revenue projections in enacted budgets for fiscal 2023 are 3.1 percent lower than preliminary actual collections for fiscal 2022. However, this decline is largely attributable to differences in timing of fiscal 2022 figures and fiscal 2023 estimates. More </w:t>
      </w:r>
      <w:r w:rsidRPr="00414E29">
        <w:rPr>
          <w:rStyle w:val="StyleUnderline"/>
        </w:rPr>
        <w:t>recent collections data for fiscal 2023 suggest that general fund revenues will continue to grow year-over-year</w:t>
      </w:r>
      <w:r>
        <w:t xml:space="preserve">, albeit at a slower rate compared to the rapid growth observed the past two years. </w:t>
      </w:r>
      <w:r w:rsidRPr="00414E29">
        <w:rPr>
          <w:rStyle w:val="StyleUnderline"/>
        </w:rPr>
        <w:t>Thirty-three states already reported revenues exceeding original budget forecasts for fiscal 2023 in this survey</w:t>
      </w:r>
      <w:r>
        <w:t>.</w:t>
      </w:r>
    </w:p>
    <w:p w14:paraId="6E122A96" w14:textId="77777777" w:rsidR="00295D53" w:rsidRDefault="00295D53" w:rsidP="00295D53">
      <w:pPr>
        <w:rPr>
          <w:rStyle w:val="StyleUnderline"/>
        </w:rPr>
      </w:pPr>
      <w:r w:rsidRPr="00414E29">
        <w:rPr>
          <w:rStyle w:val="Emphasis"/>
        </w:rPr>
        <w:t>Rainy day funds reached new heights in fiscal 2022,</w:t>
      </w:r>
      <w:r>
        <w:t xml:space="preserve"> after already growing 58 percent in fiscal 2021, </w:t>
      </w:r>
      <w:r w:rsidRPr="00402C5A">
        <w:rPr>
          <w:rStyle w:val="StyleUnderline"/>
        </w:rPr>
        <w:t>and are projected to increase further in fiscal 2023</w:t>
      </w:r>
      <w:r>
        <w:t xml:space="preserve">. </w:t>
      </w:r>
      <w:r w:rsidRPr="00402C5A">
        <w:rPr>
          <w:rStyle w:val="StyleUnderline"/>
        </w:rPr>
        <w:t>Total balances</w:t>
      </w:r>
      <w:r>
        <w:t xml:space="preserve"> (including general fund ending balances plus the amounts in states’ </w:t>
      </w:r>
      <w:proofErr w:type="gramStart"/>
      <w:r>
        <w:t>rainy day</w:t>
      </w:r>
      <w:proofErr w:type="gramEnd"/>
      <w:r>
        <w:t xml:space="preserve"> funds) </w:t>
      </w:r>
      <w:r w:rsidRPr="00402C5A">
        <w:rPr>
          <w:rStyle w:val="StyleUnderline"/>
        </w:rPr>
        <w:t>have seen tremendous growth over the past two years, roughly tripling in size from fiscal 2020 to fiscal 2022</w:t>
      </w:r>
      <w:r>
        <w:t xml:space="preserve">. </w:t>
      </w:r>
      <w:r w:rsidRPr="00402C5A">
        <w:rPr>
          <w:rStyle w:val="StyleUnderline"/>
        </w:rPr>
        <w:t>According to enacted budgets, states plan to spend down some of these prior-year balances in fiscal 2023, including on one-time uses such as paying off debt, supplemental pension payments, capital construction, economic development, and other expenditures to strengthen their fiscal resiliency over the longer term.</w:t>
      </w:r>
    </w:p>
    <w:p w14:paraId="56FC94E3" w14:textId="77777777" w:rsidR="004710A9" w:rsidRDefault="004710A9" w:rsidP="00295D53">
      <w:pPr>
        <w:rPr>
          <w:rStyle w:val="StyleUnderline"/>
        </w:rPr>
      </w:pPr>
    </w:p>
    <w:p w14:paraId="5D06C091" w14:textId="77777777" w:rsidR="004710A9" w:rsidRDefault="004710A9" w:rsidP="004710A9">
      <w:pPr>
        <w:pStyle w:val="Heading4"/>
      </w:pPr>
      <w:r>
        <w:t xml:space="preserve">Rainy day funds are high </w:t>
      </w:r>
      <w:proofErr w:type="gramStart"/>
      <w:r>
        <w:t>now</w:t>
      </w:r>
      <w:proofErr w:type="gramEnd"/>
    </w:p>
    <w:p w14:paraId="6716642C" w14:textId="77777777" w:rsidR="004710A9" w:rsidRDefault="004710A9" w:rsidP="004710A9">
      <w:r w:rsidRPr="00ED5DD4">
        <w:rPr>
          <w:rStyle w:val="Style13ptBold"/>
        </w:rPr>
        <w:t>NASBO 22</w:t>
      </w:r>
      <w:r w:rsidRPr="00ED5DD4">
        <w:t>, National Association of State Budget Officers. December 16. "Summary: Fall 2022 Fiscal Survey of States" https://higherlogicdownload.s3.amazonaws.com/NASBO/9d2d2db1-c943-4f1b-b750-0fca152d64c2/UploadedImages/Issue%20Briefs%20/Summary_Fall_2022_Fiscal_Survey_of_States.pdf //</w:t>
      </w:r>
      <w:proofErr w:type="spellStart"/>
      <w:proofErr w:type="gramStart"/>
      <w:r w:rsidRPr="00ED5DD4">
        <w:t>pipk</w:t>
      </w:r>
      <w:proofErr w:type="spellEnd"/>
      <w:proofErr w:type="gramEnd"/>
    </w:p>
    <w:p w14:paraId="610DE298" w14:textId="77777777" w:rsidR="004710A9" w:rsidRDefault="004710A9" w:rsidP="004710A9">
      <w:r w:rsidRPr="0055541C">
        <w:rPr>
          <w:rStyle w:val="StyleUnderline"/>
        </w:rPr>
        <w:t xml:space="preserve">State Balance Levels Reached New </w:t>
      </w:r>
      <w:proofErr w:type="spellStart"/>
      <w:r w:rsidRPr="0055541C">
        <w:rPr>
          <w:rStyle w:val="StyleUnderline"/>
        </w:rPr>
        <w:t>AllTime</w:t>
      </w:r>
      <w:proofErr w:type="spellEnd"/>
      <w:r w:rsidRPr="0055541C">
        <w:rPr>
          <w:rStyle w:val="StyleUnderline"/>
        </w:rPr>
        <w:t xml:space="preserve"> Highs in Fiscal 2022</w:t>
      </w:r>
      <w:r>
        <w:t xml:space="preserve"> Recent balance trends and current fund policies demonstrate how </w:t>
      </w:r>
      <w:r w:rsidRPr="0055541C">
        <w:rPr>
          <w:rStyle w:val="Emphasis"/>
        </w:rPr>
        <w:t xml:space="preserve">states have taken actions to strengthen their </w:t>
      </w:r>
      <w:proofErr w:type="gramStart"/>
      <w:r w:rsidRPr="0055541C">
        <w:rPr>
          <w:rStyle w:val="Emphasis"/>
        </w:rPr>
        <w:t>rainy day</w:t>
      </w:r>
      <w:proofErr w:type="gramEnd"/>
      <w:r w:rsidRPr="0055541C">
        <w:rPr>
          <w:rStyle w:val="Emphasis"/>
        </w:rPr>
        <w:t xml:space="preserve"> funds, also known as budget stabilization funds</w:t>
      </w:r>
      <w:r>
        <w:t xml:space="preserve">. In fiscal 2021, state rainy day fund balances reached a then new high of $121.8 billion, a 58 percent increase over fiscal 2020 levels. This steep increase in reserves was largely the result of stronger than anticipated revenue growth in fiscal 2021 that led to large surpluses and additional rainy day fund deposits in many states. Rainy day funds continued growing in fiscal 2022 to total $134.5 billion, another all-time high; this growth was widespread, with 43 states recording year-over-year increases. According to enacted budgets, a majority of states plan to continue increasing their </w:t>
      </w:r>
      <w:proofErr w:type="gramStart"/>
      <w:r>
        <w:t>rainy day</w:t>
      </w:r>
      <w:proofErr w:type="gramEnd"/>
      <w:r>
        <w:t xml:space="preserve"> funds in fiscal 2023. As a share of general fund spending, total rainy day fund balances reached 13.3 percent in fiscal 2021 and dropped slightly to 12.4 percent in fiscal 2022 due to the significant increase in expenditures that year. (See Figure 10.) The median rainy day fund balance as a share of general fund spending was 10.3 percent in fiscal 2021 and 11.6 percent in fiscal </w:t>
      </w:r>
      <w:proofErr w:type="gramStart"/>
      <w:r>
        <w:t>2022, and</w:t>
      </w:r>
      <w:proofErr w:type="gramEnd"/>
      <w:r>
        <w:t xml:space="preserve"> is expected to tick up slightly to 11.9 percent in fiscal 2023. While reserve levels continue to vary by state, 44 states reported rainy day fund balances representing at least 5 percent of their general fund expenditures in fiscal 2022 – including 30 states with balances exceeding 10 percent of spending.</w:t>
      </w:r>
    </w:p>
    <w:p w14:paraId="6CBACFA9" w14:textId="77777777" w:rsidR="004710A9" w:rsidRDefault="004710A9" w:rsidP="004710A9">
      <w:r>
        <w:t xml:space="preserve">Total balances include general fund ending balances and the amounts in states’ budget stabilization or </w:t>
      </w:r>
      <w:proofErr w:type="gramStart"/>
      <w:r>
        <w:t>rainy day</w:t>
      </w:r>
      <w:proofErr w:type="gramEnd"/>
      <w:r>
        <w:t xml:space="preserve"> funds. In fiscal 2021, total balances more than doubled to reach a then new high of $241.3 billion, equivalent to 26.4 percent of total general fund spending that year. The median balance was even higher, at 27.1 percent, for fiscal 2021. This rapid growth in state balance levels was driven mostly by revenues beating state forecasts – by a considerable margin in many cases. Based primarily on preliminary actual data, state total balance levels continued to grow rapidly in fiscal 2022 from an already high baseline, reaching $342.9 billion, or 31.7 percent as a percentage of general fund spending. In states’ enacted budgets for fiscal 2023, total balance levels are expected to decline; this likely reflects states’ plans to spend down a portion of their larger-than-expected ending balances from the prior year, including for one-time investments. (See Figure 11.) Additionally, fiscal 2023 balance projections in this survey are likely to be less </w:t>
      </w:r>
      <w:proofErr w:type="gramStart"/>
      <w:r>
        <w:t>up-to-date</w:t>
      </w:r>
      <w:proofErr w:type="gramEnd"/>
      <w:r>
        <w:t xml:space="preserve"> (and less reflective of more recent improvements in revenue performance) than fiscal 2022 balance figures that were reported based on preliminary actual data for most states.</w:t>
      </w:r>
    </w:p>
    <w:p w14:paraId="55BD7C8E" w14:textId="77777777" w:rsidR="004710A9" w:rsidRDefault="004710A9" w:rsidP="004710A9">
      <w:r>
        <w:t>State Budget Outlook: Making Strategic Investments to Build Resiliency As this survey is released, most states are approaching the midpoint in fiscal 2023 and preparing to introduce their governors’ budget proposals for fiscal 2024 (and fiscal 2025 in the case of states with biennial budgets). After two consecutive years of robust revenue growth and widespread budget surpluses, states are on track to record another year of revenue growth in fiscal 2023. That said, there is some downside risks to the economic outlook that states are watching closely and considering in their budgetary decision-making. By using surplus funds for one-time investments in capital construction, paying down debt, and making supplemental pension payments, states are strengthening their fiscal resiliency over the longer term. With rainy day fund and total balance levels at record levels, states have a strong fiscal cushion and are more prepared than ever to weather a possible economic downturn. States also continue to leverage federal aid from the American Rescue Plan Act to support residents and businesses affected by the pandemic and make strategic investments to strengthen the resilience of their economies and communities.</w:t>
      </w:r>
    </w:p>
    <w:p w14:paraId="25EBAADE" w14:textId="77777777" w:rsidR="004710A9" w:rsidRDefault="004710A9" w:rsidP="00295D53">
      <w:pPr>
        <w:rPr>
          <w:rStyle w:val="StyleUnderline"/>
        </w:rPr>
      </w:pPr>
    </w:p>
    <w:p w14:paraId="3544A018" w14:textId="76D24795" w:rsidR="00295D53" w:rsidRPr="00295D53" w:rsidRDefault="00B80BEE" w:rsidP="00B80BEE">
      <w:pPr>
        <w:pStyle w:val="Heading3"/>
      </w:pPr>
      <w:r>
        <w:t>1AR---Uniqueness</w:t>
      </w:r>
    </w:p>
    <w:p w14:paraId="511C0D32" w14:textId="22B6CEF5" w:rsidR="002F5760" w:rsidRDefault="002F5760" w:rsidP="002F5760">
      <w:pPr>
        <w:pStyle w:val="Heading4"/>
      </w:pPr>
      <w:r>
        <w:t xml:space="preserve">Cuts to federal aid and a recession are coming, </w:t>
      </w:r>
      <w:r w:rsidR="00B80BEE">
        <w:t>risking a state fiscal crisis</w:t>
      </w:r>
      <w:r>
        <w:t xml:space="preserve">. The counterplan exacerbates this, need to save revenue now. </w:t>
      </w:r>
    </w:p>
    <w:p w14:paraId="3C33132D" w14:textId="77777777" w:rsidR="002F5760" w:rsidRDefault="002F5760" w:rsidP="002F5760">
      <w:r w:rsidRPr="00F94A5D">
        <w:t xml:space="preserve">Michael </w:t>
      </w:r>
      <w:proofErr w:type="spellStart"/>
      <w:r w:rsidRPr="00F94A5D">
        <w:rPr>
          <w:rStyle w:val="Style13ptBold"/>
        </w:rPr>
        <w:t>Leachman</w:t>
      </w:r>
      <w:proofErr w:type="spellEnd"/>
      <w:r w:rsidRPr="00F94A5D">
        <w:rPr>
          <w:rStyle w:val="Style13ptBold"/>
        </w:rPr>
        <w:t xml:space="preserve"> and</w:t>
      </w:r>
      <w:r w:rsidRPr="00F94A5D">
        <w:t xml:space="preserve"> Michael </w:t>
      </w:r>
      <w:proofErr w:type="spellStart"/>
      <w:r w:rsidRPr="00F94A5D">
        <w:rPr>
          <w:rStyle w:val="Style13ptBold"/>
        </w:rPr>
        <w:t>Mazerov</w:t>
      </w:r>
      <w:proofErr w:type="spellEnd"/>
      <w:r w:rsidRPr="00F94A5D">
        <w:rPr>
          <w:rStyle w:val="Style13ptBold"/>
        </w:rPr>
        <w:t xml:space="preserve"> 18</w:t>
      </w:r>
      <w:r w:rsidRPr="00F94A5D">
        <w:t xml:space="preserve">, Senior Vice President for State Fiscal Policy and Co-Leader of the State Fiscal Policy Division. Senior Fellow with the Center's State Fiscal Project. "How Should States Respond to Recent Federal Tax Changes?" Center on Budget and Policy Priorities, January 23. </w:t>
      </w:r>
      <w:hyperlink r:id="rId43" w:history="1">
        <w:r w:rsidRPr="00550760">
          <w:rPr>
            <w:rStyle w:val="Hyperlink"/>
          </w:rPr>
          <w:t>https://www.cbpp.org/sites/default/files/atoms/files/1-23-18sfp.pdf</w:t>
        </w:r>
      </w:hyperlink>
      <w:r>
        <w:t xml:space="preserve"> //</w:t>
      </w:r>
      <w:proofErr w:type="spellStart"/>
      <w:r>
        <w:t>pipk</w:t>
      </w:r>
      <w:proofErr w:type="spellEnd"/>
    </w:p>
    <w:p w14:paraId="0E73814A" w14:textId="77777777" w:rsidR="002F5760" w:rsidRDefault="002F5760" w:rsidP="002F5760">
      <w:r>
        <w:t>Some state policymakers have overreacted to the possibility of new revenue by proposing major income tax rate cuts, even cuts whose cost would exceed the highly uncertain estimate of new revenue. For instance, Idaho Governor Butch Otter proposed personal and corporate income tax rate cuts and other cuts totaling about $200 million annually after the state projected that revenues would rise by nearly $100 million due to the federal changes.8</w:t>
      </w:r>
    </w:p>
    <w:p w14:paraId="0033A27E" w14:textId="77777777" w:rsidR="002F5760" w:rsidRPr="00D630B2" w:rsidRDefault="002F5760" w:rsidP="002F5760">
      <w:r w:rsidRPr="007E51A3">
        <w:rPr>
          <w:rStyle w:val="StyleUnderline"/>
        </w:rPr>
        <w:t>Given the substantial uncertainty around the ultimate revenue impact, states should respond cautiously</w:t>
      </w:r>
      <w:r w:rsidRPr="00D630B2">
        <w:t xml:space="preserve">. They also </w:t>
      </w:r>
      <w:r w:rsidRPr="007E51A3">
        <w:rPr>
          <w:rStyle w:val="Emphasis"/>
        </w:rPr>
        <w:t>should be prudent because new threats to their fiscal stability loom</w:t>
      </w:r>
      <w:r w:rsidRPr="00D630B2">
        <w:t xml:space="preserve">, </w:t>
      </w:r>
      <w:r w:rsidRPr="007E51A3">
        <w:rPr>
          <w:rStyle w:val="Emphasis"/>
        </w:rPr>
        <w:t>including</w:t>
      </w:r>
      <w:r w:rsidRPr="00D630B2">
        <w:t xml:space="preserve"> the potential for </w:t>
      </w:r>
      <w:r w:rsidRPr="007E51A3">
        <w:rPr>
          <w:rStyle w:val="Emphasis"/>
        </w:rPr>
        <w:t>cuts in federal aid for states and localities and the inevitability of another recession</w:t>
      </w:r>
      <w:r w:rsidRPr="00D630B2">
        <w:t>.</w:t>
      </w:r>
    </w:p>
    <w:p w14:paraId="57ED6E80" w14:textId="77777777" w:rsidR="002F5760" w:rsidRDefault="002F5760" w:rsidP="002F5760">
      <w:r>
        <w:t xml:space="preserve">In addition, </w:t>
      </w:r>
      <w:r w:rsidRPr="007E51A3">
        <w:rPr>
          <w:rStyle w:val="StyleUnderline"/>
        </w:rPr>
        <w:t>many states lack sufficient revenues to make the new investments in people and infrastructure required for an economy in which prosperity is broadly shared.</w:t>
      </w:r>
      <w:r>
        <w:t xml:space="preserve"> At least </w:t>
      </w:r>
      <w:r w:rsidRPr="007E51A3">
        <w:rPr>
          <w:rStyle w:val="StyleUnderline"/>
        </w:rPr>
        <w:t>30 states closed budget shortfalls this year or last year, the most since the aftermath of the Great Recession.</w:t>
      </w:r>
      <w:r>
        <w:t xml:space="preserve">9 </w:t>
      </w:r>
      <w:r w:rsidRPr="007E51A3">
        <w:rPr>
          <w:rStyle w:val="StyleUnderline"/>
        </w:rPr>
        <w:t xml:space="preserve">States may need to raise new revenue to improve the productivity of their workforces, encourage entrepreneurship, and </w:t>
      </w:r>
      <w:r w:rsidRPr="007E51A3">
        <w:rPr>
          <w:rStyle w:val="Emphasis"/>
        </w:rPr>
        <w:t>strengthen the physical infrastructure</w:t>
      </w:r>
      <w:r w:rsidRPr="007E51A3">
        <w:rPr>
          <w:rStyle w:val="StyleUnderline"/>
        </w:rPr>
        <w:t xml:space="preserve"> that undergirds private enterprise</w:t>
      </w:r>
      <w:r>
        <w:t xml:space="preserve">. At the least, states should avoid cutting income tax rates, which would further enrich the </w:t>
      </w:r>
      <w:proofErr w:type="spellStart"/>
      <w:r>
        <w:t>highestincome</w:t>
      </w:r>
      <w:proofErr w:type="spellEnd"/>
      <w:r>
        <w:t xml:space="preserve"> households even as — in most states with the biggest revenue gains — the added revenue will come disproportionately from low- and modest-income families.</w:t>
      </w:r>
    </w:p>
    <w:p w14:paraId="4AB4FD37" w14:textId="77777777" w:rsidR="002F5760" w:rsidRDefault="002F5760" w:rsidP="002F5760">
      <w:r w:rsidRPr="007E51A3">
        <w:rPr>
          <w:rStyle w:val="Emphasis"/>
        </w:rPr>
        <w:t>Build Up Reserves to Prepare for Potential Federal Cuts and for Next Recession</w:t>
      </w:r>
      <w:r>
        <w:t xml:space="preserve"> </w:t>
      </w:r>
      <w:r w:rsidRPr="007E51A3">
        <w:rPr>
          <w:rStyle w:val="StyleUnderline"/>
        </w:rPr>
        <w:t>States would be prudent to save</w:t>
      </w:r>
      <w:r>
        <w:t xml:space="preserve"> at least a substantial share of the </w:t>
      </w:r>
      <w:r w:rsidRPr="007E51A3">
        <w:rPr>
          <w:rStyle w:val="StyleUnderline"/>
        </w:rPr>
        <w:t>revenue</w:t>
      </w:r>
      <w:r>
        <w:t xml:space="preserve">s they receive. </w:t>
      </w:r>
      <w:r w:rsidRPr="007E51A3">
        <w:rPr>
          <w:rStyle w:val="StyleUnderline"/>
        </w:rPr>
        <w:t>Many already struggle to meet their current needs, and significant new threats loom, including:</w:t>
      </w:r>
      <w:r>
        <w:t xml:space="preserve"> •</w:t>
      </w:r>
      <w:r w:rsidRPr="007E51A3">
        <w:rPr>
          <w:rStyle w:val="Emphasis"/>
        </w:rPr>
        <w:t>Potential cuts in federal aid to states and localities</w:t>
      </w:r>
      <w:r>
        <w:t xml:space="preserve">. </w:t>
      </w:r>
      <w:r w:rsidRPr="001B7B43">
        <w:rPr>
          <w:rStyle w:val="StyleUnderline"/>
        </w:rPr>
        <w:t>Republican congressional leaders</w:t>
      </w:r>
      <w:r>
        <w:t xml:space="preserve"> and the President </w:t>
      </w:r>
      <w:r w:rsidRPr="001B7B43">
        <w:rPr>
          <w:rStyle w:val="StyleUnderline"/>
        </w:rPr>
        <w:t>have made clear their interest in cutting federal support for Medicaid and other federal funding for services and programs delivered by states and localities</w:t>
      </w:r>
      <w:r>
        <w:t xml:space="preserve">. The budget resolution that Congress passed in October 2017, which jumpstarted the tax legislation, called for $5.8 trillion in budget cuts over the next decade, with large cuts in Medicaid, Medicare, SNAP (formerly food stamps), and non-defense discretionary (NDD) funding, the part of the federal budget that includes funding for a wide range of state and local services, including K12 education, environmental protection, affordable housing, and child care.10 It’s now unlikely that significant NDD cuts will occur in the 2018 election year, or perhaps in 2019 either. But </w:t>
      </w:r>
      <w:r w:rsidRPr="001B7B43">
        <w:rPr>
          <w:rStyle w:val="Emphasis"/>
        </w:rPr>
        <w:t>the longer-term trend in federal NDD funding is downward, both in inflation-adopted dollars and as a share of the economy</w:t>
      </w:r>
      <w:r>
        <w:t xml:space="preserve">. </w:t>
      </w:r>
      <w:r w:rsidRPr="001B7B43">
        <w:rPr>
          <w:rStyle w:val="StyleUnderline"/>
        </w:rPr>
        <w:t>This trend is likely to continue, given both the new tax law’s shrinkage in federal tax revenue and the rising health care and retirement costs associated with the aging of the population.</w:t>
      </w:r>
    </w:p>
    <w:p w14:paraId="1C63119B" w14:textId="77777777" w:rsidR="002F5760" w:rsidRDefault="002F5760" w:rsidP="002F5760">
      <w:r w:rsidRPr="001B7B43">
        <w:rPr>
          <w:rStyle w:val="Emphasis"/>
        </w:rPr>
        <w:t>The next recession</w:t>
      </w:r>
      <w:r>
        <w:t xml:space="preserve">. While a recession does not appear imminent, the current expansion is the second longest in American history, and in a few months will be the longest. </w:t>
      </w:r>
      <w:r w:rsidRPr="00A12391">
        <w:rPr>
          <w:rStyle w:val="StyleUnderline"/>
        </w:rPr>
        <w:t>Given</w:t>
      </w:r>
      <w:r>
        <w:t xml:space="preserve"> this and </w:t>
      </w:r>
      <w:r w:rsidRPr="00A12391">
        <w:rPr>
          <w:rStyle w:val="StyleUnderline"/>
        </w:rPr>
        <w:t>the impossibility of predicting when the next recession will hit, states would be wise to prepare for it</w:t>
      </w:r>
      <w:r>
        <w:t xml:space="preserve">. </w:t>
      </w:r>
      <w:r w:rsidRPr="00A12391">
        <w:rPr>
          <w:rStyle w:val="StyleUnderline"/>
        </w:rPr>
        <w:t>The typical state ended the last fiscal year with a balance of 8 percent of the budget, less than states had heading into the last recession and far less than they need in a typical recession</w:t>
      </w:r>
      <w:r>
        <w:t xml:space="preserve">. </w:t>
      </w:r>
      <w:r w:rsidRPr="00A12391">
        <w:rPr>
          <w:rStyle w:val="StyleUnderline"/>
        </w:rPr>
        <w:t>The average state would require reserves of at least 15 percent of its annual budget to weather a moderate recession without significant spending cuts or tax increases; only seven states ended last year with reserves of that size</w:t>
      </w:r>
      <w:r>
        <w:t>.</w:t>
      </w:r>
    </w:p>
    <w:p w14:paraId="50C57179" w14:textId="1CB59477" w:rsidR="00CC3FBD" w:rsidRPr="00F94A5D" w:rsidRDefault="00CC3FBD" w:rsidP="00CC3FBD">
      <w:pPr>
        <w:pStyle w:val="Heading3"/>
      </w:pPr>
      <w:r>
        <w:t xml:space="preserve">1AR---Recession </w:t>
      </w:r>
      <w:r w:rsidR="00FE0769">
        <w:t>Impact Magnifier</w:t>
      </w:r>
    </w:p>
    <w:p w14:paraId="09F9BFA3" w14:textId="77777777" w:rsidR="001C4B81" w:rsidRDefault="001C4B81" w:rsidP="001C4B81">
      <w:pPr>
        <w:pStyle w:val="Heading4"/>
      </w:pPr>
      <w:r>
        <w:t xml:space="preserve">Recession absent revenue cushion is </w:t>
      </w:r>
      <w:proofErr w:type="gramStart"/>
      <w:r>
        <w:t>devastating</w:t>
      </w:r>
      <w:proofErr w:type="gramEnd"/>
    </w:p>
    <w:p w14:paraId="4D398FFA" w14:textId="77777777" w:rsidR="001C4B81" w:rsidRPr="00E051B3" w:rsidRDefault="001C4B81" w:rsidP="001C4B81">
      <w:r w:rsidRPr="00E051B3">
        <w:t xml:space="preserve">Wesley </w:t>
      </w:r>
      <w:r w:rsidRPr="00E051B3">
        <w:rPr>
          <w:rStyle w:val="Style13ptBold"/>
        </w:rPr>
        <w:t>Tharpe 23</w:t>
      </w:r>
      <w:r w:rsidRPr="00E051B3">
        <w:t xml:space="preserve">, Senior Advisor for State Tax Policy, Center on Budget and Policy Priorities. January 18. "States Should Protect or Raise Revenue as Uncertainty Looms" </w:t>
      </w:r>
      <w:hyperlink r:id="rId44" w:history="1">
        <w:r w:rsidRPr="00550760">
          <w:rPr>
            <w:rStyle w:val="Hyperlink"/>
          </w:rPr>
          <w:t>https://www.cbpp.org/blog/states-should-protect-or-raise-revenue-as-uncertainty-looms</w:t>
        </w:r>
      </w:hyperlink>
      <w:r>
        <w:t xml:space="preserve"> //</w:t>
      </w:r>
      <w:proofErr w:type="spellStart"/>
      <w:proofErr w:type="gramStart"/>
      <w:r>
        <w:t>pipk</w:t>
      </w:r>
      <w:proofErr w:type="spellEnd"/>
      <w:proofErr w:type="gramEnd"/>
    </w:p>
    <w:p w14:paraId="345559C4" w14:textId="77777777" w:rsidR="001C4B81" w:rsidRDefault="001C4B81" w:rsidP="001C4B81">
      <w:r>
        <w:t xml:space="preserve">In many states policymakers are starting 2023 legislative sessions with calls to layer more tax cuts on top of wasteful ones already enacted over the past two years. But </w:t>
      </w:r>
      <w:r w:rsidRPr="00700EA0">
        <w:rPr>
          <w:rStyle w:val="StyleUnderline"/>
        </w:rPr>
        <w:t>with state revenues slowing and a potential recession looming</w:t>
      </w:r>
      <w:r>
        <w:t xml:space="preserve">, </w:t>
      </w:r>
      <w:r w:rsidRPr="00092FE9">
        <w:rPr>
          <w:rStyle w:val="StyleUnderline"/>
        </w:rPr>
        <w:t>such a path could pose serious harm for workers, families, and communities nationwide</w:t>
      </w:r>
      <w:r>
        <w:t>.</w:t>
      </w:r>
    </w:p>
    <w:p w14:paraId="496175EA" w14:textId="77777777" w:rsidR="001C4B81" w:rsidRDefault="001C4B81" w:rsidP="001C4B81">
      <w:r w:rsidRPr="00092FE9">
        <w:rPr>
          <w:rStyle w:val="StyleUnderline"/>
        </w:rPr>
        <w:t>States should instead</w:t>
      </w:r>
      <w:r>
        <w:t xml:space="preserve"> be taking the opposite approach: avoiding additional short-sighted tax cuts, reversing or at least trimming recently enacted ones, and </w:t>
      </w:r>
      <w:r w:rsidRPr="00092FE9">
        <w:rPr>
          <w:rStyle w:val="StyleUnderline"/>
        </w:rPr>
        <w:t>enact</w:t>
      </w:r>
      <w:r>
        <w:t xml:space="preserve">ing </w:t>
      </w:r>
      <w:r w:rsidRPr="00092FE9">
        <w:rPr>
          <w:rStyle w:val="StyleUnderline"/>
        </w:rPr>
        <w:t>policies to raise revenues where possible</w:t>
      </w:r>
      <w:r>
        <w:t xml:space="preserve">. </w:t>
      </w:r>
      <w:r w:rsidRPr="00092FE9">
        <w:rPr>
          <w:rStyle w:val="StyleUnderline"/>
        </w:rPr>
        <w:t>That way, their revenue systems and the vital public services they support will be better prepared for a rocky economic road that could lie ahead.</w:t>
      </w:r>
    </w:p>
    <w:p w14:paraId="3AF57750" w14:textId="77777777" w:rsidR="001C4B81" w:rsidRDefault="001C4B81" w:rsidP="001C4B81">
      <w:r w:rsidRPr="00092FE9">
        <w:rPr>
          <w:rStyle w:val="StyleUnderline"/>
        </w:rPr>
        <w:t>State revenue collections are facing significant uncertainty that demands caution</w:t>
      </w:r>
      <w:r>
        <w:t xml:space="preserve">, even if the direst scenarios don’t materialize. </w:t>
      </w:r>
      <w:r w:rsidRPr="00092FE9">
        <w:rPr>
          <w:rStyle w:val="StyleUnderline"/>
        </w:rPr>
        <w:t>Revenue collections have been strong over the last two years, fueled by the economy healing from the pandemic and supported by major federal relief efforts that both strengthened the recovery and directly bolstered state revenues. But revenue growth slowed significantly over the latter half of 2022 due to</w:t>
      </w:r>
      <w:r>
        <w:t xml:space="preserve"> factors including </w:t>
      </w:r>
      <w:r w:rsidRPr="00092FE9">
        <w:rPr>
          <w:rStyle w:val="StyleUnderline"/>
        </w:rPr>
        <w:t>high gas prices, supply chain shocks</w:t>
      </w:r>
      <w:r>
        <w:t xml:space="preserve"> caused by geopolitical disruption, </w:t>
      </w:r>
      <w:r w:rsidRPr="00092FE9">
        <w:rPr>
          <w:rStyle w:val="StyleUnderline"/>
        </w:rPr>
        <w:t>and a weak stock market</w:t>
      </w:r>
      <w:r>
        <w:t>. National and many state forecasters expect revenue growth could continue to slow over the course of 2023.</w:t>
      </w:r>
    </w:p>
    <w:p w14:paraId="75EF01B7" w14:textId="77777777" w:rsidR="001C4B81" w:rsidRDefault="001C4B81" w:rsidP="001C4B81">
      <w:r w:rsidRPr="00092FE9">
        <w:rPr>
          <w:rStyle w:val="StyleUnderline"/>
        </w:rPr>
        <w:t>The most serious headwind facing state revenues is a potential economic downturn</w:t>
      </w:r>
      <w:r>
        <w:t>. While economic growth has proven more resilient than some gloomier forecasts had predicted, it has generally weakened over the course of the past year. And repeated interest rate hikes by the Federal Reserve could dampen economic activity further, by making it more expensive to get a car loan, buy a house, carry a balance on a credit card, or borrow for business investment. A full-fledged recession, whose probability economists pegged at 61 percent in the next 12 months in a survey last week, is not guaranteed but is certainly possible.</w:t>
      </w:r>
    </w:p>
    <w:p w14:paraId="6D21B886" w14:textId="77777777" w:rsidR="001C4B81" w:rsidRPr="008368A7" w:rsidRDefault="001C4B81" w:rsidP="001C4B81">
      <w:pPr>
        <w:rPr>
          <w:b/>
          <w:iCs/>
          <w:u w:val="single"/>
          <w:bdr w:val="single" w:sz="12" w:space="0" w:color="auto"/>
        </w:rPr>
      </w:pPr>
      <w:r w:rsidRPr="00481828">
        <w:rPr>
          <w:rStyle w:val="Emphasis"/>
        </w:rPr>
        <w:t>Recessions are especially harmful to states because state leaders, unlike their federal counterparts, must balance their budgets each year, even when revenues are down</w:t>
      </w:r>
      <w:r>
        <w:t xml:space="preserve">. And unless they offset these </w:t>
      </w:r>
      <w:r w:rsidRPr="00C25B2A">
        <w:rPr>
          <w:rStyle w:val="StyleUnderline"/>
        </w:rPr>
        <w:t>revenue drops</w:t>
      </w:r>
      <w:r>
        <w:t xml:space="preserve"> with targeted tax hikes or by using other fiscal planning tools such as </w:t>
      </w:r>
      <w:proofErr w:type="gramStart"/>
      <w:r>
        <w:t>rainy day</w:t>
      </w:r>
      <w:proofErr w:type="gramEnd"/>
      <w:r>
        <w:t xml:space="preserve"> funds, they </w:t>
      </w:r>
      <w:r w:rsidRPr="00C25B2A">
        <w:rPr>
          <w:rStyle w:val="StyleUnderline"/>
        </w:rPr>
        <w:t xml:space="preserve">must make sizable cuts in essential services that could prompt </w:t>
      </w:r>
      <w:r w:rsidRPr="00C25B2A">
        <w:rPr>
          <w:rStyle w:val="Emphasis"/>
        </w:rPr>
        <w:t>teacher layoffs</w:t>
      </w:r>
      <w:r>
        <w:t xml:space="preserve"> and </w:t>
      </w:r>
      <w:r w:rsidRPr="00C25B2A">
        <w:rPr>
          <w:rStyle w:val="Emphasis"/>
        </w:rPr>
        <w:t>growth in class sizes, less access to affordable health care or child care, deferred maintenance on roads and other vital infrastructure, and cutbacks to libraries, senior centers, and other local services.</w:t>
      </w:r>
    </w:p>
    <w:p w14:paraId="41B0CE03" w14:textId="77777777" w:rsidR="001C4B81" w:rsidRDefault="001C4B81" w:rsidP="001C4B81">
      <w:r w:rsidRPr="00E051B3">
        <w:rPr>
          <w:rStyle w:val="StyleUnderline"/>
        </w:rPr>
        <w:t>After the Great Recession, for example, states enacted enormous cuts to K-12 education, which in many states were never fully reversed</w:t>
      </w:r>
      <w:r>
        <w:t xml:space="preserve"> and, nationwide, led to significant harm to children’s learning. Cuts to economic supports, meanwhile, slowed the recovery, increased hardship, and worsened long-standing structural inequities that hold back Black, brown, and Indigenous people as well as women and low-paid workers.</w:t>
      </w:r>
    </w:p>
    <w:p w14:paraId="36DC2122" w14:textId="77777777" w:rsidR="001C4B81" w:rsidRDefault="001C4B81" w:rsidP="001C4B81">
      <w:r>
        <w:t xml:space="preserve">In addition to the threat of a recession, </w:t>
      </w:r>
      <w:r w:rsidRPr="00326652">
        <w:rPr>
          <w:rStyle w:val="StyleUnderline"/>
        </w:rPr>
        <w:t>states will also have to contend with the effects of major federal relief measures winding down in the next few years</w:t>
      </w:r>
      <w:r>
        <w:t>. For one, states must fully allocate the flexible COVID-19 recovery funds they received under the American Rescue Plan by the end of 2024, adding another risk factor to dwindling revenue surpluses and potentially spurring a need for new revenues to fund ongoing investments states made using the recovery funds. Many of these investments, such as housing assistance and workforce development, were key to helping residents hit hardest by the pandemic recession and will remain crucial for households struggling to afford the basics or seeking new opportunities to get ahead, whether in good economic times or bad.</w:t>
      </w:r>
    </w:p>
    <w:p w14:paraId="35EFD93D" w14:textId="77777777" w:rsidR="001C4B81" w:rsidRDefault="001C4B81" w:rsidP="001C4B81">
      <w:r>
        <w:t>The pending expiration in 2025 of large parts of the federal Tax Cuts and Jobs Act, enacted in 2017, also adds some uncertainty to state budgets, due to deep and intricate linkages between state and federal income tax codes. At the same time, state budgets could see some indirect gains from the infrastructure legislation and the Inflation Reduction Act enacted last year, since their sizable climate and infrastructure investments may help foster stronger economic growth.</w:t>
      </w:r>
    </w:p>
    <w:p w14:paraId="4D6DC25D" w14:textId="77777777" w:rsidR="001C4B81" w:rsidRDefault="001C4B81" w:rsidP="001C4B81">
      <w:r>
        <w:t xml:space="preserve">Unfortunately, </w:t>
      </w:r>
      <w:r w:rsidRPr="00326652">
        <w:rPr>
          <w:rStyle w:val="StyleUnderline"/>
        </w:rPr>
        <w:t>state tax policy choices made in the past two years already put many states in an unnecessarily precarious position</w:t>
      </w:r>
      <w:r>
        <w:t xml:space="preserve">. In several statehouses, </w:t>
      </w:r>
      <w:r w:rsidRPr="00326652">
        <w:rPr>
          <w:rStyle w:val="StyleUnderline"/>
        </w:rPr>
        <w:t>policymakers used the temporary surge in revenues from the COVID-19 recovery to justify permanent cuts to their state revenue systems</w:t>
      </w:r>
      <w:r>
        <w:t xml:space="preserve">. </w:t>
      </w:r>
      <w:r w:rsidRPr="00326652">
        <w:rPr>
          <w:rStyle w:val="StyleUnderline"/>
        </w:rPr>
        <w:t>Twenty-one states cut their personal or corporate income tax rates</w:t>
      </w:r>
      <w:r>
        <w:t xml:space="preserve"> in 2021 and 2022, with Arizona, Iowa, Kentucky, and Mississippi (to name a few) enacting especially costly cuts. Kentucky’s tax cut package, for example, could cost as much as $1.2 billion annually once fully phased in by 2025 — more than that state’s entire budget for its colleges and universities. And Iowa’s could cost nearly $2 billion a year by 2028, compared to what’s now an $8.2 billion budget for the entire state.</w:t>
      </w:r>
    </w:p>
    <w:p w14:paraId="06C65563" w14:textId="77777777" w:rsidR="001C4B81" w:rsidRDefault="001C4B81" w:rsidP="001C4B81">
      <w:r>
        <w:t>Some policymakers have also shown a desire to continue the tax-cutting spree when state legislatures return in January. Mississippi’s governor, for example, is renewing his two-plus-year push to eliminate the state’s personal income tax, using many of the same arguments that fueled failed tax cut experiments in Kansas and other states. This reckless idea could also see serious consideration in Arkansas and Louisiana this year.</w:t>
      </w:r>
    </w:p>
    <w:p w14:paraId="01C66427" w14:textId="77777777" w:rsidR="001C4B81" w:rsidRDefault="001C4B81" w:rsidP="001C4B81">
      <w:r>
        <w:t xml:space="preserve">In other cases, </w:t>
      </w:r>
      <w:r w:rsidRPr="000133F6">
        <w:rPr>
          <w:rStyle w:val="StyleUnderline"/>
        </w:rPr>
        <w:t>lawmakers could move to accelerate the phase-in of previously passed cuts or slash rates further</w:t>
      </w:r>
      <w:r>
        <w:t xml:space="preserve">. And a broad swath of other states </w:t>
      </w:r>
      <w:proofErr w:type="gramStart"/>
      <w:r>
        <w:t>appear</w:t>
      </w:r>
      <w:proofErr w:type="gramEnd"/>
      <w:r>
        <w:t xml:space="preserve"> likely to consider either new rate cuts or more modest, but still costly and (often) poorly targeted, one-time rebate packages. Such rebates would deliver scant benefits to most workers and families — while losing sizable revenues that would be better used to strengthen services crucial to helping support families and communities, particularly in times of recession.</w:t>
      </w:r>
    </w:p>
    <w:p w14:paraId="32FCCD96" w14:textId="77777777" w:rsidR="001C4B81" w:rsidRPr="0036464B" w:rsidRDefault="001C4B81" w:rsidP="001C4B81">
      <w:pPr>
        <w:rPr>
          <w:rStyle w:val="Emphasis"/>
        </w:rPr>
      </w:pPr>
      <w:r w:rsidRPr="0036464B">
        <w:rPr>
          <w:rStyle w:val="StyleUnderline"/>
        </w:rPr>
        <w:t>Given the uncertainty and potential economic headwinds ahead, states should resist the tax-cut temptation</w:t>
      </w:r>
      <w:r>
        <w:t xml:space="preserve">. They should </w:t>
      </w:r>
      <w:r w:rsidRPr="0036464B">
        <w:rPr>
          <w:rStyle w:val="StyleUnderline"/>
        </w:rPr>
        <w:t>instead</w:t>
      </w:r>
      <w:r>
        <w:t xml:space="preserve"> learn from the mistakes of the Great Recession by </w:t>
      </w:r>
      <w:r w:rsidRPr="0036464B">
        <w:rPr>
          <w:rStyle w:val="Emphasis"/>
        </w:rPr>
        <w:t>prioritizing revenue</w:t>
      </w:r>
      <w:r>
        <w:t xml:space="preserve"> </w:t>
      </w:r>
      <w:r w:rsidRPr="0036464B">
        <w:rPr>
          <w:rStyle w:val="StyleUnderline"/>
        </w:rPr>
        <w:t>and shoring up their tax systems to protect jobs, vital state services, and the families and communities these services help support</w:t>
      </w:r>
      <w:r>
        <w:t xml:space="preserve">. </w:t>
      </w:r>
      <w:r w:rsidRPr="0036464B">
        <w:rPr>
          <w:rStyle w:val="StyleUnderline"/>
        </w:rPr>
        <w:t>Options available to states include exploring targeted revenue increases</w:t>
      </w:r>
      <w:r>
        <w:t xml:space="preserve">, </w:t>
      </w:r>
      <w:r w:rsidRPr="0036464B">
        <w:rPr>
          <w:rStyle w:val="StyleUnderline"/>
        </w:rPr>
        <w:t>especially on high-income households and profitable corporations, which are relatively resilient to economic swings; pausing or rolling back recently enacted tax cuts; and looking to economy-boosting, targeted tax credits as a responsible alternative to costly rate cuts</w:t>
      </w:r>
      <w:r>
        <w:t xml:space="preserve">. </w:t>
      </w:r>
      <w:r w:rsidRPr="0036464B">
        <w:rPr>
          <w:rStyle w:val="StyleUnderline"/>
        </w:rPr>
        <w:t xml:space="preserve">States can also continue building on some commendable efforts to </w:t>
      </w:r>
      <w:r w:rsidRPr="0036464B">
        <w:rPr>
          <w:rStyle w:val="Emphasis"/>
        </w:rPr>
        <w:t xml:space="preserve">strengthen their </w:t>
      </w:r>
      <w:proofErr w:type="gramStart"/>
      <w:r w:rsidRPr="0036464B">
        <w:rPr>
          <w:rStyle w:val="Emphasis"/>
        </w:rPr>
        <w:t>rainy day</w:t>
      </w:r>
      <w:proofErr w:type="gramEnd"/>
      <w:r w:rsidRPr="0036464B">
        <w:rPr>
          <w:rStyle w:val="Emphasis"/>
        </w:rPr>
        <w:t xml:space="preserve"> funds</w:t>
      </w:r>
      <w:r>
        <w:t xml:space="preserve"> (which are in better position today than before the Great Recession) </w:t>
      </w:r>
      <w:r w:rsidRPr="0036464B">
        <w:rPr>
          <w:rStyle w:val="Emphasis"/>
        </w:rPr>
        <w:t>by pursuing additional policies</w:t>
      </w:r>
      <w:r>
        <w:t xml:space="preserve"> — </w:t>
      </w:r>
      <w:r w:rsidRPr="0036464B">
        <w:rPr>
          <w:rStyle w:val="StyleUnderline"/>
        </w:rPr>
        <w:t>such as stronger unemployment programs and access to health care</w:t>
      </w:r>
      <w:r>
        <w:t xml:space="preserve"> — </w:t>
      </w:r>
      <w:r w:rsidRPr="0036464B">
        <w:rPr>
          <w:rStyle w:val="Emphasis"/>
        </w:rPr>
        <w:t>that can help strengthen state budgets and economies in preparation for a downturn.</w:t>
      </w:r>
    </w:p>
    <w:p w14:paraId="346698CF" w14:textId="77777777" w:rsidR="00FE0769" w:rsidRDefault="00FE0769" w:rsidP="00FE0769">
      <w:pPr>
        <w:pStyle w:val="Heading4"/>
      </w:pPr>
      <w:r>
        <w:t>State countercyclical spending key to recession recovery</w:t>
      </w:r>
    </w:p>
    <w:p w14:paraId="5F0115EA" w14:textId="77777777" w:rsidR="00FE0769" w:rsidRDefault="00FE0769" w:rsidP="00FE0769">
      <w:r w:rsidRPr="00687C0A">
        <w:t xml:space="preserve">Brian </w:t>
      </w:r>
      <w:r w:rsidRPr="00687C0A">
        <w:rPr>
          <w:rStyle w:val="Heading4Char"/>
        </w:rPr>
        <w:t>Galle &amp;</w:t>
      </w:r>
      <w:r w:rsidRPr="00687C0A">
        <w:t xml:space="preserve"> Jonathan </w:t>
      </w:r>
      <w:r w:rsidRPr="00687C0A">
        <w:rPr>
          <w:rStyle w:val="Heading4Char"/>
        </w:rPr>
        <w:t>Klick 10</w:t>
      </w:r>
      <w:r w:rsidRPr="00687C0A">
        <w:t>, Assistant Professor, Boston College Law School. Professor of Law, University of Pennsylvania Law School. "Recessions and the Social Safety Net: The Alternative Minimum Tax as a Countercyclical Fiscal Stabilizer, 63 Stan. L. Rev. 187" //</w:t>
      </w:r>
      <w:proofErr w:type="spellStart"/>
      <w:r w:rsidRPr="00687C0A">
        <w:t>pipk</w:t>
      </w:r>
      <w:proofErr w:type="spellEnd"/>
    </w:p>
    <w:p w14:paraId="47B28E3F" w14:textId="77777777" w:rsidR="00FE0769" w:rsidRDefault="00FE0769" w:rsidP="00FE0769">
      <w:r>
        <w:t>Turning to the substance of our argument, the standard goal of macroeconomic policy in general is to be "countercyclical," stabilizing the economy by moderating both booms and busts. 7 Extremes in either direction can lead to unwanted effects, whether they be job loss or excessive inflation. 8 During downturns, this means that government may have a role to play in stimulating the economy, such as through increased spending, tax cuts, or expansionary monetary policy. 9 Traditional microeconomic theory also offers similar prescriptions, counseling that transfers of wealth from richer periods (booms) to poorer periods (busts) increase overall social welfare. 10</w:t>
      </w:r>
    </w:p>
    <w:p w14:paraId="2807D15E" w14:textId="77777777" w:rsidR="00FE0769" w:rsidRDefault="00FE0769" w:rsidP="00FE0769"/>
    <w:p w14:paraId="4EF7CBC1" w14:textId="77777777" w:rsidR="00FE0769" w:rsidRDefault="00FE0769" w:rsidP="00FE0769">
      <w:r>
        <w:t xml:space="preserve">States are in a difficult bind when it comes to stabilization policy, however. Their revenues are tied to the business cycle, so that budgets get tighter just when the need for countercyclical spending increases. 11 Raising taxes to make ends meet is contrary to the usual macroeconomic recommendations and is especially difficult in a modern climate </w:t>
      </w:r>
      <w:proofErr w:type="gramStart"/>
      <w:r>
        <w:t>where</w:t>
      </w:r>
      <w:proofErr w:type="gramEnd"/>
      <w:r>
        <w:t xml:space="preserve"> tax increases drive away productive citizens and businesses. Whereas Congress can largely avoid this dilemma simply by borrowing, states risk driving out citizens with excessive debt, and nearly all state legislatures face legal constraints to maintain a balanced budget. Those legal constraints, moreover, are sensible responses to the incentives of legislatures in prosperous times, which would otherwise likely take on excessive debts. 12</w:t>
      </w:r>
    </w:p>
    <w:p w14:paraId="13508554" w14:textId="77777777" w:rsidR="00FE0769" w:rsidRDefault="00FE0769" w:rsidP="00FE0769"/>
    <w:p w14:paraId="1317B5AB" w14:textId="77777777" w:rsidR="00FE0769" w:rsidRDefault="00FE0769" w:rsidP="00FE0769">
      <w:r>
        <w:t xml:space="preserve"> [*191</w:t>
      </w:r>
      <w:proofErr w:type="gramStart"/>
      <w:r>
        <w:t>]  The</w:t>
      </w:r>
      <w:proofErr w:type="gramEnd"/>
      <w:r>
        <w:t xml:space="preserve"> result is that state finances tend to contribute to, rather than mitigate, the pain of economic downturns. 13 And in a world where states are so closely economically interdependent, these effects are felt well outside any one state's borders. 14 As recent events illustrate, state budget crises contribute to national economic woes.</w:t>
      </w:r>
    </w:p>
    <w:p w14:paraId="0FA125E9" w14:textId="77777777" w:rsidR="00FE0769" w:rsidRPr="00CD4AC9" w:rsidRDefault="00FE0769" w:rsidP="00FE0769"/>
    <w:p w14:paraId="2840FC62" w14:textId="77777777" w:rsidR="00CC1229" w:rsidRDefault="00CC1229" w:rsidP="00CC1229">
      <w:pPr>
        <w:pStyle w:val="Heading4"/>
      </w:pPr>
      <w:r>
        <w:t>Recession resiliency key</w:t>
      </w:r>
    </w:p>
    <w:p w14:paraId="601EFF43" w14:textId="77777777" w:rsidR="00CC1229" w:rsidRDefault="00CC1229" w:rsidP="00CC1229">
      <w:r w:rsidRPr="00152FED">
        <w:t xml:space="preserve">Michael </w:t>
      </w:r>
      <w:proofErr w:type="spellStart"/>
      <w:r w:rsidRPr="00152FED">
        <w:rPr>
          <w:rStyle w:val="Style13ptBold"/>
        </w:rPr>
        <w:t>Leachman</w:t>
      </w:r>
      <w:proofErr w:type="spellEnd"/>
      <w:r w:rsidRPr="00152FED">
        <w:rPr>
          <w:rStyle w:val="Style13ptBold"/>
        </w:rPr>
        <w:t xml:space="preserve"> and</w:t>
      </w:r>
      <w:r w:rsidRPr="00152FED">
        <w:t xml:space="preserve"> Jennifer </w:t>
      </w:r>
      <w:r w:rsidRPr="00152FED">
        <w:rPr>
          <w:rStyle w:val="Style13ptBold"/>
        </w:rPr>
        <w:t>Sullivan 20</w:t>
      </w:r>
      <w:r w:rsidRPr="00152FED">
        <w:t xml:space="preserve">, Senior Vice President for State Fiscal Policy and Co-Leader of the State Fiscal Policy Division. Director of Health Coverage Access. Center on Budget and Policy </w:t>
      </w:r>
      <w:proofErr w:type="spellStart"/>
      <w:r w:rsidRPr="00152FED">
        <w:t>Priorites</w:t>
      </w:r>
      <w:proofErr w:type="spellEnd"/>
      <w:r w:rsidRPr="00152FED">
        <w:t xml:space="preserve">. "Some States Much Better Prepared Than Others for Recession" March 20. </w:t>
      </w:r>
      <w:hyperlink r:id="rId45" w:history="1">
        <w:r w:rsidRPr="00550760">
          <w:rPr>
            <w:rStyle w:val="Hyperlink"/>
          </w:rPr>
          <w:t>https://www.cbpp.org/research/state-budget-and-tax/some-states-much-better-prepared-than-others-for-recession</w:t>
        </w:r>
      </w:hyperlink>
      <w:r>
        <w:t xml:space="preserve"> //</w:t>
      </w:r>
      <w:proofErr w:type="spellStart"/>
      <w:r>
        <w:t>pipk</w:t>
      </w:r>
      <w:proofErr w:type="spellEnd"/>
    </w:p>
    <w:p w14:paraId="20338801" w14:textId="77777777" w:rsidR="00CC1229" w:rsidRDefault="00CC1229" w:rsidP="00CC1229">
      <w:r>
        <w:t>As the widely expected recession sparked by the COVID-19 pandemic takes hold, the impact in some states will be unnecessarily harsh — especially if the recession is relatively deep — due to the state’s failure to adopt policies that support families and communities during a downturn, our review of state policies in four key areas finds. More specifically, people in states with inadequate budget reserves, weak unemployment insurance systems, relatively inaccessible Medicaid programs, and/or expensive higher education systems are particularly likely to struggle during the recession if they lose their jobs or enter the recession looking for work with few family resources to support them. Mississippi is the most poorly prepared. It’s the only state that ranks in the bottom ten across all four categories, while Florida, Louisiana, New Hampshire, and South Dakota rank among the worst in three categories. That said, every state likely will face significant budget gaps in the coming months, even those best prepared for the downturn, and will need aggressive help from the federal government.</w:t>
      </w:r>
    </w:p>
    <w:p w14:paraId="73F55FF5" w14:textId="77777777" w:rsidR="00CC1229" w:rsidRDefault="00CC1229" w:rsidP="00CC1229"/>
    <w:p w14:paraId="276F32CA" w14:textId="77777777" w:rsidR="00CC1229" w:rsidRDefault="00CC1229" w:rsidP="00CC1229">
      <w:r>
        <w:t>The pressures on state finances from the COVID-19 pandemic and resulting likely recession are mounting and will quickly become severe. Sales taxes, which make up a third of state revenues, are rapidly collapsing as restaurants and stores across the country close their doors and lay off their workers. Data are not yet available on the full scope of this collapse, but there is little doubt it is drastic, perhaps unprecedented. Income taxes, which make up another third of state revenues, also will decline sharply as mass layoffs rapidly push down people’s income and therefore their income taxes. Plus, the steep drop in the stock market means that wealthy people will soon begin reporting massive capital losses on their quarterly tax returns, further reducing state revenue.</w:t>
      </w:r>
    </w:p>
    <w:p w14:paraId="6FFC41BA" w14:textId="77777777" w:rsidR="00CC1229" w:rsidRDefault="00CC1229" w:rsidP="00CC1229"/>
    <w:p w14:paraId="3B726E50" w14:textId="77777777" w:rsidR="00CC1229" w:rsidRDefault="00CC1229" w:rsidP="00CC1229">
      <w:r>
        <w:t>"Every state could be better prepared for a recession; no state ranks in the nation’s top ten across all four policy areas."</w:t>
      </w:r>
    </w:p>
    <w:p w14:paraId="2FFEC2B6" w14:textId="77777777" w:rsidR="00CC1229" w:rsidRDefault="00CC1229" w:rsidP="00CC1229">
      <w:r>
        <w:t>Every state is likely to face serious fiscal challenges as the virus’s economic impact spreads, but state policies in place as the recession emerges will make an important difference in the experiences of people who are laid off or otherwise affected by the downturn. In states with relatively few reserves, relatively inaccessible Medicaid and unemployment programs, and relatively unaffordable colleges, people and communities will suffer unnecessarily. Conversely, in states with policies that are relatively strong in these areas, even the worst recession will cause considerably less harm than it would otherwise.</w:t>
      </w:r>
    </w:p>
    <w:p w14:paraId="5B809D2D" w14:textId="77777777" w:rsidR="00CC1229" w:rsidRDefault="00CC1229" w:rsidP="00CC1229"/>
    <w:p w14:paraId="701AB81D" w14:textId="77777777" w:rsidR="00CC1229" w:rsidRDefault="00CC1229" w:rsidP="00CC1229">
      <w:r>
        <w:t xml:space="preserve">State policy choices also affect the length and depth of recessions for the entire country through their impact on residents’ income and spending, including spending at local businesses considering layoffs. State policy choices can sometimes have a lasting impact on families and communities as well, making them </w:t>
      </w:r>
      <w:proofErr w:type="gramStart"/>
      <w:r>
        <w:t>more or less productive</w:t>
      </w:r>
      <w:proofErr w:type="gramEnd"/>
      <w:r>
        <w:t xml:space="preserve"> and enhancing or diminishing our collective quality of life. Yet states vary significantly in how well they use public policy to protect their people — and their long-term economic health — from recessions. That’s especially true today, since some states seriously weakened their recession-preparation policies over the last decade, while others strengthened them.</w:t>
      </w:r>
    </w:p>
    <w:p w14:paraId="4C161889" w14:textId="77777777" w:rsidR="00CC1229" w:rsidRDefault="00CC1229" w:rsidP="00CC1229"/>
    <w:p w14:paraId="06B81E1C" w14:textId="77777777" w:rsidR="00CC1229" w:rsidRDefault="00CC1229" w:rsidP="00CC1229">
      <w:r>
        <w:t>To best weather recessions, states need:</w:t>
      </w:r>
    </w:p>
    <w:p w14:paraId="6067BF95" w14:textId="77777777" w:rsidR="00CC1229" w:rsidRDefault="00CC1229" w:rsidP="00CC1229"/>
    <w:p w14:paraId="072DA5CD" w14:textId="77777777" w:rsidR="00CC1229" w:rsidRDefault="00CC1229" w:rsidP="00CC1229">
      <w:r>
        <w:t>Significant budget reserves and the flexibility to spend them when needed to limit the damage to state investments in people and infrastructure. When reserves are inadequate, states must either cut funding for schools, public health coverage programs, and other services during recessions, even as demand for these services is rising, or raise new revenue from people and businesses at a challenging time. Wyoming, with reserves exceeding 100 percent of the state’s budget, is best prepared for a downturn, according to a “stress testing” analysis by Moody’s Analytics. The least prepared states — some of which have reserves under 3 percent of the budget — include Louisiana, Oklahoma, Illinois, and New Jersey.</w:t>
      </w:r>
    </w:p>
    <w:p w14:paraId="7D3E67CF" w14:textId="77777777" w:rsidR="00CC1229" w:rsidRDefault="00CC1229" w:rsidP="00CC1229">
      <w:r>
        <w:t>Strong unemployment insurance systems. Unemployment insurance that reaches a significant share of jobless workers and provides benefits of adequate size and duration can help ensure that workers who lose their jobs still have some income to support their families and keep money flowing through local businesses, which otherwise might lay off even more people. In New Jersey and Massachusetts, 5 in 10 jobless workers receive unemployment benefits; in Mississippi, Nebraska, North Carolina, and South Carolina, fewer than 1 in 10 do.</w:t>
      </w:r>
    </w:p>
    <w:p w14:paraId="5E217532" w14:textId="77777777" w:rsidR="00CC1229" w:rsidRDefault="00CC1229" w:rsidP="00CC1229">
      <w:r>
        <w:t>Accessible Medicaid programs. States should ensure that people who lose health coverage because they are laid off or experience a drop in income, and people who can’t work because businesses aren’t hiring or for other reasons, can still get needed medical care, especially during a pandemic. State Medicaid rules also should ensure that people can keep coverage if they are already enrolled and remain eligible. New Mexico, Oregon, and Washington meet all six conditions we identified for promoting Medicaid accessibility, such as extending eligibility to low-income adults (by adopting the Affordable Care Act’s Medicaid expansion) and streamlining enrollment processes, while South Dakota meets just one of the conditions and Tennessee meets none.</w:t>
      </w:r>
    </w:p>
    <w:p w14:paraId="4499E8E3" w14:textId="77777777" w:rsidR="00CC1229" w:rsidRDefault="00CC1229" w:rsidP="00CC1229">
      <w:r>
        <w:t>Affordable public colleges and universities. Because jobless workers often seek additional training and education during economic downturns to expand their skills while the job market is weak, states need to ensure that college is affordable and accessible during downturns. The average net price of a public four-year institution ranges from 15 percent of median household income in Alaska to 36 percent in South Carolina.</w:t>
      </w:r>
    </w:p>
    <w:p w14:paraId="5F88319E" w14:textId="77777777" w:rsidR="00CC1229" w:rsidRDefault="00CC1229" w:rsidP="00CC1229">
      <w:r>
        <w:t>While these policies are important for limiting a recession’s damage to a state’s economy, they are particularly vital to low-income families. Recessions disproportionately affect people with low incomes, who typically cannot meet their basic needs without public support such as access to health care, income for food, or housing assistance. People with low incomes also are especially affected by shifts in the labor market; during a downturn, they are more likely than other workers to lose their jobs.[1]</w:t>
      </w:r>
    </w:p>
    <w:p w14:paraId="06E45C7C" w14:textId="77777777" w:rsidR="00CC1229" w:rsidRDefault="00CC1229" w:rsidP="00CC1229"/>
    <w:p w14:paraId="01BCAB9C" w14:textId="77777777" w:rsidR="00CC1229" w:rsidRDefault="00CC1229" w:rsidP="00CC1229">
      <w:r>
        <w:t>State policy decisions also have a particularly big impact on people of color. Historical racism and ongoing forms of discrimination and bias leave people of color, on average, with much less income and wealth than they would have otherwise, making them more likely to need public support, especially during a recession. Various state policies past and present have contributed to these inequities, so states have an obligation to make progress in reversing them, even during recessions.[2]</w:t>
      </w:r>
    </w:p>
    <w:p w14:paraId="3E1039BE" w14:textId="77777777" w:rsidR="00CC1229" w:rsidRDefault="00CC1229" w:rsidP="00CC1229"/>
    <w:p w14:paraId="0F83FF1A" w14:textId="77777777" w:rsidR="00CC1229" w:rsidRDefault="00CC1229" w:rsidP="00CC1229">
      <w:r>
        <w:t>The federal government, unlike states, can spend more than it takes in during recessions to boost demand and thereby keep a recession from worsening. Emergency federal support for states and localities plays a crucial role in determining the depth and length of recessions by helping states sustain their spending, propping up the economy, and reducing the harm to families and communities. Emergency aid provided under the 2009 Recovery Act, which totaled more than $150 billion, closed about a quarter of the huge budget shortfalls that states faced after the last recession hit.[3] With states now beginning to face a lethal combination of rapidly rising costs and sharply declining revenues, federal policymakers should act aggressively to provide more substantial emergency financial aid to states.[4] The Families First Coronavirus Response Act is a good first step, providing about $36 billion of emergency aid in the form of an increase in the federal Medicaid matching rate. But it’s grossly inadequate to the fiscal crisis states will likely face in the weeks and months ahead. (See box, “Federal Aid to States Is Crucial During Recessions.”)</w:t>
      </w:r>
    </w:p>
    <w:p w14:paraId="55DE4117" w14:textId="77777777" w:rsidR="00CC1229" w:rsidRDefault="00CC1229" w:rsidP="00CC1229"/>
    <w:p w14:paraId="4A73F57B" w14:textId="77777777" w:rsidR="00CC1229" w:rsidRDefault="00CC1229" w:rsidP="00CC1229">
      <w:r>
        <w:t>States, too, can take steps now — even with a recession looming — to limit the harm done. More specifically, they can take steps described in this paper to:</w:t>
      </w:r>
    </w:p>
    <w:p w14:paraId="5D9D5FA0" w14:textId="77777777" w:rsidR="00CC1229" w:rsidRDefault="00CC1229" w:rsidP="00CC1229"/>
    <w:p w14:paraId="796A6532" w14:textId="77777777" w:rsidR="00CC1229" w:rsidRDefault="00CC1229" w:rsidP="00CC1229">
      <w:r>
        <w:t>Improve lawmakers’ flexibility to access reserve funds when needed and draw fully on reserves as the recession unfolds to limit harmful cuts to public services.</w:t>
      </w:r>
    </w:p>
    <w:p w14:paraId="01B93AD6" w14:textId="77777777" w:rsidR="00CC1229" w:rsidRDefault="00CC1229" w:rsidP="00CC1229">
      <w:r>
        <w:t>Expand access to unemployment insurance to more jobless workers and make better use of workshare programs so more workers can keep their jobs.</w:t>
      </w:r>
    </w:p>
    <w:p w14:paraId="3A12C709" w14:textId="77777777" w:rsidR="00CC1229" w:rsidRDefault="00CC1229" w:rsidP="00CC1229">
      <w:r>
        <w:t>Expand Medicaid and improve access to the program in other ways, while suspending or eliminating work requirements and cost-sharing provisions.[5]</w:t>
      </w:r>
    </w:p>
    <w:p w14:paraId="7D6A6CF3" w14:textId="77777777" w:rsidR="00CC1229" w:rsidRDefault="00CC1229" w:rsidP="00CC1229">
      <w:r>
        <w:t>Make colleges and universities more affordable, for instance by shifting tuition assistance from merit-based to need-based aid, reducing costs for low-income students and jobless workers, and offering in-state tuition to undocumented immigrants who attended a state’s K-12 schools.</w:t>
      </w:r>
    </w:p>
    <w:p w14:paraId="76E29E76" w14:textId="77777777" w:rsidR="00CC1229" w:rsidRDefault="00CC1229" w:rsidP="00CC1229">
      <w:r>
        <w:t>Key Measures of State Preparedness</w:t>
      </w:r>
    </w:p>
    <w:p w14:paraId="6EE5FC31" w14:textId="77777777" w:rsidR="00CC1229" w:rsidRDefault="00CC1229" w:rsidP="00CC1229">
      <w:r>
        <w:t>States vary greatly in how well prepared they are for a recession, based on an assessment of the following key policy areas. (See the Appendix for state-specific information.)</w:t>
      </w:r>
    </w:p>
    <w:p w14:paraId="0808D03A" w14:textId="77777777" w:rsidR="00CC1229" w:rsidRDefault="00CC1229" w:rsidP="00CC1229"/>
    <w:p w14:paraId="5528EE40" w14:textId="77777777" w:rsidR="00CC1229" w:rsidRDefault="00CC1229" w:rsidP="00CC1229">
      <w:r>
        <w:t>Adequate Reserves</w:t>
      </w:r>
    </w:p>
    <w:p w14:paraId="1E48FB66" w14:textId="77777777" w:rsidR="00CC1229" w:rsidRDefault="00CC1229" w:rsidP="00CC1229">
      <w:r>
        <w:t xml:space="preserve">States generally try to build up reserves in good times so they’re prepared for recessions and other fiscal emergencies and can avoid cutting public services during these difficult times. The amount of reserves a </w:t>
      </w:r>
      <w:proofErr w:type="gramStart"/>
      <w:r>
        <w:t>state needs</w:t>
      </w:r>
      <w:proofErr w:type="gramEnd"/>
      <w:r>
        <w:t xml:space="preserve"> depends on the potential volatility of its revenues and economy; states dependent on oil and other natural resources are particularly vulnerable because prices for these resources tend to fluctuate a lot. In general, states should aim for reserves equaling 15 percent or more of their budgets.</w:t>
      </w:r>
    </w:p>
    <w:p w14:paraId="70E12BFA" w14:textId="77777777" w:rsidR="00CC1229" w:rsidRDefault="00CC1229" w:rsidP="00CC1229"/>
    <w:p w14:paraId="0961114E" w14:textId="77777777" w:rsidR="00CC1229" w:rsidRDefault="00CC1229" w:rsidP="00CC1229">
      <w:r>
        <w:t>Fourteen states meet that standard today. Wyoming, whose economy depends heavily on natural resources, holds reserves that exceed its entire budget. Most of the other states with reserves equaling at least 15 percent of their budgets — Alaska, Idaho, Nebraska, Nevada, New Mexico, Texas, and West Virginia — also depend on oil or other natural resources. Some states, however, fall far below the 15-percent standard; in Arkansas, Illinois, Kentucky, and Pennsylvania, for example, total reserves are 3 percent of the budget or less.</w:t>
      </w:r>
    </w:p>
    <w:p w14:paraId="6BE19DFF" w14:textId="77777777" w:rsidR="00CC1229" w:rsidRDefault="00CC1229" w:rsidP="00CC1229"/>
    <w:p w14:paraId="49773679" w14:textId="77777777" w:rsidR="00CC1229" w:rsidRDefault="00CC1229" w:rsidP="00CC1229">
      <w:r>
        <w:t>Even accounting for the potential volatility of their revenue systems, Wyoming, Alaska, and North Dakota look well prepared for a downturn given their enormous reserves, according to a “stress testing” analysis by Moody’s Analytics.[6] Among states less reliant on resource extraction, Oregon stands out as particularly well-prepared. But a third of the states are unprepared for even a moderate recession, Moody’s found. (See Figure 1.) The least-prepared states include Louisiana and Oklahoma, whose economies are particularly vulnerable due to their heavy dependence on oil and other natural resources. Both states cut taxes deeply over the last 10-15 years, further weakening their revenue systems. Illinois, Kentucky, New Jersey, and Pennsylvania are also among the more poorly prepared; while their economies are not so volatile, they have exceptionally small reserves, partly because they failed for many years to adequately fund their public employee pension systems and now are struggling to restore those systems’ long-term health.</w:t>
      </w:r>
    </w:p>
    <w:p w14:paraId="7D719D17" w14:textId="77777777" w:rsidR="00CC1229" w:rsidRDefault="00CC1229" w:rsidP="00CC1229"/>
    <w:p w14:paraId="0AA47318" w14:textId="77777777" w:rsidR="00CC1229" w:rsidRDefault="00CC1229" w:rsidP="00CC1229">
      <w:r>
        <w:t xml:space="preserve">No matter how much a state holds in reserves, it won’t matter if policymakers do not or cannot access the reserves when needed. Yet some states severely constrain the use of reserves, such as by limiting how much can be withdrawn </w:t>
      </w:r>
      <w:proofErr w:type="gramStart"/>
      <w:r>
        <w:t>in a given year</w:t>
      </w:r>
      <w:proofErr w:type="gramEnd"/>
      <w:r>
        <w:t>, requiring a supermajority vote in the legislature to approve withdrawals, or requiring replenishment of withdrawn reserves in a set amount of time, even if the economy has not yet recovered. Colorado and Missouri impose all three of these requirements, making their reserves particularly difficult to use when needed. Further, in states with large reserves based on natural resource extraction, such as Alaska, lawmakers cannot easily access most of the reserves, making the reserves less useful in a recession than might at first appear to be the case.</w:t>
      </w:r>
    </w:p>
    <w:p w14:paraId="61E01D62" w14:textId="77777777" w:rsidR="00CC1229" w:rsidRDefault="00CC1229" w:rsidP="00CC1229"/>
    <w:p w14:paraId="6DD4253F" w14:textId="77777777" w:rsidR="00CC1229" w:rsidRDefault="00CC1229" w:rsidP="00CC1229">
      <w:r>
        <w:t>It is important to note that some states have built sizeable reserves by neglecting fundamental investments in their residents’ well-being and long-term prospects. North Carolina’s total reserves, for example, equaled 12.5 percent of the budget at the end of fiscal year 2019, leading Moody’s to find that the state is nearly prepared for a moderate recession. But over the last several years, North Carolina has sharply cut taxes, primarily for the wealthy and corporations, at the expense of schools and other basic public investments. Indeed, the state now operates one of the country’s most poorly funded school systems, with state and local funding per student more than $4,400 below the national average after adjusting for cost of living and other factors that affect state education costs, based on an analysis of 2017 data by the Education Law Center.[7] Thus, while North Carolina’s reserves may be nearly adequate to avoid substantial additional cuts if the looming recession is moderate, the cuts already imposed have weakened its future economic vitality. And if the recession is more severe, North Carolina may impose additional cuts on a school system that already is badly underfunded.</w:t>
      </w:r>
    </w:p>
    <w:p w14:paraId="7EA5CA42" w14:textId="77777777" w:rsidR="00CC1229" w:rsidRDefault="00CC1229" w:rsidP="00CC1229"/>
    <w:p w14:paraId="394D473B" w14:textId="77777777" w:rsidR="00CC1229" w:rsidRDefault="00CC1229" w:rsidP="00CC1229">
      <w:r>
        <w:t>As of March 13, 2020, at least two states, Hawaii and Washington, have drawn on their reserves to respond to the COVID-19 public health crisis. Other states likely will soon follow suit. In the current environment, states should focus on addressing the health crisis and limiting the economic fallout from a recession, especially for the lowest-income families. That means drawing fully on their reserves as the recession develops. Now is not the time to build or hold on to reserves.</w:t>
      </w:r>
    </w:p>
    <w:p w14:paraId="64B262A5" w14:textId="77777777" w:rsidR="00CC1229" w:rsidRDefault="00CC1229" w:rsidP="00CC1229">
      <w:r>
        <w:t>Strong Unemployment Insurance Systems</w:t>
      </w:r>
    </w:p>
    <w:p w14:paraId="2A7F4755" w14:textId="77777777" w:rsidR="00CC1229" w:rsidRDefault="00CC1229" w:rsidP="00CC1229">
      <w:r>
        <w:t>Unemployment insurance (UI), which provides some income for eligible workers who are laid off, is especially crucial during recessions, when many workers lose their jobs as employers scale back production. Income from UI helps workers maintain health insurance and access needed health care, mitigating the worst health effects of a layoff, which studies have linked to poorer health status and higher mortality.[8] UI also helps workers’ families remain relatively stable and avoid homelessness and hunger, ideally until the economy improves and more jobs are available. And it helps the broader economy at a crucial time by boosting demand. That is, because UI provides jobless workers with some income, they’re able to continue purchasing goods and services, which gives businesses a boost at a time when they might otherwise lay off more workers. As a result, the recession never gets as bad as it otherwise would have been.</w:t>
      </w:r>
    </w:p>
    <w:p w14:paraId="6FE0573A" w14:textId="77777777" w:rsidR="00CC1229" w:rsidRDefault="00CC1229" w:rsidP="00CC1229"/>
    <w:p w14:paraId="0C7F33A0" w14:textId="77777777" w:rsidR="00CC1229" w:rsidRDefault="00CC1229" w:rsidP="00CC1229">
      <w:r>
        <w:t>While the federal government imposes certain minimum requirements on state UI systems, states have considerable discretion over benefit levels, eligibility rules, tax levels, and other aspects of their programs. States have used this discretion in very different ways, so state UI systems vary greatly in how prepared they are for the next recession.</w:t>
      </w:r>
    </w:p>
    <w:p w14:paraId="06EC35CE" w14:textId="77777777" w:rsidR="00CC1229" w:rsidRDefault="00CC1229" w:rsidP="00CC1229"/>
    <w:p w14:paraId="2ED8C78D" w14:textId="77777777" w:rsidR="00CC1229" w:rsidRDefault="00CC1229" w:rsidP="00CC1229">
      <w:r>
        <w:t>For instance, from the 1960s until recent years, every state provided a maximum of 26 weeks of benefits, or more, for eligible jobless workers. (The median laid-off worker needed 25.2 weeks to find a new job in 2010, when the last recession’s impact on jobless workers reached its peak.[9]) That changed after the Great Recession, when nine states cut the maximum weeks allowed. The harshest rules are now in Florida and North Carolina, which offer no more than 12 weeks of benefits even in the worst recessions.</w:t>
      </w:r>
    </w:p>
    <w:p w14:paraId="4D6C2A0A" w14:textId="77777777" w:rsidR="00CC1229" w:rsidRDefault="00CC1229" w:rsidP="00CC1229"/>
    <w:p w14:paraId="499595DA" w14:textId="77777777" w:rsidR="00CC1229" w:rsidRDefault="00CC1229" w:rsidP="00CC1229">
      <w:r>
        <w:t>Other state UI eligibility rules also make a crucial difference during recessions. Most UI systems were built for the sort of economy in place decades ago and have never been updated for today’s workforce.[10] For instance, in many states workers laid off from part-time jobs — including parents caring for young children — must seek full-time employment to receive UI. Few states offer UI benefits for people who need to leave their jobs to care for a sick family member. And some states fail to count a worker’s most recent work history when determining eligibility, cutting off many low-income people employed in low-wage industries with volatile work hours. These antiquated rules particularly harm women and people of color, who are more likely to fall through these cracks in UI eligibility rules. For instance, women are much likelier than men to work in part-time jobs and to leave work to care for a family member. And African American workers are much likelier than white workers to experience discrimination in job hiring and treatment on the job, leaving them more often with spotty work histories and therefore less likely to qualify for UI.[11] (African Americans are also particularly likely to live in the South, where UI eligibility rules are generally more restrictive.)</w:t>
      </w:r>
    </w:p>
    <w:p w14:paraId="0AA2AC55" w14:textId="77777777" w:rsidR="00CC1229" w:rsidRDefault="00CC1229" w:rsidP="00CC1229"/>
    <w:p w14:paraId="1DB9EE15" w14:textId="77777777" w:rsidR="00CC1229" w:rsidRDefault="00CC1229" w:rsidP="00CC1229">
      <w:r>
        <w:t xml:space="preserve">The 2009 Recovery Act, adopted after the Great Recession struck, provided federally funded incentives to states to modernize their UI systems. Many states took advantage of these incentives to improve their programs. California, Maine, Nebraska, and the District of Columbia adopted all or nearly </w:t>
      </w:r>
      <w:proofErr w:type="gramStart"/>
      <w:r>
        <w:t>all of</w:t>
      </w:r>
      <w:proofErr w:type="gramEnd"/>
      <w:r>
        <w:t xml:space="preserve"> the reforms the Recovery Act encouraged, such as enabling people who leave work for compelling family reasons to qualify for UI. On the other hand, six states — Alabama, Florida, Kentucky, Mississippi, Missouri, and North Dakota — adopted none of the Recovery Act reforms, leaving federal money on the table.[12]</w:t>
      </w:r>
    </w:p>
    <w:p w14:paraId="00EF4DC3" w14:textId="77777777" w:rsidR="00CC1229" w:rsidRDefault="00CC1229" w:rsidP="00CC1229"/>
    <w:p w14:paraId="7786D2CE" w14:textId="77777777" w:rsidR="00CC1229" w:rsidRDefault="00CC1229" w:rsidP="00CC1229">
      <w:r>
        <w:t>Since state eligibility rules vary so much, their UI systems reach widely varying shares of unemployed people. The UI systems in Mississippi, Nebraska, North Carolina, and South Dakota are barely functioning, reaching less than 10 percent of unemployed workers as of the fourth quarter of 2019. Sixteen states reach less than 20 percent of jobless workers. By contrast, only eight states — California, Connecticut, Iowa, Massachusetts, Minnesota, New Jersey, North Dakota, and Vermont — reach over 40 percent of eligible workers. (See Figure 2.)</w:t>
      </w:r>
    </w:p>
    <w:p w14:paraId="0A52260C" w14:textId="77777777" w:rsidR="00CC1229" w:rsidRDefault="00CC1229" w:rsidP="00CC1229">
      <w:r>
        <w:t xml:space="preserve">The </w:t>
      </w:r>
      <w:proofErr w:type="gramStart"/>
      <w:r>
        <w:t>amount</w:t>
      </w:r>
      <w:proofErr w:type="gramEnd"/>
      <w:r>
        <w:t xml:space="preserve"> of benefits that eligible jobless workers receive also affects how well a state UI system assists families and communities (and the broader economy) during a recession. As with eligibility rules, benefit amounts vary greatly across the states. In five states plus the District of Columbia, the average weekly benefit is only a quarter or less of the average weekly wage. By contrast, Hawaii’s average weekly benefit is more than half the average weekly wage.[13]</w:t>
      </w:r>
    </w:p>
    <w:p w14:paraId="0C8A4718" w14:textId="77777777" w:rsidR="00CC1229" w:rsidRDefault="00CC1229" w:rsidP="00CC1229"/>
    <w:p w14:paraId="2FD6280E" w14:textId="77777777" w:rsidR="00CC1229" w:rsidRDefault="00CC1229" w:rsidP="00CC1229">
      <w:r>
        <w:t>States can also adopt work sharing programs that allow workers facing a potential layoff to share their hours with another employee and supplement their reduced income with UI.[14] This common-sense approach helps businesses retain talented, trained workers during difficult times so these workers can more easily return to full-time work as the economy improves. It also reduces costs for UI systems, which need only make partial payments to workers who otherwise would have no job at all. Yet 22 states lack work share programs, leaving workers and businesses without this option heading into the next recession.[15]</w:t>
      </w:r>
    </w:p>
    <w:p w14:paraId="45CB6DBD" w14:textId="77777777" w:rsidR="00CC1229" w:rsidRDefault="00CC1229" w:rsidP="00CC1229">
      <w:r>
        <w:t>Accessible Medicaid Programs</w:t>
      </w:r>
    </w:p>
    <w:p w14:paraId="283DBE88" w14:textId="77777777" w:rsidR="00CC1229" w:rsidRDefault="00CC1229" w:rsidP="00CC1229">
      <w:r>
        <w:t>Recessions have a significant negative impact on physical and mental health, particularly for people of color, studies show.[16] Programs that help people meet health and social needs during a recession and its aftermath have been shown to mitigate these impacts. Medicaid and the Children’s Health Insurance Program (CHIP) provide low-income Americans with access to needed preventive health services and medical care, but state policies significantly affect who is eligible and whether eligible people can successfully navigate the enrollment and renewal processes.</w:t>
      </w:r>
    </w:p>
    <w:p w14:paraId="63C33D33" w14:textId="77777777" w:rsidR="00CC1229" w:rsidRDefault="00CC1229" w:rsidP="00CC1229"/>
    <w:p w14:paraId="540FA68B" w14:textId="77777777" w:rsidR="00CC1229" w:rsidRDefault="00CC1229" w:rsidP="00CC1229">
      <w:r>
        <w:t>During an economic decline, more people lose their jobs, which often means they lose job-based health coverage. Even people without job-based coverage going into a recession may experience an income decline that makes new coverage options available to them and their families. Some people might newly qualify for premium tax credits to purchase coverage on the health insurance marketplaces, and the lowest-income households could become eligible for Medicaid or (for children and youth) CHIP.</w:t>
      </w:r>
    </w:p>
    <w:p w14:paraId="7774F43D" w14:textId="77777777" w:rsidR="00CC1229" w:rsidRDefault="00CC1229" w:rsidP="00CC1229"/>
    <w:p w14:paraId="5CCACEE1" w14:textId="77777777" w:rsidR="00CC1229" w:rsidRDefault="00CC1229" w:rsidP="00CC1229">
      <w:r>
        <w:t>Medicaid is designed to respond to economic declines: when unemployment rises and incomes fall, enrollment increases. Medicaid and CHIP helped offset the loss of job-based coverage in previous recessions (see text box). To ensure that eligible people who need coverage can enroll, and to make the process as smooth as possible for both them and the state, states should adopt (or maintain) the following policies:</w:t>
      </w:r>
    </w:p>
    <w:p w14:paraId="6B6F7E5A" w14:textId="77777777" w:rsidR="00CC1229" w:rsidRDefault="00CC1229" w:rsidP="00CC1229"/>
    <w:p w14:paraId="2F4F4320" w14:textId="77777777" w:rsidR="00CC1229" w:rsidRDefault="00CC1229" w:rsidP="00CC1229">
      <w:r>
        <w:t>Expanded Medicaid eligibility that covers non-elderly adults with incomes up to 138 percent of the poverty line (currently $17,236 for an individual or $35,535 for a family of four), as allowed under the Affordable Care Act (ACA). Adopting the ACA’s Medicaid expansion makes the program much more responsive to increased need during recessions, and the federal government pays 90 percent of the added costs.[17] Medicaid expansion has also been found to increase coverage rates and improve access to health care among unemployed workers.[18] This is one of the most important things states can do to prepare for the next recession. It is also among the highest-impact ways to cover more people at highest risk for complications related to COVID-19, including seniors not yet eligible for Medicare and people with chronic conditions.</w:t>
      </w:r>
    </w:p>
    <w:p w14:paraId="0ECEE2FE" w14:textId="77777777" w:rsidR="00CC1229" w:rsidRDefault="00CC1229" w:rsidP="00CC1229">
      <w:r>
        <w:t>Streamlined eligibility and enrollment systems to allow individuals to (1) complete and submit applications using a mobile device, (2) scan and upload documents needed to make an eligibility determination, and (3) renew coverage online. Such systems enable individuals to get and maintain coverage even during otherwise complicated times.</w:t>
      </w:r>
    </w:p>
    <w:p w14:paraId="31E6DEE0" w14:textId="77777777" w:rsidR="00CC1229" w:rsidRDefault="00CC1229" w:rsidP="00CC1229">
      <w:r>
        <w:t xml:space="preserve">Automated renewals (sometimes called ex </w:t>
      </w:r>
      <w:proofErr w:type="spellStart"/>
      <w:r>
        <w:t>parte</w:t>
      </w:r>
      <w:proofErr w:type="spellEnd"/>
      <w:r>
        <w:t xml:space="preserve"> renewals), where the state uses existing data sources to automatically redetermine eligibility without requiring action from the individual or a caseworker.</w:t>
      </w:r>
    </w:p>
    <w:p w14:paraId="0100FE7C" w14:textId="77777777" w:rsidR="00CC1229" w:rsidRDefault="00CC1229" w:rsidP="00CC1229">
      <w:r>
        <w:t>Twelve-month continuous eligibility for children in Medicaid and CHIP to ensure that enrolled children stay covered for a full 12 months, regardless of changes in circumstances such as income or household size. This is particularly important in recessions, which can expose children to adverse experiences such as food insecurity, lack of stable housing, family conflict, and child neglect and abuse.[19] Children with stable coverage during these volatile periods are likelier to have a usual source of care and to receive preventive health care, and their families are less likely to delay getting needed care for their children.[20] Notably, as a condition of receiving the increased federal matching dollars, the Families First Coronavirus Response Act prohibits states from terminating Medicaid coverage — for adults or children — for the duration of the public health emergency.[21]</w:t>
      </w:r>
    </w:p>
    <w:p w14:paraId="1E2F9CFC" w14:textId="77777777" w:rsidR="00CC1229" w:rsidRDefault="00CC1229" w:rsidP="00CC1229">
      <w:r>
        <w:t>States also should reject policies that make it harder for eligible people to enroll in and maintain coverage or obtain needed care. The Families First Coronavirus Response Act prohibits states from enacting these kinds of policies as a condition of receiving increased federal matching dollars. But in general, to be best prepared for a recession, states should:</w:t>
      </w:r>
    </w:p>
    <w:p w14:paraId="23A64365" w14:textId="77777777" w:rsidR="00CC1229" w:rsidRDefault="00CC1229" w:rsidP="00CC1229"/>
    <w:p w14:paraId="3C74427C" w14:textId="77777777" w:rsidR="00CC1229" w:rsidRDefault="00CC1229" w:rsidP="00CC1229">
      <w:r>
        <w:t>Reject policies that take Medicaid coverage away from people who do not meet work requirements. Such policies conflict with Medicaid’s central objective — namely, to provide affordable coverage to people who wouldn’t otherwise have it — and are the subject of ongoing legal action. They cause many people who are working or should be exempt to lose coverage because of the increased paperwork and red tape associated with burdensome reporting of work hours or work-related activities and the difficulty of obtaining an exemption.[22] During a recession, when unemployment is higher, work requirements would prevent even more people from obtaining and keeping coverage.</w:t>
      </w:r>
    </w:p>
    <w:p w14:paraId="53276780" w14:textId="77777777" w:rsidR="00CC1229" w:rsidRDefault="00CC1229" w:rsidP="00CC1229">
      <w:r>
        <w:t>Reject premiums and minimize cost sharing, which create unnecessary barriers to maintaining coverage and accessing needed care. The barriers are even harder to clear during a recession, when household incomes are lower. Premiums lead fewer eligible low-income people to participate in Medicaid and CHIP, a large body of research shows.[23] Most of those who don’t enroll or lose coverage remain or become uninsured, so they face barriers to getting care and increased financial instability. Not surprisingly, premiums have the greatest adverse impact on people with the lowest incomes.</w:t>
      </w:r>
    </w:p>
    <w:p w14:paraId="29BA7092" w14:textId="77777777" w:rsidR="00CC1229" w:rsidRDefault="00CC1229" w:rsidP="00CC1229"/>
    <w:p w14:paraId="707D470F" w14:textId="77777777" w:rsidR="00CC1229" w:rsidRDefault="00CC1229" w:rsidP="00CC1229">
      <w:r>
        <w:t>Cost sharing, even when the amount required is very small, can deter enrollees from accessing care and has been shown to have a negative effect on health outcomes.[24]</w:t>
      </w:r>
    </w:p>
    <w:p w14:paraId="111C093B" w14:textId="77777777" w:rsidR="00CC1229" w:rsidRDefault="00CC1229" w:rsidP="00CC1229"/>
    <w:p w14:paraId="7B9ADCCB" w14:textId="77777777" w:rsidR="00CC1229" w:rsidRDefault="00CC1229" w:rsidP="00CC1229">
      <w:r>
        <w:t>New Mexico, Oregon, and Washington meet all six of the conditions listed above for accessible Medicaid programs. Twenty-four states meet at least four of them, 14 states meet three of them, and 11 states meet two. South Dakota meets just one (automated renewals). Tennessee meets none of the six.</w:t>
      </w:r>
    </w:p>
    <w:p w14:paraId="7F155912" w14:textId="77777777" w:rsidR="00CC1229" w:rsidRDefault="00CC1229" w:rsidP="00CC1229">
      <w:r>
        <w:t xml:space="preserve">In addition to the six criteria listed here, states have many other ways to create simple, streamlined enrollment systems.[25] These include expanding the use of presumptive eligibility (that is, providing immediate, temporary Medicaid coverage to individuals who appear income-eligible while the state conducts a full eligibility determination), making real-time eligibility determinations, allowing enrollees to report changes to their household information online, allowing individuals to apply for more than one program at a time (like cash assistance, food assistance, and Medicaid), and adopting optimal policies for using electronic databases to verify eligibility. These kinds of enhancements are </w:t>
      </w:r>
      <w:proofErr w:type="gramStart"/>
      <w:r>
        <w:t>all the more</w:t>
      </w:r>
      <w:proofErr w:type="gramEnd"/>
      <w:r>
        <w:t xml:space="preserve"> important to expedite enrollment and reduce administrative burden on states during the public health emergency.</w:t>
      </w:r>
    </w:p>
    <w:p w14:paraId="7106F528" w14:textId="77777777" w:rsidR="00CC1229" w:rsidRDefault="00CC1229" w:rsidP="00CC1229"/>
    <w:p w14:paraId="32F7F5D8" w14:textId="77777777" w:rsidR="00CC1229" w:rsidRDefault="00CC1229" w:rsidP="00CC1229">
      <w:r>
        <w:t>The Trump Administration has also allowed states to make changes that would harm enrollees or make it harder for eligible people to get coverage. The newest of these is an option to apply for a demonstration project converting the state’s Medicaid program for adults into a form of block grant.[26] Such demonstrations would likely worsen many enrollees’ health by taking away coverage and reducing access to care.[27] Moreover, by capping federal funding, the demonstrations would shift financial risk to states, with federal funding cuts most likely to occur when states can least absorb them. Particularly in this moment, when states face the dual threats of a public health emergency and an economic downturn, any actions to constrict rather than broaden Medicaid’s ability to respond are short-sighted and will harm people in greatest need of assistance.</w:t>
      </w:r>
    </w:p>
    <w:p w14:paraId="6D9F321D" w14:textId="77777777" w:rsidR="00CC1229" w:rsidRDefault="00CC1229" w:rsidP="00CC1229"/>
    <w:p w14:paraId="0F5269CA" w14:textId="77777777" w:rsidR="00CC1229" w:rsidRDefault="00CC1229" w:rsidP="00CC1229">
      <w:r>
        <w:t>Affordable Public Colleges and Universities</w:t>
      </w:r>
    </w:p>
    <w:p w14:paraId="67B1298C" w14:textId="77777777" w:rsidR="00CC1229" w:rsidRDefault="00CC1229" w:rsidP="00CC1229">
      <w:r>
        <w:t>During recessions, when jobs are hard to find and layoffs increase, more people enroll in colleges and universities to boost their skills and training while the economy is weak. This choice benefits both them and state economies in the long term. Yet states vary considerably in how costly, and hence how difficult, they make this choice. The average net price of a public four-year institution — that is, published tuition and fees, room and board, and books and supplies minus the average aid received for a student — equaled at least 35 percent of median household income in Alabama and South Carolina in 2017, compared to 16 percent or less in Alaska, California, and Washington. (See Figure 4.)</w:t>
      </w:r>
    </w:p>
    <w:p w14:paraId="1293BE6C" w14:textId="77777777" w:rsidR="00CC1229" w:rsidRDefault="00CC1229" w:rsidP="00CC1229"/>
    <w:p w14:paraId="48FCF18D" w14:textId="77777777" w:rsidR="00CC1229" w:rsidRDefault="00CC1229" w:rsidP="00CC1229">
      <w:r>
        <w:t>The burden on households of color can be especially great, since they often face added barriers to employment and difficulty accessing better-paying jobs. In 17 states, the average net price of in-state tuition and fees in 2017 comprised 40 percent or more of the median household income for Black households. The average net price comprised 40 percent or more of the median household income for Latino households in seven states.</w:t>
      </w:r>
    </w:p>
    <w:p w14:paraId="2ACB9088" w14:textId="77777777" w:rsidR="00CC1229" w:rsidRDefault="00CC1229" w:rsidP="00CC1229"/>
    <w:p w14:paraId="5E7470DE" w14:textId="77777777" w:rsidR="00CC1229" w:rsidRDefault="00CC1229" w:rsidP="00CC1229">
      <w:r>
        <w:t>A major factor driving this variation is striking differences in how much each state spends on higher education apart from the tuition it collects. Some states push most of the costs of public colleges and universities on to students and their families, making higher education less affordable. In Vermont, New Hampshire, and Delaware, tuition finances at least 75 percent of state spending on higher education; in Pennsylvania, Colorado, and Michigan, tuition accounts for at least 70 percent. At the other end of the spectrum, tuition finances only 17 percent of state higher education spending in Wyoming and 20 percent in California.</w:t>
      </w:r>
    </w:p>
    <w:p w14:paraId="341AEF15" w14:textId="77777777" w:rsidR="00CC1229" w:rsidRDefault="00CC1229" w:rsidP="00CC1229"/>
    <w:p w14:paraId="0852CAD4" w14:textId="77777777" w:rsidR="00CC1229" w:rsidRDefault="00CC1229" w:rsidP="00CC1229">
      <w:r>
        <w:t>States have shifted more college costs to students in recent decades, even as many families have had trouble absorbing additional expenses due to stagnant or declining incomes. From the 1970s through the mid-1980s, tuition and incomes both grew modestly faster than inflation. But by the late 1980s, tuition growth began outpacing income growth. Sharp tuition increases after the Great Recession hit exacerbated the longer-term trend. To make college more affordable and increase access to higher education, states need to reverse the long-term trend of disinvestment and increase funding for public two- and four-year colleges.</w:t>
      </w:r>
    </w:p>
    <w:p w14:paraId="6B3BE474" w14:textId="77777777" w:rsidR="00CC1229" w:rsidRDefault="00CC1229" w:rsidP="00CC1229">
      <w:r>
        <w:t>States can expand access and affordability further by improving immigrants’ access to public colleges and universities. Though federal immigration policy is in turmoil, states can take an inclusive approach to in-state tuition and financial aid that will benefit all residents regardless of immigration status.</w:t>
      </w:r>
    </w:p>
    <w:p w14:paraId="73B8343E" w14:textId="77777777" w:rsidR="00CC1229" w:rsidRDefault="00CC1229" w:rsidP="00CC1229"/>
    <w:p w14:paraId="7CB92355" w14:textId="77777777" w:rsidR="00CC1229" w:rsidRDefault="00CC1229" w:rsidP="00CC1229">
      <w:r>
        <w:t>Undocumented students are eligible for in-state tuition rates in 21 states plus the District of Columbia and have access to state financial aid in 12 states plus the District of Columbia.[28] State aid is essential because families that are undocumented have lower average incomes than other families, and a college education — even at in-state tuition rates — is out of reach for many without financial aid. Students who are undocumented don’t have access to Pell Grants and other federal assistance, which is by far the largest pool of need-based financial aid available to other students.</w:t>
      </w:r>
    </w:p>
    <w:p w14:paraId="658D7AF9" w14:textId="77777777" w:rsidR="00CC1229" w:rsidRDefault="00CC1229" w:rsidP="00CC1229"/>
    <w:p w14:paraId="7FB38F79" w14:textId="77777777" w:rsidR="00CC1229" w:rsidRDefault="00CC1229" w:rsidP="00CC1229">
      <w:r>
        <w:t>States already guarantee all children, no matter their immigration status, a place in K-12 schools to help them reach their potential and develop the educated workers of tomorrow. Giving the state’s high school graduates access to higher education at in-state tuition rates, with access to financial aid, builds on this investment.</w:t>
      </w:r>
    </w:p>
    <w:p w14:paraId="2694202D" w14:textId="77777777" w:rsidR="00CC1229" w:rsidRDefault="00CC1229" w:rsidP="00CC1229"/>
    <w:p w14:paraId="1BA324B5" w14:textId="77777777" w:rsidR="00CC1229" w:rsidRDefault="00CC1229" w:rsidP="00CC1229">
      <w:r>
        <w:t>Putting It All Together: Which States Stand Out?</w:t>
      </w:r>
    </w:p>
    <w:p w14:paraId="5CC3FCBC" w14:textId="77777777" w:rsidR="00CC1229" w:rsidRDefault="00CC1229" w:rsidP="00CC1229">
      <w:r>
        <w:t>States with adequate reserves and an effective safety net for people who lose their jobs or struggle to find work during a recession will fare better during the emerging recession than states that haven’t adequately prepared. With a recession now looming or already underway, states have little additional time to get ready. Policy decisions from past years will shape how their residents fare as the economy weakens.</w:t>
      </w:r>
    </w:p>
    <w:p w14:paraId="65C38EFD" w14:textId="77777777" w:rsidR="00CC1229" w:rsidRDefault="00CC1229" w:rsidP="00CC1229"/>
    <w:p w14:paraId="1A515FD2" w14:textId="77777777" w:rsidR="00CC1229" w:rsidRDefault="00CC1229" w:rsidP="00CC1229">
      <w:r>
        <w:t xml:space="preserve">In some states, those decisions may prove haunting. People who lose their jobs in Mississippi, for example, are especially likely to struggle, since that state scores among the most poorly prepared across the key </w:t>
      </w:r>
      <w:proofErr w:type="gramStart"/>
      <w:r>
        <w:t>policies[</w:t>
      </w:r>
      <w:proofErr w:type="gramEnd"/>
      <w:r>
        <w:t>29] in all four categories considered in this paper. Mississippi ranks 44th in the adequacy of its reserves, 52nd (behind all states, the District of Columbia, and Puerto Rico) in the strength of its unemployment insurance system, and 47th in the affordability of its public universities, and has enacted only two of the six Medicaid provisions recommended for recession-preparedness.</w:t>
      </w:r>
    </w:p>
    <w:p w14:paraId="3ED5C1F2" w14:textId="77777777" w:rsidR="00CC1229" w:rsidRDefault="00CC1229" w:rsidP="00CC1229"/>
    <w:p w14:paraId="297E45C5" w14:textId="77777777" w:rsidR="00CC1229" w:rsidRDefault="00CC1229" w:rsidP="00CC1229">
      <w:r>
        <w:t xml:space="preserve">Other states whose residents may suffer unnecessarily include Louisiana, New Hampshire, and South Dakota, which rank in the bottom ten across three of the four categories.[30] (Florida also ranks in the bottom ten across three </w:t>
      </w:r>
      <w:proofErr w:type="gramStart"/>
      <w:r>
        <w:t>categories, but</w:t>
      </w:r>
      <w:proofErr w:type="gramEnd"/>
      <w:r>
        <w:t xml:space="preserve"> ranks in the top ten in the fourth category — college affordability.) Five additional states — Arkansas, Kentucky, Oklahoma, Pennsylvania, and Tennessee — rank in the bottom ten on two of the four categories.</w:t>
      </w:r>
    </w:p>
    <w:p w14:paraId="6C475CC6" w14:textId="77777777" w:rsidR="00CC1229" w:rsidRDefault="00CC1229" w:rsidP="00CC1229"/>
    <w:p w14:paraId="08BEF957" w14:textId="77777777" w:rsidR="00CC1229" w:rsidRDefault="00CC1229" w:rsidP="00CC1229">
      <w:r>
        <w:t>No state scores among the nation’s top ten in all four of the categories. California, North Dakota, and Oregon, though, score in the top ten in three categories.[31] (California falls somewhat short for adequate reserves, but ranks 15th in that category, while North Dakota and Oregon fall short on college affordability, ranking 15th and 36th, respectively.) Six states — Alaska, Connecticut, Hawaii, New Mexico, New York, and Washington — score in the top ten in two categories and the bottom ten in none.</w:t>
      </w:r>
    </w:p>
    <w:p w14:paraId="2170372E" w14:textId="77777777" w:rsidR="00CC1229" w:rsidRDefault="00CC1229" w:rsidP="00CC1229"/>
    <w:p w14:paraId="69019881" w14:textId="77777777" w:rsidR="00CC1229" w:rsidRDefault="00CC1229" w:rsidP="00CC1229">
      <w:r>
        <w:t xml:space="preserve">The pressures on state finances from the COVID-19 outbreak are mounting and will quickly become severe. States face rising costs as they seek to contain the virus, and those costs will grow rapidly as businesses begin laying off workers and incomes decline, forcing large numbers of people to turn to Medicaid, unemployment insurance, and other forms of public assistance. At the same time, state revenue projections for the coming fiscal year will soon plummet, forcing state budgets out of balance. When that happens, states will start laying off teachers and other public </w:t>
      </w:r>
      <w:proofErr w:type="gramStart"/>
      <w:r>
        <w:t>employees, and</w:t>
      </w:r>
      <w:proofErr w:type="gramEnd"/>
      <w:r>
        <w:t xml:space="preserve"> start cutting back spending in other ways because states must balance their operating budgets annually, even in a recession. These layoffs and spending cuts will worsen the economy’s fall, and in some cases will inflict long-term harm on families and communities.</w:t>
      </w:r>
    </w:p>
    <w:p w14:paraId="7D4480EC" w14:textId="77777777" w:rsidR="00CC1229" w:rsidRDefault="00CC1229" w:rsidP="00CC1229"/>
    <w:p w14:paraId="4812EBCC" w14:textId="77777777" w:rsidR="00CC1229" w:rsidRDefault="00CC1229" w:rsidP="00CC1229">
      <w:r>
        <w:t xml:space="preserve">Federal aid should arrive before states begin implementing these cuts, since the goal is to minimize them. Federal policymakers </w:t>
      </w:r>
      <w:proofErr w:type="gramStart"/>
      <w:r>
        <w:t>must act aggressively now,</w:t>
      </w:r>
      <w:proofErr w:type="gramEnd"/>
      <w:r>
        <w:t xml:space="preserve"> on the cusp of a severe state fiscal crisis, to provide more substantial emergency financial aid to states.</w:t>
      </w:r>
    </w:p>
    <w:p w14:paraId="18ECD9F0" w14:textId="77777777" w:rsidR="00CC1229" w:rsidRDefault="00CC1229" w:rsidP="00CC1229"/>
    <w:p w14:paraId="51718415" w14:textId="77777777" w:rsidR="00CC1229" w:rsidRDefault="00CC1229" w:rsidP="00CC1229">
      <w:r>
        <w:t>States, too, can take steps now — even with a recession looming — to limit the harm done. More specifically, they can take steps described in this paper to:</w:t>
      </w:r>
    </w:p>
    <w:p w14:paraId="0AE506CE" w14:textId="77777777" w:rsidR="00CC1229" w:rsidRDefault="00CC1229" w:rsidP="00CC1229"/>
    <w:p w14:paraId="0F42B2E7" w14:textId="77777777" w:rsidR="00CC1229" w:rsidRDefault="00CC1229" w:rsidP="00CC1229">
      <w:r>
        <w:t>Improve lawmakers’ flexibility to access reserve funds when needed and draw fully on reserves as the recession unfolds, to limit harmful spending cuts to public services.</w:t>
      </w:r>
    </w:p>
    <w:p w14:paraId="0CD605E3" w14:textId="77777777" w:rsidR="00CC1229" w:rsidRDefault="00CC1229" w:rsidP="00CC1229">
      <w:r>
        <w:t>Expand access to unemployment insurance to more jobless workers and make better use of workshare programs so more workers can keep their jobs.</w:t>
      </w:r>
    </w:p>
    <w:p w14:paraId="09AC9143" w14:textId="77777777" w:rsidR="00CC1229" w:rsidRDefault="00CC1229" w:rsidP="00CC1229">
      <w:r>
        <w:t>Expand Medicaid and improve access to the program in other ways, while suspending or eliminating work requirements and cost-sharing provisions.</w:t>
      </w:r>
    </w:p>
    <w:p w14:paraId="3C4D68DE" w14:textId="77777777" w:rsidR="00CC1229" w:rsidRDefault="00CC1229" w:rsidP="00CC1229">
      <w:r>
        <w:t>Make colleges and universities more affordable, for instance by shifting tuition assistance from merit-based to need-based aid, reducing costs for low-income students and jobless workers, and offering in-state tuition to undocumented immigrants who attended a state’s K-12 schools.</w:t>
      </w:r>
    </w:p>
    <w:p w14:paraId="00BCE8F7" w14:textId="77777777" w:rsidR="00CC1229" w:rsidRDefault="00CC1229" w:rsidP="00CC1229"/>
    <w:p w14:paraId="28C10663" w14:textId="77777777" w:rsidR="00B20853" w:rsidRDefault="00B20853" w:rsidP="00B20853">
      <w:pPr>
        <w:pStyle w:val="Heading3"/>
      </w:pPr>
      <w:r>
        <w:t>2AC---Rights Deficit</w:t>
      </w:r>
    </w:p>
    <w:p w14:paraId="101ECB4D" w14:textId="77777777" w:rsidR="00B20853" w:rsidRDefault="00B20853" w:rsidP="00B20853">
      <w:pPr>
        <w:pStyle w:val="Heading4"/>
      </w:pPr>
      <w:r>
        <w:t xml:space="preserve">States can’t solve geographic inequalities, rights-based advantages, or racial discrimination. Federal standards are key to avoid local preferences in implementation. </w:t>
      </w:r>
    </w:p>
    <w:p w14:paraId="0869F974" w14:textId="77777777" w:rsidR="00B20853" w:rsidRDefault="00B20853" w:rsidP="00B20853">
      <w:r w:rsidRPr="00673024">
        <w:t xml:space="preserve">Sarah K. </w:t>
      </w:r>
      <w:r w:rsidRPr="00673024">
        <w:rPr>
          <w:rStyle w:val="Style13ptBold"/>
        </w:rPr>
        <w:t>Bruch et al 22,</w:t>
      </w:r>
      <w:r w:rsidRPr="00673024">
        <w:t xml:space="preserve"> associate professor in the Joseph R. Biden, Jr. School of Public Policy and Administration and the Department of Sociology and Criminal Justice at the University of Delaware. Janet C. </w:t>
      </w:r>
      <w:proofErr w:type="spellStart"/>
      <w:r w:rsidRPr="00673024">
        <w:t>Gornick</w:t>
      </w:r>
      <w:proofErr w:type="spellEnd"/>
      <w:r w:rsidRPr="00673024">
        <w:t xml:space="preserve"> is a professor of political science and sociology, director of the Stone Center on Socio- Economic Inequality, and the James M. and Cathleen D. Stone Distinguished Chair in Socio- Economic Inequality at the Graduate Center at the City University of New York. Joseph van der </w:t>
      </w:r>
      <w:proofErr w:type="spellStart"/>
      <w:r w:rsidRPr="00673024">
        <w:t>Naald</w:t>
      </w:r>
      <w:proofErr w:type="spellEnd"/>
      <w:r w:rsidRPr="00673024">
        <w:t xml:space="preserve"> is a PhD candidate in the sociology program at the Graduate Center of the City University of New York. "Geographic Inequality in Social Provision: Variation across the US States" </w:t>
      </w:r>
      <w:r w:rsidRPr="00673024">
        <w:rPr>
          <w:u w:val="single"/>
        </w:rPr>
        <w:t>Measuring Distribution and Mobility of Income and Wealth</w:t>
      </w:r>
      <w:r w:rsidRPr="00673024">
        <w:t>, Chapter 16.</w:t>
      </w:r>
      <w:r>
        <w:t xml:space="preserve"> //</w:t>
      </w:r>
      <w:proofErr w:type="spellStart"/>
      <w:r>
        <w:t>pipk</w:t>
      </w:r>
      <w:proofErr w:type="spellEnd"/>
    </w:p>
    <w:p w14:paraId="64939E9F" w14:textId="77777777" w:rsidR="00B20853" w:rsidRDefault="00B20853" w:rsidP="00B20853">
      <w:r>
        <w:t xml:space="preserve">Over the past decade, inequality has gained increasing prominence in academic and policy circles. Importantly, </w:t>
      </w:r>
      <w:r w:rsidRPr="001720BC">
        <w:rPr>
          <w:rStyle w:val="StyleUnderline"/>
        </w:rPr>
        <w:t xml:space="preserve">one of the most significant shifts in the study of inequality is a growing appreciation of </w:t>
      </w:r>
      <w:r w:rsidRPr="001720BC">
        <w:rPr>
          <w:rStyle w:val="Emphasis"/>
        </w:rPr>
        <w:t>geographic inequality</w:t>
      </w:r>
      <w:r>
        <w:t xml:space="preserve">, specifically inequality </w:t>
      </w:r>
      <w:r w:rsidRPr="001720BC">
        <w:rPr>
          <w:rStyle w:val="Emphasis"/>
        </w:rPr>
        <w:t>across the 50 US states</w:t>
      </w:r>
      <w:r>
        <w:t xml:space="preserve">. Sparked in part by the landmark work of Raj Chetty and his colleagues, which has demonstrated that </w:t>
      </w:r>
      <w:r w:rsidRPr="00E651CA">
        <w:rPr>
          <w:rStyle w:val="Emphasis"/>
        </w:rPr>
        <w:t>geography matters</w:t>
      </w:r>
      <w:r>
        <w:t xml:space="preserve">— where a child is born, or where an economically vulnerable family lands, shapes their wellbeing, and ultimately their life chances (Chetty and Hendren 2018; Chetty, Hendren, and Katz 2016; Chetty et al. 2020). Growing attention to the geographic aspects of inequality has focused greater attention on distributional inequalities within and between </w:t>
      </w:r>
      <w:proofErr w:type="gramStart"/>
      <w:r>
        <w:t>particular settings</w:t>
      </w:r>
      <w:proofErr w:type="gramEnd"/>
      <w:r>
        <w:t xml:space="preserve"> and</w:t>
      </w:r>
      <w:r w:rsidRPr="0023583C">
        <w:t xml:space="preserve"> </w:t>
      </w:r>
      <w:r>
        <w:t xml:space="preserve">jurisdictions (country, state, or local area). </w:t>
      </w:r>
      <w:r w:rsidRPr="00E651CA">
        <w:rPr>
          <w:rStyle w:val="StyleUnderline"/>
        </w:rPr>
        <w:t>Social policy and policy variation are central to our understanding of these distributional inequalities</w:t>
      </w:r>
      <w:r>
        <w:t>.</w:t>
      </w:r>
    </w:p>
    <w:p w14:paraId="0E391E8B" w14:textId="77777777" w:rsidR="00B20853" w:rsidRDefault="00B20853" w:rsidP="00B20853">
      <w:r>
        <w:t xml:space="preserve">The </w:t>
      </w:r>
      <w:r w:rsidRPr="00810A53">
        <w:rPr>
          <w:rStyle w:val="StyleUnderline"/>
        </w:rPr>
        <w:t>recent economic and public health crises</w:t>
      </w:r>
      <w:r>
        <w:t xml:space="preserve">— from the Great Recession of 2008 to the COVID- 19 pandemic— </w:t>
      </w:r>
      <w:r w:rsidRPr="00810A53">
        <w:rPr>
          <w:rStyle w:val="StyleUnderline"/>
        </w:rPr>
        <w:t>shine a bright light on these geographic inequalities and raise important political and policy questions</w:t>
      </w:r>
      <w:r>
        <w:t xml:space="preserve"> not just about the extent of government or public responsibility for provision in relation to market or family responsibilities (</w:t>
      </w:r>
      <w:proofErr w:type="spellStart"/>
      <w:r>
        <w:t>Esping</w:t>
      </w:r>
      <w:proofErr w:type="spellEnd"/>
      <w:r>
        <w:t xml:space="preserve">- Andersen 1990; </w:t>
      </w:r>
      <w:proofErr w:type="spellStart"/>
      <w:r>
        <w:t>Titmuss</w:t>
      </w:r>
      <w:proofErr w:type="spellEnd"/>
      <w:r>
        <w:t xml:space="preserve"> 1958) but, just as importantly, </w:t>
      </w:r>
      <w:r w:rsidRPr="00810A53">
        <w:rPr>
          <w:rStyle w:val="StyleUnderline"/>
        </w:rPr>
        <w:t>about</w:t>
      </w:r>
      <w:r>
        <w:t xml:space="preserve"> </w:t>
      </w:r>
      <w:r w:rsidRPr="00810A53">
        <w:rPr>
          <w:rStyle w:val="Emphasis"/>
        </w:rPr>
        <w:t>what level of government might most</w:t>
      </w:r>
      <w:r>
        <w:t xml:space="preserve"> efficiently, </w:t>
      </w:r>
      <w:r w:rsidRPr="00810A53">
        <w:rPr>
          <w:rStyle w:val="Emphasis"/>
        </w:rPr>
        <w:t>effectively</w:t>
      </w:r>
      <w:r>
        <w:t xml:space="preserve">, or equitably </w:t>
      </w:r>
      <w:r w:rsidRPr="00810A53">
        <w:rPr>
          <w:rStyle w:val="StyleUnderline"/>
        </w:rPr>
        <w:t>take on that</w:t>
      </w:r>
      <w:r>
        <w:t xml:space="preserve"> public responsibility (Beland and Chantal 2004; Freeman and Rogers 2007; </w:t>
      </w:r>
      <w:proofErr w:type="spellStart"/>
      <w:r>
        <w:t>Obinger</w:t>
      </w:r>
      <w:proofErr w:type="spellEnd"/>
      <w:r>
        <w:t xml:space="preserve">, Castles, and </w:t>
      </w:r>
      <w:proofErr w:type="spellStart"/>
      <w:r>
        <w:t>Leibfried</w:t>
      </w:r>
      <w:proofErr w:type="spellEnd"/>
      <w:r>
        <w:t xml:space="preserve"> 2005). Such jurisdictional or </w:t>
      </w:r>
      <w:r w:rsidRPr="00810A53">
        <w:rPr>
          <w:rStyle w:val="StyleUnderline"/>
        </w:rPr>
        <w:t>geographic inequalities are</w:t>
      </w:r>
      <w:r>
        <w:t xml:space="preserve"> especially </w:t>
      </w:r>
      <w:r w:rsidRPr="00810A53">
        <w:rPr>
          <w:rStyle w:val="StyleUnderline"/>
        </w:rPr>
        <w:t>important for economically vulnerable families.</w:t>
      </w:r>
      <w:r>
        <w:t xml:space="preserve"> Not only do the demographic and employment characteristics of poor families leave them disproportionately exposed to economic dislocations and business cycles (</w:t>
      </w:r>
      <w:proofErr w:type="spellStart"/>
      <w:r>
        <w:t>Bitler</w:t>
      </w:r>
      <w:proofErr w:type="spellEnd"/>
      <w:r>
        <w:t xml:space="preserve">, </w:t>
      </w:r>
      <w:proofErr w:type="spellStart"/>
      <w:r>
        <w:t>Hoynes</w:t>
      </w:r>
      <w:proofErr w:type="spellEnd"/>
      <w:r>
        <w:t xml:space="preserve">, and Kuka 2017; Moffitt and </w:t>
      </w:r>
      <w:proofErr w:type="spellStart"/>
      <w:r>
        <w:t>Ziliak</w:t>
      </w:r>
      <w:proofErr w:type="spellEnd"/>
      <w:r>
        <w:t xml:space="preserve"> 2020), but their place of residence and the ways they are positioned in relation to a shifting, geographically variable safety net offer a disparate and uneven policy response (</w:t>
      </w:r>
      <w:proofErr w:type="spellStart"/>
      <w:r>
        <w:t>Jusko</w:t>
      </w:r>
      <w:proofErr w:type="spellEnd"/>
      <w:r>
        <w:t xml:space="preserve"> and </w:t>
      </w:r>
      <w:proofErr w:type="spellStart"/>
      <w:r>
        <w:t>Weisshaar</w:t>
      </w:r>
      <w:proofErr w:type="spellEnd"/>
      <w:r>
        <w:t xml:space="preserve"> 2019; Laird et al. 2018). A bright light has also been pointed at not only the racially disproportionate impact of these economic and public health crises but also the multifaceted ways that racism is embedded in the design and implementation of social safety net policies (Alexander and Stivers 2020; </w:t>
      </w:r>
      <w:proofErr w:type="spellStart"/>
      <w:r>
        <w:t>Carten</w:t>
      </w:r>
      <w:proofErr w:type="spellEnd"/>
      <w:r>
        <w:t xml:space="preserve"> 2016; Michener 2019; </w:t>
      </w:r>
      <w:proofErr w:type="spellStart"/>
      <w:r>
        <w:t>Soss</w:t>
      </w:r>
      <w:proofErr w:type="spellEnd"/>
      <w:r>
        <w:t>, Fording, and Schram 2011).</w:t>
      </w:r>
    </w:p>
    <w:p w14:paraId="405579BC" w14:textId="77777777" w:rsidR="00B20853" w:rsidRDefault="00B20853" w:rsidP="00B20853">
      <w:r>
        <w:t xml:space="preserve">In this study, we examine how social policy provision measured by the generosity of benefits and inclusiveness of receipt— varies across the 50 US states. Inequality in social provision, we argue, should be viewed as an important case of unequal responses to citizens’ needs. We draw on three types of arguments in making the assertion that cross- state variation is a form of inequality. First, from an equity perspective, citizens with similar needs should have access to the public supports that match those needs (i.e., horizontal equity). Second, </w:t>
      </w:r>
      <w:r w:rsidRPr="006F30F2">
        <w:rPr>
          <w:rStyle w:val="Emphasis"/>
        </w:rPr>
        <w:t xml:space="preserve">from a </w:t>
      </w:r>
      <w:proofErr w:type="gramStart"/>
      <w:r w:rsidRPr="006F30F2">
        <w:rPr>
          <w:rStyle w:val="Emphasis"/>
        </w:rPr>
        <w:t>rights</w:t>
      </w:r>
      <w:proofErr w:type="gramEnd"/>
      <w:r w:rsidRPr="006F30F2">
        <w:rPr>
          <w:rStyle w:val="Emphasis"/>
        </w:rPr>
        <w:t>- based perspective, social or economic rights, and claims to basic resources based on these rights, should have the same standing as civil and political rights, and thus must be universally granted as part of a nation- based social contract</w:t>
      </w:r>
      <w:r>
        <w:t xml:space="preserve"> (Blank 1997; Marshall [1949] 1964). Finally, from a systemic justice perspective, it is necessary to recognize that both historically and in the current moment social policies reflect local norms and structures of inequality in labor relations (</w:t>
      </w:r>
      <w:proofErr w:type="spellStart"/>
      <w:r>
        <w:t>Piven</w:t>
      </w:r>
      <w:proofErr w:type="spellEnd"/>
      <w:r>
        <w:t xml:space="preserve"> and Cloward [1971] 1993), gender relations (Gordon 1994; Orloff 1996), and race relations (Lieberman 1998; </w:t>
      </w:r>
      <w:proofErr w:type="spellStart"/>
      <w:r>
        <w:t>Quadagno</w:t>
      </w:r>
      <w:proofErr w:type="spellEnd"/>
      <w:r>
        <w:t xml:space="preserve"> 1994; </w:t>
      </w:r>
      <w:proofErr w:type="spellStart"/>
      <w:r>
        <w:t>Soss</w:t>
      </w:r>
      <w:proofErr w:type="spellEnd"/>
      <w:r>
        <w:t>, Fording, and Schram 2011); proponents of this perspective argue that policies must be redesigned to disrupt the reinforcement of existing inequalities.</w:t>
      </w:r>
    </w:p>
    <w:p w14:paraId="2A2C06D4" w14:textId="77777777" w:rsidR="00B20853" w:rsidRDefault="00B20853" w:rsidP="00B20853">
      <w:r>
        <w:t xml:space="preserve">In addition to demonstrating the magnitude of </w:t>
      </w:r>
      <w:r w:rsidRPr="0083328D">
        <w:rPr>
          <w:rStyle w:val="StyleUnderline"/>
        </w:rPr>
        <w:t>cross- state inequality in social provision</w:t>
      </w:r>
      <w:r>
        <w:t xml:space="preserve">, we show how this form of inequality </w:t>
      </w:r>
      <w:r w:rsidRPr="0083328D">
        <w:rPr>
          <w:rStyle w:val="StyleUnderline"/>
        </w:rPr>
        <w:t>is related to policy design</w:t>
      </w:r>
      <w:r>
        <w:t xml:space="preserve">; </w:t>
      </w:r>
      <w:r w:rsidRPr="0083328D">
        <w:rPr>
          <w:rStyle w:val="StyleUnderline"/>
        </w:rPr>
        <w:t xml:space="preserve">specifically, to the degree to which the policies are decentralized in terms of administration, financing, and </w:t>
      </w:r>
      <w:proofErr w:type="spellStart"/>
      <w:r w:rsidRPr="0083328D">
        <w:rPr>
          <w:rStyle w:val="StyleUnderline"/>
        </w:rPr>
        <w:t>rule making</w:t>
      </w:r>
      <w:proofErr w:type="spellEnd"/>
      <w:r>
        <w:t xml:space="preserve">. Finally, we explore the degree to which </w:t>
      </w:r>
      <w:r w:rsidRPr="006E57C0">
        <w:rPr>
          <w:rStyle w:val="StyleUnderline"/>
        </w:rPr>
        <w:t>geographic variation in social policy provision maps onto the geographic distribution of racial and ethnic groups across the US states</w:t>
      </w:r>
      <w:r>
        <w:t xml:space="preserve">. Combining these, </w:t>
      </w:r>
      <w:r w:rsidRPr="006E57C0">
        <w:rPr>
          <w:rStyle w:val="StyleUnderline"/>
        </w:rPr>
        <w:t>we highlight stark differences in two social policies</w:t>
      </w:r>
      <w:r>
        <w:t xml:space="preserve">— Supplemental Security Income (SSI), for disabled children, and Temporary Assistance for Needy Families (TANF), cash assistance for poor families— </w:t>
      </w:r>
      <w:r w:rsidRPr="006E57C0">
        <w:rPr>
          <w:rStyle w:val="StyleUnderline"/>
        </w:rPr>
        <w:t>which represent contrasting policy designs and opposite associations with racial composition</w:t>
      </w:r>
      <w:r>
        <w:t xml:space="preserve">. To preview our conclusions, we find that, </w:t>
      </w:r>
      <w:r w:rsidRPr="006E57C0">
        <w:rPr>
          <w:rStyle w:val="StyleUnderline"/>
        </w:rPr>
        <w:t>in the case</w:t>
      </w:r>
      <w:r>
        <w:t xml:space="preserve"> of TANF, </w:t>
      </w:r>
      <w:r w:rsidRPr="006E57C0">
        <w:rPr>
          <w:rStyle w:val="StyleUnderline"/>
        </w:rPr>
        <w:t>in which states have substantial</w:t>
      </w:r>
      <w:r>
        <w:t xml:space="preserve"> policy and administrative </w:t>
      </w:r>
      <w:r w:rsidRPr="006E57C0">
        <w:rPr>
          <w:rStyle w:val="StyleUnderline"/>
        </w:rPr>
        <w:t>discretion, there are strong negative associations with the prevalence of Black residents, whereas in the case</w:t>
      </w:r>
      <w:r>
        <w:t xml:space="preserve"> of SSI, </w:t>
      </w:r>
      <w:r w:rsidRPr="006E57C0">
        <w:rPr>
          <w:rStyle w:val="StyleUnderline"/>
        </w:rPr>
        <w:t xml:space="preserve">in which state discretion is minimal and </w:t>
      </w:r>
      <w:r w:rsidRPr="006E57C0">
        <w:rPr>
          <w:rStyle w:val="Emphasis"/>
        </w:rPr>
        <w:t>federal standards prevail</w:t>
      </w:r>
      <w:r w:rsidRPr="006E57C0">
        <w:rPr>
          <w:rStyle w:val="StyleUnderline"/>
        </w:rPr>
        <w:t>,</w:t>
      </w:r>
      <w:r>
        <w:t xml:space="preserve"> </w:t>
      </w:r>
      <w:r w:rsidRPr="006E57C0">
        <w:rPr>
          <w:rStyle w:val="StyleUnderline"/>
        </w:rPr>
        <w:t>there are strong positive associations with the prevalence of Black residents</w:t>
      </w:r>
      <w:r>
        <w:t xml:space="preserve">. This pattern of social provision and racial composition across programs with different decentralized policy designs suggests that </w:t>
      </w:r>
      <w:r w:rsidRPr="006E57C0">
        <w:rPr>
          <w:rStyle w:val="StyleUnderline"/>
        </w:rPr>
        <w:t>policies with greater state</w:t>
      </w:r>
      <w:r>
        <w:t xml:space="preserve"> and local </w:t>
      </w:r>
      <w:r w:rsidRPr="006E57C0">
        <w:rPr>
          <w:rStyle w:val="StyleUnderline"/>
        </w:rPr>
        <w:t>discretion provide opportunities for the enactment of discriminatory local preferences resulting in racial disparities in access to safety net programs</w:t>
      </w:r>
      <w:r>
        <w:t xml:space="preserve"> (McDaniel et al. 2017; Michener 2019).1</w:t>
      </w:r>
    </w:p>
    <w:p w14:paraId="760EAB35" w14:textId="77777777" w:rsidR="00B20853" w:rsidRDefault="00B20853" w:rsidP="00B20853"/>
    <w:p w14:paraId="2BCB194D" w14:textId="77777777" w:rsidR="00B20853" w:rsidRPr="00CB4AAC" w:rsidRDefault="00B20853" w:rsidP="00B20853"/>
    <w:p w14:paraId="417D3C1F" w14:textId="29A0AF16" w:rsidR="005576D8" w:rsidRDefault="005576D8" w:rsidP="00BC551D">
      <w:pPr>
        <w:pStyle w:val="Heading3"/>
      </w:pPr>
      <w:r>
        <w:t>2AC---AT: Sovereign Wealth Fund</w:t>
      </w:r>
    </w:p>
    <w:p w14:paraId="34861057" w14:textId="1AF0B7B2" w:rsidR="005576D8" w:rsidRDefault="005576D8" w:rsidP="005576D8">
      <w:pPr>
        <w:pStyle w:val="Heading4"/>
      </w:pPr>
      <w:r>
        <w:t xml:space="preserve">Sovereign wealth fund fails </w:t>
      </w:r>
      <w:r w:rsidR="006922C4">
        <w:t xml:space="preserve">to solve redistribution </w:t>
      </w:r>
      <w:r>
        <w:t xml:space="preserve">and spurs oil </w:t>
      </w:r>
      <w:r w:rsidR="006922C4">
        <w:t xml:space="preserve">and natural gas investments that hurt the </w:t>
      </w:r>
      <w:proofErr w:type="gramStart"/>
      <w:r w:rsidR="006922C4">
        <w:t>environment</w:t>
      </w:r>
      <w:proofErr w:type="gramEnd"/>
    </w:p>
    <w:p w14:paraId="0435B3AD" w14:textId="77777777" w:rsidR="005576D8" w:rsidRDefault="005576D8" w:rsidP="005576D8">
      <w:r w:rsidRPr="000525CD">
        <w:t xml:space="preserve">Nolan </w:t>
      </w:r>
      <w:r w:rsidRPr="000525CD">
        <w:rPr>
          <w:rStyle w:val="Style13ptBold"/>
        </w:rPr>
        <w:t>Downey 22</w:t>
      </w:r>
      <w:r w:rsidRPr="000525CD">
        <w:t>, Staff Attorney for the Legal Impact Network at the Shriver Center on Poverty Law. Economic Security Project. April 13. "Guaranteed Income</w:t>
      </w:r>
      <w:r>
        <w:t>: States Lead the Way in Reimagining the Social Safety Net”</w:t>
      </w:r>
      <w:r w:rsidRPr="000525CD">
        <w:t xml:space="preserve"> </w:t>
      </w:r>
      <w:hyperlink r:id="rId46" w:history="1">
        <w:r w:rsidRPr="002F76AE">
          <w:rPr>
            <w:rStyle w:val="Hyperlink"/>
          </w:rPr>
          <w:t>https://economicsecurityproject.org/resource/states-lead/</w:t>
        </w:r>
      </w:hyperlink>
      <w:r>
        <w:t xml:space="preserve"> //</w:t>
      </w:r>
      <w:proofErr w:type="spellStart"/>
      <w:proofErr w:type="gramStart"/>
      <w:r>
        <w:t>pipk</w:t>
      </w:r>
      <w:proofErr w:type="spellEnd"/>
      <w:proofErr w:type="gramEnd"/>
    </w:p>
    <w:p w14:paraId="31F8C66F" w14:textId="77777777" w:rsidR="005576D8" w:rsidRDefault="005576D8" w:rsidP="005576D8">
      <w:r>
        <w:t xml:space="preserve">It is worth noting that </w:t>
      </w:r>
      <w:r w:rsidRPr="00846C54">
        <w:rPr>
          <w:rStyle w:val="Emphasis"/>
          <w:highlight w:val="cyan"/>
        </w:rPr>
        <w:t>the sovereign wealth fund model may weaken</w:t>
      </w:r>
      <w:r w:rsidRPr="00276E56">
        <w:rPr>
          <w:rStyle w:val="Emphasis"/>
        </w:rPr>
        <w:t xml:space="preserve"> a publicly-funded guaranteed income program’s </w:t>
      </w:r>
      <w:r w:rsidRPr="00846C54">
        <w:rPr>
          <w:rStyle w:val="Emphasis"/>
          <w:highlight w:val="cyan"/>
        </w:rPr>
        <w:t>potential to be redistributive</w:t>
      </w:r>
      <w:r>
        <w:t xml:space="preserve"> – </w:t>
      </w:r>
      <w:r w:rsidRPr="00276E56">
        <w:rPr>
          <w:rStyle w:val="Emphasis"/>
        </w:rPr>
        <w:t xml:space="preserve">shrinking income inequality </w:t>
      </w:r>
      <w:r w:rsidRPr="00846C54">
        <w:rPr>
          <w:rStyle w:val="Emphasis"/>
          <w:highlight w:val="cyan"/>
        </w:rPr>
        <w:t>by raising tax burdens</w:t>
      </w:r>
      <w:r w:rsidRPr="00276E56">
        <w:rPr>
          <w:rStyle w:val="Emphasis"/>
        </w:rPr>
        <w:t xml:space="preserve"> on wealthy individuals and corporations and distributing it to those at the bottom of the income hierarchy</w:t>
      </w:r>
      <w:r>
        <w:t xml:space="preserve">. </w:t>
      </w:r>
      <w:r w:rsidRPr="005576D8">
        <w:rPr>
          <w:rStyle w:val="StyleUnderline"/>
        </w:rPr>
        <w:t>Investing</w:t>
      </w:r>
      <w:r>
        <w:t xml:space="preserve"> large sums of public money in sovereign wealth funds </w:t>
      </w:r>
      <w:r w:rsidRPr="005576D8">
        <w:rPr>
          <w:rStyle w:val="StyleUnderline"/>
        </w:rPr>
        <w:t>could undermine this objective if the best strategy for growing the fund is investment in large corporations, “blue-chip-stocks”, and private equity firms</w:t>
      </w:r>
      <w:r>
        <w:t xml:space="preserve">.51 </w:t>
      </w:r>
      <w:r w:rsidRPr="005576D8">
        <w:rPr>
          <w:rStyle w:val="StyleUnderline"/>
        </w:rPr>
        <w:t>Such an approach could perpetuate the funneling of money upward on the income spectrum, and further harm the environment by encouraging investment in unsustainable extractive industries like oil and natural gas</w:t>
      </w:r>
      <w:r>
        <w:t xml:space="preserve">. </w:t>
      </w:r>
    </w:p>
    <w:p w14:paraId="31C596C4" w14:textId="77777777" w:rsidR="005576D8" w:rsidRPr="005576D8" w:rsidRDefault="005576D8" w:rsidP="005576D8"/>
    <w:sectPr w:rsidR="005576D8" w:rsidRPr="005576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40E5BD" w14:textId="77777777" w:rsidR="00BC396E" w:rsidRDefault="00BC396E" w:rsidP="00066D2C">
      <w:pPr>
        <w:spacing w:after="0" w:line="240" w:lineRule="auto"/>
      </w:pPr>
      <w:r>
        <w:separator/>
      </w:r>
    </w:p>
  </w:endnote>
  <w:endnote w:type="continuationSeparator" w:id="0">
    <w:p w14:paraId="03A42684" w14:textId="77777777" w:rsidR="00BC396E" w:rsidRDefault="00BC396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7B0510" w14:textId="77777777" w:rsidR="00BC396E" w:rsidRDefault="00BC396E" w:rsidP="00066D2C">
      <w:pPr>
        <w:spacing w:after="0" w:line="240" w:lineRule="auto"/>
      </w:pPr>
      <w:r>
        <w:separator/>
      </w:r>
    </w:p>
  </w:footnote>
  <w:footnote w:type="continuationSeparator" w:id="0">
    <w:p w14:paraId="01AFD609" w14:textId="77777777" w:rsidR="00BC396E" w:rsidRDefault="00BC396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B677F"/>
    <w:multiLevelType w:val="hybridMultilevel"/>
    <w:tmpl w:val="F3B62E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AE59FA"/>
    <w:multiLevelType w:val="hybridMultilevel"/>
    <w:tmpl w:val="7B76D0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0738291">
    <w:abstractNumId w:val="1"/>
  </w:num>
  <w:num w:numId="2" w16cid:durableId="229078413">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82725092976"/>
    <w:docVar w:name="VerbatimVersion" w:val="6.0.0"/>
    <w:docVar w:name="WordVersion" w:val="16.0"/>
  </w:docVars>
  <w:rsids>
    <w:rsidRoot w:val="006A079B"/>
    <w:rsid w:val="00001C7E"/>
    <w:rsid w:val="000020AC"/>
    <w:rsid w:val="0000487C"/>
    <w:rsid w:val="00011FEF"/>
    <w:rsid w:val="00012AA0"/>
    <w:rsid w:val="000133F6"/>
    <w:rsid w:val="00013C7D"/>
    <w:rsid w:val="00013C8B"/>
    <w:rsid w:val="00021A21"/>
    <w:rsid w:val="00022B57"/>
    <w:rsid w:val="00022B9F"/>
    <w:rsid w:val="00023AEF"/>
    <w:rsid w:val="000250CA"/>
    <w:rsid w:val="00026553"/>
    <w:rsid w:val="00026751"/>
    <w:rsid w:val="000274AD"/>
    <w:rsid w:val="000304AD"/>
    <w:rsid w:val="00032119"/>
    <w:rsid w:val="00040EDC"/>
    <w:rsid w:val="00041D79"/>
    <w:rsid w:val="000427BD"/>
    <w:rsid w:val="00043C82"/>
    <w:rsid w:val="000441F5"/>
    <w:rsid w:val="00045AEE"/>
    <w:rsid w:val="0004720C"/>
    <w:rsid w:val="00050713"/>
    <w:rsid w:val="000525CD"/>
    <w:rsid w:val="00053B2B"/>
    <w:rsid w:val="00053D0F"/>
    <w:rsid w:val="00056966"/>
    <w:rsid w:val="00057141"/>
    <w:rsid w:val="000615B0"/>
    <w:rsid w:val="00062246"/>
    <w:rsid w:val="00063921"/>
    <w:rsid w:val="000657E9"/>
    <w:rsid w:val="00066D2C"/>
    <w:rsid w:val="0006764D"/>
    <w:rsid w:val="0007328F"/>
    <w:rsid w:val="00074F1E"/>
    <w:rsid w:val="0007573B"/>
    <w:rsid w:val="0007578B"/>
    <w:rsid w:val="0007692C"/>
    <w:rsid w:val="00076EA7"/>
    <w:rsid w:val="00080E37"/>
    <w:rsid w:val="00080F27"/>
    <w:rsid w:val="000812EB"/>
    <w:rsid w:val="00083982"/>
    <w:rsid w:val="00086E5C"/>
    <w:rsid w:val="00087197"/>
    <w:rsid w:val="00090C3E"/>
    <w:rsid w:val="000912B1"/>
    <w:rsid w:val="0009143D"/>
    <w:rsid w:val="00092FE9"/>
    <w:rsid w:val="00093AB9"/>
    <w:rsid w:val="00094983"/>
    <w:rsid w:val="00094DF4"/>
    <w:rsid w:val="000961CD"/>
    <w:rsid w:val="000A0198"/>
    <w:rsid w:val="000A0585"/>
    <w:rsid w:val="000A218A"/>
    <w:rsid w:val="000A239C"/>
    <w:rsid w:val="000A4AE6"/>
    <w:rsid w:val="000A5EE1"/>
    <w:rsid w:val="000A64BA"/>
    <w:rsid w:val="000B3425"/>
    <w:rsid w:val="000B4507"/>
    <w:rsid w:val="000B4B7F"/>
    <w:rsid w:val="000B5FBB"/>
    <w:rsid w:val="000B6974"/>
    <w:rsid w:val="000B6B3E"/>
    <w:rsid w:val="000C137E"/>
    <w:rsid w:val="000C1644"/>
    <w:rsid w:val="000C1E23"/>
    <w:rsid w:val="000C45FF"/>
    <w:rsid w:val="000C732F"/>
    <w:rsid w:val="000D0D08"/>
    <w:rsid w:val="000D25DB"/>
    <w:rsid w:val="000D4278"/>
    <w:rsid w:val="000D614C"/>
    <w:rsid w:val="000D739E"/>
    <w:rsid w:val="000D7A2C"/>
    <w:rsid w:val="000E0913"/>
    <w:rsid w:val="000E13F7"/>
    <w:rsid w:val="000E1546"/>
    <w:rsid w:val="000E2525"/>
    <w:rsid w:val="000E51DA"/>
    <w:rsid w:val="000E7488"/>
    <w:rsid w:val="000F3947"/>
    <w:rsid w:val="000F5C68"/>
    <w:rsid w:val="000F6390"/>
    <w:rsid w:val="000F6530"/>
    <w:rsid w:val="000F775F"/>
    <w:rsid w:val="00100CB0"/>
    <w:rsid w:val="001014FC"/>
    <w:rsid w:val="0010417F"/>
    <w:rsid w:val="0010424F"/>
    <w:rsid w:val="00105540"/>
    <w:rsid w:val="00105C8A"/>
    <w:rsid w:val="00107981"/>
    <w:rsid w:val="001119CE"/>
    <w:rsid w:val="001128A3"/>
    <w:rsid w:val="00114316"/>
    <w:rsid w:val="001149FE"/>
    <w:rsid w:val="00117F85"/>
    <w:rsid w:val="00117F87"/>
    <w:rsid w:val="001214C7"/>
    <w:rsid w:val="001218F5"/>
    <w:rsid w:val="00122202"/>
    <w:rsid w:val="00123EB6"/>
    <w:rsid w:val="00127061"/>
    <w:rsid w:val="00131B53"/>
    <w:rsid w:val="001327C1"/>
    <w:rsid w:val="001329A3"/>
    <w:rsid w:val="00134120"/>
    <w:rsid w:val="001356C8"/>
    <w:rsid w:val="001378C8"/>
    <w:rsid w:val="00140A6B"/>
    <w:rsid w:val="001445A1"/>
    <w:rsid w:val="00144AD4"/>
    <w:rsid w:val="00146731"/>
    <w:rsid w:val="00146F2E"/>
    <w:rsid w:val="0015080C"/>
    <w:rsid w:val="00150A2E"/>
    <w:rsid w:val="00152BF7"/>
    <w:rsid w:val="00152FED"/>
    <w:rsid w:val="00154CEF"/>
    <w:rsid w:val="00155677"/>
    <w:rsid w:val="00157114"/>
    <w:rsid w:val="0016151F"/>
    <w:rsid w:val="00162B31"/>
    <w:rsid w:val="00163574"/>
    <w:rsid w:val="001645D4"/>
    <w:rsid w:val="0016567B"/>
    <w:rsid w:val="0016568A"/>
    <w:rsid w:val="001677E8"/>
    <w:rsid w:val="00170922"/>
    <w:rsid w:val="00170A72"/>
    <w:rsid w:val="00171A2A"/>
    <w:rsid w:val="00171C23"/>
    <w:rsid w:val="00171D77"/>
    <w:rsid w:val="001720BC"/>
    <w:rsid w:val="001723BA"/>
    <w:rsid w:val="00175157"/>
    <w:rsid w:val="00175A0C"/>
    <w:rsid w:val="00180A4E"/>
    <w:rsid w:val="00181F58"/>
    <w:rsid w:val="001821D7"/>
    <w:rsid w:val="001830C8"/>
    <w:rsid w:val="00185676"/>
    <w:rsid w:val="00186B65"/>
    <w:rsid w:val="00190CDA"/>
    <w:rsid w:val="00196816"/>
    <w:rsid w:val="001971E1"/>
    <w:rsid w:val="0019779A"/>
    <w:rsid w:val="001977CD"/>
    <w:rsid w:val="0019782C"/>
    <w:rsid w:val="001A07A2"/>
    <w:rsid w:val="001A1422"/>
    <w:rsid w:val="001A25E6"/>
    <w:rsid w:val="001A3079"/>
    <w:rsid w:val="001A4D9A"/>
    <w:rsid w:val="001A6960"/>
    <w:rsid w:val="001A73BD"/>
    <w:rsid w:val="001B1595"/>
    <w:rsid w:val="001B1762"/>
    <w:rsid w:val="001B18CF"/>
    <w:rsid w:val="001B2C27"/>
    <w:rsid w:val="001B5E5B"/>
    <w:rsid w:val="001B7B43"/>
    <w:rsid w:val="001C0690"/>
    <w:rsid w:val="001C0A69"/>
    <w:rsid w:val="001C0B21"/>
    <w:rsid w:val="001C3BB1"/>
    <w:rsid w:val="001C48D7"/>
    <w:rsid w:val="001C4B81"/>
    <w:rsid w:val="001D1994"/>
    <w:rsid w:val="001D4E7C"/>
    <w:rsid w:val="001D61AD"/>
    <w:rsid w:val="001D6D5C"/>
    <w:rsid w:val="001D76DC"/>
    <w:rsid w:val="001D7A6D"/>
    <w:rsid w:val="001E4A64"/>
    <w:rsid w:val="001E531E"/>
    <w:rsid w:val="001E61F5"/>
    <w:rsid w:val="001F0C01"/>
    <w:rsid w:val="001F11E4"/>
    <w:rsid w:val="001F1F4D"/>
    <w:rsid w:val="001F2879"/>
    <w:rsid w:val="001F3337"/>
    <w:rsid w:val="001F4BFD"/>
    <w:rsid w:val="001F4C8C"/>
    <w:rsid w:val="001F6935"/>
    <w:rsid w:val="001F79B8"/>
    <w:rsid w:val="002005AF"/>
    <w:rsid w:val="00200C1A"/>
    <w:rsid w:val="0020178B"/>
    <w:rsid w:val="00202297"/>
    <w:rsid w:val="002052E3"/>
    <w:rsid w:val="00210DC2"/>
    <w:rsid w:val="002110D6"/>
    <w:rsid w:val="00211191"/>
    <w:rsid w:val="00211BDB"/>
    <w:rsid w:val="00212D84"/>
    <w:rsid w:val="002152F9"/>
    <w:rsid w:val="0021530A"/>
    <w:rsid w:val="002212A9"/>
    <w:rsid w:val="00221528"/>
    <w:rsid w:val="002227A2"/>
    <w:rsid w:val="002234FB"/>
    <w:rsid w:val="00224281"/>
    <w:rsid w:val="00224997"/>
    <w:rsid w:val="00224F93"/>
    <w:rsid w:val="00225437"/>
    <w:rsid w:val="00225D09"/>
    <w:rsid w:val="00226059"/>
    <w:rsid w:val="002263A1"/>
    <w:rsid w:val="00227FF7"/>
    <w:rsid w:val="00232746"/>
    <w:rsid w:val="00232DD4"/>
    <w:rsid w:val="0023583C"/>
    <w:rsid w:val="00235A75"/>
    <w:rsid w:val="00236707"/>
    <w:rsid w:val="00236BEB"/>
    <w:rsid w:val="00241116"/>
    <w:rsid w:val="00241DD7"/>
    <w:rsid w:val="0024328E"/>
    <w:rsid w:val="00243D4C"/>
    <w:rsid w:val="00245C8F"/>
    <w:rsid w:val="00245CF7"/>
    <w:rsid w:val="00246896"/>
    <w:rsid w:val="00246EB7"/>
    <w:rsid w:val="002508CB"/>
    <w:rsid w:val="002514A7"/>
    <w:rsid w:val="00252C90"/>
    <w:rsid w:val="002530CE"/>
    <w:rsid w:val="00253733"/>
    <w:rsid w:val="00256AC0"/>
    <w:rsid w:val="002573AF"/>
    <w:rsid w:val="0026184C"/>
    <w:rsid w:val="002638AF"/>
    <w:rsid w:val="00263CC5"/>
    <w:rsid w:val="00271866"/>
    <w:rsid w:val="00276E12"/>
    <w:rsid w:val="00276E56"/>
    <w:rsid w:val="00277BB1"/>
    <w:rsid w:val="00281B05"/>
    <w:rsid w:val="00282932"/>
    <w:rsid w:val="00282FFC"/>
    <w:rsid w:val="00285235"/>
    <w:rsid w:val="00285AF9"/>
    <w:rsid w:val="002878D0"/>
    <w:rsid w:val="002902DD"/>
    <w:rsid w:val="00290F1B"/>
    <w:rsid w:val="00291C09"/>
    <w:rsid w:val="002949B4"/>
    <w:rsid w:val="002959DC"/>
    <w:rsid w:val="00295D53"/>
    <w:rsid w:val="00297AF0"/>
    <w:rsid w:val="002A0991"/>
    <w:rsid w:val="002A0D7B"/>
    <w:rsid w:val="002A1326"/>
    <w:rsid w:val="002A3018"/>
    <w:rsid w:val="002A4DA5"/>
    <w:rsid w:val="002A57B1"/>
    <w:rsid w:val="002B0C2C"/>
    <w:rsid w:val="002B1F22"/>
    <w:rsid w:val="002B2116"/>
    <w:rsid w:val="002B3050"/>
    <w:rsid w:val="002B5580"/>
    <w:rsid w:val="002B5F0C"/>
    <w:rsid w:val="002C0731"/>
    <w:rsid w:val="002C0B33"/>
    <w:rsid w:val="002C2E59"/>
    <w:rsid w:val="002C30D9"/>
    <w:rsid w:val="002C3E06"/>
    <w:rsid w:val="002C638A"/>
    <w:rsid w:val="002C6C7D"/>
    <w:rsid w:val="002C769C"/>
    <w:rsid w:val="002D1D47"/>
    <w:rsid w:val="002D2594"/>
    <w:rsid w:val="002D3647"/>
    <w:rsid w:val="002D418C"/>
    <w:rsid w:val="002D511E"/>
    <w:rsid w:val="002E1FF5"/>
    <w:rsid w:val="002E36DB"/>
    <w:rsid w:val="002E42F0"/>
    <w:rsid w:val="002E5FBB"/>
    <w:rsid w:val="002E663F"/>
    <w:rsid w:val="002F0384"/>
    <w:rsid w:val="002F1970"/>
    <w:rsid w:val="002F276B"/>
    <w:rsid w:val="002F28CE"/>
    <w:rsid w:val="002F2CFC"/>
    <w:rsid w:val="002F37D1"/>
    <w:rsid w:val="002F5760"/>
    <w:rsid w:val="002F5A47"/>
    <w:rsid w:val="002F636E"/>
    <w:rsid w:val="00300F2F"/>
    <w:rsid w:val="00304257"/>
    <w:rsid w:val="00304A78"/>
    <w:rsid w:val="00305D0E"/>
    <w:rsid w:val="00306FDE"/>
    <w:rsid w:val="00307FBA"/>
    <w:rsid w:val="00310504"/>
    <w:rsid w:val="003106D9"/>
    <w:rsid w:val="00311112"/>
    <w:rsid w:val="00311C1F"/>
    <w:rsid w:val="0031266A"/>
    <w:rsid w:val="0031761F"/>
    <w:rsid w:val="00323E50"/>
    <w:rsid w:val="00324C66"/>
    <w:rsid w:val="003264E7"/>
    <w:rsid w:val="00326652"/>
    <w:rsid w:val="003316A9"/>
    <w:rsid w:val="00333A69"/>
    <w:rsid w:val="00334A3D"/>
    <w:rsid w:val="003352D6"/>
    <w:rsid w:val="00342002"/>
    <w:rsid w:val="00342A04"/>
    <w:rsid w:val="00344D24"/>
    <w:rsid w:val="003454D5"/>
    <w:rsid w:val="00345BF2"/>
    <w:rsid w:val="00347131"/>
    <w:rsid w:val="003479B5"/>
    <w:rsid w:val="003500B6"/>
    <w:rsid w:val="00351396"/>
    <w:rsid w:val="00352622"/>
    <w:rsid w:val="00355B45"/>
    <w:rsid w:val="00357F5B"/>
    <w:rsid w:val="00361FA0"/>
    <w:rsid w:val="0036464B"/>
    <w:rsid w:val="00364CBB"/>
    <w:rsid w:val="0036560A"/>
    <w:rsid w:val="003662DB"/>
    <w:rsid w:val="00367D96"/>
    <w:rsid w:val="003706D8"/>
    <w:rsid w:val="00373B7F"/>
    <w:rsid w:val="003753F6"/>
    <w:rsid w:val="003755FD"/>
    <w:rsid w:val="003779C8"/>
    <w:rsid w:val="00382DF7"/>
    <w:rsid w:val="00385650"/>
    <w:rsid w:val="0039157C"/>
    <w:rsid w:val="003925BD"/>
    <w:rsid w:val="00392D93"/>
    <w:rsid w:val="00393EF2"/>
    <w:rsid w:val="00394F71"/>
    <w:rsid w:val="00396D52"/>
    <w:rsid w:val="00397DE6"/>
    <w:rsid w:val="003A3A21"/>
    <w:rsid w:val="003A46B4"/>
    <w:rsid w:val="003A5CE8"/>
    <w:rsid w:val="003A698D"/>
    <w:rsid w:val="003B17B3"/>
    <w:rsid w:val="003B4705"/>
    <w:rsid w:val="003B4F86"/>
    <w:rsid w:val="003B734D"/>
    <w:rsid w:val="003B7F69"/>
    <w:rsid w:val="003C177C"/>
    <w:rsid w:val="003C251E"/>
    <w:rsid w:val="003C3CCA"/>
    <w:rsid w:val="003C6CA9"/>
    <w:rsid w:val="003C72FD"/>
    <w:rsid w:val="003D3A41"/>
    <w:rsid w:val="003D3B44"/>
    <w:rsid w:val="003D4150"/>
    <w:rsid w:val="003D5367"/>
    <w:rsid w:val="003E29A4"/>
    <w:rsid w:val="003E3F0B"/>
    <w:rsid w:val="003E40A7"/>
    <w:rsid w:val="003F1D73"/>
    <w:rsid w:val="003F3920"/>
    <w:rsid w:val="003F4723"/>
    <w:rsid w:val="003F4D5F"/>
    <w:rsid w:val="00402050"/>
    <w:rsid w:val="00402C5A"/>
    <w:rsid w:val="004037BE"/>
    <w:rsid w:val="00403823"/>
    <w:rsid w:val="00405AD7"/>
    <w:rsid w:val="00406D99"/>
    <w:rsid w:val="0040740D"/>
    <w:rsid w:val="0041175F"/>
    <w:rsid w:val="00412500"/>
    <w:rsid w:val="004127EF"/>
    <w:rsid w:val="00414E29"/>
    <w:rsid w:val="00414EB4"/>
    <w:rsid w:val="0041513F"/>
    <w:rsid w:val="0041635D"/>
    <w:rsid w:val="004203ED"/>
    <w:rsid w:val="004208C6"/>
    <w:rsid w:val="0042108A"/>
    <w:rsid w:val="00425531"/>
    <w:rsid w:val="00425A83"/>
    <w:rsid w:val="00426CC6"/>
    <w:rsid w:val="00427757"/>
    <w:rsid w:val="00431905"/>
    <w:rsid w:val="004326E6"/>
    <w:rsid w:val="00432F5F"/>
    <w:rsid w:val="0043419E"/>
    <w:rsid w:val="0043450D"/>
    <w:rsid w:val="004348C6"/>
    <w:rsid w:val="00434BCC"/>
    <w:rsid w:val="004350BF"/>
    <w:rsid w:val="00435588"/>
    <w:rsid w:val="00435F97"/>
    <w:rsid w:val="004404FD"/>
    <w:rsid w:val="004406BE"/>
    <w:rsid w:val="004433A0"/>
    <w:rsid w:val="004436F8"/>
    <w:rsid w:val="00443D84"/>
    <w:rsid w:val="00447BAE"/>
    <w:rsid w:val="00450599"/>
    <w:rsid w:val="00450DA4"/>
    <w:rsid w:val="00453B09"/>
    <w:rsid w:val="004546C5"/>
    <w:rsid w:val="00454F90"/>
    <w:rsid w:val="00455B91"/>
    <w:rsid w:val="004579CB"/>
    <w:rsid w:val="00457F13"/>
    <w:rsid w:val="004604DA"/>
    <w:rsid w:val="004621FE"/>
    <w:rsid w:val="00462267"/>
    <w:rsid w:val="00462B60"/>
    <w:rsid w:val="00467BC5"/>
    <w:rsid w:val="004710A9"/>
    <w:rsid w:val="00472FAB"/>
    <w:rsid w:val="00474688"/>
    <w:rsid w:val="00474720"/>
    <w:rsid w:val="00480A40"/>
    <w:rsid w:val="00481828"/>
    <w:rsid w:val="00482007"/>
    <w:rsid w:val="004827C9"/>
    <w:rsid w:val="00485F09"/>
    <w:rsid w:val="00486F5E"/>
    <w:rsid w:val="004875B9"/>
    <w:rsid w:val="00487E71"/>
    <w:rsid w:val="00491C5F"/>
    <w:rsid w:val="0049276C"/>
    <w:rsid w:val="0049341D"/>
    <w:rsid w:val="00493993"/>
    <w:rsid w:val="00493AA8"/>
    <w:rsid w:val="004976EC"/>
    <w:rsid w:val="004A219A"/>
    <w:rsid w:val="004A2B4E"/>
    <w:rsid w:val="004A40AB"/>
    <w:rsid w:val="004A539A"/>
    <w:rsid w:val="004A74B8"/>
    <w:rsid w:val="004B383D"/>
    <w:rsid w:val="004B3C97"/>
    <w:rsid w:val="004B4D3B"/>
    <w:rsid w:val="004B5436"/>
    <w:rsid w:val="004C153A"/>
    <w:rsid w:val="004C2990"/>
    <w:rsid w:val="004C5E96"/>
    <w:rsid w:val="004C7B42"/>
    <w:rsid w:val="004D05AA"/>
    <w:rsid w:val="004D14C3"/>
    <w:rsid w:val="004D2C8F"/>
    <w:rsid w:val="004D43AE"/>
    <w:rsid w:val="004D4D26"/>
    <w:rsid w:val="004D5EAC"/>
    <w:rsid w:val="004D6DE1"/>
    <w:rsid w:val="004D6EEE"/>
    <w:rsid w:val="004D73E6"/>
    <w:rsid w:val="004D7543"/>
    <w:rsid w:val="004D7907"/>
    <w:rsid w:val="004E0C71"/>
    <w:rsid w:val="004E6CD8"/>
    <w:rsid w:val="004E6F12"/>
    <w:rsid w:val="004E746C"/>
    <w:rsid w:val="004E7533"/>
    <w:rsid w:val="004F16CA"/>
    <w:rsid w:val="004F17C7"/>
    <w:rsid w:val="004F4139"/>
    <w:rsid w:val="004F456C"/>
    <w:rsid w:val="004F6477"/>
    <w:rsid w:val="004F682B"/>
    <w:rsid w:val="00500F93"/>
    <w:rsid w:val="005015BF"/>
    <w:rsid w:val="00501B62"/>
    <w:rsid w:val="00503593"/>
    <w:rsid w:val="005036B1"/>
    <w:rsid w:val="005045CA"/>
    <w:rsid w:val="00511177"/>
    <w:rsid w:val="005125C9"/>
    <w:rsid w:val="00515BDD"/>
    <w:rsid w:val="00521B9F"/>
    <w:rsid w:val="00523A85"/>
    <w:rsid w:val="00524B5F"/>
    <w:rsid w:val="00525C1C"/>
    <w:rsid w:val="005268F8"/>
    <w:rsid w:val="00532C2C"/>
    <w:rsid w:val="00532C6D"/>
    <w:rsid w:val="005333A3"/>
    <w:rsid w:val="00535044"/>
    <w:rsid w:val="0053626E"/>
    <w:rsid w:val="00536E9C"/>
    <w:rsid w:val="00541AD7"/>
    <w:rsid w:val="00542DCC"/>
    <w:rsid w:val="00544936"/>
    <w:rsid w:val="005449A8"/>
    <w:rsid w:val="005475E2"/>
    <w:rsid w:val="00551580"/>
    <w:rsid w:val="0055242A"/>
    <w:rsid w:val="005525AE"/>
    <w:rsid w:val="005546C5"/>
    <w:rsid w:val="0055541C"/>
    <w:rsid w:val="005558FC"/>
    <w:rsid w:val="005576D8"/>
    <w:rsid w:val="00557B59"/>
    <w:rsid w:val="00560970"/>
    <w:rsid w:val="00562427"/>
    <w:rsid w:val="00565142"/>
    <w:rsid w:val="00567D6A"/>
    <w:rsid w:val="00567D90"/>
    <w:rsid w:val="005727C4"/>
    <w:rsid w:val="00572AE5"/>
    <w:rsid w:val="0057330D"/>
    <w:rsid w:val="00575723"/>
    <w:rsid w:val="00582C41"/>
    <w:rsid w:val="00583644"/>
    <w:rsid w:val="00585F11"/>
    <w:rsid w:val="005860FA"/>
    <w:rsid w:val="00586A23"/>
    <w:rsid w:val="005906F9"/>
    <w:rsid w:val="005932B4"/>
    <w:rsid w:val="005955E5"/>
    <w:rsid w:val="00595685"/>
    <w:rsid w:val="00595DF0"/>
    <w:rsid w:val="0059762D"/>
    <w:rsid w:val="00597A7F"/>
    <w:rsid w:val="005A147F"/>
    <w:rsid w:val="005A3550"/>
    <w:rsid w:val="005A4DE4"/>
    <w:rsid w:val="005A6204"/>
    <w:rsid w:val="005A6D5A"/>
    <w:rsid w:val="005B119C"/>
    <w:rsid w:val="005B16CF"/>
    <w:rsid w:val="005B3953"/>
    <w:rsid w:val="005B41CE"/>
    <w:rsid w:val="005B489D"/>
    <w:rsid w:val="005B55D7"/>
    <w:rsid w:val="005B566C"/>
    <w:rsid w:val="005B5DC5"/>
    <w:rsid w:val="005B6286"/>
    <w:rsid w:val="005B7B44"/>
    <w:rsid w:val="005C0F03"/>
    <w:rsid w:val="005C1630"/>
    <w:rsid w:val="005C2AEB"/>
    <w:rsid w:val="005C5B70"/>
    <w:rsid w:val="005C666C"/>
    <w:rsid w:val="005D027B"/>
    <w:rsid w:val="005D0A28"/>
    <w:rsid w:val="005D3400"/>
    <w:rsid w:val="005D3778"/>
    <w:rsid w:val="005D388F"/>
    <w:rsid w:val="005D45F4"/>
    <w:rsid w:val="005D700C"/>
    <w:rsid w:val="005E0F22"/>
    <w:rsid w:val="005E43F7"/>
    <w:rsid w:val="005E5941"/>
    <w:rsid w:val="005E78A2"/>
    <w:rsid w:val="005F2509"/>
    <w:rsid w:val="005F47F1"/>
    <w:rsid w:val="005F5695"/>
    <w:rsid w:val="005F5DE7"/>
    <w:rsid w:val="005F5E14"/>
    <w:rsid w:val="00601E35"/>
    <w:rsid w:val="006024F5"/>
    <w:rsid w:val="00622773"/>
    <w:rsid w:val="00622C58"/>
    <w:rsid w:val="0062387A"/>
    <w:rsid w:val="0062614B"/>
    <w:rsid w:val="006266E2"/>
    <w:rsid w:val="00626E21"/>
    <w:rsid w:val="0063037B"/>
    <w:rsid w:val="00631062"/>
    <w:rsid w:val="00632C54"/>
    <w:rsid w:val="00635616"/>
    <w:rsid w:val="00641E99"/>
    <w:rsid w:val="006463F8"/>
    <w:rsid w:val="00647D6A"/>
    <w:rsid w:val="0065073B"/>
    <w:rsid w:val="00650C88"/>
    <w:rsid w:val="0065258E"/>
    <w:rsid w:val="00655035"/>
    <w:rsid w:val="00655406"/>
    <w:rsid w:val="00656814"/>
    <w:rsid w:val="00656B46"/>
    <w:rsid w:val="00657411"/>
    <w:rsid w:val="00657A00"/>
    <w:rsid w:val="00662329"/>
    <w:rsid w:val="006633F4"/>
    <w:rsid w:val="00664A2F"/>
    <w:rsid w:val="0066638E"/>
    <w:rsid w:val="00666CC0"/>
    <w:rsid w:val="00673024"/>
    <w:rsid w:val="00673C22"/>
    <w:rsid w:val="0067482D"/>
    <w:rsid w:val="00675777"/>
    <w:rsid w:val="0067732F"/>
    <w:rsid w:val="00681007"/>
    <w:rsid w:val="0068122B"/>
    <w:rsid w:val="006817C8"/>
    <w:rsid w:val="00681DD9"/>
    <w:rsid w:val="00682252"/>
    <w:rsid w:val="00682F5C"/>
    <w:rsid w:val="00683BF5"/>
    <w:rsid w:val="00687555"/>
    <w:rsid w:val="00687C0A"/>
    <w:rsid w:val="00690E39"/>
    <w:rsid w:val="00691FF9"/>
    <w:rsid w:val="006922C4"/>
    <w:rsid w:val="0069285F"/>
    <w:rsid w:val="0069752C"/>
    <w:rsid w:val="006A079B"/>
    <w:rsid w:val="006A0DE5"/>
    <w:rsid w:val="006A0F5C"/>
    <w:rsid w:val="006A17DD"/>
    <w:rsid w:val="006A3677"/>
    <w:rsid w:val="006A5B27"/>
    <w:rsid w:val="006A6D80"/>
    <w:rsid w:val="006A7539"/>
    <w:rsid w:val="006B1653"/>
    <w:rsid w:val="006B4E4E"/>
    <w:rsid w:val="006B5952"/>
    <w:rsid w:val="006B624A"/>
    <w:rsid w:val="006B6C5F"/>
    <w:rsid w:val="006B7E39"/>
    <w:rsid w:val="006C11F3"/>
    <w:rsid w:val="006C2072"/>
    <w:rsid w:val="006C3609"/>
    <w:rsid w:val="006C43E7"/>
    <w:rsid w:val="006C4820"/>
    <w:rsid w:val="006C50E5"/>
    <w:rsid w:val="006C5872"/>
    <w:rsid w:val="006C60E0"/>
    <w:rsid w:val="006C676D"/>
    <w:rsid w:val="006C69E2"/>
    <w:rsid w:val="006C7825"/>
    <w:rsid w:val="006D051D"/>
    <w:rsid w:val="006D1E42"/>
    <w:rsid w:val="006D2B65"/>
    <w:rsid w:val="006D767A"/>
    <w:rsid w:val="006E2A45"/>
    <w:rsid w:val="006E3587"/>
    <w:rsid w:val="006E37D4"/>
    <w:rsid w:val="006E57C0"/>
    <w:rsid w:val="006E668B"/>
    <w:rsid w:val="006F30F2"/>
    <w:rsid w:val="006F3768"/>
    <w:rsid w:val="006F4865"/>
    <w:rsid w:val="006F71DE"/>
    <w:rsid w:val="00700EA0"/>
    <w:rsid w:val="00701CE2"/>
    <w:rsid w:val="00704573"/>
    <w:rsid w:val="00704EAE"/>
    <w:rsid w:val="00705029"/>
    <w:rsid w:val="0070725A"/>
    <w:rsid w:val="007072CC"/>
    <w:rsid w:val="0071254A"/>
    <w:rsid w:val="00712BA2"/>
    <w:rsid w:val="007131D2"/>
    <w:rsid w:val="00713917"/>
    <w:rsid w:val="0071570C"/>
    <w:rsid w:val="007158AD"/>
    <w:rsid w:val="00715C6E"/>
    <w:rsid w:val="00717AF8"/>
    <w:rsid w:val="00720CD6"/>
    <w:rsid w:val="00720F86"/>
    <w:rsid w:val="00721802"/>
    <w:rsid w:val="00722E77"/>
    <w:rsid w:val="00724489"/>
    <w:rsid w:val="007245F1"/>
    <w:rsid w:val="007247B8"/>
    <w:rsid w:val="0072731C"/>
    <w:rsid w:val="0073056C"/>
    <w:rsid w:val="00730DCC"/>
    <w:rsid w:val="00735B1F"/>
    <w:rsid w:val="00737502"/>
    <w:rsid w:val="00740942"/>
    <w:rsid w:val="00740B3A"/>
    <w:rsid w:val="00740C8B"/>
    <w:rsid w:val="00743263"/>
    <w:rsid w:val="007454B6"/>
    <w:rsid w:val="0074694E"/>
    <w:rsid w:val="0074789B"/>
    <w:rsid w:val="007521D0"/>
    <w:rsid w:val="00754523"/>
    <w:rsid w:val="00754ABD"/>
    <w:rsid w:val="00754D3B"/>
    <w:rsid w:val="007558AC"/>
    <w:rsid w:val="00760D6A"/>
    <w:rsid w:val="0076343C"/>
    <w:rsid w:val="00764C12"/>
    <w:rsid w:val="00767CA8"/>
    <w:rsid w:val="00772FA9"/>
    <w:rsid w:val="007750DF"/>
    <w:rsid w:val="00777C19"/>
    <w:rsid w:val="00780482"/>
    <w:rsid w:val="00780A8E"/>
    <w:rsid w:val="00781508"/>
    <w:rsid w:val="00782487"/>
    <w:rsid w:val="0078253C"/>
    <w:rsid w:val="00784C8D"/>
    <w:rsid w:val="00785E47"/>
    <w:rsid w:val="007873F5"/>
    <w:rsid w:val="0078760F"/>
    <w:rsid w:val="007907DC"/>
    <w:rsid w:val="0079136A"/>
    <w:rsid w:val="00792AD8"/>
    <w:rsid w:val="00792D84"/>
    <w:rsid w:val="007931B7"/>
    <w:rsid w:val="00795030"/>
    <w:rsid w:val="00795A26"/>
    <w:rsid w:val="00795B62"/>
    <w:rsid w:val="00795D82"/>
    <w:rsid w:val="007A00CB"/>
    <w:rsid w:val="007A1650"/>
    <w:rsid w:val="007A2FFE"/>
    <w:rsid w:val="007A312F"/>
    <w:rsid w:val="007A7EAB"/>
    <w:rsid w:val="007B09DC"/>
    <w:rsid w:val="007B2D1F"/>
    <w:rsid w:val="007B2E48"/>
    <w:rsid w:val="007B484B"/>
    <w:rsid w:val="007B5238"/>
    <w:rsid w:val="007C0AED"/>
    <w:rsid w:val="007C0BEE"/>
    <w:rsid w:val="007C42F3"/>
    <w:rsid w:val="007C4FA7"/>
    <w:rsid w:val="007C5531"/>
    <w:rsid w:val="007C63A0"/>
    <w:rsid w:val="007C643D"/>
    <w:rsid w:val="007C6D52"/>
    <w:rsid w:val="007C6F91"/>
    <w:rsid w:val="007C72C0"/>
    <w:rsid w:val="007D034D"/>
    <w:rsid w:val="007D12ED"/>
    <w:rsid w:val="007D2F1A"/>
    <w:rsid w:val="007D2F9C"/>
    <w:rsid w:val="007D32E4"/>
    <w:rsid w:val="007D61AC"/>
    <w:rsid w:val="007E1757"/>
    <w:rsid w:val="007E18CC"/>
    <w:rsid w:val="007E1E34"/>
    <w:rsid w:val="007E51A3"/>
    <w:rsid w:val="007E5551"/>
    <w:rsid w:val="007F1998"/>
    <w:rsid w:val="007F2034"/>
    <w:rsid w:val="007F2B3E"/>
    <w:rsid w:val="007F4683"/>
    <w:rsid w:val="007F55A4"/>
    <w:rsid w:val="007F6CA7"/>
    <w:rsid w:val="007F757A"/>
    <w:rsid w:val="007F77DD"/>
    <w:rsid w:val="007F7C5E"/>
    <w:rsid w:val="00800AF9"/>
    <w:rsid w:val="00800BF1"/>
    <w:rsid w:val="00802198"/>
    <w:rsid w:val="00805150"/>
    <w:rsid w:val="0080587F"/>
    <w:rsid w:val="00805B59"/>
    <w:rsid w:val="0080610B"/>
    <w:rsid w:val="00806B14"/>
    <w:rsid w:val="0081048B"/>
    <w:rsid w:val="00810A53"/>
    <w:rsid w:val="00810F66"/>
    <w:rsid w:val="008114D4"/>
    <w:rsid w:val="0081234D"/>
    <w:rsid w:val="00812D2D"/>
    <w:rsid w:val="0081682D"/>
    <w:rsid w:val="00816F65"/>
    <w:rsid w:val="00817597"/>
    <w:rsid w:val="00817A64"/>
    <w:rsid w:val="00817F47"/>
    <w:rsid w:val="008202F7"/>
    <w:rsid w:val="008212E8"/>
    <w:rsid w:val="0082226B"/>
    <w:rsid w:val="008247A4"/>
    <w:rsid w:val="00825D47"/>
    <w:rsid w:val="008272A6"/>
    <w:rsid w:val="00830357"/>
    <w:rsid w:val="00831E9A"/>
    <w:rsid w:val="0083258C"/>
    <w:rsid w:val="0083328D"/>
    <w:rsid w:val="00833D6C"/>
    <w:rsid w:val="008368A7"/>
    <w:rsid w:val="00841328"/>
    <w:rsid w:val="00841CCC"/>
    <w:rsid w:val="00843DE7"/>
    <w:rsid w:val="00844377"/>
    <w:rsid w:val="008443EF"/>
    <w:rsid w:val="00844AC0"/>
    <w:rsid w:val="0084684C"/>
    <w:rsid w:val="00846C54"/>
    <w:rsid w:val="00846F90"/>
    <w:rsid w:val="00847EA7"/>
    <w:rsid w:val="0085246D"/>
    <w:rsid w:val="00852FB9"/>
    <w:rsid w:val="008536B7"/>
    <w:rsid w:val="00854597"/>
    <w:rsid w:val="00860F34"/>
    <w:rsid w:val="00862AC4"/>
    <w:rsid w:val="0086319B"/>
    <w:rsid w:val="008674A6"/>
    <w:rsid w:val="008708E3"/>
    <w:rsid w:val="0087210F"/>
    <w:rsid w:val="00872246"/>
    <w:rsid w:val="008734E8"/>
    <w:rsid w:val="0087564D"/>
    <w:rsid w:val="00875C17"/>
    <w:rsid w:val="00876000"/>
    <w:rsid w:val="00877BBE"/>
    <w:rsid w:val="0088054D"/>
    <w:rsid w:val="00880D52"/>
    <w:rsid w:val="00881516"/>
    <w:rsid w:val="00883F1E"/>
    <w:rsid w:val="00884DD4"/>
    <w:rsid w:val="0089108B"/>
    <w:rsid w:val="00892EE6"/>
    <w:rsid w:val="008931B4"/>
    <w:rsid w:val="008973A2"/>
    <w:rsid w:val="008A0E76"/>
    <w:rsid w:val="008A36E0"/>
    <w:rsid w:val="008A42FE"/>
    <w:rsid w:val="008A4F23"/>
    <w:rsid w:val="008A713B"/>
    <w:rsid w:val="008B23EE"/>
    <w:rsid w:val="008B38F4"/>
    <w:rsid w:val="008B4CA8"/>
    <w:rsid w:val="008B4FBE"/>
    <w:rsid w:val="008B57E0"/>
    <w:rsid w:val="008B6039"/>
    <w:rsid w:val="008C02C8"/>
    <w:rsid w:val="008C2555"/>
    <w:rsid w:val="008C29FB"/>
    <w:rsid w:val="008C5B87"/>
    <w:rsid w:val="008C7043"/>
    <w:rsid w:val="008D0448"/>
    <w:rsid w:val="008D0677"/>
    <w:rsid w:val="008D0C9E"/>
    <w:rsid w:val="008D2F03"/>
    <w:rsid w:val="008D31A6"/>
    <w:rsid w:val="008D35D6"/>
    <w:rsid w:val="008D6683"/>
    <w:rsid w:val="008D6762"/>
    <w:rsid w:val="008E19C8"/>
    <w:rsid w:val="008E1F58"/>
    <w:rsid w:val="008E281D"/>
    <w:rsid w:val="008E30D8"/>
    <w:rsid w:val="008E447C"/>
    <w:rsid w:val="008E4A5F"/>
    <w:rsid w:val="008E596E"/>
    <w:rsid w:val="008E6741"/>
    <w:rsid w:val="008F04C5"/>
    <w:rsid w:val="008F125D"/>
    <w:rsid w:val="008F491D"/>
    <w:rsid w:val="00900C0C"/>
    <w:rsid w:val="00901E9C"/>
    <w:rsid w:val="00903FEE"/>
    <w:rsid w:val="009048B5"/>
    <w:rsid w:val="00906F79"/>
    <w:rsid w:val="00907369"/>
    <w:rsid w:val="00910465"/>
    <w:rsid w:val="00910B12"/>
    <w:rsid w:val="0091190D"/>
    <w:rsid w:val="00911E21"/>
    <w:rsid w:val="00912404"/>
    <w:rsid w:val="00917CDF"/>
    <w:rsid w:val="00920B9A"/>
    <w:rsid w:val="009249C5"/>
    <w:rsid w:val="00925558"/>
    <w:rsid w:val="00925B25"/>
    <w:rsid w:val="009263C9"/>
    <w:rsid w:val="00930B2A"/>
    <w:rsid w:val="00932477"/>
    <w:rsid w:val="00935E72"/>
    <w:rsid w:val="00936F03"/>
    <w:rsid w:val="0094018B"/>
    <w:rsid w:val="009418E3"/>
    <w:rsid w:val="009431F4"/>
    <w:rsid w:val="009435BB"/>
    <w:rsid w:val="00943B02"/>
    <w:rsid w:val="00945DB5"/>
    <w:rsid w:val="00953429"/>
    <w:rsid w:val="009539A4"/>
    <w:rsid w:val="009569E3"/>
    <w:rsid w:val="0095781A"/>
    <w:rsid w:val="00960035"/>
    <w:rsid w:val="009602DE"/>
    <w:rsid w:val="0096040F"/>
    <w:rsid w:val="0096145A"/>
    <w:rsid w:val="009632EF"/>
    <w:rsid w:val="00966A89"/>
    <w:rsid w:val="00966D70"/>
    <w:rsid w:val="00972BDF"/>
    <w:rsid w:val="00973D8A"/>
    <w:rsid w:val="00974D0E"/>
    <w:rsid w:val="009804B4"/>
    <w:rsid w:val="00980709"/>
    <w:rsid w:val="00980776"/>
    <w:rsid w:val="0098278C"/>
    <w:rsid w:val="009837FC"/>
    <w:rsid w:val="00991819"/>
    <w:rsid w:val="00992BBB"/>
    <w:rsid w:val="00993453"/>
    <w:rsid w:val="00993C60"/>
    <w:rsid w:val="00994100"/>
    <w:rsid w:val="00996B34"/>
    <w:rsid w:val="009A0FC8"/>
    <w:rsid w:val="009A2372"/>
    <w:rsid w:val="009A42F1"/>
    <w:rsid w:val="009A5571"/>
    <w:rsid w:val="009A707F"/>
    <w:rsid w:val="009A7367"/>
    <w:rsid w:val="009A7600"/>
    <w:rsid w:val="009A7878"/>
    <w:rsid w:val="009B0CDC"/>
    <w:rsid w:val="009B1729"/>
    <w:rsid w:val="009B1B1D"/>
    <w:rsid w:val="009B2B14"/>
    <w:rsid w:val="009B5F1C"/>
    <w:rsid w:val="009C01EF"/>
    <w:rsid w:val="009C050D"/>
    <w:rsid w:val="009C06D3"/>
    <w:rsid w:val="009C1312"/>
    <w:rsid w:val="009C6DFD"/>
    <w:rsid w:val="009C7060"/>
    <w:rsid w:val="009C740D"/>
    <w:rsid w:val="009D36F3"/>
    <w:rsid w:val="009D399A"/>
    <w:rsid w:val="009D4A50"/>
    <w:rsid w:val="009D5A7D"/>
    <w:rsid w:val="009D5FD0"/>
    <w:rsid w:val="009D66BC"/>
    <w:rsid w:val="009E0272"/>
    <w:rsid w:val="009E1078"/>
    <w:rsid w:val="009E53AF"/>
    <w:rsid w:val="009E5C39"/>
    <w:rsid w:val="009E6D4B"/>
    <w:rsid w:val="009E6DF5"/>
    <w:rsid w:val="009E7A2E"/>
    <w:rsid w:val="009F02C5"/>
    <w:rsid w:val="009F076C"/>
    <w:rsid w:val="009F34CC"/>
    <w:rsid w:val="009F3C4D"/>
    <w:rsid w:val="009F3D6A"/>
    <w:rsid w:val="009F479E"/>
    <w:rsid w:val="009F66D9"/>
    <w:rsid w:val="00A01380"/>
    <w:rsid w:val="00A02844"/>
    <w:rsid w:val="00A02A70"/>
    <w:rsid w:val="00A02C74"/>
    <w:rsid w:val="00A035A3"/>
    <w:rsid w:val="00A037BD"/>
    <w:rsid w:val="00A072C9"/>
    <w:rsid w:val="00A1128F"/>
    <w:rsid w:val="00A12391"/>
    <w:rsid w:val="00A158F4"/>
    <w:rsid w:val="00A16440"/>
    <w:rsid w:val="00A169AC"/>
    <w:rsid w:val="00A16FF7"/>
    <w:rsid w:val="00A173CD"/>
    <w:rsid w:val="00A2231D"/>
    <w:rsid w:val="00A2334F"/>
    <w:rsid w:val="00A2342C"/>
    <w:rsid w:val="00A250AA"/>
    <w:rsid w:val="00A2591E"/>
    <w:rsid w:val="00A277E6"/>
    <w:rsid w:val="00A30A8F"/>
    <w:rsid w:val="00A3174A"/>
    <w:rsid w:val="00A35A28"/>
    <w:rsid w:val="00A368EF"/>
    <w:rsid w:val="00A41505"/>
    <w:rsid w:val="00A43AE1"/>
    <w:rsid w:val="00A4414C"/>
    <w:rsid w:val="00A44E48"/>
    <w:rsid w:val="00A468D0"/>
    <w:rsid w:val="00A4799E"/>
    <w:rsid w:val="00A47C04"/>
    <w:rsid w:val="00A47EF1"/>
    <w:rsid w:val="00A51D29"/>
    <w:rsid w:val="00A52426"/>
    <w:rsid w:val="00A53801"/>
    <w:rsid w:val="00A54C2B"/>
    <w:rsid w:val="00A54D46"/>
    <w:rsid w:val="00A56141"/>
    <w:rsid w:val="00A56998"/>
    <w:rsid w:val="00A56D51"/>
    <w:rsid w:val="00A60D18"/>
    <w:rsid w:val="00A61207"/>
    <w:rsid w:val="00A61700"/>
    <w:rsid w:val="00A619F4"/>
    <w:rsid w:val="00A6285C"/>
    <w:rsid w:val="00A62B6A"/>
    <w:rsid w:val="00A65E53"/>
    <w:rsid w:val="00A65EDE"/>
    <w:rsid w:val="00A663F3"/>
    <w:rsid w:val="00A667E8"/>
    <w:rsid w:val="00A669F1"/>
    <w:rsid w:val="00A67489"/>
    <w:rsid w:val="00A6748B"/>
    <w:rsid w:val="00A7029D"/>
    <w:rsid w:val="00A71601"/>
    <w:rsid w:val="00A7268C"/>
    <w:rsid w:val="00A72915"/>
    <w:rsid w:val="00A734FA"/>
    <w:rsid w:val="00A74365"/>
    <w:rsid w:val="00A745BF"/>
    <w:rsid w:val="00A74A79"/>
    <w:rsid w:val="00A74E46"/>
    <w:rsid w:val="00A81524"/>
    <w:rsid w:val="00A81D60"/>
    <w:rsid w:val="00A861F6"/>
    <w:rsid w:val="00A90163"/>
    <w:rsid w:val="00A96D65"/>
    <w:rsid w:val="00A972F0"/>
    <w:rsid w:val="00AA0311"/>
    <w:rsid w:val="00AA1AC0"/>
    <w:rsid w:val="00AA3B66"/>
    <w:rsid w:val="00AA3F2C"/>
    <w:rsid w:val="00AA4518"/>
    <w:rsid w:val="00AA5143"/>
    <w:rsid w:val="00AA5803"/>
    <w:rsid w:val="00AA584F"/>
    <w:rsid w:val="00AA7D8D"/>
    <w:rsid w:val="00AB0761"/>
    <w:rsid w:val="00AB2843"/>
    <w:rsid w:val="00AB3118"/>
    <w:rsid w:val="00AB3AB5"/>
    <w:rsid w:val="00AB4CA0"/>
    <w:rsid w:val="00AB5600"/>
    <w:rsid w:val="00AB6F32"/>
    <w:rsid w:val="00AC46C7"/>
    <w:rsid w:val="00AC5B71"/>
    <w:rsid w:val="00AC5F18"/>
    <w:rsid w:val="00AC634F"/>
    <w:rsid w:val="00AC6ED5"/>
    <w:rsid w:val="00AD1458"/>
    <w:rsid w:val="00AD3333"/>
    <w:rsid w:val="00AD38ED"/>
    <w:rsid w:val="00AE00AE"/>
    <w:rsid w:val="00AE0EBE"/>
    <w:rsid w:val="00AE56E1"/>
    <w:rsid w:val="00AE5E82"/>
    <w:rsid w:val="00AE649A"/>
    <w:rsid w:val="00AE6C9A"/>
    <w:rsid w:val="00AF024E"/>
    <w:rsid w:val="00AF2207"/>
    <w:rsid w:val="00AF2612"/>
    <w:rsid w:val="00AF2A61"/>
    <w:rsid w:val="00AF30D9"/>
    <w:rsid w:val="00AF37B8"/>
    <w:rsid w:val="00AF63BF"/>
    <w:rsid w:val="00AF6B3B"/>
    <w:rsid w:val="00AF79DD"/>
    <w:rsid w:val="00AF7F2C"/>
    <w:rsid w:val="00AF7F46"/>
    <w:rsid w:val="00B0178C"/>
    <w:rsid w:val="00B019F0"/>
    <w:rsid w:val="00B02885"/>
    <w:rsid w:val="00B04186"/>
    <w:rsid w:val="00B04695"/>
    <w:rsid w:val="00B04EC7"/>
    <w:rsid w:val="00B0515C"/>
    <w:rsid w:val="00B06440"/>
    <w:rsid w:val="00B07304"/>
    <w:rsid w:val="00B10EAF"/>
    <w:rsid w:val="00B1202B"/>
    <w:rsid w:val="00B1231F"/>
    <w:rsid w:val="00B17927"/>
    <w:rsid w:val="00B20853"/>
    <w:rsid w:val="00B2113E"/>
    <w:rsid w:val="00B2123B"/>
    <w:rsid w:val="00B2410E"/>
    <w:rsid w:val="00B24297"/>
    <w:rsid w:val="00B2727D"/>
    <w:rsid w:val="00B301A2"/>
    <w:rsid w:val="00B31350"/>
    <w:rsid w:val="00B315A8"/>
    <w:rsid w:val="00B3161D"/>
    <w:rsid w:val="00B32C3E"/>
    <w:rsid w:val="00B362C9"/>
    <w:rsid w:val="00B36AD9"/>
    <w:rsid w:val="00B3752F"/>
    <w:rsid w:val="00B417AF"/>
    <w:rsid w:val="00B41D37"/>
    <w:rsid w:val="00B42128"/>
    <w:rsid w:val="00B45128"/>
    <w:rsid w:val="00B53DB3"/>
    <w:rsid w:val="00B60FF4"/>
    <w:rsid w:val="00B64416"/>
    <w:rsid w:val="00B66AF2"/>
    <w:rsid w:val="00B72848"/>
    <w:rsid w:val="00B74544"/>
    <w:rsid w:val="00B774A8"/>
    <w:rsid w:val="00B77754"/>
    <w:rsid w:val="00B777BE"/>
    <w:rsid w:val="00B80BEE"/>
    <w:rsid w:val="00B8101E"/>
    <w:rsid w:val="00B81054"/>
    <w:rsid w:val="00B81516"/>
    <w:rsid w:val="00B820DB"/>
    <w:rsid w:val="00B837F0"/>
    <w:rsid w:val="00B83896"/>
    <w:rsid w:val="00B8400C"/>
    <w:rsid w:val="00B85036"/>
    <w:rsid w:val="00B85D6F"/>
    <w:rsid w:val="00B860A9"/>
    <w:rsid w:val="00B862AB"/>
    <w:rsid w:val="00B93CC6"/>
    <w:rsid w:val="00B94E1B"/>
    <w:rsid w:val="00B97264"/>
    <w:rsid w:val="00B97655"/>
    <w:rsid w:val="00BA0143"/>
    <w:rsid w:val="00BA09AC"/>
    <w:rsid w:val="00BA2238"/>
    <w:rsid w:val="00BA227A"/>
    <w:rsid w:val="00BA4C69"/>
    <w:rsid w:val="00BA61AF"/>
    <w:rsid w:val="00BB0069"/>
    <w:rsid w:val="00BB1630"/>
    <w:rsid w:val="00BB5742"/>
    <w:rsid w:val="00BB6860"/>
    <w:rsid w:val="00BC08A5"/>
    <w:rsid w:val="00BC0A10"/>
    <w:rsid w:val="00BC29E4"/>
    <w:rsid w:val="00BC3256"/>
    <w:rsid w:val="00BC3592"/>
    <w:rsid w:val="00BC36DF"/>
    <w:rsid w:val="00BC396E"/>
    <w:rsid w:val="00BC4B41"/>
    <w:rsid w:val="00BC4C25"/>
    <w:rsid w:val="00BC531C"/>
    <w:rsid w:val="00BC551D"/>
    <w:rsid w:val="00BC66ED"/>
    <w:rsid w:val="00BD0CCC"/>
    <w:rsid w:val="00BD11C8"/>
    <w:rsid w:val="00BD11D3"/>
    <w:rsid w:val="00BD2B47"/>
    <w:rsid w:val="00BD2CAA"/>
    <w:rsid w:val="00BD394D"/>
    <w:rsid w:val="00BD3B65"/>
    <w:rsid w:val="00BD430D"/>
    <w:rsid w:val="00BD50B0"/>
    <w:rsid w:val="00BD50FA"/>
    <w:rsid w:val="00BE1C5C"/>
    <w:rsid w:val="00BE272C"/>
    <w:rsid w:val="00BE2DC4"/>
    <w:rsid w:val="00BE3993"/>
    <w:rsid w:val="00BE3E67"/>
    <w:rsid w:val="00BE50E6"/>
    <w:rsid w:val="00BE61B2"/>
    <w:rsid w:val="00BE6481"/>
    <w:rsid w:val="00BE7CC3"/>
    <w:rsid w:val="00BF1DAD"/>
    <w:rsid w:val="00BF2B0D"/>
    <w:rsid w:val="00BF4E3B"/>
    <w:rsid w:val="00BF5454"/>
    <w:rsid w:val="00BF7EC9"/>
    <w:rsid w:val="00C00D8A"/>
    <w:rsid w:val="00C01C49"/>
    <w:rsid w:val="00C02B37"/>
    <w:rsid w:val="00C03DDD"/>
    <w:rsid w:val="00C066E6"/>
    <w:rsid w:val="00C07AE6"/>
    <w:rsid w:val="00C07F70"/>
    <w:rsid w:val="00C110C0"/>
    <w:rsid w:val="00C12370"/>
    <w:rsid w:val="00C12652"/>
    <w:rsid w:val="00C15000"/>
    <w:rsid w:val="00C15897"/>
    <w:rsid w:val="00C1616B"/>
    <w:rsid w:val="00C16428"/>
    <w:rsid w:val="00C16B21"/>
    <w:rsid w:val="00C16DFC"/>
    <w:rsid w:val="00C2079E"/>
    <w:rsid w:val="00C221CD"/>
    <w:rsid w:val="00C22526"/>
    <w:rsid w:val="00C25B2A"/>
    <w:rsid w:val="00C27729"/>
    <w:rsid w:val="00C312FA"/>
    <w:rsid w:val="00C332C4"/>
    <w:rsid w:val="00C334F5"/>
    <w:rsid w:val="00C34771"/>
    <w:rsid w:val="00C35554"/>
    <w:rsid w:val="00C35A03"/>
    <w:rsid w:val="00C36A05"/>
    <w:rsid w:val="00C40BA5"/>
    <w:rsid w:val="00C432D9"/>
    <w:rsid w:val="00C44166"/>
    <w:rsid w:val="00C45B5B"/>
    <w:rsid w:val="00C46F26"/>
    <w:rsid w:val="00C51353"/>
    <w:rsid w:val="00C51687"/>
    <w:rsid w:val="00C5289C"/>
    <w:rsid w:val="00C56008"/>
    <w:rsid w:val="00C56CBC"/>
    <w:rsid w:val="00C5711E"/>
    <w:rsid w:val="00C617B0"/>
    <w:rsid w:val="00C62D2B"/>
    <w:rsid w:val="00C6344F"/>
    <w:rsid w:val="00C659E2"/>
    <w:rsid w:val="00C669AD"/>
    <w:rsid w:val="00C72510"/>
    <w:rsid w:val="00C728D9"/>
    <w:rsid w:val="00C731CA"/>
    <w:rsid w:val="00C740C3"/>
    <w:rsid w:val="00C77A6B"/>
    <w:rsid w:val="00C816E6"/>
    <w:rsid w:val="00C82587"/>
    <w:rsid w:val="00C84097"/>
    <w:rsid w:val="00C84BA7"/>
    <w:rsid w:val="00C87181"/>
    <w:rsid w:val="00C87FA4"/>
    <w:rsid w:val="00C9181A"/>
    <w:rsid w:val="00C92375"/>
    <w:rsid w:val="00C9243A"/>
    <w:rsid w:val="00C9487D"/>
    <w:rsid w:val="00C948AB"/>
    <w:rsid w:val="00C955CB"/>
    <w:rsid w:val="00C95664"/>
    <w:rsid w:val="00C957C2"/>
    <w:rsid w:val="00C96E53"/>
    <w:rsid w:val="00CA1597"/>
    <w:rsid w:val="00CA249F"/>
    <w:rsid w:val="00CA25CC"/>
    <w:rsid w:val="00CA2BA2"/>
    <w:rsid w:val="00CA3ACE"/>
    <w:rsid w:val="00CA5FFF"/>
    <w:rsid w:val="00CA7F86"/>
    <w:rsid w:val="00CB053B"/>
    <w:rsid w:val="00CB2835"/>
    <w:rsid w:val="00CB32EF"/>
    <w:rsid w:val="00CB47EF"/>
    <w:rsid w:val="00CB4AAC"/>
    <w:rsid w:val="00CB7476"/>
    <w:rsid w:val="00CC1229"/>
    <w:rsid w:val="00CC1BDF"/>
    <w:rsid w:val="00CC218F"/>
    <w:rsid w:val="00CC21EC"/>
    <w:rsid w:val="00CC3E3A"/>
    <w:rsid w:val="00CC3FBD"/>
    <w:rsid w:val="00CC482B"/>
    <w:rsid w:val="00CC73C4"/>
    <w:rsid w:val="00CD0BA0"/>
    <w:rsid w:val="00CD105E"/>
    <w:rsid w:val="00CD4AC9"/>
    <w:rsid w:val="00CD4AE6"/>
    <w:rsid w:val="00CD4C97"/>
    <w:rsid w:val="00CD4FC5"/>
    <w:rsid w:val="00CD5211"/>
    <w:rsid w:val="00CD57F9"/>
    <w:rsid w:val="00CD5CD1"/>
    <w:rsid w:val="00CE0BB8"/>
    <w:rsid w:val="00CE4A22"/>
    <w:rsid w:val="00CE4C5D"/>
    <w:rsid w:val="00CE54E0"/>
    <w:rsid w:val="00CE5835"/>
    <w:rsid w:val="00CE6FA1"/>
    <w:rsid w:val="00CF0798"/>
    <w:rsid w:val="00CF1938"/>
    <w:rsid w:val="00CF24CD"/>
    <w:rsid w:val="00CF7AE7"/>
    <w:rsid w:val="00D01F0A"/>
    <w:rsid w:val="00D04707"/>
    <w:rsid w:val="00D06366"/>
    <w:rsid w:val="00D07B80"/>
    <w:rsid w:val="00D11026"/>
    <w:rsid w:val="00D11E14"/>
    <w:rsid w:val="00D13012"/>
    <w:rsid w:val="00D1365C"/>
    <w:rsid w:val="00D14159"/>
    <w:rsid w:val="00D14990"/>
    <w:rsid w:val="00D216B0"/>
    <w:rsid w:val="00D23309"/>
    <w:rsid w:val="00D24268"/>
    <w:rsid w:val="00D245DD"/>
    <w:rsid w:val="00D24D56"/>
    <w:rsid w:val="00D24FAF"/>
    <w:rsid w:val="00D25BE6"/>
    <w:rsid w:val="00D30455"/>
    <w:rsid w:val="00D321DB"/>
    <w:rsid w:val="00D32460"/>
    <w:rsid w:val="00D32EBF"/>
    <w:rsid w:val="00D33B60"/>
    <w:rsid w:val="00D343B3"/>
    <w:rsid w:val="00D35073"/>
    <w:rsid w:val="00D36085"/>
    <w:rsid w:val="00D3644D"/>
    <w:rsid w:val="00D36FD0"/>
    <w:rsid w:val="00D37E49"/>
    <w:rsid w:val="00D421D9"/>
    <w:rsid w:val="00D44C07"/>
    <w:rsid w:val="00D47529"/>
    <w:rsid w:val="00D47713"/>
    <w:rsid w:val="00D47D22"/>
    <w:rsid w:val="00D51103"/>
    <w:rsid w:val="00D5148F"/>
    <w:rsid w:val="00D53B1C"/>
    <w:rsid w:val="00D55A7A"/>
    <w:rsid w:val="00D568D5"/>
    <w:rsid w:val="00D56B6F"/>
    <w:rsid w:val="00D57878"/>
    <w:rsid w:val="00D60AB7"/>
    <w:rsid w:val="00D6226F"/>
    <w:rsid w:val="00D627FF"/>
    <w:rsid w:val="00D630B2"/>
    <w:rsid w:val="00D630BC"/>
    <w:rsid w:val="00D657DF"/>
    <w:rsid w:val="00D70370"/>
    <w:rsid w:val="00D70E15"/>
    <w:rsid w:val="00D714E5"/>
    <w:rsid w:val="00D7152E"/>
    <w:rsid w:val="00D732DF"/>
    <w:rsid w:val="00D7546D"/>
    <w:rsid w:val="00D75C54"/>
    <w:rsid w:val="00D76CCC"/>
    <w:rsid w:val="00D827A6"/>
    <w:rsid w:val="00D839C5"/>
    <w:rsid w:val="00D84043"/>
    <w:rsid w:val="00D843D8"/>
    <w:rsid w:val="00D84DA5"/>
    <w:rsid w:val="00D85C22"/>
    <w:rsid w:val="00D91348"/>
    <w:rsid w:val="00D92234"/>
    <w:rsid w:val="00D94FFD"/>
    <w:rsid w:val="00D9566D"/>
    <w:rsid w:val="00DA0EF7"/>
    <w:rsid w:val="00DA4B3F"/>
    <w:rsid w:val="00DA4EB6"/>
    <w:rsid w:val="00DA5F0C"/>
    <w:rsid w:val="00DB20EB"/>
    <w:rsid w:val="00DB33F6"/>
    <w:rsid w:val="00DB38CC"/>
    <w:rsid w:val="00DB7036"/>
    <w:rsid w:val="00DB7ECD"/>
    <w:rsid w:val="00DC08B6"/>
    <w:rsid w:val="00DC22A1"/>
    <w:rsid w:val="00DC277F"/>
    <w:rsid w:val="00DC4F9C"/>
    <w:rsid w:val="00DD0635"/>
    <w:rsid w:val="00DD0950"/>
    <w:rsid w:val="00DD09A1"/>
    <w:rsid w:val="00DD0BFE"/>
    <w:rsid w:val="00DD153B"/>
    <w:rsid w:val="00DD1BFF"/>
    <w:rsid w:val="00DD2554"/>
    <w:rsid w:val="00DD29B1"/>
    <w:rsid w:val="00DD2C6F"/>
    <w:rsid w:val="00DD4AF9"/>
    <w:rsid w:val="00DD4FB4"/>
    <w:rsid w:val="00DD5DF4"/>
    <w:rsid w:val="00DD5EE9"/>
    <w:rsid w:val="00DD7497"/>
    <w:rsid w:val="00DD782F"/>
    <w:rsid w:val="00DE0414"/>
    <w:rsid w:val="00DE0982"/>
    <w:rsid w:val="00DE1D11"/>
    <w:rsid w:val="00DE2298"/>
    <w:rsid w:val="00DE28ED"/>
    <w:rsid w:val="00DE419E"/>
    <w:rsid w:val="00DE44C3"/>
    <w:rsid w:val="00DE488A"/>
    <w:rsid w:val="00DE4D5E"/>
    <w:rsid w:val="00DE7008"/>
    <w:rsid w:val="00DF139C"/>
    <w:rsid w:val="00DF4967"/>
    <w:rsid w:val="00DF6403"/>
    <w:rsid w:val="00DF7D53"/>
    <w:rsid w:val="00E030C1"/>
    <w:rsid w:val="00E051B3"/>
    <w:rsid w:val="00E10A8D"/>
    <w:rsid w:val="00E12F22"/>
    <w:rsid w:val="00E165FC"/>
    <w:rsid w:val="00E1674A"/>
    <w:rsid w:val="00E168D7"/>
    <w:rsid w:val="00E2079C"/>
    <w:rsid w:val="00E21DC1"/>
    <w:rsid w:val="00E220B4"/>
    <w:rsid w:val="00E23A47"/>
    <w:rsid w:val="00E23D23"/>
    <w:rsid w:val="00E23E0E"/>
    <w:rsid w:val="00E2482B"/>
    <w:rsid w:val="00E2592B"/>
    <w:rsid w:val="00E25D98"/>
    <w:rsid w:val="00E264F8"/>
    <w:rsid w:val="00E3083A"/>
    <w:rsid w:val="00E30C52"/>
    <w:rsid w:val="00E30D8B"/>
    <w:rsid w:val="00E31626"/>
    <w:rsid w:val="00E33274"/>
    <w:rsid w:val="00E33666"/>
    <w:rsid w:val="00E3771A"/>
    <w:rsid w:val="00E40B45"/>
    <w:rsid w:val="00E41637"/>
    <w:rsid w:val="00E4325E"/>
    <w:rsid w:val="00E50C30"/>
    <w:rsid w:val="00E51410"/>
    <w:rsid w:val="00E515E7"/>
    <w:rsid w:val="00E518E1"/>
    <w:rsid w:val="00E52646"/>
    <w:rsid w:val="00E5580D"/>
    <w:rsid w:val="00E56402"/>
    <w:rsid w:val="00E56C5F"/>
    <w:rsid w:val="00E56CB5"/>
    <w:rsid w:val="00E61828"/>
    <w:rsid w:val="00E634A8"/>
    <w:rsid w:val="00E651CA"/>
    <w:rsid w:val="00E658EA"/>
    <w:rsid w:val="00E65E56"/>
    <w:rsid w:val="00E664CB"/>
    <w:rsid w:val="00E664D0"/>
    <w:rsid w:val="00E66F94"/>
    <w:rsid w:val="00E670E5"/>
    <w:rsid w:val="00E6767D"/>
    <w:rsid w:val="00E717C1"/>
    <w:rsid w:val="00E718FE"/>
    <w:rsid w:val="00E71A0F"/>
    <w:rsid w:val="00E71E63"/>
    <w:rsid w:val="00E74AD0"/>
    <w:rsid w:val="00E750ED"/>
    <w:rsid w:val="00E75632"/>
    <w:rsid w:val="00E76D4C"/>
    <w:rsid w:val="00E81786"/>
    <w:rsid w:val="00E85DE5"/>
    <w:rsid w:val="00E870F5"/>
    <w:rsid w:val="00E90EC0"/>
    <w:rsid w:val="00E92468"/>
    <w:rsid w:val="00E944C1"/>
    <w:rsid w:val="00E954A5"/>
    <w:rsid w:val="00E9584D"/>
    <w:rsid w:val="00E959B2"/>
    <w:rsid w:val="00E97010"/>
    <w:rsid w:val="00E97D8B"/>
    <w:rsid w:val="00EA2148"/>
    <w:rsid w:val="00EA5878"/>
    <w:rsid w:val="00EA7F55"/>
    <w:rsid w:val="00EB1CE6"/>
    <w:rsid w:val="00EB1F19"/>
    <w:rsid w:val="00EB5C17"/>
    <w:rsid w:val="00EB7375"/>
    <w:rsid w:val="00EC06EA"/>
    <w:rsid w:val="00EC2660"/>
    <w:rsid w:val="00EC3057"/>
    <w:rsid w:val="00EC398E"/>
    <w:rsid w:val="00EC47C5"/>
    <w:rsid w:val="00EC7284"/>
    <w:rsid w:val="00EC7867"/>
    <w:rsid w:val="00ED087B"/>
    <w:rsid w:val="00ED5626"/>
    <w:rsid w:val="00ED5DD4"/>
    <w:rsid w:val="00ED5EB9"/>
    <w:rsid w:val="00ED6BFE"/>
    <w:rsid w:val="00ED78F8"/>
    <w:rsid w:val="00ED7FE5"/>
    <w:rsid w:val="00EE0176"/>
    <w:rsid w:val="00EE17BD"/>
    <w:rsid w:val="00EE27D8"/>
    <w:rsid w:val="00EE2913"/>
    <w:rsid w:val="00EE32BD"/>
    <w:rsid w:val="00EE41EE"/>
    <w:rsid w:val="00EE5542"/>
    <w:rsid w:val="00EE5FA3"/>
    <w:rsid w:val="00EE61E3"/>
    <w:rsid w:val="00EE6872"/>
    <w:rsid w:val="00EE7A84"/>
    <w:rsid w:val="00EF0191"/>
    <w:rsid w:val="00EF09CC"/>
    <w:rsid w:val="00EF0F91"/>
    <w:rsid w:val="00EF1B1A"/>
    <w:rsid w:val="00EF2D28"/>
    <w:rsid w:val="00EF5FDD"/>
    <w:rsid w:val="00EF6507"/>
    <w:rsid w:val="00F00A14"/>
    <w:rsid w:val="00F01670"/>
    <w:rsid w:val="00F01C7A"/>
    <w:rsid w:val="00F0685D"/>
    <w:rsid w:val="00F06A5D"/>
    <w:rsid w:val="00F0700E"/>
    <w:rsid w:val="00F10F6F"/>
    <w:rsid w:val="00F126E4"/>
    <w:rsid w:val="00F14A61"/>
    <w:rsid w:val="00F17875"/>
    <w:rsid w:val="00F17B58"/>
    <w:rsid w:val="00F2103C"/>
    <w:rsid w:val="00F2156C"/>
    <w:rsid w:val="00F23BFC"/>
    <w:rsid w:val="00F24B23"/>
    <w:rsid w:val="00F251D9"/>
    <w:rsid w:val="00F25A3F"/>
    <w:rsid w:val="00F25EC9"/>
    <w:rsid w:val="00F27353"/>
    <w:rsid w:val="00F31B7D"/>
    <w:rsid w:val="00F32A17"/>
    <w:rsid w:val="00F349CE"/>
    <w:rsid w:val="00F34BAA"/>
    <w:rsid w:val="00F35345"/>
    <w:rsid w:val="00F355CA"/>
    <w:rsid w:val="00F355FB"/>
    <w:rsid w:val="00F40C6B"/>
    <w:rsid w:val="00F41113"/>
    <w:rsid w:val="00F41B18"/>
    <w:rsid w:val="00F41E93"/>
    <w:rsid w:val="00F41F8C"/>
    <w:rsid w:val="00F42766"/>
    <w:rsid w:val="00F44385"/>
    <w:rsid w:val="00F45C61"/>
    <w:rsid w:val="00F46233"/>
    <w:rsid w:val="00F50367"/>
    <w:rsid w:val="00F51138"/>
    <w:rsid w:val="00F5306F"/>
    <w:rsid w:val="00F532A6"/>
    <w:rsid w:val="00F54819"/>
    <w:rsid w:val="00F569D6"/>
    <w:rsid w:val="00F57FCC"/>
    <w:rsid w:val="00F61907"/>
    <w:rsid w:val="00F61AB2"/>
    <w:rsid w:val="00F65464"/>
    <w:rsid w:val="00F7012A"/>
    <w:rsid w:val="00F70E1C"/>
    <w:rsid w:val="00F72F91"/>
    <w:rsid w:val="00F72FCE"/>
    <w:rsid w:val="00F734F9"/>
    <w:rsid w:val="00F73A99"/>
    <w:rsid w:val="00F73F90"/>
    <w:rsid w:val="00F74C71"/>
    <w:rsid w:val="00F74D13"/>
    <w:rsid w:val="00F75349"/>
    <w:rsid w:val="00F80F36"/>
    <w:rsid w:val="00F80FBD"/>
    <w:rsid w:val="00F81F70"/>
    <w:rsid w:val="00F849FF"/>
    <w:rsid w:val="00F86F58"/>
    <w:rsid w:val="00F87E5C"/>
    <w:rsid w:val="00F936BB"/>
    <w:rsid w:val="00F93BAD"/>
    <w:rsid w:val="00F94097"/>
    <w:rsid w:val="00F941DD"/>
    <w:rsid w:val="00F94A5D"/>
    <w:rsid w:val="00F95311"/>
    <w:rsid w:val="00F95F8F"/>
    <w:rsid w:val="00F961BA"/>
    <w:rsid w:val="00F9784B"/>
    <w:rsid w:val="00F97D53"/>
    <w:rsid w:val="00FA05E0"/>
    <w:rsid w:val="00FA0A18"/>
    <w:rsid w:val="00FA1BBD"/>
    <w:rsid w:val="00FA6C3B"/>
    <w:rsid w:val="00FA70EC"/>
    <w:rsid w:val="00FB1EE5"/>
    <w:rsid w:val="00FB27DB"/>
    <w:rsid w:val="00FB41E0"/>
    <w:rsid w:val="00FB77A3"/>
    <w:rsid w:val="00FC045F"/>
    <w:rsid w:val="00FC1707"/>
    <w:rsid w:val="00FC1C82"/>
    <w:rsid w:val="00FC1D2F"/>
    <w:rsid w:val="00FC45AC"/>
    <w:rsid w:val="00FC4902"/>
    <w:rsid w:val="00FC4CFF"/>
    <w:rsid w:val="00FC5A71"/>
    <w:rsid w:val="00FC5DE9"/>
    <w:rsid w:val="00FD00E1"/>
    <w:rsid w:val="00FD0152"/>
    <w:rsid w:val="00FD0415"/>
    <w:rsid w:val="00FD1028"/>
    <w:rsid w:val="00FD1466"/>
    <w:rsid w:val="00FD1E19"/>
    <w:rsid w:val="00FD42E7"/>
    <w:rsid w:val="00FD4345"/>
    <w:rsid w:val="00FD44E2"/>
    <w:rsid w:val="00FD48FA"/>
    <w:rsid w:val="00FD5F49"/>
    <w:rsid w:val="00FD73C3"/>
    <w:rsid w:val="00FE0769"/>
    <w:rsid w:val="00FE2FD3"/>
    <w:rsid w:val="00FE5699"/>
    <w:rsid w:val="00FE57BD"/>
    <w:rsid w:val="00FE6BEE"/>
    <w:rsid w:val="00FE6DE0"/>
    <w:rsid w:val="00FF06B2"/>
    <w:rsid w:val="00FF1E01"/>
    <w:rsid w:val="00FF2163"/>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334F5C"/>
  <w15:chartTrackingRefBased/>
  <w15:docId w15:val="{4E1F90B5-2CB6-443F-8EC7-94F2ACFFF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46C54"/>
    <w:rPr>
      <w:rFonts w:ascii="Calibri" w:hAnsi="Calibri" w:cs="Calibri"/>
    </w:rPr>
  </w:style>
  <w:style w:type="paragraph" w:styleId="Heading1">
    <w:name w:val="heading 1"/>
    <w:aliases w:val="Pocket"/>
    <w:basedOn w:val="Normal"/>
    <w:next w:val="Normal"/>
    <w:link w:val="Heading1Char"/>
    <w:qFormat/>
    <w:rsid w:val="00846C5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46C5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s v 2,Heading 3 Char Char Char Char Char Char Char Char Char,Heading 3 Char Char Char Char,3: Cite,Char1,Underlines,Char1 Char"/>
    <w:basedOn w:val="Normal"/>
    <w:next w:val="Normal"/>
    <w:link w:val="Heading3Char"/>
    <w:uiPriority w:val="2"/>
    <w:qFormat/>
    <w:rsid w:val="00846C5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Ch,no read,No Spacing12,No Spacing2111,ta,small text,No Spacing4,No Spacing21,CD - Cite,No Spacing211,No Spacing11111,No Spacing111111,small space,Medium Grid 21,No Spacing5,Heading 2 Char1 Char Char,t,T,body"/>
    <w:basedOn w:val="Normal"/>
    <w:next w:val="Normal"/>
    <w:link w:val="Heading4Char"/>
    <w:uiPriority w:val="3"/>
    <w:qFormat/>
    <w:rsid w:val="00846C5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46C5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46C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6C54"/>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
    <w:basedOn w:val="DefaultParagraphFont"/>
    <w:link w:val="Emphasis1"/>
    <w:uiPriority w:val="8"/>
    <w:qFormat/>
    <w:rsid w:val="00846C54"/>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846C54"/>
    <w:rPr>
      <w:color w:val="auto"/>
      <w:u w:val="none"/>
    </w:rPr>
  </w:style>
  <w:style w:type="character" w:customStyle="1" w:styleId="Heading1Char">
    <w:name w:val="Heading 1 Char"/>
    <w:aliases w:val="Pocket Char"/>
    <w:basedOn w:val="DefaultParagraphFont"/>
    <w:link w:val="Heading1"/>
    <w:rsid w:val="00846C5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46C54"/>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s v 2 Char,Heading 3 Char Char Char Char Char Char Char Char Char Char,Heading 3 Char Char Char Char Char,3: Cite Char,Char1 Char1"/>
    <w:basedOn w:val="DefaultParagraphFont"/>
    <w:link w:val="Heading3"/>
    <w:uiPriority w:val="2"/>
    <w:rsid w:val="00846C54"/>
    <w:rPr>
      <w:rFonts w:ascii="Calibri" w:eastAsiaTheme="majorEastAsia" w:hAnsi="Calibri" w:cstheme="majorBidi"/>
      <w:b/>
      <w:sz w:val="32"/>
      <w:szCs w:val="24"/>
      <w:u w:val="single"/>
    </w:rPr>
  </w:style>
  <w:style w:type="character" w:customStyle="1" w:styleId="Heading4Char">
    <w:name w:val="Heading 4 Char"/>
    <w:aliases w:val="Tag Char,Big card Char,Normal Tag Char,heading 2 Char,Ch Char,no read Char,No Spacing12 Char,No Spacing2111 Char,ta Char,small text Char,No Spacing4 Char,No Spacing21 Char,CD - Cite Char,No Spacing211 Char,No Spacing11111 Char,t Char"/>
    <w:basedOn w:val="DefaultParagraphFont"/>
    <w:link w:val="Heading4"/>
    <w:uiPriority w:val="3"/>
    <w:rsid w:val="00846C5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846C54"/>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846C54"/>
    <w:rPr>
      <w:b w:val="0"/>
      <w:sz w:val="22"/>
      <w:u w:val="single"/>
    </w:rPr>
  </w:style>
  <w:style w:type="character" w:styleId="Strong">
    <w:name w:val="Strong"/>
    <w:basedOn w:val="DefaultParagraphFont"/>
    <w:uiPriority w:val="22"/>
    <w:semiHidden/>
    <w:qFormat/>
    <w:rsid w:val="00846C54"/>
    <w:rPr>
      <w:b/>
      <w:bCs/>
    </w:rPr>
  </w:style>
  <w:style w:type="character" w:styleId="BookTitle">
    <w:name w:val="Book Title"/>
    <w:basedOn w:val="DefaultParagraphFont"/>
    <w:uiPriority w:val="33"/>
    <w:semiHidden/>
    <w:qFormat/>
    <w:rsid w:val="00846C54"/>
    <w:rPr>
      <w:b/>
      <w:bCs/>
      <w:i/>
      <w:iCs/>
      <w:spacing w:val="5"/>
    </w:rPr>
  </w:style>
  <w:style w:type="character" w:customStyle="1" w:styleId="Heading5Char">
    <w:name w:val="Heading 5 Char"/>
    <w:basedOn w:val="DefaultParagraphFont"/>
    <w:link w:val="Heading5"/>
    <w:uiPriority w:val="9"/>
    <w:semiHidden/>
    <w:rsid w:val="00846C5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46C54"/>
  </w:style>
  <w:style w:type="paragraph" w:styleId="Header">
    <w:name w:val="header"/>
    <w:basedOn w:val="Normal"/>
    <w:link w:val="HeaderChar"/>
    <w:uiPriority w:val="99"/>
    <w:semiHidden/>
    <w:rsid w:val="00846C5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46C54"/>
    <w:rPr>
      <w:rFonts w:ascii="Calibri" w:hAnsi="Calibri" w:cs="Calibri"/>
    </w:rPr>
  </w:style>
  <w:style w:type="paragraph" w:styleId="Footer">
    <w:name w:val="footer"/>
    <w:basedOn w:val="Normal"/>
    <w:link w:val="FooterChar"/>
    <w:uiPriority w:val="99"/>
    <w:semiHidden/>
    <w:rsid w:val="00846C5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46C54"/>
    <w:rPr>
      <w:rFonts w:ascii="Calibri" w:hAnsi="Calibri" w:cs="Calibri"/>
    </w:rPr>
  </w:style>
  <w:style w:type="paragraph" w:styleId="BodyText">
    <w:name w:val="Body Text"/>
    <w:basedOn w:val="Normal"/>
    <w:link w:val="BodyTextChar"/>
    <w:uiPriority w:val="99"/>
    <w:semiHidden/>
    <w:unhideWhenUsed/>
    <w:rsid w:val="00846C54"/>
    <w:pPr>
      <w:spacing w:after="120"/>
    </w:pPr>
  </w:style>
  <w:style w:type="character" w:customStyle="1" w:styleId="BodyTextChar">
    <w:name w:val="Body Text Char"/>
    <w:basedOn w:val="DefaultParagraphFont"/>
    <w:link w:val="BodyText"/>
    <w:uiPriority w:val="99"/>
    <w:semiHidden/>
    <w:rsid w:val="00846C54"/>
    <w:rPr>
      <w:rFonts w:ascii="Calibri" w:hAnsi="Calibri" w:cs="Calibri"/>
    </w:rPr>
  </w:style>
  <w:style w:type="paragraph" w:styleId="NoSpacing">
    <w:name w:val="No Spacing"/>
    <w:link w:val="NoSpacingChar"/>
    <w:uiPriority w:val="99"/>
    <w:semiHidden/>
    <w:unhideWhenUsed/>
    <w:qFormat/>
    <w:rsid w:val="00846C5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46C54"/>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F2 - Heading 1 Char1,Block Char1,Text 7 Char"/>
    <w:basedOn w:val="DefaultParagraphFont"/>
    <w:link w:val="Card"/>
    <w:uiPriority w:val="99"/>
    <w:unhideWhenUsed/>
    <w:rsid w:val="00846C54"/>
    <w:rPr>
      <w:color w:val="0563C1" w:themeColor="hyperlink"/>
      <w:u w:val="single"/>
    </w:rPr>
  </w:style>
  <w:style w:type="character" w:styleId="UnresolvedMention">
    <w:name w:val="Unresolved Mention"/>
    <w:basedOn w:val="DefaultParagraphFont"/>
    <w:uiPriority w:val="99"/>
    <w:semiHidden/>
    <w:unhideWhenUsed/>
    <w:rsid w:val="00846C54"/>
    <w:rPr>
      <w:color w:val="605E5C"/>
      <w:shd w:val="clear" w:color="auto" w:fill="E1DFDD"/>
    </w:rPr>
  </w:style>
  <w:style w:type="paragraph" w:customStyle="1" w:styleId="chapter-para">
    <w:name w:val="chapter-para"/>
    <w:basedOn w:val="Normal"/>
    <w:rsid w:val="00AD38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link w:val="Emphasis"/>
    <w:autoRedefine/>
    <w:uiPriority w:val="8"/>
    <w:qFormat/>
    <w:rsid w:val="00CD4C97"/>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12" w:space="0" w:color="auto"/>
    </w:rPr>
  </w:style>
  <w:style w:type="paragraph" w:customStyle="1" w:styleId="Card">
    <w:name w:val="Card"/>
    <w:aliases w:val="No Spacing111112,nonunderlined,No Spacing11211,Debate Text,No Spacing11,No Spacing111,No Spacing2,Read stuff,No Spacing1,Note Level 2,No Spacing31,No Spacing22,No Spacing3,Tag and Cite,No Spacing1111,tags,Dont use,Very Small Text,card,No Spacing41"/>
    <w:basedOn w:val="Heading1"/>
    <w:link w:val="Hyperlink"/>
    <w:autoRedefine/>
    <w:uiPriority w:val="99"/>
    <w:qFormat/>
    <w:rsid w:val="00B774A8"/>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667893">
      <w:bodyDiv w:val="1"/>
      <w:marLeft w:val="0"/>
      <w:marRight w:val="0"/>
      <w:marTop w:val="0"/>
      <w:marBottom w:val="0"/>
      <w:divBdr>
        <w:top w:val="none" w:sz="0" w:space="0" w:color="auto"/>
        <w:left w:val="none" w:sz="0" w:space="0" w:color="auto"/>
        <w:bottom w:val="none" w:sz="0" w:space="0" w:color="auto"/>
        <w:right w:val="none" w:sz="0" w:space="0" w:color="auto"/>
      </w:divBdr>
    </w:div>
    <w:div w:id="185336265">
      <w:bodyDiv w:val="1"/>
      <w:marLeft w:val="0"/>
      <w:marRight w:val="0"/>
      <w:marTop w:val="0"/>
      <w:marBottom w:val="0"/>
      <w:divBdr>
        <w:top w:val="none" w:sz="0" w:space="0" w:color="auto"/>
        <w:left w:val="none" w:sz="0" w:space="0" w:color="auto"/>
        <w:bottom w:val="none" w:sz="0" w:space="0" w:color="auto"/>
        <w:right w:val="none" w:sz="0" w:space="0" w:color="auto"/>
      </w:divBdr>
      <w:divsChild>
        <w:div w:id="1278413565">
          <w:marLeft w:val="0"/>
          <w:marRight w:val="0"/>
          <w:marTop w:val="0"/>
          <w:marBottom w:val="0"/>
          <w:divBdr>
            <w:top w:val="single" w:sz="6" w:space="8" w:color="AAAAAA"/>
            <w:left w:val="single" w:sz="6" w:space="8" w:color="AAAAAA"/>
            <w:bottom w:val="single" w:sz="6" w:space="8" w:color="AAAAAA"/>
            <w:right w:val="single" w:sz="6" w:space="8" w:color="AAAAAA"/>
          </w:divBdr>
        </w:div>
      </w:divsChild>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52783833">
      <w:bodyDiv w:val="1"/>
      <w:marLeft w:val="0"/>
      <w:marRight w:val="0"/>
      <w:marTop w:val="0"/>
      <w:marBottom w:val="0"/>
      <w:divBdr>
        <w:top w:val="none" w:sz="0" w:space="0" w:color="auto"/>
        <w:left w:val="none" w:sz="0" w:space="0" w:color="auto"/>
        <w:bottom w:val="none" w:sz="0" w:space="0" w:color="auto"/>
        <w:right w:val="none" w:sz="0" w:space="0" w:color="auto"/>
      </w:divBdr>
    </w:div>
    <w:div w:id="289750638">
      <w:bodyDiv w:val="1"/>
      <w:marLeft w:val="0"/>
      <w:marRight w:val="0"/>
      <w:marTop w:val="0"/>
      <w:marBottom w:val="0"/>
      <w:divBdr>
        <w:top w:val="none" w:sz="0" w:space="0" w:color="auto"/>
        <w:left w:val="none" w:sz="0" w:space="0" w:color="auto"/>
        <w:bottom w:val="none" w:sz="0" w:space="0" w:color="auto"/>
        <w:right w:val="none" w:sz="0" w:space="0" w:color="auto"/>
      </w:divBdr>
    </w:div>
    <w:div w:id="398476212">
      <w:bodyDiv w:val="1"/>
      <w:marLeft w:val="0"/>
      <w:marRight w:val="0"/>
      <w:marTop w:val="0"/>
      <w:marBottom w:val="0"/>
      <w:divBdr>
        <w:top w:val="none" w:sz="0" w:space="0" w:color="auto"/>
        <w:left w:val="none" w:sz="0" w:space="0" w:color="auto"/>
        <w:bottom w:val="none" w:sz="0" w:space="0" w:color="auto"/>
        <w:right w:val="none" w:sz="0" w:space="0" w:color="auto"/>
      </w:divBdr>
    </w:div>
    <w:div w:id="459033060">
      <w:bodyDiv w:val="1"/>
      <w:marLeft w:val="0"/>
      <w:marRight w:val="0"/>
      <w:marTop w:val="0"/>
      <w:marBottom w:val="0"/>
      <w:divBdr>
        <w:top w:val="none" w:sz="0" w:space="0" w:color="auto"/>
        <w:left w:val="none" w:sz="0" w:space="0" w:color="auto"/>
        <w:bottom w:val="none" w:sz="0" w:space="0" w:color="auto"/>
        <w:right w:val="none" w:sz="0" w:space="0" w:color="auto"/>
      </w:divBdr>
    </w:div>
    <w:div w:id="582759892">
      <w:bodyDiv w:val="1"/>
      <w:marLeft w:val="0"/>
      <w:marRight w:val="0"/>
      <w:marTop w:val="0"/>
      <w:marBottom w:val="0"/>
      <w:divBdr>
        <w:top w:val="none" w:sz="0" w:space="0" w:color="auto"/>
        <w:left w:val="none" w:sz="0" w:space="0" w:color="auto"/>
        <w:bottom w:val="none" w:sz="0" w:space="0" w:color="auto"/>
        <w:right w:val="none" w:sz="0" w:space="0" w:color="auto"/>
      </w:divBdr>
    </w:div>
    <w:div w:id="610279760">
      <w:bodyDiv w:val="1"/>
      <w:marLeft w:val="0"/>
      <w:marRight w:val="0"/>
      <w:marTop w:val="0"/>
      <w:marBottom w:val="0"/>
      <w:divBdr>
        <w:top w:val="none" w:sz="0" w:space="0" w:color="auto"/>
        <w:left w:val="none" w:sz="0" w:space="0" w:color="auto"/>
        <w:bottom w:val="none" w:sz="0" w:space="0" w:color="auto"/>
        <w:right w:val="none" w:sz="0" w:space="0" w:color="auto"/>
      </w:divBdr>
    </w:div>
    <w:div w:id="690912760">
      <w:bodyDiv w:val="1"/>
      <w:marLeft w:val="0"/>
      <w:marRight w:val="0"/>
      <w:marTop w:val="0"/>
      <w:marBottom w:val="0"/>
      <w:divBdr>
        <w:top w:val="none" w:sz="0" w:space="0" w:color="auto"/>
        <w:left w:val="none" w:sz="0" w:space="0" w:color="auto"/>
        <w:bottom w:val="none" w:sz="0" w:space="0" w:color="auto"/>
        <w:right w:val="none" w:sz="0" w:space="0" w:color="auto"/>
      </w:divBdr>
      <w:divsChild>
        <w:div w:id="1460996091">
          <w:marLeft w:val="0"/>
          <w:marRight w:val="0"/>
          <w:marTop w:val="0"/>
          <w:marBottom w:val="0"/>
          <w:divBdr>
            <w:top w:val="none" w:sz="0" w:space="0" w:color="auto"/>
            <w:left w:val="none" w:sz="0" w:space="0" w:color="auto"/>
            <w:bottom w:val="none" w:sz="0" w:space="0" w:color="auto"/>
            <w:right w:val="none" w:sz="0" w:space="0" w:color="auto"/>
          </w:divBdr>
          <w:divsChild>
            <w:div w:id="92746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00287">
      <w:bodyDiv w:val="1"/>
      <w:marLeft w:val="0"/>
      <w:marRight w:val="0"/>
      <w:marTop w:val="0"/>
      <w:marBottom w:val="0"/>
      <w:divBdr>
        <w:top w:val="none" w:sz="0" w:space="0" w:color="auto"/>
        <w:left w:val="none" w:sz="0" w:space="0" w:color="auto"/>
        <w:bottom w:val="none" w:sz="0" w:space="0" w:color="auto"/>
        <w:right w:val="none" w:sz="0" w:space="0" w:color="auto"/>
      </w:divBdr>
    </w:div>
    <w:div w:id="733508894">
      <w:bodyDiv w:val="1"/>
      <w:marLeft w:val="0"/>
      <w:marRight w:val="0"/>
      <w:marTop w:val="0"/>
      <w:marBottom w:val="0"/>
      <w:divBdr>
        <w:top w:val="none" w:sz="0" w:space="0" w:color="auto"/>
        <w:left w:val="none" w:sz="0" w:space="0" w:color="auto"/>
        <w:bottom w:val="none" w:sz="0" w:space="0" w:color="auto"/>
        <w:right w:val="none" w:sz="0" w:space="0" w:color="auto"/>
      </w:divBdr>
    </w:div>
    <w:div w:id="744495276">
      <w:bodyDiv w:val="1"/>
      <w:marLeft w:val="0"/>
      <w:marRight w:val="0"/>
      <w:marTop w:val="0"/>
      <w:marBottom w:val="0"/>
      <w:divBdr>
        <w:top w:val="none" w:sz="0" w:space="0" w:color="auto"/>
        <w:left w:val="none" w:sz="0" w:space="0" w:color="auto"/>
        <w:bottom w:val="none" w:sz="0" w:space="0" w:color="auto"/>
        <w:right w:val="none" w:sz="0" w:space="0" w:color="auto"/>
      </w:divBdr>
    </w:div>
    <w:div w:id="766342736">
      <w:bodyDiv w:val="1"/>
      <w:marLeft w:val="0"/>
      <w:marRight w:val="0"/>
      <w:marTop w:val="0"/>
      <w:marBottom w:val="0"/>
      <w:divBdr>
        <w:top w:val="none" w:sz="0" w:space="0" w:color="auto"/>
        <w:left w:val="none" w:sz="0" w:space="0" w:color="auto"/>
        <w:bottom w:val="none" w:sz="0" w:space="0" w:color="auto"/>
        <w:right w:val="none" w:sz="0" w:space="0" w:color="auto"/>
      </w:divBdr>
      <w:divsChild>
        <w:div w:id="1442580">
          <w:marLeft w:val="0"/>
          <w:marRight w:val="0"/>
          <w:marTop w:val="360"/>
          <w:marBottom w:val="600"/>
          <w:divBdr>
            <w:top w:val="none" w:sz="0" w:space="0" w:color="auto"/>
            <w:left w:val="none" w:sz="0" w:space="0" w:color="auto"/>
            <w:bottom w:val="none" w:sz="0" w:space="0" w:color="auto"/>
            <w:right w:val="none" w:sz="0" w:space="0" w:color="auto"/>
          </w:divBdr>
          <w:divsChild>
            <w:div w:id="29421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981416">
      <w:bodyDiv w:val="1"/>
      <w:marLeft w:val="0"/>
      <w:marRight w:val="0"/>
      <w:marTop w:val="0"/>
      <w:marBottom w:val="0"/>
      <w:divBdr>
        <w:top w:val="none" w:sz="0" w:space="0" w:color="auto"/>
        <w:left w:val="none" w:sz="0" w:space="0" w:color="auto"/>
        <w:bottom w:val="none" w:sz="0" w:space="0" w:color="auto"/>
        <w:right w:val="none" w:sz="0" w:space="0" w:color="auto"/>
      </w:divBdr>
    </w:div>
    <w:div w:id="866673241">
      <w:bodyDiv w:val="1"/>
      <w:marLeft w:val="0"/>
      <w:marRight w:val="0"/>
      <w:marTop w:val="0"/>
      <w:marBottom w:val="0"/>
      <w:divBdr>
        <w:top w:val="none" w:sz="0" w:space="0" w:color="auto"/>
        <w:left w:val="none" w:sz="0" w:space="0" w:color="auto"/>
        <w:bottom w:val="none" w:sz="0" w:space="0" w:color="auto"/>
        <w:right w:val="none" w:sz="0" w:space="0" w:color="auto"/>
      </w:divBdr>
    </w:div>
    <w:div w:id="924458202">
      <w:bodyDiv w:val="1"/>
      <w:marLeft w:val="0"/>
      <w:marRight w:val="0"/>
      <w:marTop w:val="0"/>
      <w:marBottom w:val="0"/>
      <w:divBdr>
        <w:top w:val="none" w:sz="0" w:space="0" w:color="auto"/>
        <w:left w:val="none" w:sz="0" w:space="0" w:color="auto"/>
        <w:bottom w:val="none" w:sz="0" w:space="0" w:color="auto"/>
        <w:right w:val="none" w:sz="0" w:space="0" w:color="auto"/>
      </w:divBdr>
    </w:div>
    <w:div w:id="936211652">
      <w:bodyDiv w:val="1"/>
      <w:marLeft w:val="0"/>
      <w:marRight w:val="0"/>
      <w:marTop w:val="0"/>
      <w:marBottom w:val="0"/>
      <w:divBdr>
        <w:top w:val="none" w:sz="0" w:space="0" w:color="auto"/>
        <w:left w:val="none" w:sz="0" w:space="0" w:color="auto"/>
        <w:bottom w:val="none" w:sz="0" w:space="0" w:color="auto"/>
        <w:right w:val="none" w:sz="0" w:space="0" w:color="auto"/>
      </w:divBdr>
      <w:divsChild>
        <w:div w:id="428359289">
          <w:marLeft w:val="0"/>
          <w:marRight w:val="0"/>
          <w:marTop w:val="0"/>
          <w:marBottom w:val="0"/>
          <w:divBdr>
            <w:top w:val="none" w:sz="0" w:space="0" w:color="auto"/>
            <w:left w:val="none" w:sz="0" w:space="0" w:color="auto"/>
            <w:bottom w:val="none" w:sz="0" w:space="0" w:color="auto"/>
            <w:right w:val="none" w:sz="0" w:space="0" w:color="auto"/>
          </w:divBdr>
        </w:div>
      </w:divsChild>
    </w:div>
    <w:div w:id="995382536">
      <w:bodyDiv w:val="1"/>
      <w:marLeft w:val="0"/>
      <w:marRight w:val="0"/>
      <w:marTop w:val="0"/>
      <w:marBottom w:val="0"/>
      <w:divBdr>
        <w:top w:val="none" w:sz="0" w:space="0" w:color="auto"/>
        <w:left w:val="none" w:sz="0" w:space="0" w:color="auto"/>
        <w:bottom w:val="none" w:sz="0" w:space="0" w:color="auto"/>
        <w:right w:val="none" w:sz="0" w:space="0" w:color="auto"/>
      </w:divBdr>
    </w:div>
    <w:div w:id="1007638669">
      <w:bodyDiv w:val="1"/>
      <w:marLeft w:val="0"/>
      <w:marRight w:val="0"/>
      <w:marTop w:val="0"/>
      <w:marBottom w:val="0"/>
      <w:divBdr>
        <w:top w:val="none" w:sz="0" w:space="0" w:color="auto"/>
        <w:left w:val="none" w:sz="0" w:space="0" w:color="auto"/>
        <w:bottom w:val="none" w:sz="0" w:space="0" w:color="auto"/>
        <w:right w:val="none" w:sz="0" w:space="0" w:color="auto"/>
      </w:divBdr>
    </w:div>
    <w:div w:id="1072459977">
      <w:bodyDiv w:val="1"/>
      <w:marLeft w:val="0"/>
      <w:marRight w:val="0"/>
      <w:marTop w:val="0"/>
      <w:marBottom w:val="0"/>
      <w:divBdr>
        <w:top w:val="none" w:sz="0" w:space="0" w:color="auto"/>
        <w:left w:val="none" w:sz="0" w:space="0" w:color="auto"/>
        <w:bottom w:val="none" w:sz="0" w:space="0" w:color="auto"/>
        <w:right w:val="none" w:sz="0" w:space="0" w:color="auto"/>
      </w:divBdr>
    </w:div>
    <w:div w:id="1169908076">
      <w:bodyDiv w:val="1"/>
      <w:marLeft w:val="0"/>
      <w:marRight w:val="0"/>
      <w:marTop w:val="0"/>
      <w:marBottom w:val="0"/>
      <w:divBdr>
        <w:top w:val="none" w:sz="0" w:space="0" w:color="auto"/>
        <w:left w:val="none" w:sz="0" w:space="0" w:color="auto"/>
        <w:bottom w:val="none" w:sz="0" w:space="0" w:color="auto"/>
        <w:right w:val="none" w:sz="0" w:space="0" w:color="auto"/>
      </w:divBdr>
    </w:div>
    <w:div w:id="1243300789">
      <w:bodyDiv w:val="1"/>
      <w:marLeft w:val="0"/>
      <w:marRight w:val="0"/>
      <w:marTop w:val="0"/>
      <w:marBottom w:val="0"/>
      <w:divBdr>
        <w:top w:val="none" w:sz="0" w:space="0" w:color="auto"/>
        <w:left w:val="none" w:sz="0" w:space="0" w:color="auto"/>
        <w:bottom w:val="none" w:sz="0" w:space="0" w:color="auto"/>
        <w:right w:val="none" w:sz="0" w:space="0" w:color="auto"/>
      </w:divBdr>
    </w:div>
    <w:div w:id="1431389680">
      <w:bodyDiv w:val="1"/>
      <w:marLeft w:val="0"/>
      <w:marRight w:val="0"/>
      <w:marTop w:val="0"/>
      <w:marBottom w:val="0"/>
      <w:divBdr>
        <w:top w:val="none" w:sz="0" w:space="0" w:color="auto"/>
        <w:left w:val="none" w:sz="0" w:space="0" w:color="auto"/>
        <w:bottom w:val="none" w:sz="0" w:space="0" w:color="auto"/>
        <w:right w:val="none" w:sz="0" w:space="0" w:color="auto"/>
      </w:divBdr>
    </w:div>
    <w:div w:id="1451628658">
      <w:bodyDiv w:val="1"/>
      <w:marLeft w:val="0"/>
      <w:marRight w:val="0"/>
      <w:marTop w:val="0"/>
      <w:marBottom w:val="0"/>
      <w:divBdr>
        <w:top w:val="none" w:sz="0" w:space="0" w:color="auto"/>
        <w:left w:val="none" w:sz="0" w:space="0" w:color="auto"/>
        <w:bottom w:val="none" w:sz="0" w:space="0" w:color="auto"/>
        <w:right w:val="none" w:sz="0" w:space="0" w:color="auto"/>
      </w:divBdr>
    </w:div>
    <w:div w:id="1502086079">
      <w:bodyDiv w:val="1"/>
      <w:marLeft w:val="0"/>
      <w:marRight w:val="0"/>
      <w:marTop w:val="0"/>
      <w:marBottom w:val="0"/>
      <w:divBdr>
        <w:top w:val="none" w:sz="0" w:space="0" w:color="auto"/>
        <w:left w:val="none" w:sz="0" w:space="0" w:color="auto"/>
        <w:bottom w:val="none" w:sz="0" w:space="0" w:color="auto"/>
        <w:right w:val="none" w:sz="0" w:space="0" w:color="auto"/>
      </w:divBdr>
    </w:div>
    <w:div w:id="1506169977">
      <w:bodyDiv w:val="1"/>
      <w:marLeft w:val="0"/>
      <w:marRight w:val="0"/>
      <w:marTop w:val="0"/>
      <w:marBottom w:val="0"/>
      <w:divBdr>
        <w:top w:val="none" w:sz="0" w:space="0" w:color="auto"/>
        <w:left w:val="none" w:sz="0" w:space="0" w:color="auto"/>
        <w:bottom w:val="none" w:sz="0" w:space="0" w:color="auto"/>
        <w:right w:val="none" w:sz="0" w:space="0" w:color="auto"/>
      </w:divBdr>
      <w:divsChild>
        <w:div w:id="2086487210">
          <w:marLeft w:val="0"/>
          <w:marRight w:val="0"/>
          <w:marTop w:val="0"/>
          <w:marBottom w:val="0"/>
          <w:divBdr>
            <w:top w:val="single" w:sz="6" w:space="8" w:color="AAAAAA"/>
            <w:left w:val="single" w:sz="6" w:space="8" w:color="AAAAAA"/>
            <w:bottom w:val="single" w:sz="6" w:space="8" w:color="AAAAAA"/>
            <w:right w:val="single" w:sz="6" w:space="8" w:color="AAAAAA"/>
          </w:divBdr>
        </w:div>
      </w:divsChild>
    </w:div>
    <w:div w:id="1565874950">
      <w:bodyDiv w:val="1"/>
      <w:marLeft w:val="0"/>
      <w:marRight w:val="0"/>
      <w:marTop w:val="0"/>
      <w:marBottom w:val="0"/>
      <w:divBdr>
        <w:top w:val="none" w:sz="0" w:space="0" w:color="auto"/>
        <w:left w:val="none" w:sz="0" w:space="0" w:color="auto"/>
        <w:bottom w:val="none" w:sz="0" w:space="0" w:color="auto"/>
        <w:right w:val="none" w:sz="0" w:space="0" w:color="auto"/>
      </w:divBdr>
      <w:divsChild>
        <w:div w:id="1777286918">
          <w:marLeft w:val="0"/>
          <w:marRight w:val="0"/>
          <w:marTop w:val="0"/>
          <w:marBottom w:val="0"/>
          <w:divBdr>
            <w:top w:val="single" w:sz="6" w:space="8" w:color="AAAAAA"/>
            <w:left w:val="single" w:sz="6" w:space="8" w:color="AAAAAA"/>
            <w:bottom w:val="single" w:sz="6" w:space="8" w:color="AAAAAA"/>
            <w:right w:val="single" w:sz="6" w:space="8" w:color="AAAAAA"/>
          </w:divBdr>
        </w:div>
      </w:divsChild>
    </w:div>
    <w:div w:id="1810711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conomicsecurityproject.org/resource/states-lead/" TargetMode="External"/><Relationship Id="rId18" Type="http://schemas.openxmlformats.org/officeDocument/2006/relationships/image" Target="media/image2.jpeg"/><Relationship Id="rId26" Type="http://schemas.openxmlformats.org/officeDocument/2006/relationships/hyperlink" Target="https://www.journals.uchicago.edu/doi/full/10.1086/724556" TargetMode="External"/><Relationship Id="rId39" Type="http://schemas.openxmlformats.org/officeDocument/2006/relationships/hyperlink" Target="https://scholarship.law.unc.edu/cgi/viewcontent.cgi?article=1345&amp;context=ncjolt" TargetMode="External"/><Relationship Id="rId21" Type="http://schemas.openxmlformats.org/officeDocument/2006/relationships/image" Target="media/image4.jpeg"/><Relationship Id="rId34" Type="http://schemas.openxmlformats.org/officeDocument/2006/relationships/hyperlink" Target="https://www.cbpp.org/research/state-budget-and-tax/states-can-adopt-or-expand-earned-income-tax-credits-to-build-a" TargetMode="External"/><Relationship Id="rId42" Type="http://schemas.openxmlformats.org/officeDocument/2006/relationships/hyperlink" Target="https://www.journals.uchicago.edu/doi/full/10.1086/724556"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jpeg"/><Relationship Id="rId29" Type="http://schemas.openxmlformats.org/officeDocument/2006/relationships/hyperlink" Target="https://www.cbpp.org/research/state-budget-and-tax/state-taxes-on-inherited-wealt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conomicsecurityproject.org/resource/states-lead/" TargetMode="External"/><Relationship Id="rId24" Type="http://schemas.openxmlformats.org/officeDocument/2006/relationships/hyperlink" Target="https://economicsecurityproject.org/resource/states-lead/" TargetMode="External"/><Relationship Id="rId32" Type="http://schemas.openxmlformats.org/officeDocument/2006/relationships/hyperlink" Target="https://www.cbpp.org/research/state-budget-and-tax/states-can-adopt-or-expand-earned-income-tax-credits-to-build-a" TargetMode="External"/><Relationship Id="rId37" Type="http://schemas.openxmlformats.org/officeDocument/2006/relationships/hyperlink" Target="https://www.cbpp.org/sites/default/files/atoms/files/3-2-16tax.pdf" TargetMode="External"/><Relationship Id="rId40" Type="http://schemas.openxmlformats.org/officeDocument/2006/relationships/hyperlink" Target="https://www.journals.uchicago.edu/doi/full/10.1086/724556" TargetMode="External"/><Relationship Id="rId45" Type="http://schemas.openxmlformats.org/officeDocument/2006/relationships/hyperlink" Target="https://www.cbpp.org/research/state-budget-and-tax/some-states-much-better-prepared-than-others-for-recession" TargetMode="External"/><Relationship Id="rId5" Type="http://schemas.openxmlformats.org/officeDocument/2006/relationships/webSettings" Target="webSettings.xml"/><Relationship Id="rId15" Type="http://schemas.openxmlformats.org/officeDocument/2006/relationships/hyperlink" Target="https://economicsecurityproject.org/resource/states-lead/" TargetMode="External"/><Relationship Id="rId23" Type="http://schemas.openxmlformats.org/officeDocument/2006/relationships/hyperlink" Target="https://economicsecurityproject.org/resource/states-lead/" TargetMode="External"/><Relationship Id="rId28" Type="http://schemas.openxmlformats.org/officeDocument/2006/relationships/hyperlink" Target="https://www.cbpp.org/sites/default/files/atoms/files/1-23-18sfp.pdf" TargetMode="External"/><Relationship Id="rId36" Type="http://schemas.openxmlformats.org/officeDocument/2006/relationships/hyperlink" Target="https://www.cbpp.org/research/state-budget-and-tax/states-can-adopt-or-expand-earned-income-tax-credits-to-build-a" TargetMode="External"/><Relationship Id="rId10" Type="http://schemas.openxmlformats.org/officeDocument/2006/relationships/hyperlink" Target="https://economicsecurityproject.org/resource/states-lead/" TargetMode="External"/><Relationship Id="rId19" Type="http://schemas.openxmlformats.org/officeDocument/2006/relationships/image" Target="media/image3.jpeg"/><Relationship Id="rId31" Type="http://schemas.openxmlformats.org/officeDocument/2006/relationships/hyperlink" Target="https://www.cbpp.org/research/state-budget-and-tax/state-earned-income-tax-credits" TargetMode="External"/><Relationship Id="rId44" Type="http://schemas.openxmlformats.org/officeDocument/2006/relationships/hyperlink" Target="https://www.cbpp.org/blog/states-should-protect-or-raise-revenue-as-uncertainty-looms" TargetMode="External"/><Relationship Id="rId4" Type="http://schemas.openxmlformats.org/officeDocument/2006/relationships/settings" Target="settings.xml"/><Relationship Id="rId9" Type="http://schemas.openxmlformats.org/officeDocument/2006/relationships/hyperlink" Target="https://www.thenation.com/article/economy/half-time-job-gaurantee/tnamp/" TargetMode="External"/><Relationship Id="rId14" Type="http://schemas.openxmlformats.org/officeDocument/2006/relationships/hyperlink" Target="https://economicsecurityproject.org/resource/states-lead/" TargetMode="External"/><Relationship Id="rId22" Type="http://schemas.openxmlformats.org/officeDocument/2006/relationships/hyperlink" Target="https://economicsecurityproject.org/resource/states-lead/" TargetMode="External"/><Relationship Id="rId27" Type="http://schemas.openxmlformats.org/officeDocument/2006/relationships/hyperlink" Target="https://www.cbpp.org/research/state-budget-and-tax/raising-state-income-tax-rates-at-the-top-a-sensible-way-to-fund-key" TargetMode="External"/><Relationship Id="rId30" Type="http://schemas.openxmlformats.org/officeDocument/2006/relationships/hyperlink" Target="https://www.cbpp.org/sites/default/files/atoms/files/1-5-17tanf.pdf" TargetMode="External"/><Relationship Id="rId35" Type="http://schemas.openxmlformats.org/officeDocument/2006/relationships/hyperlink" Target="https://www.cbpp.org/research/state-budget-and-tax/states-can-adopt-or-expand-earned-income-tax-credits-to-build-a" TargetMode="External"/><Relationship Id="rId43" Type="http://schemas.openxmlformats.org/officeDocument/2006/relationships/hyperlink" Target="https://www.cbpp.org/sites/default/files/atoms/files/1-23-18sfp.pdf" TargetMode="External"/><Relationship Id="rId48" Type="http://schemas.openxmlformats.org/officeDocument/2006/relationships/theme" Target="theme/theme1.xml"/><Relationship Id="rId8" Type="http://schemas.openxmlformats.org/officeDocument/2006/relationships/hyperlink" Target="https://www.thenation.com/article/economy/half-time-job-gaurantee/tnamp/" TargetMode="External"/><Relationship Id="rId3" Type="http://schemas.openxmlformats.org/officeDocument/2006/relationships/styles" Target="styles.xml"/><Relationship Id="rId12" Type="http://schemas.openxmlformats.org/officeDocument/2006/relationships/hyperlink" Target="https://digitalcommons.library.umaine.edu/cgi/viewcontent.cgi?article=1816&amp;context=mpr" TargetMode="External"/><Relationship Id="rId17" Type="http://schemas.openxmlformats.org/officeDocument/2006/relationships/hyperlink" Target="https://economicsecurityproject.org/resource/states-lead/" TargetMode="External"/><Relationship Id="rId25" Type="http://schemas.openxmlformats.org/officeDocument/2006/relationships/hyperlink" Target="https://www.journals.uchicago.edu/doi/full/10.1086/724556" TargetMode="External"/><Relationship Id="rId33" Type="http://schemas.openxmlformats.org/officeDocument/2006/relationships/hyperlink" Target="https://www.cbpp.org/research/state-budget-and-tax/states-can-adopt-or-expand-earned-income-tax-credits-to-build-a" TargetMode="External"/><Relationship Id="rId38" Type="http://schemas.openxmlformats.org/officeDocument/2006/relationships/hyperlink" Target="https://economicsecurityproject.org/resource/states-lead/" TargetMode="External"/><Relationship Id="rId46" Type="http://schemas.openxmlformats.org/officeDocument/2006/relationships/hyperlink" Target="https://economicsecurityproject.org/resource/states-lead/" TargetMode="External"/><Relationship Id="rId20" Type="http://schemas.openxmlformats.org/officeDocument/2006/relationships/hyperlink" Target="https://economicsecurityproject.org/resource/states-lead/" TargetMode="External"/><Relationship Id="rId41" Type="http://schemas.openxmlformats.org/officeDocument/2006/relationships/hyperlink" Target="https://www.journals.uchicago.edu/doi/full/10.1086/72455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ip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14080</TotalTime>
  <Pages>1</Pages>
  <Words>57048</Words>
  <Characters>325179</Characters>
  <Application>Microsoft Office Word</Application>
  <DocSecurity>0</DocSecurity>
  <Lines>2709</Lines>
  <Paragraphs>762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Stephen Pipkin</dc:creator>
  <cp:keywords>6.0.0</cp:keywords>
  <dc:description/>
  <cp:lastModifiedBy>Stephen Pipkin</cp:lastModifiedBy>
  <cp:revision>698</cp:revision>
  <dcterms:created xsi:type="dcterms:W3CDTF">2023-05-25T14:59:00Z</dcterms:created>
  <dcterms:modified xsi:type="dcterms:W3CDTF">2023-06-16T16:52:00Z</dcterms:modified>
</cp:coreProperties>
</file>