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297CC3" w14:textId="7938220A" w:rsidR="00A602F2" w:rsidRPr="00A602F2" w:rsidRDefault="00177069" w:rsidP="009C7186">
      <w:pPr>
        <w:pStyle w:val="Heading1"/>
      </w:pPr>
      <w:r>
        <w:t>Topicality</w:t>
      </w:r>
      <w:r w:rsidR="00E4125E">
        <w:t xml:space="preserve"> Supplement</w:t>
      </w:r>
      <w:r>
        <w:t>---BFGHR</w:t>
      </w:r>
    </w:p>
    <w:p w14:paraId="69B4FFB1" w14:textId="4317FDA1" w:rsidR="00BE675D" w:rsidRDefault="00BE675D" w:rsidP="00BE675D">
      <w:pPr>
        <w:pStyle w:val="Heading2"/>
      </w:pPr>
      <w:r>
        <w:t>FR---</w:t>
      </w:r>
      <w:r w:rsidR="00AE58BD">
        <w:t>Taxes</w:t>
      </w:r>
      <w:r>
        <w:t>---Neg</w:t>
      </w:r>
    </w:p>
    <w:p w14:paraId="3C9967DD" w14:textId="77777777" w:rsidR="00A641B4" w:rsidRDefault="00A641B4" w:rsidP="00A641B4">
      <w:pPr>
        <w:pStyle w:val="Heading3"/>
      </w:pPr>
      <w:r>
        <w:t>FR---Requires Transfer from Rich to Poor---1NC</w:t>
      </w:r>
    </w:p>
    <w:p w14:paraId="64326A2A" w14:textId="77777777" w:rsidR="00A641B4" w:rsidRPr="0075562D" w:rsidRDefault="00A641B4" w:rsidP="00A641B4">
      <w:pPr>
        <w:pStyle w:val="Heading4"/>
      </w:pPr>
      <w:r>
        <w:t xml:space="preserve">‘Fiscal redistribution’ refers to transfers of wealth from the </w:t>
      </w:r>
      <w:r>
        <w:rPr>
          <w:u w:val="single"/>
        </w:rPr>
        <w:t>rich</w:t>
      </w:r>
      <w:r>
        <w:t xml:space="preserve"> to the </w:t>
      </w:r>
      <w:r>
        <w:rPr>
          <w:u w:val="single"/>
        </w:rPr>
        <w:t>poor</w:t>
      </w:r>
      <w:r>
        <w:t>.</w:t>
      </w:r>
    </w:p>
    <w:p w14:paraId="7D1FC823" w14:textId="77777777" w:rsidR="00A641B4" w:rsidRPr="00D23DF3" w:rsidRDefault="00A641B4" w:rsidP="00A641B4">
      <w:r>
        <w:t xml:space="preserve">Alan </w:t>
      </w:r>
      <w:r w:rsidRPr="00D23DF3">
        <w:rPr>
          <w:rStyle w:val="Style13ptBold"/>
        </w:rPr>
        <w:t>Altshuler 13</w:t>
      </w:r>
      <w:r>
        <w:t xml:space="preserve">, </w:t>
      </w:r>
      <w:r w:rsidRPr="00D23DF3">
        <w:t>Ru</w:t>
      </w:r>
      <w:r>
        <w:t>t</w:t>
      </w:r>
      <w:r w:rsidRPr="00D23DF3">
        <w:t>h and Frank Stanton Professor of U</w:t>
      </w:r>
      <w:r>
        <w:t>r</w:t>
      </w:r>
      <w:r w:rsidRPr="00D23DF3">
        <w:t>ban Policy and Planning at Ha</w:t>
      </w:r>
      <w:r>
        <w:t>rva</w:t>
      </w:r>
      <w:r w:rsidRPr="00D23DF3">
        <w:t>rd Universi</w:t>
      </w:r>
      <w:r>
        <w:t xml:space="preserve">ty, Spring 2013, “Equity as a Factor in Surface Transportation Politics,” </w:t>
      </w:r>
      <w:r w:rsidRPr="00D23DF3">
        <w:t>https://www.accessmagazine.org/wp-content/uploads/sites/7/2015/10/Equity-as-a-Factor-in-Surface-Transportation-Politics.pdf</w:t>
      </w:r>
    </w:p>
    <w:p w14:paraId="474DE2B9" w14:textId="77777777" w:rsidR="00A641B4" w:rsidRPr="00D23DF3" w:rsidRDefault="00A641B4" w:rsidP="00A641B4">
      <w:pPr>
        <w:rPr>
          <w:u w:val="single"/>
        </w:rPr>
      </w:pPr>
      <w:r w:rsidRPr="00D23DF3">
        <w:rPr>
          <w:highlight w:val="cyan"/>
          <w:u w:val="single"/>
        </w:rPr>
        <w:t>Fiscal Redistribution</w:t>
      </w:r>
    </w:p>
    <w:p w14:paraId="11FF9E5D" w14:textId="77777777" w:rsidR="00A641B4" w:rsidRPr="0075562D" w:rsidRDefault="00A641B4" w:rsidP="00A641B4">
      <w:r w:rsidRPr="00D23DF3">
        <w:rPr>
          <w:highlight w:val="cyan"/>
          <w:u w:val="single"/>
        </w:rPr>
        <w:t>Defined</w:t>
      </w:r>
      <w:r>
        <w:t xml:space="preserve"> here </w:t>
      </w:r>
      <w:r w:rsidRPr="00D23DF3">
        <w:rPr>
          <w:highlight w:val="cyan"/>
          <w:u w:val="single"/>
        </w:rPr>
        <w:t xml:space="preserve">as transfers from </w:t>
      </w:r>
      <w:r w:rsidRPr="00D23DF3">
        <w:rPr>
          <w:rStyle w:val="Emphasis"/>
          <w:highlight w:val="cyan"/>
        </w:rPr>
        <w:t>more</w:t>
      </w:r>
      <w:r w:rsidRPr="00D23DF3">
        <w:rPr>
          <w:highlight w:val="cyan"/>
          <w:u w:val="single"/>
        </w:rPr>
        <w:t xml:space="preserve"> to </w:t>
      </w:r>
      <w:r w:rsidRPr="00D23DF3">
        <w:rPr>
          <w:rStyle w:val="Emphasis"/>
          <w:highlight w:val="cyan"/>
        </w:rPr>
        <w:t>less affluent</w:t>
      </w:r>
      <w:r w:rsidRPr="00D23DF3">
        <w:rPr>
          <w:highlight w:val="cyan"/>
          <w:u w:val="single"/>
        </w:rPr>
        <w:t xml:space="preserve"> groups</w:t>
      </w:r>
      <w:r>
        <w:t>, and at times special benefits for those with disabilities.</w:t>
      </w:r>
    </w:p>
    <w:p w14:paraId="64E115B0" w14:textId="00E9A4DB" w:rsidR="004A452A" w:rsidRDefault="004A452A" w:rsidP="004A452A">
      <w:pPr>
        <w:pStyle w:val="Heading3"/>
      </w:pPr>
      <w:r>
        <w:t>FR---Requires Taxes---2NC</w:t>
      </w:r>
    </w:p>
    <w:p w14:paraId="06123D7A" w14:textId="7B1150A2" w:rsidR="004A452A" w:rsidRDefault="004A452A" w:rsidP="004A452A">
      <w:pPr>
        <w:pStyle w:val="Heading4"/>
      </w:pPr>
      <w:r>
        <w:t>Redistribution requires distribution of taxes.</w:t>
      </w:r>
    </w:p>
    <w:p w14:paraId="1675A0BC" w14:textId="6F486CD2" w:rsidR="004A452A" w:rsidRPr="004A452A" w:rsidRDefault="004A452A" w:rsidP="004A452A">
      <w:r>
        <w:t xml:space="preserve">Serhan </w:t>
      </w:r>
      <w:r w:rsidRPr="004A452A">
        <w:rPr>
          <w:rStyle w:val="Style13ptBold"/>
        </w:rPr>
        <w:t>Cevik 15</w:t>
      </w:r>
      <w:r>
        <w:t xml:space="preserve">, Senior Economist at the IMF; and Carolina Correa-Caro, Research Analyst at the IMF, 9/21/2015, “Growing (Un)equal: Fiscal Policy and Income Inequality in China and BRIC+,” </w:t>
      </w:r>
      <w:r>
        <w:rPr>
          <w:i/>
          <w:iCs/>
        </w:rPr>
        <w:t xml:space="preserve">Inequality and Fiscal </w:t>
      </w:r>
      <w:r w:rsidRPr="004A452A">
        <w:rPr>
          <w:i/>
          <w:iCs/>
        </w:rPr>
        <w:t>Policy</w:t>
      </w:r>
      <w:r>
        <w:t xml:space="preserve">, Chapter 19, </w:t>
      </w:r>
      <w:r w:rsidRPr="004A452A">
        <w:t>https://doi.org/10.5089/9781513567754.071</w:t>
      </w:r>
    </w:p>
    <w:p w14:paraId="12BB7083" w14:textId="13B73C4B" w:rsidR="004A452A" w:rsidRPr="004A452A" w:rsidRDefault="004A452A" w:rsidP="004A452A">
      <w:pPr>
        <w:rPr>
          <w:sz w:val="16"/>
        </w:rPr>
      </w:pPr>
      <w:r w:rsidRPr="004A452A">
        <w:rPr>
          <w:sz w:val="16"/>
        </w:rPr>
        <w:t xml:space="preserve">Income distribution depends on a complex array of factors, including the design of fiscal policy instruments. According to the Standardized World Income Inequality Database (SWIID), the market-income Gini coefficient (before taxes and transfers) in China increased by 82 percent between 1980 and 2013, whereas the net Gini coefficient (after taxes and transfers) increased by 90 percent (Figure 19.1). This difference indicates that the redistributive impact of fiscal policy is eroding. Fiscal redistribution—defined as the difference between market-income and net Gini coefficients—amounted to an average of 1.7 Gini-index points in the 1990s, but it turned negative during the period 2000-13, averaging -1.1 Gini-index points. </w:t>
      </w:r>
      <w:r w:rsidRPr="0012048E">
        <w:rPr>
          <w:rStyle w:val="Emphasis"/>
          <w:highlight w:val="cyan"/>
        </w:rPr>
        <w:t>Fiscal policy</w:t>
      </w:r>
      <w:r w:rsidRPr="004A452A">
        <w:rPr>
          <w:sz w:val="16"/>
        </w:rPr>
        <w:t xml:space="preserve">, however, </w:t>
      </w:r>
      <w:r w:rsidRPr="004A452A">
        <w:rPr>
          <w:rStyle w:val="StyleUnderline"/>
        </w:rPr>
        <w:t>can matter</w:t>
      </w:r>
      <w:r w:rsidRPr="004A452A">
        <w:rPr>
          <w:sz w:val="16"/>
        </w:rPr>
        <w:t xml:space="preserve"> not just </w:t>
      </w:r>
      <w:r w:rsidRPr="0012048E">
        <w:rPr>
          <w:rStyle w:val="StyleUnderline"/>
          <w:highlight w:val="cyan"/>
        </w:rPr>
        <w:t>for redistribution</w:t>
      </w:r>
      <w:r w:rsidRPr="004A452A">
        <w:rPr>
          <w:rStyle w:val="StyleUnderline"/>
        </w:rPr>
        <w:t>, but also</w:t>
      </w:r>
      <w:r w:rsidRPr="004A452A">
        <w:rPr>
          <w:sz w:val="16"/>
        </w:rPr>
        <w:t xml:space="preserve"> for market-income </w:t>
      </w:r>
      <w:r w:rsidRPr="004A452A">
        <w:rPr>
          <w:rStyle w:val="StyleUnderline"/>
        </w:rPr>
        <w:t xml:space="preserve">inequality. </w:t>
      </w:r>
      <w:r w:rsidRPr="0012048E">
        <w:rPr>
          <w:rStyle w:val="Emphasis"/>
        </w:rPr>
        <w:t>Redistribution</w:t>
      </w:r>
      <w:r w:rsidRPr="0012048E">
        <w:rPr>
          <w:rStyle w:val="StyleUnderline"/>
          <w:highlight w:val="cyan"/>
        </w:rPr>
        <w:t xml:space="preserve"> is</w:t>
      </w:r>
      <w:r w:rsidRPr="004A452A">
        <w:rPr>
          <w:sz w:val="16"/>
        </w:rPr>
        <w:t xml:space="preserve">, of course, </w:t>
      </w:r>
      <w:r w:rsidRPr="0012048E">
        <w:rPr>
          <w:rStyle w:val="StyleUnderline"/>
          <w:highlight w:val="cyan"/>
        </w:rPr>
        <w:t>a function of the</w:t>
      </w:r>
      <w:r w:rsidRPr="004A452A">
        <w:rPr>
          <w:rStyle w:val="StyleUnderline"/>
        </w:rPr>
        <w:t xml:space="preserve"> level and </w:t>
      </w:r>
      <w:r w:rsidRPr="00DC7102">
        <w:rPr>
          <w:rStyle w:val="Emphasis"/>
          <w:highlight w:val="cyan"/>
        </w:rPr>
        <w:t>composition</w:t>
      </w:r>
      <w:r w:rsidRPr="0012048E">
        <w:rPr>
          <w:rStyle w:val="StyleUnderline"/>
          <w:highlight w:val="cyan"/>
        </w:rPr>
        <w:t xml:space="preserve"> of </w:t>
      </w:r>
      <w:r w:rsidRPr="0012048E">
        <w:rPr>
          <w:rStyle w:val="Emphasis"/>
          <w:highlight w:val="cyan"/>
        </w:rPr>
        <w:t>taxation</w:t>
      </w:r>
      <w:r w:rsidRPr="0012048E">
        <w:rPr>
          <w:rStyle w:val="StyleUnderline"/>
          <w:highlight w:val="cyan"/>
        </w:rPr>
        <w:t xml:space="preserve"> and </w:t>
      </w:r>
      <w:r w:rsidRPr="0012048E">
        <w:rPr>
          <w:rStyle w:val="Emphasis"/>
          <w:highlight w:val="cyan"/>
        </w:rPr>
        <w:t>spending</w:t>
      </w:r>
      <w:r w:rsidRPr="0012048E">
        <w:rPr>
          <w:rStyle w:val="StyleUnderline"/>
          <w:highlight w:val="cyan"/>
        </w:rPr>
        <w:t xml:space="preserve"> as well as their </w:t>
      </w:r>
      <w:r w:rsidRPr="0012048E">
        <w:rPr>
          <w:rStyle w:val="Emphasis"/>
          <w:highlight w:val="cyan"/>
        </w:rPr>
        <w:t>distribution across income groups</w:t>
      </w:r>
      <w:r w:rsidRPr="004A452A">
        <w:rPr>
          <w:sz w:val="16"/>
        </w:rPr>
        <w:t xml:space="preserve">. The </w:t>
      </w:r>
      <w:r w:rsidRPr="004A452A">
        <w:rPr>
          <w:rStyle w:val="StyleUnderline"/>
        </w:rPr>
        <w:t xml:space="preserve">distribution of </w:t>
      </w:r>
      <w:r w:rsidRPr="004A452A">
        <w:rPr>
          <w:rStyle w:val="Emphasis"/>
        </w:rPr>
        <w:t>taxes</w:t>
      </w:r>
      <w:r w:rsidRPr="004A452A">
        <w:rPr>
          <w:sz w:val="16"/>
        </w:rPr>
        <w:t xml:space="preserve"> in China, </w:t>
      </w:r>
      <w:r w:rsidRPr="004A452A">
        <w:rPr>
          <w:rStyle w:val="StyleUnderline"/>
        </w:rPr>
        <w:t>for example</w:t>
      </w:r>
      <w:r w:rsidRPr="004A452A">
        <w:rPr>
          <w:sz w:val="16"/>
        </w:rPr>
        <w:t>, remains regressive, with taxes accounting for 10.8 percent of annual income among the bottom decile of households (and 13.3 percent among the bottom 5 percent) compared with 8.7 percent among the top decile of households.</w:t>
      </w:r>
    </w:p>
    <w:p w14:paraId="4D6B24FC" w14:textId="1A617B80" w:rsidR="004A452A" w:rsidRDefault="004A452A" w:rsidP="004A452A"/>
    <w:p w14:paraId="46783395" w14:textId="08A723D4" w:rsidR="00D52E29" w:rsidRDefault="00D52E29" w:rsidP="00D52E29">
      <w:pPr>
        <w:pStyle w:val="Heading4"/>
      </w:pPr>
      <w:r>
        <w:t xml:space="preserve">FR requires taxes </w:t>
      </w:r>
      <w:r w:rsidRPr="00D52E29">
        <w:rPr>
          <w:u w:val="single"/>
        </w:rPr>
        <w:t>and</w:t>
      </w:r>
      <w:r>
        <w:t xml:space="preserve"> spending.</w:t>
      </w:r>
    </w:p>
    <w:p w14:paraId="242C926B" w14:textId="05954FF0" w:rsidR="00D52E29" w:rsidRPr="00D52E29" w:rsidRDefault="00D52E29" w:rsidP="004A452A">
      <w:r>
        <w:t xml:space="preserve">Melissa </w:t>
      </w:r>
      <w:r w:rsidRPr="00D52E29">
        <w:rPr>
          <w:rStyle w:val="Style13ptBold"/>
        </w:rPr>
        <w:t>Rogers 16</w:t>
      </w:r>
      <w:r>
        <w:t xml:space="preserve">, Associate Professor of Political Science and Co-Director of the Inequality and Policy Research Center at Claremont Graduate University, Ph.D. from the University of California, San Diego, 2016, “The Politics of Place and the Limits to Redistribution,” </w:t>
      </w:r>
      <w:r>
        <w:rPr>
          <w:i/>
          <w:iCs/>
        </w:rPr>
        <w:t>Routledge Advances in International Relations and Global Politics,</w:t>
      </w:r>
      <w:r>
        <w:t xml:space="preserve"> ISBN: 978-0-203-54529-4</w:t>
      </w:r>
    </w:p>
    <w:p w14:paraId="4DF6CA18" w14:textId="1055BFE7" w:rsidR="004A452A" w:rsidRDefault="00D52E29" w:rsidP="004A452A">
      <w:pPr>
        <w:rPr>
          <w:sz w:val="16"/>
        </w:rPr>
      </w:pPr>
      <w:r w:rsidRPr="00D52E29">
        <w:rPr>
          <w:sz w:val="16"/>
        </w:rPr>
        <w:t xml:space="preserve">A bounty of research also addresses the relationship between income inequality and political outcomes, especially fiscal redistribution. As I have explained, these works almost always conceptualize and measure inequality at the individual level, aggregated to one national indicator. I focus additionally on the relationship between interregional inequality and fiscal redistribution. </w:t>
      </w:r>
      <w:r w:rsidRPr="0012048E">
        <w:rPr>
          <w:rStyle w:val="StyleUnderline"/>
          <w:highlight w:val="cyan"/>
        </w:rPr>
        <w:t xml:space="preserve">I define </w:t>
      </w:r>
      <w:r w:rsidRPr="0012048E">
        <w:rPr>
          <w:rStyle w:val="Emphasis"/>
          <w:highlight w:val="cyan"/>
        </w:rPr>
        <w:t>fiscal redistribution</w:t>
      </w:r>
      <w:r w:rsidRPr="0012048E">
        <w:rPr>
          <w:rStyle w:val="StyleUnderline"/>
          <w:highlight w:val="cyan"/>
        </w:rPr>
        <w:t xml:space="preserve"> as</w:t>
      </w:r>
      <w:r w:rsidRPr="00D52E29">
        <w:rPr>
          <w:rStyle w:val="StyleUnderline"/>
        </w:rPr>
        <w:t xml:space="preserve"> the </w:t>
      </w:r>
      <w:r w:rsidRPr="0012048E">
        <w:rPr>
          <w:rStyle w:val="StyleUnderline"/>
          <w:highlight w:val="cyan"/>
        </w:rPr>
        <w:t xml:space="preserve">efforts made by the government through </w:t>
      </w:r>
      <w:r w:rsidRPr="0012048E">
        <w:rPr>
          <w:rStyle w:val="Emphasis"/>
          <w:highlight w:val="cyan"/>
        </w:rPr>
        <w:t>taxes and spending</w:t>
      </w:r>
      <w:r w:rsidRPr="0012048E">
        <w:rPr>
          <w:rStyle w:val="StyleUnderline"/>
          <w:highlight w:val="cyan"/>
        </w:rPr>
        <w:t xml:space="preserve"> to </w:t>
      </w:r>
      <w:r w:rsidRPr="0012048E">
        <w:rPr>
          <w:rStyle w:val="Emphasis"/>
          <w:highlight w:val="cyan"/>
        </w:rPr>
        <w:t>equalize income</w:t>
      </w:r>
      <w:r w:rsidRPr="00D52E29">
        <w:rPr>
          <w:sz w:val="16"/>
        </w:rPr>
        <w:t>. In Figure 1.2, I show a snapshot of the relationship between interregional inequality and fiscal redistribution in 2010. Fiscal redistribution is measured by the percentage reduction in the national Gini coefficient of individual income inequality that results from government policies (Solt 2014). The relationship is quite clearly negative; that is, countries with higher interregional inequality also tend to have lower fiscal redistribution. This statistical relationship is very strong, as I will discuss in detail in the next chapter. This book is an effort to link the empirical observations in Figures 1.1 and 1.2 to a theory of political representation.</w:t>
      </w:r>
    </w:p>
    <w:p w14:paraId="4BCF7851" w14:textId="77777777" w:rsidR="00631854" w:rsidRDefault="00631854" w:rsidP="004A452A">
      <w:pPr>
        <w:rPr>
          <w:sz w:val="16"/>
        </w:rPr>
      </w:pPr>
    </w:p>
    <w:p w14:paraId="3AF6D09B" w14:textId="29ADADD1" w:rsidR="00631854" w:rsidRDefault="00631854" w:rsidP="00631854">
      <w:pPr>
        <w:pStyle w:val="Heading4"/>
      </w:pPr>
      <w:r>
        <w:t>‘Fiscal redistribution’ must occur through transferring revenues generated by taxes.</w:t>
      </w:r>
    </w:p>
    <w:p w14:paraId="22183C81" w14:textId="3B26C61E" w:rsidR="00631854" w:rsidRPr="00631854" w:rsidRDefault="00631854" w:rsidP="00631854">
      <w:r w:rsidRPr="00631854">
        <w:rPr>
          <w:rStyle w:val="Style13ptBold"/>
        </w:rPr>
        <w:t>JCT 91</w:t>
      </w:r>
      <w:r>
        <w:t xml:space="preserve"> – the Joint Committee on Taxation, 12/12/1991, “Tax Policy and the Macroeconomy: Stabilization, Growth, and Income Distribution,” </w:t>
      </w:r>
      <w:r w:rsidR="00A602F2" w:rsidRPr="00A602F2">
        <w:t>https://www.jct.gov/CMSPages/GetFile.aspx?guid=1660ca49-d1d1-4b33-aa22-531489416ce3</w:t>
      </w:r>
    </w:p>
    <w:p w14:paraId="29B2136C" w14:textId="30932A59" w:rsidR="00631854" w:rsidRDefault="00631854" w:rsidP="00631854">
      <w:r>
        <w:t>VI. EFFECTS OF FISCAL POLICY ON INCOME DISTRIBUTION</w:t>
      </w:r>
    </w:p>
    <w:p w14:paraId="0D993622" w14:textId="7F3F0AED" w:rsidR="00631854" w:rsidRDefault="00631854" w:rsidP="00631854">
      <w:r>
        <w:t>In general</w:t>
      </w:r>
    </w:p>
    <w:p w14:paraId="1FF0ED89" w14:textId="18CC62BD" w:rsidR="00631854" w:rsidRDefault="00631854" w:rsidP="00631854">
      <w:r w:rsidRPr="00A602F2">
        <w:rPr>
          <w:rStyle w:val="Emphasis"/>
          <w:highlight w:val="cyan"/>
        </w:rPr>
        <w:t>Federal fiscal policy</w:t>
      </w:r>
      <w:r w:rsidRPr="00A602F2">
        <w:rPr>
          <w:rStyle w:val="StyleUnderline"/>
          <w:highlight w:val="cyan"/>
        </w:rPr>
        <w:t xml:space="preserve"> affects income distribution</w:t>
      </w:r>
      <w:r w:rsidRPr="00631854">
        <w:rPr>
          <w:rStyle w:val="StyleUnderline"/>
        </w:rPr>
        <w:t xml:space="preserve"> in the United </w:t>
      </w:r>
      <w:r w:rsidRPr="003066E5">
        <w:rPr>
          <w:rStyle w:val="StyleUnderline"/>
        </w:rPr>
        <w:t xml:space="preserve">States in several different ways. </w:t>
      </w:r>
      <w:r w:rsidRPr="00A602F2">
        <w:rPr>
          <w:rStyle w:val="Emphasis"/>
          <w:highlight w:val="cyan"/>
        </w:rPr>
        <w:t>Redistribution</w:t>
      </w:r>
      <w:r w:rsidRPr="00A602F2">
        <w:rPr>
          <w:rStyle w:val="StyleUnderline"/>
          <w:highlight w:val="cyan"/>
        </w:rPr>
        <w:t xml:space="preserve"> occurs</w:t>
      </w:r>
      <w:r>
        <w:t xml:space="preserve"> directly </w:t>
      </w:r>
      <w:r w:rsidRPr="00A602F2">
        <w:rPr>
          <w:rStyle w:val="StyleUnderline"/>
          <w:highlight w:val="cyan"/>
        </w:rPr>
        <w:t xml:space="preserve">by </w:t>
      </w:r>
      <w:r w:rsidRPr="00A602F2">
        <w:rPr>
          <w:rStyle w:val="Emphasis"/>
          <w:highlight w:val="cyan"/>
        </w:rPr>
        <w:t>transferring revenues</w:t>
      </w:r>
      <w:r w:rsidRPr="00A602F2">
        <w:rPr>
          <w:rStyle w:val="StyleUnderline"/>
          <w:highlight w:val="cyan"/>
        </w:rPr>
        <w:t xml:space="preserve"> raised through a </w:t>
      </w:r>
      <w:r w:rsidRPr="00A602F2">
        <w:rPr>
          <w:rStyle w:val="Emphasis"/>
          <w:highlight w:val="cyan"/>
        </w:rPr>
        <w:t>Federal tax</w:t>
      </w:r>
      <w:r>
        <w:t xml:space="preserve"> (e.g., the Federal individual income tax) </w:t>
      </w:r>
      <w:r w:rsidRPr="00A602F2">
        <w:rPr>
          <w:rStyle w:val="StyleUnderline"/>
          <w:highlight w:val="cyan"/>
        </w:rPr>
        <w:t xml:space="preserve">to </w:t>
      </w:r>
      <w:r w:rsidRPr="00A602F2">
        <w:rPr>
          <w:rStyle w:val="Emphasis"/>
          <w:highlight w:val="cyan"/>
        </w:rPr>
        <w:t>others</w:t>
      </w:r>
      <w:r w:rsidRPr="00A602F2">
        <w:rPr>
          <w:rStyle w:val="StyleUnderline"/>
          <w:highlight w:val="cyan"/>
        </w:rPr>
        <w:t xml:space="preserve"> via </w:t>
      </w:r>
      <w:r w:rsidRPr="00A602F2">
        <w:rPr>
          <w:rStyle w:val="Emphasis"/>
          <w:highlight w:val="cyan"/>
        </w:rPr>
        <w:t>direct spending programs</w:t>
      </w:r>
      <w:r>
        <w:t xml:space="preserve"> (e.g., to lower-income households through the Food Stamp program). </w:t>
      </w:r>
      <w:r w:rsidRPr="00631854">
        <w:rPr>
          <w:rStyle w:val="StyleUnderline"/>
        </w:rPr>
        <w:t>This</w:t>
      </w:r>
      <w:r>
        <w:t xml:space="preserve"> type of transfer directly </w:t>
      </w:r>
      <w:r w:rsidRPr="00631854">
        <w:rPr>
          <w:rStyle w:val="StyleUnderline"/>
        </w:rPr>
        <w:t>affects the</w:t>
      </w:r>
      <w:r>
        <w:t xml:space="preserve"> ultimate </w:t>
      </w:r>
      <w:r w:rsidRPr="00631854">
        <w:rPr>
          <w:rStyle w:val="StyleUnderline"/>
        </w:rPr>
        <w:t>distribution of income</w:t>
      </w:r>
      <w:r>
        <w:t xml:space="preserve"> in the economy. </w:t>
      </w:r>
      <w:r w:rsidRPr="00631854">
        <w:rPr>
          <w:rStyle w:val="StyleUnderline"/>
        </w:rPr>
        <w:t>The Federal tax and transfer system</w:t>
      </w:r>
      <w:r>
        <w:t xml:space="preserve"> also </w:t>
      </w:r>
      <w:r w:rsidRPr="00631854">
        <w:rPr>
          <w:rStyle w:val="Emphasis"/>
        </w:rPr>
        <w:t>redistributes income</w:t>
      </w:r>
      <w:r w:rsidRPr="00631854">
        <w:rPr>
          <w:rStyle w:val="StyleUnderline"/>
        </w:rPr>
        <w:t xml:space="preserve"> indirectly by taxing or subsidizing various activities</w:t>
      </w:r>
      <w:r>
        <w:t xml:space="preserve"> (e.g., by taxing wage income or by providing tax credits to investors in certain rental housing properties for lower-income households). By taxing income, the Federal tax system tends to discourage some income-producing activities. To the extent individuals have discretion in choosing the amount of labor provided or the amounts and type of saving undertaken, levying taxes on these activities may reduce the amount undertaken. Changes in the amounts of these activities will affect the observed distribution of income in the economy.</w:t>
      </w:r>
    </w:p>
    <w:p w14:paraId="48772E85" w14:textId="12B775DD" w:rsidR="00817D9C" w:rsidRDefault="00817D9C" w:rsidP="00817D9C">
      <w:pPr>
        <w:pStyle w:val="Heading3"/>
      </w:pPr>
      <w:r>
        <w:t>FR---Requires Taxes---AT: IMF 14---2NC</w:t>
      </w:r>
    </w:p>
    <w:p w14:paraId="3BF17466" w14:textId="1510BA9A" w:rsidR="00817D9C" w:rsidRDefault="00817D9C" w:rsidP="00817D9C">
      <w:pPr>
        <w:pStyle w:val="Heading4"/>
      </w:pPr>
      <w:r>
        <w:t xml:space="preserve">IMF ev concedes it must be taxes </w:t>
      </w:r>
      <w:r w:rsidRPr="00817D9C">
        <w:rPr>
          <w:u w:val="single"/>
        </w:rPr>
        <w:t>and</w:t>
      </w:r>
      <w:r>
        <w:t xml:space="preserve"> transfers.</w:t>
      </w:r>
    </w:p>
    <w:p w14:paraId="390B5235" w14:textId="77777777" w:rsidR="00817D9C" w:rsidRPr="00641FDA" w:rsidRDefault="00817D9C" w:rsidP="00817D9C">
      <w:r w:rsidRPr="00641FDA">
        <w:rPr>
          <w:rStyle w:val="Style13ptBold"/>
        </w:rPr>
        <w:t>2AC IMF ’14</w:t>
      </w:r>
      <w:r>
        <w:t xml:space="preserve"> [International Monetary Fund; Jan 23; the IMF Is a major financial agency of the United Nations, and an international financial institution, headquartered in Washington, D.C., consisting of 190 countries; IMF Policy Paper, “Fiscal Policy and Income Inequality,” http://www.imf.org/external/np/pp/eng/2014/012314.pdf]</w:t>
      </w:r>
    </w:p>
    <w:p w14:paraId="025D9D57" w14:textId="77777777" w:rsidR="00817D9C" w:rsidRPr="00F53514" w:rsidRDefault="00817D9C" w:rsidP="00817D9C">
      <w:r w:rsidRPr="00817D9C">
        <w:rPr>
          <w:rStyle w:val="StyleUnderline"/>
          <w:highlight w:val="cyan"/>
        </w:rPr>
        <w:t>Evaluating</w:t>
      </w:r>
      <w:r w:rsidRPr="00E558E7">
        <w:rPr>
          <w:rStyle w:val="StyleUnderline"/>
        </w:rPr>
        <w:t xml:space="preserve"> the </w:t>
      </w:r>
      <w:r w:rsidRPr="00817D9C">
        <w:rPr>
          <w:rStyle w:val="StyleUnderline"/>
          <w:highlight w:val="cyan"/>
        </w:rPr>
        <w:t>redistributive impact of fiscal policies requires</w:t>
      </w:r>
      <w:r w:rsidRPr="00E558E7">
        <w:rPr>
          <w:rStyle w:val="StyleUnderline"/>
        </w:rPr>
        <w:t xml:space="preserve"> a </w:t>
      </w:r>
      <w:r w:rsidRPr="00817D9C">
        <w:rPr>
          <w:rStyle w:val="StyleUnderline"/>
          <w:highlight w:val="cyan"/>
        </w:rPr>
        <w:t>comparison of incomes after</w:t>
      </w:r>
      <w:r w:rsidRPr="00817D9C">
        <w:rPr>
          <w:highlight w:val="cyan"/>
        </w:rPr>
        <w:t xml:space="preserve"> </w:t>
      </w:r>
      <w:r w:rsidRPr="00817D9C">
        <w:rPr>
          <w:rStyle w:val="Emphasis"/>
          <w:highlight w:val="cyan"/>
        </w:rPr>
        <w:t>taxes and transfers</w:t>
      </w:r>
      <w:r>
        <w:t xml:space="preserve"> </w:t>
      </w:r>
      <w:r w:rsidRPr="00E558E7">
        <w:rPr>
          <w:rStyle w:val="StyleUnderline"/>
        </w:rPr>
        <w:t xml:space="preserve">with those that would exist </w:t>
      </w:r>
      <w:r w:rsidRPr="00E558E7">
        <w:rPr>
          <w:rStyle w:val="Emphasis"/>
        </w:rPr>
        <w:t>without them</w:t>
      </w:r>
      <w:r>
        <w:t xml:space="preserve">. In principle, </w:t>
      </w:r>
      <w:r w:rsidRPr="00256426">
        <w:rPr>
          <w:rStyle w:val="StyleUnderline"/>
          <w:highlight w:val="cyan"/>
        </w:rPr>
        <w:t>assessments of</w:t>
      </w:r>
      <w:r w:rsidRPr="00E558E7">
        <w:rPr>
          <w:rStyle w:val="StyleUnderline"/>
        </w:rPr>
        <w:t xml:space="preserve"> the incidence of </w:t>
      </w:r>
      <w:r w:rsidRPr="00256426">
        <w:rPr>
          <w:rStyle w:val="StyleUnderline"/>
          <w:highlight w:val="cyan"/>
        </w:rPr>
        <w:t>fiscal policies should incorporate information on</w:t>
      </w:r>
      <w:r>
        <w:t xml:space="preserve"> consumers’ and producers’ behavioral </w:t>
      </w:r>
      <w:r w:rsidRPr="00E558E7">
        <w:rPr>
          <w:rStyle w:val="StyleUnderline"/>
        </w:rPr>
        <w:t xml:space="preserve">responses to </w:t>
      </w:r>
      <w:r w:rsidRPr="00256426">
        <w:rPr>
          <w:rStyle w:val="StyleUnderline"/>
          <w:highlight w:val="cyan"/>
        </w:rPr>
        <w:t xml:space="preserve">taxes </w:t>
      </w:r>
      <w:r w:rsidRPr="00256426">
        <w:rPr>
          <w:rStyle w:val="Emphasis"/>
          <w:highlight w:val="cyan"/>
        </w:rPr>
        <w:t>and</w:t>
      </w:r>
      <w:r w:rsidRPr="00256426">
        <w:rPr>
          <w:rStyle w:val="StyleUnderline"/>
          <w:highlight w:val="cyan"/>
        </w:rPr>
        <w:t xml:space="preserve"> transfers</w:t>
      </w:r>
      <w:r>
        <w:t xml:space="preserve"> and their impact on market incomes.12 In practice, most studies do not incorporate this aspect, since sufficient data on behavioral responses are often unavailable. In these studies, the incidence of commodity taxes is typically assumed to fall on consumers, factor taxes are assumed to fall on factor suppliers (labor and capital), and transfers to beneficiaries do not lead to changes in factor supplies.13 The evidence below is drawn from such studies. In econometric studies, on the other hand, behavioral responses are captured—Box 3 provides a summary of recent empirical literature evaluating the distributive impact of fiscal policy based on econometric analysis of cross-country panel data. </w:t>
      </w:r>
    </w:p>
    <w:p w14:paraId="5C69BD2A" w14:textId="0FE76C40" w:rsidR="00817D9C" w:rsidRDefault="00256426" w:rsidP="00817D9C">
      <w:pPr>
        <w:pStyle w:val="Heading4"/>
      </w:pPr>
      <w:r>
        <w:t xml:space="preserve">‘By its very nature,’ FR requires taxes </w:t>
      </w:r>
      <w:r w:rsidRPr="00256426">
        <w:rPr>
          <w:u w:val="single"/>
        </w:rPr>
        <w:t>and</w:t>
      </w:r>
      <w:r>
        <w:t xml:space="preserve"> transfers.</w:t>
      </w:r>
    </w:p>
    <w:p w14:paraId="6C0E7260" w14:textId="43039700" w:rsidR="00817D9C" w:rsidRPr="00641FDA" w:rsidRDefault="00817D9C" w:rsidP="00817D9C">
      <w:r w:rsidRPr="00641FDA">
        <w:rPr>
          <w:rStyle w:val="Style13ptBold"/>
        </w:rPr>
        <w:t>2AC IMF ’14</w:t>
      </w:r>
      <w:r>
        <w:t xml:space="preserve"> [International Monetary Fund; Jan 23; the IMF Is a major financial agency of the United Nations, and an international financial institution, headquartered in Washington, D.C., consisting of 190 countries; IMF Policy Paper, “Fiscal Policy and Income Inequality,” http://www.imf.org/external/np/pp/eng/2014/012314.pdf]</w:t>
      </w:r>
    </w:p>
    <w:p w14:paraId="0146B22F" w14:textId="77777777" w:rsidR="00817D9C" w:rsidRDefault="00817D9C" w:rsidP="00817D9C">
      <w:r>
        <w:t xml:space="preserve">Fiscal redistribution can usually most efficiently be achieved through direct instruments that tax or provide benefits based on income. </w:t>
      </w:r>
      <w:r w:rsidRPr="00256426">
        <w:rPr>
          <w:rStyle w:val="StyleUnderline"/>
          <w:highlight w:val="cyan"/>
        </w:rPr>
        <w:t>Fiscal redistribution</w:t>
      </w:r>
      <w:r w:rsidRPr="00256426">
        <w:rPr>
          <w:highlight w:val="cyan"/>
        </w:rPr>
        <w:t xml:space="preserve">, </w:t>
      </w:r>
      <w:r w:rsidRPr="00256426">
        <w:rPr>
          <w:rStyle w:val="Emphasis"/>
          <w:highlight w:val="cyan"/>
        </w:rPr>
        <w:t>by its very nature</w:t>
      </w:r>
      <w:r w:rsidRPr="00256426">
        <w:rPr>
          <w:highlight w:val="cyan"/>
        </w:rPr>
        <w:t xml:space="preserve">, </w:t>
      </w:r>
      <w:r w:rsidRPr="00256426">
        <w:rPr>
          <w:rStyle w:val="StyleUnderline"/>
          <w:highlight w:val="cyan"/>
        </w:rPr>
        <w:t xml:space="preserve">involves </w:t>
      </w:r>
      <w:r w:rsidRPr="00256426">
        <w:rPr>
          <w:rStyle w:val="Emphasis"/>
          <w:highlight w:val="cyan"/>
        </w:rPr>
        <w:t>transferring</w:t>
      </w:r>
      <w:r w:rsidRPr="00256426">
        <w:rPr>
          <w:rStyle w:val="StyleUnderline"/>
          <w:highlight w:val="cyan"/>
        </w:rPr>
        <w:t xml:space="preserve"> resources from higher-income to lower-income households through </w:t>
      </w:r>
      <w:r w:rsidRPr="00256426">
        <w:rPr>
          <w:rStyle w:val="Emphasis"/>
          <w:highlight w:val="cyan"/>
        </w:rPr>
        <w:t>taxes and transfers</w:t>
      </w:r>
      <w:r>
        <w:t>. On the tax side, personal income taxes, for example, are often preferable for achieving redistribution than taxes on consumption because they directly take account of the ability of households or individuals to pay. On the spending side, cash transfers to poor households are usually superior to indirect methods such as price subsidies. Better targeting of transfers reduces their fiscal cost and the tax levels required to finance them, thus achieving distributional objectives in a more efficient manner. Targeting, however, is not without efficiency costs and must be designed carefully (see below)</w:t>
      </w:r>
    </w:p>
    <w:p w14:paraId="44992B11" w14:textId="5B3829BD" w:rsidR="00256426" w:rsidRPr="00256426" w:rsidRDefault="00256426" w:rsidP="00256426">
      <w:pPr>
        <w:pStyle w:val="Heading4"/>
      </w:pPr>
      <w:r>
        <w:t xml:space="preserve">‘Taxes’ and ‘transfers’ must be understood </w:t>
      </w:r>
      <w:r w:rsidRPr="00256426">
        <w:rPr>
          <w:u w:val="single"/>
        </w:rPr>
        <w:t>jointly</w:t>
      </w:r>
      <w:r>
        <w:t>.</w:t>
      </w:r>
    </w:p>
    <w:p w14:paraId="043E6FB4" w14:textId="69B0F44D" w:rsidR="00817D9C" w:rsidRPr="00641FDA" w:rsidRDefault="00817D9C" w:rsidP="00817D9C">
      <w:r w:rsidRPr="00641FDA">
        <w:rPr>
          <w:rStyle w:val="Style13ptBold"/>
        </w:rPr>
        <w:t>2AC IMF ’14</w:t>
      </w:r>
      <w:r>
        <w:t xml:space="preserve"> [International Monetary Fund; Jan 23; the IMF Is a major financial agency of the United Nations, and an international financial institution, headquartered in Washington, D.C., consisting of 190 countries; IMF Policy Paper, “Fiscal Policy and Income Inequality,” http://www.imf.org/external/np/pp/eng/2014/012314.pdf]</w:t>
      </w:r>
    </w:p>
    <w:p w14:paraId="6A4FFEBD" w14:textId="77777777" w:rsidR="00817D9C" w:rsidRDefault="00817D9C" w:rsidP="00817D9C">
      <w:r>
        <w:t xml:space="preserve">33. </w:t>
      </w:r>
      <w:r w:rsidRPr="00256426">
        <w:rPr>
          <w:rStyle w:val="StyleUnderline"/>
          <w:highlight w:val="cyan"/>
        </w:rPr>
        <w:t xml:space="preserve">The impact of tax and expenditure policies on redistribution should be evaluated </w:t>
      </w:r>
      <w:r w:rsidRPr="00256426">
        <w:rPr>
          <w:rStyle w:val="Emphasis"/>
          <w:highlight w:val="cyan"/>
        </w:rPr>
        <w:t>jointly</w:t>
      </w:r>
      <w:r>
        <w:t xml:space="preserve">. Although both taxes and spending can have redistributive implications, the trade-off between efficiency and redistribution will usually differ. Therefore, where the efficiency cost of redistribution through taxes is relatively large, this suggests that these </w:t>
      </w:r>
      <w:r w:rsidRPr="00256426">
        <w:rPr>
          <w:rStyle w:val="StyleUnderline"/>
          <w:highlight w:val="cyan"/>
        </w:rPr>
        <w:t xml:space="preserve">taxes should focus on </w:t>
      </w:r>
      <w:r w:rsidRPr="00256426">
        <w:rPr>
          <w:rStyle w:val="Emphasis"/>
          <w:highlight w:val="cyan"/>
        </w:rPr>
        <w:t>raising revenue to finance</w:t>
      </w:r>
      <w:r w:rsidRPr="00641FDA">
        <w:t xml:space="preserve"> other </w:t>
      </w:r>
      <w:r w:rsidRPr="00256426">
        <w:rPr>
          <w:rStyle w:val="Emphasis"/>
          <w:highlight w:val="cyan"/>
        </w:rPr>
        <w:t>redistributive instruments</w:t>
      </w:r>
      <w:r>
        <w:t xml:space="preserve">. For instance, an increase in regressive taxes can still be the best approach to supporting redistribution if the public expenditures they finance are highly progressive. </w:t>
      </w:r>
    </w:p>
    <w:p w14:paraId="3F7D1092" w14:textId="77777777" w:rsidR="00817D9C" w:rsidRPr="00817D9C" w:rsidRDefault="00817D9C" w:rsidP="00256426"/>
    <w:p w14:paraId="520D8C72" w14:textId="0D77752E" w:rsidR="003C4184" w:rsidRDefault="00EC1BAA" w:rsidP="003C4184">
      <w:pPr>
        <w:pStyle w:val="Heading3"/>
      </w:pPr>
      <w:r>
        <w:t>FR---Requires Taxes---AT: ‘And’</w:t>
      </w:r>
      <w:r w:rsidR="009767B4">
        <w:t>---2NC</w:t>
      </w:r>
    </w:p>
    <w:p w14:paraId="486CAA32" w14:textId="123B0B96" w:rsidR="00EC1BAA" w:rsidRPr="00E43A09" w:rsidRDefault="00EC1BAA" w:rsidP="00EC1BAA">
      <w:pPr>
        <w:pStyle w:val="Heading4"/>
        <w:rPr>
          <w:b w:val="0"/>
          <w:bCs/>
        </w:rPr>
      </w:pPr>
      <w:r>
        <w:t xml:space="preserve">‘And’ </w:t>
      </w:r>
      <w:r w:rsidR="00E43A09">
        <w:t xml:space="preserve">must be understood in the </w:t>
      </w:r>
      <w:r w:rsidR="00E43A09" w:rsidRPr="00E43A09">
        <w:rPr>
          <w:u w:val="single"/>
        </w:rPr>
        <w:t>joint</w:t>
      </w:r>
      <w:r w:rsidR="00E43A09">
        <w:t xml:space="preserve"> sense</w:t>
      </w:r>
      <w:r>
        <w:t>---</w:t>
      </w:r>
      <w:r w:rsidRPr="00EC1BAA">
        <w:rPr>
          <w:u w:val="single"/>
        </w:rPr>
        <w:t>established</w:t>
      </w:r>
      <w:r>
        <w:t xml:space="preserve"> constitutional interpretations agree</w:t>
      </w:r>
      <w:r w:rsidR="00E43A09">
        <w:rPr>
          <w:b w:val="0"/>
          <w:bCs/>
        </w:rPr>
        <w:t>---if the authors meant “taxes OR transfers,” they would have used “or”</w:t>
      </w:r>
    </w:p>
    <w:p w14:paraId="58889D3D" w14:textId="4F2D83CC" w:rsidR="00664F55" w:rsidRPr="00664F55" w:rsidRDefault="00664F55" w:rsidP="00664F55">
      <w:bookmarkStart w:id="0" w:name="_Hlk138426422"/>
      <w:r>
        <w:t xml:space="preserve">Antonin </w:t>
      </w:r>
      <w:r w:rsidRPr="00664F55">
        <w:rPr>
          <w:rStyle w:val="Style13ptBold"/>
        </w:rPr>
        <w:t>Scalia 12</w:t>
      </w:r>
      <w:r>
        <w:t>, Justice on the Supreme Court of the United States; and Bryan Garner, American lawyer, lexicographer, and teacher who has written more than two dozen books about English usage and style, 6/19/2012, “</w:t>
      </w:r>
      <w:r w:rsidR="00EC1BAA">
        <w:t>Conjunctive/Disjunctive Canon</w:t>
      </w:r>
      <w:r>
        <w:t>,”</w:t>
      </w:r>
      <w:r w:rsidR="00EC1BAA" w:rsidRPr="00EC1BAA">
        <w:rPr>
          <w:i/>
          <w:iCs/>
        </w:rPr>
        <w:t xml:space="preserve"> </w:t>
      </w:r>
      <w:r w:rsidR="00EC1BAA" w:rsidRPr="001D21FE">
        <w:rPr>
          <w:i/>
          <w:iCs/>
        </w:rPr>
        <w:t>Reading Law: The Interpretation of Legal Texts</w:t>
      </w:r>
      <w:r w:rsidR="00EC1BAA">
        <w:t>,</w:t>
      </w:r>
      <w:r>
        <w:t xml:space="preserve"> Chapter </w:t>
      </w:r>
      <w:r w:rsidR="00EC1BAA">
        <w:t>12, ISBN: 978-0-314-27555-4</w:t>
      </w:r>
    </w:p>
    <w:bookmarkEnd w:id="0"/>
    <w:p w14:paraId="6CD1D3F1" w14:textId="77777777" w:rsidR="003C4184" w:rsidRDefault="003C4184" w:rsidP="003C4184">
      <w:r>
        <w:t xml:space="preserve">12. Conjunctive/Disjunctive Canon </w:t>
      </w:r>
    </w:p>
    <w:p w14:paraId="48BCBF48" w14:textId="77777777" w:rsidR="003C4184" w:rsidRDefault="003C4184" w:rsidP="003C4184">
      <w:r w:rsidRPr="00EC1BAA">
        <w:rPr>
          <w:rStyle w:val="Emphasis"/>
          <w:highlight w:val="cyan"/>
        </w:rPr>
        <w:t>And</w:t>
      </w:r>
      <w:r w:rsidRPr="00EC1BAA">
        <w:rPr>
          <w:rStyle w:val="StyleUnderline"/>
          <w:highlight w:val="cyan"/>
        </w:rPr>
        <w:t xml:space="preserve"> joins a </w:t>
      </w:r>
      <w:r w:rsidRPr="00EC1BAA">
        <w:rPr>
          <w:rStyle w:val="Emphasis"/>
          <w:highlight w:val="cyan"/>
        </w:rPr>
        <w:t>conjunctive</w:t>
      </w:r>
      <w:r w:rsidRPr="00EC1BAA">
        <w:rPr>
          <w:rStyle w:val="StyleUnderline"/>
          <w:highlight w:val="cyan"/>
        </w:rPr>
        <w:t xml:space="preserve"> list, </w:t>
      </w:r>
      <w:r w:rsidRPr="00EC1BAA">
        <w:rPr>
          <w:rStyle w:val="Emphasis"/>
          <w:highlight w:val="cyan"/>
        </w:rPr>
        <w:t>or</w:t>
      </w:r>
      <w:r w:rsidRPr="00EC1BAA">
        <w:rPr>
          <w:rStyle w:val="StyleUnderline"/>
          <w:highlight w:val="cyan"/>
        </w:rPr>
        <w:t xml:space="preserve"> a </w:t>
      </w:r>
      <w:r w:rsidRPr="00EC1BAA">
        <w:rPr>
          <w:rStyle w:val="Emphasis"/>
          <w:highlight w:val="cyan"/>
        </w:rPr>
        <w:t>disjunctive</w:t>
      </w:r>
      <w:r w:rsidRPr="00664F55">
        <w:rPr>
          <w:rStyle w:val="StyleUnderline"/>
        </w:rPr>
        <w:t xml:space="preserve"> list</w:t>
      </w:r>
      <w:r>
        <w:t xml:space="preserve">—but with negatives, plurals, and various specific wordings there are nuances. </w:t>
      </w:r>
    </w:p>
    <w:p w14:paraId="0C031B61" w14:textId="77777777" w:rsidR="003C4184" w:rsidRDefault="003C4184" w:rsidP="003C4184">
      <w:r>
        <w:t xml:space="preserve">The conjunctions and and or are two of the elemental words in the English language. Under the conjunctive/disjunctive canon, and combines items while or creates alternatives. </w:t>
      </w:r>
      <w:r w:rsidRPr="00664F55">
        <w:rPr>
          <w:rStyle w:val="Emphasis"/>
        </w:rPr>
        <w:t>Competent users</w:t>
      </w:r>
      <w:r w:rsidRPr="00664F55">
        <w:rPr>
          <w:rStyle w:val="StyleUnderline"/>
        </w:rPr>
        <w:t xml:space="preserve"> of the language </w:t>
      </w:r>
      <w:r w:rsidRPr="00664F55">
        <w:rPr>
          <w:rStyle w:val="Emphasis"/>
        </w:rPr>
        <w:t>rarely hesitate</w:t>
      </w:r>
      <w:r w:rsidRPr="00664F55">
        <w:rPr>
          <w:rStyle w:val="StyleUnderline"/>
        </w:rPr>
        <w:t xml:space="preserve"> over their meaning. </w:t>
      </w:r>
      <w:r w:rsidRPr="00664F55">
        <w:rPr>
          <w:rStyle w:val="Emphasis"/>
        </w:rPr>
        <w:t>But</w:t>
      </w:r>
      <w:r w:rsidRPr="00664F55">
        <w:rPr>
          <w:rStyle w:val="StyleUnderline"/>
        </w:rPr>
        <w:t xml:space="preserve"> a close look at the authoritative language of </w:t>
      </w:r>
      <w:r w:rsidRPr="00664F55">
        <w:rPr>
          <w:rStyle w:val="Emphasis"/>
        </w:rPr>
        <w:t>legal instruments</w:t>
      </w:r>
      <w:r>
        <w:t>—as well as the litigation that has arisen over them—</w:t>
      </w:r>
      <w:r w:rsidRPr="00664F55">
        <w:rPr>
          <w:rStyle w:val="StyleUnderline"/>
        </w:rPr>
        <w:t>shows that these</w:t>
      </w:r>
      <w:r>
        <w:t xml:space="preserve"> little </w:t>
      </w:r>
      <w:r w:rsidRPr="00664F55">
        <w:rPr>
          <w:rStyle w:val="StyleUnderline"/>
        </w:rPr>
        <w:t>words can cause</w:t>
      </w:r>
      <w:r>
        <w:t xml:space="preserve"> subtle </w:t>
      </w:r>
      <w:r w:rsidRPr="00664F55">
        <w:rPr>
          <w:rStyle w:val="Emphasis"/>
        </w:rPr>
        <w:t>interpretive problems</w:t>
      </w:r>
      <w:r>
        <w:t xml:space="preserve">. Although these conjunctions can appear in countless constructions, we have identified six types of sentences in which they most frequently appear in legal instruments. </w:t>
      </w:r>
    </w:p>
    <w:p w14:paraId="6E3E1321" w14:textId="77777777" w:rsidR="003C4184" w:rsidRDefault="003C4184" w:rsidP="003C4184">
      <w:r>
        <w:t xml:space="preserve">#1: The Basic Requirement </w:t>
      </w:r>
    </w:p>
    <w:tbl>
      <w:tblPr>
        <w:tblStyle w:val="TableGrid"/>
        <w:tblW w:w="0" w:type="auto"/>
        <w:tblLook w:val="04A0" w:firstRow="1" w:lastRow="0" w:firstColumn="1" w:lastColumn="0" w:noHBand="0" w:noVBand="1"/>
      </w:tblPr>
      <w:tblGrid>
        <w:gridCol w:w="4675"/>
        <w:gridCol w:w="4675"/>
      </w:tblGrid>
      <w:tr w:rsidR="003C4184" w14:paraId="78E5521E" w14:textId="77777777" w:rsidTr="008114C4">
        <w:tc>
          <w:tcPr>
            <w:tcW w:w="4675" w:type="dxa"/>
          </w:tcPr>
          <w:p w14:paraId="5E70D059" w14:textId="77777777" w:rsidR="003C4184" w:rsidRDefault="003C4184" w:rsidP="008114C4">
            <w:r>
              <w:t>CONJUNCTIVE</w:t>
            </w:r>
          </w:p>
        </w:tc>
        <w:tc>
          <w:tcPr>
            <w:tcW w:w="4675" w:type="dxa"/>
          </w:tcPr>
          <w:p w14:paraId="28F5CDCF" w14:textId="77777777" w:rsidR="003C4184" w:rsidRDefault="003C4184" w:rsidP="008114C4">
            <w:r>
              <w:t>DISJUNCTIVE</w:t>
            </w:r>
          </w:p>
        </w:tc>
      </w:tr>
      <w:tr w:rsidR="003C4184" w14:paraId="6323E3A5" w14:textId="77777777" w:rsidTr="008114C4">
        <w:tc>
          <w:tcPr>
            <w:tcW w:w="4675" w:type="dxa"/>
          </w:tcPr>
          <w:p w14:paraId="108C3386" w14:textId="77777777" w:rsidR="003C4184" w:rsidRDefault="003C4184" w:rsidP="008114C4">
            <w:r w:rsidRPr="00EC1BAA">
              <w:rPr>
                <w:rStyle w:val="StyleUnderline"/>
                <w:highlight w:val="cyan"/>
              </w:rPr>
              <w:t xml:space="preserve">You must do A, B, </w:t>
            </w:r>
            <w:r w:rsidRPr="00EC1BAA">
              <w:rPr>
                <w:rStyle w:val="Emphasis"/>
                <w:highlight w:val="cyan"/>
              </w:rPr>
              <w:t>and</w:t>
            </w:r>
            <w:r w:rsidRPr="00EC1BAA">
              <w:rPr>
                <w:rStyle w:val="StyleUnderline"/>
                <w:highlight w:val="cyan"/>
              </w:rPr>
              <w:t xml:space="preserve"> C</w:t>
            </w:r>
            <w:r>
              <w:t>.</w:t>
            </w:r>
          </w:p>
        </w:tc>
        <w:tc>
          <w:tcPr>
            <w:tcW w:w="4675" w:type="dxa"/>
          </w:tcPr>
          <w:p w14:paraId="6DA1616F" w14:textId="77777777" w:rsidR="003C4184" w:rsidRDefault="003C4184" w:rsidP="008114C4">
            <w:r>
              <w:t>You must do A, B, or C.</w:t>
            </w:r>
          </w:p>
        </w:tc>
      </w:tr>
    </w:tbl>
    <w:p w14:paraId="71727742" w14:textId="086361FC" w:rsidR="00EC1BAA" w:rsidRDefault="003C4184" w:rsidP="003C4184">
      <w:r w:rsidRPr="00664F55">
        <w:rPr>
          <w:rStyle w:val="StyleUnderline"/>
        </w:rPr>
        <w:t xml:space="preserve">With the </w:t>
      </w:r>
      <w:r w:rsidRPr="00664F55">
        <w:rPr>
          <w:rStyle w:val="Emphasis"/>
        </w:rPr>
        <w:t>conjunctive list</w:t>
      </w:r>
      <w:r w:rsidRPr="00664F55">
        <w:rPr>
          <w:rStyle w:val="StyleUnderline"/>
        </w:rPr>
        <w:t xml:space="preserve">, </w:t>
      </w:r>
      <w:r w:rsidRPr="00EC1BAA">
        <w:rPr>
          <w:rStyle w:val="Emphasis"/>
          <w:highlight w:val="cyan"/>
        </w:rPr>
        <w:t>all three</w:t>
      </w:r>
      <w:r w:rsidRPr="00664F55">
        <w:rPr>
          <w:rStyle w:val="Emphasis"/>
        </w:rPr>
        <w:t xml:space="preserve"> things </w:t>
      </w:r>
      <w:r w:rsidRPr="00EC1BAA">
        <w:rPr>
          <w:rStyle w:val="Emphasis"/>
          <w:highlight w:val="cyan"/>
        </w:rPr>
        <w:t>are required</w:t>
      </w:r>
      <w:r w:rsidRPr="00664F55">
        <w:rPr>
          <w:rStyle w:val="StyleUnderline"/>
        </w:rPr>
        <w:t xml:space="preserve">—while </w:t>
      </w:r>
      <w:r w:rsidRPr="00EC1BAA">
        <w:rPr>
          <w:rStyle w:val="StyleUnderline"/>
          <w:highlight w:val="cyan"/>
        </w:rPr>
        <w:t>with</w:t>
      </w:r>
      <w:r w:rsidRPr="00664F55">
        <w:rPr>
          <w:rStyle w:val="StyleUnderline"/>
        </w:rPr>
        <w:t xml:space="preserve"> the </w:t>
      </w:r>
      <w:r w:rsidRPr="00EC1BAA">
        <w:rPr>
          <w:rStyle w:val="Emphasis"/>
          <w:highlight w:val="cyan"/>
        </w:rPr>
        <w:t>disjunctive</w:t>
      </w:r>
      <w:r w:rsidRPr="00EC1BAA">
        <w:rPr>
          <w:rStyle w:val="StyleUnderline"/>
          <w:highlight w:val="cyan"/>
        </w:rPr>
        <w:t xml:space="preserve"> list</w:t>
      </w:r>
      <w:r w:rsidRPr="00664F55">
        <w:rPr>
          <w:rStyle w:val="StyleUnderline"/>
        </w:rPr>
        <w:t xml:space="preserve">, at least </w:t>
      </w:r>
      <w:r w:rsidRPr="00EC1BAA">
        <w:rPr>
          <w:rStyle w:val="StyleUnderline"/>
          <w:highlight w:val="cyan"/>
        </w:rPr>
        <w:t>one</w:t>
      </w:r>
      <w:r w:rsidRPr="001A7084">
        <w:t xml:space="preserve"> </w:t>
      </w:r>
      <w:r>
        <w:t xml:space="preserve">of the three </w:t>
      </w:r>
      <w:r w:rsidRPr="00EC1BAA">
        <w:rPr>
          <w:rStyle w:val="StyleUnderline"/>
          <w:highlight w:val="cyan"/>
        </w:rPr>
        <w:t>is required</w:t>
      </w:r>
      <w:r>
        <w:t xml:space="preserve">, but any one (or more) of the three satisfies the requirement. </w:t>
      </w:r>
      <w:r w:rsidRPr="00EC1BAA">
        <w:rPr>
          <w:rStyle w:val="StyleUnderline"/>
          <w:highlight w:val="cyan"/>
        </w:rPr>
        <w:t>Hence in the</w:t>
      </w:r>
      <w:r w:rsidRPr="00664F55">
        <w:rPr>
          <w:rStyle w:val="StyleUnderline"/>
        </w:rPr>
        <w:t xml:space="preserve"> well-known constitutional </w:t>
      </w:r>
      <w:r w:rsidRPr="00EC1BAA">
        <w:rPr>
          <w:rStyle w:val="StyleUnderline"/>
          <w:highlight w:val="cyan"/>
        </w:rPr>
        <w:t xml:space="preserve">phrase </w:t>
      </w:r>
      <w:r w:rsidRPr="00EC1BAA">
        <w:rPr>
          <w:rStyle w:val="Emphasis"/>
          <w:highlight w:val="cyan"/>
        </w:rPr>
        <w:t>cruel and unusual</w:t>
      </w:r>
      <w:r w:rsidRPr="00664F55">
        <w:rPr>
          <w:rStyle w:val="Emphasis"/>
        </w:rPr>
        <w:t xml:space="preserve"> punishments</w:t>
      </w:r>
      <w:r>
        <w:t xml:space="preserve">, 1 </w:t>
      </w:r>
      <w:r w:rsidRPr="00EC1BAA">
        <w:rPr>
          <w:rStyle w:val="StyleUnderline"/>
          <w:highlight w:val="cyan"/>
        </w:rPr>
        <w:t xml:space="preserve">the </w:t>
      </w:r>
      <w:r w:rsidRPr="00EC1BAA">
        <w:rPr>
          <w:rStyle w:val="Emphasis"/>
          <w:highlight w:val="cyan"/>
        </w:rPr>
        <w:t>and</w:t>
      </w:r>
      <w:r w:rsidRPr="00EC1BAA">
        <w:rPr>
          <w:rStyle w:val="StyleUnderline"/>
          <w:highlight w:val="cyan"/>
        </w:rPr>
        <w:t xml:space="preserve"> signals</w:t>
      </w:r>
      <w:r>
        <w:t xml:space="preserve"> that </w:t>
      </w:r>
      <w:r w:rsidRPr="00EC1BAA">
        <w:rPr>
          <w:rStyle w:val="StyleUnderline"/>
          <w:highlight w:val="cyan"/>
        </w:rPr>
        <w:t xml:space="preserve">cruelty or unusualness </w:t>
      </w:r>
      <w:r w:rsidRPr="00EC1BAA">
        <w:rPr>
          <w:rStyle w:val="Emphasis"/>
          <w:highlight w:val="cyan"/>
        </w:rPr>
        <w:t>alone</w:t>
      </w:r>
      <w:r w:rsidRPr="00EC1BAA">
        <w:rPr>
          <w:rStyle w:val="StyleUnderline"/>
          <w:highlight w:val="cyan"/>
        </w:rPr>
        <w:t xml:space="preserve"> does not run afoul</w:t>
      </w:r>
      <w:r w:rsidRPr="00664F55">
        <w:rPr>
          <w:rStyle w:val="StyleUnderline"/>
        </w:rPr>
        <w:t xml:space="preserve"> of the clause: The </w:t>
      </w:r>
      <w:r w:rsidRPr="00EC1BAA">
        <w:rPr>
          <w:rStyle w:val="StyleUnderline"/>
          <w:highlight w:val="cyan"/>
        </w:rPr>
        <w:t xml:space="preserve">punishment must meet </w:t>
      </w:r>
      <w:r w:rsidRPr="00EC1BAA">
        <w:rPr>
          <w:rStyle w:val="Emphasis"/>
          <w:highlight w:val="cyan"/>
        </w:rPr>
        <w:t>both standards</w:t>
      </w:r>
      <w:r w:rsidRPr="00664F55">
        <w:rPr>
          <w:rStyle w:val="StyleUnderline"/>
        </w:rPr>
        <w:t xml:space="preserve"> to fall within the constitutional prohibition</w:t>
      </w:r>
      <w:r>
        <w:t xml:space="preserve">. 2 The </w:t>
      </w:r>
      <w:r w:rsidRPr="00EC1BAA">
        <w:rPr>
          <w:rStyle w:val="StyleUnderline"/>
          <w:highlight w:val="cyan"/>
        </w:rPr>
        <w:t>same</w:t>
      </w:r>
      <w:r>
        <w:t xml:space="preserve"> point holds true </w:t>
      </w:r>
      <w:r w:rsidRPr="00EC1BAA">
        <w:rPr>
          <w:rStyle w:val="StyleUnderline"/>
          <w:highlight w:val="cyan"/>
        </w:rPr>
        <w:t>for</w:t>
      </w:r>
      <w:r w:rsidRPr="00664F55">
        <w:rPr>
          <w:rStyle w:val="StyleUnderline"/>
        </w:rPr>
        <w:t xml:space="preserve"> the phrase </w:t>
      </w:r>
      <w:r w:rsidRPr="00EC1BAA">
        <w:rPr>
          <w:rStyle w:val="Emphasis"/>
          <w:highlight w:val="cyan"/>
        </w:rPr>
        <w:t>necessary and proper</w:t>
      </w:r>
      <w:r w:rsidRPr="00EC1BAA">
        <w:t xml:space="preserve"> </w:t>
      </w:r>
      <w:r>
        <w:t xml:space="preserve">3 in Article I of the Constitution. </w:t>
      </w:r>
    </w:p>
    <w:p w14:paraId="3191C217" w14:textId="77777777" w:rsidR="00664F55" w:rsidRDefault="003C4184" w:rsidP="003C4184">
      <w:r>
        <w:t xml:space="preserve">A common interpretive issue involves the conjunction </w:t>
      </w:r>
      <w:r w:rsidRPr="006132AE">
        <w:rPr>
          <w:rStyle w:val="Emphasis"/>
        </w:rPr>
        <w:t>and</w:t>
      </w:r>
      <w:r>
        <w:t>, which (</w:t>
      </w:r>
      <w:r w:rsidRPr="006132AE">
        <w:rPr>
          <w:rStyle w:val="StyleUnderline"/>
        </w:rPr>
        <w:t xml:space="preserve">if there are two elements in the construction) entails an express or implied </w:t>
      </w:r>
      <w:r w:rsidRPr="006132AE">
        <w:rPr>
          <w:rStyle w:val="Emphasis"/>
        </w:rPr>
        <w:t>both</w:t>
      </w:r>
      <w:r w:rsidRPr="006132AE">
        <w:rPr>
          <w:rStyle w:val="StyleUnderline"/>
        </w:rPr>
        <w:t xml:space="preserve"> before the first element</w:t>
      </w:r>
      <w:r>
        <w:t xml:space="preserve">. Here it is implied: “Service shall be made upon the District of Columbia by delivering . . . or mailing . . . a copy of the summons, complaint and initial order to [both] the Mayor of the District of Columbia (or designee) and the Corporation Counsel of the District of Columbia (or designee).” 4 A plaintiff sued the District for injuries suffered when a fire truck struck her car, but her complaint was dismissed for failure to comply with the rule just quoted because she had not served the mayor. 5 She contended that the purpose of the statute was substantially satisfied by service on the corporation counsel; since that officer was a statutory agent of the mayor, service on him or her was, in legal effect, service on the mayor. The D.C. Superior Court correctly held that what the rule says, it says (see § 2 [supremacy-of-text principle]), and the and means that service must be effected on both corporation counsel and the mayor. 6 </w:t>
      </w:r>
    </w:p>
    <w:p w14:paraId="4894FD0F" w14:textId="77777777" w:rsidR="006A7B87" w:rsidRDefault="006A7B87" w:rsidP="006A7B87"/>
    <w:p w14:paraId="6C92D847" w14:textId="77777777" w:rsidR="00C320BE" w:rsidRDefault="00C320BE" w:rsidP="006A7B87"/>
    <w:p w14:paraId="42777D26" w14:textId="6C6ACCEA" w:rsidR="00C320BE" w:rsidRPr="00C320BE" w:rsidRDefault="00C320BE" w:rsidP="00C320BE">
      <w:pPr>
        <w:pStyle w:val="Heading4"/>
      </w:pPr>
      <w:r>
        <w:t>‘And’ means ‘</w:t>
      </w:r>
      <w:r w:rsidRPr="00C320BE">
        <w:t>and</w:t>
      </w:r>
      <w:r>
        <w:t xml:space="preserve">’ </w:t>
      </w:r>
      <w:r w:rsidRPr="00C320BE">
        <w:rPr>
          <w:u w:val="single"/>
        </w:rPr>
        <w:t>NOT</w:t>
      </w:r>
      <w:r>
        <w:t xml:space="preserve"> ‘</w:t>
      </w:r>
      <w:r w:rsidRPr="00C320BE">
        <w:t>or</w:t>
      </w:r>
      <w:r>
        <w:t>’</w:t>
      </w:r>
    </w:p>
    <w:p w14:paraId="200CD2A8" w14:textId="634434B9" w:rsidR="00C320BE" w:rsidRDefault="00C320BE" w:rsidP="006A7B87">
      <w:r>
        <w:t xml:space="preserve">Don </w:t>
      </w:r>
      <w:r w:rsidRPr="00C320BE">
        <w:rPr>
          <w:rStyle w:val="Style13ptBold"/>
        </w:rPr>
        <w:t>Willett 22</w:t>
      </w:r>
      <w:r>
        <w:t xml:space="preserve">, Federal Judge </w:t>
      </w:r>
      <w:r w:rsidR="007521E9">
        <w:t xml:space="preserve">on the </w:t>
      </w:r>
      <w:r>
        <w:t>Court of Appeals for the Fifth Circuit, dissent</w:t>
      </w:r>
      <w:r w:rsidR="00554632">
        <w:t>ing</w:t>
      </w:r>
      <w:r>
        <w:t>, 11/2/2022, “United States v. Palomares,” 52 F.4th 640</w:t>
      </w:r>
    </w:p>
    <w:p w14:paraId="67C2C1E5" w14:textId="7B40702C" w:rsidR="00C320BE" w:rsidRPr="00C320BE" w:rsidRDefault="00C320BE" w:rsidP="006A7B87">
      <w:pPr>
        <w:rPr>
          <w:sz w:val="16"/>
        </w:rPr>
      </w:pPr>
      <w:r w:rsidRPr="00C320BE">
        <w:rPr>
          <w:sz w:val="16"/>
        </w:rPr>
        <w:t>With deepest respect, I dissent.</w:t>
      </w:r>
    </w:p>
    <w:p w14:paraId="5FEB880F" w14:textId="56A2F838" w:rsidR="00C320BE" w:rsidRPr="00C320BE" w:rsidRDefault="00C320BE" w:rsidP="006A7B87">
      <w:pPr>
        <w:rPr>
          <w:sz w:val="16"/>
        </w:rPr>
      </w:pPr>
      <w:r w:rsidRPr="00C320BE">
        <w:rPr>
          <w:sz w:val="16"/>
        </w:rPr>
        <w:t>The majority opinion holds that "and" can have either a "distributive" or a "joint" sense and that only context can resolve the inherent ambiguity. Piercing the legalese</w:t>
      </w:r>
      <w:r w:rsidRPr="002C7208">
        <w:rPr>
          <w:sz w:val="16"/>
        </w:rPr>
        <w:t xml:space="preserve">, </w:t>
      </w:r>
      <w:r w:rsidRPr="002C7208">
        <w:rPr>
          <w:rStyle w:val="StyleUnderline"/>
        </w:rPr>
        <w:t>the</w:t>
      </w:r>
      <w:r w:rsidRPr="00C320BE">
        <w:rPr>
          <w:rStyle w:val="StyleUnderline"/>
        </w:rPr>
        <w:t xml:space="preserve"> </w:t>
      </w:r>
      <w:r w:rsidRPr="002C7208">
        <w:rPr>
          <w:rStyle w:val="StyleUnderline"/>
          <w:highlight w:val="cyan"/>
        </w:rPr>
        <w:t>idea</w:t>
      </w:r>
      <w:r w:rsidRPr="00C320BE">
        <w:rPr>
          <w:rStyle w:val="StyleUnderline"/>
        </w:rPr>
        <w:t xml:space="preserve"> is that </w:t>
      </w:r>
      <w:r w:rsidRPr="002C7208">
        <w:rPr>
          <w:rStyle w:val="StyleUnderline"/>
          <w:highlight w:val="cyan"/>
        </w:rPr>
        <w:t>"and" can mean either</w:t>
      </w:r>
      <w:r w:rsidRPr="00C320BE">
        <w:rPr>
          <w:rStyle w:val="StyleUnderline"/>
        </w:rPr>
        <w:t xml:space="preserve"> "and" or "</w:t>
      </w:r>
      <w:r w:rsidRPr="002C7208">
        <w:rPr>
          <w:rStyle w:val="Emphasis"/>
          <w:highlight w:val="cyan"/>
        </w:rPr>
        <w:t>or</w:t>
      </w:r>
      <w:r w:rsidRPr="00C320BE">
        <w:rPr>
          <w:rStyle w:val="StyleUnderline"/>
        </w:rPr>
        <w:t>."</w:t>
      </w:r>
      <w:r w:rsidRPr="00C320BE">
        <w:rPr>
          <w:sz w:val="16"/>
        </w:rPr>
        <w:t xml:space="preserve"> To be fair, the majority isn't alone. Courts facing clumsy drafting have sporadically reached that conclusion.1</w:t>
      </w:r>
    </w:p>
    <w:p w14:paraId="26F4BF09" w14:textId="3185B3F9" w:rsidR="00C320BE" w:rsidRPr="00C320BE" w:rsidRDefault="00C320BE" w:rsidP="006A7B87">
      <w:pPr>
        <w:rPr>
          <w:rStyle w:val="StyleUnderline"/>
        </w:rPr>
      </w:pPr>
      <w:r w:rsidRPr="00C320BE">
        <w:rPr>
          <w:sz w:val="16"/>
        </w:rPr>
        <w:t xml:space="preserve">The English language is never in stasis. Witness the off-definition misuse of "literally," which has literally come to mean "figuratively." But </w:t>
      </w:r>
      <w:r w:rsidRPr="00C320BE">
        <w:rPr>
          <w:rStyle w:val="StyleUnderline"/>
        </w:rPr>
        <w:t xml:space="preserve">interchanging "and" and "or" </w:t>
      </w:r>
      <w:r w:rsidRPr="002C7208">
        <w:rPr>
          <w:rStyle w:val="StyleUnderline"/>
          <w:highlight w:val="cyan"/>
        </w:rPr>
        <w:t xml:space="preserve">is a </w:t>
      </w:r>
      <w:r w:rsidRPr="002C7208">
        <w:rPr>
          <w:rStyle w:val="Emphasis"/>
          <w:highlight w:val="cyan"/>
        </w:rPr>
        <w:t>mistake</w:t>
      </w:r>
      <w:r w:rsidRPr="00C320BE">
        <w:rPr>
          <w:rStyle w:val="StyleUnderline"/>
        </w:rPr>
        <w:t xml:space="preserve">. </w:t>
      </w:r>
      <w:r w:rsidRPr="004A660E">
        <w:rPr>
          <w:sz w:val="16"/>
          <w:szCs w:val="16"/>
        </w:rPr>
        <w:t>"We give our language, and our language-dependent legal system, a body blow when we hold that it is reasonable to read 'or' for 'and'"—or "and" for "or."</w:t>
      </w:r>
      <w:r w:rsidRPr="00C320BE">
        <w:rPr>
          <w:sz w:val="16"/>
        </w:rPr>
        <w:t xml:space="preserve">2  </w:t>
      </w:r>
      <w:r w:rsidRPr="002C7208">
        <w:rPr>
          <w:rStyle w:val="Emphasis"/>
          <w:highlight w:val="cyan"/>
        </w:rPr>
        <w:t>Manufactured ambiguity</w:t>
      </w:r>
      <w:r w:rsidRPr="002C7208">
        <w:rPr>
          <w:rStyle w:val="StyleUnderline"/>
          <w:highlight w:val="cyan"/>
        </w:rPr>
        <w:t xml:space="preserve"> poses a</w:t>
      </w:r>
      <w:r w:rsidRPr="00C320BE">
        <w:rPr>
          <w:sz w:val="16"/>
        </w:rPr>
        <w:t xml:space="preserve"> special </w:t>
      </w:r>
      <w:r w:rsidRPr="002C7208">
        <w:rPr>
          <w:rStyle w:val="Emphasis"/>
          <w:highlight w:val="cyan"/>
        </w:rPr>
        <w:t>threat</w:t>
      </w:r>
      <w:r w:rsidRPr="002C7208">
        <w:rPr>
          <w:rStyle w:val="StyleUnderline"/>
          <w:highlight w:val="cyan"/>
        </w:rPr>
        <w:t xml:space="preserve"> to our language</w:t>
      </w:r>
      <w:r w:rsidRPr="00C320BE">
        <w:rPr>
          <w:rStyle w:val="StyleUnderline"/>
        </w:rPr>
        <w:t>'s elemental particles</w:t>
      </w:r>
      <w:r w:rsidRPr="00C320BE">
        <w:rPr>
          <w:sz w:val="16"/>
        </w:rPr>
        <w:t xml:space="preserve">. How can Congress express its will [**29] if everyday words slip into linguistic black holes so dense that settled language rules break down? When judges say that certain words are inherently ambiguous, </w:t>
      </w:r>
      <w:r w:rsidRPr="00C320BE">
        <w:rPr>
          <w:rStyle w:val="StyleUnderline"/>
        </w:rPr>
        <w:t xml:space="preserve">we beget a </w:t>
      </w:r>
      <w:r w:rsidRPr="00C320BE">
        <w:rPr>
          <w:rStyle w:val="Emphasis"/>
        </w:rPr>
        <w:t>self-fulfilling prophecy</w:t>
      </w:r>
      <w:r w:rsidRPr="00C320BE">
        <w:rPr>
          <w:sz w:val="16"/>
        </w:rPr>
        <w:t xml:space="preserve">. And </w:t>
      </w:r>
      <w:r w:rsidRPr="00C320BE">
        <w:rPr>
          <w:rStyle w:val="StyleUnderline"/>
        </w:rPr>
        <w:t>when we use complicated semantic bracework to augment ordinary meaning, we risk creating a negative feedback loop if Congress sees the favor as an invitation rather than a one-off.</w:t>
      </w:r>
    </w:p>
    <w:p w14:paraId="5B6D4DBC" w14:textId="7C4D89BA" w:rsidR="00C320BE" w:rsidRPr="00C320BE" w:rsidRDefault="00C320BE" w:rsidP="006A7B87">
      <w:pPr>
        <w:rPr>
          <w:sz w:val="16"/>
        </w:rPr>
      </w:pPr>
      <w:r w:rsidRPr="00C320BE">
        <w:rPr>
          <w:sz w:val="16"/>
        </w:rPr>
        <w:t xml:space="preserve">Congress said that Palomares is ineligible for safety valve relief if her criminal history runs afoul of § 3553(f)(1)(A), (B), and (C). While the First Step Act "is far from a chef d'oeuvre of legislative draftsmanship,"3  we must assume that Congress meant what it said. </w:t>
      </w:r>
      <w:r w:rsidRPr="005A1657">
        <w:rPr>
          <w:rStyle w:val="StyleUnderline"/>
          <w:highlight w:val="cyan"/>
        </w:rPr>
        <w:t xml:space="preserve">Congress said </w:t>
      </w:r>
      <w:r w:rsidRPr="002C7208">
        <w:rPr>
          <w:rStyle w:val="StyleUnderline"/>
          <w:highlight w:val="cyan"/>
        </w:rPr>
        <w:t>"</w:t>
      </w:r>
      <w:r w:rsidRPr="002C7208">
        <w:rPr>
          <w:rStyle w:val="Emphasis"/>
          <w:highlight w:val="cyan"/>
        </w:rPr>
        <w:t>and</w:t>
      </w:r>
      <w:r w:rsidRPr="002C7208">
        <w:rPr>
          <w:rStyle w:val="StyleUnderline"/>
          <w:highlight w:val="cyan"/>
        </w:rPr>
        <w:t>." If it wished to</w:t>
      </w:r>
      <w:r w:rsidRPr="00C320BE">
        <w:rPr>
          <w:rStyle w:val="StyleUnderline"/>
        </w:rPr>
        <w:t xml:space="preserve"> withhold</w:t>
      </w:r>
      <w:r w:rsidRPr="00C320BE">
        <w:rPr>
          <w:sz w:val="16"/>
        </w:rPr>
        <w:t xml:space="preserve"> safety valve </w:t>
      </w:r>
      <w:r w:rsidRPr="00C320BE">
        <w:rPr>
          <w:rStyle w:val="StyleUnderline"/>
        </w:rPr>
        <w:t xml:space="preserve">relief from defendants who failed any </w:t>
      </w:r>
      <w:r w:rsidRPr="00C320BE">
        <w:rPr>
          <w:rStyle w:val="Emphasis"/>
        </w:rPr>
        <w:t>one</w:t>
      </w:r>
      <w:r w:rsidRPr="00C320BE">
        <w:rPr>
          <w:rStyle w:val="StyleUnderline"/>
        </w:rPr>
        <w:t xml:space="preserve"> of the three sub-sections, </w:t>
      </w:r>
      <w:r w:rsidRPr="002C7208">
        <w:rPr>
          <w:rStyle w:val="StyleUnderline"/>
          <w:highlight w:val="cyan"/>
        </w:rPr>
        <w:t>it would have</w:t>
      </w:r>
      <w:r w:rsidRPr="00C320BE">
        <w:rPr>
          <w:sz w:val="16"/>
        </w:rPr>
        <w:t xml:space="preserve"> (maybe should have) </w:t>
      </w:r>
      <w:r w:rsidRPr="002C7208">
        <w:rPr>
          <w:rStyle w:val="StyleUnderline"/>
          <w:highlight w:val="cyan"/>
        </w:rPr>
        <w:t>joined them</w:t>
      </w:r>
      <w:r w:rsidRPr="00C320BE">
        <w:rPr>
          <w:sz w:val="16"/>
        </w:rPr>
        <w:t xml:space="preserve"> together </w:t>
      </w:r>
      <w:r w:rsidRPr="002C7208">
        <w:rPr>
          <w:rStyle w:val="StyleUnderline"/>
          <w:highlight w:val="cyan"/>
        </w:rPr>
        <w:t>with</w:t>
      </w:r>
      <w:r w:rsidRPr="00C320BE">
        <w:rPr>
          <w:sz w:val="16"/>
        </w:rPr>
        <w:t xml:space="preserve"> [*653] </w:t>
      </w:r>
      <w:r w:rsidRPr="00C320BE">
        <w:rPr>
          <w:rStyle w:val="StyleUnderline"/>
        </w:rPr>
        <w:t>"</w:t>
      </w:r>
      <w:r w:rsidRPr="002C7208">
        <w:rPr>
          <w:rStyle w:val="Emphasis"/>
          <w:highlight w:val="cyan"/>
        </w:rPr>
        <w:t>or</w:t>
      </w:r>
      <w:r w:rsidRPr="00C320BE">
        <w:rPr>
          <w:rStyle w:val="StyleUnderline"/>
        </w:rPr>
        <w:t>."</w:t>
      </w:r>
      <w:r w:rsidRPr="00C320BE">
        <w:rPr>
          <w:sz w:val="16"/>
        </w:rPr>
        <w:t xml:space="preserve"> I would vacate Palomares's sentence and remand for resentencing.</w:t>
      </w:r>
    </w:p>
    <w:p w14:paraId="0AD3495A" w14:textId="0DB45D55" w:rsidR="00C320BE" w:rsidRPr="00C320BE" w:rsidRDefault="00C320BE" w:rsidP="006A7B87">
      <w:pPr>
        <w:rPr>
          <w:sz w:val="16"/>
        </w:rPr>
      </w:pPr>
      <w:r w:rsidRPr="00C320BE">
        <w:rPr>
          <w:sz w:val="16"/>
        </w:rPr>
        <w:t>I</w:t>
      </w:r>
    </w:p>
    <w:p w14:paraId="4D457B4E" w14:textId="1551C21F" w:rsidR="00C320BE" w:rsidRDefault="00C320BE" w:rsidP="006A7B87">
      <w:pPr>
        <w:rPr>
          <w:sz w:val="16"/>
        </w:rPr>
      </w:pPr>
      <w:r w:rsidRPr="00C320BE">
        <w:rPr>
          <w:rStyle w:val="StyleUnderline"/>
        </w:rPr>
        <w:t xml:space="preserve">As the majority concedes, the </w:t>
      </w:r>
      <w:r w:rsidRPr="002C7208">
        <w:rPr>
          <w:rStyle w:val="Emphasis"/>
          <w:highlight w:val="cyan"/>
        </w:rPr>
        <w:t>plain meaning</w:t>
      </w:r>
      <w:r w:rsidRPr="002C7208">
        <w:rPr>
          <w:rStyle w:val="StyleUnderline"/>
          <w:highlight w:val="cyan"/>
        </w:rPr>
        <w:t xml:space="preserve"> of "and" is </w:t>
      </w:r>
      <w:r w:rsidRPr="002C7208">
        <w:rPr>
          <w:rStyle w:val="Emphasis"/>
          <w:highlight w:val="cyan"/>
        </w:rPr>
        <w:t>conjunctive</w:t>
      </w:r>
      <w:r w:rsidRPr="00C320BE">
        <w:rPr>
          <w:sz w:val="16"/>
        </w:rPr>
        <w:t xml:space="preserve">. </w:t>
      </w:r>
      <w:r w:rsidRPr="002C7208">
        <w:rPr>
          <w:rStyle w:val="Emphasis"/>
          <w:highlight w:val="cyan"/>
        </w:rPr>
        <w:t>Dictionaries</w:t>
      </w:r>
      <w:r w:rsidRPr="002C7208">
        <w:rPr>
          <w:rStyle w:val="StyleUnderline"/>
          <w:highlight w:val="cyan"/>
        </w:rPr>
        <w:t xml:space="preserve"> and </w:t>
      </w:r>
      <w:r w:rsidRPr="002C7208">
        <w:rPr>
          <w:rStyle w:val="Emphasis"/>
          <w:highlight w:val="cyan"/>
        </w:rPr>
        <w:t>treatises</w:t>
      </w:r>
      <w:r w:rsidRPr="00C320BE">
        <w:rPr>
          <w:sz w:val="16"/>
        </w:rPr>
        <w:t xml:space="preserve"> aren't needed to prove the point, but they uniformly </w:t>
      </w:r>
      <w:r w:rsidRPr="002C7208">
        <w:rPr>
          <w:rStyle w:val="StyleUnderline"/>
          <w:highlight w:val="cyan"/>
        </w:rPr>
        <w:t>define "and" this way</w:t>
      </w:r>
      <w:r w:rsidRPr="00C320BE">
        <w:rPr>
          <w:sz w:val="16"/>
        </w:rPr>
        <w:t xml:space="preserve">.4  The definition even lends its name to the "conjunctive/disjunctive canon" of construction.5  That interpretive rule says what </w:t>
      </w:r>
      <w:r w:rsidRPr="00C320BE">
        <w:rPr>
          <w:rStyle w:val="StyleUnderline"/>
        </w:rPr>
        <w:t>ordinary English</w:t>
      </w:r>
      <w:r w:rsidRPr="00C320BE">
        <w:rPr>
          <w:sz w:val="16"/>
        </w:rPr>
        <w:t xml:space="preserve"> [**30] </w:t>
      </w:r>
      <w:r w:rsidRPr="00C320BE">
        <w:rPr>
          <w:rStyle w:val="StyleUnderline"/>
        </w:rPr>
        <w:t xml:space="preserve">speakers already know: </w:t>
      </w:r>
      <w:r w:rsidRPr="002C7208">
        <w:rPr>
          <w:rStyle w:val="StyleUnderline"/>
          <w:highlight w:val="cyan"/>
        </w:rPr>
        <w:t xml:space="preserve">When the word "and" joins a </w:t>
      </w:r>
      <w:r w:rsidRPr="002C7208">
        <w:rPr>
          <w:rStyle w:val="Emphasis"/>
          <w:highlight w:val="cyan"/>
        </w:rPr>
        <w:t>list</w:t>
      </w:r>
      <w:r w:rsidRPr="002C7208">
        <w:rPr>
          <w:rStyle w:val="StyleUnderline"/>
          <w:highlight w:val="cyan"/>
        </w:rPr>
        <w:t xml:space="preserve">, </w:t>
      </w:r>
      <w:r w:rsidRPr="002C7208">
        <w:rPr>
          <w:rStyle w:val="Emphasis"/>
          <w:highlight w:val="cyan"/>
        </w:rPr>
        <w:t>all the things</w:t>
      </w:r>
      <w:r w:rsidRPr="00C320BE">
        <w:rPr>
          <w:rStyle w:val="Emphasis"/>
        </w:rPr>
        <w:t xml:space="preserve"> listed </w:t>
      </w:r>
      <w:r w:rsidRPr="002C7208">
        <w:rPr>
          <w:rStyle w:val="Emphasis"/>
          <w:highlight w:val="cyan"/>
        </w:rPr>
        <w:t>are required</w:t>
      </w:r>
      <w:r w:rsidRPr="00C320BE">
        <w:rPr>
          <w:sz w:val="16"/>
        </w:rPr>
        <w:t xml:space="preserve">.6  </w:t>
      </w:r>
      <w:r w:rsidRPr="00C320BE">
        <w:rPr>
          <w:rStyle w:val="StyleUnderline"/>
        </w:rPr>
        <w:t>A parent who tells you to pick up milk, eggs, and cheese will</w:t>
      </w:r>
      <w:r w:rsidRPr="00C320BE">
        <w:rPr>
          <w:sz w:val="16"/>
        </w:rPr>
        <w:t xml:space="preserve"> rightly </w:t>
      </w:r>
      <w:r w:rsidRPr="00C320BE">
        <w:rPr>
          <w:rStyle w:val="StyleUnderline"/>
        </w:rPr>
        <w:t>be upset if you return with just milk</w:t>
      </w:r>
      <w:r w:rsidRPr="00C320BE">
        <w:rPr>
          <w:sz w:val="16"/>
        </w:rPr>
        <w:t>.</w:t>
      </w:r>
    </w:p>
    <w:p w14:paraId="47AD2336" w14:textId="77777777" w:rsidR="00C320BE" w:rsidRDefault="00C320BE" w:rsidP="00C320BE"/>
    <w:p w14:paraId="321CAF3B" w14:textId="2EFB6D58" w:rsidR="004A660E" w:rsidRDefault="004A660E" w:rsidP="004A660E">
      <w:pPr>
        <w:pStyle w:val="Heading4"/>
      </w:pPr>
      <w:bookmarkStart w:id="1" w:name="_Hlk138321597"/>
      <w:r>
        <w:t xml:space="preserve">“We give our language … a body </w:t>
      </w:r>
      <w:r w:rsidRPr="004A660E">
        <w:t xml:space="preserve">blow when we hold that it is reasonable to read </w:t>
      </w:r>
      <w:r>
        <w:t>‘</w:t>
      </w:r>
      <w:r w:rsidRPr="004A660E">
        <w:t>or</w:t>
      </w:r>
      <w:r>
        <w:t>’</w:t>
      </w:r>
      <w:r w:rsidRPr="004A660E">
        <w:t xml:space="preserve"> for </w:t>
      </w:r>
      <w:r>
        <w:t>‘</w:t>
      </w:r>
      <w:r w:rsidRPr="004A660E">
        <w:t>and.</w:t>
      </w:r>
      <w:r>
        <w:t>’</w:t>
      </w:r>
      <w:r w:rsidRPr="004A660E">
        <w:t>"</w:t>
      </w:r>
    </w:p>
    <w:p w14:paraId="509FDD67" w14:textId="53CE9585" w:rsidR="00C320BE" w:rsidRDefault="00C320BE" w:rsidP="00C320BE">
      <w:r>
        <w:t xml:space="preserve">Alex </w:t>
      </w:r>
      <w:r w:rsidRPr="002819B2">
        <w:rPr>
          <w:rStyle w:val="Style13ptBold"/>
        </w:rPr>
        <w:t>Kozinski 88</w:t>
      </w:r>
      <w:r>
        <w:t xml:space="preserve">, Federal Judge </w:t>
      </w:r>
      <w:r w:rsidR="007521E9">
        <w:t xml:space="preserve">on the </w:t>
      </w:r>
      <w:r>
        <w:t xml:space="preserve">Court of Appeals for the Ninth Circuit, </w:t>
      </w:r>
      <w:r w:rsidR="00554632">
        <w:t>dissenting</w:t>
      </w:r>
      <w:r>
        <w:t xml:space="preserve">, </w:t>
      </w:r>
      <w:r w:rsidR="002819B2">
        <w:t>8/14/1988</w:t>
      </w:r>
      <w:r>
        <w:t>, “</w:t>
      </w:r>
      <w:r w:rsidR="002819B2">
        <w:t>MacDonald v. Pan American World Airways, Inc.</w:t>
      </w:r>
      <w:r>
        <w:t xml:space="preserve">,” </w:t>
      </w:r>
      <w:r w:rsidR="002819B2">
        <w:t>859</w:t>
      </w:r>
      <w:r>
        <w:t xml:space="preserve"> F.</w:t>
      </w:r>
      <w:r w:rsidR="002819B2">
        <w:t>2d</w:t>
      </w:r>
      <w:r>
        <w:t xml:space="preserve"> </w:t>
      </w:r>
      <w:r w:rsidR="002819B2">
        <w:t>742</w:t>
      </w:r>
    </w:p>
    <w:p w14:paraId="33EB17D2" w14:textId="5ADDEBF0" w:rsidR="00C320BE" w:rsidRPr="004A660E" w:rsidRDefault="00C320BE" w:rsidP="00C320BE">
      <w:pPr>
        <w:rPr>
          <w:sz w:val="16"/>
        </w:rPr>
      </w:pPr>
      <w:r w:rsidRPr="004A660E">
        <w:rPr>
          <w:sz w:val="16"/>
        </w:rPr>
        <w:t xml:space="preserve">I cannot agree that the plan's clear and simple language is reasonably susceptible of the interpretation offered by the defendants. Plain as day, the plan provides that the valuation date shall be on "the last day of each calendar quarter and, as the Administrative Committee elects, any other day of the Plan Year." Pan American World Airways, Inc. Employee Stock Ownership Plan (Pan Am ESOP), at I-4, Excerpts of Record (ER) at 3 (emphasis added). This language is not in the least ambiguous: It can only be interpreted to mean that the Administrative Committee has the authority to select valuation dates in addition to the four already provided by the plan. The Administrative Committee has nevertheless taken the position that it may do away with the quarterly valuation dates altogether, and substitute a single valuation date in their stead. I can think of </w:t>
      </w:r>
      <w:r w:rsidRPr="004A660E">
        <w:rPr>
          <w:rStyle w:val="StyleUnderline"/>
        </w:rPr>
        <w:t xml:space="preserve">only one way </w:t>
      </w:r>
      <w:r w:rsidRPr="002C7208">
        <w:rPr>
          <w:rStyle w:val="StyleUnderline"/>
          <w:highlight w:val="cyan"/>
        </w:rPr>
        <w:t>to derive that interpretation</w:t>
      </w:r>
      <w:r w:rsidRPr="004A660E">
        <w:rPr>
          <w:rStyle w:val="StyleUnderline"/>
        </w:rPr>
        <w:t xml:space="preserve"> from the</w:t>
      </w:r>
      <w:r w:rsidRPr="004A660E">
        <w:rPr>
          <w:sz w:val="16"/>
        </w:rPr>
        <w:t xml:space="preserve"> quoted </w:t>
      </w:r>
      <w:r w:rsidRPr="004A660E">
        <w:rPr>
          <w:rStyle w:val="StyleUnderline"/>
        </w:rPr>
        <w:t xml:space="preserve">provision: by </w:t>
      </w:r>
      <w:r w:rsidRPr="002C7208">
        <w:rPr>
          <w:rStyle w:val="StyleUnderline"/>
          <w:highlight w:val="cyan"/>
        </w:rPr>
        <w:t>substituting</w:t>
      </w:r>
      <w:r w:rsidRPr="004A660E">
        <w:rPr>
          <w:rStyle w:val="StyleUnderline"/>
        </w:rPr>
        <w:t xml:space="preserve"> the </w:t>
      </w:r>
      <w:r w:rsidRPr="002C7208">
        <w:rPr>
          <w:rStyle w:val="Emphasis"/>
          <w:highlight w:val="cyan"/>
        </w:rPr>
        <w:t>disjunctive</w:t>
      </w:r>
      <w:r w:rsidRPr="002C7208">
        <w:rPr>
          <w:rStyle w:val="StyleUnderline"/>
          <w:highlight w:val="cyan"/>
        </w:rPr>
        <w:t xml:space="preserve"> "or" for</w:t>
      </w:r>
      <w:r w:rsidRPr="004A660E">
        <w:rPr>
          <w:rStyle w:val="StyleUnderline"/>
        </w:rPr>
        <w:t xml:space="preserve"> the </w:t>
      </w:r>
      <w:r w:rsidRPr="002C7208">
        <w:rPr>
          <w:rStyle w:val="Emphasis"/>
          <w:highlight w:val="cyan"/>
        </w:rPr>
        <w:t>conjunctive</w:t>
      </w:r>
      <w:r w:rsidRPr="002C7208">
        <w:rPr>
          <w:rStyle w:val="StyleUnderline"/>
          <w:highlight w:val="cyan"/>
        </w:rPr>
        <w:t xml:space="preserve"> "and."</w:t>
      </w:r>
      <w:r w:rsidRPr="004A660E">
        <w:rPr>
          <w:sz w:val="16"/>
        </w:rPr>
        <w:t xml:space="preserve"> Unlike the majority</w:t>
      </w:r>
      <w:r w:rsidRPr="002C7208">
        <w:rPr>
          <w:sz w:val="16"/>
          <w:highlight w:val="cyan"/>
        </w:rPr>
        <w:t xml:space="preserve">, </w:t>
      </w:r>
      <w:r w:rsidRPr="002C7208">
        <w:rPr>
          <w:rStyle w:val="StyleUnderline"/>
          <w:highlight w:val="cyan"/>
        </w:rPr>
        <w:t xml:space="preserve">I am </w:t>
      </w:r>
      <w:r w:rsidRPr="002C7208">
        <w:rPr>
          <w:rStyle w:val="Emphasis"/>
          <w:highlight w:val="cyan"/>
        </w:rPr>
        <w:t>unable</w:t>
      </w:r>
      <w:r w:rsidRPr="002C7208">
        <w:rPr>
          <w:rStyle w:val="StyleUnderline"/>
          <w:highlight w:val="cyan"/>
        </w:rPr>
        <w:t xml:space="preserve"> to approve</w:t>
      </w:r>
      <w:r w:rsidRPr="004A660E">
        <w:rPr>
          <w:rStyle w:val="StyleUnderline"/>
        </w:rPr>
        <w:t xml:space="preserve"> as reasonable an interpretation that requires us to perform </w:t>
      </w:r>
      <w:r w:rsidRPr="002C7208">
        <w:rPr>
          <w:rStyle w:val="StyleUnderline"/>
          <w:highlight w:val="cyan"/>
        </w:rPr>
        <w:t xml:space="preserve">such </w:t>
      </w:r>
      <w:r w:rsidRPr="002C7208">
        <w:rPr>
          <w:rStyle w:val="Emphasis"/>
          <w:highlight w:val="cyan"/>
        </w:rPr>
        <w:t>radical surgery</w:t>
      </w:r>
      <w:r w:rsidRPr="002C7208">
        <w:rPr>
          <w:rStyle w:val="StyleUnderline"/>
          <w:highlight w:val="cyan"/>
        </w:rPr>
        <w:t xml:space="preserve"> on</w:t>
      </w:r>
      <w:r w:rsidRPr="004A660E">
        <w:rPr>
          <w:rStyle w:val="StyleUnderline"/>
        </w:rPr>
        <w:t xml:space="preserve"> a document's </w:t>
      </w:r>
      <w:r w:rsidRPr="002C7208">
        <w:rPr>
          <w:rStyle w:val="Emphasis"/>
          <w:highlight w:val="cyan"/>
        </w:rPr>
        <w:t>plain language</w:t>
      </w:r>
      <w:r w:rsidRPr="004A660E">
        <w:rPr>
          <w:sz w:val="16"/>
        </w:rPr>
        <w:t>.</w:t>
      </w:r>
    </w:p>
    <w:p w14:paraId="2624C645" w14:textId="0EB12B76" w:rsidR="00C320BE" w:rsidRDefault="00C320BE" w:rsidP="002C7208">
      <w:pPr>
        <w:rPr>
          <w:sz w:val="16"/>
        </w:rPr>
      </w:pPr>
      <w:r w:rsidRPr="004A660E">
        <w:rPr>
          <w:sz w:val="16"/>
        </w:rPr>
        <w:t xml:space="preserve">I see </w:t>
      </w:r>
      <w:r w:rsidRPr="004A660E">
        <w:rPr>
          <w:rStyle w:val="StyleUnderline"/>
        </w:rPr>
        <w:t>two obstacles</w:t>
      </w:r>
      <w:r w:rsidRPr="004A660E">
        <w:rPr>
          <w:sz w:val="16"/>
        </w:rPr>
        <w:t xml:space="preserve"> [**10]  barring the majority's conclusion, </w:t>
      </w:r>
      <w:r w:rsidRPr="004A660E">
        <w:rPr>
          <w:rStyle w:val="StyleUnderline"/>
        </w:rPr>
        <w:t xml:space="preserve">one linguistic, the other structural. As a linguistic matter, </w:t>
      </w:r>
      <w:r w:rsidRPr="002C7208">
        <w:rPr>
          <w:rStyle w:val="StyleUnderline"/>
          <w:highlight w:val="cyan"/>
        </w:rPr>
        <w:t xml:space="preserve">"and" and "or" are </w:t>
      </w:r>
      <w:r w:rsidRPr="002C7208">
        <w:rPr>
          <w:rStyle w:val="Emphasis"/>
        </w:rPr>
        <w:t>not synonyms</w:t>
      </w:r>
      <w:r w:rsidRPr="004A660E">
        <w:rPr>
          <w:sz w:val="16"/>
        </w:rPr>
        <w:t xml:space="preserve">; indeed, </w:t>
      </w:r>
      <w:r w:rsidRPr="004A660E">
        <w:rPr>
          <w:rStyle w:val="StyleUnderline"/>
        </w:rPr>
        <w:t>they are</w:t>
      </w:r>
      <w:r w:rsidRPr="004A660E">
        <w:rPr>
          <w:sz w:val="16"/>
        </w:rPr>
        <w:t xml:space="preserve"> more nearly </w:t>
      </w:r>
      <w:r w:rsidRPr="002C7208">
        <w:rPr>
          <w:rStyle w:val="Emphasis"/>
          <w:highlight w:val="cyan"/>
        </w:rPr>
        <w:t>antonyms</w:t>
      </w:r>
      <w:r w:rsidRPr="004A660E">
        <w:rPr>
          <w:rStyle w:val="StyleUnderline"/>
        </w:rPr>
        <w:t xml:space="preserve">. One need only start the day with a breakfast of ham </w:t>
      </w:r>
      <w:r w:rsidRPr="004A660E">
        <w:rPr>
          <w:rStyle w:val="Emphasis"/>
        </w:rPr>
        <w:t>or</w:t>
      </w:r>
      <w:r w:rsidRPr="004A660E">
        <w:rPr>
          <w:rStyle w:val="StyleUnderline"/>
        </w:rPr>
        <w:t xml:space="preserve"> eggs to be</w:t>
      </w:r>
      <w:r w:rsidRPr="004A660E">
        <w:rPr>
          <w:sz w:val="16"/>
        </w:rPr>
        <w:t xml:space="preserve"> duly </w:t>
      </w:r>
      <w:r w:rsidRPr="004A660E">
        <w:rPr>
          <w:rStyle w:val="StyleUnderline"/>
        </w:rPr>
        <w:t>impressed by the difference</w:t>
      </w:r>
      <w:r w:rsidRPr="004A660E">
        <w:rPr>
          <w:sz w:val="16"/>
        </w:rPr>
        <w:t xml:space="preserve">. While </w:t>
      </w:r>
      <w:r w:rsidRPr="004A660E">
        <w:rPr>
          <w:rStyle w:val="StyleUnderline"/>
        </w:rPr>
        <w:t>"and" and "or"</w:t>
      </w:r>
      <w:r w:rsidRPr="004A660E">
        <w:rPr>
          <w:sz w:val="16"/>
        </w:rPr>
        <w:t xml:space="preserve"> are both small words, and are occasionally seen joined with a slash, when they stand alone, </w:t>
      </w:r>
      <w:r w:rsidRPr="002C7208">
        <w:rPr>
          <w:rStyle w:val="StyleUnderline"/>
          <w:highlight w:val="cyan"/>
        </w:rPr>
        <w:t xml:space="preserve">they have </w:t>
      </w:r>
      <w:r w:rsidRPr="002C7208">
        <w:rPr>
          <w:rStyle w:val="Emphasis"/>
          <w:highlight w:val="cyan"/>
        </w:rPr>
        <w:t>substantially different meanings</w:t>
      </w:r>
      <w:r w:rsidRPr="004A660E">
        <w:rPr>
          <w:rStyle w:val="StyleUnderline"/>
        </w:rPr>
        <w:t xml:space="preserve"> with dramatically different effects. </w:t>
      </w:r>
      <w:r w:rsidRPr="002C7208">
        <w:rPr>
          <w:rStyle w:val="StyleUnderline"/>
          <w:highlight w:val="cyan"/>
        </w:rPr>
        <w:t>We give our language</w:t>
      </w:r>
      <w:r w:rsidRPr="002C7208">
        <w:rPr>
          <w:sz w:val="16"/>
          <w:highlight w:val="cyan"/>
        </w:rPr>
        <w:t xml:space="preserve">, </w:t>
      </w:r>
      <w:r w:rsidRPr="002C7208">
        <w:rPr>
          <w:sz w:val="16"/>
        </w:rPr>
        <w:t xml:space="preserve">and our language-dependent legal system, </w:t>
      </w:r>
      <w:r w:rsidRPr="002C7208">
        <w:rPr>
          <w:rStyle w:val="StyleUnderline"/>
          <w:highlight w:val="cyan"/>
        </w:rPr>
        <w:t xml:space="preserve">a </w:t>
      </w:r>
      <w:r w:rsidRPr="002C7208">
        <w:rPr>
          <w:rStyle w:val="Emphasis"/>
          <w:highlight w:val="cyan"/>
        </w:rPr>
        <w:t>body blow</w:t>
      </w:r>
      <w:r w:rsidRPr="002C7208">
        <w:rPr>
          <w:rStyle w:val="StyleUnderline"/>
          <w:highlight w:val="cyan"/>
        </w:rPr>
        <w:t xml:space="preserve"> when we hold</w:t>
      </w:r>
      <w:r w:rsidRPr="002C7208">
        <w:rPr>
          <w:rStyle w:val="StyleUnderline"/>
        </w:rPr>
        <w:t xml:space="preserve"> that </w:t>
      </w:r>
      <w:r w:rsidRPr="002C7208">
        <w:rPr>
          <w:rStyle w:val="StyleUnderline"/>
          <w:highlight w:val="cyan"/>
        </w:rPr>
        <w:t>it is reasonable to read "</w:t>
      </w:r>
      <w:r w:rsidRPr="00554632">
        <w:rPr>
          <w:rStyle w:val="Emphasis"/>
          <w:highlight w:val="cyan"/>
        </w:rPr>
        <w:t>or</w:t>
      </w:r>
      <w:r w:rsidRPr="002C7208">
        <w:rPr>
          <w:rStyle w:val="StyleUnderline"/>
          <w:highlight w:val="cyan"/>
        </w:rPr>
        <w:t>" for "</w:t>
      </w:r>
      <w:r w:rsidRPr="00554632">
        <w:rPr>
          <w:rStyle w:val="Emphasis"/>
          <w:highlight w:val="cyan"/>
        </w:rPr>
        <w:t>and</w:t>
      </w:r>
      <w:r w:rsidRPr="002C7208">
        <w:rPr>
          <w:rStyle w:val="StyleUnderline"/>
          <w:highlight w:val="cyan"/>
        </w:rPr>
        <w:t>."</w:t>
      </w:r>
      <w:r w:rsidRPr="004A660E">
        <w:rPr>
          <w:sz w:val="16"/>
        </w:rPr>
        <w:t xml:space="preserve"> While I don't foreclose the possibility of substituting the two words for each other where it is necessary to avoid a patent absurdity or correct a drafting error, see, e.g. Leff, The Leff Dictionary of Law: A Fragment, 94 Yale L.J. 1855, 2021 (1985); People v. Skinner, 39 Cal. 3d 765, 775-77, 217 Cal. Rptr. 685, 704 P.2d 752 (1985), I can't agree that the substitution is permissible in ordinary circumstances.</w:t>
      </w:r>
    </w:p>
    <w:p w14:paraId="68F97B5F" w14:textId="77777777" w:rsidR="007521E9" w:rsidRDefault="007521E9" w:rsidP="002C7208">
      <w:pPr>
        <w:rPr>
          <w:sz w:val="16"/>
        </w:rPr>
      </w:pPr>
    </w:p>
    <w:p w14:paraId="6B803D4F" w14:textId="0A07C6CB" w:rsidR="003A2227" w:rsidRDefault="003A2227" w:rsidP="003A2227">
      <w:pPr>
        <w:pStyle w:val="Heading4"/>
      </w:pPr>
      <w:r>
        <w:t xml:space="preserve">‘And’ requires </w:t>
      </w:r>
      <w:r w:rsidRPr="003A2227">
        <w:rPr>
          <w:u w:val="single"/>
        </w:rPr>
        <w:t>both</w:t>
      </w:r>
      <w:r>
        <w:t xml:space="preserve"> words to be satisfied.</w:t>
      </w:r>
    </w:p>
    <w:p w14:paraId="07768BB5" w14:textId="301FBA5E" w:rsidR="007521E9" w:rsidRDefault="007521E9" w:rsidP="007521E9">
      <w:r>
        <w:t xml:space="preserve">Matthew </w:t>
      </w:r>
      <w:r w:rsidRPr="003A2227">
        <w:rPr>
          <w:rStyle w:val="Style13ptBold"/>
        </w:rPr>
        <w:t>Byrne 23</w:t>
      </w:r>
      <w:r>
        <w:t xml:space="preserve">, Judge on the Twelfth District Court of Appeals, 2023, “State of Ohio v. Brandon William Hensley,” </w:t>
      </w:r>
      <w:r w:rsidR="003A2227" w:rsidRPr="003A2227">
        <w:t>https://www.supremecourt.ohio.gov/rod/docs/pdf/12/2023/2023-Ohio-119.pdf</w:t>
      </w:r>
    </w:p>
    <w:p w14:paraId="14AE2791" w14:textId="725376D3" w:rsidR="007521E9" w:rsidRPr="004A660E" w:rsidRDefault="007521E9" w:rsidP="002C7208">
      <w:pPr>
        <w:rPr>
          <w:sz w:val="16"/>
        </w:rPr>
      </w:pPr>
      <w:r>
        <w:t>{</w:t>
      </w:r>
      <w:r w:rsidR="001A7084" w:rsidRPr="001A7084">
        <w:rPr>
          <w:sz w:val="12"/>
        </w:rPr>
        <w:t>¶</w:t>
      </w:r>
      <w:r>
        <w:t xml:space="preserve"> 25} As stated above, </w:t>
      </w:r>
      <w:r w:rsidRPr="007521E9">
        <w:rPr>
          <w:rStyle w:val="StyleUnderline"/>
        </w:rPr>
        <w:t xml:space="preserve">Marsy's </w:t>
      </w:r>
      <w:r w:rsidRPr="0012048E">
        <w:rPr>
          <w:rStyle w:val="StyleUnderline"/>
          <w:highlight w:val="cyan"/>
        </w:rPr>
        <w:t>Law requires</w:t>
      </w:r>
      <w:r>
        <w:t xml:space="preserve"> that </w:t>
      </w:r>
      <w:r w:rsidRPr="0012048E">
        <w:rPr>
          <w:rStyle w:val="StyleUnderline"/>
          <w:highlight w:val="cyan"/>
        </w:rPr>
        <w:t>a victim be</w:t>
      </w:r>
      <w:r>
        <w:t xml:space="preserve"> both </w:t>
      </w:r>
      <w:r w:rsidRPr="007521E9">
        <w:rPr>
          <w:rStyle w:val="StyleUnderline"/>
        </w:rPr>
        <w:t>"</w:t>
      </w:r>
      <w:r w:rsidRPr="0012048E">
        <w:rPr>
          <w:rStyle w:val="StyleUnderline"/>
          <w:highlight w:val="cyan"/>
        </w:rPr>
        <w:t xml:space="preserve">directly </w:t>
      </w:r>
      <w:r w:rsidRPr="0012048E">
        <w:rPr>
          <w:rStyle w:val="Emphasis"/>
          <w:highlight w:val="cyan"/>
        </w:rPr>
        <w:t>and</w:t>
      </w:r>
      <w:r w:rsidRPr="0012048E">
        <w:rPr>
          <w:rStyle w:val="StyleUnderline"/>
          <w:highlight w:val="cyan"/>
        </w:rPr>
        <w:t xml:space="preserve"> proximately" harmed</w:t>
      </w:r>
      <w:r w:rsidRPr="007521E9">
        <w:rPr>
          <w:rStyle w:val="StyleUnderline"/>
        </w:rPr>
        <w:t xml:space="preserve"> by the</w:t>
      </w:r>
      <w:r>
        <w:t xml:space="preserve"> criminal </w:t>
      </w:r>
      <w:r w:rsidRPr="007521E9">
        <w:rPr>
          <w:rStyle w:val="StyleUnderline"/>
        </w:rPr>
        <w:t xml:space="preserve">act. The word </w:t>
      </w:r>
      <w:r w:rsidRPr="0012048E">
        <w:rPr>
          <w:rStyle w:val="StyleUnderline"/>
          <w:highlight w:val="cyan"/>
        </w:rPr>
        <w:t>"</w:t>
      </w:r>
      <w:r w:rsidRPr="0012048E">
        <w:rPr>
          <w:rStyle w:val="Emphasis"/>
          <w:highlight w:val="cyan"/>
        </w:rPr>
        <w:t>and</w:t>
      </w:r>
      <w:r w:rsidRPr="0012048E">
        <w:rPr>
          <w:rStyle w:val="StyleUnderline"/>
          <w:highlight w:val="cyan"/>
        </w:rPr>
        <w:t xml:space="preserve">" is </w:t>
      </w:r>
      <w:r w:rsidRPr="0012048E">
        <w:rPr>
          <w:rStyle w:val="Emphasis"/>
          <w:highlight w:val="cyan"/>
        </w:rPr>
        <w:t>conjunctive</w:t>
      </w:r>
      <w:r w:rsidRPr="007521E9">
        <w:rPr>
          <w:rStyle w:val="StyleUnderline"/>
        </w:rPr>
        <w:t>, while the word "</w:t>
      </w:r>
      <w:r w:rsidRPr="007521E9">
        <w:rPr>
          <w:rStyle w:val="Emphasis"/>
        </w:rPr>
        <w:t>or</w:t>
      </w:r>
      <w:r w:rsidRPr="007521E9">
        <w:rPr>
          <w:rStyle w:val="StyleUnderline"/>
        </w:rPr>
        <w:t xml:space="preserve">" is </w:t>
      </w:r>
      <w:r w:rsidRPr="007521E9">
        <w:rPr>
          <w:rStyle w:val="Emphasis"/>
        </w:rPr>
        <w:t>disjunctive</w:t>
      </w:r>
      <w:r>
        <w:t xml:space="preserve">. Scalia &amp; Garner, Reading Law: The Interpretation of Legal Texts 116–25 (2012) ("Under the conjunctive/disjunctive canon, </w:t>
      </w:r>
      <w:r w:rsidRPr="0012048E">
        <w:rPr>
          <w:rStyle w:val="Emphasis"/>
          <w:highlight w:val="cyan"/>
        </w:rPr>
        <w:t>and combines items</w:t>
      </w:r>
      <w:r w:rsidRPr="0012048E">
        <w:rPr>
          <w:rStyle w:val="StyleUnderline"/>
          <w:highlight w:val="cyan"/>
        </w:rPr>
        <w:t xml:space="preserve"> while </w:t>
      </w:r>
      <w:r w:rsidRPr="0012048E">
        <w:rPr>
          <w:rStyle w:val="Emphasis"/>
          <w:highlight w:val="cyan"/>
        </w:rPr>
        <w:t>or</w:t>
      </w:r>
      <w:r w:rsidRPr="0012048E">
        <w:rPr>
          <w:rStyle w:val="StyleUnderline"/>
          <w:highlight w:val="cyan"/>
        </w:rPr>
        <w:t xml:space="preserve"> creates </w:t>
      </w:r>
      <w:r w:rsidRPr="0012048E">
        <w:rPr>
          <w:rStyle w:val="Emphasis"/>
          <w:highlight w:val="cyan"/>
        </w:rPr>
        <w:t>alternatives</w:t>
      </w:r>
      <w:r>
        <w:t xml:space="preserve">."); Conjunctive/Disjunctive Canon, Black's Law Dictionary (11th Ed.2019) ("[I]n a legal instrument, and joins a conjunctive list to combine items, while or joins a disjunctive list to create alternatives."). In other words, </w:t>
      </w:r>
      <w:r w:rsidRPr="007521E9">
        <w:rPr>
          <w:rStyle w:val="StyleUnderline"/>
        </w:rPr>
        <w:t xml:space="preserve">when "or" is used, the </w:t>
      </w:r>
      <w:r w:rsidRPr="0012048E">
        <w:rPr>
          <w:rStyle w:val="StyleUnderline"/>
        </w:rPr>
        <w:t xml:space="preserve">words joined by "or" are </w:t>
      </w:r>
      <w:r w:rsidRPr="0012048E">
        <w:rPr>
          <w:rStyle w:val="Emphasis"/>
        </w:rPr>
        <w:t>alternatives</w:t>
      </w:r>
      <w:r>
        <w:t xml:space="preserve">. In re Estate of Centorbi, 129 Ohio St.3d 78, 2011-Ohio-2267, </w:t>
      </w:r>
      <w:r w:rsidR="001A7084" w:rsidRPr="001A7084">
        <w:rPr>
          <w:sz w:val="12"/>
        </w:rPr>
        <w:t>¶</w:t>
      </w:r>
      <w:r>
        <w:t xml:space="preserve"> 18; Scalia &amp; Garner at 116. But </w:t>
      </w:r>
      <w:r w:rsidRPr="0012048E">
        <w:rPr>
          <w:rStyle w:val="StyleUnderline"/>
          <w:highlight w:val="cyan"/>
        </w:rPr>
        <w:t xml:space="preserve">when "and" is used, </w:t>
      </w:r>
      <w:r w:rsidRPr="0012048E">
        <w:rPr>
          <w:rStyle w:val="Emphasis"/>
          <w:highlight w:val="cyan"/>
        </w:rPr>
        <w:t>both</w:t>
      </w:r>
      <w:r w:rsidRPr="007521E9">
        <w:rPr>
          <w:rStyle w:val="Emphasis"/>
        </w:rPr>
        <w:t xml:space="preserve"> of the </w:t>
      </w:r>
      <w:r w:rsidRPr="0012048E">
        <w:rPr>
          <w:rStyle w:val="Emphasis"/>
          <w:highlight w:val="cyan"/>
        </w:rPr>
        <w:t>words</w:t>
      </w:r>
      <w:r w:rsidRPr="007521E9">
        <w:rPr>
          <w:rStyle w:val="Emphasis"/>
        </w:rPr>
        <w:t xml:space="preserve"> joined by "and" </w:t>
      </w:r>
      <w:r w:rsidRPr="0012048E">
        <w:rPr>
          <w:rStyle w:val="Emphasis"/>
          <w:highlight w:val="cyan"/>
        </w:rPr>
        <w:t>must be satisfied</w:t>
      </w:r>
      <w:r>
        <w:t xml:space="preserve">. Judy v. Ohio Bur. of Motor Vehicles, 100 Ohio St.3d 122, 2003-Ohio-5277, </w:t>
      </w:r>
      <w:r w:rsidR="001A7084" w:rsidRPr="001A7084">
        <w:rPr>
          <w:sz w:val="12"/>
        </w:rPr>
        <w:t>¶</w:t>
      </w:r>
      <w:r>
        <w:t xml:space="preserve"> 14; Scalia &amp; Garner at 116. </w:t>
      </w:r>
      <w:r w:rsidRPr="007521E9">
        <w:rPr>
          <w:rStyle w:val="StyleUnderline"/>
        </w:rPr>
        <w:t>Because Marsy's Law defines a "victim" as a person who is</w:t>
      </w:r>
      <w:r>
        <w:t xml:space="preserve"> both </w:t>
      </w:r>
      <w:r w:rsidRPr="007521E9">
        <w:rPr>
          <w:rStyle w:val="StyleUnderline"/>
        </w:rPr>
        <w:t xml:space="preserve">"directly </w:t>
      </w:r>
      <w:r w:rsidRPr="007521E9">
        <w:rPr>
          <w:rStyle w:val="Emphasis"/>
        </w:rPr>
        <w:t>and</w:t>
      </w:r>
      <w:r w:rsidRPr="007521E9">
        <w:rPr>
          <w:rStyle w:val="StyleUnderline"/>
        </w:rPr>
        <w:t xml:space="preserve"> proximately" harmed</w:t>
      </w:r>
      <w:r>
        <w:t xml:space="preserve"> by the criminal act, it is not enough that there be merely a causal connection between the criminal act and the harm ultimately sustained by a third-party such as an insurer. </w:t>
      </w:r>
      <w:r w:rsidRPr="007521E9">
        <w:rPr>
          <w:rStyle w:val="StyleUnderline"/>
        </w:rPr>
        <w:t xml:space="preserve">The resulting </w:t>
      </w:r>
      <w:r w:rsidRPr="0012048E">
        <w:rPr>
          <w:rStyle w:val="StyleUnderline"/>
          <w:highlight w:val="cyan"/>
        </w:rPr>
        <w:t>harm must not only be the "</w:t>
      </w:r>
      <w:r w:rsidRPr="0012048E">
        <w:rPr>
          <w:rStyle w:val="Emphasis"/>
          <w:highlight w:val="cyan"/>
        </w:rPr>
        <w:t>proximate</w:t>
      </w:r>
      <w:r w:rsidRPr="0012048E">
        <w:rPr>
          <w:rStyle w:val="StyleUnderline"/>
          <w:highlight w:val="cyan"/>
        </w:rPr>
        <w:t>" result</w:t>
      </w:r>
      <w:r>
        <w:t xml:space="preserve"> of the criminal act </w:t>
      </w:r>
      <w:r w:rsidRPr="0012048E">
        <w:rPr>
          <w:rStyle w:val="StyleUnderline"/>
          <w:highlight w:val="cyan"/>
        </w:rPr>
        <w:t>but</w:t>
      </w:r>
      <w:r>
        <w:t xml:space="preserve"> must </w:t>
      </w:r>
      <w:r w:rsidRPr="0012048E">
        <w:rPr>
          <w:rStyle w:val="Emphasis"/>
          <w:highlight w:val="cyan"/>
        </w:rPr>
        <w:t>also</w:t>
      </w:r>
      <w:r w:rsidRPr="007521E9">
        <w:rPr>
          <w:rStyle w:val="StyleUnderline"/>
        </w:rPr>
        <w:t xml:space="preserve"> be </w:t>
      </w:r>
      <w:r w:rsidRPr="0012048E">
        <w:rPr>
          <w:rStyle w:val="StyleUnderline"/>
          <w:highlight w:val="cyan"/>
        </w:rPr>
        <w:t>the "</w:t>
      </w:r>
      <w:r w:rsidRPr="0012048E">
        <w:rPr>
          <w:rStyle w:val="Emphasis"/>
          <w:highlight w:val="cyan"/>
        </w:rPr>
        <w:t>direct</w:t>
      </w:r>
      <w:r w:rsidRPr="0012048E">
        <w:rPr>
          <w:rStyle w:val="StyleUnderline"/>
          <w:highlight w:val="cyan"/>
        </w:rPr>
        <w:t>" result</w:t>
      </w:r>
      <w:r>
        <w:t xml:space="preserve"> of the criminal act.</w:t>
      </w:r>
    </w:p>
    <w:bookmarkEnd w:id="1"/>
    <w:p w14:paraId="4C8E8F12" w14:textId="71356680" w:rsidR="00A84ECE" w:rsidRDefault="00004C80" w:rsidP="00004C80">
      <w:pPr>
        <w:pStyle w:val="Heading3"/>
      </w:pPr>
      <w:r>
        <w:t>FR---Requires Taxes---AT: ‘And’---AT: Jolly</w:t>
      </w:r>
    </w:p>
    <w:p w14:paraId="264F127C" w14:textId="39E7D085" w:rsidR="00004C80" w:rsidRPr="00004C80" w:rsidRDefault="00004C80" w:rsidP="00004C80">
      <w:pPr>
        <w:pStyle w:val="Heading4"/>
      </w:pPr>
      <w:r>
        <w:t xml:space="preserve">Jolly concedes </w:t>
      </w:r>
      <w:r w:rsidRPr="00004C80">
        <w:t>plain meaning</w:t>
      </w:r>
      <w:r>
        <w:t xml:space="preserve"> goes </w:t>
      </w:r>
      <w:r w:rsidRPr="00004C80">
        <w:rPr>
          <w:u w:val="single"/>
        </w:rPr>
        <w:t>neg</w:t>
      </w:r>
      <w:r>
        <w:t>.</w:t>
      </w:r>
    </w:p>
    <w:p w14:paraId="53B744E5" w14:textId="66906564" w:rsidR="006A7B87" w:rsidRDefault="00A84ECE" w:rsidP="006A7B87">
      <w:r>
        <w:t xml:space="preserve">Grady </w:t>
      </w:r>
      <w:r w:rsidRPr="00A84ECE">
        <w:rPr>
          <w:rStyle w:val="Style13ptBold"/>
        </w:rPr>
        <w:t>Jolly 22</w:t>
      </w:r>
      <w:r>
        <w:t>, senior Federal Judge Court of Appeals for the Fifth Circuit, 11/2/2022, “United States v. Palomares,” 52 F.4th 640</w:t>
      </w:r>
    </w:p>
    <w:p w14:paraId="43B2F926" w14:textId="54C40FFF" w:rsidR="006A7B87" w:rsidRDefault="006A7B87" w:rsidP="006A7B87">
      <w:r w:rsidRPr="00004C80">
        <w:rPr>
          <w:rStyle w:val="StyleUnderline"/>
          <w:highlight w:val="cyan"/>
        </w:rPr>
        <w:t xml:space="preserve">The </w:t>
      </w:r>
      <w:r w:rsidRPr="00004C80">
        <w:rPr>
          <w:rStyle w:val="Emphasis"/>
          <w:highlight w:val="cyan"/>
        </w:rPr>
        <w:t>ordinary</w:t>
      </w:r>
      <w:r w:rsidRPr="00004C80">
        <w:rPr>
          <w:rStyle w:val="StyleUnderline"/>
          <w:highlight w:val="cyan"/>
        </w:rPr>
        <w:t xml:space="preserve"> meaning of "</w:t>
      </w:r>
      <w:r w:rsidRPr="00004C80">
        <w:rPr>
          <w:rStyle w:val="Emphasis"/>
          <w:highlight w:val="cyan"/>
        </w:rPr>
        <w:t>and</w:t>
      </w:r>
      <w:r w:rsidRPr="00004C80">
        <w:rPr>
          <w:rStyle w:val="StyleUnderline"/>
          <w:highlight w:val="cyan"/>
        </w:rPr>
        <w:t>,"</w:t>
      </w:r>
      <w:r w:rsidRPr="006A7B87">
        <w:t xml:space="preserve"> which </w:t>
      </w:r>
      <w:r w:rsidRPr="00A84ECE">
        <w:t>§ 3553(f)(1)</w:t>
      </w:r>
      <w:r w:rsidRPr="006A7B87">
        <w:t xml:space="preserve"> uses </w:t>
      </w:r>
      <w:r w:rsidRPr="00004C80">
        <w:rPr>
          <w:rStyle w:val="StyleUnderline"/>
          <w:highlight w:val="cyan"/>
        </w:rPr>
        <w:t>to join</w:t>
      </w:r>
      <w:r w:rsidRPr="006A7B87">
        <w:t xml:space="preserve"> the three </w:t>
      </w:r>
      <w:r w:rsidRPr="00004C80">
        <w:rPr>
          <w:rStyle w:val="Emphasis"/>
          <w:highlight w:val="cyan"/>
        </w:rPr>
        <w:t>subsections</w:t>
      </w:r>
      <w:r w:rsidRPr="00004C80">
        <w:rPr>
          <w:rStyle w:val="StyleUnderline"/>
          <w:highlight w:val="cyan"/>
        </w:rPr>
        <w:t xml:space="preserve">, is </w:t>
      </w:r>
      <w:r w:rsidRPr="00004C80">
        <w:rPr>
          <w:rStyle w:val="Emphasis"/>
          <w:highlight w:val="cyan"/>
        </w:rPr>
        <w:t>conjunctive</w:t>
      </w:r>
      <w:r w:rsidRPr="006A7B87">
        <w:t>. See, e.g., Antonin Scalia &amp; Bryan A.</w:t>
      </w:r>
      <w:bookmarkStart w:id="2" w:name="PAGE_1292"/>
      <w:r w:rsidRPr="00A84ECE">
        <w:t> [**5] </w:t>
      </w:r>
      <w:bookmarkEnd w:id="2"/>
      <w:r w:rsidRPr="006A7B87">
        <w:t> Garner, Reading Law: The Interpretation of Legal Texts 116-25 (2012). "Or" is disjunctive. Conjunctive/disjunctive canon, Black's Law Dictionary (10th ed. 2014) ("[I]n a legal instrument, and joins a conjunctive list to combine items, while or joins a disjunctive list to create alternatives."). </w:t>
      </w:r>
      <w:r w:rsidRPr="00A84ECE">
        <w:rPr>
          <w:rStyle w:val="StyleUnderline"/>
        </w:rPr>
        <w:t xml:space="preserve">Palomares points to </w:t>
      </w:r>
      <w:r w:rsidRPr="00004C80">
        <w:rPr>
          <w:rStyle w:val="StyleUnderline"/>
          <w:highlight w:val="cyan"/>
        </w:rPr>
        <w:t xml:space="preserve">this </w:t>
      </w:r>
      <w:r w:rsidRPr="00004C80">
        <w:rPr>
          <w:rStyle w:val="Emphasis"/>
          <w:highlight w:val="cyan"/>
        </w:rPr>
        <w:t>straightforward linguistic rule</w:t>
      </w:r>
      <w:r w:rsidRPr="00A84ECE">
        <w:rPr>
          <w:rStyle w:val="StyleUnderline"/>
        </w:rPr>
        <w:t xml:space="preserve"> and insists that because</w:t>
      </w:r>
      <w:r w:rsidRPr="006A7B87">
        <w:rPr>
          <w:rStyle w:val="StyleUnderline"/>
        </w:rPr>
        <w:t xml:space="preserve"> Congress used the word </w:t>
      </w:r>
      <w:r w:rsidRPr="00004C80">
        <w:rPr>
          <w:rStyle w:val="StyleUnderline"/>
          <w:highlight w:val="cyan"/>
        </w:rPr>
        <w:t>"</w:t>
      </w:r>
      <w:r w:rsidRPr="00004C80">
        <w:rPr>
          <w:rStyle w:val="Emphasis"/>
          <w:highlight w:val="cyan"/>
        </w:rPr>
        <w:t>and</w:t>
      </w:r>
      <w:r w:rsidRPr="00004C80">
        <w:rPr>
          <w:rStyle w:val="StyleUnderline"/>
          <w:highlight w:val="cyan"/>
        </w:rPr>
        <w:t>,"</w:t>
      </w:r>
      <w:r w:rsidRPr="006A7B87">
        <w:rPr>
          <w:rStyle w:val="StyleUnderline"/>
        </w:rPr>
        <w:t xml:space="preserve"> the government would need to prove that her criminal history </w:t>
      </w:r>
      <w:r w:rsidRPr="00004C80">
        <w:rPr>
          <w:rStyle w:val="StyleUnderline"/>
          <w:highlight w:val="cyan"/>
        </w:rPr>
        <w:t xml:space="preserve">included </w:t>
      </w:r>
      <w:r w:rsidRPr="00004C80">
        <w:rPr>
          <w:rStyle w:val="Emphasis"/>
          <w:highlight w:val="cyan"/>
        </w:rPr>
        <w:t>all the sub-sections</w:t>
      </w:r>
      <w:r w:rsidRPr="006A7B87">
        <w:rPr>
          <w:rStyle w:val="StyleUnderline"/>
        </w:rPr>
        <w:t>, (A), (B), </w:t>
      </w:r>
      <w:r w:rsidRPr="006A7B87">
        <w:rPr>
          <w:rStyle w:val="Emphasis"/>
        </w:rPr>
        <w:t>and</w:t>
      </w:r>
      <w:r w:rsidRPr="006A7B87">
        <w:rPr>
          <w:rStyle w:val="StyleUnderline"/>
        </w:rPr>
        <w:t> (C)</w:t>
      </w:r>
      <w:r w:rsidRPr="006A7B87">
        <w:t>. Or stated differently, because her criminal history only included </w:t>
      </w:r>
      <w:r w:rsidRPr="00A84ECE">
        <w:t>(B)</w:t>
      </w:r>
      <w:r w:rsidRPr="006A7B87">
        <w:t>, she is eligible for this sentencing relief. We cannot agree.</w:t>
      </w:r>
    </w:p>
    <w:p w14:paraId="594E4EEC" w14:textId="5EFEB638" w:rsidR="006A7B87" w:rsidRDefault="00223D06" w:rsidP="00223D06">
      <w:pPr>
        <w:pStyle w:val="Heading3"/>
      </w:pPr>
      <w:r>
        <w:t>FR---Requires Taxes----AT: ‘Both’</w:t>
      </w:r>
    </w:p>
    <w:p w14:paraId="20795082" w14:textId="288615C7" w:rsidR="00223D06" w:rsidRPr="00223D06" w:rsidRDefault="00223D06" w:rsidP="00223D06">
      <w:pPr>
        <w:pStyle w:val="Heading4"/>
      </w:pPr>
      <w:r>
        <w:t xml:space="preserve">Both means </w:t>
      </w:r>
      <w:r w:rsidRPr="00223D06">
        <w:rPr>
          <w:u w:val="single"/>
        </w:rPr>
        <w:t>combined</w:t>
      </w:r>
      <w:r>
        <w:t>, not each.</w:t>
      </w:r>
    </w:p>
    <w:p w14:paraId="6C139F20" w14:textId="6C67FBCE" w:rsidR="00223D06" w:rsidRPr="00223D06" w:rsidRDefault="00223D06" w:rsidP="00223D06">
      <w:r w:rsidRPr="00223D06">
        <w:rPr>
          <w:rStyle w:val="Style13ptBold"/>
        </w:rPr>
        <w:t>Reverso No Date</w:t>
      </w:r>
      <w:r>
        <w:t xml:space="preserve"> – ReversoDictionary, </w:t>
      </w:r>
      <w:r w:rsidRPr="00223D06">
        <w:t>https://dictionary.reverso.net/english-definition/both+together#:~:text=a%20the%20two%3B%20two%20considered%20together</w:t>
      </w:r>
    </w:p>
    <w:p w14:paraId="7F3D0889" w14:textId="77777777" w:rsidR="007521E9" w:rsidRDefault="00223D06" w:rsidP="007521E9">
      <w:r w:rsidRPr="00223D06">
        <w:t>2</w:t>
      </w:r>
      <w:r>
        <w:t xml:space="preserve"> </w:t>
      </w:r>
      <w:r w:rsidRPr="00223D06">
        <w:rPr>
          <w:i/>
          <w:iCs/>
        </w:rPr>
        <w:t>coordinating</w:t>
      </w:r>
      <w:r w:rsidRPr="00223D06">
        <w:t> </w:t>
      </w:r>
      <w:r w:rsidRPr="00223D06">
        <w:rPr>
          <w:rStyle w:val="StyleUnderline"/>
          <w:highlight w:val="cyan"/>
        </w:rPr>
        <w:t>used preceding words</w:t>
      </w:r>
      <w:r w:rsidRPr="00223D06">
        <w:t xml:space="preserve">, phrases, or clauses </w:t>
      </w:r>
      <w:r w:rsidRPr="00223D06">
        <w:rPr>
          <w:rStyle w:val="StyleUnderline"/>
          <w:highlight w:val="cyan"/>
        </w:rPr>
        <w:t xml:space="preserve">joined by and, used to emphasize that </w:t>
      </w:r>
      <w:r w:rsidRPr="00223D06">
        <w:rPr>
          <w:rStyle w:val="Emphasis"/>
          <w:highlight w:val="cyan"/>
        </w:rPr>
        <w:t>not just one</w:t>
      </w:r>
      <w:r w:rsidRPr="00223D06">
        <w:rPr>
          <w:rStyle w:val="StyleUnderline"/>
          <w:highlight w:val="cyan"/>
        </w:rPr>
        <w:t>, but</w:t>
      </w:r>
      <w:r w:rsidRPr="00223D06">
        <w:rPr>
          <w:rStyle w:val="StyleUnderline"/>
        </w:rPr>
        <w:t xml:space="preserve"> also </w:t>
      </w:r>
      <w:r w:rsidRPr="00223D06">
        <w:rPr>
          <w:rStyle w:val="StyleUnderline"/>
          <w:highlight w:val="cyan"/>
        </w:rPr>
        <w:t xml:space="preserve">the other of the </w:t>
      </w:r>
      <w:r w:rsidRPr="00223D06">
        <w:rPr>
          <w:rStyle w:val="Emphasis"/>
          <w:highlight w:val="cyan"/>
        </w:rPr>
        <w:t>joined elements</w:t>
      </w:r>
      <w:r w:rsidRPr="00223D06">
        <w:rPr>
          <w:rStyle w:val="StyleUnderline"/>
          <w:highlight w:val="cyan"/>
        </w:rPr>
        <w:t xml:space="preserve"> is </w:t>
      </w:r>
      <w:r w:rsidRPr="00223D06">
        <w:rPr>
          <w:rStyle w:val="Emphasis"/>
          <w:highlight w:val="cyan"/>
        </w:rPr>
        <w:t>included</w:t>
      </w:r>
      <w:r w:rsidRPr="006132AE">
        <w:t>  </w:t>
      </w:r>
      <w:r w:rsidRPr="00223D06">
        <w:rPr>
          <w:highlight w:val="cyan"/>
        </w:rPr>
        <w:br/>
      </w:r>
      <w:r w:rsidRPr="00223D06">
        <w:t>both Ellen and Keith enjoyed the play, both new and exciting  </w:t>
      </w:r>
    </w:p>
    <w:p w14:paraId="085F85F6" w14:textId="20EB5588" w:rsidR="00223D06" w:rsidRDefault="00223D06" w:rsidP="007521E9">
      <w:r w:rsidRPr="00223D06">
        <w:t>  </w:t>
      </w:r>
    </w:p>
    <w:p w14:paraId="398F7422" w14:textId="77777777" w:rsidR="007521E9" w:rsidRPr="00CA3BF8" w:rsidRDefault="007521E9" w:rsidP="007521E9">
      <w:pPr>
        <w:pStyle w:val="Heading4"/>
      </w:pPr>
      <w:r>
        <w:t xml:space="preserve">‘Both’ means </w:t>
      </w:r>
      <w:r w:rsidRPr="007521E9">
        <w:rPr>
          <w:u w:val="single"/>
        </w:rPr>
        <w:t>both</w:t>
      </w:r>
      <w:r>
        <w:t>. Not ‘either.’</w:t>
      </w:r>
    </w:p>
    <w:p w14:paraId="4F6713A3" w14:textId="77777777" w:rsidR="007521E9" w:rsidRPr="00CA3BF8" w:rsidRDefault="007521E9" w:rsidP="007521E9">
      <w:pPr>
        <w:rPr>
          <w:b/>
          <w:bCs/>
          <w:sz w:val="26"/>
        </w:rPr>
      </w:pPr>
      <w:r>
        <w:rPr>
          <w:rStyle w:val="Style13ptBold"/>
        </w:rPr>
        <w:t>Black’s Law 68</w:t>
      </w:r>
      <w:r>
        <w:t xml:space="preserve"> – Black’s Law Dictionary, the leading legal lexicographer, 1968, “Black's Law Dictionary</w:t>
      </w:r>
      <w:r>
        <w:rPr>
          <w:b/>
          <w:bCs/>
        </w:rPr>
        <w:t xml:space="preserve">: </w:t>
      </w:r>
      <w:r>
        <w:t xml:space="preserve">Definitions of the Terms and Phrases of American and English Jurisprudence, Ancient and Modern,” </w:t>
      </w:r>
      <w:r w:rsidRPr="00CA3BF8">
        <w:t>https://www.latestlaws.com/wp-content/uploads/2015/04/Blacks-Law-Dictionery.pdf</w:t>
      </w:r>
    </w:p>
    <w:p w14:paraId="40693266" w14:textId="77777777" w:rsidR="007521E9" w:rsidRPr="002C7208" w:rsidRDefault="007521E9" w:rsidP="007521E9">
      <w:r w:rsidRPr="0012048E">
        <w:rPr>
          <w:rStyle w:val="Emphasis"/>
          <w:highlight w:val="cyan"/>
        </w:rPr>
        <w:t>BOTH</w:t>
      </w:r>
      <w:r w:rsidRPr="0012048E">
        <w:rPr>
          <w:rStyle w:val="StyleUnderline"/>
          <w:highlight w:val="cyan"/>
        </w:rPr>
        <w:t xml:space="preserve">. The </w:t>
      </w:r>
      <w:r w:rsidRPr="0012048E">
        <w:rPr>
          <w:rStyle w:val="Emphasis"/>
          <w:highlight w:val="cyan"/>
        </w:rPr>
        <w:t>one and the other</w:t>
      </w:r>
      <w:r w:rsidRPr="0012048E">
        <w:rPr>
          <w:rStyle w:val="StyleUnderline"/>
          <w:highlight w:val="cyan"/>
        </w:rPr>
        <w:t xml:space="preserve">; the two </w:t>
      </w:r>
      <w:r w:rsidRPr="0012048E">
        <w:rPr>
          <w:rStyle w:val="Emphasis"/>
          <w:highlight w:val="cyan"/>
        </w:rPr>
        <w:t>without the exception of either</w:t>
      </w:r>
      <w:r>
        <w:t xml:space="preserve">. Lower Indian Creek Drainage and Levee Dist. of Cass County v. Vallery, 343 Ill. 49, 174 N.E. 842, 843. </w:t>
      </w:r>
      <w:r w:rsidRPr="0012048E">
        <w:rPr>
          <w:rStyle w:val="Emphasis"/>
          <w:highlight w:val="cyan"/>
        </w:rPr>
        <w:t>All of two</w:t>
      </w:r>
      <w:r>
        <w:t>, United States v. Bachman, D.C.Pa., 246 F. 1009, 1011. The term likewise has a meaning which excludes more than two mentioned subject matters. In re Turner's Estate, 171 Misc. 78, 11 N.Y. S.2d 800, 802. "Either," may mean "both." Kibler v. Parker, 191 Ark. 475, 86 S.W.2d 925, 926.</w:t>
      </w:r>
    </w:p>
    <w:p w14:paraId="7EA186D7" w14:textId="29C46207" w:rsidR="00F95348" w:rsidRDefault="00BE675D" w:rsidP="0075562D">
      <w:pPr>
        <w:pStyle w:val="Heading2"/>
      </w:pPr>
      <w:r>
        <w:t>FR---</w:t>
      </w:r>
      <w:r w:rsidR="00AE58BD">
        <w:t>Taxes</w:t>
      </w:r>
      <w:r>
        <w:t>---Aff</w:t>
      </w:r>
    </w:p>
    <w:p w14:paraId="2062D81D" w14:textId="5E52652B" w:rsidR="0086647A" w:rsidRDefault="0086647A" w:rsidP="0086647A">
      <w:pPr>
        <w:pStyle w:val="Heading3"/>
      </w:pPr>
      <w:r>
        <w:t>FR---AT: Taxes---Contextual Uses---1AR</w:t>
      </w:r>
    </w:p>
    <w:p w14:paraId="18B03791" w14:textId="3B007055" w:rsidR="00664F55" w:rsidRPr="00664F55" w:rsidRDefault="0086647A" w:rsidP="00664F55">
      <w:pPr>
        <w:pStyle w:val="Heading4"/>
      </w:pPr>
      <w:r w:rsidRPr="0086647A">
        <w:rPr>
          <w:u w:val="single"/>
        </w:rPr>
        <w:t>Contextual use</w:t>
      </w:r>
      <w:r>
        <w:t xml:space="preserve"> proves transfers </w:t>
      </w:r>
      <w:r w:rsidRPr="0086647A">
        <w:rPr>
          <w:u w:val="single"/>
        </w:rPr>
        <w:t>alone</w:t>
      </w:r>
      <w:r w:rsidRPr="0086647A">
        <w:t xml:space="preserve"> </w:t>
      </w:r>
      <w:r>
        <w:t xml:space="preserve">qualify as </w:t>
      </w:r>
      <w:r w:rsidR="00664F55">
        <w:t>‘</w:t>
      </w:r>
      <w:r>
        <w:t>FR.</w:t>
      </w:r>
      <w:r w:rsidR="00664F55">
        <w:t>’</w:t>
      </w:r>
    </w:p>
    <w:p w14:paraId="58AF967B" w14:textId="71E7BAEA" w:rsidR="0086647A" w:rsidRPr="0086647A" w:rsidRDefault="0086647A" w:rsidP="0086647A">
      <w:r>
        <w:t xml:space="preserve">Edwin </w:t>
      </w:r>
      <w:r w:rsidRPr="0086647A">
        <w:rPr>
          <w:rStyle w:val="Style13ptBold"/>
        </w:rPr>
        <w:t>Goñi 11</w:t>
      </w:r>
      <w:r>
        <w:t xml:space="preserve">, Lead Economist at the Inter-American Development Bank, et al., 2011,  “Fiscal Redistribution and Income Inequality in Latin America,” </w:t>
      </w:r>
      <w:r w:rsidRPr="0086647A">
        <w:rPr>
          <w:i/>
          <w:iCs/>
        </w:rPr>
        <w:t>World Development</w:t>
      </w:r>
      <w:r w:rsidRPr="0086647A">
        <w:t xml:space="preserve">, Vol. 39, Issue 9, </w:t>
      </w:r>
      <w:r>
        <w:t xml:space="preserve">pp. 1558-1569, </w:t>
      </w:r>
      <w:r w:rsidRPr="0086647A">
        <w:t>https://doi.org/10.1016/j.worlddev.2011.04.025</w:t>
      </w:r>
    </w:p>
    <w:p w14:paraId="7DBE0397" w14:textId="57AF5AA2" w:rsidR="0086647A" w:rsidRPr="0086647A" w:rsidRDefault="0086647A" w:rsidP="0086647A">
      <w:r w:rsidRPr="0086647A">
        <w:t xml:space="preserve">Second, </w:t>
      </w:r>
      <w:r w:rsidRPr="0086647A">
        <w:rPr>
          <w:rStyle w:val="StyleUnderline"/>
          <w:highlight w:val="cyan"/>
        </w:rPr>
        <w:t xml:space="preserve">wherever there is </w:t>
      </w:r>
      <w:r w:rsidRPr="0086647A">
        <w:rPr>
          <w:rStyle w:val="Emphasis"/>
          <w:highlight w:val="cyan"/>
        </w:rPr>
        <w:t>significant fiscal redistribution</w:t>
      </w:r>
      <w:r w:rsidRPr="0086647A">
        <w:rPr>
          <w:rStyle w:val="StyleUnderline"/>
          <w:highlight w:val="cyan"/>
        </w:rPr>
        <w:t xml:space="preserve">, it is achieved through </w:t>
      </w:r>
      <w:r w:rsidRPr="0086647A">
        <w:rPr>
          <w:rStyle w:val="Emphasis"/>
          <w:highlight w:val="cyan"/>
        </w:rPr>
        <w:t>transfers</w:t>
      </w:r>
      <w:r w:rsidRPr="0086647A">
        <w:t>—especially in-kind transfers—</w:t>
      </w:r>
      <w:r w:rsidRPr="0086647A">
        <w:rPr>
          <w:rStyle w:val="Emphasis"/>
          <w:highlight w:val="cyan"/>
        </w:rPr>
        <w:t>rather</w:t>
      </w:r>
      <w:r w:rsidRPr="0086647A">
        <w:rPr>
          <w:rStyle w:val="StyleUnderline"/>
          <w:highlight w:val="cyan"/>
        </w:rPr>
        <w:t xml:space="preserve"> than taxes</w:t>
      </w:r>
      <w:r w:rsidRPr="0086647A">
        <w:t>. This result is consistent with the conclusions of </w:t>
      </w:r>
      <w:bookmarkStart w:id="3" w:name="bb0115"/>
      <w:r w:rsidRPr="0086647A">
        <w:t>Harberger (2003)</w:t>
      </w:r>
      <w:bookmarkEnd w:id="3"/>
      <w:r w:rsidRPr="0086647A">
        <w:t> and, more recently, </w:t>
      </w:r>
      <w:bookmarkStart w:id="4" w:name="bb0175"/>
      <w:r w:rsidRPr="0086647A">
        <w:t>OECD (2008)</w:t>
      </w:r>
      <w:bookmarkEnd w:id="4"/>
      <w:r w:rsidRPr="0086647A">
        <w:t>, and extends to other Latin American countries the earlier findings of </w:t>
      </w:r>
      <w:bookmarkStart w:id="5" w:name="bb0095"/>
      <w:r w:rsidRPr="0086647A">
        <w:t>Engel, Galetovic, and Raddatz (1999)</w:t>
      </w:r>
      <w:bookmarkEnd w:id="5"/>
      <w:r w:rsidRPr="0086647A">
        <w:t xml:space="preserve"> for Chile. In addition, however, the paper’s quantitative results show that </w:t>
      </w:r>
      <w:r w:rsidRPr="0086647A">
        <w:rPr>
          <w:rStyle w:val="StyleUnderline"/>
          <w:highlight w:val="cyan"/>
        </w:rPr>
        <w:t xml:space="preserve">the </w:t>
      </w:r>
      <w:r w:rsidRPr="0086647A">
        <w:rPr>
          <w:rStyle w:val="Emphasis"/>
          <w:highlight w:val="cyan"/>
        </w:rPr>
        <w:t>redistributive impact</w:t>
      </w:r>
      <w:r w:rsidRPr="0086647A">
        <w:rPr>
          <w:rStyle w:val="StyleUnderline"/>
          <w:highlight w:val="cyan"/>
        </w:rPr>
        <w:t xml:space="preserve"> of </w:t>
      </w:r>
      <w:r w:rsidRPr="0086647A">
        <w:rPr>
          <w:rStyle w:val="Emphasis"/>
          <w:highlight w:val="cyan"/>
        </w:rPr>
        <w:t>transfers</w:t>
      </w:r>
      <w:r w:rsidRPr="0086647A">
        <w:rPr>
          <w:rStyle w:val="StyleUnderline"/>
          <w:highlight w:val="cyan"/>
        </w:rPr>
        <w:t xml:space="preserve"> can be </w:t>
      </w:r>
      <w:r w:rsidRPr="0086647A">
        <w:rPr>
          <w:rStyle w:val="Emphasis"/>
          <w:highlight w:val="cyan"/>
        </w:rPr>
        <w:t>quite considerable</w:t>
      </w:r>
      <w:r w:rsidRPr="0086647A">
        <w:t>, in contrast with Harberger’s conclusion that they were at best moderately more potent than taxes in this regard. In effect, we find that transfers largely responsible for the wide disparity in income inequality between the European and Latin American countries were examined.</w:t>
      </w:r>
    </w:p>
    <w:p w14:paraId="2542B492" w14:textId="77777777" w:rsidR="00917A03" w:rsidRDefault="00917A03" w:rsidP="00A84ECE"/>
    <w:p w14:paraId="23C9AAEC" w14:textId="183AA1FA" w:rsidR="000D5EAD" w:rsidRDefault="000D5EAD" w:rsidP="000D5EAD">
      <w:pPr>
        <w:pStyle w:val="Heading4"/>
      </w:pPr>
      <w:r>
        <w:t xml:space="preserve">‘Fiscal redistribution’ can be achieved by </w:t>
      </w:r>
      <w:r w:rsidRPr="00F93035">
        <w:rPr>
          <w:u w:val="single"/>
        </w:rPr>
        <w:t>transfers</w:t>
      </w:r>
      <w:r>
        <w:t xml:space="preserve"> only.</w:t>
      </w:r>
    </w:p>
    <w:p w14:paraId="63B7A1BE" w14:textId="308136CE" w:rsidR="00F93035" w:rsidRDefault="00F93035" w:rsidP="00A84ECE">
      <w:r w:rsidRPr="00F93035">
        <w:rPr>
          <w:rStyle w:val="Style13ptBold"/>
        </w:rPr>
        <w:t>IMF 17</w:t>
      </w:r>
      <w:r>
        <w:t xml:space="preserve"> – the International Monetary Fund, 2017, “Fiscal Monitory: Tackling Inequality,” </w:t>
      </w:r>
      <w:r w:rsidRPr="00F93035">
        <w:t>https://www.imf.org/en/Publications/FM/Issues/2017/10/05/fiscal-monitor-october-2017</w:t>
      </w:r>
    </w:p>
    <w:p w14:paraId="700C0EBC" w14:textId="0718F690" w:rsidR="000D5EAD" w:rsidRDefault="000D5EAD" w:rsidP="00A84ECE">
      <w:r>
        <w:t xml:space="preserve">In advanced economies, direct </w:t>
      </w:r>
      <w:r w:rsidRPr="00F93035">
        <w:rPr>
          <w:rStyle w:val="Emphasis"/>
          <w:highlight w:val="cyan"/>
        </w:rPr>
        <w:t>taxes</w:t>
      </w:r>
      <w:r w:rsidRPr="00F93035">
        <w:rPr>
          <w:rStyle w:val="StyleUnderline"/>
          <w:highlight w:val="cyan"/>
        </w:rPr>
        <w:t xml:space="preserve"> and </w:t>
      </w:r>
      <w:r w:rsidRPr="00F93035">
        <w:rPr>
          <w:rStyle w:val="Emphasis"/>
          <w:highlight w:val="cyan"/>
        </w:rPr>
        <w:t>transfers</w:t>
      </w:r>
      <w:r w:rsidRPr="00F93035">
        <w:rPr>
          <w:rStyle w:val="StyleUnderline"/>
          <w:highlight w:val="cyan"/>
        </w:rPr>
        <w:t xml:space="preserve"> reduce </w:t>
      </w:r>
      <w:r w:rsidRPr="00F93035">
        <w:rPr>
          <w:rStyle w:val="Emphasis"/>
          <w:highlight w:val="cyan"/>
        </w:rPr>
        <w:t>income inequality</w:t>
      </w:r>
      <w:r>
        <w:t xml:space="preserve">, on average, by about one-third. In 2015, the average Gini coefficient for disposable income in these economies was 0.31 compared with 0.49 for market income. Approximately </w:t>
      </w:r>
      <w:r w:rsidRPr="00F93035">
        <w:rPr>
          <w:rStyle w:val="Emphasis"/>
          <w:highlight w:val="cyan"/>
        </w:rPr>
        <w:t>three-quarters</w:t>
      </w:r>
      <w:r w:rsidRPr="00F93035">
        <w:rPr>
          <w:rStyle w:val="StyleUnderline"/>
          <w:highlight w:val="cyan"/>
        </w:rPr>
        <w:t xml:space="preserve"> of</w:t>
      </w:r>
      <w:r>
        <w:t xml:space="preserve"> this </w:t>
      </w:r>
      <w:r w:rsidRPr="00F93035">
        <w:rPr>
          <w:rStyle w:val="Emphasis"/>
          <w:highlight w:val="cyan"/>
        </w:rPr>
        <w:t>fiscal redistribution</w:t>
      </w:r>
      <w:r w:rsidRPr="00F93035">
        <w:rPr>
          <w:rStyle w:val="StyleUnderline"/>
          <w:highlight w:val="cyan"/>
        </w:rPr>
        <w:t xml:space="preserve"> was achieved on the </w:t>
      </w:r>
      <w:r w:rsidRPr="00F93035">
        <w:rPr>
          <w:rStyle w:val="Emphasis"/>
          <w:highlight w:val="cyan"/>
        </w:rPr>
        <w:t>transfer side</w:t>
      </w:r>
      <w:r>
        <w:t xml:space="preserve"> of the budget (Figure 1.9), with public pension benefits accounting for about half of this (Wang and Caminada 2011).</w:t>
      </w:r>
    </w:p>
    <w:p w14:paraId="37E707D8" w14:textId="77777777" w:rsidR="00F93035" w:rsidRPr="0086647A" w:rsidRDefault="00F93035" w:rsidP="00A84ECE"/>
    <w:p w14:paraId="572133D6" w14:textId="12CB7E19" w:rsidR="00AE58BD" w:rsidRDefault="003C4184" w:rsidP="00AE58BD">
      <w:pPr>
        <w:pStyle w:val="Heading3"/>
      </w:pPr>
      <w:r>
        <w:t>FR---AT: Taxes---</w:t>
      </w:r>
      <w:r w:rsidR="00AE58BD">
        <w:t>AT: Paul 91/Redistribution vs. Distribution---1AR</w:t>
      </w:r>
    </w:p>
    <w:p w14:paraId="356A94AC" w14:textId="78691E57" w:rsidR="007048A8" w:rsidRPr="004C142F" w:rsidRDefault="004C142F" w:rsidP="004C142F">
      <w:pPr>
        <w:pStyle w:val="Heading4"/>
        <w:rPr>
          <w:rStyle w:val="StyleUnderline"/>
          <w:b w:val="0"/>
          <w:bCs/>
        </w:rPr>
      </w:pPr>
      <w:r>
        <w:t>D</w:t>
      </w:r>
      <w:r w:rsidRPr="005305F8">
        <w:t xml:space="preserve">eficit spending ALSO takes from the </w:t>
      </w:r>
      <w:r w:rsidRPr="00E32868">
        <w:rPr>
          <w:u w:val="single"/>
        </w:rPr>
        <w:t>general population</w:t>
      </w:r>
      <w:r w:rsidRPr="005305F8">
        <w:t xml:space="preserve"> and then gives the </w:t>
      </w:r>
      <w:r w:rsidRPr="00E32868">
        <w:rPr>
          <w:u w:val="single"/>
        </w:rPr>
        <w:t>very poores</w:t>
      </w:r>
      <w:r w:rsidR="00E32868">
        <w:rPr>
          <w:u w:val="single"/>
        </w:rPr>
        <w:t>t</w:t>
      </w:r>
      <w:r w:rsidR="00E32868">
        <w:t xml:space="preserve">, a form of </w:t>
      </w:r>
      <w:r w:rsidR="00ED51DD">
        <w:rPr>
          <w:u w:val="single"/>
        </w:rPr>
        <w:t>r</w:t>
      </w:r>
      <w:r w:rsidR="00C43937" w:rsidRPr="00C43937">
        <w:rPr>
          <w:u w:val="single"/>
        </w:rPr>
        <w:t>e</w:t>
      </w:r>
      <w:r w:rsidR="00E32868">
        <w:t>distribution</w:t>
      </w:r>
      <w:r w:rsidR="00C43937">
        <w:t xml:space="preserve">. </w:t>
      </w:r>
    </w:p>
    <w:p w14:paraId="615D36D2" w14:textId="114215F7" w:rsidR="007048A8" w:rsidRDefault="007048A8" w:rsidP="007048A8">
      <w:r w:rsidRPr="007048A8">
        <w:rPr>
          <w:rStyle w:val="Style13ptBold"/>
        </w:rPr>
        <w:t>Peterson 13</w:t>
      </w:r>
      <w:r>
        <w:t xml:space="preserve"> – Peter G. Peterson Foundation, 5/11/2023, "The Federal Government Has Borrowed Trillions, But Who Owns All that Debt?," </w:t>
      </w:r>
      <w:r w:rsidRPr="0086647A">
        <w:t>https://www.pgpf.org/blog/2023/05/the-federal-government-has-borrowed-trillions-but-who-owns-all-that-debt</w:t>
      </w:r>
      <w:r>
        <w:t>, DBHP = debt held by the public</w:t>
      </w:r>
    </w:p>
    <w:p w14:paraId="500D0A81" w14:textId="77777777" w:rsidR="007048A8" w:rsidRDefault="007048A8" w:rsidP="007048A8">
      <w:r w:rsidRPr="007048A8">
        <w:t>Economists generally view held by</w:t>
      </w:r>
      <w:r>
        <w:t xml:space="preserve"> the public </w:t>
      </w:r>
      <w:r w:rsidRPr="007048A8">
        <w:rPr>
          <w:rStyle w:val="StyleUnderline"/>
        </w:rPr>
        <w:t>(</w:t>
      </w:r>
      <w:r w:rsidRPr="007048A8">
        <w:rPr>
          <w:rStyle w:val="StyleUnderline"/>
          <w:highlight w:val="cyan"/>
        </w:rPr>
        <w:t>DHBP</w:t>
      </w:r>
      <w:r w:rsidRPr="007048A8">
        <w:rPr>
          <w:rStyle w:val="StyleUnderline"/>
        </w:rPr>
        <w:t>)</w:t>
      </w:r>
      <w:r>
        <w:t xml:space="preserve"> is as the most meaningful measure of debt, because it </w:t>
      </w:r>
      <w:r w:rsidRPr="007048A8">
        <w:rPr>
          <w:rStyle w:val="StyleUnderline"/>
          <w:highlight w:val="cyan"/>
        </w:rPr>
        <w:t>reflects the amount</w:t>
      </w:r>
      <w:r w:rsidRPr="007048A8">
        <w:rPr>
          <w:rStyle w:val="StyleUnderline"/>
        </w:rPr>
        <w:t xml:space="preserve"> that </w:t>
      </w:r>
      <w:r w:rsidRPr="007048A8">
        <w:rPr>
          <w:rStyle w:val="StyleUnderline"/>
          <w:highlight w:val="cyan"/>
        </w:rPr>
        <w:t xml:space="preserve">the </w:t>
      </w:r>
      <w:r w:rsidRPr="007048A8">
        <w:rPr>
          <w:rStyle w:val="Emphasis"/>
          <w:highlight w:val="cyan"/>
        </w:rPr>
        <w:t>Treasury</w:t>
      </w:r>
      <w:r w:rsidRPr="007048A8">
        <w:rPr>
          <w:rStyle w:val="StyleUnderline"/>
          <w:highlight w:val="cyan"/>
        </w:rPr>
        <w:t xml:space="preserve"> has borrowed from </w:t>
      </w:r>
      <w:r w:rsidRPr="007048A8">
        <w:rPr>
          <w:rStyle w:val="Emphasis"/>
          <w:highlight w:val="cyan"/>
        </w:rPr>
        <w:t>outside lenders</w:t>
      </w:r>
      <w:r w:rsidRPr="00E32868">
        <w:rPr>
          <w:rStyle w:val="StyleUnderline"/>
        </w:rPr>
        <w:t xml:space="preserve"> through </w:t>
      </w:r>
      <w:r w:rsidRPr="00E32868">
        <w:rPr>
          <w:rStyle w:val="Emphasis"/>
        </w:rPr>
        <w:t>financial markets</w:t>
      </w:r>
      <w:r w:rsidRPr="00E32868">
        <w:rPr>
          <w:rStyle w:val="StyleUnderline"/>
          <w:highlight w:val="cyan"/>
        </w:rPr>
        <w:t xml:space="preserve"> to support</w:t>
      </w:r>
      <w:r w:rsidRPr="007048A8">
        <w:rPr>
          <w:rStyle w:val="StyleUnderline"/>
          <w:highlight w:val="cyan"/>
        </w:rPr>
        <w:t xml:space="preserve"> </w:t>
      </w:r>
      <w:r w:rsidRPr="007048A8">
        <w:rPr>
          <w:rStyle w:val="Emphasis"/>
          <w:highlight w:val="cyan"/>
        </w:rPr>
        <w:t>government activities</w:t>
      </w:r>
      <w:r>
        <w:t>. At high levels, DHBP can crowd out private investments in the economy, make it more difficult to respond to economic crises, and increase volatility within the economy.</w:t>
      </w:r>
    </w:p>
    <w:p w14:paraId="6F1082DC" w14:textId="3CE80C07" w:rsidR="007048A8" w:rsidRPr="00AE58BD" w:rsidRDefault="007048A8" w:rsidP="00AE58BD"/>
    <w:p w14:paraId="7D472854" w14:textId="38AC9310" w:rsidR="00BE675D" w:rsidRDefault="003C4184" w:rsidP="00BE675D">
      <w:pPr>
        <w:pStyle w:val="Heading3"/>
      </w:pPr>
      <w:r>
        <w:t>FR---AT: Taxes---</w:t>
      </w:r>
      <w:r w:rsidR="00BE675D">
        <w:t>AT: Hicks 86</w:t>
      </w:r>
      <w:r>
        <w:t>---2AC/1AR</w:t>
      </w:r>
    </w:p>
    <w:p w14:paraId="7F6C6FC4" w14:textId="68B51E07" w:rsidR="00F95348" w:rsidRPr="00F95348" w:rsidRDefault="00F95348" w:rsidP="00F95348">
      <w:pPr>
        <w:pStyle w:val="Heading4"/>
      </w:pPr>
      <w:r>
        <w:t>Hicks defines FR as transfers too!</w:t>
      </w:r>
    </w:p>
    <w:p w14:paraId="5C20ADB4" w14:textId="021C2E74" w:rsidR="00F95348" w:rsidRPr="00F95348" w:rsidRDefault="00F95348" w:rsidP="00F95348">
      <w:r>
        <w:t xml:space="preserve">Alexander </w:t>
      </w:r>
      <w:r w:rsidRPr="00F95348">
        <w:rPr>
          <w:rStyle w:val="Style13ptBold"/>
        </w:rPr>
        <w:t>Hicks 86</w:t>
      </w:r>
      <w:r>
        <w:t>, Researcher at Northwestern University, “</w:t>
      </w:r>
      <w:r w:rsidRPr="00E84B50">
        <w:t xml:space="preserve">Class Influence </w:t>
      </w:r>
      <w:r>
        <w:t>o</w:t>
      </w:r>
      <w:r w:rsidRPr="00E84B50">
        <w:t xml:space="preserve">n Redistributive Policy: </w:t>
      </w:r>
      <w:r>
        <w:t>t</w:t>
      </w:r>
      <w:r w:rsidRPr="00E84B50">
        <w:t xml:space="preserve">he Case </w:t>
      </w:r>
      <w:r>
        <w:t>o</w:t>
      </w:r>
      <w:r w:rsidRPr="00E84B50">
        <w:t>f U.S. State Governments, 1951-1961</w:t>
      </w:r>
      <w:r>
        <w:t>,”</w:t>
      </w:r>
      <w:r w:rsidRPr="00F95348">
        <w:t xml:space="preserve"> </w:t>
      </w:r>
      <w:r w:rsidRPr="00F95348">
        <w:rPr>
          <w:i/>
          <w:iCs/>
        </w:rPr>
        <w:t>Journal of Political and Military Sociology</w:t>
      </w:r>
      <w:r>
        <w:t>, Vol. 14</w:t>
      </w:r>
    </w:p>
    <w:p w14:paraId="6E5ECF0C" w14:textId="77777777" w:rsidR="00F95348" w:rsidRPr="00F95348" w:rsidRDefault="00F95348" w:rsidP="00F95348">
      <w:r w:rsidRPr="00F95348">
        <w:t xml:space="preserve">Direct fiscal redistribution to poor households for 1961 (or DFRP61) is operationalized by means of modifications of the redistribution index used by Booms and Halldorson (1973). </w:t>
      </w:r>
      <w:r w:rsidRPr="00F95348">
        <w:rPr>
          <w:rStyle w:val="StyleUnderline"/>
          <w:highlight w:val="cyan"/>
        </w:rPr>
        <w:t xml:space="preserve">Direct </w:t>
      </w:r>
      <w:r w:rsidRPr="00F95348">
        <w:rPr>
          <w:rStyle w:val="Emphasis"/>
          <w:highlight w:val="cyan"/>
        </w:rPr>
        <w:t>fiscal redistribution</w:t>
      </w:r>
      <w:r w:rsidRPr="00F95348">
        <w:rPr>
          <w:rStyle w:val="StyleUnderline"/>
          <w:highlight w:val="cyan"/>
        </w:rPr>
        <w:t xml:space="preserve"> is defined for </w:t>
      </w:r>
      <w:r w:rsidRPr="00F95348">
        <w:rPr>
          <w:rStyle w:val="Emphasis"/>
          <w:highlight w:val="cyan"/>
        </w:rPr>
        <w:t>operational purposes</w:t>
      </w:r>
      <w:r w:rsidRPr="00F95348">
        <w:rPr>
          <w:rStyle w:val="StyleUnderline"/>
          <w:highlight w:val="cyan"/>
        </w:rPr>
        <w:t xml:space="preserve"> as the dollar value of </w:t>
      </w:r>
      <w:r w:rsidRPr="00F95348">
        <w:rPr>
          <w:rStyle w:val="Emphasis"/>
          <w:highlight w:val="cyan"/>
        </w:rPr>
        <w:t>net transfers</w:t>
      </w:r>
      <w:r w:rsidRPr="00F95348">
        <w:rPr>
          <w:rStyle w:val="StyleUnderline"/>
          <w:highlight w:val="cyan"/>
        </w:rPr>
        <w:t xml:space="preserve"> per poor household</w:t>
      </w:r>
      <w:r w:rsidRPr="00F95348">
        <w:t>. Yet more specifically and (inescapably) technically, direct fiscal redistribution equals (BN - BR)/h. Here as in previous studies by Booms and Halldorson (1973), Fry and Winters (1970) and others, BN is an estimate of net expenditure benefits from state government spending received by poor households in a state in 1961. BR is a measure of net revenue burdens from state government taxes borne by poor households in a state in 1961. Note that "net expenditure benefits" here are sums of expenditure benefits allocated to "poor households" from a mutually-inclusive and exhaustive set of state spending programs and that "net revenue burdens" are analogous sums from a corresponding set of state revenue types (Hicks, 1979). Finally, h is an estimate of the number of poor households in a state. In line with previous operationalizations of DFRP, poor households are defined as those with incomes of less than $4,000, an available threshold close to mid-1960s estimates of the 1961 "poverty line" (Hicks, 1979).2</w:t>
      </w:r>
    </w:p>
    <w:p w14:paraId="1C326479" w14:textId="77777777" w:rsidR="00F95348" w:rsidRPr="00F95348" w:rsidRDefault="00F95348" w:rsidP="00F95348"/>
    <w:p w14:paraId="56B6566D" w14:textId="3D0B15EE" w:rsidR="00BE675D" w:rsidRPr="00BE675D" w:rsidRDefault="00BE675D" w:rsidP="00BE675D">
      <w:pPr>
        <w:pStyle w:val="Heading4"/>
      </w:pPr>
      <w:r>
        <w:t xml:space="preserve">Hicks says “by means of </w:t>
      </w:r>
      <w:r w:rsidRPr="003C4184">
        <w:rPr>
          <w:u w:val="single"/>
        </w:rPr>
        <w:t>both</w:t>
      </w:r>
      <w:r>
        <w:t xml:space="preserve"> government spending and taxing.” </w:t>
      </w:r>
      <w:r w:rsidRPr="00BE675D">
        <w:rPr>
          <w:u w:val="single"/>
        </w:rPr>
        <w:t>Grammatically</w:t>
      </w:r>
      <w:r>
        <w:t xml:space="preserve">, </w:t>
      </w:r>
      <w:r w:rsidR="003C4184">
        <w:t>“both”</w:t>
      </w:r>
      <w:r>
        <w:t xml:space="preserve"> can </w:t>
      </w:r>
      <w:r w:rsidR="003C4184">
        <w:t xml:space="preserve">make the sentence </w:t>
      </w:r>
      <w:r>
        <w:t>“by means of both government spending and [</w:t>
      </w:r>
      <w:r w:rsidRPr="00BE675D">
        <w:rPr>
          <w:u w:val="single"/>
        </w:rPr>
        <w:t>also by means of</w:t>
      </w:r>
      <w:r>
        <w:t>] taxing.”</w:t>
      </w:r>
    </w:p>
    <w:p w14:paraId="023E3928" w14:textId="319A2184" w:rsidR="00BE675D" w:rsidRDefault="00BE675D" w:rsidP="00BE675D">
      <w:r w:rsidRPr="00BE675D">
        <w:rPr>
          <w:rStyle w:val="Style13ptBold"/>
        </w:rPr>
        <w:t>OUP 18</w:t>
      </w:r>
      <w:r w:rsidR="00E32868">
        <w:t xml:space="preserve"> –</w:t>
      </w:r>
      <w:r>
        <w:t xml:space="preserve"> Oxford</w:t>
      </w:r>
      <w:r w:rsidR="00E32868">
        <w:t xml:space="preserve"> </w:t>
      </w:r>
      <w:r>
        <w:t>University Press, 5/21/2018, "</w:t>
      </w:r>
      <w:r w:rsidRPr="00003C0C">
        <w:rPr>
          <w:u w:val="single"/>
        </w:rPr>
        <w:t>Both</w:t>
      </w:r>
      <w:r>
        <w:t>," https://www.encyclopedia.com/literature-and-arts/language-linguistics-and-literary-terms/english-vocabulary-d/both#both</w:t>
      </w:r>
    </w:p>
    <w:p w14:paraId="54FF9E41" w14:textId="7EEFC8E6" w:rsidR="00BE675D" w:rsidRDefault="00BE675D" w:rsidP="00BE675D">
      <w:r>
        <w:t xml:space="preserve">adv. </w:t>
      </w:r>
      <w:r w:rsidRPr="00003C0C">
        <w:rPr>
          <w:rStyle w:val="StyleUnderline"/>
          <w:highlight w:val="cyan"/>
        </w:rPr>
        <w:t xml:space="preserve">used before the first of </w:t>
      </w:r>
      <w:r w:rsidRPr="00003C0C">
        <w:rPr>
          <w:rStyle w:val="Emphasis"/>
          <w:highlight w:val="cyan"/>
        </w:rPr>
        <w:t>two alternatives</w:t>
      </w:r>
      <w:r w:rsidRPr="00003C0C">
        <w:rPr>
          <w:rStyle w:val="StyleUnderline"/>
          <w:highlight w:val="cyan"/>
        </w:rPr>
        <w:t xml:space="preserve"> to emphasize</w:t>
      </w:r>
      <w:r>
        <w:t xml:space="preserve"> that </w:t>
      </w:r>
      <w:r w:rsidRPr="00BE675D">
        <w:rPr>
          <w:rStyle w:val="StyleUnderline"/>
        </w:rPr>
        <w:t xml:space="preserve">the </w:t>
      </w:r>
      <w:r w:rsidRPr="00003C0C">
        <w:rPr>
          <w:rStyle w:val="StyleUnderline"/>
          <w:highlight w:val="cyan"/>
        </w:rPr>
        <w:t xml:space="preserve">statement being made applies to </w:t>
      </w:r>
      <w:r w:rsidRPr="00003C0C">
        <w:rPr>
          <w:rStyle w:val="Emphasis"/>
          <w:highlight w:val="cyan"/>
        </w:rPr>
        <w:t>each</w:t>
      </w:r>
      <w:r w:rsidRPr="00BE675D">
        <w:rPr>
          <w:rStyle w:val="StyleUnderline"/>
        </w:rPr>
        <w:t xml:space="preserve"> (the other alternative being introduced by “</w:t>
      </w:r>
      <w:r w:rsidRPr="00BE675D">
        <w:rPr>
          <w:rStyle w:val="Emphasis"/>
        </w:rPr>
        <w:t>and</w:t>
      </w:r>
      <w:r w:rsidRPr="00BE675D">
        <w:rPr>
          <w:rStyle w:val="StyleUnderline"/>
        </w:rPr>
        <w:t>”)</w:t>
      </w:r>
      <w:r>
        <w:t>: they all loved to play, both the boys and the girls.</w:t>
      </w:r>
    </w:p>
    <w:p w14:paraId="2901E6C8" w14:textId="77777777" w:rsidR="00E32868" w:rsidRDefault="00E32868" w:rsidP="00BE675D"/>
    <w:p w14:paraId="037F709D" w14:textId="0D2DB4C6" w:rsidR="00E32868" w:rsidRDefault="00E32868" w:rsidP="00E32868">
      <w:pPr>
        <w:pStyle w:val="Heading4"/>
      </w:pPr>
      <w:r>
        <w:t xml:space="preserve">“Both” can precede </w:t>
      </w:r>
      <w:r w:rsidRPr="00E32868">
        <w:t>two</w:t>
      </w:r>
      <w:r>
        <w:t xml:space="preserve"> </w:t>
      </w:r>
      <w:r w:rsidRPr="00E32868">
        <w:rPr>
          <w:u w:val="single"/>
        </w:rPr>
        <w:t>alternatives</w:t>
      </w:r>
      <w:r>
        <w:t>.</w:t>
      </w:r>
    </w:p>
    <w:p w14:paraId="4EAB79CE" w14:textId="62412581" w:rsidR="00E32868" w:rsidRDefault="00E32868" w:rsidP="00BE675D">
      <w:r w:rsidRPr="00E32868">
        <w:rPr>
          <w:rStyle w:val="Style13ptBold"/>
        </w:rPr>
        <w:t>Collins 20</w:t>
      </w:r>
      <w:r>
        <w:t xml:space="preserve"> –</w:t>
      </w:r>
      <w:r w:rsidRPr="00E32868">
        <w:t xml:space="preserve"> </w:t>
      </w:r>
      <w:r>
        <w:t>Collins Dictionary, 2/13/2020</w:t>
      </w:r>
      <w:r w:rsidRPr="00E32868">
        <w:t>, "Both definition in American English," https://www.collinsdictionary.com/us/dictionary/english/both</w:t>
      </w:r>
    </w:p>
    <w:p w14:paraId="679BDD76" w14:textId="77777777" w:rsidR="00E32868" w:rsidRPr="00E32868" w:rsidRDefault="00E32868" w:rsidP="00E32868">
      <w:r w:rsidRPr="00E32868">
        <w:t>2. CONJUNCTION</w:t>
      </w:r>
    </w:p>
    <w:p w14:paraId="618BF632" w14:textId="77777777" w:rsidR="00E32868" w:rsidRPr="00E32868" w:rsidRDefault="00E32868" w:rsidP="00E32868">
      <w:r w:rsidRPr="00E32868">
        <w:rPr>
          <w:rStyle w:val="StyleUnderline"/>
          <w:highlight w:val="cyan"/>
        </w:rPr>
        <w:t>You use the structure </w:t>
      </w:r>
      <w:r w:rsidRPr="00E32868">
        <w:rPr>
          <w:rStyle w:val="Emphasis"/>
          <w:highlight w:val="cyan"/>
        </w:rPr>
        <w:t>both...and</w:t>
      </w:r>
      <w:r w:rsidRPr="00E32868">
        <w:rPr>
          <w:rStyle w:val="StyleUnderline"/>
          <w:highlight w:val="cyan"/>
        </w:rPr>
        <w:t xml:space="preserve"> when you are giving two facts </w:t>
      </w:r>
      <w:r w:rsidRPr="00E32868">
        <w:rPr>
          <w:rStyle w:val="Emphasis"/>
          <w:highlight w:val="cyan"/>
        </w:rPr>
        <w:t>or alternatives</w:t>
      </w:r>
      <w:r w:rsidRPr="00E32868">
        <w:rPr>
          <w:rStyle w:val="StyleUnderline"/>
          <w:highlight w:val="cyan"/>
        </w:rPr>
        <w:t xml:space="preserve"> and emphasizing that </w:t>
      </w:r>
      <w:r w:rsidRPr="00E32868">
        <w:rPr>
          <w:rStyle w:val="Emphasis"/>
          <w:highlight w:val="cyan"/>
        </w:rPr>
        <w:t>each</w:t>
      </w:r>
      <w:r w:rsidRPr="00E32868">
        <w:rPr>
          <w:rStyle w:val="StyleUnderline"/>
          <w:highlight w:val="cyan"/>
        </w:rPr>
        <w:t xml:space="preserve"> of them is true or possible</w:t>
      </w:r>
      <w:r w:rsidRPr="00E32868">
        <w:t>.</w:t>
      </w:r>
    </w:p>
    <w:p w14:paraId="5170BF71" w14:textId="77777777" w:rsidR="00E32868" w:rsidRPr="00E32868" w:rsidRDefault="00E32868" w:rsidP="00E32868">
      <w:pPr>
        <w:rPr>
          <w:i/>
          <w:iCs/>
        </w:rPr>
      </w:pPr>
      <w:r w:rsidRPr="00E32868">
        <w:rPr>
          <w:i/>
          <w:iCs/>
        </w:rPr>
        <w:t>Now women work both before and after having their children. </w:t>
      </w:r>
    </w:p>
    <w:p w14:paraId="3B0F277F" w14:textId="77777777" w:rsidR="00E32868" w:rsidRDefault="00E32868" w:rsidP="00BE675D"/>
    <w:p w14:paraId="3B0BB27D" w14:textId="35BBFBC7" w:rsidR="00BB4ED3" w:rsidRDefault="00BB4ED3" w:rsidP="00BB4ED3">
      <w:pPr>
        <w:pStyle w:val="Heading4"/>
      </w:pPr>
      <w:r>
        <w:t>“Both” can mean “including.”</w:t>
      </w:r>
    </w:p>
    <w:p w14:paraId="0D0458E6" w14:textId="7D848889" w:rsidR="00BB4ED3" w:rsidRDefault="00BB4ED3" w:rsidP="00BB4ED3">
      <w:r w:rsidRPr="00BB4ED3">
        <w:rPr>
          <w:rStyle w:val="Style13ptBold"/>
        </w:rPr>
        <w:t>Word and Phrases 19</w:t>
      </w:r>
      <w:r>
        <w:rPr>
          <w:rStyle w:val="Style13ptBold"/>
        </w:rPr>
        <w:t>0</w:t>
      </w:r>
      <w:r w:rsidRPr="00BB4ED3">
        <w:rPr>
          <w:rStyle w:val="Style13ptBold"/>
        </w:rPr>
        <w:t>4</w:t>
      </w:r>
      <w:r>
        <w:t>, 1904, “Judicial and Statutory Definitions of Words and Phrases,” Vol. 1,  Google Books</w:t>
      </w:r>
    </w:p>
    <w:p w14:paraId="4C5FC688" w14:textId="6657CE44" w:rsidR="00BB4ED3" w:rsidRDefault="00BB4ED3" w:rsidP="00BB4ED3">
      <w:r>
        <w:t>As including</w:t>
      </w:r>
    </w:p>
    <w:p w14:paraId="674EB044" w14:textId="6E103801" w:rsidR="00BB4ED3" w:rsidRDefault="00BB4ED3" w:rsidP="00BB4ED3">
      <w:r>
        <w:t xml:space="preserve">Where the testator made a full disposition of his property, directing that the interest of his real and personal estate be applied by his wife for the benefit of herself and children, and, on her second marriage or death, deprive her of all power and benefit under the will, and added a subsequent clause directing that his executors shall order all his property, </w:t>
      </w:r>
      <w:r w:rsidRPr="00BB4ED3">
        <w:rPr>
          <w:rStyle w:val="StyleUnderline"/>
          <w:highlight w:val="cyan"/>
        </w:rPr>
        <w:t>“</w:t>
      </w:r>
      <w:r w:rsidRPr="00BB4ED3">
        <w:rPr>
          <w:rStyle w:val="Emphasis"/>
          <w:highlight w:val="cyan"/>
        </w:rPr>
        <w:t>both</w:t>
      </w:r>
      <w:r w:rsidRPr="00BB4ED3">
        <w:rPr>
          <w:rStyle w:val="StyleUnderline"/>
          <w:highlight w:val="cyan"/>
        </w:rPr>
        <w:t>” should be construed as</w:t>
      </w:r>
      <w:r w:rsidRPr="00BB4ED3">
        <w:rPr>
          <w:rStyle w:val="StyleUnderline"/>
        </w:rPr>
        <w:t xml:space="preserve"> if the testator had said “</w:t>
      </w:r>
      <w:r w:rsidRPr="00BB4ED3">
        <w:rPr>
          <w:rStyle w:val="Emphasis"/>
          <w:highlight w:val="cyan"/>
        </w:rPr>
        <w:t>including</w:t>
      </w:r>
      <w:r w:rsidRPr="00BB4ED3">
        <w:rPr>
          <w:rStyle w:val="StyleUnderline"/>
        </w:rPr>
        <w:t>,”</w:t>
      </w:r>
      <w:r>
        <w:t xml:space="preserve"> Lachlan v. Reynolds, 9 Hare, 796, 799.</w:t>
      </w:r>
    </w:p>
    <w:p w14:paraId="0D738015" w14:textId="77777777" w:rsidR="00BB4ED3" w:rsidRDefault="00BB4ED3" w:rsidP="00BB4ED3"/>
    <w:p w14:paraId="3C4FF9B2" w14:textId="58CFD8AF" w:rsidR="00C43937" w:rsidRDefault="00C43937" w:rsidP="00C43937">
      <w:pPr>
        <w:pStyle w:val="Heading4"/>
      </w:pPr>
      <w:r>
        <w:t>“Both” can mean “either.”</w:t>
      </w:r>
    </w:p>
    <w:p w14:paraId="7388D4A4" w14:textId="5968E48B" w:rsidR="00C43937" w:rsidRDefault="00C43937" w:rsidP="00C43937">
      <w:r w:rsidRPr="00C43937">
        <w:rPr>
          <w:rStyle w:val="Style13ptBold"/>
        </w:rPr>
        <w:t>Macmillan 15</w:t>
      </w:r>
      <w:r>
        <w:t xml:space="preserve"> – Macmillan Dictionary, 9/11/2015, "BOTH...AND... (phrase) American English definition and synonyms," https://www.macmillandictionary.com/us/dictionary/american/both-and</w:t>
      </w:r>
    </w:p>
    <w:p w14:paraId="70A73BA5" w14:textId="159F6720" w:rsidR="00C43937" w:rsidRDefault="00C43937" w:rsidP="00C43937">
      <w:r>
        <w:t xml:space="preserve">1 </w:t>
      </w:r>
      <w:r w:rsidRPr="00C43937">
        <w:rPr>
          <w:rStyle w:val="StyleUnderline"/>
          <w:highlight w:val="cyan"/>
        </w:rPr>
        <w:t xml:space="preserve">used for emphasizing that </w:t>
      </w:r>
      <w:r w:rsidRPr="00C43937">
        <w:rPr>
          <w:rStyle w:val="Emphasis"/>
          <w:highlight w:val="cyan"/>
        </w:rPr>
        <w:t>each of two things is true</w:t>
      </w:r>
    </w:p>
    <w:p w14:paraId="5AA81B95" w14:textId="77777777" w:rsidR="00C43937" w:rsidRPr="00C43937" w:rsidRDefault="00C43937" w:rsidP="00C43937">
      <w:pPr>
        <w:rPr>
          <w:rStyle w:val="StyleUnderline"/>
        </w:rPr>
      </w:pPr>
      <w:r w:rsidRPr="00C43937">
        <w:rPr>
          <w:rStyle w:val="StyleUnderline"/>
        </w:rPr>
        <w:t>a plant that grows in both Chile and Argentina</w:t>
      </w:r>
    </w:p>
    <w:p w14:paraId="7E36F9AB" w14:textId="77777777" w:rsidR="00C43937" w:rsidRDefault="00C43937" w:rsidP="00C43937">
      <w:r w:rsidRPr="00C43937">
        <w:rPr>
          <w:rStyle w:val="StyleUnderline"/>
        </w:rPr>
        <w:t>The results of the research are both impressive and alarming</w:t>
      </w:r>
      <w:r>
        <w:t>.</w:t>
      </w:r>
    </w:p>
    <w:p w14:paraId="50952EAB" w14:textId="1E150D75" w:rsidR="00C43937" w:rsidRDefault="00C43937" w:rsidP="00C43937">
      <w:r w:rsidRPr="00C43937">
        <w:rPr>
          <w:rStyle w:val="StyleUnderline"/>
        </w:rPr>
        <w:t>Both she and her sister now live in New Orleans</w:t>
      </w:r>
      <w:r>
        <w:t>.</w:t>
      </w:r>
    </w:p>
    <w:p w14:paraId="7D0EBE25" w14:textId="4D14023C" w:rsidR="00C43937" w:rsidRDefault="003066E5" w:rsidP="003066E5">
      <w:pPr>
        <w:pStyle w:val="Heading3"/>
      </w:pPr>
      <w:r>
        <w:t>FR---AT: Taxes---AT: JCT</w:t>
      </w:r>
      <w:r w:rsidR="000C3617">
        <w:t xml:space="preserve"> 91</w:t>
      </w:r>
    </w:p>
    <w:p w14:paraId="110BBD7A" w14:textId="13500C6C" w:rsidR="003066E5" w:rsidRPr="003066E5" w:rsidRDefault="003066E5" w:rsidP="003066E5">
      <w:pPr>
        <w:pStyle w:val="Heading4"/>
      </w:pPr>
      <w:r>
        <w:t xml:space="preserve">Their ev proves ‘FR’ is </w:t>
      </w:r>
      <w:r w:rsidRPr="003066E5">
        <w:rPr>
          <w:u w:val="single"/>
        </w:rPr>
        <w:t>disaggregate</w:t>
      </w:r>
      <w:r>
        <w:rPr>
          <w:u w:val="single"/>
        </w:rPr>
        <w:t>d</w:t>
      </w:r>
      <w:r>
        <w:t xml:space="preserve"> into taxes and transfers by the lit.</w:t>
      </w:r>
    </w:p>
    <w:p w14:paraId="2C177E66" w14:textId="77777777" w:rsidR="003066E5" w:rsidRPr="00631854" w:rsidRDefault="003066E5" w:rsidP="003066E5">
      <w:r w:rsidRPr="003066E5">
        <w:rPr>
          <w:rStyle w:val="Style13ptBold"/>
          <w:highlight w:val="yellow"/>
        </w:rPr>
        <w:t>JCT 91</w:t>
      </w:r>
      <w:r>
        <w:t xml:space="preserve"> – the Joint Committee on Taxation, 12/12/1991, “Tax Policy and the Macroeconomy: Stabilization, Growth, and Income Distribution,” </w:t>
      </w:r>
      <w:r w:rsidRPr="00A602F2">
        <w:t>https://www.jct.gov/CMSPages/GetFile.aspx?guid=1660ca49-d1d1-4b33-aa22-531489416ce3</w:t>
      </w:r>
    </w:p>
    <w:p w14:paraId="1C58DBB5" w14:textId="77777777" w:rsidR="003066E5" w:rsidRDefault="003066E5" w:rsidP="003066E5">
      <w:r>
        <w:t>VI. EFFECTS OF FISCAL POLICY ON INCOME DISTRIBUTION</w:t>
      </w:r>
    </w:p>
    <w:p w14:paraId="17F181A1" w14:textId="77777777" w:rsidR="003066E5" w:rsidRDefault="003066E5" w:rsidP="003066E5">
      <w:r>
        <w:t>In general</w:t>
      </w:r>
    </w:p>
    <w:p w14:paraId="2706ACEB" w14:textId="77777777" w:rsidR="003066E5" w:rsidRDefault="003066E5" w:rsidP="003066E5">
      <w:r w:rsidRPr="00A602F2">
        <w:rPr>
          <w:rStyle w:val="Emphasis"/>
          <w:highlight w:val="cyan"/>
        </w:rPr>
        <w:t>Federal fiscal policy</w:t>
      </w:r>
      <w:r w:rsidRPr="00A602F2">
        <w:rPr>
          <w:rStyle w:val="StyleUnderline"/>
          <w:highlight w:val="cyan"/>
        </w:rPr>
        <w:t xml:space="preserve"> affects income distribution</w:t>
      </w:r>
      <w:r w:rsidRPr="00631854">
        <w:rPr>
          <w:rStyle w:val="StyleUnderline"/>
        </w:rPr>
        <w:t xml:space="preserve"> in the United </w:t>
      </w:r>
      <w:r w:rsidRPr="003066E5">
        <w:rPr>
          <w:rStyle w:val="StyleUnderline"/>
        </w:rPr>
        <w:t xml:space="preserve">States in several different ways. </w:t>
      </w:r>
      <w:r w:rsidRPr="00A602F2">
        <w:rPr>
          <w:rStyle w:val="Emphasis"/>
          <w:highlight w:val="cyan"/>
        </w:rPr>
        <w:t>Redistribution</w:t>
      </w:r>
      <w:r w:rsidRPr="00A602F2">
        <w:rPr>
          <w:rStyle w:val="StyleUnderline"/>
          <w:highlight w:val="cyan"/>
        </w:rPr>
        <w:t xml:space="preserve"> occurs</w:t>
      </w:r>
      <w:r>
        <w:t xml:space="preserve"> directly </w:t>
      </w:r>
      <w:r w:rsidRPr="00A602F2">
        <w:rPr>
          <w:rStyle w:val="StyleUnderline"/>
          <w:highlight w:val="cyan"/>
        </w:rPr>
        <w:t xml:space="preserve">by </w:t>
      </w:r>
      <w:r w:rsidRPr="00A602F2">
        <w:rPr>
          <w:rStyle w:val="Emphasis"/>
          <w:highlight w:val="cyan"/>
        </w:rPr>
        <w:t>transferring revenues</w:t>
      </w:r>
      <w:r w:rsidRPr="00A602F2">
        <w:rPr>
          <w:rStyle w:val="StyleUnderline"/>
          <w:highlight w:val="cyan"/>
        </w:rPr>
        <w:t xml:space="preserve"> raised through a </w:t>
      </w:r>
      <w:r w:rsidRPr="00A602F2">
        <w:rPr>
          <w:rStyle w:val="Emphasis"/>
          <w:highlight w:val="cyan"/>
        </w:rPr>
        <w:t>Federal tax</w:t>
      </w:r>
      <w:r>
        <w:t xml:space="preserve"> (e.g., the Federal individual income tax) </w:t>
      </w:r>
      <w:r w:rsidRPr="00A602F2">
        <w:rPr>
          <w:rStyle w:val="StyleUnderline"/>
          <w:highlight w:val="cyan"/>
        </w:rPr>
        <w:t xml:space="preserve">to </w:t>
      </w:r>
      <w:r w:rsidRPr="00A602F2">
        <w:rPr>
          <w:rStyle w:val="Emphasis"/>
          <w:highlight w:val="cyan"/>
        </w:rPr>
        <w:t>others</w:t>
      </w:r>
      <w:r w:rsidRPr="00A602F2">
        <w:rPr>
          <w:rStyle w:val="StyleUnderline"/>
          <w:highlight w:val="cyan"/>
        </w:rPr>
        <w:t xml:space="preserve"> via </w:t>
      </w:r>
      <w:r w:rsidRPr="00A602F2">
        <w:rPr>
          <w:rStyle w:val="Emphasis"/>
          <w:highlight w:val="cyan"/>
        </w:rPr>
        <w:t>direct spending programs</w:t>
      </w:r>
      <w:r>
        <w:t xml:space="preserve"> (e.g., to lower-income households through the Food Stamp program). </w:t>
      </w:r>
      <w:r w:rsidRPr="00631854">
        <w:rPr>
          <w:rStyle w:val="StyleUnderline"/>
        </w:rPr>
        <w:t>This</w:t>
      </w:r>
      <w:r>
        <w:t xml:space="preserve"> type of transfer directly </w:t>
      </w:r>
      <w:r w:rsidRPr="00631854">
        <w:rPr>
          <w:rStyle w:val="StyleUnderline"/>
        </w:rPr>
        <w:t>affects the</w:t>
      </w:r>
      <w:r>
        <w:t xml:space="preserve"> ultimate </w:t>
      </w:r>
      <w:r w:rsidRPr="00631854">
        <w:rPr>
          <w:rStyle w:val="StyleUnderline"/>
        </w:rPr>
        <w:t>distribution of income</w:t>
      </w:r>
      <w:r>
        <w:t xml:space="preserve"> in the economy. </w:t>
      </w:r>
      <w:r w:rsidRPr="00631854">
        <w:rPr>
          <w:rStyle w:val="StyleUnderline"/>
        </w:rPr>
        <w:t>The Federal tax and transfer system</w:t>
      </w:r>
      <w:r>
        <w:t xml:space="preserve"> also </w:t>
      </w:r>
      <w:r w:rsidRPr="00631854">
        <w:rPr>
          <w:rStyle w:val="Emphasis"/>
        </w:rPr>
        <w:t>redistributes income</w:t>
      </w:r>
      <w:r w:rsidRPr="00631854">
        <w:rPr>
          <w:rStyle w:val="StyleUnderline"/>
        </w:rPr>
        <w:t xml:space="preserve"> indirectly by taxing or subsidizing various activities</w:t>
      </w:r>
      <w:r>
        <w:t xml:space="preserve"> (e.g., by taxing wage income or by providing tax credits to investors in certain rental housing properties for lower-income households). By taxing income, the Federal tax system tends to discourage some income-producing activities. To the extent individuals have discretion in choosing the amount of labor provided or the amounts and type of saving undertaken, levying taxes on these activities may reduce the amount undertaken. Changes in the amounts of these activities will affect the observed distribution of income in the economy.</w:t>
      </w:r>
    </w:p>
    <w:p w14:paraId="76FE45BB" w14:textId="5CE59385" w:rsidR="003066E5" w:rsidRDefault="003066E5" w:rsidP="003066E5">
      <w:r>
        <w:t>[Their card ends]</w:t>
      </w:r>
    </w:p>
    <w:p w14:paraId="46248C63" w14:textId="77777777" w:rsidR="003066E5" w:rsidRDefault="003066E5" w:rsidP="003066E5">
      <w:r w:rsidRPr="00A602F2">
        <w:rPr>
          <w:rStyle w:val="Emphasis"/>
          <w:highlight w:val="yellow"/>
        </w:rPr>
        <w:t>Little economic research</w:t>
      </w:r>
      <w:r w:rsidRPr="00A602F2">
        <w:rPr>
          <w:rStyle w:val="StyleUnderline"/>
          <w:highlight w:val="yellow"/>
        </w:rPr>
        <w:t xml:space="preserve"> has been done on the </w:t>
      </w:r>
      <w:r w:rsidRPr="00A602F2">
        <w:rPr>
          <w:rStyle w:val="Emphasis"/>
          <w:highlight w:val="yellow"/>
        </w:rPr>
        <w:t>redistributional effects</w:t>
      </w:r>
      <w:r>
        <w:t xml:space="preserve"> (both direct and indirect) </w:t>
      </w:r>
      <w:r w:rsidRPr="00A602F2">
        <w:rPr>
          <w:rStyle w:val="StyleUnderline"/>
          <w:highlight w:val="yellow"/>
        </w:rPr>
        <w:t xml:space="preserve">of the </w:t>
      </w:r>
      <w:r w:rsidRPr="00A602F2">
        <w:rPr>
          <w:rStyle w:val="Emphasis"/>
          <w:highlight w:val="yellow"/>
        </w:rPr>
        <w:t>entire</w:t>
      </w:r>
      <w:r w:rsidRPr="00A602F2">
        <w:rPr>
          <w:rStyle w:val="StyleUnderline"/>
          <w:highlight w:val="yellow"/>
        </w:rPr>
        <w:t xml:space="preserve"> Federal tax and transfer system. Instead, the </w:t>
      </w:r>
      <w:r w:rsidRPr="00A602F2">
        <w:rPr>
          <w:rStyle w:val="Emphasis"/>
          <w:highlight w:val="yellow"/>
        </w:rPr>
        <w:t>individual effects</w:t>
      </w:r>
      <w:r w:rsidRPr="00A602F2">
        <w:rPr>
          <w:rStyle w:val="StyleUnderline"/>
          <w:highlight w:val="yellow"/>
        </w:rPr>
        <w:t xml:space="preserve"> of the </w:t>
      </w:r>
      <w:r w:rsidRPr="00A602F2">
        <w:rPr>
          <w:rStyle w:val="Emphasis"/>
          <w:highlight w:val="yellow"/>
        </w:rPr>
        <w:t>separate systems</w:t>
      </w:r>
      <w:r w:rsidRPr="00A602F2">
        <w:rPr>
          <w:rStyle w:val="StyleUnderline"/>
          <w:highlight w:val="yellow"/>
        </w:rPr>
        <w:t xml:space="preserve"> have been studied</w:t>
      </w:r>
      <w:r>
        <w:t xml:space="preserve">, more or less </w:t>
      </w:r>
      <w:r w:rsidRPr="00A602F2">
        <w:rPr>
          <w:rStyle w:val="StyleUnderline"/>
          <w:highlight w:val="yellow"/>
        </w:rPr>
        <w:t xml:space="preserve">in </w:t>
      </w:r>
      <w:r w:rsidRPr="00A602F2">
        <w:rPr>
          <w:rStyle w:val="Emphasis"/>
          <w:highlight w:val="yellow"/>
        </w:rPr>
        <w:t>isolation</w:t>
      </w:r>
      <w:r>
        <w:t>. In presenting the results of this analysis, a similar strategy is followed here. First, an overview of the trends in pre-tax income distribution is presented. This overview points out that income growth in the United States has slowed considerably since the mid-1970s, in contrast to the rate of growth in the previous 25 years. Moreover, the degree of pre-tax income inequality has also increased, especially over the past 10 to 15 years. Second, the role of the Federal tax system in redistributing income is considered. On the whole, the Federal tax system is generally considered to be progressive, in that the burden (measured by average tax rates -- total taxes paid divided by total income) imposed on higher-income individuals tends to be larger than that imposed on lower-income individuals. However, the degree of progressivity appears to have declined over time. Finally, these components are brought together, and information on the post-tax income distribution is presented. The evidence indicates that the Federal tax system acts to somewhat reduce the degree of pre-tax income inequality. However, the impact of the Federal tax system is not large enough to offset completely the growing pre-tax income inequality in the United States.</w:t>
      </w:r>
    </w:p>
    <w:p w14:paraId="49F3E14F" w14:textId="77777777" w:rsidR="003066E5" w:rsidRPr="003066E5" w:rsidRDefault="003066E5" w:rsidP="003066E5"/>
    <w:p w14:paraId="243A59FE" w14:textId="69ABC0C2" w:rsidR="00A84ECE" w:rsidRDefault="00A84ECE" w:rsidP="00A84ECE">
      <w:pPr>
        <w:pStyle w:val="Heading3"/>
      </w:pPr>
      <w:r>
        <w:t>FR---AT: Taxes---‘And’</w:t>
      </w:r>
    </w:p>
    <w:p w14:paraId="30ED8854" w14:textId="23F7BC6D" w:rsidR="00A84ECE" w:rsidRPr="00A84ECE" w:rsidRDefault="00A84ECE" w:rsidP="00A84ECE">
      <w:pPr>
        <w:pStyle w:val="Heading4"/>
      </w:pPr>
      <w:r>
        <w:t xml:space="preserve">‘And’ can be distributive </w:t>
      </w:r>
      <w:r w:rsidRPr="00A84ECE">
        <w:rPr>
          <w:u w:val="single"/>
        </w:rPr>
        <w:t>or</w:t>
      </w:r>
      <w:r>
        <w:t xml:space="preserve"> joint, depending on </w:t>
      </w:r>
      <w:r w:rsidRPr="00A84ECE">
        <w:rPr>
          <w:u w:val="single"/>
        </w:rPr>
        <w:t>context</w:t>
      </w:r>
      <w:r>
        <w:t>.</w:t>
      </w:r>
    </w:p>
    <w:p w14:paraId="749F5E54" w14:textId="4BB5DEF0" w:rsidR="00A84ECE" w:rsidRDefault="00A84ECE" w:rsidP="00A84ECE">
      <w:r>
        <w:t xml:space="preserve">Grady </w:t>
      </w:r>
      <w:r w:rsidRPr="00A84ECE">
        <w:rPr>
          <w:rStyle w:val="Style13ptBold"/>
        </w:rPr>
        <w:t>Jolly 22</w:t>
      </w:r>
      <w:r>
        <w:t xml:space="preserve">, senior Federal Judge </w:t>
      </w:r>
      <w:r w:rsidR="007521E9">
        <w:t xml:space="preserve">of the </w:t>
      </w:r>
      <w:r>
        <w:t>Court of Appeals for the Fifth Circuit, 11/2/2022, “United States v. Palomares,” 52 F.4th 640</w:t>
      </w:r>
    </w:p>
    <w:p w14:paraId="20F2C556" w14:textId="77777777" w:rsidR="00A84ECE" w:rsidRPr="006A7B87" w:rsidRDefault="00A84ECE" w:rsidP="00A84ECE">
      <w:r w:rsidRPr="006A7B87">
        <w:t>"</w:t>
      </w:r>
      <w:r w:rsidRPr="00A84ECE">
        <w:rPr>
          <w:rStyle w:val="Emphasis"/>
          <w:highlight w:val="cyan"/>
        </w:rPr>
        <w:t>Authorities agree</w:t>
      </w:r>
      <w:r w:rsidRPr="006A7B87">
        <w:t xml:space="preserve"> that when </w:t>
      </w:r>
      <w:r w:rsidRPr="006A7B87">
        <w:rPr>
          <w:rStyle w:val="StyleUnderline"/>
        </w:rPr>
        <w:t xml:space="preserve">used as a </w:t>
      </w:r>
      <w:r w:rsidRPr="006A7B87">
        <w:rPr>
          <w:rStyle w:val="Emphasis"/>
        </w:rPr>
        <w:t>conjunctive</w:t>
      </w:r>
      <w:r w:rsidRPr="006A7B87">
        <w:rPr>
          <w:rStyle w:val="StyleUnderline"/>
        </w:rPr>
        <w:t xml:space="preserve">, the word </w:t>
      </w:r>
      <w:r w:rsidRPr="00A84ECE">
        <w:rPr>
          <w:rStyle w:val="StyleUnderline"/>
          <w:highlight w:val="cyan"/>
        </w:rPr>
        <w:t>"</w:t>
      </w:r>
      <w:r w:rsidRPr="00A84ECE">
        <w:rPr>
          <w:rStyle w:val="Emphasis"/>
          <w:highlight w:val="cyan"/>
        </w:rPr>
        <w:t>and</w:t>
      </w:r>
      <w:r w:rsidRPr="00A84ECE">
        <w:rPr>
          <w:rStyle w:val="StyleUnderline"/>
          <w:highlight w:val="cyan"/>
        </w:rPr>
        <w:t xml:space="preserve">" has "a </w:t>
      </w:r>
      <w:r w:rsidRPr="00A84ECE">
        <w:rPr>
          <w:rStyle w:val="Emphasis"/>
          <w:highlight w:val="cyan"/>
        </w:rPr>
        <w:t>distributive</w:t>
      </w:r>
      <w:r w:rsidRPr="00A84ECE">
        <w:rPr>
          <w:rStyle w:val="StyleUnderline"/>
        </w:rPr>
        <w:t xml:space="preserve"> (or</w:t>
      </w:r>
      <w:r w:rsidRPr="006A7B87">
        <w:rPr>
          <w:rStyle w:val="StyleUnderline"/>
        </w:rPr>
        <w:t xml:space="preserve"> several) </w:t>
      </w:r>
      <w:r w:rsidRPr="00A84ECE">
        <w:rPr>
          <w:rStyle w:val="StyleUnderline"/>
          <w:highlight w:val="cyan"/>
        </w:rPr>
        <w:t xml:space="preserve">sense as well as a </w:t>
      </w:r>
      <w:r w:rsidRPr="00A84ECE">
        <w:rPr>
          <w:rStyle w:val="Emphasis"/>
          <w:highlight w:val="cyan"/>
        </w:rPr>
        <w:t>joint</w:t>
      </w:r>
      <w:r w:rsidRPr="00A84ECE">
        <w:rPr>
          <w:rStyle w:val="StyleUnderline"/>
          <w:highlight w:val="cyan"/>
        </w:rPr>
        <w:t xml:space="preserve"> sense</w:t>
      </w:r>
      <w:r w:rsidRPr="006A7B87">
        <w:t xml:space="preserve">." Bryan A. Garner, Garner's Dictionary of Legal Usage 639 (3d ed. 2011). That is, </w:t>
      </w:r>
      <w:r w:rsidRPr="00A84ECE">
        <w:rPr>
          <w:rStyle w:val="StyleUnderline"/>
          <w:highlight w:val="cyan"/>
        </w:rPr>
        <w:t xml:space="preserve">the phrase "A and B" could mean "A and B, jointly </w:t>
      </w:r>
      <w:r w:rsidRPr="00A84ECE">
        <w:rPr>
          <w:rStyle w:val="Emphasis"/>
          <w:highlight w:val="cyan"/>
        </w:rPr>
        <w:t>or severally</w:t>
      </w:r>
      <w:r w:rsidRPr="006A7B87">
        <w:rPr>
          <w:rStyle w:val="StyleUnderline"/>
        </w:rPr>
        <w:t>."</w:t>
      </w:r>
      <w:r w:rsidRPr="006A7B87">
        <w:t> Id.</w:t>
      </w:r>
    </w:p>
    <w:p w14:paraId="1C8941CC" w14:textId="09CB641B" w:rsidR="00A84ECE" w:rsidRPr="006A7B87" w:rsidRDefault="00A84ECE" w:rsidP="00A84ECE">
      <w:pPr>
        <w:ind w:left="720"/>
      </w:pPr>
      <w:r w:rsidRPr="006A7B87">
        <w:t>As applied to </w:t>
      </w:r>
      <w:r w:rsidRPr="00A84ECE">
        <w:t>§ 3553(f)(1)</w:t>
      </w:r>
      <w:r w:rsidRPr="006A7B87">
        <w:t xml:space="preserve">, </w:t>
      </w:r>
      <w:r w:rsidRPr="00A84ECE">
        <w:rPr>
          <w:rStyle w:val="StyleUnderline"/>
          <w:highlight w:val="cyan"/>
        </w:rPr>
        <w:t>a "joint" sense</w:t>
      </w:r>
      <w:r w:rsidRPr="006A7B87">
        <w:rPr>
          <w:rStyle w:val="StyleUnderline"/>
        </w:rPr>
        <w:t xml:space="preserve"> of "and" </w:t>
      </w:r>
      <w:r w:rsidRPr="00A84ECE">
        <w:rPr>
          <w:rStyle w:val="StyleUnderline"/>
          <w:highlight w:val="cyan"/>
        </w:rPr>
        <w:t>would mean</w:t>
      </w:r>
      <w:r w:rsidRPr="006A7B87">
        <w:t xml:space="preserve"> that </w:t>
      </w:r>
      <w:r w:rsidRPr="006A7B87">
        <w:rPr>
          <w:rStyle w:val="StyleUnderline"/>
        </w:rPr>
        <w:t xml:space="preserve">a </w:t>
      </w:r>
      <w:r w:rsidRPr="00A84ECE">
        <w:rPr>
          <w:rStyle w:val="StyleUnderline"/>
          <w:highlight w:val="cyan"/>
        </w:rPr>
        <w:t>defendant is eligible</w:t>
      </w:r>
      <w:r w:rsidRPr="006A7B87">
        <w:t xml:space="preserve"> for relief </w:t>
      </w:r>
      <w:r w:rsidRPr="00A84ECE">
        <w:rPr>
          <w:rStyle w:val="StyleUnderline"/>
          <w:highlight w:val="cyan"/>
        </w:rPr>
        <w:t>unless</w:t>
      </w:r>
      <w:r w:rsidRPr="006A7B87">
        <w:rPr>
          <w:rStyle w:val="StyleUnderline"/>
        </w:rPr>
        <w:t xml:space="preserve"> the </w:t>
      </w:r>
      <w:r w:rsidRPr="00A84ECE">
        <w:rPr>
          <w:rStyle w:val="StyleUnderline"/>
          <w:highlight w:val="cyan"/>
        </w:rPr>
        <w:t>court finds</w:t>
      </w:r>
      <w:r w:rsidRPr="006A7B87">
        <w:t xml:space="preserve"> that </w:t>
      </w:r>
      <w:r w:rsidRPr="00A84ECE">
        <w:rPr>
          <w:rStyle w:val="StyleUnderline"/>
          <w:highlight w:val="cyan"/>
        </w:rPr>
        <w:t>he does not</w:t>
      </w:r>
      <w:r w:rsidRPr="006A7B87">
        <w:rPr>
          <w:rStyle w:val="StyleUnderline"/>
        </w:rPr>
        <w:t xml:space="preserve"> jointly </w:t>
      </w:r>
      <w:r w:rsidRPr="00A84ECE">
        <w:rPr>
          <w:rStyle w:val="StyleUnderline"/>
          <w:highlight w:val="cyan"/>
        </w:rPr>
        <w:t xml:space="preserve">have </w:t>
      </w:r>
      <w:r w:rsidRPr="00A84ECE">
        <w:rPr>
          <w:rStyle w:val="Emphasis"/>
          <w:highlight w:val="cyan"/>
        </w:rPr>
        <w:t>all three elements</w:t>
      </w:r>
      <w:r w:rsidRPr="006A7B87">
        <w:rPr>
          <w:rStyle w:val="StyleUnderline"/>
        </w:rPr>
        <w:t xml:space="preserve"> listed </w:t>
      </w:r>
      <w:r w:rsidRPr="00A84ECE">
        <w:rPr>
          <w:rStyle w:val="StyleUnderline"/>
          <w:highlight w:val="cyan"/>
        </w:rPr>
        <w:t xml:space="preserve">in (A), (B), </w:t>
      </w:r>
      <w:r w:rsidRPr="00A84ECE">
        <w:rPr>
          <w:rStyle w:val="Emphasis"/>
          <w:highlight w:val="cyan"/>
        </w:rPr>
        <w:t>and</w:t>
      </w:r>
      <w:r w:rsidRPr="00A84ECE">
        <w:rPr>
          <w:rStyle w:val="StyleUnderline"/>
          <w:highlight w:val="cyan"/>
        </w:rPr>
        <w:t> (C)</w:t>
      </w:r>
      <w:r w:rsidRPr="006A7B87">
        <w:rPr>
          <w:rStyle w:val="StyleUnderline"/>
        </w:rPr>
        <w:t xml:space="preserve">. The </w:t>
      </w:r>
      <w:r w:rsidRPr="00A84ECE">
        <w:rPr>
          <w:rStyle w:val="StyleUnderline"/>
          <w:highlight w:val="cyan"/>
        </w:rPr>
        <w:t>"distributive"</w:t>
      </w:r>
      <w:r w:rsidRPr="006A7B87">
        <w:rPr>
          <w:rStyle w:val="StyleUnderline"/>
        </w:rPr>
        <w:t xml:space="preserve"> sense</w:t>
      </w:r>
      <w:r w:rsidRPr="006A7B87">
        <w:t xml:space="preserve"> of the word </w:t>
      </w:r>
      <w:r w:rsidRPr="00A84ECE">
        <w:rPr>
          <w:rStyle w:val="StyleUnderline"/>
          <w:highlight w:val="cyan"/>
        </w:rPr>
        <w:t>would mean</w:t>
      </w:r>
      <w:r w:rsidRPr="006A7B87">
        <w:t xml:space="preserve"> that the requirement that a defendant</w:t>
      </w:r>
      <w:r w:rsidRPr="00A84ECE">
        <w:t> [**6] </w:t>
      </w:r>
      <w:r w:rsidRPr="006A7B87">
        <w:t xml:space="preserve"> "does not have" certain elements of criminal history is distributed across the three subsections, and </w:t>
      </w:r>
      <w:r w:rsidRPr="006A7B87">
        <w:rPr>
          <w:rStyle w:val="StyleUnderline"/>
        </w:rPr>
        <w:t xml:space="preserve">a defendant is </w:t>
      </w:r>
      <w:r w:rsidRPr="00A84ECE">
        <w:rPr>
          <w:rStyle w:val="Emphasis"/>
          <w:highlight w:val="cyan"/>
        </w:rPr>
        <w:t>ineligible</w:t>
      </w:r>
      <w:r w:rsidRPr="00A84ECE">
        <w:rPr>
          <w:rStyle w:val="StyleUnderline"/>
          <w:highlight w:val="cyan"/>
        </w:rPr>
        <w:t xml:space="preserve"> if he fails any </w:t>
      </w:r>
      <w:r w:rsidRPr="00A84ECE">
        <w:rPr>
          <w:rStyle w:val="Emphasis"/>
          <w:highlight w:val="cyan"/>
        </w:rPr>
        <w:t>one</w:t>
      </w:r>
      <w:r w:rsidRPr="006A7B87">
        <w:rPr>
          <w:rStyle w:val="StyleUnderline"/>
        </w:rPr>
        <w:t xml:space="preserve"> of the three conditions</w:t>
      </w:r>
      <w:r w:rsidRPr="006A7B87">
        <w:t>.</w:t>
      </w:r>
    </w:p>
    <w:p w14:paraId="470A63B1" w14:textId="4B2F1E1A" w:rsidR="00A84ECE" w:rsidRDefault="00A84ECE" w:rsidP="00A84ECE">
      <w:r w:rsidRPr="00A84ECE">
        <w:t>United States v. Pulsifer, 39 F.4th 1018, 1021 (8th Cir. 2022)</w:t>
      </w:r>
      <w:r w:rsidRPr="006A7B87">
        <w:t>. </w:t>
      </w:r>
      <w:r w:rsidRPr="00A84ECE">
        <w:rPr>
          <w:rStyle w:val="StyleUnderline"/>
          <w:highlight w:val="cyan"/>
        </w:rPr>
        <w:t>To determine whether "and" is</w:t>
      </w:r>
      <w:r w:rsidRPr="006A7B87">
        <w:rPr>
          <w:rStyle w:val="StyleUnderline"/>
        </w:rPr>
        <w:t xml:space="preserve"> used in a </w:t>
      </w:r>
      <w:r w:rsidRPr="00A84ECE">
        <w:rPr>
          <w:rStyle w:val="StyleUnderline"/>
          <w:highlight w:val="cyan"/>
        </w:rPr>
        <w:t>"joint"</w:t>
      </w:r>
      <w:r w:rsidRPr="006A7B87">
        <w:rPr>
          <w:rStyle w:val="StyleUnderline"/>
        </w:rPr>
        <w:t xml:space="preserve"> sense </w:t>
      </w:r>
      <w:r w:rsidRPr="00A84ECE">
        <w:rPr>
          <w:rStyle w:val="StyleUnderline"/>
          <w:highlight w:val="cyan"/>
        </w:rPr>
        <w:t>or</w:t>
      </w:r>
      <w:r w:rsidRPr="006A7B87">
        <w:rPr>
          <w:rStyle w:val="StyleUnderline"/>
        </w:rPr>
        <w:t xml:space="preserve"> a </w:t>
      </w:r>
      <w:r w:rsidRPr="00A84ECE">
        <w:rPr>
          <w:rStyle w:val="StyleUnderline"/>
          <w:highlight w:val="cyan"/>
        </w:rPr>
        <w:t>"distributive"</w:t>
      </w:r>
      <w:r w:rsidRPr="006A7B87">
        <w:rPr>
          <w:rStyle w:val="StyleUnderline"/>
        </w:rPr>
        <w:t xml:space="preserve"> sense</w:t>
      </w:r>
      <w:r w:rsidRPr="006A7B87">
        <w:t xml:space="preserve"> in </w:t>
      </w:r>
      <w:r w:rsidRPr="00A84ECE">
        <w:t>§ 3553(f)(1)</w:t>
      </w:r>
      <w:r w:rsidRPr="006A7B87">
        <w:t xml:space="preserve">, </w:t>
      </w:r>
      <w:r w:rsidRPr="00A84ECE">
        <w:rPr>
          <w:rStyle w:val="StyleUnderline"/>
          <w:highlight w:val="cyan"/>
        </w:rPr>
        <w:t xml:space="preserve">we must look to the </w:t>
      </w:r>
      <w:r w:rsidRPr="00A84ECE">
        <w:rPr>
          <w:rStyle w:val="Emphasis"/>
          <w:highlight w:val="cyan"/>
        </w:rPr>
        <w:t>context</w:t>
      </w:r>
      <w:r w:rsidRPr="006A7B87">
        <w:t xml:space="preserve"> of the statute itself. In different words, the words here preceding the em-dash apply to each of the conditions that follow.</w:t>
      </w:r>
    </w:p>
    <w:p w14:paraId="403121C2" w14:textId="77777777" w:rsidR="00E43A09" w:rsidRDefault="00E43A09" w:rsidP="00A84ECE"/>
    <w:p w14:paraId="33831AA2" w14:textId="3128DD82" w:rsidR="00934B09" w:rsidRDefault="00934B09" w:rsidP="00934B09">
      <w:pPr>
        <w:pStyle w:val="Heading4"/>
      </w:pPr>
      <w:r>
        <w:t xml:space="preserve">Eight Circuit </w:t>
      </w:r>
      <w:r w:rsidRPr="00934B09">
        <w:rPr>
          <w:u w:val="single"/>
        </w:rPr>
        <w:t>agrees</w:t>
      </w:r>
      <w:r>
        <w:t>.</w:t>
      </w:r>
    </w:p>
    <w:p w14:paraId="35EDEF9C" w14:textId="62FF414F" w:rsidR="00934B09" w:rsidRDefault="00934B09" w:rsidP="00A84ECE">
      <w:r>
        <w:t xml:space="preserve">Steven </w:t>
      </w:r>
      <w:r w:rsidRPr="00934B09">
        <w:rPr>
          <w:rStyle w:val="Style13ptBold"/>
        </w:rPr>
        <w:t>Colloton 22</w:t>
      </w:r>
      <w:r>
        <w:t>, Federal Judge Court of Appeals for the Eighth Circuit, 7/11/2022, “United States v. Pulsifer,” 39 F.4</w:t>
      </w:r>
      <w:r w:rsidRPr="00934B09">
        <w:rPr>
          <w:vertAlign w:val="superscript"/>
        </w:rPr>
        <w:t>th</w:t>
      </w:r>
      <w:r>
        <w:t xml:space="preserve"> 1018</w:t>
      </w:r>
    </w:p>
    <w:p w14:paraId="686F0E78" w14:textId="081346C4" w:rsidR="00934B09" w:rsidRDefault="00934B09" w:rsidP="00E43A09">
      <w:r>
        <w:t xml:space="preserve">The important question here is in what sense the statute uses the word "and" in the conjunctive. When </w:t>
      </w:r>
      <w:r w:rsidRPr="00934B09">
        <w:rPr>
          <w:rStyle w:val="StyleUnderline"/>
        </w:rPr>
        <w:t xml:space="preserve">used </w:t>
      </w:r>
      <w:r w:rsidRPr="00934B09">
        <w:rPr>
          <w:rStyle w:val="Emphasis"/>
        </w:rPr>
        <w:t>as a conjunctive</w:t>
      </w:r>
      <w:r w:rsidRPr="0012048E">
        <w:rPr>
          <w:rStyle w:val="StyleUnderline"/>
          <w:highlight w:val="cyan"/>
        </w:rPr>
        <w:t>, the word "and" has "a distributive</w:t>
      </w:r>
      <w:r>
        <w:t xml:space="preserve"> (or several) sense </w:t>
      </w:r>
      <w:r w:rsidRPr="0012048E">
        <w:rPr>
          <w:rStyle w:val="StyleUnderline"/>
          <w:highlight w:val="cyan"/>
        </w:rPr>
        <w:t>as well as a joint sense</w:t>
      </w:r>
      <w:r>
        <w:t xml:space="preserve">." Garner's Dictionary of Legal Usage 639 (3d ed. 2011). That is, the phrase </w:t>
      </w:r>
      <w:r w:rsidRPr="00934B09">
        <w:rPr>
          <w:rStyle w:val="StyleUnderline"/>
        </w:rPr>
        <w:t>"A and B" could mean "A and B, jointly or severally."</w:t>
      </w:r>
      <w:r>
        <w:t xml:space="preserve"> Id.; see Scott J. Burnham, The Contract Drafting Guidebook 163 (1992). As applied to § 3553(f)(1), </w:t>
      </w:r>
      <w:r w:rsidRPr="00934B09">
        <w:rPr>
          <w:rStyle w:val="StyleUnderline"/>
        </w:rPr>
        <w:t xml:space="preserve">a "joint" sense of "and" would mean that a defendant is eligible for relief unless the court finds that he does not jointly have </w:t>
      </w:r>
      <w:r w:rsidRPr="00934B09">
        <w:rPr>
          <w:rStyle w:val="Emphasis"/>
        </w:rPr>
        <w:t>all three elements</w:t>
      </w:r>
      <w:r w:rsidRPr="00934B09">
        <w:rPr>
          <w:rStyle w:val="StyleUnderline"/>
        </w:rPr>
        <w:t xml:space="preserve"> listed</w:t>
      </w:r>
      <w:r>
        <w:t xml:space="preserve"> in (A), (B), and [**7]  (C). </w:t>
      </w:r>
      <w:r w:rsidRPr="0012048E">
        <w:rPr>
          <w:rStyle w:val="StyleUnderline"/>
          <w:highlight w:val="cyan"/>
        </w:rPr>
        <w:t>The "distributive" sense</w:t>
      </w:r>
      <w:r>
        <w:t xml:space="preserve"> of the word </w:t>
      </w:r>
      <w:r w:rsidRPr="0012048E">
        <w:rPr>
          <w:rStyle w:val="StyleUnderline"/>
          <w:highlight w:val="cyan"/>
        </w:rPr>
        <w:t>would mean</w:t>
      </w:r>
      <w:r>
        <w:t xml:space="preserve"> that the requirement that a defendant "does not have" certain elements of criminal history is distributed across the three subsections, and </w:t>
      </w:r>
      <w:r w:rsidRPr="0012048E">
        <w:rPr>
          <w:rStyle w:val="StyleUnderline"/>
          <w:highlight w:val="cyan"/>
        </w:rPr>
        <w:t>a defendant is ineligible if he fails any one of the three</w:t>
      </w:r>
      <w:r>
        <w:t xml:space="preserve"> conditions.</w:t>
      </w:r>
    </w:p>
    <w:p w14:paraId="77A8E79B" w14:textId="77777777" w:rsidR="00934B09" w:rsidRDefault="00934B09" w:rsidP="00E43A09">
      <w:r w:rsidRPr="00934B09">
        <w:rPr>
          <w:rStyle w:val="StyleUnderline"/>
        </w:rPr>
        <w:t>There is</w:t>
      </w:r>
      <w:r>
        <w:t xml:space="preserve"> a </w:t>
      </w:r>
      <w:r w:rsidRPr="0012048E">
        <w:rPr>
          <w:rStyle w:val="Emphasis"/>
          <w:highlight w:val="cyan"/>
        </w:rPr>
        <w:t>strong textual basis</w:t>
      </w:r>
      <w:r w:rsidRPr="0012048E">
        <w:rPr>
          <w:rStyle w:val="StyleUnderline"/>
          <w:highlight w:val="cyan"/>
        </w:rPr>
        <w:t xml:space="preserve"> to prefer a </w:t>
      </w:r>
      <w:r w:rsidRPr="0012048E">
        <w:rPr>
          <w:rStyle w:val="Emphasis"/>
          <w:highlight w:val="cyan"/>
        </w:rPr>
        <w:t>distributive reading</w:t>
      </w:r>
      <w:r w:rsidRPr="0012048E">
        <w:rPr>
          <w:rStyle w:val="StyleUnderline"/>
          <w:highlight w:val="cyan"/>
        </w:rPr>
        <w:t xml:space="preserve"> of "and"</w:t>
      </w:r>
      <w:r>
        <w:t xml:space="preserve"> in § 3553(f). If "and" is read jointly, then subsection (A) is rendered superfluous. A defendant who has a prior three-point offense under subsection (B) and a prior two-point violent offense under subsection (C) would always meet the criterion in subsection (A), because he would always have more than four criminal history points. Thus, reading "and" in its joint sense would leave subsection (A) without any independent operation.</w:t>
      </w:r>
    </w:p>
    <w:p w14:paraId="555063D8" w14:textId="77777777" w:rsidR="00934B09" w:rsidRDefault="00934B09" w:rsidP="00E43A09"/>
    <w:p w14:paraId="35055315" w14:textId="77777777" w:rsidR="00052700" w:rsidRDefault="00052700" w:rsidP="00934B09"/>
    <w:p w14:paraId="293F1061" w14:textId="7A684C3E" w:rsidR="006510B1" w:rsidRDefault="006510B1" w:rsidP="006510B1">
      <w:pPr>
        <w:pStyle w:val="Heading4"/>
      </w:pPr>
      <w:r>
        <w:t xml:space="preserve">‘And’ is </w:t>
      </w:r>
      <w:r w:rsidRPr="006510B1">
        <w:rPr>
          <w:u w:val="single"/>
        </w:rPr>
        <w:t>distributive</w:t>
      </w:r>
      <w:r>
        <w:t>.</w:t>
      </w:r>
    </w:p>
    <w:p w14:paraId="0973789E" w14:textId="2E3CCAEB" w:rsidR="006510B1" w:rsidRDefault="006510B1" w:rsidP="00934B09">
      <w:r>
        <w:t xml:space="preserve">Peter </w:t>
      </w:r>
      <w:r w:rsidRPr="006510B1">
        <w:rPr>
          <w:rStyle w:val="Style13ptBold"/>
        </w:rPr>
        <w:t>Riordan 16</w:t>
      </w:r>
      <w:r>
        <w:t>, Judge of the Michigan Court of Appeals, 5/17/2016, “People v. Bylsma,” 889 N.W.2d 729</w:t>
      </w:r>
    </w:p>
    <w:p w14:paraId="47EAED0E" w14:textId="5BCB6F48" w:rsidR="00052700" w:rsidRPr="00EE5F6A" w:rsidRDefault="00052700" w:rsidP="00934B09">
      <w:r w:rsidRPr="00EE5F6A">
        <w:t xml:space="preserve">We also conclude that the plain language of § 8 clearly indicates that the affirmative defense available under that section is intended to apply only to a prosecution arising out of activities directly related to a defendant's status as a patient or, if applicable, a defendant's status as a patient's primary caregiver. As earlier stated, </w:t>
      </w:r>
      <w:r w:rsidRPr="00EE5F6A">
        <w:rPr>
          <w:rStyle w:val="StyleUnderline"/>
        </w:rPr>
        <w:t xml:space="preserve">§ </w:t>
      </w:r>
      <w:r w:rsidRPr="00EE5F6A">
        <w:rPr>
          <w:rStyle w:val="StyleUnderline"/>
          <w:highlight w:val="cyan"/>
        </w:rPr>
        <w:t>8(a) provides</w:t>
      </w:r>
      <w:r w:rsidRPr="00EE5F6A">
        <w:rPr>
          <w:rStyle w:val="StyleUnderline"/>
        </w:rPr>
        <w:t xml:space="preserve"> that "</w:t>
      </w:r>
      <w:r w:rsidRPr="00EE5F6A">
        <w:rPr>
          <w:rStyle w:val="StyleUnderline"/>
          <w:highlight w:val="cyan"/>
        </w:rPr>
        <w:t xml:space="preserve">a patient </w:t>
      </w:r>
      <w:r w:rsidRPr="00EE5F6A">
        <w:rPr>
          <w:rStyle w:val="Emphasis"/>
          <w:highlight w:val="cyan"/>
        </w:rPr>
        <w:t>and</w:t>
      </w:r>
      <w:r w:rsidRPr="00EE5F6A">
        <w:rPr>
          <w:rStyle w:val="StyleUnderline"/>
          <w:highlight w:val="cyan"/>
        </w:rPr>
        <w:t xml:space="preserve"> a patient's primary caregiver</w:t>
      </w:r>
      <w:r w:rsidRPr="00EE5F6A">
        <w:t xml:space="preserve">, if any, </w:t>
      </w:r>
      <w:r w:rsidRPr="00EE5F6A">
        <w:rPr>
          <w:rStyle w:val="StyleUnderline"/>
          <w:highlight w:val="cyan"/>
        </w:rPr>
        <w:t>may assert</w:t>
      </w:r>
      <w:r w:rsidRPr="00EE5F6A">
        <w:rPr>
          <w:rStyle w:val="StyleUnderline"/>
        </w:rPr>
        <w:t xml:space="preserve"> the medical purpose for using marihuana as a </w:t>
      </w:r>
      <w:r w:rsidRPr="00EE5F6A">
        <w:rPr>
          <w:rStyle w:val="StyleUnderline"/>
          <w:highlight w:val="cyan"/>
        </w:rPr>
        <w:t>defense</w:t>
      </w:r>
      <w:r w:rsidRPr="00EE5F6A">
        <w:rPr>
          <w:rStyle w:val="StyleUnderline"/>
        </w:rPr>
        <w:t xml:space="preserve"> to</w:t>
      </w:r>
      <w:r w:rsidRPr="00EE5F6A">
        <w:t xml:space="preserve"> any </w:t>
      </w:r>
      <w:r w:rsidRPr="00EE5F6A">
        <w:rPr>
          <w:rStyle w:val="StyleUnderline"/>
        </w:rPr>
        <w:t>prosecution</w:t>
      </w:r>
      <w:r w:rsidRPr="00EE5F6A">
        <w:t xml:space="preserve"> involving marihuana...." (Emphasis added.) We believe that </w:t>
      </w:r>
      <w:r w:rsidRPr="00EE5F6A">
        <w:rPr>
          <w:rStyle w:val="StyleUnderline"/>
        </w:rPr>
        <w:t xml:space="preserve">the use of the word </w:t>
      </w:r>
      <w:r w:rsidRPr="00EE5F6A">
        <w:rPr>
          <w:rStyle w:val="StyleUnderline"/>
          <w:highlight w:val="cyan"/>
        </w:rPr>
        <w:t>"</w:t>
      </w:r>
      <w:r w:rsidRPr="00EE5F6A">
        <w:rPr>
          <w:rStyle w:val="Emphasis"/>
          <w:highlight w:val="cyan"/>
        </w:rPr>
        <w:t>and</w:t>
      </w:r>
      <w:r w:rsidRPr="00EE5F6A">
        <w:rPr>
          <w:rStyle w:val="StyleUnderline"/>
          <w:highlight w:val="cyan"/>
        </w:rPr>
        <w:t>"</w:t>
      </w:r>
      <w:r w:rsidRPr="00EE5F6A">
        <w:t xml:space="preserve"> in this context </w:t>
      </w:r>
      <w:r w:rsidRPr="00EE5F6A">
        <w:rPr>
          <w:rStyle w:val="StyleUnderline"/>
          <w:highlight w:val="cyan"/>
        </w:rPr>
        <w:t xml:space="preserve">is </w:t>
      </w:r>
      <w:r w:rsidRPr="00EE5F6A">
        <w:rPr>
          <w:rStyle w:val="Emphasis"/>
          <w:highlight w:val="cyan"/>
        </w:rPr>
        <w:t>conjunctive</w:t>
      </w:r>
      <w:r w:rsidRPr="00EE5F6A">
        <w:rPr>
          <w:rStyle w:val="StyleUnderline"/>
          <w:highlight w:val="cyan"/>
        </w:rPr>
        <w:t>, joining "patient" and</w:t>
      </w:r>
      <w:r w:rsidRPr="00EE5F6A">
        <w:rPr>
          <w:rStyle w:val="StyleUnderline"/>
        </w:rPr>
        <w:t xml:space="preserve"> "a patient's primary </w:t>
      </w:r>
      <w:r w:rsidRPr="00EE5F6A">
        <w:rPr>
          <w:rStyle w:val="StyleUnderline"/>
          <w:highlight w:val="cyan"/>
        </w:rPr>
        <w:t xml:space="preserve">caregiver" as </w:t>
      </w:r>
      <w:r w:rsidRPr="00EE5F6A">
        <w:rPr>
          <w:rStyle w:val="Emphasis"/>
          <w:highlight w:val="cyan"/>
        </w:rPr>
        <w:t>two</w:t>
      </w:r>
      <w:r w:rsidRPr="00EE5F6A">
        <w:t xml:space="preserve"> limited, and </w:t>
      </w:r>
      <w:r w:rsidRPr="00EE5F6A">
        <w:rPr>
          <w:rStyle w:val="StyleUnderline"/>
        </w:rPr>
        <w:t>connected</w:t>
      </w:r>
      <w:r w:rsidRPr="00EE5F6A">
        <w:t xml:space="preserve">, *383 </w:t>
      </w:r>
      <w:r w:rsidRPr="00EE5F6A">
        <w:rPr>
          <w:rStyle w:val="Emphasis"/>
          <w:highlight w:val="cyan"/>
        </w:rPr>
        <w:t>categories of individuals</w:t>
      </w:r>
      <w:r w:rsidRPr="00EE5F6A">
        <w:rPr>
          <w:rStyle w:val="StyleUnderline"/>
        </w:rPr>
        <w:t xml:space="preserve"> who may raise a § 8 defense</w:t>
      </w:r>
      <w:r w:rsidRPr="00EE5F6A">
        <w:t xml:space="preserve">. See Black's Law Dictionary (10th ed) (defining "conjunctive/disjunctive canon" as "[t]he doctrine that in a legal instrument, and joins a conjunctive list to combine items, while or joins a disjunctive list to create alternatives."). "The" is a definite article "with a specific or particularizing effect...." See Robinson v. City of Lansing, 486 Mich. 1, 14, 782 N.W.2d 171 (2010) (quotation marks and citation omitted). Therefore, from this language, </w:t>
      </w:r>
      <w:r w:rsidRPr="00EE5F6A">
        <w:rPr>
          <w:rStyle w:val="StyleUnderline"/>
        </w:rPr>
        <w:t>it is clear that</w:t>
      </w:r>
      <w:r w:rsidRPr="00EE5F6A">
        <w:t xml:space="preserve"> only </w:t>
      </w:r>
      <w:r w:rsidRPr="00EE5F6A">
        <w:rPr>
          <w:rStyle w:val="StyleUnderline"/>
          <w:highlight w:val="cyan"/>
        </w:rPr>
        <w:t xml:space="preserve">a </w:t>
      </w:r>
      <w:r w:rsidRPr="00EE5F6A">
        <w:rPr>
          <w:rStyle w:val="Emphasis"/>
          <w:highlight w:val="cyan"/>
        </w:rPr>
        <w:t>patient</w:t>
      </w:r>
      <w:r w:rsidRPr="00EE5F6A">
        <w:t xml:space="preserve"> himself </w:t>
      </w:r>
      <w:r w:rsidRPr="00EE5F6A">
        <w:rPr>
          <w:rStyle w:val="Emphasis"/>
          <w:highlight w:val="cyan"/>
        </w:rPr>
        <w:t>or</w:t>
      </w:r>
      <w:r w:rsidRPr="00EE5F6A">
        <w:t xml:space="preserve"> herself and </w:t>
      </w:r>
      <w:r w:rsidRPr="00EE5F6A">
        <w:rPr>
          <w:rStyle w:val="StyleUnderline"/>
          <w:highlight w:val="cyan"/>
        </w:rPr>
        <w:t xml:space="preserve">that patient's </w:t>
      </w:r>
      <w:r w:rsidRPr="00EE5F6A">
        <w:rPr>
          <w:rStyle w:val="Emphasis"/>
          <w:highlight w:val="cyan"/>
        </w:rPr>
        <w:t>primary caregiver</w:t>
      </w:r>
      <w:r w:rsidRPr="00EE5F6A">
        <w:rPr>
          <w:rStyle w:val="StyleUnderline"/>
          <w:highlight w:val="cyan"/>
        </w:rPr>
        <w:t xml:space="preserve"> may assert</w:t>
      </w:r>
      <w:r w:rsidRPr="00EE5F6A">
        <w:rPr>
          <w:rStyle w:val="StyleUnderline"/>
        </w:rPr>
        <w:t xml:space="preserve"> as </w:t>
      </w:r>
      <w:r w:rsidRPr="00EE5F6A">
        <w:rPr>
          <w:rStyle w:val="StyleUnderline"/>
          <w:highlight w:val="cyan"/>
        </w:rPr>
        <w:t>a</w:t>
      </w:r>
      <w:r w:rsidRPr="00EE5F6A">
        <w:rPr>
          <w:rStyle w:val="StyleUnderline"/>
        </w:rPr>
        <w:t xml:space="preserve">n </w:t>
      </w:r>
      <w:r w:rsidRPr="00EE5F6A">
        <w:rPr>
          <w:rStyle w:val="Emphasis"/>
        </w:rPr>
        <w:t xml:space="preserve">affirmative </w:t>
      </w:r>
      <w:r w:rsidRPr="00EE5F6A">
        <w:rPr>
          <w:rStyle w:val="Emphasis"/>
          <w:highlight w:val="cyan"/>
        </w:rPr>
        <w:t>defense</w:t>
      </w:r>
      <w:r w:rsidRPr="00EE5F6A">
        <w:t xml:space="preserve"> a specific patient's "medical purpose for using marihuana." This understanding is confirmed by the fact that the subsequent elements of § 8(a) consistently refer to "the patient" and "the patient's primary caregiver." (Emphasis added.) Likewise, the Michigan Supreme Court implicitly recognized that a § 8 defense is available only for conduct occurring in the context of an established patient-caregiver relationship when it stated, "A primary caregiver has the burden of establishing the elements of § 8(a)(1) for each patient to whom the primary caregiver is alleged to have unlawfully provided marijuana." Hartwick, 498 Mich. at 232, 870 N.W.2d 37 ; see also § 8(a)(3) (" The patient and the patient's primary caregiver, if any, were engaged in the acquisition, possession, cultivation, manufacture, use, delivery, transfer, or transportation of marihuana or paraphernalia relating to the use of marihuana to treat or alleviate the patient's serious or debilitating medical condition or symptoms of the patient's serious or debilitating medical condition.") (italic and bold emphasis added). Therefore, we conclude that the language employed in § 8 presupposes a relationship between the primary caregiver and the patient, so that the marijuana in the primary caregiver's possession is cultivated or held by *384 that caregiver, or transferred by the caregiver to the patient, in furtherance of the medical use of the marijuana by that particular caregiver's patient.</w:t>
      </w:r>
    </w:p>
    <w:p w14:paraId="44A126E3" w14:textId="77777777" w:rsidR="007521E9" w:rsidRDefault="007521E9" w:rsidP="00934B09">
      <w:pPr>
        <w:rPr>
          <w:sz w:val="16"/>
        </w:rPr>
      </w:pPr>
    </w:p>
    <w:p w14:paraId="7B83A52D" w14:textId="77777777" w:rsidR="007521E9" w:rsidRDefault="007521E9" w:rsidP="007521E9">
      <w:pPr>
        <w:pStyle w:val="Heading4"/>
      </w:pPr>
      <w:r>
        <w:t>‘And’ can mean ‘or.’</w:t>
      </w:r>
    </w:p>
    <w:p w14:paraId="0464B121" w14:textId="77777777" w:rsidR="007521E9" w:rsidRPr="00CA3BF8" w:rsidRDefault="007521E9" w:rsidP="007521E9">
      <w:pPr>
        <w:rPr>
          <w:rStyle w:val="Style13ptBold"/>
        </w:rPr>
      </w:pPr>
      <w:r>
        <w:rPr>
          <w:rStyle w:val="Style13ptBold"/>
        </w:rPr>
        <w:t>Black’s Law 68</w:t>
      </w:r>
      <w:r>
        <w:t xml:space="preserve"> – Black’s Law Dictionary, the leading legal lexicographer, 1968, “Black's Law Dictionary</w:t>
      </w:r>
      <w:r>
        <w:rPr>
          <w:b/>
          <w:bCs/>
        </w:rPr>
        <w:t xml:space="preserve">: </w:t>
      </w:r>
      <w:r>
        <w:t xml:space="preserve">Definitions of the Terms and Phrases of American and English Jurisprudence, Ancient and Modern,” </w:t>
      </w:r>
      <w:r w:rsidRPr="00CA3BF8">
        <w:t>https://www.latestlaws.com/wp-content/uploads/2015/04/Blacks-Law-Dictionery.pdf</w:t>
      </w:r>
    </w:p>
    <w:p w14:paraId="25EBE32E" w14:textId="77777777" w:rsidR="007521E9" w:rsidRDefault="007521E9" w:rsidP="007521E9">
      <w:r w:rsidRPr="0012048E">
        <w:rPr>
          <w:rStyle w:val="Emphasis"/>
          <w:highlight w:val="cyan"/>
        </w:rPr>
        <w:t>AND</w:t>
      </w:r>
      <w:r w:rsidRPr="009A0E69">
        <w:rPr>
          <w:rStyle w:val="StyleUnderline"/>
        </w:rPr>
        <w:t>. A conjunction connecting words</w:t>
      </w:r>
      <w:r>
        <w:t xml:space="preserve"> or phrases </w:t>
      </w:r>
      <w:r w:rsidRPr="009A0E69">
        <w:rPr>
          <w:rStyle w:val="StyleUnderline"/>
        </w:rPr>
        <w:t>expressing the idea that the latter is to be added to or taken along with the first</w:t>
      </w:r>
      <w:r>
        <w:t xml:space="preserve">. Grand Trunk Western Ry. Co. v. Thrift Co., 68 Ind.App. 198, 116 N.E. 756, 759. Added to, together with, joined with, Business Men's Building &amp; Loan Ass'n v. Tumulty, 13 N.J.Misc. 638, 180 A. 772. As well as. Porter v. Moores, 4 Heisk., Tenn., 16. Including. Finch v. Hunter, 148 Ark. 482, 230 S. W. 553, 554. "And also," Carter v. Keesling, 130 Va. 655, 108 S.E. 708, 713. </w:t>
      </w:r>
      <w:r w:rsidRPr="0012048E">
        <w:rPr>
          <w:rStyle w:val="StyleUnderline"/>
          <w:highlight w:val="cyan"/>
        </w:rPr>
        <w:t>Sometimes construed as "</w:t>
      </w:r>
      <w:r w:rsidRPr="0012048E">
        <w:rPr>
          <w:rStyle w:val="Emphasis"/>
          <w:highlight w:val="cyan"/>
        </w:rPr>
        <w:t>or</w:t>
      </w:r>
      <w:r w:rsidRPr="0012048E">
        <w:rPr>
          <w:rStyle w:val="StyleUnderline"/>
          <w:highlight w:val="cyan"/>
        </w:rPr>
        <w:t>."</w:t>
      </w:r>
      <w:r>
        <w:t xml:space="preserve"> Land &amp; Lake Ass'n v. Conklin, 182 App. Div. 546, 170 N.Y.S. 427, 428. </w:t>
      </w:r>
    </w:p>
    <w:p w14:paraId="26FE0E9F" w14:textId="77777777" w:rsidR="007521E9" w:rsidRPr="006510B1" w:rsidRDefault="007521E9" w:rsidP="00934B09">
      <w:pPr>
        <w:rPr>
          <w:sz w:val="16"/>
        </w:rPr>
      </w:pPr>
    </w:p>
    <w:p w14:paraId="2BC35F4F" w14:textId="085508A9" w:rsidR="00451B82" w:rsidRDefault="003C4184" w:rsidP="00451B82">
      <w:pPr>
        <w:pStyle w:val="Heading3"/>
      </w:pPr>
      <w:r>
        <w:t>FR---AT: Taxes---‘</w:t>
      </w:r>
      <w:r w:rsidR="00451B82">
        <w:t>By</w:t>
      </w:r>
      <w:r>
        <w:t>’</w:t>
      </w:r>
    </w:p>
    <w:p w14:paraId="0F41CB3C" w14:textId="77777777" w:rsidR="00451B82" w:rsidRPr="00D34D58" w:rsidRDefault="00451B82" w:rsidP="00451B82">
      <w:pPr>
        <w:pStyle w:val="Heading4"/>
        <w:rPr>
          <w:rFonts w:asciiTheme="minorHAnsi" w:hAnsiTheme="minorHAnsi" w:cstheme="minorHAnsi"/>
        </w:rPr>
      </w:pPr>
      <w:bookmarkStart w:id="6" w:name="_Hlk52608907"/>
      <w:r>
        <w:rPr>
          <w:rFonts w:asciiTheme="minorHAnsi" w:hAnsiTheme="minorHAnsi" w:cstheme="minorHAnsi"/>
        </w:rPr>
        <w:t>T</w:t>
      </w:r>
      <w:r w:rsidRPr="00D34D58">
        <w:rPr>
          <w:rFonts w:asciiTheme="minorHAnsi" w:hAnsiTheme="minorHAnsi" w:cstheme="minorHAnsi"/>
        </w:rPr>
        <w:t xml:space="preserve">he phrase “by </w:t>
      </w:r>
      <w:r>
        <w:rPr>
          <w:rFonts w:asciiTheme="minorHAnsi" w:hAnsiTheme="minorHAnsi" w:cstheme="minorHAnsi"/>
        </w:rPr>
        <w:t>[verb]ing</w:t>
      </w:r>
      <w:r w:rsidRPr="00D34D58">
        <w:rPr>
          <w:rFonts w:asciiTheme="minorHAnsi" w:hAnsiTheme="minorHAnsi" w:cstheme="minorHAnsi"/>
        </w:rPr>
        <w:t xml:space="preserve">” implies that </w:t>
      </w:r>
      <w:r>
        <w:rPr>
          <w:rFonts w:asciiTheme="minorHAnsi" w:hAnsiTheme="minorHAnsi" w:cstheme="minorHAnsi"/>
        </w:rPr>
        <w:t xml:space="preserve">[adopting a jobs guarantee/expanding social security/providing a BI] </w:t>
      </w:r>
      <w:r w:rsidRPr="00D34D58">
        <w:rPr>
          <w:rFonts w:asciiTheme="minorHAnsi" w:hAnsiTheme="minorHAnsi" w:cstheme="minorHAnsi"/>
        </w:rPr>
        <w:t xml:space="preserve">is </w:t>
      </w:r>
      <w:r w:rsidRPr="00601EA6">
        <w:rPr>
          <w:rFonts w:asciiTheme="minorHAnsi" w:hAnsiTheme="minorHAnsi" w:cstheme="minorHAnsi"/>
          <w:u w:val="single"/>
        </w:rPr>
        <w:t>inherently</w:t>
      </w:r>
      <w:r>
        <w:rPr>
          <w:rFonts w:asciiTheme="minorHAnsi" w:hAnsiTheme="minorHAnsi" w:cstheme="minorHAnsi"/>
        </w:rPr>
        <w:t xml:space="preserve"> </w:t>
      </w:r>
      <w:r w:rsidRPr="00D34D58">
        <w:rPr>
          <w:rFonts w:asciiTheme="minorHAnsi" w:hAnsiTheme="minorHAnsi" w:cstheme="minorHAnsi"/>
        </w:rPr>
        <w:t xml:space="preserve">a </w:t>
      </w:r>
      <w:r w:rsidRPr="00163896">
        <w:rPr>
          <w:rFonts w:asciiTheme="minorHAnsi" w:hAnsiTheme="minorHAnsi" w:cstheme="minorHAnsi"/>
          <w:u w:val="single"/>
        </w:rPr>
        <w:t>means</w:t>
      </w:r>
      <w:r w:rsidRPr="00D34D58">
        <w:rPr>
          <w:rFonts w:asciiTheme="minorHAnsi" w:hAnsiTheme="minorHAnsi" w:cstheme="minorHAnsi"/>
        </w:rPr>
        <w:t xml:space="preserve"> of </w:t>
      </w:r>
      <w:r w:rsidRPr="00163896">
        <w:rPr>
          <w:rFonts w:asciiTheme="minorHAnsi" w:hAnsiTheme="minorHAnsi" w:cstheme="minorHAnsi"/>
          <w:u w:val="single"/>
        </w:rPr>
        <w:t>redistribution</w:t>
      </w:r>
      <w:r w:rsidRPr="00D34D58">
        <w:rPr>
          <w:rFonts w:asciiTheme="minorHAnsi" w:hAnsiTheme="minorHAnsi" w:cstheme="minorHAnsi"/>
        </w:rPr>
        <w:t xml:space="preserve">. </w:t>
      </w:r>
    </w:p>
    <w:p w14:paraId="6A1E864D" w14:textId="77777777" w:rsidR="00451B82" w:rsidRPr="00D34D58" w:rsidRDefault="00451B82" w:rsidP="00451B82">
      <w:pPr>
        <w:rPr>
          <w:rFonts w:asciiTheme="minorHAnsi" w:hAnsiTheme="minorHAnsi" w:cstheme="minorHAnsi"/>
        </w:rPr>
      </w:pPr>
      <w:r w:rsidRPr="00163896">
        <w:rPr>
          <w:rStyle w:val="Style13ptBold"/>
        </w:rPr>
        <w:t>Andrew 18</w:t>
      </w:r>
      <w:r>
        <w:rPr>
          <w:rFonts w:asciiTheme="minorHAnsi" w:hAnsiTheme="minorHAnsi" w:cstheme="minorHAnsi"/>
        </w:rPr>
        <w:t xml:space="preserve">, founder of the Crown Academy of English, recipient of the Certificate in Teaching English to Speakers of Other Languages, 1/18/2018, </w:t>
      </w:r>
      <w:r w:rsidRPr="00D34D58">
        <w:rPr>
          <w:rFonts w:asciiTheme="minorHAnsi" w:hAnsiTheme="minorHAnsi" w:cstheme="minorHAnsi"/>
        </w:rPr>
        <w:t xml:space="preserve">“Preposition BY – Meaning and use”, </w:t>
      </w:r>
      <w:r w:rsidRPr="00D932EB">
        <w:rPr>
          <w:rFonts w:asciiTheme="minorHAnsi" w:hAnsiTheme="minorHAnsi" w:cstheme="minorHAnsi"/>
        </w:rPr>
        <w:t>https://www.crownacademyenglish.com/preposition-by-meaning-use/</w:t>
      </w:r>
    </w:p>
    <w:p w14:paraId="30131915" w14:textId="77777777" w:rsidR="00451B82" w:rsidRPr="00D34D58" w:rsidRDefault="00451B82" w:rsidP="00451B82">
      <w:pPr>
        <w:rPr>
          <w:rStyle w:val="Emphasis"/>
          <w:rFonts w:asciiTheme="minorHAnsi" w:hAnsiTheme="minorHAnsi" w:cstheme="minorHAnsi"/>
        </w:rPr>
      </w:pPr>
      <w:r w:rsidRPr="00163896">
        <w:rPr>
          <w:rStyle w:val="Emphasis"/>
          <w:rFonts w:asciiTheme="minorHAnsi" w:hAnsiTheme="minorHAnsi" w:cstheme="minorHAnsi"/>
          <w:highlight w:val="cyan"/>
        </w:rPr>
        <w:t>by + ING form of verb</w:t>
      </w:r>
    </w:p>
    <w:p w14:paraId="67B5FDB0" w14:textId="77777777" w:rsidR="00451B82" w:rsidRPr="00D34D58" w:rsidRDefault="00451B82" w:rsidP="00451B82">
      <w:pPr>
        <w:rPr>
          <w:rStyle w:val="Emphasis"/>
          <w:rFonts w:asciiTheme="minorHAnsi" w:hAnsiTheme="minorHAnsi" w:cstheme="minorHAnsi"/>
        </w:rPr>
      </w:pPr>
      <w:r w:rsidRPr="00D34D58">
        <w:rPr>
          <w:rFonts w:asciiTheme="minorHAnsi" w:hAnsiTheme="minorHAnsi" w:cstheme="minorHAnsi"/>
          <w:u w:val="single"/>
        </w:rPr>
        <w:t xml:space="preserve">This describes how to do </w:t>
      </w:r>
      <w:r w:rsidRPr="00163896">
        <w:rPr>
          <w:rStyle w:val="StyleUnderline"/>
        </w:rPr>
        <w:t>something. It</w:t>
      </w:r>
      <w:r w:rsidRPr="00D34D58">
        <w:rPr>
          <w:rFonts w:asciiTheme="minorHAnsi" w:hAnsiTheme="minorHAnsi" w:cstheme="minorHAnsi"/>
          <w:u w:val="single"/>
        </w:rPr>
        <w:t xml:space="preserve"> </w:t>
      </w:r>
      <w:r w:rsidRPr="00163896">
        <w:rPr>
          <w:rFonts w:asciiTheme="minorHAnsi" w:hAnsiTheme="minorHAnsi" w:cstheme="minorHAnsi"/>
          <w:highlight w:val="cyan"/>
          <w:u w:val="single"/>
        </w:rPr>
        <w:t xml:space="preserve">describes the </w:t>
      </w:r>
      <w:r w:rsidRPr="00163896">
        <w:rPr>
          <w:rStyle w:val="Emphasis"/>
          <w:rFonts w:asciiTheme="minorHAnsi" w:hAnsiTheme="minorHAnsi" w:cstheme="minorHAnsi"/>
          <w:highlight w:val="cyan"/>
        </w:rPr>
        <w:t>method</w:t>
      </w:r>
      <w:r w:rsidRPr="00163896">
        <w:rPr>
          <w:rFonts w:asciiTheme="minorHAnsi" w:hAnsiTheme="minorHAnsi" w:cstheme="minorHAnsi"/>
          <w:highlight w:val="cyan"/>
          <w:u w:val="single"/>
        </w:rPr>
        <w:t xml:space="preserve"> for </w:t>
      </w:r>
      <w:r w:rsidRPr="00163896">
        <w:rPr>
          <w:rStyle w:val="Emphasis"/>
          <w:rFonts w:asciiTheme="minorHAnsi" w:hAnsiTheme="minorHAnsi" w:cstheme="minorHAnsi"/>
          <w:highlight w:val="cyan"/>
        </w:rPr>
        <w:t>achieving a particular result</w:t>
      </w:r>
      <w:r w:rsidRPr="00163896">
        <w:t>.</w:t>
      </w:r>
    </w:p>
    <w:bookmarkEnd w:id="6"/>
    <w:p w14:paraId="4BD23895" w14:textId="77777777" w:rsidR="00451B82" w:rsidRDefault="00451B82" w:rsidP="00451B82">
      <w:r>
        <w:t>Example:</w:t>
      </w:r>
    </w:p>
    <w:p w14:paraId="5AD17854" w14:textId="77777777" w:rsidR="00451B82" w:rsidRDefault="00451B82" w:rsidP="00451B82">
      <w:r w:rsidRPr="005B7BD7">
        <w:rPr>
          <w:rStyle w:val="StyleUnderline"/>
          <w:highlight w:val="cyan"/>
        </w:rPr>
        <w:t xml:space="preserve">Mark stays fit </w:t>
      </w:r>
      <w:r w:rsidRPr="005B7BD7">
        <w:rPr>
          <w:rStyle w:val="Emphasis"/>
          <w:highlight w:val="cyan"/>
        </w:rPr>
        <w:t>by cycling to work</w:t>
      </w:r>
      <w:r>
        <w:t>.</w:t>
      </w:r>
    </w:p>
    <w:p w14:paraId="3102244E" w14:textId="77777777" w:rsidR="00451B82" w:rsidRDefault="00451B82" w:rsidP="00451B82">
      <w:r>
        <w:t xml:space="preserve">In the above example, </w:t>
      </w:r>
      <w:r w:rsidRPr="005B7BD7">
        <w:rPr>
          <w:rStyle w:val="StyleUnderline"/>
          <w:highlight w:val="cyan"/>
        </w:rPr>
        <w:t xml:space="preserve">the </w:t>
      </w:r>
      <w:r w:rsidRPr="005B7BD7">
        <w:rPr>
          <w:rStyle w:val="Emphasis"/>
          <w:highlight w:val="cyan"/>
        </w:rPr>
        <w:t>result</w:t>
      </w:r>
      <w:r w:rsidRPr="005B7BD7">
        <w:rPr>
          <w:rStyle w:val="StyleUnderline"/>
          <w:highlight w:val="cyan"/>
        </w:rPr>
        <w:t xml:space="preserve"> is “stays fit”.  The </w:t>
      </w:r>
      <w:r w:rsidRPr="005B7BD7">
        <w:rPr>
          <w:rStyle w:val="Emphasis"/>
          <w:highlight w:val="cyan"/>
        </w:rPr>
        <w:t>method</w:t>
      </w:r>
      <w:r w:rsidRPr="005B7BD7">
        <w:rPr>
          <w:rStyle w:val="StyleUnderline"/>
          <w:highlight w:val="cyan"/>
        </w:rPr>
        <w:t xml:space="preserve"> is “by cycling“</w:t>
      </w:r>
    </w:p>
    <w:p w14:paraId="5AF8A0E8" w14:textId="77777777" w:rsidR="00451B82" w:rsidRPr="00451B82" w:rsidRDefault="00451B82" w:rsidP="00451B82"/>
    <w:p w14:paraId="70E6FCAC" w14:textId="31E961CD" w:rsidR="00BE675D" w:rsidRDefault="0076614F" w:rsidP="0076614F">
      <w:pPr>
        <w:pStyle w:val="Heading2"/>
      </w:pPr>
      <w:r>
        <w:t>‘FR’---</w:t>
      </w:r>
      <w:r w:rsidR="00AE58BD">
        <w:t>Misc.</w:t>
      </w:r>
      <w:r w:rsidR="00993063">
        <w:t>---Neg</w:t>
      </w:r>
    </w:p>
    <w:p w14:paraId="685ADB4B" w14:textId="6E9B1DAC" w:rsidR="0076614F" w:rsidRDefault="0076614F" w:rsidP="0076614F">
      <w:pPr>
        <w:pStyle w:val="Heading3"/>
      </w:pPr>
      <w:r>
        <w:t>Fiscal Redistribution---Uniform + Unconditional</w:t>
      </w:r>
      <w:r w:rsidR="00993063">
        <w:t>---1NC</w:t>
      </w:r>
    </w:p>
    <w:p w14:paraId="009BB42D" w14:textId="52C79BE9" w:rsidR="0076614F" w:rsidRPr="0021565F" w:rsidRDefault="0076614F" w:rsidP="0076614F">
      <w:pPr>
        <w:pStyle w:val="Heading4"/>
      </w:pPr>
      <w:r>
        <w:t xml:space="preserve">‘Fiscal redistribution’ requires </w:t>
      </w:r>
      <w:r w:rsidRPr="00B84401">
        <w:rPr>
          <w:u w:val="single"/>
        </w:rPr>
        <w:t>uniform</w:t>
      </w:r>
      <w:r>
        <w:t xml:space="preserve"> distribution, without </w:t>
      </w:r>
      <w:r w:rsidRPr="00B84401">
        <w:rPr>
          <w:u w:val="single"/>
        </w:rPr>
        <w:t>any</w:t>
      </w:r>
      <w:r>
        <w:t xml:space="preserve"> form of </w:t>
      </w:r>
      <w:r w:rsidRPr="00B84401">
        <w:rPr>
          <w:u w:val="single"/>
        </w:rPr>
        <w:t>means testing</w:t>
      </w:r>
      <w:r>
        <w:t xml:space="preserve">---[x] is </w:t>
      </w:r>
      <w:r w:rsidRPr="00501CE4">
        <w:rPr>
          <w:u w:val="single"/>
        </w:rPr>
        <w:t>welfare services</w:t>
      </w:r>
      <w:r>
        <w:t>.</w:t>
      </w:r>
    </w:p>
    <w:p w14:paraId="705BDED0" w14:textId="77777777" w:rsidR="0076614F" w:rsidRPr="00BE26B5" w:rsidRDefault="0076614F" w:rsidP="0076614F">
      <w:r w:rsidRPr="00BE26B5">
        <w:t xml:space="preserve">Monteath </w:t>
      </w:r>
      <w:r w:rsidRPr="00BE26B5">
        <w:rPr>
          <w:rStyle w:val="Style13ptBold"/>
        </w:rPr>
        <w:t>Douglas 53</w:t>
      </w:r>
      <w:r w:rsidRPr="00BE26B5">
        <w:t xml:space="preserve">, Director of the Canadian Tax Foundation, 8/1953, “Welfare and Redistribution,” The Canadian Journal of Economics and Political Science, Vol. 19, No. 3, pp. 316-325, </w:t>
      </w:r>
      <w:r w:rsidRPr="00D932EB">
        <w:t>https://www.jstor.org/stable/138344</w:t>
      </w:r>
    </w:p>
    <w:p w14:paraId="0F7FC1CF" w14:textId="77777777" w:rsidR="0076614F" w:rsidRPr="0021565F" w:rsidRDefault="0076614F" w:rsidP="0076614F">
      <w:pPr>
        <w:rPr>
          <w:sz w:val="14"/>
        </w:rPr>
      </w:pPr>
      <w:r w:rsidRPr="0021565F">
        <w:rPr>
          <w:sz w:val="14"/>
        </w:rPr>
        <w:t xml:space="preserve">Our social machinery has become so large and complicated that its essential features may be obscured and ignored. </w:t>
      </w:r>
      <w:r w:rsidRPr="00604230">
        <w:rPr>
          <w:rStyle w:val="StyleUnderline"/>
        </w:rPr>
        <w:t>The division</w:t>
      </w:r>
      <w:r w:rsidRPr="0021565F">
        <w:rPr>
          <w:sz w:val="14"/>
        </w:rPr>
        <w:t xml:space="preserve"> already </w:t>
      </w:r>
      <w:r w:rsidRPr="00604230">
        <w:rPr>
          <w:rStyle w:val="StyleUnderline"/>
        </w:rPr>
        <w:t>noted</w:t>
      </w:r>
      <w:r w:rsidRPr="0021565F">
        <w:rPr>
          <w:sz w:val="14"/>
        </w:rPr>
        <w:t xml:space="preserve"> between commitments in the round amounts of $700 million under federal jurisdiction and $400 million under provincial and local jurisdiction coincides with </w:t>
      </w:r>
      <w:r w:rsidRPr="00B84401">
        <w:rPr>
          <w:rStyle w:val="Emphasis"/>
          <w:highlight w:val="cyan"/>
        </w:rPr>
        <w:t>inherent</w:t>
      </w:r>
      <w:r w:rsidRPr="0021565F">
        <w:rPr>
          <w:rStyle w:val="StyleUnderline"/>
        </w:rPr>
        <w:t xml:space="preserve"> and profound </w:t>
      </w:r>
      <w:r w:rsidRPr="00B84401">
        <w:rPr>
          <w:rStyle w:val="Emphasis"/>
          <w:highlight w:val="cyan"/>
        </w:rPr>
        <w:t>differences</w:t>
      </w:r>
      <w:r w:rsidRPr="00B84401">
        <w:rPr>
          <w:rStyle w:val="StyleUnderline"/>
          <w:highlight w:val="cyan"/>
        </w:rPr>
        <w:t xml:space="preserve"> between</w:t>
      </w:r>
      <w:r w:rsidRPr="0021565F">
        <w:rPr>
          <w:sz w:val="14"/>
        </w:rPr>
        <w:t xml:space="preserve"> measures </w:t>
      </w:r>
      <w:r w:rsidRPr="00B84401">
        <w:rPr>
          <w:sz w:val="14"/>
        </w:rPr>
        <w:t xml:space="preserve">of </w:t>
      </w:r>
      <w:r w:rsidRPr="00B84401">
        <w:rPr>
          <w:rStyle w:val="Emphasis"/>
          <w:highlight w:val="cyan"/>
        </w:rPr>
        <w:t>fiscal redistribution</w:t>
      </w:r>
      <w:r w:rsidRPr="00B84401">
        <w:rPr>
          <w:rStyle w:val="StyleUnderline"/>
          <w:highlight w:val="cyan"/>
        </w:rPr>
        <w:t xml:space="preserve"> and</w:t>
      </w:r>
      <w:r w:rsidRPr="0021565F">
        <w:rPr>
          <w:sz w:val="14"/>
        </w:rPr>
        <w:t xml:space="preserve"> measures of </w:t>
      </w:r>
      <w:r w:rsidRPr="00B84401">
        <w:rPr>
          <w:rStyle w:val="Emphasis"/>
          <w:highlight w:val="cyan"/>
        </w:rPr>
        <w:t xml:space="preserve">welfare </w:t>
      </w:r>
      <w:r w:rsidRPr="0083566F">
        <w:rPr>
          <w:rStyle w:val="Emphasis"/>
          <w:highlight w:val="cyan"/>
        </w:rPr>
        <w:t>service</w:t>
      </w:r>
      <w:r w:rsidRPr="0083566F">
        <w:rPr>
          <w:rStyle w:val="StyleUnderline"/>
          <w:highlight w:val="cyan"/>
        </w:rPr>
        <w:t xml:space="preserve">. </w:t>
      </w:r>
      <w:r w:rsidRPr="0083566F">
        <w:rPr>
          <w:rStyle w:val="Emphasis"/>
          <w:highlight w:val="cyan"/>
        </w:rPr>
        <w:t>Fiscal redistribution</w:t>
      </w:r>
      <w:r w:rsidRPr="0083566F">
        <w:rPr>
          <w:rStyle w:val="StyleUnderline"/>
          <w:highlight w:val="cyan"/>
        </w:rPr>
        <w:t xml:space="preserve"> is characterized by </w:t>
      </w:r>
      <w:r w:rsidRPr="0083566F">
        <w:rPr>
          <w:rStyle w:val="Emphasis"/>
          <w:highlight w:val="cyan"/>
        </w:rPr>
        <w:t>uniform benefits</w:t>
      </w:r>
      <w:r w:rsidRPr="0083566F">
        <w:rPr>
          <w:rStyle w:val="StyleUnderline"/>
          <w:highlight w:val="cyan"/>
        </w:rPr>
        <w:t xml:space="preserve">, </w:t>
      </w:r>
      <w:r w:rsidRPr="00B84401">
        <w:rPr>
          <w:rStyle w:val="Emphasis"/>
          <w:highlight w:val="cyan"/>
        </w:rPr>
        <w:t>indifference</w:t>
      </w:r>
      <w:r w:rsidRPr="00B84401">
        <w:rPr>
          <w:rStyle w:val="StyleUnderline"/>
          <w:highlight w:val="cyan"/>
        </w:rPr>
        <w:t xml:space="preserve"> </w:t>
      </w:r>
      <w:r w:rsidRPr="00D67D30">
        <w:rPr>
          <w:rStyle w:val="StyleUnderline"/>
          <w:highlight w:val="cyan"/>
        </w:rPr>
        <w:t xml:space="preserve">to </w:t>
      </w:r>
      <w:r w:rsidRPr="00D67D30">
        <w:rPr>
          <w:rStyle w:val="Emphasis"/>
        </w:rPr>
        <w:t>i</w:t>
      </w:r>
      <w:r w:rsidRPr="0021565F">
        <w:rPr>
          <w:rStyle w:val="Emphasis"/>
        </w:rPr>
        <w:t xml:space="preserve">ndividual </w:t>
      </w:r>
      <w:r w:rsidRPr="00B84401">
        <w:rPr>
          <w:rStyle w:val="Emphasis"/>
          <w:highlight w:val="cyan"/>
        </w:rPr>
        <w:t>circumstances</w:t>
      </w:r>
      <w:r w:rsidRPr="00B84401">
        <w:rPr>
          <w:rStyle w:val="StyleUnderline"/>
          <w:highlight w:val="cyan"/>
        </w:rPr>
        <w:t xml:space="preserve">, absence of </w:t>
      </w:r>
      <w:r w:rsidRPr="00B84401">
        <w:rPr>
          <w:rStyle w:val="Emphasis"/>
          <w:highlight w:val="cyan"/>
        </w:rPr>
        <w:t>means testing</w:t>
      </w:r>
      <w:r w:rsidRPr="0021565F">
        <w:rPr>
          <w:rStyle w:val="StyleUnderline"/>
        </w:rPr>
        <w:t>, low administrative cost</w:t>
      </w:r>
      <w:r w:rsidRPr="0021565F">
        <w:rPr>
          <w:sz w:val="14"/>
        </w:rPr>
        <w:t xml:space="preserve"> per unit of expenditure, </w:t>
      </w:r>
      <w:r w:rsidRPr="0021565F">
        <w:rPr>
          <w:rStyle w:val="StyleUnderline"/>
        </w:rPr>
        <w:t xml:space="preserve">high budgetary cost, inflexibility, and simplicity. </w:t>
      </w:r>
      <w:r w:rsidRPr="00086E0E">
        <w:rPr>
          <w:rStyle w:val="Emphasis"/>
          <w:highlight w:val="cyan"/>
        </w:rPr>
        <w:t xml:space="preserve">Welfare </w:t>
      </w:r>
      <w:r w:rsidRPr="00B84401">
        <w:rPr>
          <w:rStyle w:val="Emphasis"/>
          <w:highlight w:val="cyan"/>
        </w:rPr>
        <w:t>services</w:t>
      </w:r>
      <w:r w:rsidRPr="0021565F">
        <w:rPr>
          <w:sz w:val="14"/>
        </w:rPr>
        <w:t xml:space="preserve"> generally </w:t>
      </w:r>
      <w:r w:rsidRPr="00B84401">
        <w:rPr>
          <w:rStyle w:val="StyleUnderline"/>
          <w:highlight w:val="cyan"/>
        </w:rPr>
        <w:t>have</w:t>
      </w:r>
      <w:r w:rsidRPr="0021565F">
        <w:rPr>
          <w:rStyle w:val="StyleUnderline"/>
        </w:rPr>
        <w:t xml:space="preserve"> the </w:t>
      </w:r>
      <w:r w:rsidRPr="00B84401">
        <w:rPr>
          <w:rStyle w:val="Emphasis"/>
          <w:highlight w:val="cyan"/>
        </w:rPr>
        <w:t>opposite</w:t>
      </w:r>
      <w:r w:rsidRPr="00B84401">
        <w:rPr>
          <w:rStyle w:val="StyleUnderline"/>
          <w:highlight w:val="cyan"/>
        </w:rPr>
        <w:t xml:space="preserve"> characteristics</w:t>
      </w:r>
      <w:r w:rsidRPr="0021565F">
        <w:rPr>
          <w:sz w:val="14"/>
        </w:rPr>
        <w:t xml:space="preserve">. It is not an unfair comparison to say that achievement in the former is typically reckoned in terms of payments distributed and in the latter in terms of personal situations relieved. The benefits of fiscal redistribution are therefore apt to be represented and understood in terms of simple and impressive magnitudes that command public enthusiasm, while the </w:t>
      </w:r>
      <w:r w:rsidRPr="0021565F">
        <w:rPr>
          <w:rStyle w:val="StyleUnderline"/>
        </w:rPr>
        <w:t>performance of</w:t>
      </w:r>
      <w:r w:rsidRPr="0021565F">
        <w:rPr>
          <w:sz w:val="14"/>
        </w:rPr>
        <w:t xml:space="preserve"> a </w:t>
      </w:r>
      <w:r w:rsidRPr="00917E7E">
        <w:rPr>
          <w:rStyle w:val="Emphasis"/>
        </w:rPr>
        <w:t>welfare service</w:t>
      </w:r>
      <w:r w:rsidRPr="00917E7E">
        <w:rPr>
          <w:rStyle w:val="StyleUnderline"/>
        </w:rPr>
        <w:t xml:space="preserve"> is known</w:t>
      </w:r>
      <w:r w:rsidRPr="0021565F">
        <w:rPr>
          <w:rStyle w:val="StyleUnderline"/>
        </w:rPr>
        <w:t xml:space="preserve"> as a rule </w:t>
      </w:r>
      <w:r w:rsidRPr="00917E7E">
        <w:rPr>
          <w:rStyle w:val="StyleUnderline"/>
        </w:rPr>
        <w:t>only to people</w:t>
      </w:r>
      <w:r w:rsidRPr="0021565F">
        <w:rPr>
          <w:rStyle w:val="StyleUnderline"/>
        </w:rPr>
        <w:t xml:space="preserve"> who have a professional interest in it and to the </w:t>
      </w:r>
      <w:r w:rsidRPr="0021565F">
        <w:rPr>
          <w:rStyle w:val="Emphasis"/>
        </w:rPr>
        <w:t>beneficiaries themselves</w:t>
      </w:r>
      <w:r w:rsidRPr="0021565F">
        <w:rPr>
          <w:sz w:val="14"/>
        </w:rPr>
        <w:t xml:space="preserve">. Associated with these differences there is the possibility of different financing procedures. No government has any obligation in principle to administer social welfare in uniform financial doses alike to those who need them and those who don't; such arrangements are a matter of political choice and social convenience to which contributory conditions can therefore be attached. But necessary welfare services, according to standards of necessity that touch the public conscience, are an obligation of the community that is properly chargeable to general revenue as the responsibility of all taxpayers. </w:t>
      </w:r>
    </w:p>
    <w:p w14:paraId="333AE4F6" w14:textId="77777777" w:rsidR="0076614F" w:rsidRDefault="0076614F" w:rsidP="0076614F">
      <w:pPr>
        <w:rPr>
          <w:sz w:val="14"/>
        </w:rPr>
      </w:pPr>
      <w:r w:rsidRPr="0021565F">
        <w:rPr>
          <w:sz w:val="14"/>
        </w:rPr>
        <w:t xml:space="preserve">I think these </w:t>
      </w:r>
      <w:r w:rsidRPr="0083566F">
        <w:rPr>
          <w:rStyle w:val="Emphasis"/>
          <w:highlight w:val="cyan"/>
        </w:rPr>
        <w:t>distinctions</w:t>
      </w:r>
      <w:r w:rsidRPr="0083566F">
        <w:rPr>
          <w:rStyle w:val="StyleUnderline"/>
          <w:highlight w:val="cyan"/>
        </w:rPr>
        <w:t xml:space="preserve"> are </w:t>
      </w:r>
      <w:r w:rsidRPr="0083566F">
        <w:rPr>
          <w:rStyle w:val="Emphasis"/>
          <w:highlight w:val="cyan"/>
        </w:rPr>
        <w:t>warranted</w:t>
      </w:r>
      <w:r w:rsidRPr="0021565F">
        <w:rPr>
          <w:sz w:val="14"/>
        </w:rPr>
        <w:t xml:space="preserve"> and fairly stated. But if this suggested antithesis conveys an impression of bias I must acknowledge that I am concerned here to emphasize characteristic features as regards the alternative methods that profoundly affect the results obtainable and the costs incurred. In particular, I have reached the conviction that investigation procedures – “means testing" is the common and unpopular word – deserve more realistic and enterprising recognition in politics as a condition of adequate and re-sponsible treatment of human distress by public authorities, because they can be made to fit the personal terms of the problem and therefore serve to protect the beneficiaries as well as the revenue, whereas uniform cash allowances at any practicable level cannot by their very nature cover the needs of the most unfortunate.</w:t>
      </w:r>
    </w:p>
    <w:p w14:paraId="756E8522" w14:textId="5286646B" w:rsidR="0076614F" w:rsidRDefault="0076614F" w:rsidP="0076614F">
      <w:pPr>
        <w:pStyle w:val="Heading3"/>
      </w:pPr>
      <w:r>
        <w:t>Fiscal Redistribution---</w:t>
      </w:r>
      <w:r w:rsidR="00AE58BD">
        <w:t>Post-Tax Inequality</w:t>
      </w:r>
      <w:r w:rsidR="00993063">
        <w:t>---1NC</w:t>
      </w:r>
    </w:p>
    <w:p w14:paraId="2BF66C67" w14:textId="4C44AC43" w:rsidR="0076614F" w:rsidRPr="00673DFF" w:rsidRDefault="0076614F" w:rsidP="0076614F">
      <w:pPr>
        <w:pStyle w:val="Heading4"/>
      </w:pPr>
      <w:r w:rsidRPr="00673DFF">
        <w:t>‘</w:t>
      </w:r>
      <w:r w:rsidRPr="00673DFF">
        <w:rPr>
          <w:u w:val="single"/>
        </w:rPr>
        <w:t>Fiscal redistribution</w:t>
      </w:r>
      <w:r w:rsidRPr="00673DFF">
        <w:t xml:space="preserve">’ must affect </w:t>
      </w:r>
      <w:r w:rsidRPr="00673DFF">
        <w:rPr>
          <w:u w:val="single"/>
        </w:rPr>
        <w:t>post-tax</w:t>
      </w:r>
      <w:r w:rsidRPr="00673DFF">
        <w:t xml:space="preserve"> inequality---</w:t>
      </w:r>
      <w:r w:rsidR="00AE58BD">
        <w:t>[x]</w:t>
      </w:r>
      <w:r w:rsidRPr="00673DFF">
        <w:t xml:space="preserve"> is </w:t>
      </w:r>
      <w:r w:rsidRPr="00673DFF">
        <w:rPr>
          <w:u w:val="single"/>
        </w:rPr>
        <w:t>non-fiscal</w:t>
      </w:r>
      <w:r w:rsidRPr="00673DFF">
        <w:t xml:space="preserve"> redistribution, because it aims to address </w:t>
      </w:r>
      <w:r w:rsidRPr="00673DFF">
        <w:rPr>
          <w:u w:val="single"/>
        </w:rPr>
        <w:t>primary</w:t>
      </w:r>
      <w:r w:rsidRPr="00673DFF">
        <w:t xml:space="preserve"> distribution of income</w:t>
      </w:r>
      <w:r>
        <w:t>.</w:t>
      </w:r>
    </w:p>
    <w:p w14:paraId="27A9796C" w14:textId="77777777" w:rsidR="0076614F" w:rsidRDefault="0076614F" w:rsidP="0076614F">
      <w:pPr>
        <w:pStyle w:val="ListParagraph"/>
        <w:numPr>
          <w:ilvl w:val="0"/>
          <w:numId w:val="45"/>
        </w:numPr>
      </w:pPr>
      <w:r w:rsidRPr="00673DFF">
        <w:t xml:space="preserve">Non-fiscal redistribution policies aim to impact the primary distribution of income or wealth, </w:t>
      </w:r>
      <w:r w:rsidRPr="00673DFF">
        <w:rPr>
          <w:u w:val="single"/>
        </w:rPr>
        <w:t>before</w:t>
      </w:r>
      <w:r w:rsidRPr="00673DFF">
        <w:t xml:space="preserve"> taxes and transfers are applied</w:t>
      </w:r>
    </w:p>
    <w:p w14:paraId="2BA3DB15" w14:textId="77777777" w:rsidR="0076614F" w:rsidRDefault="0076614F" w:rsidP="0076614F">
      <w:pPr>
        <w:pStyle w:val="ListParagraph"/>
        <w:numPr>
          <w:ilvl w:val="0"/>
          <w:numId w:val="45"/>
        </w:numPr>
      </w:pPr>
      <w:r>
        <w:t>F</w:t>
      </w:r>
      <w:r w:rsidRPr="00673DFF">
        <w:t xml:space="preserve">iscal redistribution policies are aimed at reducing inequality of disposable income </w:t>
      </w:r>
      <w:r w:rsidRPr="00673DFF">
        <w:rPr>
          <w:u w:val="single"/>
        </w:rPr>
        <w:t>after</w:t>
      </w:r>
      <w:r w:rsidRPr="00673DFF">
        <w:t xml:space="preserve"> taxes and transfers have been applied</w:t>
      </w:r>
    </w:p>
    <w:p w14:paraId="70E4E5D9" w14:textId="77777777" w:rsidR="0076614F" w:rsidRPr="00EE5A6A" w:rsidRDefault="0076614F" w:rsidP="0076614F">
      <w:r>
        <w:t xml:space="preserve">Antoine </w:t>
      </w:r>
      <w:r w:rsidRPr="00EE5A6A">
        <w:rPr>
          <w:rStyle w:val="Style13ptBold"/>
        </w:rPr>
        <w:t>Bozio 18</w:t>
      </w:r>
      <w:r>
        <w:t xml:space="preserve">, Director of the Institut des politiques publiques, Associate researcher at the Paris School of Economics, et al., 9/2018, “Inequality and Redistribution in France, 1990-2018: Evidence from Post-Tax Distributional National Accounts (DINA),” </w:t>
      </w:r>
      <w:r w:rsidRPr="00EE5A6A">
        <w:t>https://wid.world/document/inequality-and-redistribution-in-france-1990-2018-evidence-from-post-tax-distributional-national-accounts-dina-wid-world-working-paper-2018-10/</w:t>
      </w:r>
    </w:p>
    <w:p w14:paraId="1852BB48" w14:textId="77777777" w:rsidR="0076614F" w:rsidRDefault="0076614F" w:rsidP="0076614F">
      <w:pPr>
        <w:rPr>
          <w:sz w:val="14"/>
        </w:rPr>
      </w:pPr>
      <w:r w:rsidRPr="00516385">
        <w:rPr>
          <w:rStyle w:val="StyleUnderline"/>
          <w:highlight w:val="cyan"/>
        </w:rPr>
        <w:t xml:space="preserve">We define </w:t>
      </w:r>
      <w:r w:rsidRPr="00516385">
        <w:rPr>
          <w:rStyle w:val="Emphasis"/>
          <w:highlight w:val="cyan"/>
        </w:rPr>
        <w:t>non-fiscal redistribution</w:t>
      </w:r>
      <w:r w:rsidRPr="00EE5A6A">
        <w:rPr>
          <w:sz w:val="14"/>
        </w:rPr>
        <w:t xml:space="preserve"> (sometime referred to as “predistribution”) </w:t>
      </w:r>
      <w:r w:rsidRPr="00516385">
        <w:rPr>
          <w:rStyle w:val="StyleUnderline"/>
          <w:highlight w:val="cyan"/>
        </w:rPr>
        <w:t>as</w:t>
      </w:r>
      <w:r w:rsidRPr="00EE5A6A">
        <w:rPr>
          <w:sz w:val="14"/>
        </w:rPr>
        <w:t xml:space="preserve"> the set of </w:t>
      </w:r>
      <w:r w:rsidRPr="00516385">
        <w:rPr>
          <w:rStyle w:val="StyleUnderline"/>
          <w:highlight w:val="cyan"/>
        </w:rPr>
        <w:t>policy</w:t>
      </w:r>
      <w:r w:rsidRPr="00EE5A6A">
        <w:rPr>
          <w:sz w:val="14"/>
        </w:rPr>
        <w:t xml:space="preserve"> and legal tools </w:t>
      </w:r>
      <w:r w:rsidRPr="00516385">
        <w:rPr>
          <w:rStyle w:val="StyleUnderline"/>
          <w:highlight w:val="cyan"/>
        </w:rPr>
        <w:t>that</w:t>
      </w:r>
      <w:r w:rsidRPr="00EE5A6A">
        <w:rPr>
          <w:sz w:val="14"/>
        </w:rPr>
        <w:t xml:space="preserve"> can </w:t>
      </w:r>
      <w:r w:rsidRPr="00516385">
        <w:rPr>
          <w:rStyle w:val="StyleUnderline"/>
          <w:highlight w:val="cyan"/>
        </w:rPr>
        <w:t>affect</w:t>
      </w:r>
      <w:r w:rsidRPr="00EE5A6A">
        <w:rPr>
          <w:rStyle w:val="StyleUnderline"/>
        </w:rPr>
        <w:t xml:space="preserve"> the </w:t>
      </w:r>
      <w:r w:rsidRPr="00516385">
        <w:rPr>
          <w:rStyle w:val="Emphasis"/>
          <w:highlight w:val="cyan"/>
        </w:rPr>
        <w:t>primary</w:t>
      </w:r>
      <w:r w:rsidRPr="00516385">
        <w:rPr>
          <w:rStyle w:val="StyleUnderline"/>
          <w:highlight w:val="cyan"/>
        </w:rPr>
        <w:t xml:space="preserve"> distribution of income</w:t>
      </w:r>
      <w:r w:rsidRPr="00EE5A6A">
        <w:rPr>
          <w:rStyle w:val="StyleUnderline"/>
        </w:rPr>
        <w:t xml:space="preserve">. This </w:t>
      </w:r>
      <w:r w:rsidRPr="00516385">
        <w:rPr>
          <w:rStyle w:val="StyleUnderline"/>
          <w:highlight w:val="cyan"/>
        </w:rPr>
        <w:t>includes</w:t>
      </w:r>
      <w:r w:rsidRPr="00EE5A6A">
        <w:rPr>
          <w:sz w:val="14"/>
        </w:rPr>
        <w:t xml:space="preserve"> a large set of policies and institutions, including </w:t>
      </w:r>
      <w:r w:rsidRPr="00EE5A6A">
        <w:rPr>
          <w:rStyle w:val="StyleUnderline"/>
        </w:rPr>
        <w:t xml:space="preserve">the </w:t>
      </w:r>
      <w:r w:rsidRPr="00516385">
        <w:rPr>
          <w:rStyle w:val="Emphasis"/>
          <w:highlight w:val="cyan"/>
        </w:rPr>
        <w:t>education</w:t>
      </w:r>
      <w:r w:rsidRPr="00EE5A6A">
        <w:rPr>
          <w:rStyle w:val="Emphasis"/>
        </w:rPr>
        <w:t xml:space="preserve"> system</w:t>
      </w:r>
      <w:r w:rsidRPr="00EE5A6A">
        <w:rPr>
          <w:sz w:val="14"/>
        </w:rPr>
        <w:t xml:space="preserve"> (particularly the inequality in education spending across social groups), </w:t>
      </w:r>
      <w:r w:rsidRPr="00EE5A6A">
        <w:rPr>
          <w:rStyle w:val="StyleUnderline"/>
        </w:rPr>
        <w:t xml:space="preserve">the </w:t>
      </w:r>
      <w:r w:rsidRPr="00516385">
        <w:rPr>
          <w:rStyle w:val="Emphasis"/>
          <w:highlight w:val="cyan"/>
        </w:rPr>
        <w:t>labor market</w:t>
      </w:r>
      <w:r w:rsidRPr="00EE5A6A">
        <w:rPr>
          <w:rStyle w:val="StyleUnderline"/>
        </w:rPr>
        <w:t xml:space="preserve"> (especially</w:t>
      </w:r>
      <w:r w:rsidRPr="00EE5A6A">
        <w:rPr>
          <w:sz w:val="14"/>
        </w:rPr>
        <w:t xml:space="preserve"> the changing level of </w:t>
      </w:r>
      <w:r w:rsidRPr="00EE5A6A">
        <w:rPr>
          <w:rStyle w:val="StyleUnderline"/>
        </w:rPr>
        <w:t xml:space="preserve">the </w:t>
      </w:r>
      <w:r w:rsidRPr="00EE5A6A">
        <w:rPr>
          <w:rStyle w:val="Emphasis"/>
        </w:rPr>
        <w:t>minimum wage</w:t>
      </w:r>
      <w:r w:rsidRPr="00EE5A6A">
        <w:rPr>
          <w:rStyle w:val="StyleUnderline"/>
        </w:rPr>
        <w:t xml:space="preserve"> and</w:t>
      </w:r>
      <w:r w:rsidRPr="00EE5A6A">
        <w:rPr>
          <w:sz w:val="14"/>
        </w:rPr>
        <w:t xml:space="preserve"> the various legal </w:t>
      </w:r>
      <w:r w:rsidRPr="00EE5A6A">
        <w:rPr>
          <w:rStyle w:val="StyleUnderline"/>
        </w:rPr>
        <w:t>rules affecting</w:t>
      </w:r>
      <w:r w:rsidRPr="00EE5A6A">
        <w:rPr>
          <w:sz w:val="14"/>
        </w:rPr>
        <w:t xml:space="preserve"> the role of </w:t>
      </w:r>
      <w:r w:rsidRPr="00EE5A6A">
        <w:rPr>
          <w:rStyle w:val="Emphasis"/>
        </w:rPr>
        <w:t>unions</w:t>
      </w:r>
      <w:r w:rsidRPr="00EE5A6A">
        <w:rPr>
          <w:rStyle w:val="StyleUnderline"/>
        </w:rPr>
        <w:t xml:space="preserve"> and</w:t>
      </w:r>
      <w:r w:rsidRPr="00EE5A6A">
        <w:rPr>
          <w:sz w:val="14"/>
        </w:rPr>
        <w:t xml:space="preserve"> the </w:t>
      </w:r>
      <w:r w:rsidRPr="00EE5A6A">
        <w:rPr>
          <w:rStyle w:val="StyleUnderline"/>
        </w:rPr>
        <w:t xml:space="preserve">bargaining power of workers), </w:t>
      </w:r>
      <w:r w:rsidRPr="00516385">
        <w:rPr>
          <w:rStyle w:val="StyleUnderline"/>
          <w:highlight w:val="cyan"/>
        </w:rPr>
        <w:t>and</w:t>
      </w:r>
      <w:r w:rsidRPr="00EE5A6A">
        <w:rPr>
          <w:rStyle w:val="StyleUnderline"/>
        </w:rPr>
        <w:t xml:space="preserve"> other policies affecting the distribution of primary assets and capabilities (including the </w:t>
      </w:r>
      <w:r w:rsidRPr="00516385">
        <w:rPr>
          <w:rStyle w:val="Emphasis"/>
          <w:highlight w:val="cyan"/>
        </w:rPr>
        <w:t>health system</w:t>
      </w:r>
      <w:r w:rsidRPr="00EE5A6A">
        <w:rPr>
          <w:rStyle w:val="StyleUnderline"/>
        </w:rPr>
        <w:t xml:space="preserve">, the </w:t>
      </w:r>
      <w:r w:rsidRPr="00EE5A6A">
        <w:rPr>
          <w:rStyle w:val="Emphasis"/>
        </w:rPr>
        <w:t>inequality</w:t>
      </w:r>
      <w:r w:rsidRPr="00EE5A6A">
        <w:rPr>
          <w:rStyle w:val="StyleUnderline"/>
        </w:rPr>
        <w:t xml:space="preserve"> of </w:t>
      </w:r>
      <w:r w:rsidRPr="00EE5A6A">
        <w:rPr>
          <w:rStyle w:val="Emphasis"/>
        </w:rPr>
        <w:t>wealth</w:t>
      </w:r>
      <w:r w:rsidRPr="00EE5A6A">
        <w:rPr>
          <w:sz w:val="14"/>
        </w:rPr>
        <w:t xml:space="preserve"> and inheritance, etc.). Of course the fiscal system is part of non-fiscal redistribution, first because taxes are needed to pay for publicly funded education and other social services, and next because steeply progressive taxation of income and wealth can affect the formation of top end compensation packages and wealth inequality (see e.g. Piketty, Saez and Stantcheva (2014) and Piketty 2014). However </w:t>
      </w:r>
      <w:r w:rsidRPr="00516385">
        <w:rPr>
          <w:rStyle w:val="StyleUnderline"/>
          <w:highlight w:val="cyan"/>
        </w:rPr>
        <w:t>we</w:t>
      </w:r>
      <w:r w:rsidRPr="00EE5A6A">
        <w:rPr>
          <w:rStyle w:val="StyleUnderline"/>
        </w:rPr>
        <w:t xml:space="preserve"> prefer to </w:t>
      </w:r>
      <w:r w:rsidRPr="00516385">
        <w:rPr>
          <w:rStyle w:val="StyleUnderline"/>
          <w:highlight w:val="cyan"/>
        </w:rPr>
        <w:t>refer to these policies</w:t>
      </w:r>
      <w:r w:rsidRPr="00EE5A6A">
        <w:rPr>
          <w:rStyle w:val="StyleUnderline"/>
        </w:rPr>
        <w:t xml:space="preserve">, rules and mechanisms </w:t>
      </w:r>
      <w:r w:rsidRPr="00516385">
        <w:rPr>
          <w:rStyle w:val="StyleUnderline"/>
          <w:highlight w:val="cyan"/>
        </w:rPr>
        <w:t>as “</w:t>
      </w:r>
      <w:r w:rsidRPr="00516385">
        <w:rPr>
          <w:rStyle w:val="Emphasis"/>
          <w:highlight w:val="cyan"/>
        </w:rPr>
        <w:t>non-fiscal</w:t>
      </w:r>
      <w:r w:rsidRPr="00EE5A6A">
        <w:rPr>
          <w:rStyle w:val="StyleUnderline"/>
        </w:rPr>
        <w:t xml:space="preserve"> redistribution” </w:t>
      </w:r>
      <w:r w:rsidRPr="00516385">
        <w:rPr>
          <w:rStyle w:val="StyleUnderline"/>
          <w:highlight w:val="cyan"/>
        </w:rPr>
        <w:t xml:space="preserve">because they affect inequality by impacting </w:t>
      </w:r>
      <w:r w:rsidRPr="00516385">
        <w:rPr>
          <w:rStyle w:val="Emphasis"/>
          <w:highlight w:val="cyan"/>
        </w:rPr>
        <w:t>pretax</w:t>
      </w:r>
      <w:r w:rsidRPr="00516385">
        <w:rPr>
          <w:rStyle w:val="StyleUnderline"/>
          <w:highlight w:val="cyan"/>
        </w:rPr>
        <w:t xml:space="preserve"> inequality, as opposed to “</w:t>
      </w:r>
      <w:r w:rsidRPr="00516385">
        <w:rPr>
          <w:rStyle w:val="Emphasis"/>
          <w:highlight w:val="cyan"/>
        </w:rPr>
        <w:t>fiscal redistribution</w:t>
      </w:r>
      <w:r w:rsidRPr="00516385">
        <w:rPr>
          <w:rStyle w:val="StyleUnderline"/>
          <w:highlight w:val="cyan"/>
        </w:rPr>
        <w:t xml:space="preserve">”, which </w:t>
      </w:r>
      <w:r w:rsidRPr="00516385">
        <w:rPr>
          <w:rStyle w:val="Emphasis"/>
          <w:highlight w:val="cyan"/>
        </w:rPr>
        <w:t>reduces inequality</w:t>
      </w:r>
      <w:r w:rsidRPr="00516385">
        <w:rPr>
          <w:rStyle w:val="StyleUnderline"/>
          <w:highlight w:val="cyan"/>
        </w:rPr>
        <w:t xml:space="preserve"> of </w:t>
      </w:r>
      <w:r w:rsidRPr="00516385">
        <w:rPr>
          <w:rStyle w:val="Emphasis"/>
          <w:highlight w:val="cyan"/>
        </w:rPr>
        <w:t>disposable income</w:t>
      </w:r>
      <w:r w:rsidRPr="00516385">
        <w:rPr>
          <w:rStyle w:val="StyleUnderline"/>
          <w:highlight w:val="cyan"/>
        </w:rPr>
        <w:t xml:space="preserve"> for a </w:t>
      </w:r>
      <w:r w:rsidRPr="00516385">
        <w:rPr>
          <w:rStyle w:val="Emphasis"/>
          <w:highlight w:val="cyan"/>
        </w:rPr>
        <w:t>given level of pretax inequality</w:t>
      </w:r>
      <w:r w:rsidRPr="00EE5A6A">
        <w:rPr>
          <w:sz w:val="14"/>
        </w:rPr>
        <w:t>.</w:t>
      </w:r>
    </w:p>
    <w:p w14:paraId="4A87A35C" w14:textId="21CA76C5" w:rsidR="00993063" w:rsidRPr="00EE5A6A" w:rsidRDefault="00993063" w:rsidP="00993063">
      <w:pPr>
        <w:pStyle w:val="Heading2"/>
      </w:pPr>
      <w:r>
        <w:t>‘FR’---Misc.---Aff</w:t>
      </w:r>
    </w:p>
    <w:p w14:paraId="0AE27F3F" w14:textId="6C050C21" w:rsidR="007048A8" w:rsidRDefault="007048A8" w:rsidP="007048A8">
      <w:pPr>
        <w:pStyle w:val="Heading3"/>
      </w:pPr>
      <w:r>
        <w:t>Fiscal Redistribution---AT: Uniform</w:t>
      </w:r>
      <w:r w:rsidR="00993063">
        <w:t>---2AC</w:t>
      </w:r>
    </w:p>
    <w:p w14:paraId="2E38530D" w14:textId="77777777" w:rsidR="007048A8" w:rsidRDefault="007048A8" w:rsidP="007048A8">
      <w:pPr>
        <w:pStyle w:val="Heading4"/>
      </w:pPr>
      <w:r>
        <w:t xml:space="preserve">‘Fiscal redistribution’ includes </w:t>
      </w:r>
      <w:r w:rsidRPr="00917E7E">
        <w:rPr>
          <w:u w:val="single"/>
        </w:rPr>
        <w:t>targeted</w:t>
      </w:r>
      <w:r>
        <w:t xml:space="preserve"> transfers.</w:t>
      </w:r>
    </w:p>
    <w:p w14:paraId="41D6F848" w14:textId="77777777" w:rsidR="007048A8" w:rsidRPr="00917E7E" w:rsidRDefault="007048A8" w:rsidP="007048A8">
      <w:r>
        <w:t xml:space="preserve">Orsetta </w:t>
      </w:r>
      <w:r w:rsidRPr="00917E7E">
        <w:rPr>
          <w:rStyle w:val="Style13ptBold"/>
        </w:rPr>
        <w:t>Causa 19</w:t>
      </w:r>
      <w:r>
        <w:t>, and Mikkel Hermansen</w:t>
      </w:r>
      <w:r w:rsidRPr="00917E7E">
        <w:t xml:space="preserve">, </w:t>
      </w:r>
      <w:r>
        <w:t>members of the Economics Department of the OECD, 7/22/2019</w:t>
      </w:r>
      <w:r w:rsidRPr="00917E7E">
        <w:t>, "</w:t>
      </w:r>
      <w:r>
        <w:t>Income Redistribution through Taxes and Transfers across OECD Countries</w:t>
      </w:r>
      <w:r w:rsidRPr="00917E7E">
        <w:t xml:space="preserve">," </w:t>
      </w:r>
      <w:r>
        <w:t>Economic Department Working Papers</w:t>
      </w:r>
      <w:r w:rsidRPr="00917E7E">
        <w:t>,</w:t>
      </w:r>
      <w:r>
        <w:t xml:space="preserve"> No. 1453,</w:t>
      </w:r>
      <w:r w:rsidRPr="00917E7E">
        <w:t xml:space="preserve"> https://one.oecd.org/document/ECO/WKP(2017)85/En/pdf</w:t>
      </w:r>
    </w:p>
    <w:p w14:paraId="6EFFC4D6" w14:textId="77777777" w:rsidR="007048A8" w:rsidRPr="001A7084" w:rsidRDefault="007048A8" w:rsidP="007048A8">
      <w:pPr>
        <w:rPr>
          <w:sz w:val="16"/>
        </w:rPr>
      </w:pPr>
      <w:r w:rsidRPr="001A7084">
        <w:rPr>
          <w:sz w:val="16"/>
        </w:rPr>
        <w:t xml:space="preserve">25. In practice, </w:t>
      </w:r>
      <w:r w:rsidRPr="001A7084">
        <w:rPr>
          <w:rStyle w:val="Emphasis"/>
          <w:highlight w:val="cyan"/>
        </w:rPr>
        <w:t>social protection</w:t>
      </w:r>
      <w:r w:rsidRPr="001A7084">
        <w:rPr>
          <w:rStyle w:val="Emphasis"/>
        </w:rPr>
        <w:t xml:space="preserve"> systems</w:t>
      </w:r>
      <w:r w:rsidRPr="001A7084">
        <w:rPr>
          <w:sz w:val="16"/>
        </w:rPr>
        <w:t xml:space="preserve"> in all OECD countries </w:t>
      </w:r>
      <w:r w:rsidRPr="001A7084">
        <w:rPr>
          <w:rStyle w:val="StyleUnderline"/>
          <w:highlight w:val="cyan"/>
        </w:rPr>
        <w:t>involve</w:t>
      </w:r>
      <w:r w:rsidRPr="001A7084">
        <w:rPr>
          <w:rStyle w:val="StyleUnderline"/>
        </w:rPr>
        <w:t xml:space="preserve"> a </w:t>
      </w:r>
      <w:r w:rsidRPr="001A7084">
        <w:rPr>
          <w:rStyle w:val="StyleUnderline"/>
          <w:highlight w:val="cyan"/>
        </w:rPr>
        <w:t xml:space="preserve">mix of </w:t>
      </w:r>
      <w:r w:rsidRPr="001A7084">
        <w:rPr>
          <w:rStyle w:val="Emphasis"/>
          <w:highlight w:val="cyan"/>
        </w:rPr>
        <w:t>redistribution</w:t>
      </w:r>
      <w:r w:rsidRPr="001A7084">
        <w:rPr>
          <w:rStyle w:val="StyleUnderline"/>
          <w:highlight w:val="cyan"/>
        </w:rPr>
        <w:t xml:space="preserve"> between rich and poor and</w:t>
      </w:r>
      <w:r w:rsidRPr="001A7084">
        <w:rPr>
          <w:sz w:val="16"/>
        </w:rPr>
        <w:t xml:space="preserve"> risk insurance or </w:t>
      </w:r>
      <w:r w:rsidRPr="001A7084">
        <w:rPr>
          <w:rStyle w:val="Emphasis"/>
          <w:highlight w:val="cyan"/>
        </w:rPr>
        <w:t>lifecycle redistribution</w:t>
      </w:r>
      <w:r w:rsidRPr="001A7084">
        <w:rPr>
          <w:sz w:val="16"/>
        </w:rPr>
        <w:t>, but the balance between these various motives differs between countries. In turn, the extent to which social support accrues to low-income households depends primarily on the prevailing mix of insurance-type and assistance-type transfers. As a way to tentatively shed light on the balance between these two types of redistribution, Figure 6 presents the overall composition of cash transfers and that of income taxes relative to social security contributions across deciles of the household income distribution, while country-profiles are available in Annex A1 (Figure A1.2): 20</w:t>
      </w:r>
    </w:p>
    <w:p w14:paraId="652F280C" w14:textId="77777777" w:rsidR="007048A8" w:rsidRPr="001A7084" w:rsidRDefault="007048A8" w:rsidP="007048A8">
      <w:pPr>
        <w:rPr>
          <w:sz w:val="16"/>
        </w:rPr>
      </w:pPr>
      <w:r w:rsidRPr="001A7084">
        <w:rPr>
          <w:sz w:val="16"/>
        </w:rPr>
        <w:t xml:space="preserve">• </w:t>
      </w:r>
      <w:r w:rsidRPr="001A7084">
        <w:rPr>
          <w:rStyle w:val="Emphasis"/>
          <w:highlight w:val="cyan"/>
        </w:rPr>
        <w:t>Assistance transfers</w:t>
      </w:r>
      <w:r w:rsidRPr="001A7084">
        <w:rPr>
          <w:sz w:val="16"/>
        </w:rPr>
        <w:t xml:space="preserve"> (i.e. social, unemployment, family and education assistance, </w:t>
      </w:r>
      <w:r w:rsidRPr="001A7084">
        <w:rPr>
          <w:rStyle w:val="StyleUnderline"/>
          <w:highlight w:val="cyan"/>
        </w:rPr>
        <w:t>often subject to</w:t>
      </w:r>
      <w:r w:rsidRPr="001A7084">
        <w:rPr>
          <w:rStyle w:val="StyleUnderline"/>
        </w:rPr>
        <w:t xml:space="preserve"> income or assets </w:t>
      </w:r>
      <w:r w:rsidRPr="001A7084">
        <w:rPr>
          <w:rStyle w:val="Emphasis"/>
          <w:highlight w:val="cyan"/>
        </w:rPr>
        <w:t>tests</w:t>
      </w:r>
      <w:r w:rsidRPr="001A7084">
        <w:rPr>
          <w:rStyle w:val="StyleUnderline"/>
          <w:highlight w:val="cyan"/>
        </w:rPr>
        <w:t>), are</w:t>
      </w:r>
      <w:r w:rsidRPr="001A7084">
        <w:rPr>
          <w:sz w:val="16"/>
        </w:rPr>
        <w:t xml:space="preserve"> most </w:t>
      </w:r>
      <w:r w:rsidRPr="001A7084">
        <w:rPr>
          <w:rStyle w:val="Emphasis"/>
          <w:highlight w:val="cyan"/>
        </w:rPr>
        <w:t>directly targeted</w:t>
      </w:r>
      <w:r w:rsidRPr="001A7084">
        <w:rPr>
          <w:rStyle w:val="StyleUnderline"/>
          <w:highlight w:val="cyan"/>
        </w:rPr>
        <w:t xml:space="preserve"> to low-income households and are</w:t>
      </w:r>
      <w:r w:rsidRPr="001A7084">
        <w:rPr>
          <w:sz w:val="16"/>
        </w:rPr>
        <w:t xml:space="preserve"> therefore </w:t>
      </w:r>
      <w:r w:rsidRPr="001A7084">
        <w:rPr>
          <w:rStyle w:val="Emphasis"/>
          <w:highlight w:val="cyan"/>
        </w:rPr>
        <w:t>major instruments</w:t>
      </w:r>
      <w:r w:rsidRPr="001A7084">
        <w:rPr>
          <w:rStyle w:val="StyleUnderline"/>
          <w:highlight w:val="cyan"/>
        </w:rPr>
        <w:t xml:space="preserve"> of </w:t>
      </w:r>
      <w:r w:rsidRPr="001A7084">
        <w:rPr>
          <w:rStyle w:val="Emphasis"/>
          <w:highlight w:val="cyan"/>
        </w:rPr>
        <w:t>income redistribution</w:t>
      </w:r>
      <w:r w:rsidRPr="001A7084">
        <w:rPr>
          <w:rStyle w:val="StyleUnderline"/>
        </w:rPr>
        <w:t xml:space="preserve"> to </w:t>
      </w:r>
      <w:r w:rsidRPr="001A7084">
        <w:rPr>
          <w:rStyle w:val="Emphasis"/>
        </w:rPr>
        <w:t>poorer households</w:t>
      </w:r>
      <w:r w:rsidRPr="001A7084">
        <w:rPr>
          <w:rStyle w:val="StyleUnderline"/>
        </w:rPr>
        <w:t xml:space="preserve"> insofar as they secure minimum living standards</w:t>
      </w:r>
      <w:r w:rsidRPr="001A7084">
        <w:rPr>
          <w:sz w:val="16"/>
        </w:rPr>
        <w:t xml:space="preserve">.21 Indeed, on average across OECD countries, they represent around 24 per cent of disposable income at the bottom, being negligible in the upper-half and broadly absent at the top of the distribution. </w:t>
      </w:r>
    </w:p>
    <w:p w14:paraId="5D203A2F" w14:textId="77777777" w:rsidR="007048A8" w:rsidRPr="001A7084" w:rsidRDefault="007048A8" w:rsidP="007048A8">
      <w:pPr>
        <w:rPr>
          <w:sz w:val="16"/>
        </w:rPr>
      </w:pPr>
      <w:r w:rsidRPr="001A7084">
        <w:rPr>
          <w:sz w:val="16"/>
        </w:rPr>
        <w:t xml:space="preserve">• </w:t>
      </w:r>
      <w:r w:rsidRPr="001A7084">
        <w:rPr>
          <w:rStyle w:val="Emphasis"/>
        </w:rPr>
        <w:t>Insurance transfers</w:t>
      </w:r>
      <w:r w:rsidRPr="001A7084">
        <w:rPr>
          <w:sz w:val="16"/>
        </w:rPr>
        <w:t xml:space="preserve"> (i.e. unemployment insurance, sickness, maternity leave, work-injury benefits) are </w:t>
      </w:r>
      <w:r w:rsidRPr="001A7084">
        <w:rPr>
          <w:rStyle w:val="StyleUnderline"/>
        </w:rPr>
        <w:t>by definition</w:t>
      </w:r>
      <w:r w:rsidRPr="001A7084">
        <w:rPr>
          <w:sz w:val="16"/>
        </w:rPr>
        <w:t xml:space="preserve"> best suited to </w:t>
      </w:r>
      <w:r w:rsidRPr="001A7084">
        <w:rPr>
          <w:rStyle w:val="StyleUnderline"/>
        </w:rPr>
        <w:t>provide income support in the face of adverse events</w:t>
      </w:r>
      <w:r w:rsidRPr="001A7084">
        <w:rPr>
          <w:sz w:val="16"/>
        </w:rPr>
        <w:t xml:space="preserve">. In contrast to assistance transfers, the share of work-related insurance transfers in disposable income declines mildly across the distribution, from 14 per cent in the bottom decile, to 11 per cent in the fifth decile and 5 per cent in the top decile. </w:t>
      </w:r>
    </w:p>
    <w:p w14:paraId="38651782" w14:textId="77777777" w:rsidR="007048A8" w:rsidRPr="001A7084" w:rsidRDefault="007048A8" w:rsidP="007048A8">
      <w:pPr>
        <w:rPr>
          <w:sz w:val="16"/>
        </w:rPr>
      </w:pPr>
      <w:r w:rsidRPr="001A7084">
        <w:rPr>
          <w:sz w:val="16"/>
        </w:rPr>
        <w:t xml:space="preserve">• </w:t>
      </w:r>
      <w:r w:rsidRPr="001A7084">
        <w:rPr>
          <w:rStyle w:val="Emphasis"/>
          <w:highlight w:val="cyan"/>
        </w:rPr>
        <w:t>Universal transfers</w:t>
      </w:r>
      <w:r w:rsidRPr="001A7084">
        <w:rPr>
          <w:sz w:val="16"/>
        </w:rPr>
        <w:t xml:space="preserve"> (i.e. disability, family, education-related transfers covering the whole population or part of the population on the basis of criteria other than income or previous employment) contribute most to the objective of redistribution across the lifecycle. Since their eligibility is based on conditions other than income, they </w:t>
      </w:r>
      <w:r w:rsidRPr="001A7084">
        <w:rPr>
          <w:rStyle w:val="StyleUnderline"/>
          <w:highlight w:val="cyan"/>
        </w:rPr>
        <w:t xml:space="preserve">accrue to </w:t>
      </w:r>
      <w:r w:rsidRPr="001A7084">
        <w:rPr>
          <w:rStyle w:val="Emphasis"/>
          <w:highlight w:val="cyan"/>
        </w:rPr>
        <w:t>all income groups</w:t>
      </w:r>
      <w:r w:rsidRPr="001A7084">
        <w:rPr>
          <w:sz w:val="16"/>
        </w:rPr>
        <w:t xml:space="preserve"> but their share in disposable income declines sharply across the income distribution, being 1 per cent at the top and 17 per cent at the bottom. 26. </w:t>
      </w:r>
    </w:p>
    <w:p w14:paraId="1943A86D" w14:textId="2EA3B493" w:rsidR="007048A8" w:rsidRDefault="007048A8" w:rsidP="007048A8">
      <w:pPr>
        <w:pStyle w:val="Heading3"/>
      </w:pPr>
      <w:r>
        <w:t>Fiscal Redistribution---AT: Unconditional</w:t>
      </w:r>
      <w:r w:rsidR="00993063">
        <w:t>---2AC</w:t>
      </w:r>
    </w:p>
    <w:p w14:paraId="53A11B0A" w14:textId="77777777" w:rsidR="007048A8" w:rsidRPr="00AF41CA" w:rsidRDefault="007048A8" w:rsidP="007048A8">
      <w:pPr>
        <w:pStyle w:val="Heading4"/>
      </w:pPr>
      <w:r>
        <w:t xml:space="preserve">‘Fiscal redistribution’ includes </w:t>
      </w:r>
      <w:r w:rsidRPr="00AF41CA">
        <w:rPr>
          <w:u w:val="single"/>
        </w:rPr>
        <w:t>conditional</w:t>
      </w:r>
      <w:r>
        <w:t xml:space="preserve"> distribution.</w:t>
      </w:r>
    </w:p>
    <w:p w14:paraId="6697265F" w14:textId="77777777" w:rsidR="007048A8" w:rsidRPr="00AF41CA" w:rsidRDefault="007048A8" w:rsidP="007048A8">
      <w:r>
        <w:t xml:space="preserve">David </w:t>
      </w:r>
      <w:r w:rsidRPr="00AF41CA">
        <w:rPr>
          <w:rStyle w:val="Style13ptBold"/>
        </w:rPr>
        <w:t>Coady 19</w:t>
      </w:r>
      <w:r>
        <w:t xml:space="preserve">, social spending expert in the IMF's Fiscal Affairs Department, et al., 2/2019, “Fiscal Redistribution and Social Welfare” </w:t>
      </w:r>
      <w:r>
        <w:rPr>
          <w:i/>
          <w:iCs/>
        </w:rPr>
        <w:t>International Monetary Fund</w:t>
      </w:r>
      <w:r>
        <w:t xml:space="preserve">, </w:t>
      </w:r>
      <w:r w:rsidRPr="00AF41CA">
        <w:t>https://www.imf.org/en/Publications/WP/Issues/2019/03/08/Fiscal-Redistribution-and-Social-Welfare-46588</w:t>
      </w:r>
    </w:p>
    <w:p w14:paraId="4FA7FF40" w14:textId="77777777" w:rsidR="007048A8" w:rsidRPr="001A7084" w:rsidRDefault="007048A8" w:rsidP="007048A8">
      <w:pPr>
        <w:rPr>
          <w:sz w:val="16"/>
        </w:rPr>
      </w:pPr>
      <w:r w:rsidRPr="001A7084">
        <w:rPr>
          <w:rStyle w:val="Emphasis"/>
        </w:rPr>
        <w:t>Conditional</w:t>
      </w:r>
      <w:r w:rsidRPr="001A7084">
        <w:rPr>
          <w:rStyle w:val="StyleUnderline"/>
        </w:rPr>
        <w:t xml:space="preserve"> and </w:t>
      </w:r>
      <w:r w:rsidRPr="001A7084">
        <w:rPr>
          <w:rStyle w:val="Emphasis"/>
        </w:rPr>
        <w:t>Unconditional Fiscal Redistribution</w:t>
      </w:r>
      <w:r w:rsidRPr="001A7084">
        <w:rPr>
          <w:sz w:val="16"/>
        </w:rPr>
        <w:t xml:space="preserve"> </w:t>
      </w:r>
    </w:p>
    <w:p w14:paraId="7AF813F0" w14:textId="77777777" w:rsidR="007048A8" w:rsidRPr="001A7084" w:rsidRDefault="007048A8" w:rsidP="007048A8">
      <w:pPr>
        <w:rPr>
          <w:sz w:val="16"/>
        </w:rPr>
      </w:pPr>
      <w:r w:rsidRPr="001A7084">
        <w:rPr>
          <w:sz w:val="16"/>
        </w:rPr>
        <w:t xml:space="preserve">The </w:t>
      </w:r>
      <w:r w:rsidRPr="001A7084">
        <w:rPr>
          <w:rStyle w:val="StyleUnderline"/>
          <w:highlight w:val="cyan"/>
        </w:rPr>
        <w:t xml:space="preserve">decomposition of a </w:t>
      </w:r>
      <w:r w:rsidRPr="001A7084">
        <w:rPr>
          <w:rStyle w:val="Emphasis"/>
          <w:highlight w:val="cyan"/>
        </w:rPr>
        <w:t>difference</w:t>
      </w:r>
      <w:r w:rsidRPr="001A7084">
        <w:rPr>
          <w:sz w:val="16"/>
        </w:rPr>
        <w:t xml:space="preserve"> (or change) </w:t>
      </w:r>
      <w:r w:rsidRPr="001A7084">
        <w:rPr>
          <w:rStyle w:val="StyleUnderline"/>
          <w:highlight w:val="cyan"/>
        </w:rPr>
        <w:t xml:space="preserve">in </w:t>
      </w:r>
      <w:r w:rsidRPr="001A7084">
        <w:rPr>
          <w:rStyle w:val="Emphasis"/>
          <w:highlight w:val="cyan"/>
        </w:rPr>
        <w:t>fiscal redistribution</w:t>
      </w:r>
      <w:r w:rsidRPr="001A7084">
        <w:rPr>
          <w:rStyle w:val="StyleUnderline"/>
          <w:highlight w:val="cyan"/>
        </w:rPr>
        <w:t xml:space="preserve"> into its</w:t>
      </w:r>
      <w:r w:rsidRPr="001A7084">
        <w:rPr>
          <w:sz w:val="16"/>
        </w:rPr>
        <w:t xml:space="preserve"> various </w:t>
      </w:r>
      <w:r w:rsidRPr="001A7084">
        <w:rPr>
          <w:rStyle w:val="Emphasis"/>
          <w:highlight w:val="cyan"/>
        </w:rPr>
        <w:t>components</w:t>
      </w:r>
      <w:r w:rsidRPr="001A7084">
        <w:rPr>
          <w:rStyle w:val="StyleUnderline"/>
          <w:highlight w:val="cyan"/>
        </w:rPr>
        <w:t xml:space="preserve"> allows us to distinguish</w:t>
      </w:r>
      <w:r w:rsidRPr="001A7084">
        <w:rPr>
          <w:rStyle w:val="StyleUnderline"/>
        </w:rPr>
        <w:t xml:space="preserve"> between </w:t>
      </w:r>
      <w:r w:rsidRPr="001A7084">
        <w:rPr>
          <w:rStyle w:val="Emphasis"/>
          <w:highlight w:val="cyan"/>
        </w:rPr>
        <w:t>conditional</w:t>
      </w:r>
      <w:r w:rsidRPr="001A7084">
        <w:rPr>
          <w:rStyle w:val="StyleUnderline"/>
          <w:highlight w:val="cyan"/>
        </w:rPr>
        <w:t xml:space="preserve"> and </w:t>
      </w:r>
      <w:r w:rsidRPr="001A7084">
        <w:rPr>
          <w:rStyle w:val="Emphasis"/>
          <w:highlight w:val="cyan"/>
        </w:rPr>
        <w:t>unconditional fiscal redistribution</w:t>
      </w:r>
      <w:r w:rsidRPr="001A7084">
        <w:rPr>
          <w:sz w:val="16"/>
        </w:rPr>
        <w:t xml:space="preserve">, where </w:t>
      </w:r>
      <w:r w:rsidRPr="001A7084">
        <w:rPr>
          <w:rStyle w:val="StyleUnderline"/>
          <w:highlight w:val="cyan"/>
        </w:rPr>
        <w:t>the former includes differences due to targeting returns</w:t>
      </w:r>
      <w:r w:rsidRPr="001A7084">
        <w:rPr>
          <w:sz w:val="16"/>
        </w:rPr>
        <w:t xml:space="preserve"> (reflecting the initial inequality of income) </w:t>
      </w:r>
      <w:r w:rsidRPr="001A7084">
        <w:rPr>
          <w:rStyle w:val="StyleUnderline"/>
          <w:highlight w:val="cyan"/>
        </w:rPr>
        <w:t>and the latter abstracts from these differences and captures fiscal redistribution due to differences in fiscal policies</w:t>
      </w:r>
      <w:r w:rsidRPr="001A7084">
        <w:rPr>
          <w:sz w:val="16"/>
        </w:rPr>
        <w:t xml:space="preserve"> (i.e., differences in targeting performance and fiscal effort). From our decomposition analysis, the difference in conditional fiscal redistribution between each pair of countries (i and j) can be written as the sum of the differences due to each component part:</w:t>
      </w:r>
    </w:p>
    <w:p w14:paraId="1A21C84A" w14:textId="327706E5" w:rsidR="007048A8" w:rsidRDefault="007048A8" w:rsidP="007048A8">
      <w:pPr>
        <w:pStyle w:val="Heading3"/>
      </w:pPr>
      <w:r>
        <w:t>Fiscal Redistribution---AT: No Pensions</w:t>
      </w:r>
      <w:r w:rsidR="0031759C">
        <w:t>---2AC</w:t>
      </w:r>
    </w:p>
    <w:p w14:paraId="1D0D7A27" w14:textId="77777777" w:rsidR="007048A8" w:rsidRDefault="007048A8" w:rsidP="007048A8">
      <w:pPr>
        <w:pStyle w:val="Heading4"/>
      </w:pPr>
      <w:r>
        <w:t xml:space="preserve">‘Fiscal redistribution’ includes </w:t>
      </w:r>
      <w:r w:rsidRPr="00485F18">
        <w:rPr>
          <w:u w:val="single"/>
        </w:rPr>
        <w:t>pensions</w:t>
      </w:r>
      <w:r>
        <w:t>.</w:t>
      </w:r>
    </w:p>
    <w:p w14:paraId="2913F7A5" w14:textId="77777777" w:rsidR="007048A8" w:rsidRPr="00485F18" w:rsidRDefault="007048A8" w:rsidP="007048A8">
      <w:pPr>
        <w:rPr>
          <w:i/>
          <w:iCs/>
        </w:rPr>
      </w:pPr>
      <w:r>
        <w:t xml:space="preserve">Malte </w:t>
      </w:r>
      <w:r w:rsidRPr="00485F18">
        <w:rPr>
          <w:rStyle w:val="Style13ptBold"/>
        </w:rPr>
        <w:t>Luebker 15</w:t>
      </w:r>
      <w:r>
        <w:t xml:space="preserve">, Senior Researcher at the Institute of Social and Economic Research, 2015, “Redistribution policies,” </w:t>
      </w:r>
      <w:r w:rsidRPr="00485F18">
        <w:rPr>
          <w:i/>
          <w:iCs/>
        </w:rPr>
        <w:t>Labour Markets,</w:t>
      </w:r>
      <w:r>
        <w:t xml:space="preserve"> </w:t>
      </w:r>
      <w:r w:rsidRPr="00485F18">
        <w:rPr>
          <w:i/>
          <w:iCs/>
        </w:rPr>
        <w:t>Institutions and Inequality: Building Just Societies in the 21st Century</w:t>
      </w:r>
      <w:r>
        <w:t xml:space="preserve">, pp. 211-241, ISBN: 978-1-78471-209-9, </w:t>
      </w:r>
      <w:r w:rsidRPr="00D932EB">
        <w:t>http://www.e-elgar.com/shop/labour-markets-institutions-and-inequality</w:t>
      </w:r>
    </w:p>
    <w:p w14:paraId="7E1047BC" w14:textId="77777777" w:rsidR="007048A8" w:rsidRPr="001A7084" w:rsidRDefault="007048A8" w:rsidP="007048A8">
      <w:pPr>
        <w:rPr>
          <w:sz w:val="16"/>
        </w:rPr>
      </w:pPr>
      <w:r w:rsidRPr="001A7084">
        <w:rPr>
          <w:sz w:val="16"/>
        </w:rPr>
        <w:t xml:space="preserve">While the conventional analysis of fiscal redistribution has important insights to offer, it has some conceptual shortcomings. One important concern is that </w:t>
      </w:r>
      <w:r w:rsidRPr="001A7084">
        <w:rPr>
          <w:rStyle w:val="StyleUnderline"/>
        </w:rPr>
        <w:t xml:space="preserve">a </w:t>
      </w:r>
      <w:r w:rsidRPr="001A7084">
        <w:rPr>
          <w:rStyle w:val="Emphasis"/>
          <w:highlight w:val="cyan"/>
        </w:rPr>
        <w:t>snapshot</w:t>
      </w:r>
      <w:r w:rsidRPr="001A7084">
        <w:rPr>
          <w:rStyle w:val="StyleUnderline"/>
          <w:highlight w:val="cyan"/>
        </w:rPr>
        <w:t xml:space="preserve"> taken at a </w:t>
      </w:r>
      <w:r w:rsidRPr="001A7084">
        <w:rPr>
          <w:rStyle w:val="Emphasis"/>
          <w:highlight w:val="cyan"/>
        </w:rPr>
        <w:t>single point in time</w:t>
      </w:r>
      <w:r w:rsidRPr="001A7084">
        <w:rPr>
          <w:sz w:val="16"/>
        </w:rPr>
        <w:t xml:space="preserve"> (usually for a given year) </w:t>
      </w:r>
      <w:r w:rsidRPr="001A7084">
        <w:rPr>
          <w:rStyle w:val="StyleUnderline"/>
          <w:highlight w:val="cyan"/>
        </w:rPr>
        <w:t xml:space="preserve">focuses only on </w:t>
      </w:r>
      <w:r w:rsidRPr="001A7084">
        <w:rPr>
          <w:rStyle w:val="Emphasis"/>
          <w:highlight w:val="cyan"/>
        </w:rPr>
        <w:t>inter-personal redistribution</w:t>
      </w:r>
      <w:r w:rsidRPr="001A7084">
        <w:rPr>
          <w:rStyle w:val="StyleUnderline"/>
          <w:highlight w:val="cyan"/>
        </w:rPr>
        <w:t xml:space="preserve">, ignoring </w:t>
      </w:r>
      <w:r w:rsidRPr="001A7084">
        <w:rPr>
          <w:rStyle w:val="Emphasis"/>
          <w:highlight w:val="cyan"/>
        </w:rPr>
        <w:t>life-cycle redistribution</w:t>
      </w:r>
      <w:r w:rsidRPr="001A7084">
        <w:rPr>
          <w:sz w:val="16"/>
        </w:rPr>
        <w:t xml:space="preserve">. For instance, old-age </w:t>
      </w:r>
      <w:r w:rsidRPr="001A7084">
        <w:rPr>
          <w:rStyle w:val="Emphasis"/>
          <w:highlight w:val="cyan"/>
        </w:rPr>
        <w:t>pensions</w:t>
      </w:r>
      <w:r w:rsidRPr="001A7084">
        <w:rPr>
          <w:rStyle w:val="StyleUnderline"/>
          <w:highlight w:val="cyan"/>
        </w:rPr>
        <w:t xml:space="preserve"> </w:t>
      </w:r>
      <w:r w:rsidRPr="001A7084">
        <w:rPr>
          <w:rStyle w:val="Emphasis"/>
          <w:highlight w:val="cyan"/>
        </w:rPr>
        <w:t>appear</w:t>
      </w:r>
      <w:r w:rsidRPr="001A7084">
        <w:rPr>
          <w:rStyle w:val="StyleUnderline"/>
          <w:highlight w:val="cyan"/>
        </w:rPr>
        <w:t xml:space="preserve"> as if they were a transfer from the </w:t>
      </w:r>
      <w:r w:rsidRPr="001A7084">
        <w:rPr>
          <w:rStyle w:val="Emphasis"/>
          <w:highlight w:val="cyan"/>
        </w:rPr>
        <w:t>young</w:t>
      </w:r>
      <w:r w:rsidRPr="001A7084">
        <w:rPr>
          <w:sz w:val="16"/>
        </w:rPr>
        <w:t xml:space="preserve"> (who pay contributions and/or taxes to fund them) </w:t>
      </w:r>
      <w:r w:rsidRPr="001A7084">
        <w:rPr>
          <w:rStyle w:val="StyleUnderline"/>
          <w:highlight w:val="cyan"/>
        </w:rPr>
        <w:t xml:space="preserve">to the </w:t>
      </w:r>
      <w:r w:rsidRPr="001A7084">
        <w:rPr>
          <w:rStyle w:val="Emphasis"/>
          <w:highlight w:val="cyan"/>
        </w:rPr>
        <w:t>old</w:t>
      </w:r>
      <w:r w:rsidRPr="001A7084">
        <w:rPr>
          <w:sz w:val="16"/>
        </w:rPr>
        <w:t xml:space="preserve"> (who receive pensions). </w:t>
      </w:r>
      <w:r w:rsidRPr="001A7084">
        <w:rPr>
          <w:rStyle w:val="Emphasis"/>
          <w:highlight w:val="cyan"/>
        </w:rPr>
        <w:t>In reality</w:t>
      </w:r>
      <w:r w:rsidRPr="001A7084">
        <w:rPr>
          <w:rStyle w:val="StyleUnderline"/>
          <w:highlight w:val="cyan"/>
        </w:rPr>
        <w:t xml:space="preserve">, the young and the old are </w:t>
      </w:r>
      <w:r w:rsidRPr="001A7084">
        <w:rPr>
          <w:rStyle w:val="Emphasis"/>
          <w:highlight w:val="cyan"/>
        </w:rPr>
        <w:t>not</w:t>
      </w:r>
      <w:r w:rsidRPr="001A7084">
        <w:rPr>
          <w:sz w:val="16"/>
        </w:rPr>
        <w:t xml:space="preserve"> two </w:t>
      </w:r>
      <w:r w:rsidRPr="001A7084">
        <w:rPr>
          <w:rStyle w:val="Emphasis"/>
          <w:highlight w:val="cyan"/>
        </w:rPr>
        <w:t>distinct</w:t>
      </w:r>
      <w:r w:rsidRPr="001A7084">
        <w:rPr>
          <w:sz w:val="16"/>
        </w:rPr>
        <w:t xml:space="preserve"> groups, </w:t>
      </w:r>
      <w:r w:rsidRPr="001A7084">
        <w:rPr>
          <w:rStyle w:val="StyleUnderline"/>
        </w:rPr>
        <w:t>but young workers will grow old over time so that today’s contributors are tomorrow’s beneficiaries</w:t>
      </w:r>
      <w:r w:rsidRPr="001A7084">
        <w:rPr>
          <w:sz w:val="16"/>
        </w:rPr>
        <w:t xml:space="preserve">. There is of course no guarantee that an individual’s benefits will be equal to her or his contributions (those who die young will not receive anything in return, and those who are blessed with longevity will generally gain more). </w:t>
      </w:r>
      <w:r w:rsidRPr="001A7084">
        <w:rPr>
          <w:rStyle w:val="Emphasis"/>
          <w:highlight w:val="cyan"/>
        </w:rPr>
        <w:t>Pension systems</w:t>
      </w:r>
      <w:r w:rsidRPr="001A7084">
        <w:rPr>
          <w:rStyle w:val="StyleUnderline"/>
          <w:highlight w:val="cyan"/>
        </w:rPr>
        <w:t xml:space="preserve"> therefore </w:t>
      </w:r>
      <w:r w:rsidRPr="001A7084">
        <w:rPr>
          <w:rStyle w:val="Emphasis"/>
          <w:highlight w:val="cyan"/>
        </w:rPr>
        <w:t>remain redistributive</w:t>
      </w:r>
      <w:r w:rsidRPr="001A7084">
        <w:rPr>
          <w:sz w:val="16"/>
        </w:rPr>
        <w:t xml:space="preserve"> – albeit to different degrees, depending on their design (see Chapter 9 by C. Behrendt and J. Woodall).</w:t>
      </w:r>
    </w:p>
    <w:p w14:paraId="10F7624F" w14:textId="006A6FEE" w:rsidR="002F59CF" w:rsidRDefault="002F59CF" w:rsidP="002F59CF">
      <w:pPr>
        <w:pStyle w:val="Heading2"/>
      </w:pPr>
      <w:r>
        <w:t>In---Neg</w:t>
      </w:r>
    </w:p>
    <w:p w14:paraId="4FE509C2" w14:textId="22423593" w:rsidR="002F59CF" w:rsidRDefault="002F59CF" w:rsidP="002F59CF">
      <w:pPr>
        <w:pStyle w:val="Heading3"/>
      </w:pPr>
      <w:r>
        <w:t>In---</w:t>
      </w:r>
      <w:r w:rsidR="00E777C7">
        <w:t xml:space="preserve">No </w:t>
      </w:r>
      <w:r>
        <w:t>Deficit Spending---1NC</w:t>
      </w:r>
    </w:p>
    <w:p w14:paraId="15CD667B" w14:textId="2A8CB058" w:rsidR="002F59CF" w:rsidRPr="002F59CF" w:rsidRDefault="002F59CF" w:rsidP="002F59CF">
      <w:pPr>
        <w:pStyle w:val="Heading4"/>
      </w:pPr>
      <w:r>
        <w:t xml:space="preserve">Deficit spending is financed </w:t>
      </w:r>
      <w:r w:rsidRPr="002F59CF">
        <w:rPr>
          <w:u w:val="single"/>
        </w:rPr>
        <w:t>overseas</w:t>
      </w:r>
      <w:r>
        <w:t>---violates ‘in the U.S.’</w:t>
      </w:r>
    </w:p>
    <w:p w14:paraId="74414049" w14:textId="5CB469E6" w:rsidR="002F59CF" w:rsidRPr="002F59CF" w:rsidRDefault="002F59CF" w:rsidP="002F59CF">
      <w:r w:rsidRPr="002F59CF">
        <w:rPr>
          <w:rStyle w:val="Style13ptBold"/>
        </w:rPr>
        <w:t>CRS 23</w:t>
      </w:r>
      <w:r>
        <w:t xml:space="preserve"> – Congressional Research Service, 6/9/2023, “Foreign Holdings of Federal Debt,” </w:t>
      </w:r>
      <w:r w:rsidRPr="002F59CF">
        <w:t>https://sgp.fas.org/crs/misc/RS22331.pdf</w:t>
      </w:r>
    </w:p>
    <w:p w14:paraId="331BFAF3" w14:textId="6F15CF4E" w:rsidR="002F59CF" w:rsidRPr="00E777C7" w:rsidRDefault="002F59CF" w:rsidP="002F59CF">
      <w:pPr>
        <w:rPr>
          <w:sz w:val="16"/>
        </w:rPr>
      </w:pPr>
      <w:r w:rsidRPr="00E777C7">
        <w:rPr>
          <w:sz w:val="16"/>
        </w:rPr>
        <w:t>This report presents current data on ownership of U.S. Treasury securities and major holders of federal debt by country. Federal debt represents the accumulated balance of borrowing by the federal government. The gross debt is composed of debt held by the public and intragovernmental debt held by federal trust funds</w:t>
      </w:r>
      <w:r w:rsidRPr="00B96591">
        <w:rPr>
          <w:sz w:val="16"/>
        </w:rPr>
        <w:t xml:space="preserve">. </w:t>
      </w:r>
      <w:r w:rsidRPr="00B96591">
        <w:rPr>
          <w:rStyle w:val="StyleUnderline"/>
          <w:highlight w:val="cyan"/>
        </w:rPr>
        <w:t xml:space="preserve">To </w:t>
      </w:r>
      <w:r w:rsidRPr="00B96591">
        <w:rPr>
          <w:rStyle w:val="Emphasis"/>
          <w:highlight w:val="cyan"/>
        </w:rPr>
        <w:t>finance</w:t>
      </w:r>
      <w:r w:rsidRPr="00E777C7">
        <w:rPr>
          <w:sz w:val="16"/>
        </w:rPr>
        <w:t xml:space="preserve"> the publicly held </w:t>
      </w:r>
      <w:r w:rsidRPr="00B96591">
        <w:rPr>
          <w:rStyle w:val="Emphasis"/>
          <w:highlight w:val="cyan"/>
        </w:rPr>
        <w:t>debt</w:t>
      </w:r>
      <w:r w:rsidRPr="00B96591">
        <w:rPr>
          <w:rStyle w:val="StyleUnderline"/>
          <w:highlight w:val="cyan"/>
        </w:rPr>
        <w:t>, U.</w:t>
      </w:r>
      <w:r w:rsidRPr="004D11F0">
        <w:rPr>
          <w:rStyle w:val="StyleUnderline"/>
          <w:highlight w:val="cyan"/>
        </w:rPr>
        <w:t xml:space="preserve">S. Treasury securities are sold to </w:t>
      </w:r>
      <w:r w:rsidRPr="004D11F0">
        <w:rPr>
          <w:rStyle w:val="Emphasis"/>
          <w:highlight w:val="cyan"/>
        </w:rPr>
        <w:t>investors</w:t>
      </w:r>
      <w:r w:rsidRPr="002F59CF">
        <w:rPr>
          <w:rStyle w:val="StyleUnderline"/>
        </w:rPr>
        <w:t xml:space="preserve">. Treasury </w:t>
      </w:r>
      <w:r w:rsidRPr="004D11F0">
        <w:rPr>
          <w:rStyle w:val="StyleUnderline"/>
          <w:highlight w:val="cyan"/>
        </w:rPr>
        <w:t>securities may be purchased</w:t>
      </w:r>
      <w:r w:rsidRPr="00E777C7">
        <w:rPr>
          <w:sz w:val="16"/>
        </w:rPr>
        <w:t xml:space="preserve"> directly </w:t>
      </w:r>
      <w:r w:rsidRPr="002F59CF">
        <w:rPr>
          <w:rStyle w:val="StyleUnderline"/>
        </w:rPr>
        <w:t>from the Treasury</w:t>
      </w:r>
      <w:r w:rsidRPr="00E777C7">
        <w:rPr>
          <w:sz w:val="16"/>
        </w:rPr>
        <w:t xml:space="preserve"> or on the secondary market </w:t>
      </w:r>
      <w:r w:rsidRPr="004D11F0">
        <w:rPr>
          <w:rStyle w:val="StyleUnderline"/>
          <w:highlight w:val="cyan"/>
        </w:rPr>
        <w:t>by</w:t>
      </w:r>
      <w:r w:rsidRPr="00E777C7">
        <w:rPr>
          <w:sz w:val="16"/>
        </w:rPr>
        <w:t xml:space="preserve"> individual private </w:t>
      </w:r>
      <w:r w:rsidRPr="004D11F0">
        <w:rPr>
          <w:rStyle w:val="StyleUnderline"/>
          <w:highlight w:val="cyan"/>
        </w:rPr>
        <w:t>investors</w:t>
      </w:r>
      <w:r w:rsidRPr="00E777C7">
        <w:rPr>
          <w:sz w:val="16"/>
        </w:rPr>
        <w:t xml:space="preserve">; the Federal Reserve; financial </w:t>
      </w:r>
      <w:r w:rsidRPr="002F59CF">
        <w:rPr>
          <w:rStyle w:val="StyleUnderline"/>
        </w:rPr>
        <w:t xml:space="preserve">institutions </w:t>
      </w:r>
      <w:r w:rsidRPr="00631854">
        <w:rPr>
          <w:rStyle w:val="StyleUnderline"/>
        </w:rPr>
        <w:t>in the United States</w:t>
      </w:r>
      <w:r w:rsidRPr="002F59CF">
        <w:rPr>
          <w:rStyle w:val="StyleUnderline"/>
        </w:rPr>
        <w:t xml:space="preserve"> </w:t>
      </w:r>
      <w:r w:rsidRPr="00631854">
        <w:rPr>
          <w:rStyle w:val="StyleUnderline"/>
        </w:rPr>
        <w:t xml:space="preserve">or </w:t>
      </w:r>
      <w:r w:rsidRPr="00631854">
        <w:rPr>
          <w:rStyle w:val="Emphasis"/>
          <w:highlight w:val="cyan"/>
        </w:rPr>
        <w:t>overseas</w:t>
      </w:r>
      <w:r w:rsidRPr="00E777C7">
        <w:rPr>
          <w:sz w:val="16"/>
        </w:rPr>
        <w:t>; and foreign, state, or local governments.</w:t>
      </w:r>
    </w:p>
    <w:p w14:paraId="3F90E01D" w14:textId="34B42CF2" w:rsidR="002F59CF" w:rsidRPr="00E777C7" w:rsidRDefault="002F59CF" w:rsidP="002F59CF">
      <w:pPr>
        <w:rPr>
          <w:sz w:val="16"/>
        </w:rPr>
      </w:pPr>
      <w:r w:rsidRPr="00E777C7">
        <w:rPr>
          <w:sz w:val="16"/>
        </w:rPr>
        <w:t xml:space="preserve">As of December 2022, there was $24.4 trillion of publicly held debt outstanding, up from $16.1 trillion in December 2018, an $8.4 trillion increase (figures are rounded). During the same period, </w:t>
      </w:r>
      <w:r w:rsidRPr="004D11F0">
        <w:rPr>
          <w:rStyle w:val="Emphasis"/>
          <w:highlight w:val="cyan"/>
        </w:rPr>
        <w:t>foreign holdings</w:t>
      </w:r>
      <w:r w:rsidRPr="004D11F0">
        <w:rPr>
          <w:rStyle w:val="StyleUnderline"/>
          <w:highlight w:val="cyan"/>
        </w:rPr>
        <w:t xml:space="preserve"> of debt increased by $1.1 trillion to</w:t>
      </w:r>
      <w:r w:rsidRPr="002F59CF">
        <w:rPr>
          <w:rStyle w:val="StyleUnderline"/>
        </w:rPr>
        <w:t xml:space="preserve"> a total of approximately </w:t>
      </w:r>
      <w:r w:rsidRPr="004D11F0">
        <w:rPr>
          <w:rStyle w:val="Emphasis"/>
          <w:highlight w:val="cyan"/>
        </w:rPr>
        <w:t>$7.4 trillion</w:t>
      </w:r>
      <w:r w:rsidRPr="00E777C7">
        <w:rPr>
          <w:sz w:val="16"/>
        </w:rPr>
        <w:t xml:space="preserve">. After staying relatively flat in dollar terms for several years, overall </w:t>
      </w:r>
      <w:r w:rsidRPr="00F619F8">
        <w:rPr>
          <w:rStyle w:val="StyleUnderline"/>
        </w:rPr>
        <w:t xml:space="preserve">foreign holdings </w:t>
      </w:r>
      <w:r w:rsidRPr="00F619F8">
        <w:rPr>
          <w:rStyle w:val="Emphasis"/>
        </w:rPr>
        <w:t>increased</w:t>
      </w:r>
      <w:r w:rsidRPr="00E777C7">
        <w:rPr>
          <w:sz w:val="16"/>
        </w:rPr>
        <w:t xml:space="preserve"> in 2019, 2020, and 2021, then fell in 2022. Because the total debt has increased faster than the debt held by foreigners has, the share of federal debt held by foreigners has declined in recent years. In December 2022, foreigners held 30% of the publicly held debt. Interest on the debt paid to foreigners in 2022 was $184.4 billion.</w:t>
      </w:r>
    </w:p>
    <w:p w14:paraId="771BF707" w14:textId="1985F881" w:rsidR="002F59CF" w:rsidRPr="00E777C7" w:rsidRDefault="002F59CF" w:rsidP="002F59CF">
      <w:pPr>
        <w:rPr>
          <w:sz w:val="16"/>
        </w:rPr>
      </w:pPr>
      <w:r w:rsidRPr="00E777C7">
        <w:rPr>
          <w:sz w:val="16"/>
        </w:rPr>
        <w:t>Foreign holdings can be divided into official (governmental investment) and private sources: 50.3% ($3.7 trillion) of foreign holdings in U.S. federal debt are held by governmental sources, and private investors hold the other 49.7% ($3.6 trillion).</w:t>
      </w:r>
    </w:p>
    <w:p w14:paraId="446487C1" w14:textId="32E8BFE6" w:rsidR="002F59CF" w:rsidRPr="00E777C7" w:rsidRDefault="002F59CF" w:rsidP="002F59CF">
      <w:pPr>
        <w:rPr>
          <w:sz w:val="16"/>
        </w:rPr>
      </w:pPr>
      <w:r w:rsidRPr="00E777C7">
        <w:rPr>
          <w:sz w:val="16"/>
        </w:rPr>
        <w:t>Including private investors and governments, the top three estimated foreign holders of federal debt by country, as of December 2022, are Japan ($1.1 trillion), China ($0.9 trillion), and the United Kingdom ($0.7 trillion). Based on these estimates, Japan holds approximately 14.7% of all foreign investment in U.S. publicly held federal debt, China holds approximately 11.8%, and the United Kingdom holds approximately 8.9%.</w:t>
      </w:r>
    </w:p>
    <w:p w14:paraId="4CED20B2" w14:textId="71BE5E2F" w:rsidR="002F59CF" w:rsidRPr="00E777C7" w:rsidRDefault="002F59CF" w:rsidP="002F59CF">
      <w:pPr>
        <w:rPr>
          <w:sz w:val="16"/>
        </w:rPr>
      </w:pPr>
      <w:r w:rsidRPr="00E777C7">
        <w:rPr>
          <w:sz w:val="16"/>
        </w:rPr>
        <w:t>From an economic perspective, foreign holdings of federal debt can be viewed in the broader context of U.S. savings, investment, and borrowing from abroad. For decades, the United States has saved less than it invests. Domestic saving is composed of saving by U.S. households, businesses, and governments. By accounting identity, when the government runs budget deficits, it reduces domestic saving. By the same accounting identity, the shortfall between U.S. saving and physical investment is met by borrowing from abroad. To be a net borrower from abroad, the United States must run a trade deficit (i.e., it must buy more imports from foreigners than it sells in exports to foreigners). Borrowing from abroad has occurred through foreign purchases of both U.S. government and U.S. private securities and other assets.</w:t>
      </w:r>
    </w:p>
    <w:p w14:paraId="7400DCF0" w14:textId="6001A40B" w:rsidR="002F59CF" w:rsidRPr="00E777C7" w:rsidRDefault="002F59CF" w:rsidP="002F59CF">
      <w:pPr>
        <w:rPr>
          <w:sz w:val="16"/>
        </w:rPr>
      </w:pPr>
      <w:r w:rsidRPr="004D11F0">
        <w:rPr>
          <w:rStyle w:val="StyleUnderline"/>
          <w:highlight w:val="cyan"/>
        </w:rPr>
        <w:t xml:space="preserve">As a result of </w:t>
      </w:r>
      <w:r w:rsidRPr="004D11F0">
        <w:rPr>
          <w:rStyle w:val="Emphasis"/>
          <w:highlight w:val="cyan"/>
        </w:rPr>
        <w:t>foreign purchases</w:t>
      </w:r>
      <w:r w:rsidRPr="004D11F0">
        <w:rPr>
          <w:rStyle w:val="StyleUnderline"/>
          <w:highlight w:val="cyan"/>
        </w:rPr>
        <w:t xml:space="preserve"> of </w:t>
      </w:r>
      <w:r w:rsidRPr="004D11F0">
        <w:rPr>
          <w:rStyle w:val="Emphasis"/>
          <w:highlight w:val="cyan"/>
        </w:rPr>
        <w:t>Treasury securities</w:t>
      </w:r>
      <w:r w:rsidRPr="004D11F0">
        <w:rPr>
          <w:rStyle w:val="StyleUnderline"/>
          <w:highlight w:val="cyan"/>
        </w:rPr>
        <w:t xml:space="preserve">, the federal government must send U.S. income </w:t>
      </w:r>
      <w:r w:rsidRPr="004D11F0">
        <w:rPr>
          <w:rStyle w:val="Emphasis"/>
          <w:highlight w:val="cyan"/>
        </w:rPr>
        <w:t>abroad to foreigners</w:t>
      </w:r>
      <w:r w:rsidRPr="00E777C7">
        <w:rPr>
          <w:sz w:val="16"/>
        </w:rPr>
        <w:t xml:space="preserve">. If the overall economy is larger as a result of federal borrowing (because the borrowing stimulated economic recovery or was used to productively add to the U.S. capital stock, for example), then this outcome may leave the United States better off overall on net despite the transfer of income abroad. In other words, without foreign borrowing, U.S. income would be lower than it currently is net of foreign interest payments in this scenario. </w:t>
      </w:r>
    </w:p>
    <w:p w14:paraId="17D8C222" w14:textId="315DF321" w:rsidR="002F59CF" w:rsidRDefault="002F59CF" w:rsidP="002F59CF">
      <w:pPr>
        <w:pStyle w:val="Heading2"/>
      </w:pPr>
      <w:r>
        <w:t>In---Aff</w:t>
      </w:r>
    </w:p>
    <w:p w14:paraId="7C66D4EF" w14:textId="1C4C83DD" w:rsidR="002F59CF" w:rsidRDefault="002F59CF" w:rsidP="002F59CF">
      <w:pPr>
        <w:pStyle w:val="Heading3"/>
      </w:pPr>
      <w:r>
        <w:t>In---</w:t>
      </w:r>
      <w:r w:rsidR="004D11F0">
        <w:t xml:space="preserve">AT: No </w:t>
      </w:r>
      <w:r>
        <w:t>Deficit Spending</w:t>
      </w:r>
      <w:r w:rsidR="004D11F0">
        <w:t>---2AC</w:t>
      </w:r>
    </w:p>
    <w:p w14:paraId="0EF7C4BE" w14:textId="115469C3" w:rsidR="004D11F0" w:rsidRPr="004D11F0" w:rsidRDefault="004D11F0" w:rsidP="004D11F0">
      <w:pPr>
        <w:pStyle w:val="Heading4"/>
      </w:pPr>
      <w:r>
        <w:t xml:space="preserve">Most holding of Federal debt is </w:t>
      </w:r>
      <w:r w:rsidRPr="004D11F0">
        <w:rPr>
          <w:u w:val="single"/>
        </w:rPr>
        <w:t>domestic</w:t>
      </w:r>
      <w:r>
        <w:t>.</w:t>
      </w:r>
    </w:p>
    <w:p w14:paraId="073658A0" w14:textId="5C293B33" w:rsidR="004D11F0" w:rsidRPr="004D11F0" w:rsidRDefault="004D11F0" w:rsidP="004D11F0">
      <w:r w:rsidRPr="002F59CF">
        <w:rPr>
          <w:rStyle w:val="Style13ptBold"/>
        </w:rPr>
        <w:t>CRS 23</w:t>
      </w:r>
      <w:r>
        <w:t xml:space="preserve"> – Congressional Research Service, 6/9/2023, “Foreign Holdings of Federal Debt,” </w:t>
      </w:r>
      <w:r w:rsidRPr="002F59CF">
        <w:t>https://sgp.fas.org/crs/misc/RS22331.pdf</w:t>
      </w:r>
    </w:p>
    <w:p w14:paraId="54894665" w14:textId="0B26F0BA" w:rsidR="002F59CF" w:rsidRDefault="002F59CF" w:rsidP="002F59CF">
      <w:r w:rsidRPr="002F59CF">
        <w:rPr>
          <w:noProof/>
        </w:rPr>
        <w:drawing>
          <wp:inline distT="0" distB="0" distL="0" distR="0" wp14:anchorId="6FEDC72A" wp14:editId="3481A41C">
            <wp:extent cx="4952926" cy="3395704"/>
            <wp:effectExtent l="0" t="0" r="635" b="0"/>
            <wp:docPr id="2057124097" name="Picture 1" descr="A picture containing text, screensh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24097" name="Picture 1" descr="A picture containing text, screenshot, line&#10;&#10;Description automatically generated"/>
                    <pic:cNvPicPr/>
                  </pic:nvPicPr>
                  <pic:blipFill>
                    <a:blip r:embed="rId8"/>
                    <a:stretch>
                      <a:fillRect/>
                    </a:stretch>
                  </pic:blipFill>
                  <pic:spPr>
                    <a:xfrm>
                      <a:off x="0" y="0"/>
                      <a:ext cx="4971077" cy="3408148"/>
                    </a:xfrm>
                    <a:prstGeom prst="rect">
                      <a:avLst/>
                    </a:prstGeom>
                  </pic:spPr>
                </pic:pic>
              </a:graphicData>
            </a:graphic>
          </wp:inline>
        </w:drawing>
      </w:r>
    </w:p>
    <w:p w14:paraId="408BCB4D" w14:textId="77777777" w:rsidR="002F59CF" w:rsidRPr="002F59CF" w:rsidRDefault="002F59CF" w:rsidP="002F59CF"/>
    <w:p w14:paraId="4941D4EE" w14:textId="257C205E" w:rsidR="00993063" w:rsidRDefault="00993063" w:rsidP="00993063">
      <w:pPr>
        <w:pStyle w:val="Heading2"/>
      </w:pPr>
      <w:r>
        <w:t>Expand</w:t>
      </w:r>
      <w:r w:rsidR="00400246">
        <w:t>---Neg</w:t>
      </w:r>
    </w:p>
    <w:p w14:paraId="3B20166E" w14:textId="54C31E2B" w:rsidR="00993063" w:rsidRDefault="00993063" w:rsidP="00993063">
      <w:pPr>
        <w:pStyle w:val="Heading3"/>
      </w:pPr>
      <w:r>
        <w:t xml:space="preserve">Expand---Increase </w:t>
      </w:r>
      <w:r w:rsidR="00AB70DB">
        <w:t>Partipicants</w:t>
      </w:r>
      <w:r>
        <w:t>---1NC</w:t>
      </w:r>
    </w:p>
    <w:p w14:paraId="399494BF" w14:textId="1BEF5747" w:rsidR="00993063" w:rsidRPr="00993063" w:rsidRDefault="00993063" w:rsidP="00993063">
      <w:pPr>
        <w:pStyle w:val="Heading4"/>
      </w:pPr>
      <w:r>
        <w:t xml:space="preserve">‘Expand’ requires ‘significantly increasing enrollment’ </w:t>
      </w:r>
      <w:r w:rsidR="00D17AEB">
        <w:t>in</w:t>
      </w:r>
      <w:r>
        <w:t xml:space="preserve"> Social Security.</w:t>
      </w:r>
    </w:p>
    <w:p w14:paraId="5484CD4A" w14:textId="5FE63322" w:rsidR="00993063" w:rsidRPr="00993063" w:rsidRDefault="00993063" w:rsidP="00993063">
      <w:r w:rsidRPr="00993063">
        <w:rPr>
          <w:rStyle w:val="Style13ptBold"/>
        </w:rPr>
        <w:t>ESEA 65</w:t>
      </w:r>
      <w:r>
        <w:t xml:space="preserve"> – the Elementary and Secondary Education Act, </w:t>
      </w:r>
      <w:r w:rsidRPr="00993063">
        <w:t>https://oese.ed.gov/files/2019/11/Statute-for-website.pdf</w:t>
      </w:r>
    </w:p>
    <w:p w14:paraId="0FE6E8A5" w14:textId="65F905F5" w:rsidR="00993063" w:rsidRDefault="00993063" w:rsidP="00993063">
      <w:r>
        <w:t>(7) EXPAND.—</w:t>
      </w:r>
      <w:r w:rsidRPr="00993063">
        <w:rPr>
          <w:rStyle w:val="StyleUnderline"/>
          <w:highlight w:val="cyan"/>
        </w:rPr>
        <w:t>The term ‘‘</w:t>
      </w:r>
      <w:r w:rsidRPr="00993063">
        <w:rPr>
          <w:rStyle w:val="Emphasis"/>
          <w:highlight w:val="cyan"/>
        </w:rPr>
        <w:t>expand</w:t>
      </w:r>
      <w:r w:rsidRPr="00993063">
        <w:rPr>
          <w:rStyle w:val="StyleUnderline"/>
          <w:highlight w:val="cyan"/>
        </w:rPr>
        <w:t>’’</w:t>
      </w:r>
      <w:r>
        <w:t xml:space="preserve">, when used with respect to a high-quality charter school, </w:t>
      </w:r>
      <w:r w:rsidRPr="00993063">
        <w:rPr>
          <w:rStyle w:val="StyleUnderline"/>
          <w:highlight w:val="cyan"/>
        </w:rPr>
        <w:t xml:space="preserve">means to </w:t>
      </w:r>
      <w:r w:rsidRPr="00993063">
        <w:rPr>
          <w:rStyle w:val="Emphasis"/>
          <w:highlight w:val="cyan"/>
        </w:rPr>
        <w:t>significantly increase enrollment</w:t>
      </w:r>
      <w:r>
        <w:t xml:space="preserve"> or add one or more grades to the high-quality charter school.</w:t>
      </w:r>
    </w:p>
    <w:p w14:paraId="492B5E18" w14:textId="77777777" w:rsidR="00AB70DB" w:rsidRDefault="00AB70DB" w:rsidP="00993063"/>
    <w:p w14:paraId="1BCF2F8A" w14:textId="2645E3CE" w:rsidR="00AB70DB" w:rsidRDefault="00474E75" w:rsidP="00AB70DB">
      <w:pPr>
        <w:pStyle w:val="Heading4"/>
      </w:pPr>
      <w:r>
        <w:t>‘</w:t>
      </w:r>
      <w:r w:rsidR="00AB70DB">
        <w:t>Expand</w:t>
      </w:r>
      <w:r>
        <w:t>’</w:t>
      </w:r>
      <w:r w:rsidR="00AB70DB">
        <w:t xml:space="preserve"> means to add </w:t>
      </w:r>
      <w:r w:rsidR="00AB70DB" w:rsidRPr="00AB70DB">
        <w:rPr>
          <w:u w:val="single"/>
        </w:rPr>
        <w:t>new participants</w:t>
      </w:r>
      <w:r w:rsidR="00AB70DB">
        <w:t>.</w:t>
      </w:r>
    </w:p>
    <w:p w14:paraId="47A76F3B" w14:textId="2DDBEE79" w:rsidR="00AB70DB" w:rsidRDefault="00AB70DB" w:rsidP="00993063">
      <w:r w:rsidRPr="00AB70DB">
        <w:rPr>
          <w:rStyle w:val="Style13ptBold"/>
        </w:rPr>
        <w:t>FR 91</w:t>
      </w:r>
      <w:r>
        <w:t xml:space="preserve"> – Federal Register, </w:t>
      </w:r>
      <w:r w:rsidR="003B2779">
        <w:t xml:space="preserve">1991, </w:t>
      </w:r>
      <w:r>
        <w:t xml:space="preserve">“Proposed Regulations, Federal Register, National and Community Service Grant Programs,” </w:t>
      </w:r>
      <w:r w:rsidRPr="00AB70DB">
        <w:rPr>
          <w:bdr w:val="none" w:sz="0" w:space="0" w:color="auto" w:frame="1"/>
        </w:rPr>
        <w:t>56 FR 57404</w:t>
      </w:r>
    </w:p>
    <w:p w14:paraId="0063B097" w14:textId="77777777" w:rsidR="00AB70DB" w:rsidRDefault="00AB70DB" w:rsidP="00993063">
      <w:r>
        <w:t xml:space="preserve">The purpose of the program is to provide grants for the creation or expansion of full-time or summer youth service or conservation corps programs. Funds may be used to expand an existing program, but cannot be used to supplant existing funds for any program. </w:t>
      </w:r>
      <w:r w:rsidRPr="00AB70DB">
        <w:rPr>
          <w:rStyle w:val="StyleUnderline"/>
          <w:highlight w:val="cyan"/>
        </w:rPr>
        <w:t>The Commission interprets the term "</w:t>
      </w:r>
      <w:r w:rsidRPr="00AB70DB">
        <w:rPr>
          <w:rStyle w:val="Emphasis"/>
          <w:highlight w:val="cyan"/>
        </w:rPr>
        <w:t>expand</w:t>
      </w:r>
      <w:r w:rsidRPr="00AB70DB">
        <w:rPr>
          <w:rStyle w:val="StyleUnderline"/>
          <w:highlight w:val="cyan"/>
        </w:rPr>
        <w:t>"</w:t>
      </w:r>
      <w:r>
        <w:t xml:space="preserve"> broadly </w:t>
      </w:r>
      <w:r w:rsidRPr="00AB70DB">
        <w:rPr>
          <w:rStyle w:val="StyleUnderline"/>
          <w:highlight w:val="cyan"/>
        </w:rPr>
        <w:t xml:space="preserve">to mean the addition of </w:t>
      </w:r>
      <w:r w:rsidRPr="00AB70DB">
        <w:rPr>
          <w:rStyle w:val="Emphasis"/>
          <w:highlight w:val="cyan"/>
        </w:rPr>
        <w:t>new participants</w:t>
      </w:r>
      <w:r>
        <w:t>, an increase in the number of hours or weeks during which the program operates, the involvement of an existing program in new types of service, or the improvement of an existing program consistent with the purposes and requirements of the Act. The Commission interprets the term "full-time" to mean a corps operating 30 or more hours per week for more than six months of the year.</w:t>
      </w:r>
    </w:p>
    <w:p w14:paraId="6E1A9159" w14:textId="77777777" w:rsidR="00AB70DB" w:rsidRDefault="00AB70DB" w:rsidP="00993063"/>
    <w:p w14:paraId="78F948F3" w14:textId="0B7A4E4D" w:rsidR="00AB70DB" w:rsidRDefault="00AB70DB" w:rsidP="00993063"/>
    <w:p w14:paraId="53B4BB7B" w14:textId="5C476A37" w:rsidR="00400246" w:rsidRDefault="00400246" w:rsidP="00400246">
      <w:pPr>
        <w:pStyle w:val="Heading2"/>
      </w:pPr>
      <w:r>
        <w:t>Expand---Aff</w:t>
      </w:r>
    </w:p>
    <w:p w14:paraId="2CF2742E" w14:textId="0E2399E3" w:rsidR="00400246" w:rsidRDefault="00400246" w:rsidP="00400246">
      <w:pPr>
        <w:pStyle w:val="Heading3"/>
      </w:pPr>
      <w:r>
        <w:t>Expand---Increase Size---2AC</w:t>
      </w:r>
    </w:p>
    <w:p w14:paraId="0A3B24E1" w14:textId="0B9BE8D9" w:rsidR="00400246" w:rsidRPr="00400246" w:rsidRDefault="00400246" w:rsidP="00400246">
      <w:pPr>
        <w:pStyle w:val="Heading4"/>
      </w:pPr>
      <w:r w:rsidRPr="00400246">
        <w:rPr>
          <w:u w:val="single"/>
        </w:rPr>
        <w:t>Plain meaning</w:t>
      </w:r>
      <w:r>
        <w:t xml:space="preserve"> of ‘expand’ is to ‘make greater in size.’</w:t>
      </w:r>
    </w:p>
    <w:p w14:paraId="75D10B2C" w14:textId="3270D043" w:rsidR="00400246" w:rsidRDefault="00400246" w:rsidP="00400246">
      <w:r>
        <w:t xml:space="preserve">Leigh </w:t>
      </w:r>
      <w:r w:rsidRPr="00400246">
        <w:rPr>
          <w:rStyle w:val="Style13ptBold"/>
        </w:rPr>
        <w:t>Saufley 2000</w:t>
      </w:r>
      <w:r>
        <w:t xml:space="preserve">, Judge on the Maine Supreme Judicial Court, 10/27/2000, “Bangs v. </w:t>
      </w:r>
      <w:r w:rsidRPr="00400246">
        <w:t>Town of Wells</w:t>
      </w:r>
      <w:r>
        <w:t xml:space="preserve">,” </w:t>
      </w:r>
      <w:r w:rsidRPr="00400246">
        <w:t>2000 ME 186</w:t>
      </w:r>
    </w:p>
    <w:p w14:paraId="0C8DF925" w14:textId="77777777" w:rsidR="00400246" w:rsidRPr="00375D77" w:rsidRDefault="00400246" w:rsidP="00400246">
      <w:pPr>
        <w:rPr>
          <w:sz w:val="16"/>
        </w:rPr>
      </w:pPr>
      <w:r w:rsidRPr="00400246">
        <w:rPr>
          <w:rStyle w:val="StyleUnderline"/>
        </w:rPr>
        <w:t>Wells's interpretation</w:t>
      </w:r>
      <w:r w:rsidRPr="00375D77">
        <w:rPr>
          <w:sz w:val="16"/>
        </w:rPr>
        <w:t xml:space="preserve"> of subsection 3(M) </w:t>
      </w:r>
      <w:r w:rsidRPr="00400246">
        <w:rPr>
          <w:rStyle w:val="StyleUnderline"/>
        </w:rPr>
        <w:t xml:space="preserve">is not consistent with the </w:t>
      </w:r>
      <w:r w:rsidRPr="00400246">
        <w:rPr>
          <w:rStyle w:val="Emphasis"/>
        </w:rPr>
        <w:t>plain language</w:t>
      </w:r>
      <w:r w:rsidRPr="00400246">
        <w:rPr>
          <w:rStyle w:val="StyleUnderline"/>
        </w:rPr>
        <w:t xml:space="preserve"> of the statute</w:t>
      </w:r>
      <w:r w:rsidRPr="00375D77">
        <w:rPr>
          <w:sz w:val="16"/>
        </w:rPr>
        <w:t xml:space="preserve">. See Kimball, 2000 ME 20, P18, 745 A.2d at 392 (explaining the rules of statutory construction). HN13 </w:t>
      </w:r>
      <w:r w:rsidRPr="00B1440A">
        <w:rPr>
          <w:rStyle w:val="StyleUnderline"/>
          <w:highlight w:val="cyan"/>
        </w:rPr>
        <w:t xml:space="preserve">The plain </w:t>
      </w:r>
      <w:r w:rsidRPr="00B1440A">
        <w:rPr>
          <w:rStyle w:val="Emphasis"/>
          <w:highlight w:val="cyan"/>
        </w:rPr>
        <w:t>meaning</w:t>
      </w:r>
      <w:r w:rsidRPr="00B1440A">
        <w:rPr>
          <w:rStyle w:val="StyleUnderline"/>
          <w:highlight w:val="cyan"/>
        </w:rPr>
        <w:t xml:space="preserve"> of the word "</w:t>
      </w:r>
      <w:r w:rsidRPr="00B1440A">
        <w:rPr>
          <w:rStyle w:val="Emphasis"/>
          <w:highlight w:val="cyan"/>
        </w:rPr>
        <w:t>expand</w:t>
      </w:r>
      <w:r w:rsidRPr="00B1440A">
        <w:rPr>
          <w:rStyle w:val="StyleUnderline"/>
          <w:highlight w:val="cyan"/>
        </w:rPr>
        <w:t>"</w:t>
      </w:r>
      <w:r w:rsidRPr="00400246">
        <w:rPr>
          <w:rStyle w:val="StyleUnderline"/>
        </w:rPr>
        <w:t xml:space="preserve"> </w:t>
      </w:r>
      <w:r w:rsidRPr="00375D77">
        <w:rPr>
          <w:sz w:val="16"/>
        </w:rPr>
        <w:t xml:space="preserve"> [***14]  </w:t>
      </w:r>
      <w:r w:rsidRPr="00B1440A">
        <w:rPr>
          <w:rStyle w:val="StyleUnderline"/>
          <w:highlight w:val="cyan"/>
        </w:rPr>
        <w:t xml:space="preserve">means "to </w:t>
      </w:r>
      <w:r w:rsidRPr="00B1440A">
        <w:rPr>
          <w:rStyle w:val="Emphasis"/>
          <w:highlight w:val="cyan"/>
        </w:rPr>
        <w:t>make</w:t>
      </w:r>
      <w:r w:rsidRPr="00B1440A">
        <w:rPr>
          <w:rStyle w:val="StyleUnderline"/>
          <w:highlight w:val="cyan"/>
        </w:rPr>
        <w:t xml:space="preserve"> or </w:t>
      </w:r>
      <w:r w:rsidRPr="00B1440A">
        <w:rPr>
          <w:rStyle w:val="Emphasis"/>
          <w:highlight w:val="cyan"/>
        </w:rPr>
        <w:t>become greater in size</w:t>
      </w:r>
      <w:r w:rsidRPr="00B1440A">
        <w:rPr>
          <w:rStyle w:val="StyleUnderline"/>
          <w:highlight w:val="cyan"/>
        </w:rPr>
        <w:t>."</w:t>
      </w:r>
      <w:r w:rsidRPr="00375D77">
        <w:rPr>
          <w:sz w:val="16"/>
        </w:rPr>
        <w:t xml:space="preserve"> 9Link to the text of the note Webster's II New Riverside Dictionary 241 (1996). Further, the language of the statute requires that municipalities give reasonable consideration to the expansion of existing "mobile home parks" as opposed to allowing "mobile home park lots" or "mobile home park density" to expand. Therefore, a logical and consistent reading of the statute encompasses mobile home parks' growth in physical area rather than merely in density. See Town of Madison, Dep't of Elec. Works v. Pub. Utils. Comm'n, 682 A.2d 231, 234 (Me. 1996).</w:t>
      </w:r>
    </w:p>
    <w:p w14:paraId="57689564" w14:textId="3D9BBA5D" w:rsidR="00400246" w:rsidRPr="00400246" w:rsidRDefault="00400246" w:rsidP="00400246"/>
    <w:p w14:paraId="17519B5D" w14:textId="19E3AE0F" w:rsidR="0076614F" w:rsidRDefault="00AA2D78" w:rsidP="00AA2D78">
      <w:pPr>
        <w:pStyle w:val="Heading2"/>
      </w:pPr>
      <w:r>
        <w:t>Predictability</w:t>
      </w:r>
    </w:p>
    <w:p w14:paraId="6855F4A4" w14:textId="01C3E4D4" w:rsidR="00AA2D78" w:rsidRDefault="00AA2D78" w:rsidP="00AA2D78">
      <w:pPr>
        <w:pStyle w:val="Heading3"/>
      </w:pPr>
      <w:r>
        <w:t>No Contradictions---2AC</w:t>
      </w:r>
    </w:p>
    <w:p w14:paraId="652A0FAF" w14:textId="77777777" w:rsidR="00AA2D78" w:rsidRDefault="00AA2D78" w:rsidP="00AA2D78">
      <w:pPr>
        <w:pStyle w:val="Heading4"/>
      </w:pPr>
      <w:r w:rsidRPr="0084138E">
        <w:rPr>
          <w:u w:val="single"/>
        </w:rPr>
        <w:t>Reject</w:t>
      </w:r>
      <w:r w:rsidRPr="0084138E">
        <w:t xml:space="preserve"> </w:t>
      </w:r>
      <w:r>
        <w:t xml:space="preserve">definitions </w:t>
      </w:r>
      <w:r w:rsidRPr="0084138E">
        <w:t xml:space="preserve">that make </w:t>
      </w:r>
      <w:r>
        <w:t xml:space="preserve">the resolution </w:t>
      </w:r>
      <w:r>
        <w:rPr>
          <w:u w:val="single"/>
        </w:rPr>
        <w:t>contradictory</w:t>
      </w:r>
      <w:r w:rsidRPr="0084138E">
        <w:t>.</w:t>
      </w:r>
    </w:p>
    <w:p w14:paraId="19A893E7" w14:textId="77777777" w:rsidR="00AA2D78" w:rsidRPr="005C131B" w:rsidRDefault="00AA2D78" w:rsidP="00AA2D78">
      <w:r>
        <w:t xml:space="preserve">Antonin </w:t>
      </w:r>
      <w:r w:rsidRPr="00664F55">
        <w:rPr>
          <w:rStyle w:val="Style13ptBold"/>
        </w:rPr>
        <w:t>Scalia 12</w:t>
      </w:r>
      <w:r>
        <w:t>, Justice on the Supreme Court of the United States; and Bryan Garner, American lawyer, lexicographer, and teacher who has written more than two dozen books about English usage and style, 6/19/2012, “Conjunctive/Disjunctive Canon,”</w:t>
      </w:r>
      <w:r w:rsidRPr="00EC1BAA">
        <w:rPr>
          <w:i/>
          <w:iCs/>
        </w:rPr>
        <w:t xml:space="preserve"> </w:t>
      </w:r>
      <w:r w:rsidRPr="001D21FE">
        <w:rPr>
          <w:i/>
          <w:iCs/>
        </w:rPr>
        <w:t>Reading Law: The Interpretation of Legal Texts</w:t>
      </w:r>
      <w:r>
        <w:t>, Chapter 12, ISBN: 978-0-314-27555-4</w:t>
      </w:r>
    </w:p>
    <w:p w14:paraId="733ECAE6" w14:textId="77777777" w:rsidR="00AA2D78" w:rsidRPr="007046A0" w:rsidRDefault="00AA2D78" w:rsidP="00AA2D78">
      <w:pPr>
        <w:rPr>
          <w:sz w:val="16"/>
        </w:rPr>
      </w:pPr>
      <w:r w:rsidRPr="007046A0">
        <w:rPr>
          <w:sz w:val="16"/>
        </w:rPr>
        <w:t xml:space="preserve">27. Harmonious-Reading Canon </w:t>
      </w:r>
    </w:p>
    <w:p w14:paraId="4AFACC6B" w14:textId="77777777" w:rsidR="00AA2D78" w:rsidRPr="007046A0" w:rsidRDefault="00AA2D78" w:rsidP="00AA2D78">
      <w:pPr>
        <w:rPr>
          <w:sz w:val="16"/>
        </w:rPr>
      </w:pPr>
      <w:r w:rsidRPr="007046A0">
        <w:rPr>
          <w:sz w:val="16"/>
        </w:rPr>
        <w:t xml:space="preserve">The </w:t>
      </w:r>
      <w:r w:rsidRPr="007046A0">
        <w:rPr>
          <w:rStyle w:val="StyleUnderline"/>
          <w:highlight w:val="cyan"/>
        </w:rPr>
        <w:t xml:space="preserve">provisions of a text should be interpreted in a way that renders them </w:t>
      </w:r>
      <w:r w:rsidRPr="007046A0">
        <w:rPr>
          <w:rStyle w:val="Emphasis"/>
          <w:highlight w:val="cyan"/>
        </w:rPr>
        <w:t>compatible</w:t>
      </w:r>
      <w:r w:rsidRPr="007046A0">
        <w:rPr>
          <w:rStyle w:val="StyleUnderline"/>
          <w:highlight w:val="cyan"/>
        </w:rPr>
        <w:t xml:space="preserve">, </w:t>
      </w:r>
      <w:r w:rsidRPr="007046A0">
        <w:rPr>
          <w:rStyle w:val="Emphasis"/>
          <w:highlight w:val="cyan"/>
        </w:rPr>
        <w:t>not contradictory</w:t>
      </w:r>
      <w:r w:rsidRPr="007046A0">
        <w:rPr>
          <w:sz w:val="16"/>
        </w:rPr>
        <w:t xml:space="preserve">. </w:t>
      </w:r>
    </w:p>
    <w:p w14:paraId="1281103F" w14:textId="77777777" w:rsidR="00AA2D78" w:rsidRPr="007046A0" w:rsidRDefault="00AA2D78" w:rsidP="00AA2D78">
      <w:pPr>
        <w:ind w:left="720"/>
        <w:rPr>
          <w:sz w:val="16"/>
        </w:rPr>
      </w:pPr>
      <w:r w:rsidRPr="007046A0">
        <w:rPr>
          <w:sz w:val="16"/>
        </w:rPr>
        <w:t>“</w:t>
      </w:r>
      <w:r w:rsidRPr="00912454">
        <w:rPr>
          <w:rStyle w:val="StyleUnderline"/>
        </w:rPr>
        <w:t xml:space="preserve">[O]ne part is </w:t>
      </w:r>
      <w:r w:rsidRPr="00912454">
        <w:rPr>
          <w:rStyle w:val="Emphasis"/>
        </w:rPr>
        <w:t>not</w:t>
      </w:r>
      <w:r w:rsidRPr="00912454">
        <w:rPr>
          <w:rStyle w:val="StyleUnderline"/>
        </w:rPr>
        <w:t xml:space="preserve"> to be allowed to </w:t>
      </w:r>
      <w:r w:rsidRPr="00912454">
        <w:rPr>
          <w:rStyle w:val="Emphasis"/>
        </w:rPr>
        <w:t>defeat</w:t>
      </w:r>
      <w:r w:rsidRPr="00912454">
        <w:rPr>
          <w:rStyle w:val="StyleUnderline"/>
        </w:rPr>
        <w:t xml:space="preserve"> another</w:t>
      </w:r>
      <w:r w:rsidRPr="007046A0">
        <w:rPr>
          <w:sz w:val="16"/>
        </w:rPr>
        <w:t xml:space="preserve">, if by any reasonable construction the two can be made to stand together.” </w:t>
      </w:r>
    </w:p>
    <w:p w14:paraId="7C58FF86" w14:textId="77777777" w:rsidR="00AA2D78" w:rsidRPr="007046A0" w:rsidRDefault="00AA2D78" w:rsidP="00AA2D78">
      <w:pPr>
        <w:ind w:left="1440"/>
        <w:rPr>
          <w:sz w:val="16"/>
        </w:rPr>
      </w:pPr>
      <w:r w:rsidRPr="007046A0">
        <w:rPr>
          <w:sz w:val="16"/>
        </w:rPr>
        <w:t xml:space="preserve">Thomas M. Cooley, A Treatise on the Constitutional Limitations Which Rest upon the Legislative Power of the States of the American Union 58 (1868). </w:t>
      </w:r>
    </w:p>
    <w:p w14:paraId="7D4FB22F" w14:textId="77777777" w:rsidR="00AA2D78" w:rsidRPr="007046A0" w:rsidRDefault="00AA2D78" w:rsidP="00AA2D78">
      <w:pPr>
        <w:rPr>
          <w:sz w:val="16"/>
        </w:rPr>
      </w:pPr>
      <w:r w:rsidRPr="00912454">
        <w:rPr>
          <w:rStyle w:val="StyleUnderline"/>
        </w:rPr>
        <w:t xml:space="preserve">The imperative of </w:t>
      </w:r>
      <w:r w:rsidRPr="007046A0">
        <w:rPr>
          <w:rStyle w:val="Emphasis"/>
          <w:highlight w:val="cyan"/>
        </w:rPr>
        <w:t>harmony</w:t>
      </w:r>
      <w:r w:rsidRPr="007046A0">
        <w:rPr>
          <w:sz w:val="16"/>
        </w:rPr>
        <w:t xml:space="preserve"> among provisions </w:t>
      </w:r>
      <w:r w:rsidRPr="007046A0">
        <w:rPr>
          <w:rStyle w:val="StyleUnderline"/>
          <w:highlight w:val="cyan"/>
        </w:rPr>
        <w:t>is</w:t>
      </w:r>
      <w:r w:rsidRPr="007046A0">
        <w:rPr>
          <w:sz w:val="16"/>
        </w:rPr>
        <w:t xml:space="preserve"> more </w:t>
      </w:r>
      <w:r w:rsidRPr="007046A0">
        <w:rPr>
          <w:rStyle w:val="Emphasis"/>
          <w:highlight w:val="cyan"/>
        </w:rPr>
        <w:t>categorical</w:t>
      </w:r>
      <w:r w:rsidRPr="007046A0">
        <w:rPr>
          <w:sz w:val="16"/>
        </w:rPr>
        <w:t xml:space="preserve"> than most other canons of construction </w:t>
      </w:r>
      <w:r w:rsidRPr="007046A0">
        <w:rPr>
          <w:rStyle w:val="StyleUnderline"/>
          <w:highlight w:val="cyan"/>
        </w:rPr>
        <w:t xml:space="preserve">because it is </w:t>
      </w:r>
      <w:r w:rsidRPr="007046A0">
        <w:rPr>
          <w:rStyle w:val="Emphasis"/>
          <w:highlight w:val="cyan"/>
        </w:rPr>
        <w:t>invariably true</w:t>
      </w:r>
      <w:r w:rsidRPr="007046A0">
        <w:rPr>
          <w:rStyle w:val="StyleUnderline"/>
          <w:highlight w:val="cyan"/>
        </w:rPr>
        <w:t xml:space="preserve"> that</w:t>
      </w:r>
      <w:r w:rsidRPr="007046A0">
        <w:rPr>
          <w:sz w:val="16"/>
        </w:rPr>
        <w:t xml:space="preserve"> intelligent </w:t>
      </w:r>
      <w:r w:rsidRPr="007046A0">
        <w:rPr>
          <w:rStyle w:val="StyleUnderline"/>
          <w:highlight w:val="cyan"/>
        </w:rPr>
        <w:t xml:space="preserve">drafters </w:t>
      </w:r>
      <w:r w:rsidRPr="007046A0">
        <w:rPr>
          <w:rStyle w:val="Emphasis"/>
          <w:highlight w:val="cyan"/>
        </w:rPr>
        <w:t>do not contradict themselves</w:t>
      </w:r>
      <w:r w:rsidRPr="007046A0">
        <w:rPr>
          <w:sz w:val="16"/>
        </w:rPr>
        <w:t xml:space="preserve"> (in the absence of duress). Hence </w:t>
      </w:r>
      <w:r w:rsidRPr="00912454">
        <w:rPr>
          <w:rStyle w:val="StyleUnderline"/>
        </w:rPr>
        <w:t xml:space="preserve">there can be </w:t>
      </w:r>
      <w:r w:rsidRPr="007046A0">
        <w:rPr>
          <w:rStyle w:val="Emphasis"/>
          <w:highlight w:val="cyan"/>
        </w:rPr>
        <w:t>no justification</w:t>
      </w:r>
      <w:r w:rsidRPr="007046A0">
        <w:rPr>
          <w:rStyle w:val="StyleUnderline"/>
          <w:highlight w:val="cyan"/>
        </w:rPr>
        <w:t xml:space="preserve"> for</w:t>
      </w:r>
      <w:r w:rsidRPr="007046A0">
        <w:rPr>
          <w:sz w:val="16"/>
        </w:rPr>
        <w:t xml:space="preserve"> needlessly </w:t>
      </w:r>
      <w:r w:rsidRPr="007046A0">
        <w:rPr>
          <w:rStyle w:val="StyleUnderline"/>
          <w:highlight w:val="cyan"/>
        </w:rPr>
        <w:t xml:space="preserve">rendering provisions in conflict </w:t>
      </w:r>
      <w:r w:rsidRPr="007046A0">
        <w:rPr>
          <w:rStyle w:val="Emphasis"/>
          <w:highlight w:val="cyan"/>
        </w:rPr>
        <w:t>if they can be interpreted harmoniously</w:t>
      </w:r>
      <w:r w:rsidRPr="007046A0">
        <w:rPr>
          <w:sz w:val="16"/>
        </w:rPr>
        <w:t xml:space="preserve">. But if context and other considerations (including the application of other canons) make it impossible to apply the harmonious-reading canon, the principles governing conflicting provisions (see §§ 28 [general/specific canon] and 29 [irreconcilability canon]) must be applied. </w:t>
      </w:r>
    </w:p>
    <w:p w14:paraId="304DC590" w14:textId="77777777" w:rsidR="00AA2D78" w:rsidRPr="00AA2D78" w:rsidRDefault="00AA2D78" w:rsidP="00AA2D78"/>
    <w:sectPr w:rsidR="00AA2D78" w:rsidRPr="00AA2D7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EA7C65" w14:textId="77777777" w:rsidR="00973F31" w:rsidRDefault="00973F31" w:rsidP="00066D2C">
      <w:pPr>
        <w:spacing w:after="0" w:line="240" w:lineRule="auto"/>
      </w:pPr>
      <w:r>
        <w:separator/>
      </w:r>
    </w:p>
  </w:endnote>
  <w:endnote w:type="continuationSeparator" w:id="0">
    <w:p w14:paraId="0BE4927E" w14:textId="77777777" w:rsidR="00973F31" w:rsidRDefault="00973F3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172AB8" w14:textId="77777777" w:rsidR="00973F31" w:rsidRDefault="00973F31" w:rsidP="00066D2C">
      <w:pPr>
        <w:spacing w:after="0" w:line="240" w:lineRule="auto"/>
      </w:pPr>
      <w:r>
        <w:separator/>
      </w:r>
    </w:p>
  </w:footnote>
  <w:footnote w:type="continuationSeparator" w:id="0">
    <w:p w14:paraId="7020A711" w14:textId="77777777" w:rsidR="00973F31" w:rsidRDefault="00973F3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52C23F1"/>
    <w:multiLevelType w:val="hybridMultilevel"/>
    <w:tmpl w:val="C5D05B7C"/>
    <w:lvl w:ilvl="0" w:tplc="D76243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2880109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aleigh Maxwell"/>
    <w:docVar w:name="OS" w:val="Windows NT"/>
    <w:docVar w:name="OSVersion" w:val="10.0"/>
    <w:docVar w:name="RibbonPointer" w:val="321688408"/>
    <w:docVar w:name="Team" w:val="Montgomery Bell Academy"/>
    <w:docVar w:name="VerbatimVersion" w:val="6.0.0"/>
    <w:docVar w:name="WordVersion" w:val="16.0"/>
  </w:docVars>
  <w:rsids>
    <w:rsidRoot w:val="00177069"/>
    <w:rsid w:val="00001C7E"/>
    <w:rsid w:val="00003C0C"/>
    <w:rsid w:val="0000487C"/>
    <w:rsid w:val="00004C80"/>
    <w:rsid w:val="0001097F"/>
    <w:rsid w:val="00011FEF"/>
    <w:rsid w:val="00013C8B"/>
    <w:rsid w:val="00023AEF"/>
    <w:rsid w:val="00024483"/>
    <w:rsid w:val="000250CA"/>
    <w:rsid w:val="00032119"/>
    <w:rsid w:val="000427BD"/>
    <w:rsid w:val="00043C82"/>
    <w:rsid w:val="00050713"/>
    <w:rsid w:val="00052700"/>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3617"/>
    <w:rsid w:val="000D0D08"/>
    <w:rsid w:val="000D5EAD"/>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48E"/>
    <w:rsid w:val="001218F5"/>
    <w:rsid w:val="00122202"/>
    <w:rsid w:val="0012551C"/>
    <w:rsid w:val="00127061"/>
    <w:rsid w:val="00131B53"/>
    <w:rsid w:val="001327C1"/>
    <w:rsid w:val="001329A3"/>
    <w:rsid w:val="00134120"/>
    <w:rsid w:val="001356C8"/>
    <w:rsid w:val="001378C8"/>
    <w:rsid w:val="00140A6B"/>
    <w:rsid w:val="00144AD4"/>
    <w:rsid w:val="00145CB5"/>
    <w:rsid w:val="00146731"/>
    <w:rsid w:val="00146F2E"/>
    <w:rsid w:val="00150A2E"/>
    <w:rsid w:val="00152BF7"/>
    <w:rsid w:val="00163574"/>
    <w:rsid w:val="001645D4"/>
    <w:rsid w:val="0016567B"/>
    <w:rsid w:val="0016568A"/>
    <w:rsid w:val="00170A72"/>
    <w:rsid w:val="00171A2A"/>
    <w:rsid w:val="001723BA"/>
    <w:rsid w:val="00175A0C"/>
    <w:rsid w:val="00177069"/>
    <w:rsid w:val="00180A4E"/>
    <w:rsid w:val="00180F90"/>
    <w:rsid w:val="00181F58"/>
    <w:rsid w:val="001829D0"/>
    <w:rsid w:val="00186B65"/>
    <w:rsid w:val="00190CDA"/>
    <w:rsid w:val="00196816"/>
    <w:rsid w:val="0019779A"/>
    <w:rsid w:val="001977CD"/>
    <w:rsid w:val="0019782C"/>
    <w:rsid w:val="001A07A2"/>
    <w:rsid w:val="001A1422"/>
    <w:rsid w:val="001A3079"/>
    <w:rsid w:val="001A4D9A"/>
    <w:rsid w:val="001A6960"/>
    <w:rsid w:val="001A7084"/>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3D06"/>
    <w:rsid w:val="00225437"/>
    <w:rsid w:val="002263A1"/>
    <w:rsid w:val="00232746"/>
    <w:rsid w:val="00236707"/>
    <w:rsid w:val="00241116"/>
    <w:rsid w:val="0024328E"/>
    <w:rsid w:val="002508CB"/>
    <w:rsid w:val="002514A7"/>
    <w:rsid w:val="00253733"/>
    <w:rsid w:val="00256426"/>
    <w:rsid w:val="00256AC0"/>
    <w:rsid w:val="002573AF"/>
    <w:rsid w:val="00263CC5"/>
    <w:rsid w:val="00271866"/>
    <w:rsid w:val="00276E12"/>
    <w:rsid w:val="00277BB1"/>
    <w:rsid w:val="002819B2"/>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208"/>
    <w:rsid w:val="002C769C"/>
    <w:rsid w:val="002D18B4"/>
    <w:rsid w:val="002D2594"/>
    <w:rsid w:val="002D3647"/>
    <w:rsid w:val="002D418C"/>
    <w:rsid w:val="002E663F"/>
    <w:rsid w:val="002F0384"/>
    <w:rsid w:val="002F276B"/>
    <w:rsid w:val="002F28CE"/>
    <w:rsid w:val="002F2CFC"/>
    <w:rsid w:val="002F37D1"/>
    <w:rsid w:val="002F59CF"/>
    <w:rsid w:val="002F5A47"/>
    <w:rsid w:val="002F5B1A"/>
    <w:rsid w:val="002F636E"/>
    <w:rsid w:val="002F6AC9"/>
    <w:rsid w:val="00300F2F"/>
    <w:rsid w:val="00304257"/>
    <w:rsid w:val="00304A78"/>
    <w:rsid w:val="003066E5"/>
    <w:rsid w:val="00306FDE"/>
    <w:rsid w:val="00307FBA"/>
    <w:rsid w:val="003106D9"/>
    <w:rsid w:val="00311112"/>
    <w:rsid w:val="00311C1F"/>
    <w:rsid w:val="0031266A"/>
    <w:rsid w:val="003157E5"/>
    <w:rsid w:val="0031759C"/>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5D77"/>
    <w:rsid w:val="003779C8"/>
    <w:rsid w:val="00382DF7"/>
    <w:rsid w:val="0039157C"/>
    <w:rsid w:val="00392D93"/>
    <w:rsid w:val="00393EF2"/>
    <w:rsid w:val="00394F71"/>
    <w:rsid w:val="00396D52"/>
    <w:rsid w:val="003A2227"/>
    <w:rsid w:val="003A46B4"/>
    <w:rsid w:val="003A5CE8"/>
    <w:rsid w:val="003A698D"/>
    <w:rsid w:val="003B17B3"/>
    <w:rsid w:val="003B2779"/>
    <w:rsid w:val="003B4705"/>
    <w:rsid w:val="003B4F86"/>
    <w:rsid w:val="003B734D"/>
    <w:rsid w:val="003C177C"/>
    <w:rsid w:val="003C251E"/>
    <w:rsid w:val="003C3CCA"/>
    <w:rsid w:val="003C4184"/>
    <w:rsid w:val="003C48C6"/>
    <w:rsid w:val="003C6CA9"/>
    <w:rsid w:val="003D3B44"/>
    <w:rsid w:val="003D4150"/>
    <w:rsid w:val="003D5367"/>
    <w:rsid w:val="003F3920"/>
    <w:rsid w:val="003F4D5F"/>
    <w:rsid w:val="00400246"/>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1B82"/>
    <w:rsid w:val="00457F13"/>
    <w:rsid w:val="004604DA"/>
    <w:rsid w:val="00462267"/>
    <w:rsid w:val="00462B60"/>
    <w:rsid w:val="00474720"/>
    <w:rsid w:val="00474E75"/>
    <w:rsid w:val="00480A40"/>
    <w:rsid w:val="004827C9"/>
    <w:rsid w:val="00486F5E"/>
    <w:rsid w:val="004875B9"/>
    <w:rsid w:val="00491C5F"/>
    <w:rsid w:val="0049341D"/>
    <w:rsid w:val="00493AA8"/>
    <w:rsid w:val="004A2B4E"/>
    <w:rsid w:val="004A40AB"/>
    <w:rsid w:val="004A452A"/>
    <w:rsid w:val="004A539A"/>
    <w:rsid w:val="004A660E"/>
    <w:rsid w:val="004A74B8"/>
    <w:rsid w:val="004B3C97"/>
    <w:rsid w:val="004B4D3B"/>
    <w:rsid w:val="004B5436"/>
    <w:rsid w:val="004C142F"/>
    <w:rsid w:val="004C2990"/>
    <w:rsid w:val="004C5E96"/>
    <w:rsid w:val="004C7B42"/>
    <w:rsid w:val="004D05AA"/>
    <w:rsid w:val="004D11F0"/>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565E"/>
    <w:rsid w:val="00511177"/>
    <w:rsid w:val="005125C9"/>
    <w:rsid w:val="00515BDD"/>
    <w:rsid w:val="00521B9F"/>
    <w:rsid w:val="005268F8"/>
    <w:rsid w:val="0053626E"/>
    <w:rsid w:val="00544936"/>
    <w:rsid w:val="005449A8"/>
    <w:rsid w:val="00544E0D"/>
    <w:rsid w:val="0055242A"/>
    <w:rsid w:val="005525AE"/>
    <w:rsid w:val="00554632"/>
    <w:rsid w:val="005546C5"/>
    <w:rsid w:val="005558FC"/>
    <w:rsid w:val="00557B59"/>
    <w:rsid w:val="00560909"/>
    <w:rsid w:val="00565142"/>
    <w:rsid w:val="00567D6A"/>
    <w:rsid w:val="00567D90"/>
    <w:rsid w:val="00575723"/>
    <w:rsid w:val="00583644"/>
    <w:rsid w:val="00585F11"/>
    <w:rsid w:val="005906F9"/>
    <w:rsid w:val="00592437"/>
    <w:rsid w:val="005932B4"/>
    <w:rsid w:val="00593E19"/>
    <w:rsid w:val="005A1657"/>
    <w:rsid w:val="005A3550"/>
    <w:rsid w:val="005A4DE4"/>
    <w:rsid w:val="005A6204"/>
    <w:rsid w:val="005A6D5A"/>
    <w:rsid w:val="005B41CE"/>
    <w:rsid w:val="005B566C"/>
    <w:rsid w:val="005B5DC5"/>
    <w:rsid w:val="005B6286"/>
    <w:rsid w:val="005C0889"/>
    <w:rsid w:val="005C1630"/>
    <w:rsid w:val="005C2AEB"/>
    <w:rsid w:val="005C5B70"/>
    <w:rsid w:val="005D027B"/>
    <w:rsid w:val="005D3400"/>
    <w:rsid w:val="005D3778"/>
    <w:rsid w:val="005D388F"/>
    <w:rsid w:val="005D45F4"/>
    <w:rsid w:val="005D5EE7"/>
    <w:rsid w:val="005D700C"/>
    <w:rsid w:val="005E0F22"/>
    <w:rsid w:val="005E43F7"/>
    <w:rsid w:val="005E5941"/>
    <w:rsid w:val="005E78A2"/>
    <w:rsid w:val="005F5E14"/>
    <w:rsid w:val="00604230"/>
    <w:rsid w:val="006132AE"/>
    <w:rsid w:val="00622773"/>
    <w:rsid w:val="00622C58"/>
    <w:rsid w:val="0062614B"/>
    <w:rsid w:val="006266E2"/>
    <w:rsid w:val="0063037B"/>
    <w:rsid w:val="00631854"/>
    <w:rsid w:val="00632C54"/>
    <w:rsid w:val="00635616"/>
    <w:rsid w:val="00641E99"/>
    <w:rsid w:val="0064278D"/>
    <w:rsid w:val="006463F8"/>
    <w:rsid w:val="00650C88"/>
    <w:rsid w:val="006510B1"/>
    <w:rsid w:val="0065258E"/>
    <w:rsid w:val="00655035"/>
    <w:rsid w:val="00656814"/>
    <w:rsid w:val="00657A00"/>
    <w:rsid w:val="006633F4"/>
    <w:rsid w:val="00664F55"/>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B8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48A8"/>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21E9"/>
    <w:rsid w:val="00754ABD"/>
    <w:rsid w:val="00754D3B"/>
    <w:rsid w:val="0075562D"/>
    <w:rsid w:val="00760D6A"/>
    <w:rsid w:val="0076343C"/>
    <w:rsid w:val="00764C12"/>
    <w:rsid w:val="0076614F"/>
    <w:rsid w:val="0077192C"/>
    <w:rsid w:val="007750DF"/>
    <w:rsid w:val="00777C19"/>
    <w:rsid w:val="00782487"/>
    <w:rsid w:val="00784C8D"/>
    <w:rsid w:val="00785E47"/>
    <w:rsid w:val="007873F5"/>
    <w:rsid w:val="0078760F"/>
    <w:rsid w:val="0079136A"/>
    <w:rsid w:val="00791DBB"/>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19"/>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06F8B"/>
    <w:rsid w:val="008114D4"/>
    <w:rsid w:val="0081234D"/>
    <w:rsid w:val="00812D2D"/>
    <w:rsid w:val="00817A64"/>
    <w:rsid w:val="00817D9C"/>
    <w:rsid w:val="008202F7"/>
    <w:rsid w:val="008238A1"/>
    <w:rsid w:val="008247A4"/>
    <w:rsid w:val="00825D47"/>
    <w:rsid w:val="008272A6"/>
    <w:rsid w:val="0083258C"/>
    <w:rsid w:val="00833D6C"/>
    <w:rsid w:val="0083566F"/>
    <w:rsid w:val="00841328"/>
    <w:rsid w:val="00841CCC"/>
    <w:rsid w:val="00844377"/>
    <w:rsid w:val="008443EF"/>
    <w:rsid w:val="00846F90"/>
    <w:rsid w:val="00852FB9"/>
    <w:rsid w:val="008536B7"/>
    <w:rsid w:val="00860F34"/>
    <w:rsid w:val="00862AC4"/>
    <w:rsid w:val="0086319B"/>
    <w:rsid w:val="0086647A"/>
    <w:rsid w:val="008674A6"/>
    <w:rsid w:val="0087210F"/>
    <w:rsid w:val="0087564D"/>
    <w:rsid w:val="00876000"/>
    <w:rsid w:val="0089108B"/>
    <w:rsid w:val="00892EE6"/>
    <w:rsid w:val="008931B4"/>
    <w:rsid w:val="008973A2"/>
    <w:rsid w:val="008A05F1"/>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4706"/>
    <w:rsid w:val="00917A03"/>
    <w:rsid w:val="00920B9A"/>
    <w:rsid w:val="009249C5"/>
    <w:rsid w:val="00925558"/>
    <w:rsid w:val="00925B25"/>
    <w:rsid w:val="009263C9"/>
    <w:rsid w:val="00930B2A"/>
    <w:rsid w:val="00934B09"/>
    <w:rsid w:val="00936F03"/>
    <w:rsid w:val="0094018B"/>
    <w:rsid w:val="009418E3"/>
    <w:rsid w:val="009435BB"/>
    <w:rsid w:val="00943B02"/>
    <w:rsid w:val="00953429"/>
    <w:rsid w:val="009539A4"/>
    <w:rsid w:val="009569E3"/>
    <w:rsid w:val="00960035"/>
    <w:rsid w:val="0096040F"/>
    <w:rsid w:val="0096145A"/>
    <w:rsid w:val="009632EF"/>
    <w:rsid w:val="00973D8A"/>
    <w:rsid w:val="00973F31"/>
    <w:rsid w:val="009767B4"/>
    <w:rsid w:val="009804B4"/>
    <w:rsid w:val="00980709"/>
    <w:rsid w:val="0098278C"/>
    <w:rsid w:val="00991819"/>
    <w:rsid w:val="00992BBB"/>
    <w:rsid w:val="00993063"/>
    <w:rsid w:val="00996B34"/>
    <w:rsid w:val="009A0E69"/>
    <w:rsid w:val="009A0FC8"/>
    <w:rsid w:val="009A2372"/>
    <w:rsid w:val="009A42F1"/>
    <w:rsid w:val="009A5571"/>
    <w:rsid w:val="009A7878"/>
    <w:rsid w:val="009B0CDC"/>
    <w:rsid w:val="009B1310"/>
    <w:rsid w:val="009B1729"/>
    <w:rsid w:val="009C01EF"/>
    <w:rsid w:val="009C050D"/>
    <w:rsid w:val="009C06D3"/>
    <w:rsid w:val="009C1312"/>
    <w:rsid w:val="009C6DFD"/>
    <w:rsid w:val="009C7060"/>
    <w:rsid w:val="009C7186"/>
    <w:rsid w:val="009D1DCB"/>
    <w:rsid w:val="009D313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2F2"/>
    <w:rsid w:val="00A60D18"/>
    <w:rsid w:val="00A61207"/>
    <w:rsid w:val="00A61700"/>
    <w:rsid w:val="00A6285C"/>
    <w:rsid w:val="00A641B4"/>
    <w:rsid w:val="00A663F3"/>
    <w:rsid w:val="00A669F1"/>
    <w:rsid w:val="00A67489"/>
    <w:rsid w:val="00A7268C"/>
    <w:rsid w:val="00A74365"/>
    <w:rsid w:val="00A745BF"/>
    <w:rsid w:val="00A74A79"/>
    <w:rsid w:val="00A74E46"/>
    <w:rsid w:val="00A81524"/>
    <w:rsid w:val="00A81D60"/>
    <w:rsid w:val="00A84ECE"/>
    <w:rsid w:val="00A85830"/>
    <w:rsid w:val="00A90163"/>
    <w:rsid w:val="00AA1AC0"/>
    <w:rsid w:val="00AA2D78"/>
    <w:rsid w:val="00AA3B66"/>
    <w:rsid w:val="00AA5803"/>
    <w:rsid w:val="00AA584F"/>
    <w:rsid w:val="00AB2843"/>
    <w:rsid w:val="00AB3118"/>
    <w:rsid w:val="00AB6F32"/>
    <w:rsid w:val="00AB70DB"/>
    <w:rsid w:val="00AC46C7"/>
    <w:rsid w:val="00AC5B71"/>
    <w:rsid w:val="00AC5F18"/>
    <w:rsid w:val="00AC6ED5"/>
    <w:rsid w:val="00AD53AF"/>
    <w:rsid w:val="00AE00AE"/>
    <w:rsid w:val="00AE56E1"/>
    <w:rsid w:val="00AE58BD"/>
    <w:rsid w:val="00AE6C9A"/>
    <w:rsid w:val="00AF2207"/>
    <w:rsid w:val="00AF2612"/>
    <w:rsid w:val="00AF2A61"/>
    <w:rsid w:val="00AF30D9"/>
    <w:rsid w:val="00AF429D"/>
    <w:rsid w:val="00AF63BF"/>
    <w:rsid w:val="00AF6B3B"/>
    <w:rsid w:val="00AF79DD"/>
    <w:rsid w:val="00AF7F2C"/>
    <w:rsid w:val="00AF7F46"/>
    <w:rsid w:val="00B0178C"/>
    <w:rsid w:val="00B019F0"/>
    <w:rsid w:val="00B02885"/>
    <w:rsid w:val="00B04EC7"/>
    <w:rsid w:val="00B06440"/>
    <w:rsid w:val="00B1231F"/>
    <w:rsid w:val="00B1440A"/>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6591"/>
    <w:rsid w:val="00B97264"/>
    <w:rsid w:val="00BA0143"/>
    <w:rsid w:val="00BA227A"/>
    <w:rsid w:val="00BA4C69"/>
    <w:rsid w:val="00BA61AF"/>
    <w:rsid w:val="00BB1630"/>
    <w:rsid w:val="00BB4ED3"/>
    <w:rsid w:val="00BB6860"/>
    <w:rsid w:val="00BC3256"/>
    <w:rsid w:val="00BC3592"/>
    <w:rsid w:val="00BC36DF"/>
    <w:rsid w:val="00BC4B41"/>
    <w:rsid w:val="00BC4F72"/>
    <w:rsid w:val="00BC66ED"/>
    <w:rsid w:val="00BD11D3"/>
    <w:rsid w:val="00BD2B47"/>
    <w:rsid w:val="00BD2CAA"/>
    <w:rsid w:val="00BD2FC8"/>
    <w:rsid w:val="00BD3B65"/>
    <w:rsid w:val="00BE1C5C"/>
    <w:rsid w:val="00BE3E67"/>
    <w:rsid w:val="00BE50E6"/>
    <w:rsid w:val="00BE61B2"/>
    <w:rsid w:val="00BE675D"/>
    <w:rsid w:val="00BE7CC3"/>
    <w:rsid w:val="00BF2B0D"/>
    <w:rsid w:val="00BF4E3B"/>
    <w:rsid w:val="00BF5454"/>
    <w:rsid w:val="00BF7EC9"/>
    <w:rsid w:val="00C00D8A"/>
    <w:rsid w:val="00C01C49"/>
    <w:rsid w:val="00C0355B"/>
    <w:rsid w:val="00C03D47"/>
    <w:rsid w:val="00C066E6"/>
    <w:rsid w:val="00C1037B"/>
    <w:rsid w:val="00C110C0"/>
    <w:rsid w:val="00C12370"/>
    <w:rsid w:val="00C15000"/>
    <w:rsid w:val="00C15897"/>
    <w:rsid w:val="00C1616B"/>
    <w:rsid w:val="00C16B21"/>
    <w:rsid w:val="00C16DFC"/>
    <w:rsid w:val="00C2079E"/>
    <w:rsid w:val="00C221CD"/>
    <w:rsid w:val="00C27729"/>
    <w:rsid w:val="00C312FA"/>
    <w:rsid w:val="00C320BE"/>
    <w:rsid w:val="00C332C4"/>
    <w:rsid w:val="00C334F5"/>
    <w:rsid w:val="00C35A03"/>
    <w:rsid w:val="00C36A05"/>
    <w:rsid w:val="00C40BA5"/>
    <w:rsid w:val="00C432D9"/>
    <w:rsid w:val="00C43937"/>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3BF8"/>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7AEB"/>
    <w:rsid w:val="00D24268"/>
    <w:rsid w:val="00D25BE6"/>
    <w:rsid w:val="00D321DB"/>
    <w:rsid w:val="00D32460"/>
    <w:rsid w:val="00D32EBF"/>
    <w:rsid w:val="00D343B3"/>
    <w:rsid w:val="00D35073"/>
    <w:rsid w:val="00D36085"/>
    <w:rsid w:val="00D421D9"/>
    <w:rsid w:val="00D47529"/>
    <w:rsid w:val="00D47713"/>
    <w:rsid w:val="00D51103"/>
    <w:rsid w:val="00D52E29"/>
    <w:rsid w:val="00D53B1C"/>
    <w:rsid w:val="00D55A7A"/>
    <w:rsid w:val="00D568D5"/>
    <w:rsid w:val="00D56B6F"/>
    <w:rsid w:val="00D57878"/>
    <w:rsid w:val="00D60AB7"/>
    <w:rsid w:val="00D6226F"/>
    <w:rsid w:val="00D70E15"/>
    <w:rsid w:val="00D714E5"/>
    <w:rsid w:val="00D73B77"/>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366A"/>
    <w:rsid w:val="00DC7102"/>
    <w:rsid w:val="00DD0950"/>
    <w:rsid w:val="00DD0BFE"/>
    <w:rsid w:val="00DD29B1"/>
    <w:rsid w:val="00DD4AF9"/>
    <w:rsid w:val="00DD5DF4"/>
    <w:rsid w:val="00DD5EE9"/>
    <w:rsid w:val="00DD7497"/>
    <w:rsid w:val="00DD782F"/>
    <w:rsid w:val="00DE0414"/>
    <w:rsid w:val="00DE0982"/>
    <w:rsid w:val="00DE1D11"/>
    <w:rsid w:val="00DE28ED"/>
    <w:rsid w:val="00DE2AC0"/>
    <w:rsid w:val="00DE419E"/>
    <w:rsid w:val="00DE44C3"/>
    <w:rsid w:val="00DE4D5E"/>
    <w:rsid w:val="00DF139C"/>
    <w:rsid w:val="00DF7D53"/>
    <w:rsid w:val="00E0731A"/>
    <w:rsid w:val="00E12F22"/>
    <w:rsid w:val="00E165FC"/>
    <w:rsid w:val="00E168D7"/>
    <w:rsid w:val="00E23A47"/>
    <w:rsid w:val="00E23E0E"/>
    <w:rsid w:val="00E2482B"/>
    <w:rsid w:val="00E2592B"/>
    <w:rsid w:val="00E25D98"/>
    <w:rsid w:val="00E264F8"/>
    <w:rsid w:val="00E30C52"/>
    <w:rsid w:val="00E32868"/>
    <w:rsid w:val="00E33666"/>
    <w:rsid w:val="00E3771A"/>
    <w:rsid w:val="00E40B45"/>
    <w:rsid w:val="00E4125E"/>
    <w:rsid w:val="00E41637"/>
    <w:rsid w:val="00E43A09"/>
    <w:rsid w:val="00E44D46"/>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777C7"/>
    <w:rsid w:val="00E81786"/>
    <w:rsid w:val="00E85DE5"/>
    <w:rsid w:val="00E90EC0"/>
    <w:rsid w:val="00E944C1"/>
    <w:rsid w:val="00E97D8B"/>
    <w:rsid w:val="00EA5878"/>
    <w:rsid w:val="00EA7F55"/>
    <w:rsid w:val="00EB1CE6"/>
    <w:rsid w:val="00EB1F19"/>
    <w:rsid w:val="00EB7375"/>
    <w:rsid w:val="00EC06EA"/>
    <w:rsid w:val="00EC1BAA"/>
    <w:rsid w:val="00EC2660"/>
    <w:rsid w:val="00EC3057"/>
    <w:rsid w:val="00EC308D"/>
    <w:rsid w:val="00EC47C5"/>
    <w:rsid w:val="00ED087B"/>
    <w:rsid w:val="00ED51DD"/>
    <w:rsid w:val="00ED5626"/>
    <w:rsid w:val="00ED5EB9"/>
    <w:rsid w:val="00ED6BFE"/>
    <w:rsid w:val="00ED7FE5"/>
    <w:rsid w:val="00EE0176"/>
    <w:rsid w:val="00EE17BD"/>
    <w:rsid w:val="00EE27D8"/>
    <w:rsid w:val="00EE32BD"/>
    <w:rsid w:val="00EE5542"/>
    <w:rsid w:val="00EE5F6A"/>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264"/>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9F8"/>
    <w:rsid w:val="00F61AB2"/>
    <w:rsid w:val="00F65464"/>
    <w:rsid w:val="00F70E1C"/>
    <w:rsid w:val="00F72FCE"/>
    <w:rsid w:val="00F734F9"/>
    <w:rsid w:val="00F73F90"/>
    <w:rsid w:val="00F74D13"/>
    <w:rsid w:val="00F80FBD"/>
    <w:rsid w:val="00F849FF"/>
    <w:rsid w:val="00F86F58"/>
    <w:rsid w:val="00F93035"/>
    <w:rsid w:val="00F936BB"/>
    <w:rsid w:val="00F93BAD"/>
    <w:rsid w:val="00F941DD"/>
    <w:rsid w:val="00F95311"/>
    <w:rsid w:val="00F95348"/>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31F0BD"/>
  <w15:chartTrackingRefBased/>
  <w15:docId w15:val="{1430ABCD-043E-4EC6-B673-C838C37F9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5562D"/>
    <w:rPr>
      <w:rFonts w:ascii="Calibri" w:hAnsi="Calibri" w:cs="Calibri"/>
    </w:rPr>
  </w:style>
  <w:style w:type="paragraph" w:styleId="Heading1">
    <w:name w:val="heading 1"/>
    <w:aliases w:val="Pocket"/>
    <w:basedOn w:val="Normal"/>
    <w:next w:val="Normal"/>
    <w:link w:val="Heading1Char"/>
    <w:qFormat/>
    <w:rsid w:val="0075562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5562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75562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qFormat/>
    <w:rsid w:val="0075562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5562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556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562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75562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5562D"/>
    <w:rPr>
      <w:color w:val="auto"/>
      <w:u w:val="none"/>
    </w:rPr>
  </w:style>
  <w:style w:type="character" w:customStyle="1" w:styleId="Heading1Char">
    <w:name w:val="Heading 1 Char"/>
    <w:aliases w:val="Pocket Char"/>
    <w:basedOn w:val="DefaultParagraphFont"/>
    <w:link w:val="Heading1"/>
    <w:rsid w:val="0075562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5562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75562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75562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5562D"/>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75562D"/>
    <w:rPr>
      <w:b w:val="0"/>
      <w:sz w:val="22"/>
      <w:u w:val="single"/>
    </w:rPr>
  </w:style>
  <w:style w:type="character" w:styleId="Strong">
    <w:name w:val="Strong"/>
    <w:basedOn w:val="DefaultParagraphFont"/>
    <w:uiPriority w:val="22"/>
    <w:qFormat/>
    <w:rsid w:val="0075562D"/>
    <w:rPr>
      <w:b/>
      <w:bCs/>
    </w:rPr>
  </w:style>
  <w:style w:type="character" w:styleId="BookTitle">
    <w:name w:val="Book Title"/>
    <w:basedOn w:val="DefaultParagraphFont"/>
    <w:uiPriority w:val="33"/>
    <w:semiHidden/>
    <w:qFormat/>
    <w:rsid w:val="0075562D"/>
    <w:rPr>
      <w:b/>
      <w:bCs/>
      <w:i/>
      <w:iCs/>
      <w:spacing w:val="5"/>
    </w:rPr>
  </w:style>
  <w:style w:type="character" w:customStyle="1" w:styleId="Heading5Char">
    <w:name w:val="Heading 5 Char"/>
    <w:basedOn w:val="DefaultParagraphFont"/>
    <w:link w:val="Heading5"/>
    <w:uiPriority w:val="9"/>
    <w:semiHidden/>
    <w:rsid w:val="0075562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5562D"/>
  </w:style>
  <w:style w:type="paragraph" w:styleId="Header">
    <w:name w:val="header"/>
    <w:basedOn w:val="Normal"/>
    <w:link w:val="HeaderChar"/>
    <w:uiPriority w:val="99"/>
    <w:semiHidden/>
    <w:rsid w:val="0075562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5562D"/>
    <w:rPr>
      <w:rFonts w:ascii="Calibri" w:hAnsi="Calibri" w:cs="Calibri"/>
    </w:rPr>
  </w:style>
  <w:style w:type="paragraph" w:styleId="Footer">
    <w:name w:val="footer"/>
    <w:basedOn w:val="Normal"/>
    <w:link w:val="FooterChar"/>
    <w:uiPriority w:val="99"/>
    <w:semiHidden/>
    <w:rsid w:val="0075562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5562D"/>
    <w:rPr>
      <w:rFonts w:ascii="Calibri" w:hAnsi="Calibri" w:cs="Calibri"/>
    </w:rPr>
  </w:style>
  <w:style w:type="paragraph" w:styleId="BodyText">
    <w:name w:val="Body Text"/>
    <w:basedOn w:val="Normal"/>
    <w:link w:val="BodyTextChar"/>
    <w:uiPriority w:val="99"/>
    <w:semiHidden/>
    <w:unhideWhenUsed/>
    <w:rsid w:val="0075562D"/>
    <w:pPr>
      <w:spacing w:after="120"/>
    </w:pPr>
  </w:style>
  <w:style w:type="character" w:customStyle="1" w:styleId="BodyTextChar">
    <w:name w:val="Body Text Char"/>
    <w:basedOn w:val="DefaultParagraphFont"/>
    <w:link w:val="BodyText"/>
    <w:uiPriority w:val="99"/>
    <w:semiHidden/>
    <w:rsid w:val="0075562D"/>
    <w:rPr>
      <w:rFonts w:ascii="Calibri" w:hAnsi="Calibri" w:cs="Calibri"/>
    </w:rPr>
  </w:style>
  <w:style w:type="paragraph" w:styleId="NoSpacing">
    <w:name w:val="No Spacing"/>
    <w:link w:val="NoSpacingChar"/>
    <w:uiPriority w:val="99"/>
    <w:semiHidden/>
    <w:unhideWhenUsed/>
    <w:qFormat/>
    <w:rsid w:val="0075562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5562D"/>
    <w:rPr>
      <w:rFonts w:ascii="Calibri" w:hAnsi="Calibri" w:cs="Calibri"/>
    </w:rPr>
  </w:style>
  <w:style w:type="character" w:styleId="Hyperlink">
    <w:name w:val="Hyperlink"/>
    <w:basedOn w:val="DefaultParagraphFont"/>
    <w:uiPriority w:val="99"/>
    <w:unhideWhenUsed/>
    <w:rsid w:val="0075562D"/>
    <w:rPr>
      <w:color w:val="0563C1" w:themeColor="hyperlink"/>
      <w:u w:val="single"/>
    </w:rPr>
  </w:style>
  <w:style w:type="character" w:styleId="UnresolvedMention">
    <w:name w:val="Unresolved Mention"/>
    <w:basedOn w:val="DefaultParagraphFont"/>
    <w:uiPriority w:val="99"/>
    <w:semiHidden/>
    <w:unhideWhenUsed/>
    <w:rsid w:val="0075562D"/>
    <w:rPr>
      <w:color w:val="605E5C"/>
      <w:shd w:val="clear" w:color="auto" w:fill="E1DFDD"/>
    </w:rPr>
  </w:style>
  <w:style w:type="paragraph" w:customStyle="1" w:styleId="Analytic1">
    <w:name w:val="Analytic1"/>
    <w:basedOn w:val="Normal"/>
    <w:link w:val="Analytic1Char"/>
    <w:uiPriority w:val="5"/>
    <w:qFormat/>
    <w:rsid w:val="0075562D"/>
    <w:pPr>
      <w:spacing w:after="0"/>
    </w:pPr>
    <w:rPr>
      <w:b/>
      <w:color w:val="595959" w:themeColor="text1" w:themeTint="A6"/>
      <w:sz w:val="26"/>
    </w:rPr>
  </w:style>
  <w:style w:type="character" w:customStyle="1" w:styleId="Analytic1Char">
    <w:name w:val="Analytic1 Char"/>
    <w:basedOn w:val="DefaultParagraphFont"/>
    <w:link w:val="Analytic1"/>
    <w:uiPriority w:val="5"/>
    <w:rsid w:val="0075562D"/>
    <w:rPr>
      <w:rFonts w:ascii="Calibri" w:hAnsi="Calibri" w:cs="Calibri"/>
      <w:b/>
      <w:color w:val="595959" w:themeColor="text1" w:themeTint="A6"/>
      <w:sz w:val="26"/>
    </w:rPr>
  </w:style>
  <w:style w:type="paragraph" w:customStyle="1" w:styleId="Analytic">
    <w:name w:val="Analytic"/>
    <w:link w:val="AnalyticChar"/>
    <w:autoRedefine/>
    <w:uiPriority w:val="4"/>
    <w:qFormat/>
    <w:rsid w:val="0075562D"/>
    <w:pPr>
      <w:spacing w:after="0"/>
      <w:outlineLvl w:val="3"/>
    </w:pPr>
    <w:rPr>
      <w:rFonts w:eastAsia="Times New Roman" w:cs="Times New Roman"/>
      <w:b/>
      <w:color w:val="404040" w:themeColor="text1" w:themeTint="BF"/>
      <w:sz w:val="26"/>
      <w:szCs w:val="20"/>
    </w:rPr>
  </w:style>
  <w:style w:type="character" w:customStyle="1" w:styleId="AnalyticChar">
    <w:name w:val="Analytic Char"/>
    <w:basedOn w:val="DefaultParagraphFont"/>
    <w:link w:val="Analytic"/>
    <w:uiPriority w:val="4"/>
    <w:rsid w:val="0075562D"/>
    <w:rPr>
      <w:rFonts w:eastAsia="Times New Roman" w:cs="Times New Roman"/>
      <w:b/>
      <w:color w:val="404040" w:themeColor="text1" w:themeTint="BF"/>
      <w:sz w:val="26"/>
      <w:szCs w:val="20"/>
    </w:rPr>
  </w:style>
  <w:style w:type="paragraph" w:customStyle="1" w:styleId="textbold">
    <w:name w:val="text bold"/>
    <w:basedOn w:val="Normal"/>
    <w:link w:val="Emphasis"/>
    <w:uiPriority w:val="8"/>
    <w:qFormat/>
    <w:rsid w:val="00177069"/>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table" w:styleId="TableGrid">
    <w:name w:val="Table Grid"/>
    <w:basedOn w:val="TableNormal"/>
    <w:uiPriority w:val="39"/>
    <w:rsid w:val="00BE67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
    <w:basedOn w:val="Normal"/>
    <w:uiPriority w:val="34"/>
    <w:unhideWhenUsed/>
    <w:qFormat/>
    <w:rsid w:val="0076614F"/>
    <w:pPr>
      <w:ind w:left="720"/>
      <w:contextualSpacing/>
    </w:pPr>
  </w:style>
  <w:style w:type="paragraph" w:styleId="NormalWeb">
    <w:name w:val="Normal (Web)"/>
    <w:basedOn w:val="Normal"/>
    <w:uiPriority w:val="99"/>
    <w:semiHidden/>
    <w:unhideWhenUsed/>
    <w:rsid w:val="00AE58B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chor-text">
    <w:name w:val="anchor-text"/>
    <w:basedOn w:val="DefaultParagraphFont"/>
    <w:rsid w:val="0086647A"/>
  </w:style>
  <w:style w:type="character" w:customStyle="1" w:styleId="ssit">
    <w:name w:val="ss_it"/>
    <w:basedOn w:val="DefaultParagraphFont"/>
    <w:rsid w:val="006A7B87"/>
  </w:style>
  <w:style w:type="character" w:customStyle="1" w:styleId="sssmcaps">
    <w:name w:val="ss_smcaps"/>
    <w:basedOn w:val="DefaultParagraphFont"/>
    <w:rsid w:val="006A7B87"/>
  </w:style>
  <w:style w:type="character" w:customStyle="1" w:styleId="sssh">
    <w:name w:val="ss_sh"/>
    <w:basedOn w:val="DefaultParagraphFont"/>
    <w:rsid w:val="006A7B87"/>
  </w:style>
  <w:style w:type="character" w:customStyle="1" w:styleId="ssrfcsection">
    <w:name w:val="ss_rfcsection"/>
    <w:basedOn w:val="DefaultParagraphFont"/>
    <w:rsid w:val="006A7B87"/>
  </w:style>
  <w:style w:type="character" w:customStyle="1" w:styleId="ssib">
    <w:name w:val="ss_ib"/>
    <w:basedOn w:val="DefaultParagraphFont"/>
    <w:rsid w:val="00934B09"/>
  </w:style>
  <w:style w:type="character" w:customStyle="1" w:styleId="gramgrp">
    <w:name w:val="gramgrp"/>
    <w:basedOn w:val="DefaultParagraphFont"/>
    <w:rsid w:val="00E32868"/>
  </w:style>
  <w:style w:type="character" w:customStyle="1" w:styleId="hi">
    <w:name w:val="hi"/>
    <w:basedOn w:val="DefaultParagraphFont"/>
    <w:rsid w:val="00E32868"/>
  </w:style>
  <w:style w:type="character" w:customStyle="1" w:styleId="Quote1">
    <w:name w:val="Quote1"/>
    <w:basedOn w:val="DefaultParagraphFont"/>
    <w:rsid w:val="00E32868"/>
  </w:style>
  <w:style w:type="character" w:customStyle="1" w:styleId="ptr">
    <w:name w:val="ptr"/>
    <w:basedOn w:val="DefaultParagraphFont"/>
    <w:rsid w:val="00E32868"/>
  </w:style>
  <w:style w:type="character" w:customStyle="1" w:styleId="nbsp2">
    <w:name w:val="nbsp2"/>
    <w:basedOn w:val="DefaultParagraphFont"/>
    <w:rsid w:val="00223D06"/>
  </w:style>
  <w:style w:type="character" w:customStyle="1" w:styleId="nbsp1">
    <w:name w:val="nbsp1"/>
    <w:basedOn w:val="DefaultParagraphFont"/>
    <w:rsid w:val="00223D06"/>
  </w:style>
  <w:style w:type="character" w:customStyle="1" w:styleId="injectednode">
    <w:name w:val="injectednode"/>
    <w:basedOn w:val="DefaultParagraphFont"/>
    <w:rsid w:val="00400246"/>
  </w:style>
  <w:style w:type="character" w:customStyle="1" w:styleId="citationrow">
    <w:name w:val="citationrow"/>
    <w:basedOn w:val="DefaultParagraphFont"/>
    <w:rsid w:val="00AB70DB"/>
  </w:style>
  <w:style w:type="character" w:customStyle="1" w:styleId="separator">
    <w:name w:val="separator"/>
    <w:basedOn w:val="DefaultParagraphFont"/>
    <w:rsid w:val="00AB70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90167">
      <w:bodyDiv w:val="1"/>
      <w:marLeft w:val="0"/>
      <w:marRight w:val="0"/>
      <w:marTop w:val="0"/>
      <w:marBottom w:val="0"/>
      <w:divBdr>
        <w:top w:val="none" w:sz="0" w:space="0" w:color="auto"/>
        <w:left w:val="none" w:sz="0" w:space="0" w:color="auto"/>
        <w:bottom w:val="none" w:sz="0" w:space="0" w:color="auto"/>
        <w:right w:val="none" w:sz="0" w:space="0" w:color="auto"/>
      </w:divBdr>
      <w:divsChild>
        <w:div w:id="230582116">
          <w:marLeft w:val="360"/>
          <w:marRight w:val="0"/>
          <w:marTop w:val="120"/>
          <w:marBottom w:val="120"/>
          <w:divBdr>
            <w:top w:val="none" w:sz="0" w:space="0" w:color="auto"/>
            <w:left w:val="none" w:sz="0" w:space="0" w:color="auto"/>
            <w:bottom w:val="none" w:sz="0" w:space="0" w:color="auto"/>
            <w:right w:val="none" w:sz="0" w:space="0" w:color="auto"/>
          </w:divBdr>
          <w:divsChild>
            <w:div w:id="49697543">
              <w:marLeft w:val="0"/>
              <w:marRight w:val="0"/>
              <w:marTop w:val="0"/>
              <w:marBottom w:val="120"/>
              <w:divBdr>
                <w:top w:val="none" w:sz="0" w:space="0" w:color="auto"/>
                <w:left w:val="none" w:sz="0" w:space="0" w:color="auto"/>
                <w:bottom w:val="none" w:sz="0" w:space="0" w:color="auto"/>
                <w:right w:val="none" w:sz="0" w:space="0" w:color="auto"/>
              </w:divBdr>
            </w:div>
            <w:div w:id="158618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8584">
      <w:bodyDiv w:val="1"/>
      <w:marLeft w:val="0"/>
      <w:marRight w:val="0"/>
      <w:marTop w:val="0"/>
      <w:marBottom w:val="0"/>
      <w:divBdr>
        <w:top w:val="none" w:sz="0" w:space="0" w:color="auto"/>
        <w:left w:val="none" w:sz="0" w:space="0" w:color="auto"/>
        <w:bottom w:val="none" w:sz="0" w:space="0" w:color="auto"/>
        <w:right w:val="none" w:sz="0" w:space="0" w:color="auto"/>
      </w:divBdr>
      <w:divsChild>
        <w:div w:id="2016027756">
          <w:marLeft w:val="0"/>
          <w:marRight w:val="0"/>
          <w:marTop w:val="0"/>
          <w:marBottom w:val="0"/>
          <w:divBdr>
            <w:top w:val="none" w:sz="0" w:space="0" w:color="auto"/>
            <w:left w:val="none" w:sz="0" w:space="0" w:color="auto"/>
            <w:bottom w:val="none" w:sz="0" w:space="0" w:color="auto"/>
            <w:right w:val="none" w:sz="0" w:space="0" w:color="auto"/>
          </w:divBdr>
          <w:divsChild>
            <w:div w:id="133571606">
              <w:marLeft w:val="0"/>
              <w:marRight w:val="0"/>
              <w:marTop w:val="0"/>
              <w:marBottom w:val="0"/>
              <w:divBdr>
                <w:top w:val="none" w:sz="0" w:space="0" w:color="auto"/>
                <w:left w:val="none" w:sz="0" w:space="0" w:color="auto"/>
                <w:bottom w:val="none" w:sz="0" w:space="0" w:color="auto"/>
                <w:right w:val="none" w:sz="0" w:space="0" w:color="auto"/>
              </w:divBdr>
              <w:divsChild>
                <w:div w:id="34699696">
                  <w:marLeft w:val="0"/>
                  <w:marRight w:val="0"/>
                  <w:marTop w:val="0"/>
                  <w:marBottom w:val="0"/>
                  <w:divBdr>
                    <w:top w:val="none" w:sz="0" w:space="0" w:color="auto"/>
                    <w:left w:val="none" w:sz="0" w:space="0" w:color="auto"/>
                    <w:bottom w:val="none" w:sz="0" w:space="0" w:color="auto"/>
                    <w:right w:val="none" w:sz="0" w:space="0" w:color="auto"/>
                  </w:divBdr>
                  <w:divsChild>
                    <w:div w:id="428240103">
                      <w:marLeft w:val="0"/>
                      <w:marRight w:val="0"/>
                      <w:marTop w:val="0"/>
                      <w:marBottom w:val="0"/>
                      <w:divBdr>
                        <w:top w:val="none" w:sz="0" w:space="0" w:color="auto"/>
                        <w:left w:val="none" w:sz="0" w:space="0" w:color="auto"/>
                        <w:bottom w:val="none" w:sz="0" w:space="0" w:color="auto"/>
                        <w:right w:val="none" w:sz="0" w:space="0" w:color="auto"/>
                      </w:divBdr>
                      <w:divsChild>
                        <w:div w:id="510680143">
                          <w:marLeft w:val="0"/>
                          <w:marRight w:val="0"/>
                          <w:marTop w:val="0"/>
                          <w:marBottom w:val="0"/>
                          <w:divBdr>
                            <w:top w:val="none" w:sz="0" w:space="0" w:color="auto"/>
                            <w:left w:val="none" w:sz="0" w:space="0" w:color="auto"/>
                            <w:bottom w:val="none" w:sz="0" w:space="0" w:color="auto"/>
                            <w:right w:val="none" w:sz="0" w:space="0" w:color="auto"/>
                          </w:divBdr>
                          <w:divsChild>
                            <w:div w:id="1165130648">
                              <w:marLeft w:val="-240"/>
                              <w:marRight w:val="-120"/>
                              <w:marTop w:val="0"/>
                              <w:marBottom w:val="0"/>
                              <w:divBdr>
                                <w:top w:val="none" w:sz="0" w:space="0" w:color="auto"/>
                                <w:left w:val="none" w:sz="0" w:space="0" w:color="auto"/>
                                <w:bottom w:val="none" w:sz="0" w:space="0" w:color="auto"/>
                                <w:right w:val="none" w:sz="0" w:space="0" w:color="auto"/>
                              </w:divBdr>
                              <w:divsChild>
                                <w:div w:id="358966754">
                                  <w:marLeft w:val="0"/>
                                  <w:marRight w:val="0"/>
                                  <w:marTop w:val="0"/>
                                  <w:marBottom w:val="60"/>
                                  <w:divBdr>
                                    <w:top w:val="none" w:sz="0" w:space="0" w:color="auto"/>
                                    <w:left w:val="none" w:sz="0" w:space="0" w:color="auto"/>
                                    <w:bottom w:val="none" w:sz="0" w:space="0" w:color="auto"/>
                                    <w:right w:val="none" w:sz="0" w:space="0" w:color="auto"/>
                                  </w:divBdr>
                                  <w:divsChild>
                                    <w:div w:id="1630865646">
                                      <w:marLeft w:val="0"/>
                                      <w:marRight w:val="0"/>
                                      <w:marTop w:val="0"/>
                                      <w:marBottom w:val="0"/>
                                      <w:divBdr>
                                        <w:top w:val="none" w:sz="0" w:space="0" w:color="auto"/>
                                        <w:left w:val="none" w:sz="0" w:space="0" w:color="auto"/>
                                        <w:bottom w:val="none" w:sz="0" w:space="0" w:color="auto"/>
                                        <w:right w:val="none" w:sz="0" w:space="0" w:color="auto"/>
                                      </w:divBdr>
                                      <w:divsChild>
                                        <w:div w:id="1598362488">
                                          <w:marLeft w:val="0"/>
                                          <w:marRight w:val="0"/>
                                          <w:marTop w:val="0"/>
                                          <w:marBottom w:val="0"/>
                                          <w:divBdr>
                                            <w:top w:val="none" w:sz="0" w:space="0" w:color="auto"/>
                                            <w:left w:val="none" w:sz="0" w:space="0" w:color="auto"/>
                                            <w:bottom w:val="none" w:sz="0" w:space="0" w:color="auto"/>
                                            <w:right w:val="none" w:sz="0" w:space="0" w:color="auto"/>
                                          </w:divBdr>
                                          <w:divsChild>
                                            <w:div w:id="1734768037">
                                              <w:marLeft w:val="0"/>
                                              <w:marRight w:val="0"/>
                                              <w:marTop w:val="0"/>
                                              <w:marBottom w:val="0"/>
                                              <w:divBdr>
                                                <w:top w:val="none" w:sz="0" w:space="0" w:color="auto"/>
                                                <w:left w:val="none" w:sz="0" w:space="0" w:color="auto"/>
                                                <w:bottom w:val="none" w:sz="0" w:space="0" w:color="auto"/>
                                                <w:right w:val="none" w:sz="0" w:space="0" w:color="auto"/>
                                              </w:divBdr>
                                              <w:divsChild>
                                                <w:div w:id="4607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451922">
                          <w:marLeft w:val="0"/>
                          <w:marRight w:val="0"/>
                          <w:marTop w:val="0"/>
                          <w:marBottom w:val="0"/>
                          <w:divBdr>
                            <w:top w:val="none" w:sz="0" w:space="0" w:color="auto"/>
                            <w:left w:val="none" w:sz="0" w:space="0" w:color="auto"/>
                            <w:bottom w:val="none" w:sz="0" w:space="0" w:color="auto"/>
                            <w:right w:val="none" w:sz="0" w:space="0" w:color="auto"/>
                          </w:divBdr>
                          <w:divsChild>
                            <w:div w:id="161960765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968855">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64194362">
      <w:bodyDiv w:val="1"/>
      <w:marLeft w:val="0"/>
      <w:marRight w:val="0"/>
      <w:marTop w:val="0"/>
      <w:marBottom w:val="0"/>
      <w:divBdr>
        <w:top w:val="none" w:sz="0" w:space="0" w:color="auto"/>
        <w:left w:val="none" w:sz="0" w:space="0" w:color="auto"/>
        <w:bottom w:val="none" w:sz="0" w:space="0" w:color="auto"/>
        <w:right w:val="none" w:sz="0" w:space="0" w:color="auto"/>
      </w:divBdr>
      <w:divsChild>
        <w:div w:id="142703786">
          <w:marLeft w:val="0"/>
          <w:marRight w:val="0"/>
          <w:marTop w:val="105"/>
          <w:marBottom w:val="105"/>
          <w:divBdr>
            <w:top w:val="single" w:sz="6" w:space="5" w:color="BCBEC0"/>
            <w:left w:val="single" w:sz="6" w:space="8" w:color="BCBEC0"/>
            <w:bottom w:val="single" w:sz="6" w:space="5" w:color="BCBEC0"/>
            <w:right w:val="single" w:sz="6" w:space="8" w:color="BCBEC0"/>
          </w:divBdr>
        </w:div>
      </w:divsChild>
    </w:div>
    <w:div w:id="382363736">
      <w:bodyDiv w:val="1"/>
      <w:marLeft w:val="0"/>
      <w:marRight w:val="0"/>
      <w:marTop w:val="0"/>
      <w:marBottom w:val="0"/>
      <w:divBdr>
        <w:top w:val="none" w:sz="0" w:space="0" w:color="auto"/>
        <w:left w:val="none" w:sz="0" w:space="0" w:color="auto"/>
        <w:bottom w:val="none" w:sz="0" w:space="0" w:color="auto"/>
        <w:right w:val="none" w:sz="0" w:space="0" w:color="auto"/>
      </w:divBdr>
    </w:div>
    <w:div w:id="438599642">
      <w:bodyDiv w:val="1"/>
      <w:marLeft w:val="0"/>
      <w:marRight w:val="0"/>
      <w:marTop w:val="0"/>
      <w:marBottom w:val="0"/>
      <w:divBdr>
        <w:top w:val="none" w:sz="0" w:space="0" w:color="auto"/>
        <w:left w:val="none" w:sz="0" w:space="0" w:color="auto"/>
        <w:bottom w:val="none" w:sz="0" w:space="0" w:color="auto"/>
        <w:right w:val="none" w:sz="0" w:space="0" w:color="auto"/>
      </w:divBdr>
      <w:divsChild>
        <w:div w:id="1557624089">
          <w:marLeft w:val="0"/>
          <w:marRight w:val="0"/>
          <w:marTop w:val="0"/>
          <w:marBottom w:val="0"/>
          <w:divBdr>
            <w:top w:val="none" w:sz="0" w:space="0" w:color="auto"/>
            <w:left w:val="none" w:sz="0" w:space="0" w:color="auto"/>
            <w:bottom w:val="none" w:sz="0" w:space="0" w:color="auto"/>
            <w:right w:val="none" w:sz="0" w:space="0" w:color="auto"/>
          </w:divBdr>
          <w:divsChild>
            <w:div w:id="584459409">
              <w:marLeft w:val="0"/>
              <w:marRight w:val="0"/>
              <w:marTop w:val="0"/>
              <w:marBottom w:val="0"/>
              <w:divBdr>
                <w:top w:val="none" w:sz="0" w:space="0" w:color="auto"/>
                <w:left w:val="none" w:sz="0" w:space="0" w:color="auto"/>
                <w:bottom w:val="none" w:sz="0" w:space="0" w:color="auto"/>
                <w:right w:val="none" w:sz="0" w:space="0" w:color="auto"/>
              </w:divBdr>
              <w:divsChild>
                <w:div w:id="1781876578">
                  <w:marLeft w:val="0"/>
                  <w:marRight w:val="0"/>
                  <w:marTop w:val="0"/>
                  <w:marBottom w:val="0"/>
                  <w:divBdr>
                    <w:top w:val="none" w:sz="0" w:space="0" w:color="auto"/>
                    <w:left w:val="none" w:sz="0" w:space="0" w:color="auto"/>
                    <w:bottom w:val="none" w:sz="0" w:space="0" w:color="auto"/>
                    <w:right w:val="none" w:sz="0" w:space="0" w:color="auto"/>
                  </w:divBdr>
                  <w:divsChild>
                    <w:div w:id="1584559835">
                      <w:marLeft w:val="0"/>
                      <w:marRight w:val="0"/>
                      <w:marTop w:val="0"/>
                      <w:marBottom w:val="0"/>
                      <w:divBdr>
                        <w:top w:val="none" w:sz="0" w:space="0" w:color="auto"/>
                        <w:left w:val="none" w:sz="0" w:space="0" w:color="auto"/>
                        <w:bottom w:val="none" w:sz="0" w:space="0" w:color="auto"/>
                        <w:right w:val="none" w:sz="0" w:space="0" w:color="auto"/>
                      </w:divBdr>
                      <w:divsChild>
                        <w:div w:id="602493523">
                          <w:marLeft w:val="0"/>
                          <w:marRight w:val="0"/>
                          <w:marTop w:val="0"/>
                          <w:marBottom w:val="0"/>
                          <w:divBdr>
                            <w:top w:val="none" w:sz="0" w:space="0" w:color="auto"/>
                            <w:left w:val="none" w:sz="0" w:space="0" w:color="auto"/>
                            <w:bottom w:val="none" w:sz="0" w:space="0" w:color="auto"/>
                            <w:right w:val="none" w:sz="0" w:space="0" w:color="auto"/>
                          </w:divBdr>
                          <w:divsChild>
                            <w:div w:id="1302465394">
                              <w:marLeft w:val="-240"/>
                              <w:marRight w:val="-120"/>
                              <w:marTop w:val="0"/>
                              <w:marBottom w:val="0"/>
                              <w:divBdr>
                                <w:top w:val="none" w:sz="0" w:space="0" w:color="auto"/>
                                <w:left w:val="none" w:sz="0" w:space="0" w:color="auto"/>
                                <w:bottom w:val="none" w:sz="0" w:space="0" w:color="auto"/>
                                <w:right w:val="none" w:sz="0" w:space="0" w:color="auto"/>
                              </w:divBdr>
                              <w:divsChild>
                                <w:div w:id="1919051341">
                                  <w:marLeft w:val="0"/>
                                  <w:marRight w:val="0"/>
                                  <w:marTop w:val="0"/>
                                  <w:marBottom w:val="60"/>
                                  <w:divBdr>
                                    <w:top w:val="none" w:sz="0" w:space="0" w:color="auto"/>
                                    <w:left w:val="none" w:sz="0" w:space="0" w:color="auto"/>
                                    <w:bottom w:val="none" w:sz="0" w:space="0" w:color="auto"/>
                                    <w:right w:val="none" w:sz="0" w:space="0" w:color="auto"/>
                                  </w:divBdr>
                                  <w:divsChild>
                                    <w:div w:id="985862999">
                                      <w:marLeft w:val="0"/>
                                      <w:marRight w:val="0"/>
                                      <w:marTop w:val="0"/>
                                      <w:marBottom w:val="0"/>
                                      <w:divBdr>
                                        <w:top w:val="none" w:sz="0" w:space="0" w:color="auto"/>
                                        <w:left w:val="none" w:sz="0" w:space="0" w:color="auto"/>
                                        <w:bottom w:val="none" w:sz="0" w:space="0" w:color="auto"/>
                                        <w:right w:val="none" w:sz="0" w:space="0" w:color="auto"/>
                                      </w:divBdr>
                                      <w:divsChild>
                                        <w:div w:id="1846438701">
                                          <w:marLeft w:val="0"/>
                                          <w:marRight w:val="0"/>
                                          <w:marTop w:val="0"/>
                                          <w:marBottom w:val="0"/>
                                          <w:divBdr>
                                            <w:top w:val="none" w:sz="0" w:space="0" w:color="auto"/>
                                            <w:left w:val="none" w:sz="0" w:space="0" w:color="auto"/>
                                            <w:bottom w:val="none" w:sz="0" w:space="0" w:color="auto"/>
                                            <w:right w:val="none" w:sz="0" w:space="0" w:color="auto"/>
                                          </w:divBdr>
                                          <w:divsChild>
                                            <w:div w:id="39480781">
                                              <w:marLeft w:val="0"/>
                                              <w:marRight w:val="0"/>
                                              <w:marTop w:val="0"/>
                                              <w:marBottom w:val="0"/>
                                              <w:divBdr>
                                                <w:top w:val="none" w:sz="0" w:space="0" w:color="auto"/>
                                                <w:left w:val="none" w:sz="0" w:space="0" w:color="auto"/>
                                                <w:bottom w:val="none" w:sz="0" w:space="0" w:color="auto"/>
                                                <w:right w:val="none" w:sz="0" w:space="0" w:color="auto"/>
                                              </w:divBdr>
                                              <w:divsChild>
                                                <w:div w:id="56626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306928">
                          <w:marLeft w:val="0"/>
                          <w:marRight w:val="0"/>
                          <w:marTop w:val="0"/>
                          <w:marBottom w:val="0"/>
                          <w:divBdr>
                            <w:top w:val="none" w:sz="0" w:space="0" w:color="auto"/>
                            <w:left w:val="none" w:sz="0" w:space="0" w:color="auto"/>
                            <w:bottom w:val="none" w:sz="0" w:space="0" w:color="auto"/>
                            <w:right w:val="none" w:sz="0" w:space="0" w:color="auto"/>
                          </w:divBdr>
                          <w:divsChild>
                            <w:div w:id="183730867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415429">
      <w:bodyDiv w:val="1"/>
      <w:marLeft w:val="0"/>
      <w:marRight w:val="0"/>
      <w:marTop w:val="0"/>
      <w:marBottom w:val="0"/>
      <w:divBdr>
        <w:top w:val="none" w:sz="0" w:space="0" w:color="auto"/>
        <w:left w:val="none" w:sz="0" w:space="0" w:color="auto"/>
        <w:bottom w:val="none" w:sz="0" w:space="0" w:color="auto"/>
        <w:right w:val="none" w:sz="0" w:space="0" w:color="auto"/>
      </w:divBdr>
    </w:div>
    <w:div w:id="684483469">
      <w:bodyDiv w:val="1"/>
      <w:marLeft w:val="0"/>
      <w:marRight w:val="0"/>
      <w:marTop w:val="0"/>
      <w:marBottom w:val="0"/>
      <w:divBdr>
        <w:top w:val="none" w:sz="0" w:space="0" w:color="auto"/>
        <w:left w:val="none" w:sz="0" w:space="0" w:color="auto"/>
        <w:bottom w:val="none" w:sz="0" w:space="0" w:color="auto"/>
        <w:right w:val="none" w:sz="0" w:space="0" w:color="auto"/>
      </w:divBdr>
    </w:div>
    <w:div w:id="729889657">
      <w:bodyDiv w:val="1"/>
      <w:marLeft w:val="0"/>
      <w:marRight w:val="0"/>
      <w:marTop w:val="0"/>
      <w:marBottom w:val="0"/>
      <w:divBdr>
        <w:top w:val="none" w:sz="0" w:space="0" w:color="auto"/>
        <w:left w:val="none" w:sz="0" w:space="0" w:color="auto"/>
        <w:bottom w:val="none" w:sz="0" w:space="0" w:color="auto"/>
        <w:right w:val="none" w:sz="0" w:space="0" w:color="auto"/>
      </w:divBdr>
    </w:div>
    <w:div w:id="1267498462">
      <w:bodyDiv w:val="1"/>
      <w:marLeft w:val="0"/>
      <w:marRight w:val="0"/>
      <w:marTop w:val="0"/>
      <w:marBottom w:val="0"/>
      <w:divBdr>
        <w:top w:val="none" w:sz="0" w:space="0" w:color="auto"/>
        <w:left w:val="none" w:sz="0" w:space="0" w:color="auto"/>
        <w:bottom w:val="none" w:sz="0" w:space="0" w:color="auto"/>
        <w:right w:val="none" w:sz="0" w:space="0" w:color="auto"/>
      </w:divBdr>
      <w:divsChild>
        <w:div w:id="1693605766">
          <w:blockQuote w:val="1"/>
          <w:marLeft w:val="600"/>
          <w:marRight w:val="600"/>
          <w:marTop w:val="240"/>
          <w:marBottom w:val="240"/>
          <w:divBdr>
            <w:top w:val="none" w:sz="0" w:space="0" w:color="auto"/>
            <w:left w:val="none" w:sz="0" w:space="0" w:color="auto"/>
            <w:bottom w:val="none" w:sz="0" w:space="0" w:color="auto"/>
            <w:right w:val="none" w:sz="0" w:space="0" w:color="auto"/>
          </w:divBdr>
        </w:div>
      </w:divsChild>
    </w:div>
    <w:div w:id="1493790438">
      <w:bodyDiv w:val="1"/>
      <w:marLeft w:val="0"/>
      <w:marRight w:val="0"/>
      <w:marTop w:val="0"/>
      <w:marBottom w:val="0"/>
      <w:divBdr>
        <w:top w:val="none" w:sz="0" w:space="0" w:color="auto"/>
        <w:left w:val="none" w:sz="0" w:space="0" w:color="auto"/>
        <w:bottom w:val="none" w:sz="0" w:space="0" w:color="auto"/>
        <w:right w:val="none" w:sz="0" w:space="0" w:color="auto"/>
      </w:divBdr>
    </w:div>
    <w:div w:id="1513647172">
      <w:bodyDiv w:val="1"/>
      <w:marLeft w:val="0"/>
      <w:marRight w:val="0"/>
      <w:marTop w:val="0"/>
      <w:marBottom w:val="0"/>
      <w:divBdr>
        <w:top w:val="none" w:sz="0" w:space="0" w:color="auto"/>
        <w:left w:val="none" w:sz="0" w:space="0" w:color="auto"/>
        <w:bottom w:val="none" w:sz="0" w:space="0" w:color="auto"/>
        <w:right w:val="none" w:sz="0" w:space="0" w:color="auto"/>
      </w:divBdr>
    </w:div>
    <w:div w:id="1757363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leigh%20Maxw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1560</TotalTime>
  <Pages>1</Pages>
  <Words>8274</Words>
  <Characters>47163</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Raleigh Maxwell</dc:creator>
  <cp:keywords>6.0.0</cp:keywords>
  <dc:description/>
  <cp:lastModifiedBy>Raleigh Maxwell</cp:lastModifiedBy>
  <cp:revision>54</cp:revision>
  <dcterms:created xsi:type="dcterms:W3CDTF">2023-06-22T02:17:00Z</dcterms:created>
  <dcterms:modified xsi:type="dcterms:W3CDTF">2023-06-27T20:32:00Z</dcterms:modified>
</cp:coreProperties>
</file>