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19ACC" w14:textId="64AB1F62" w:rsidR="003F18D8" w:rsidRPr="00015112" w:rsidRDefault="003F18D8" w:rsidP="00CB1D9D">
      <w:pPr>
        <w:pStyle w:val="Heading1"/>
      </w:pPr>
      <w:r w:rsidRPr="00015112">
        <w:t>Settler Colonialism K – UTNIF – Starter Packet</w:t>
      </w:r>
    </w:p>
    <w:p w14:paraId="1A526C40" w14:textId="7B9657C2" w:rsidR="00CB1D9D" w:rsidRPr="00015112" w:rsidRDefault="00CB1D9D" w:rsidP="00B312ED">
      <w:pPr>
        <w:pStyle w:val="Heading2"/>
      </w:pPr>
      <w:r w:rsidRPr="00015112">
        <w:t>1NC</w:t>
      </w:r>
    </w:p>
    <w:p w14:paraId="05B4800C" w14:textId="139CEE05" w:rsidR="00B312ED" w:rsidRDefault="00B312ED" w:rsidP="00EC52FE">
      <w:pPr>
        <w:pStyle w:val="Heading3"/>
      </w:pPr>
      <w:r>
        <w:t>1NC Generic</w:t>
      </w:r>
    </w:p>
    <w:p w14:paraId="53437AD1" w14:textId="77777777" w:rsidR="00414918" w:rsidRPr="00015112" w:rsidRDefault="00414918" w:rsidP="00414918">
      <w:pPr>
        <w:pStyle w:val="Heading4"/>
        <w:rPr>
          <w:rFonts w:cs="Arial"/>
        </w:rPr>
      </w:pPr>
      <w:r w:rsidRPr="00015112">
        <w:rPr>
          <w:rFonts w:cs="Arial"/>
        </w:rPr>
        <w:t xml:space="preserve">Systems of knowledge serve to </w:t>
      </w:r>
      <w:r w:rsidRPr="00015112">
        <w:rPr>
          <w:rFonts w:cs="Arial"/>
          <w:u w:val="single"/>
        </w:rPr>
        <w:t>institute</w:t>
      </w:r>
      <w:r w:rsidRPr="00015112">
        <w:rPr>
          <w:rFonts w:cs="Arial"/>
        </w:rPr>
        <w:t xml:space="preserve"> and </w:t>
      </w:r>
      <w:r w:rsidRPr="00015112">
        <w:rPr>
          <w:rFonts w:cs="Arial"/>
          <w:u w:val="single"/>
        </w:rPr>
        <w:t>replicate</w:t>
      </w:r>
      <w:r w:rsidRPr="00015112">
        <w:rPr>
          <w:rFonts w:cs="Arial"/>
        </w:rPr>
        <w:t xml:space="preserve"> settler colonialism — the human is a storytelling species and knowledge systems are </w:t>
      </w:r>
      <w:r w:rsidRPr="00015112">
        <w:rPr>
          <w:rFonts w:cs="Arial"/>
          <w:u w:val="single"/>
        </w:rPr>
        <w:t>always already</w:t>
      </w:r>
      <w:r w:rsidRPr="00015112">
        <w:rPr>
          <w:rFonts w:cs="Arial"/>
        </w:rPr>
        <w:t xml:space="preserve"> being chartered through the </w:t>
      </w:r>
      <w:r w:rsidRPr="00015112">
        <w:rPr>
          <w:rFonts w:cs="Arial"/>
          <w:u w:val="single"/>
        </w:rPr>
        <w:t>replication of sociogenic codes</w:t>
      </w:r>
    </w:p>
    <w:p w14:paraId="5ECB95AA" w14:textId="77777777" w:rsidR="00414918" w:rsidRPr="00015112" w:rsidRDefault="00414918" w:rsidP="00414918">
      <w:r w:rsidRPr="00015112">
        <w:rPr>
          <w:rStyle w:val="Style13ptBold"/>
        </w:rPr>
        <w:t>Wynter and McKittrick 15</w:t>
      </w:r>
      <w:r w:rsidRPr="00015112">
        <w:t xml:space="preserve">. Sylvia Wynter is a Professor Emerita at Stanford University. Katherine McKittrick is a professor in Gender Studies at Queen's University. She is an academic and writer whose work focuses on black studies, cultural geography, anti-colonial and diaspora studies, with an emphasis on the ways in which liberation emerges in black creative texts. (Sylvia Wynter: On Being Human as Praxis, </w:t>
      </w:r>
      <w:r w:rsidRPr="00015112">
        <w:rPr>
          <w:i/>
        </w:rPr>
        <w:t>Duke University Press</w:t>
      </w:r>
      <w:r w:rsidRPr="00015112">
        <w:t>, 2015) vikas</w:t>
      </w:r>
    </w:p>
    <w:p w14:paraId="4339909F" w14:textId="77777777" w:rsidR="00414918" w:rsidRPr="00015112" w:rsidRDefault="00414918" w:rsidP="00414918">
      <w:pPr>
        <w:rPr>
          <w:b/>
          <w:u w:val="single"/>
        </w:rPr>
      </w:pPr>
      <w:r w:rsidRPr="00015112">
        <w:rPr>
          <w:sz w:val="16"/>
        </w:rPr>
        <w:t xml:space="preserve">To resolve the aporia of this cognitive dilemma, I turn again to Césaire’s proposed new and hybrid bios / mythoi science of the Word. Here because, as he proposed, and as earlier cited, the study of the Word / the mythoi will now determine the study of the bios / of the brain, and this will thereby enable us to gain an external (demonic ground) perspective on the always already storytellingly chartered / encoded discursive formations / aesthetic fields, as well as of, co- relatedly, our systems of knowledge. And, with this gain insight into how these </w:t>
      </w:r>
      <w:r w:rsidRPr="00015112">
        <w:rPr>
          <w:rStyle w:val="Emphasis"/>
        </w:rPr>
        <w:t>systems of knowledge</w:t>
      </w:r>
      <w:r w:rsidRPr="00015112">
        <w:rPr>
          <w:sz w:val="16"/>
        </w:rPr>
        <w:t xml:space="preserve">, each together with its genre- specific “truth of solidarity,” all </w:t>
      </w:r>
      <w:r w:rsidRPr="00015112">
        <w:rPr>
          <w:rStyle w:val="Emphasis"/>
        </w:rPr>
        <w:t>institute and</w:t>
      </w:r>
      <w:r w:rsidRPr="00015112">
        <w:rPr>
          <w:b/>
          <w:u w:val="single"/>
        </w:rPr>
        <w:t xml:space="preserve"> stably </w:t>
      </w:r>
      <w:r w:rsidRPr="00015112">
        <w:rPr>
          <w:rStyle w:val="Emphasis"/>
        </w:rPr>
        <w:t>replicate</w:t>
      </w:r>
      <w:r w:rsidRPr="00015112">
        <w:rPr>
          <w:sz w:val="16"/>
        </w:rPr>
        <w:t xml:space="preserve"> our </w:t>
      </w:r>
      <w:r w:rsidRPr="00015112">
        <w:rPr>
          <w:rStyle w:val="Emphasis"/>
        </w:rPr>
        <w:t>genres</w:t>
      </w:r>
      <w:r w:rsidRPr="00015112">
        <w:rPr>
          <w:b/>
          <w:u w:val="single"/>
        </w:rPr>
        <w:t xml:space="preserve"> of being hybridly human</w:t>
      </w:r>
      <w:r w:rsidRPr="00015112">
        <w:rPr>
          <w:sz w:val="16"/>
        </w:rPr>
        <w:t xml:space="preserve"> with the also communitarian viability of each respective societal order. Yet </w:t>
      </w:r>
      <w:r w:rsidRPr="00015112">
        <w:rPr>
          <w:b/>
          <w:u w:val="single"/>
        </w:rPr>
        <w:t>with all of the above—including, in macro terms, the instituting of our contemporary secular and “single model” liberal (now neoliberal) monohumanist Western / Westernized transnational world system—what again must be emphasized is</w:t>
      </w:r>
      <w:r w:rsidRPr="00015112">
        <w:rPr>
          <w:sz w:val="16"/>
        </w:rPr>
        <w:t xml:space="preserve"> that </w:t>
      </w:r>
      <w:r w:rsidRPr="00015112">
        <w:rPr>
          <w:rStyle w:val="Emphasis"/>
        </w:rPr>
        <w:t>the respective “truths” of</w:t>
      </w:r>
      <w:r w:rsidRPr="00015112">
        <w:rPr>
          <w:sz w:val="16"/>
        </w:rPr>
        <w:t xml:space="preserve"> their </w:t>
      </w:r>
      <w:r w:rsidRPr="00015112">
        <w:rPr>
          <w:rStyle w:val="Emphasis"/>
        </w:rPr>
        <w:t>knowledge systems are always already prespecified by</w:t>
      </w:r>
      <w:r w:rsidRPr="00015112">
        <w:rPr>
          <w:b/>
          <w:u w:val="single"/>
        </w:rPr>
        <w:t xml:space="preserve"> our </w:t>
      </w:r>
      <w:r w:rsidRPr="00015112">
        <w:rPr>
          <w:rStyle w:val="Emphasis"/>
        </w:rPr>
        <w:t>storytellingly chartered sociogenic replicator code</w:t>
      </w:r>
      <w:r w:rsidRPr="00015112">
        <w:rPr>
          <w:sz w:val="16"/>
        </w:rPr>
        <w:t xml:space="preserve"> of symbolic life / death, its Word and / or Bateson- type “descriptive statement” as rigorously discursively elaborated by its “status quo system of learning” and its overall epistemological order. </w:t>
      </w:r>
      <w:r w:rsidRPr="00015112">
        <w:rPr>
          <w:b/>
          <w:szCs w:val="6"/>
          <w:u w:val="single"/>
        </w:rPr>
        <w:t>This order circularly ensures that each such genre- specific regime / program of truth, will law- likely function to semantically- neurochemically induce the performative enactment of</w:t>
      </w:r>
      <w:r w:rsidRPr="00015112">
        <w:rPr>
          <w:sz w:val="16"/>
          <w:szCs w:val="6"/>
        </w:rPr>
        <w:t xml:space="preserve"> our ensemble of </w:t>
      </w:r>
      <w:r w:rsidRPr="00015112">
        <w:rPr>
          <w:b/>
          <w:szCs w:val="6"/>
          <w:u w:val="single"/>
        </w:rPr>
        <w:t>always already role- allocated individual and collective behaviors</w:t>
      </w:r>
      <w:r w:rsidRPr="00015112">
        <w:rPr>
          <w:sz w:val="16"/>
          <w:szCs w:val="16"/>
        </w:rPr>
        <w:t xml:space="preserve"> within the reflexly and subjectively experienced terms of a cognitively closed, thereby genre- specific and fictively eusocializing, autonomously functioning, higher- level living autopoietic system</w:t>
      </w:r>
      <w:r w:rsidRPr="00015112">
        <w:rPr>
          <w:sz w:val="16"/>
          <w:szCs w:val="6"/>
        </w:rPr>
        <w:t xml:space="preserve">. Cosmogonies of Our Planetary Life and Our Chartered Codes of Symbolic Life and Symbolic Death: Fictively Induced Modes of Inter- Altruistic Kin Recognition and Auto- Instituted Pseudospeciated Mode of Kind KM: Here Wynter elaborates on storytelling beginnings and cosmogonies. She returns to her extension of Frantz Fanon’s conception of our being hybridly human, both bios and mythoi, in order to address the unsolved phenomenon of human consciousness. She explores how our chartering / encoding genre- specific cosmogonies provide the narrative source of our fictively eusocializing subjectivities, thus enabling us to be reborn- through- initiation as always already sociogenically encoded inter- altruistically kin- recognizing members of each referent- we. At the same time, however, </w:t>
      </w:r>
      <w:r w:rsidRPr="00015112">
        <w:rPr>
          <w:b/>
          <w:szCs w:val="6"/>
          <w:u w:val="single"/>
        </w:rPr>
        <w:t xml:space="preserve">the law- like reification of </w:t>
      </w:r>
      <w:r w:rsidRPr="00015112">
        <w:rPr>
          <w:rStyle w:val="Emphasis"/>
        </w:rPr>
        <w:t>each fictively induced and subjectively experienced order of consciousness</w:t>
      </w:r>
      <w:r w:rsidRPr="00015112">
        <w:rPr>
          <w:b/>
          <w:szCs w:val="6"/>
          <w:u w:val="single"/>
        </w:rPr>
        <w:t xml:space="preserve"> of each referent- we is, itself, absolutized by</w:t>
      </w:r>
      <w:r w:rsidRPr="00015112">
        <w:rPr>
          <w:sz w:val="16"/>
          <w:szCs w:val="6"/>
        </w:rPr>
        <w:t xml:space="preserve"> what Wynter identifies as </w:t>
      </w:r>
      <w:r w:rsidRPr="00015112">
        <w:rPr>
          <w:b/>
          <w:szCs w:val="6"/>
          <w:u w:val="single"/>
        </w:rPr>
        <w:t>the law of cognitive closure</w:t>
      </w:r>
      <w:r w:rsidRPr="00015112">
        <w:rPr>
          <w:sz w:val="16"/>
          <w:szCs w:val="6"/>
        </w:rPr>
        <w:t xml:space="preserve">. SW: Fanon put forward the idea of our skin / masks, thereby of the hybridity of our being human, in 1952. Crick and Watson cracked the genetic code in 1953. Now, I argue that Fanon’s masks enact a “second set of instructions”: that of the sociogenic code of symbolic life / death. Further, within the overall enactment of each such “second set of instructions,” the ism of gender is itself—while only one member class—a founding member class. Gender is a founding member because in order to auto- institute ourselves as subjects of a genre- specific referent- we, we must, first, co- relatedly and performatively enact each such code’s “second set of instructions” at the familial level, in terms of our gender roles. We know of this brilliant concept of the performative enactment of gender from Judith Butler.60 I am suggesting that the enactments of such gender roles are always a function of the enacting of a specific genre of being hybridly human. Butler’s illuminating redefinition of gender as a praxis rather than a noun, therefore, set off bells ringing everywhere! Why not, then, the performative enactment of all our roles, of all our role allocations as, in our contemporary Western / Westernized case, in terms of, inter alia, gender, race, class / underclass, and, across them all, sexual orientation? All as praxes, therefore, rather than nouns. So here you have the idea that with being human everything is praxis. For we are not purely biological beings! As far as the eusocial insects like bees are concerned, their roles are genetically preprescribed for them. Ours are not, even though the biocentric meritocratic iq bourgeois ideologues, such as the authors of The Bell Curve, try to tell us that they / we are.61 So the question is: </w:t>
      </w:r>
      <w:r w:rsidRPr="00015112">
        <w:rPr>
          <w:b/>
          <w:szCs w:val="6"/>
          <w:u w:val="single"/>
        </w:rPr>
        <w:t>What are the mechanisms, what are the technologies, what are the strategies by which we prescribe our own roles?</w:t>
      </w:r>
      <w:r w:rsidRPr="00015112">
        <w:rPr>
          <w:sz w:val="16"/>
          <w:szCs w:val="6"/>
        </w:rPr>
        <w:t xml:space="preserve"> What is common to all are cosmogonies and origin narratives. The representations of origin, which we ourselves invent, </w:t>
      </w:r>
      <w:r w:rsidRPr="00015112">
        <w:rPr>
          <w:b/>
          <w:szCs w:val="6"/>
          <w:u w:val="single"/>
        </w:rPr>
        <w:t>are then retroactively projected onto an imagined past.</w:t>
      </w:r>
      <w:r w:rsidRPr="00015112">
        <w:rPr>
          <w:sz w:val="16"/>
          <w:szCs w:val="6"/>
        </w:rPr>
        <w:t xml:space="preserve"> Why so? Because each such projection is the shared storytelling origin out of which we are initiatedly reborn. In this case we are no longer, as individual biological subjects, primarily born of the womb; rather, we are both initiated and reborn as fictively instituted inter- altruistic kinrecognizing members of each such symbolically re- encoded genre- specific referent- we. This is to say we are all initiatedly reborn—renatus in Saint Thomas Aquinas’s Christian term—to subjectively experience ourselves as subjects of the same encoded symbolic life kind. Why this imperative? Because </w:t>
      </w:r>
      <w:r w:rsidRPr="00015112">
        <w:rPr>
          <w:b/>
          <w:szCs w:val="6"/>
          <w:u w:val="single"/>
        </w:rPr>
        <w:t>for all genre- specific subjects who are reborn from the same eusocializing origin myth and / or cosmogony, their genetically encoded individual biological life and its attendant imperative of naked self- preservation must at the same time be</w:t>
      </w:r>
      <w:r w:rsidRPr="00015112">
        <w:rPr>
          <w:sz w:val="16"/>
          <w:szCs w:val="6"/>
        </w:rPr>
        <w:t xml:space="preserve">, via initiation, </w:t>
      </w:r>
      <w:r w:rsidRPr="00015112">
        <w:rPr>
          <w:b/>
          <w:szCs w:val="6"/>
          <w:u w:val="single"/>
        </w:rPr>
        <w:t xml:space="preserve">aversively experienced as symbolic death. </w:t>
      </w:r>
      <w:r w:rsidRPr="00015112">
        <w:rPr>
          <w:sz w:val="16"/>
          <w:szCs w:val="6"/>
        </w:rPr>
        <w:t xml:space="preserve">62 This is the concomitant condition of inducing in all subjects the mimetic desire for the group- collective symbolic life of its genre- specific referent- we, its fictive mode of pseudospeciated kind. </w:t>
      </w:r>
      <w:r w:rsidRPr="00015112">
        <w:rPr>
          <w:b/>
          <w:szCs w:val="6"/>
          <w:u w:val="single"/>
        </w:rPr>
        <w:t>The centrality of the ritually initiated and enacted storytelling codes, and thus their positive / negative, symbolic</w:t>
      </w:r>
      <w:r w:rsidRPr="00015112">
        <w:rPr>
          <w:sz w:val="16"/>
          <w:szCs w:val="6"/>
        </w:rPr>
        <w:t xml:space="preserve"> life / death </w:t>
      </w:r>
      <w:r w:rsidRPr="00015112">
        <w:rPr>
          <w:b/>
          <w:szCs w:val="6"/>
          <w:u w:val="single"/>
        </w:rPr>
        <w:t>semantically- neurochemically activated “second set of instructions,”</w:t>
      </w:r>
      <w:r w:rsidRPr="00015112">
        <w:rPr>
          <w:sz w:val="16"/>
          <w:szCs w:val="6"/>
        </w:rPr>
        <w:t xml:space="preserve"> </w:t>
      </w:r>
      <w:r w:rsidRPr="00015112">
        <w:rPr>
          <w:b/>
          <w:szCs w:val="6"/>
          <w:u w:val="single"/>
        </w:rPr>
        <w:t>emerges</w:t>
      </w:r>
      <w:r w:rsidRPr="00015112">
        <w:rPr>
          <w:sz w:val="16"/>
          <w:szCs w:val="6"/>
        </w:rPr>
        <w:t xml:space="preserve"> here: these codes are specific to each kind. </w:t>
      </w:r>
      <w:r w:rsidRPr="00015112">
        <w:rPr>
          <w:b/>
          <w:u w:val="single"/>
        </w:rPr>
        <w:t xml:space="preserve">The </w:t>
      </w:r>
      <w:r w:rsidRPr="00015112">
        <w:rPr>
          <w:rStyle w:val="Emphasis"/>
        </w:rPr>
        <w:t>positive verbal meanings</w:t>
      </w:r>
      <w:r w:rsidRPr="00015112">
        <w:rPr>
          <w:b/>
          <w:u w:val="single"/>
        </w:rPr>
        <w:t xml:space="preserve"> attributed to their respective modes of kind </w:t>
      </w:r>
      <w:r w:rsidRPr="00015112">
        <w:rPr>
          <w:rStyle w:val="Emphasis"/>
        </w:rPr>
        <w:t>are alchemically transformed into living flesh</w:t>
      </w:r>
      <w:r w:rsidRPr="00015112">
        <w:rPr>
          <w:b/>
          <w:u w:val="single"/>
        </w:rPr>
        <w:t xml:space="preserve">, </w:t>
      </w:r>
      <w:r w:rsidRPr="00015112">
        <w:rPr>
          <w:rStyle w:val="Emphasis"/>
        </w:rPr>
        <w:t>as</w:t>
      </w:r>
      <w:r w:rsidRPr="00015112">
        <w:rPr>
          <w:b/>
          <w:u w:val="single"/>
        </w:rPr>
        <w:t xml:space="preserve"> its members all reflexly subjectively experience themselves, in the mimetically desirable, because </w:t>
      </w:r>
      <w:r w:rsidRPr="00015112">
        <w:rPr>
          <w:rStyle w:val="Emphasis"/>
        </w:rPr>
        <w:t>opiate-rewarded, placebo terms of</w:t>
      </w:r>
      <w:r w:rsidRPr="00015112">
        <w:rPr>
          <w:b/>
          <w:u w:val="single"/>
        </w:rPr>
        <w:t xml:space="preserve"> that mode of </w:t>
      </w:r>
      <w:r w:rsidRPr="00015112">
        <w:rPr>
          <w:rStyle w:val="Emphasis"/>
        </w:rPr>
        <w:t>symbolic</w:t>
      </w:r>
      <w:r w:rsidRPr="00015112">
        <w:rPr>
          <w:b/>
          <w:u w:val="single"/>
        </w:rPr>
        <w:t xml:space="preserve"> life prescribed by the storytelling </w:t>
      </w:r>
      <w:r w:rsidRPr="00015112">
        <w:rPr>
          <w:rStyle w:val="Emphasis"/>
        </w:rPr>
        <w:t>code</w:t>
      </w:r>
      <w:r w:rsidRPr="00015112">
        <w:rPr>
          <w:sz w:val="16"/>
          <w:szCs w:val="6"/>
        </w:rPr>
        <w:t xml:space="preserve">. This at the same time as they subjectively experience their former “born of the womb” purely biological life as mimetically aversive, because they are doing so in now opiate- reward- blocked symbolic death, nocebo terms.63 For the preservation of which of these lives, then, do you think wars are fought? </w:t>
      </w:r>
      <w:r w:rsidRPr="00015112">
        <w:rPr>
          <w:sz w:val="16"/>
        </w:rPr>
        <w:t xml:space="preserve">In the wake of the answer to the above, we see our chartering cosmogonies as being isomorphic with what we now define as our “cultures”— in both cases </w:t>
      </w:r>
      <w:r w:rsidRPr="00015112">
        <w:rPr>
          <w:b/>
          <w:u w:val="single"/>
        </w:rPr>
        <w:t>we are talking about our hybrid sociogenic codes and their “second set of instructions.”</w:t>
      </w:r>
      <w:r w:rsidRPr="00015112">
        <w:rPr>
          <w:sz w:val="16"/>
        </w:rPr>
        <w:t xml:space="preserve"> These are </w:t>
      </w:r>
      <w:r w:rsidRPr="00015112">
        <w:rPr>
          <w:b/>
          <w:u w:val="single"/>
        </w:rPr>
        <w:t>codes that are even able to override where necessary</w:t>
      </w:r>
      <w:r w:rsidRPr="00015112">
        <w:rPr>
          <w:sz w:val="16"/>
        </w:rPr>
        <w:t>—this with respect to our auto- instituted, non– genetically restricted fictive modes of eusociality—</w:t>
      </w:r>
      <w:r w:rsidRPr="00015112">
        <w:rPr>
          <w:b/>
          <w:u w:val="single"/>
        </w:rPr>
        <w:t>the first set of instructions of our own dna</w:t>
      </w:r>
      <w:r w:rsidRPr="00015112">
        <w:rPr>
          <w:sz w:val="16"/>
        </w:rPr>
        <w:t xml:space="preserve"> (unlike as is the case with all other primates). </w:t>
      </w:r>
      <w:r w:rsidRPr="00015112">
        <w:rPr>
          <w:sz w:val="16"/>
          <w:szCs w:val="6"/>
        </w:rPr>
        <w:t>The logical corollary is this: our modes of auto- institution, together with their initiatory rituals of rebirth—as iconized by the ritual of Christian baptism—are indispensable to the enacting of the human as the only living species on Earth who is the denizen of its third and hybrid bios / mythoi level of existence! Our mode of hybrid living being alone—this together with our also hitherto always genre- specific bios / mythoi enacted orders of supraindividual consciousness—is thereby to arrive on the scene all at once! With the Big Bang of the biomutational Third Event! So you see now why we still can’t solve the problem of consciousness? In spite of the most dedicated efforts of natural scientists, brain scientists, and philosophers? For what becomes clear here is that our human orders of consciousness / modes of mind cannot exist outside the terms of a specific cosmogony. Therefore, human orders of consciousness / modes of mind cannot preexist the terms of the always already mythically chartered, genre- specific code of symbolic life / death, its “second set of instructions” and thus its governing sociogenic principle— or, as Keith Ward puts it, its nonphysical principle of causality.64 To give an example: here we are, we are talking and thinking. We are, in fact, reflexly talking and thinking in terms of Darwin’s biocosmogonically chartered definitive version—in The Descent of Man (1871)—of the British bourgeoisie’s ruling class’s earlier reinvention of Man1’s civic humanist homo politicus as that of liberal monohumanist Man2 as homo oeconomicus, together with its now fully desupernaturalized sociogenically encoded order of consciousness. These are the very terms, therefore, in which we ourselves, in now historically postcolonial / postapartheid contexts, are. If in our case, only mimetically so! This at the same time as we are also struggling to think outside the limits of the purely biocentric order of consciousness that is genre- specific to the Western bourgeoisie’s homo oeconomicus. But it’s extremely difficult to do, right? You know why? Because Darwinism’s powerful, seductive force as a cosmogony, or origin narrative, is due to the fact that it is the first in our human history to be not only part myth but also part natural science. In fact, this mutation—the part myth / part natural science workings of Darwinism—draws attention to Darwin’s powerful neoMalthusian conceptual leap.65 A leap by means of which—over and against Cardinal Bellarmine—Darwin was to definitively replace the biblical Cre- ation account of the origin of all forms of biological life, including the major bios aspect of our being hybridly human, with a new evolutionary account. Why, then, say that this Darwinian account is only part science? Biologist Glyn Isaac, in his essay “Aspects of Human Evolution” (1983), provides the answer. Isaac makes us aware of the ecumenically human trap into which Darwin had also partly fallen: Understanding the literature on human evolution calls for the recognition of special problems that confront scientists who report on this topic. Regardless of how the scientists present them, accounts of human origins are read as replacement materials for genesis. They fulfill needs that are reflected in the fact that all societies have in their culture some form of origin beliefs, that is, some narrative or configurational notion of how the world and humanity began. Usually, these beliefs do more than cope with curiosity, they have allegorical content, and they convey values, ethics and attitudes. The Adam and Eve creation story of the Bible is simply one of a wide variety of such poetic formulations. . . . The scientific movement which culminated in Darwin’s compelling formulation of evolution as a mode of origin seemed to sweep away earlier beliefs and relegate them to the realm of myth and legend. Following on from this, it is often supposed that the myths have been replaced by something quite different, which we call “science.” However, this is only partly true; scientific theories and information about human origins have been slotted into the same old places in our minds and our cultures that used to be occupied by the myths. . . . Our new origin beliefs are in fact surrogate myths, that are themselves part science, part myths. 66 So the trap, you see, is that of the paradox that lies at the core of our metaDarwinian hybridity. For what I’m saying is that as humans, we cannot / do not preexist our cosmogonies, our representations of our origins—even though it is we ourselves who invent those cosmogonies and then retroactively project them onto a past. We invent them in formulaic storytelling terms, as “donor figures” or “entities,” who have extrahumanly (supernaturally, but now also naturally and / or bioevolutionarily, therefore secularly) mandated what the structuring societal order of our genre- specific, eusocial or cultural present would have to be.67 As the French cultural anthropologist Maurice Godelier also makes clear, with respect to the above: we, too, hitherto have also systematically kept the reality of our own agency—from our origins until today—opaque to ourselves. 68 Thus all our humanly invented chartering cosmogonies, including our contemporary macro (monohumanistic / monotheistic) cosmogonies, are law- likely configured as being extrahumanly mandated.69 All such sacred theological discourses ( Judaism, Islamism, Christianity, for example) continue to function in the already theo- cosmogonically mandated cognitively closed terms that are indispensable to the enacting of their respective behavior- inducing and behavior- regulatory fictively eusocializing imperative. This is especially apparent, too, in the secular substitute monohumanist religion of Darwin’s neo- Malthusian biocosmogony: here, in the biocosmogony of symbolic life / death—as that of selection / dysselection and eugenic / dysgenic codes—the incarnation of symbolic life, will law- likely be that of the ruling- class bourgeoisie as the naturally selected (eugenic) master of Malthusian natural scarcity. With this emerges, cumulatively, the virtuous breadwinner, together with his pre- 1960s virtuous housewife, and, corelatedly, the savvy investor, the capital accumulator, or at least the steady job holder.70 In effect, wealth, no longer in its traditional, inherited freehold landowning form, but in its now unceasingly capital- accumulating, global form, is itself the sole macro- signifier of ultimate symbolic life. Symbolic death, therefore, is that of having been naturally dysselected and mastered by Malthusian natural scarcity: as are the globally homogenized dysgenic non- breadwinning jobless poor / the pauper / homeless / the welfare queens. Poverty itself, therefore, is the “significant ill” signifier of ultimate symbolic death and, consequently, capital accumulation, and therefore symbolic life signifies and narrates a plan of salvation that will cure the dysselected significant ill</w:t>
      </w:r>
      <w:r w:rsidRPr="00015112">
        <w:rPr>
          <w:sz w:val="16"/>
        </w:rPr>
        <w:t xml:space="preserve">! </w:t>
      </w:r>
      <w:r w:rsidRPr="00015112">
        <w:rPr>
          <w:b/>
          <w:u w:val="single"/>
        </w:rPr>
        <w:t>The systemic reproduction of</w:t>
      </w:r>
      <w:r w:rsidRPr="00015112">
        <w:rPr>
          <w:sz w:val="16"/>
        </w:rPr>
        <w:t xml:space="preserve"> the real- life </w:t>
      </w:r>
      <w:r w:rsidRPr="00015112">
        <w:rPr>
          <w:b/>
          <w:u w:val="single"/>
        </w:rPr>
        <w:t>categories</w:t>
      </w:r>
      <w:r w:rsidRPr="00015112">
        <w:rPr>
          <w:sz w:val="16"/>
        </w:rPr>
        <w:t xml:space="preserve"> of both signifiers </w:t>
      </w:r>
      <w:r w:rsidRPr="00015112">
        <w:rPr>
          <w:b/>
          <w:u w:val="single"/>
        </w:rPr>
        <w:t>are</w:t>
      </w:r>
      <w:r w:rsidRPr="00015112">
        <w:rPr>
          <w:rStyle w:val="Emphasis"/>
        </w:rPr>
        <w:t xml:space="preserve"> indispensable</w:t>
      </w:r>
      <w:r w:rsidRPr="00015112">
        <w:rPr>
          <w:b/>
          <w:u w:val="single"/>
        </w:rPr>
        <w:t xml:space="preserve"> to the </w:t>
      </w:r>
      <w:r w:rsidRPr="00015112">
        <w:rPr>
          <w:rStyle w:val="Emphasis"/>
        </w:rPr>
        <w:t>continued enactment of</w:t>
      </w:r>
      <w:r w:rsidRPr="00015112">
        <w:rPr>
          <w:b/>
          <w:u w:val="single"/>
        </w:rPr>
        <w:t xml:space="preserve"> the ruling - class</w:t>
      </w:r>
      <w:r w:rsidRPr="00015112">
        <w:rPr>
          <w:sz w:val="16"/>
        </w:rPr>
        <w:t xml:space="preserve"> bourgeoisie’s </w:t>
      </w:r>
      <w:r w:rsidRPr="00015112">
        <w:rPr>
          <w:rStyle w:val="Emphasis"/>
        </w:rPr>
        <w:t>governing code</w:t>
      </w:r>
      <w:r w:rsidRPr="00015112">
        <w:rPr>
          <w:sz w:val="16"/>
        </w:rPr>
        <w:t xml:space="preserve"> of symbolic life / death and the defining of liberal (now neoliberal) monohumanist Man2. This now purely secular coding of life / death is itself discursively—indeed rigorously—elaborated bioepistemologically, on the model of a natural organism, by the disciplines of our social sciences and humanities, together with their respective genre- specific and ethno- class truths of solidarity.71 Consequently, </w:t>
      </w:r>
      <w:r w:rsidRPr="00015112">
        <w:rPr>
          <w:b/>
          <w:u w:val="single"/>
        </w:rPr>
        <w:t>within the laws of</w:t>
      </w:r>
      <w:r w:rsidRPr="00015112">
        <w:rPr>
          <w:sz w:val="16"/>
        </w:rPr>
        <w:t xml:space="preserve"> hybrid auto- institution and / or pseudospeciation the (</w:t>
      </w:r>
      <w:r w:rsidRPr="00015112">
        <w:rPr>
          <w:b/>
          <w:u w:val="single"/>
        </w:rPr>
        <w:t>humanities and social science</w:t>
      </w:r>
      <w:r w:rsidRPr="00015112">
        <w:rPr>
          <w:sz w:val="16"/>
        </w:rPr>
        <w:t xml:space="preserve">) </w:t>
      </w:r>
      <w:r w:rsidRPr="00015112">
        <w:rPr>
          <w:b/>
          <w:u w:val="single"/>
        </w:rPr>
        <w:t>disciplinary truths of solidarity enact</w:t>
      </w:r>
      <w:r w:rsidRPr="00015112">
        <w:rPr>
          <w:sz w:val="16"/>
        </w:rPr>
        <w:t xml:space="preserve"> their biocosmogonically chartered </w:t>
      </w:r>
      <w:r w:rsidRPr="00015112">
        <w:rPr>
          <w:b/>
          <w:u w:val="single"/>
        </w:rPr>
        <w:t>sociogenic code</w:t>
      </w:r>
      <w:r w:rsidRPr="00015112">
        <w:rPr>
          <w:sz w:val="16"/>
        </w:rPr>
        <w:t xml:space="preserve"> of symbolic life / death, also </w:t>
      </w:r>
      <w:r w:rsidRPr="00015112">
        <w:rPr>
          <w:b/>
          <w:u w:val="single"/>
        </w:rPr>
        <w:t>imperatively calling to be discursively elaborated in cognitively</w:t>
      </w:r>
      <w:r w:rsidRPr="00015112">
        <w:rPr>
          <w:sz w:val="16"/>
        </w:rPr>
        <w:t xml:space="preserve"> (cum psychoaffectively / aesthetically) </w:t>
      </w:r>
      <w:r w:rsidRPr="00015112">
        <w:rPr>
          <w:b/>
          <w:u w:val="single"/>
        </w:rPr>
        <w:t>closed terms.</w:t>
      </w:r>
    </w:p>
    <w:p w14:paraId="126DF2E4" w14:textId="77777777" w:rsidR="00414918" w:rsidRPr="00015112" w:rsidRDefault="00414918" w:rsidP="00414918">
      <w:pPr>
        <w:rPr>
          <w:b/>
          <w:u w:val="single"/>
        </w:rPr>
      </w:pPr>
    </w:p>
    <w:p w14:paraId="43D87294" w14:textId="77777777" w:rsidR="00F438C4" w:rsidRPr="00015112" w:rsidRDefault="00F438C4" w:rsidP="00F438C4"/>
    <w:p w14:paraId="7B249EE6" w14:textId="77777777" w:rsidR="00FB2992" w:rsidRPr="00015112" w:rsidRDefault="00FB2992" w:rsidP="00FB2992">
      <w:pPr>
        <w:pStyle w:val="Heading4"/>
        <w:rPr>
          <w:rFonts w:cs="Times New Roman"/>
        </w:rPr>
      </w:pPr>
      <w:r w:rsidRPr="00015112">
        <w:rPr>
          <w:rFonts w:cs="Times New Roman"/>
        </w:rPr>
        <w:t xml:space="preserve">Their future imaginaries are </w:t>
      </w:r>
      <w:r w:rsidRPr="00015112">
        <w:rPr>
          <w:rStyle w:val="AnalyticEmphasisChar"/>
        </w:rPr>
        <w:t>sutured into coherence</w:t>
      </w:r>
      <w:r w:rsidRPr="00015112">
        <w:rPr>
          <w:rFonts w:cs="Times New Roman"/>
        </w:rPr>
        <w:t xml:space="preserve"> through the </w:t>
      </w:r>
      <w:r w:rsidRPr="00015112">
        <w:rPr>
          <w:rStyle w:val="AnalyticEmphasisChar"/>
        </w:rPr>
        <w:t>quilting point</w:t>
      </w:r>
      <w:r w:rsidRPr="00015112">
        <w:rPr>
          <w:rFonts w:cs="Times New Roman"/>
        </w:rPr>
        <w:t xml:space="preserve"> of Indigenous slow death – attempts to assuage this violence through the political inevitably lapse into </w:t>
      </w:r>
      <w:r w:rsidRPr="00015112">
        <w:rPr>
          <w:rStyle w:val="AnalyticEmphasisChar"/>
        </w:rPr>
        <w:t>totalitarian genocide</w:t>
      </w:r>
      <w:r w:rsidRPr="00015112">
        <w:rPr>
          <w:rFonts w:cs="Times New Roman"/>
        </w:rPr>
        <w:t>.</w:t>
      </w:r>
    </w:p>
    <w:p w14:paraId="46F0C555" w14:textId="77777777" w:rsidR="00FB2992" w:rsidRPr="00015112" w:rsidRDefault="00FB2992" w:rsidP="00FB2992">
      <w:r w:rsidRPr="00015112">
        <w:rPr>
          <w:rStyle w:val="Style13ptBold"/>
        </w:rPr>
        <w:t>Young, 17</w:t>
      </w:r>
      <w:r w:rsidRPr="00015112">
        <w:t xml:space="preserve"> – Ph.D. Candidate, UNC Chapel Hill (Bryanne Huston, “KILLING THE INDIAN IN THE CHILD: MATERIALITIES OF DEATH AND POLITICAL FORMATIONS OF LIFE IN THE CANADIAN INDIAN RESIDENTIAL SCHOOL SYSTEM,” </w:t>
      </w:r>
      <w:hyperlink r:id="rId6" w:history="1">
        <w:r w:rsidRPr="00015112">
          <w:rPr>
            <w:rStyle w:val="Hyperlink"/>
          </w:rPr>
          <w:t>https://cdr.lib.unc.edu/indexablecontent/uuid:9612561b-744a-44fc-8e79-1296d79dbd9a</w:t>
        </w:r>
      </w:hyperlink>
      <w:r w:rsidRPr="00015112">
        <w:t>, dml)</w:t>
      </w:r>
    </w:p>
    <w:p w14:paraId="1DCF1763" w14:textId="77777777" w:rsidR="00FB2992" w:rsidRPr="00015112" w:rsidRDefault="00FB2992" w:rsidP="00FB2992">
      <w:pPr>
        <w:rPr>
          <w:sz w:val="16"/>
        </w:rPr>
      </w:pPr>
      <w:r w:rsidRPr="00015112">
        <w:rPr>
          <w:sz w:val="16"/>
        </w:rPr>
        <w:t xml:space="preserve">This kind of </w:t>
      </w:r>
      <w:r w:rsidRPr="00015112">
        <w:rPr>
          <w:rStyle w:val="Emphasis"/>
        </w:rPr>
        <w:t>strategic</w:t>
      </w:r>
      <w:r w:rsidRPr="00015112">
        <w:rPr>
          <w:rStyle w:val="StyleUnderline"/>
        </w:rPr>
        <w:t xml:space="preserve">, </w:t>
      </w:r>
      <w:r w:rsidRPr="00015112">
        <w:rPr>
          <w:rStyle w:val="Emphasis"/>
        </w:rPr>
        <w:t>repeated exposure</w:t>
      </w:r>
      <w:r w:rsidRPr="00015112">
        <w:rPr>
          <w:rStyle w:val="StyleUnderline"/>
        </w:rPr>
        <w:t xml:space="preserve"> to prolonged conditions of </w:t>
      </w:r>
      <w:r w:rsidRPr="00015112">
        <w:rPr>
          <w:rStyle w:val="Emphasis"/>
        </w:rPr>
        <w:t>near</w:t>
      </w:r>
      <w:r w:rsidRPr="00015112">
        <w:rPr>
          <w:rStyle w:val="StyleUnderline"/>
        </w:rPr>
        <w:t xml:space="preserve"> or </w:t>
      </w:r>
      <w:r w:rsidRPr="00015112">
        <w:rPr>
          <w:rStyle w:val="Emphasis"/>
        </w:rPr>
        <w:t>actual physical death</w:t>
      </w:r>
      <w:r w:rsidRPr="00015112">
        <w:rPr>
          <w:rStyle w:val="StyleUnderline"/>
        </w:rPr>
        <w:t xml:space="preserve"> marks the indigenous body for </w:t>
      </w:r>
      <w:r w:rsidRPr="00015112">
        <w:rPr>
          <w:rStyle w:val="Emphasis"/>
        </w:rPr>
        <w:t>inevitable decline</w:t>
      </w:r>
      <w:r w:rsidRPr="00015112">
        <w:rPr>
          <w:rStyle w:val="StyleUnderline"/>
        </w:rPr>
        <w:t xml:space="preserve"> and </w:t>
      </w:r>
      <w:r w:rsidRPr="00015112">
        <w:rPr>
          <w:rStyle w:val="Emphasis"/>
        </w:rPr>
        <w:t>erasure</w:t>
      </w:r>
      <w:r w:rsidRPr="00015112">
        <w:rPr>
          <w:sz w:val="16"/>
        </w:rPr>
        <w:t xml:space="preserve">. Cultural theorist Lauren </w:t>
      </w:r>
      <w:r w:rsidRPr="00015112">
        <w:rPr>
          <w:rStyle w:val="StyleUnderline"/>
        </w:rPr>
        <w:t>Berlant describes this as</w:t>
      </w:r>
      <w:r w:rsidRPr="00015112">
        <w:rPr>
          <w:sz w:val="16"/>
        </w:rPr>
        <w:t xml:space="preserve"> a condition of </w:t>
      </w:r>
      <w:r w:rsidRPr="00015112">
        <w:rPr>
          <w:rStyle w:val="StyleUnderline"/>
        </w:rPr>
        <w:t>“</w:t>
      </w:r>
      <w:r w:rsidRPr="00015112">
        <w:rPr>
          <w:rStyle w:val="Emphasis"/>
        </w:rPr>
        <w:t>slow death</w:t>
      </w:r>
      <w:r w:rsidRPr="00015112">
        <w:rPr>
          <w:rStyle w:val="StyleUnderline"/>
        </w:rPr>
        <w:t>,”</w:t>
      </w:r>
      <w:r w:rsidRPr="00015112">
        <w:rPr>
          <w:sz w:val="16"/>
        </w:rPr>
        <w:t xml:space="preserve"> which she defines as, </w:t>
      </w:r>
      <w:r w:rsidRPr="00015112">
        <w:rPr>
          <w:rStyle w:val="StyleUnderline"/>
        </w:rPr>
        <w:t xml:space="preserve">“the </w:t>
      </w:r>
      <w:r w:rsidRPr="00015112">
        <w:rPr>
          <w:rStyle w:val="Emphasis"/>
        </w:rPr>
        <w:t>physical wearing out</w:t>
      </w:r>
      <w:r w:rsidRPr="00015112">
        <w:rPr>
          <w:rStyle w:val="StyleUnderline"/>
        </w:rPr>
        <w:t xml:space="preserve"> of a population and the deterioration of people in that population that is </w:t>
      </w:r>
      <w:r w:rsidRPr="00015112">
        <w:rPr>
          <w:rStyle w:val="Emphasis"/>
        </w:rPr>
        <w:t>very nearly a defining condition</w:t>
      </w:r>
      <w:r w:rsidRPr="00015112">
        <w:rPr>
          <w:rStyle w:val="StyleUnderline"/>
        </w:rPr>
        <w:t xml:space="preserve"> of their experience and historical existence”</w:t>
      </w:r>
      <w:r w:rsidRPr="00015112">
        <w:rPr>
          <w:sz w:val="16"/>
        </w:rPr>
        <w:t xml:space="preserve"> (754). Thus, </w:t>
      </w:r>
      <w:r w:rsidRPr="00015112">
        <w:rPr>
          <w:rStyle w:val="StyleUnderline"/>
        </w:rPr>
        <w:t xml:space="preserve">through material and signifying practices, Indianness is </w:t>
      </w:r>
      <w:r w:rsidRPr="00015112">
        <w:rPr>
          <w:rStyle w:val="Emphasis"/>
        </w:rPr>
        <w:t>laminated more concretely</w:t>
      </w:r>
      <w:r w:rsidRPr="00015112">
        <w:rPr>
          <w:rStyle w:val="StyleUnderline"/>
        </w:rPr>
        <w:t xml:space="preserve"> onto death and finality</w:t>
      </w:r>
      <w:r w:rsidRPr="00015112">
        <w:rPr>
          <w:sz w:val="16"/>
        </w:rPr>
        <w:t xml:space="preserve">. Correspondingly, </w:t>
      </w:r>
      <w:r w:rsidRPr="00015112">
        <w:rPr>
          <w:rStyle w:val="StyleUnderline"/>
        </w:rPr>
        <w:t>the Indigenous body</w:t>
      </w:r>
      <w:r w:rsidRPr="00015112">
        <w:rPr>
          <w:sz w:val="16"/>
        </w:rPr>
        <w:t xml:space="preserve"> is marked as anachronistic, a relic, an embodiment out of time whose configuration of experience is slow death. Simultaneously, Indianness is renewed continually in the field of signification, performatively reproduced as “shiftless”, “indolent”, and “inert.” Through biopolitical techniques of control and regulation, the socalled Indian race </w:t>
      </w:r>
      <w:r w:rsidRPr="00015112">
        <w:rPr>
          <w:rStyle w:val="StyleUnderline"/>
        </w:rPr>
        <w:t xml:space="preserve">was </w:t>
      </w:r>
      <w:r w:rsidRPr="00015112">
        <w:rPr>
          <w:rStyle w:val="Emphasis"/>
        </w:rPr>
        <w:t>trapped</w:t>
      </w:r>
      <w:r w:rsidRPr="00015112">
        <w:rPr>
          <w:rStyle w:val="StyleUnderline"/>
        </w:rPr>
        <w:t xml:space="preserve"> simultaneously in two temporalities: </w:t>
      </w:r>
      <w:r w:rsidRPr="00015112">
        <w:rPr>
          <w:rStyle w:val="Emphasis"/>
        </w:rPr>
        <w:t>slow death</w:t>
      </w:r>
      <w:r w:rsidRPr="00015112">
        <w:rPr>
          <w:rStyle w:val="StyleUnderline"/>
        </w:rPr>
        <w:t xml:space="preserve"> and </w:t>
      </w:r>
      <w:r w:rsidRPr="00015112">
        <w:rPr>
          <w:rStyle w:val="Emphasis"/>
        </w:rPr>
        <w:t>circularity</w:t>
      </w:r>
      <w:r w:rsidRPr="00015112">
        <w:rPr>
          <w:rStyle w:val="StyleUnderline"/>
        </w:rPr>
        <w:t xml:space="preserve">, neither of which </w:t>
      </w:r>
      <w:r w:rsidRPr="00015112">
        <w:rPr>
          <w:rStyle w:val="Emphasis"/>
        </w:rPr>
        <w:t>afforded it a future</w:t>
      </w:r>
      <w:r w:rsidRPr="00015112">
        <w:rPr>
          <w:sz w:val="16"/>
        </w:rPr>
        <w:t xml:space="preserve">—through a strategy of control that is fundamentally chronopolitical. </w:t>
      </w:r>
    </w:p>
    <w:p w14:paraId="2CC0EBB6" w14:textId="77777777" w:rsidR="00FB2992" w:rsidRPr="00015112" w:rsidRDefault="00FB2992" w:rsidP="00FB2992">
      <w:pPr>
        <w:rPr>
          <w:sz w:val="16"/>
        </w:rPr>
      </w:pPr>
      <w:r w:rsidRPr="00015112">
        <w:rPr>
          <w:sz w:val="16"/>
        </w:rPr>
        <w:t xml:space="preserve">Whiteness, the Child, and the Logics of Futurity </w:t>
      </w:r>
    </w:p>
    <w:p w14:paraId="001F682F" w14:textId="77777777" w:rsidR="00FB2992" w:rsidRPr="00015112" w:rsidRDefault="00FB2992" w:rsidP="00FB2992">
      <w:pPr>
        <w:rPr>
          <w:sz w:val="16"/>
        </w:rPr>
      </w:pPr>
      <w:r w:rsidRPr="00015112">
        <w:rPr>
          <w:sz w:val="16"/>
        </w:rPr>
        <w:t xml:space="preserve">Against the politicized topographies and temporalities of indigeneity and race, I now move into a consideration of the contributions of psychoanalytic theory to the questions of politics and time presented thus far. The kinds of questions </w:t>
      </w:r>
      <w:r w:rsidRPr="00015112">
        <w:rPr>
          <w:rStyle w:val="Emphasis"/>
        </w:rPr>
        <w:t>psychoanalysis</w:t>
      </w:r>
      <w:r w:rsidRPr="00015112">
        <w:rPr>
          <w:sz w:val="16"/>
        </w:rPr>
        <w:t xml:space="preserve"> is interested in asking, the registers upon which it performs analysis, and its unique emphasis on temporality, language, and difference </w:t>
      </w:r>
      <w:r w:rsidRPr="00015112">
        <w:rPr>
          <w:rStyle w:val="StyleUnderline"/>
        </w:rPr>
        <w:t xml:space="preserve">provide an </w:t>
      </w:r>
      <w:r w:rsidRPr="00015112">
        <w:rPr>
          <w:rStyle w:val="Emphasis"/>
        </w:rPr>
        <w:t>excellent conceptual apparatus</w:t>
      </w:r>
      <w:r w:rsidRPr="00015112">
        <w:rPr>
          <w:rStyle w:val="StyleUnderline"/>
        </w:rPr>
        <w:t xml:space="preserve"> through which we might begin to </w:t>
      </w:r>
      <w:r w:rsidRPr="00015112">
        <w:rPr>
          <w:rStyle w:val="Emphasis"/>
        </w:rPr>
        <w:t>trouble/problematize stable</w:t>
      </w:r>
      <w:r w:rsidRPr="00015112">
        <w:rPr>
          <w:rStyle w:val="StyleUnderline"/>
        </w:rPr>
        <w:t xml:space="preserve">, </w:t>
      </w:r>
      <w:r w:rsidRPr="00015112">
        <w:rPr>
          <w:rStyle w:val="Emphasis"/>
        </w:rPr>
        <w:t>taken-for-granted oppositions</w:t>
      </w:r>
      <w:r w:rsidRPr="00015112">
        <w:rPr>
          <w:sz w:val="16"/>
        </w:rPr>
        <w:t xml:space="preserve"> between psychic and social, personal and political, self and other. Freud’s interest in time is evident in his work on the uncanny, and in his inaugural work on what we might now call trauma studies and conditions we now call post-traumatic stress disorder (PTSD). For Freud, this theory of hysteria introduces a provocative temporality in which traumatic events reoccur, flashing up in perfect replication of themselves, as though happening again and again. In his diagnosis of so-called shell-shocked soldiers returning from World War I, Freud was keenly aware that time did not always progress along an even plane. Though Freud’s analysis of trauma is captivating and critically rich, it is not within my purview here to take on the full extent of this scholarship. Instead, </w:t>
      </w:r>
      <w:r w:rsidRPr="00015112">
        <w:rPr>
          <w:rStyle w:val="StyleUnderline"/>
        </w:rPr>
        <w:t>what is most salient</w:t>
      </w:r>
      <w:r w:rsidRPr="00015112">
        <w:rPr>
          <w:sz w:val="16"/>
        </w:rPr>
        <w:t xml:space="preserve"> to my analysis </w:t>
      </w:r>
      <w:r w:rsidRPr="00015112">
        <w:rPr>
          <w:rStyle w:val="StyleUnderline"/>
        </w:rPr>
        <w:t xml:space="preserve">are the capacities of psychoanalytic theory to </w:t>
      </w:r>
      <w:r w:rsidRPr="00015112">
        <w:rPr>
          <w:rStyle w:val="Emphasis"/>
        </w:rPr>
        <w:t>move critique outside</w:t>
      </w:r>
      <w:r w:rsidRPr="00015112">
        <w:rPr>
          <w:rStyle w:val="StyleUnderline"/>
        </w:rPr>
        <w:t xml:space="preserve"> and </w:t>
      </w:r>
      <w:r w:rsidRPr="00015112">
        <w:rPr>
          <w:rStyle w:val="Emphasis"/>
        </w:rPr>
        <w:t>beyond prevailing notions of time</w:t>
      </w:r>
      <w:r w:rsidRPr="00015112">
        <w:rPr>
          <w:rStyle w:val="StyleUnderline"/>
        </w:rPr>
        <w:t xml:space="preserve"> and </w:t>
      </w:r>
      <w:r w:rsidRPr="00015112">
        <w:rPr>
          <w:rStyle w:val="Emphasis"/>
        </w:rPr>
        <w:t>narratives of progress</w:t>
      </w:r>
      <w:r w:rsidRPr="00015112">
        <w:rPr>
          <w:rStyle w:val="StyleUnderline"/>
        </w:rPr>
        <w:t xml:space="preserve"> that only mean moving forward</w:t>
      </w:r>
      <w:r w:rsidRPr="00015112">
        <w:rPr>
          <w:sz w:val="16"/>
        </w:rPr>
        <w:t xml:space="preserve">. This chapter writes from a stance that views it as imperative that scholarship reaches beyond, and thinks outside, the paradigms that invented it. </w:t>
      </w:r>
      <w:r w:rsidRPr="00015112">
        <w:rPr>
          <w:rStyle w:val="StyleUnderline"/>
        </w:rPr>
        <w:t>Psychoanalytic theory</w:t>
      </w:r>
      <w:r w:rsidRPr="00015112">
        <w:rPr>
          <w:sz w:val="16"/>
        </w:rPr>
        <w:t>, with its idiosyncratic temporal logics—particularly in conjunction with Foucauldian theory—</w:t>
      </w:r>
      <w:r w:rsidRPr="00015112">
        <w:rPr>
          <w:rStyle w:val="StyleUnderline"/>
        </w:rPr>
        <w:t xml:space="preserve">offers a </w:t>
      </w:r>
      <w:r w:rsidRPr="00015112">
        <w:rPr>
          <w:rStyle w:val="Emphasis"/>
        </w:rPr>
        <w:t>productive</w:t>
      </w:r>
      <w:r w:rsidRPr="00015112">
        <w:rPr>
          <w:rStyle w:val="StyleUnderline"/>
        </w:rPr>
        <w:t xml:space="preserve"> and </w:t>
      </w:r>
      <w:r w:rsidRPr="00015112">
        <w:rPr>
          <w:rStyle w:val="Emphasis"/>
        </w:rPr>
        <w:t>robust way to critique the continuing primacy</w:t>
      </w:r>
      <w:r w:rsidRPr="00015112">
        <w:rPr>
          <w:rStyle w:val="StyleUnderline"/>
        </w:rPr>
        <w:t xml:space="preserve"> of normative disciplines whose chronologics have </w:t>
      </w:r>
      <w:r w:rsidRPr="00015112">
        <w:rPr>
          <w:rStyle w:val="Emphasis"/>
        </w:rPr>
        <w:t>historically warranted a politics that kills in the name of life</w:t>
      </w:r>
      <w:r w:rsidRPr="00015112">
        <w:rPr>
          <w:rStyle w:val="StyleUnderline"/>
        </w:rPr>
        <w:t xml:space="preserve">. Such an approach allows us to </w:t>
      </w:r>
      <w:r w:rsidRPr="00015112">
        <w:rPr>
          <w:rStyle w:val="Emphasis"/>
        </w:rPr>
        <w:t>hold in productive tension</w:t>
      </w:r>
      <w:r w:rsidRPr="00015112">
        <w:rPr>
          <w:rStyle w:val="StyleUnderline"/>
        </w:rPr>
        <w:t xml:space="preserve"> any definition of “the political” as </w:t>
      </w:r>
      <w:r w:rsidRPr="00015112">
        <w:rPr>
          <w:rStyle w:val="Emphasis"/>
        </w:rPr>
        <w:t>stable</w:t>
      </w:r>
      <w:r w:rsidRPr="00015112">
        <w:rPr>
          <w:rStyle w:val="StyleUnderline"/>
        </w:rPr>
        <w:t xml:space="preserve"> and </w:t>
      </w:r>
      <w:r w:rsidRPr="00015112">
        <w:rPr>
          <w:rStyle w:val="Emphasis"/>
        </w:rPr>
        <w:t>finite</w:t>
      </w:r>
      <w:r w:rsidRPr="00015112">
        <w:rPr>
          <w:rStyle w:val="StyleUnderline"/>
        </w:rPr>
        <w:t>, with</w:t>
      </w:r>
      <w:r w:rsidRPr="00015112">
        <w:rPr>
          <w:sz w:val="16"/>
        </w:rPr>
        <w:t>—as in the case of liberal political philosophy—</w:t>
      </w:r>
      <w:r w:rsidRPr="00015112">
        <w:rPr>
          <w:rStyle w:val="StyleUnderline"/>
        </w:rPr>
        <w:t xml:space="preserve">the legally constructed “person” as its </w:t>
      </w:r>
      <w:r w:rsidRPr="00015112">
        <w:rPr>
          <w:rStyle w:val="Emphasis"/>
        </w:rPr>
        <w:t>primary epistemological unit</w:t>
      </w:r>
      <w:r w:rsidRPr="00015112">
        <w:rPr>
          <w:rStyle w:val="StyleUnderline"/>
        </w:rPr>
        <w:t>. This conceptual capacity of psychoanalysis</w:t>
      </w:r>
      <w:r w:rsidRPr="00015112">
        <w:rPr>
          <w:sz w:val="16"/>
        </w:rPr>
        <w:t xml:space="preserve">, in turn, </w:t>
      </w:r>
      <w:r w:rsidRPr="00015112">
        <w:rPr>
          <w:rStyle w:val="StyleUnderline"/>
        </w:rPr>
        <w:t xml:space="preserve">allows us to </w:t>
      </w:r>
      <w:r w:rsidRPr="00015112">
        <w:rPr>
          <w:rStyle w:val="Emphasis"/>
        </w:rPr>
        <w:t>politicize a form of life</w:t>
      </w:r>
      <w:r w:rsidRPr="00015112">
        <w:rPr>
          <w:rStyle w:val="StyleUnderline"/>
        </w:rPr>
        <w:t xml:space="preserve"> and </w:t>
      </w:r>
      <w:r w:rsidRPr="00015112">
        <w:rPr>
          <w:rStyle w:val="Emphasis"/>
        </w:rPr>
        <w:t>modality of corporeal personhood</w:t>
      </w:r>
      <w:r w:rsidRPr="00015112">
        <w:rPr>
          <w:rStyle w:val="StyleUnderline"/>
        </w:rPr>
        <w:t xml:space="preserve"> hitherto constructed as</w:t>
      </w:r>
      <w:r w:rsidRPr="00015112">
        <w:rPr>
          <w:sz w:val="16"/>
        </w:rPr>
        <w:t xml:space="preserve"> what, in Bataillean parlance, we might call colonialism’s accursed share—</w:t>
      </w:r>
      <w:r w:rsidRPr="00015112">
        <w:rPr>
          <w:rStyle w:val="Emphasis"/>
        </w:rPr>
        <w:t>colonialism’s pure waste</w:t>
      </w:r>
      <w:r w:rsidRPr="00015112">
        <w:rPr>
          <w:sz w:val="16"/>
        </w:rPr>
        <w:t xml:space="preserve">. Additionally, </w:t>
      </w:r>
      <w:r w:rsidRPr="00015112">
        <w:rPr>
          <w:rStyle w:val="StyleUnderline"/>
        </w:rPr>
        <w:t>psychoanalytic notions of the death drive</w:t>
      </w:r>
      <w:r w:rsidRPr="00015112">
        <w:rPr>
          <w:sz w:val="16"/>
        </w:rPr>
        <w:t xml:space="preserve">, whose proper movement is explicitly circular, </w:t>
      </w:r>
      <w:r w:rsidRPr="00015112">
        <w:rPr>
          <w:rStyle w:val="StyleUnderline"/>
        </w:rPr>
        <w:t xml:space="preserve">allows us to begin to </w:t>
      </w:r>
      <w:r w:rsidRPr="00015112">
        <w:rPr>
          <w:rStyle w:val="Emphasis"/>
        </w:rPr>
        <w:t>locate</w:t>
      </w:r>
      <w:r w:rsidRPr="00015112">
        <w:rPr>
          <w:sz w:val="16"/>
        </w:rPr>
        <w:t xml:space="preserve"> the child </w:t>
      </w:r>
      <w:r w:rsidRPr="00015112">
        <w:rPr>
          <w:rStyle w:val="StyleUnderline"/>
        </w:rPr>
        <w:t xml:space="preserve">within </w:t>
      </w:r>
      <w:r w:rsidRPr="00015112">
        <w:rPr>
          <w:rStyle w:val="Emphasis"/>
        </w:rPr>
        <w:t>logics of futurity</w:t>
      </w:r>
      <w:r w:rsidRPr="00015112">
        <w:rPr>
          <w:sz w:val="16"/>
        </w:rPr>
        <w:t xml:space="preserve">, onto which is laminated </w:t>
      </w:r>
      <w:r w:rsidRPr="00015112">
        <w:rPr>
          <w:rStyle w:val="StyleUnderline"/>
        </w:rPr>
        <w:t xml:space="preserve">a kind of </w:t>
      </w:r>
      <w:r w:rsidRPr="00015112">
        <w:rPr>
          <w:rStyle w:val="Emphasis"/>
        </w:rPr>
        <w:t>indelible whiteness</w:t>
      </w:r>
      <w:r w:rsidRPr="00015112">
        <w:rPr>
          <w:sz w:val="16"/>
        </w:rPr>
        <w:t xml:space="preserve">. For the purpose of my analysis I engage Lacanian psychoanalysis, limiting myself to a consideration of the structure of the drives and to a Lacanian conceptualization of language, and its role in the formation of self and the suturing of the psyche to sociality. </w:t>
      </w:r>
    </w:p>
    <w:p w14:paraId="4FEC75FD" w14:textId="77777777" w:rsidR="00FB2992" w:rsidRPr="00015112" w:rsidRDefault="00FB2992" w:rsidP="00FB2992">
      <w:pPr>
        <w:rPr>
          <w:sz w:val="16"/>
        </w:rPr>
      </w:pPr>
      <w:r w:rsidRPr="00015112">
        <w:rPr>
          <w:sz w:val="16"/>
        </w:rPr>
        <w:t xml:space="preserve">Freud, as Teresa De Lauretis (2008) emphasizes, elaborated the death drive between the First and Second World Wars, in a Europe living “under the shadow of death and the threat of biological and cultural genocide” (1). Situating her analysis of the death drive in the contemporary moment, De Lauretis points to this contextual, historical darkening, writing: “I wonder whether our epistemologies can sustain the impact of the real … If I return to Freud’s notion of an unconscious death drive, it is because it conveys the sense and the force of something in human reality that resists discursive articulation as well as political diplomacy, an otherness that haunts the dream of a common world” (9). Using psychoanalysis as reading practice, Freud’s suspicion that </w:t>
      </w:r>
      <w:r w:rsidRPr="00015112">
        <w:rPr>
          <w:rStyle w:val="StyleUnderline"/>
        </w:rPr>
        <w:t xml:space="preserve">human life, both individual and social, is </w:t>
      </w:r>
      <w:r w:rsidRPr="00015112">
        <w:rPr>
          <w:rStyle w:val="Emphasis"/>
        </w:rPr>
        <w:t>compromised from the beginning</w:t>
      </w:r>
      <w:r w:rsidRPr="00015112">
        <w:rPr>
          <w:rStyle w:val="StyleUnderline"/>
        </w:rPr>
        <w:t xml:space="preserve"> by something that </w:t>
      </w:r>
      <w:r w:rsidRPr="00015112">
        <w:rPr>
          <w:rStyle w:val="Emphasis"/>
        </w:rPr>
        <w:t>undermines it</w:t>
      </w:r>
      <w:r w:rsidRPr="00015112">
        <w:rPr>
          <w:rStyle w:val="StyleUnderline"/>
        </w:rPr>
        <w:t xml:space="preserve">, </w:t>
      </w:r>
      <w:r w:rsidRPr="00015112">
        <w:rPr>
          <w:rStyle w:val="Emphasis"/>
        </w:rPr>
        <w:t>works against it</w:t>
      </w:r>
      <w:r w:rsidRPr="00015112">
        <w:rPr>
          <w:rStyle w:val="StyleUnderline"/>
        </w:rPr>
        <w:t>, is (darkly?) generative. The death drive indicates a tension bordering psychic and libidinal relations, which</w:t>
      </w:r>
      <w:r w:rsidRPr="00015112">
        <w:rPr>
          <w:sz w:val="16"/>
        </w:rPr>
        <w:t xml:space="preserve"> marks Freud’s radical break with Cartesian rationality and </w:t>
      </w:r>
      <w:r w:rsidRPr="00015112">
        <w:rPr>
          <w:rStyle w:val="StyleUnderline"/>
        </w:rPr>
        <w:t xml:space="preserve">points to a negativity that </w:t>
      </w:r>
      <w:r w:rsidRPr="00015112">
        <w:rPr>
          <w:rStyle w:val="Emphasis"/>
        </w:rPr>
        <w:t>counteracts the optimistic affirmations</w:t>
      </w:r>
      <w:r w:rsidRPr="00015112">
        <w:rPr>
          <w:rStyle w:val="StyleUnderline"/>
        </w:rPr>
        <w:t xml:space="preserve"> of human perfectability</w:t>
      </w:r>
      <w:r w:rsidRPr="00015112">
        <w:rPr>
          <w:sz w:val="16"/>
        </w:rPr>
        <w:t xml:space="preserve">. This dimension of radical negativity cannot be reduced to an expression of alienated social conditions, nor is it entirely something the body does on its own. Theorized as the destruction drive, the antagonism drive, or sometimes, simply “the drive,” </w:t>
      </w:r>
      <w:r w:rsidRPr="00015112">
        <w:rPr>
          <w:rStyle w:val="StyleUnderline"/>
        </w:rPr>
        <w:t xml:space="preserve">it is </w:t>
      </w:r>
      <w:r w:rsidRPr="00015112">
        <w:rPr>
          <w:rStyle w:val="Emphasis"/>
        </w:rPr>
        <w:t>impossible to escape</w:t>
      </w:r>
      <w:r w:rsidRPr="00015112">
        <w:rPr>
          <w:sz w:val="16"/>
        </w:rPr>
        <w:t xml:space="preserve">. In psychoanalytic theory, therefore, particularly in the clinical setting, </w:t>
      </w:r>
      <w:r w:rsidRPr="00015112">
        <w:rPr>
          <w:rStyle w:val="StyleUnderline"/>
        </w:rPr>
        <w:t xml:space="preserve">the objective is </w:t>
      </w:r>
      <w:r w:rsidRPr="00015112">
        <w:rPr>
          <w:rStyle w:val="Emphasis"/>
        </w:rPr>
        <w:t>not to overcome the drive</w:t>
      </w:r>
      <w:r w:rsidRPr="00015112">
        <w:rPr>
          <w:rStyle w:val="StyleUnderline"/>
        </w:rPr>
        <w:t xml:space="preserve">, but rather to </w:t>
      </w:r>
      <w:r w:rsidRPr="00015112">
        <w:rPr>
          <w:rStyle w:val="Emphasis"/>
        </w:rPr>
        <w:t>come to terms with it</w:t>
      </w:r>
      <w:r w:rsidRPr="00015112">
        <w:rPr>
          <w:sz w:val="16"/>
        </w:rPr>
        <w:t xml:space="preserve">, in what Slovenian Lacanian psychoanalytic theorist Slavoj Žižek (1989) calls “its terrifying dimension” (4). It is a fundamental axiom of Lacanian psychoanalytic theory that </w:t>
      </w:r>
      <w:r w:rsidRPr="00015112">
        <w:rPr>
          <w:rStyle w:val="StyleUnderline"/>
        </w:rPr>
        <w:t xml:space="preserve">attempts to abolish the drive antagonism are </w:t>
      </w:r>
      <w:r w:rsidRPr="00015112">
        <w:rPr>
          <w:rStyle w:val="Emphasis"/>
        </w:rPr>
        <w:t>precisely the source of totalitarian temptation</w:t>
      </w:r>
      <w:r w:rsidRPr="00015112">
        <w:rPr>
          <w:sz w:val="16"/>
        </w:rPr>
        <w:t>. Žižek writes: “</w:t>
      </w:r>
      <w:r w:rsidRPr="00015112">
        <w:rPr>
          <w:rStyle w:val="StyleUnderline"/>
        </w:rPr>
        <w:t xml:space="preserve">The </w:t>
      </w:r>
      <w:r w:rsidRPr="00015112">
        <w:rPr>
          <w:rStyle w:val="Emphasis"/>
        </w:rPr>
        <w:t>greatest mass murders</w:t>
      </w:r>
      <w:r w:rsidRPr="00015112">
        <w:rPr>
          <w:rStyle w:val="StyleUnderline"/>
        </w:rPr>
        <w:t xml:space="preserve"> and </w:t>
      </w:r>
      <w:r w:rsidRPr="00015112">
        <w:rPr>
          <w:rStyle w:val="Emphasis"/>
        </w:rPr>
        <w:t>holocausts have always been perpetrated</w:t>
      </w:r>
      <w:r w:rsidRPr="00015112">
        <w:rPr>
          <w:rStyle w:val="StyleUnderline"/>
        </w:rPr>
        <w:t xml:space="preserve"> in the name of </w:t>
      </w:r>
      <w:r w:rsidRPr="00015112">
        <w:rPr>
          <w:rStyle w:val="Emphasis"/>
        </w:rPr>
        <w:t>man as harmonious being</w:t>
      </w:r>
      <w:r w:rsidRPr="00015112">
        <w:rPr>
          <w:rStyle w:val="StyleUnderline"/>
        </w:rPr>
        <w:t xml:space="preserve">, of a </w:t>
      </w:r>
      <w:r w:rsidRPr="00015112">
        <w:rPr>
          <w:rStyle w:val="Emphasis"/>
        </w:rPr>
        <w:t>New Man without antagonistic tension</w:t>
      </w:r>
      <w:r w:rsidRPr="00015112">
        <w:rPr>
          <w:sz w:val="16"/>
        </w:rPr>
        <w:t xml:space="preserve">” (5). So it is that one of Canada’s greatest atrocities— </w:t>
      </w:r>
      <w:r w:rsidRPr="00015112">
        <w:rPr>
          <w:rStyle w:val="StyleUnderline"/>
        </w:rPr>
        <w:t xml:space="preserve">the </w:t>
      </w:r>
      <w:r w:rsidRPr="00015112">
        <w:rPr>
          <w:rStyle w:val="Emphasis"/>
        </w:rPr>
        <w:t>genocide of</w:t>
      </w:r>
      <w:r w:rsidRPr="00015112">
        <w:rPr>
          <w:sz w:val="16"/>
        </w:rPr>
        <w:t xml:space="preserve"> its </w:t>
      </w:r>
      <w:r w:rsidRPr="00015112">
        <w:rPr>
          <w:rStyle w:val="Emphasis"/>
        </w:rPr>
        <w:t>First Peoples</w:t>
      </w:r>
      <w:r w:rsidRPr="00015112">
        <w:rPr>
          <w:sz w:val="16"/>
        </w:rPr>
        <w:t>—</w:t>
      </w:r>
      <w:r w:rsidRPr="00015112">
        <w:rPr>
          <w:rStyle w:val="StyleUnderline"/>
        </w:rPr>
        <w:t>took place in the name of</w:t>
      </w:r>
      <w:r w:rsidRPr="00015112">
        <w:rPr>
          <w:sz w:val="16"/>
        </w:rPr>
        <w:t xml:space="preserve"> Canada itself, that sought </w:t>
      </w:r>
      <w:r w:rsidRPr="00015112">
        <w:rPr>
          <w:rStyle w:val="Emphasis"/>
        </w:rPr>
        <w:t>progress</w:t>
      </w:r>
      <w:r w:rsidRPr="00015112">
        <w:rPr>
          <w:rStyle w:val="StyleUnderline"/>
        </w:rPr>
        <w:t xml:space="preserve"> and </w:t>
      </w:r>
      <w:r w:rsidRPr="00015112">
        <w:rPr>
          <w:rStyle w:val="Emphasis"/>
        </w:rPr>
        <w:t>unification</w:t>
      </w:r>
      <w:r w:rsidRPr="00015112">
        <w:rPr>
          <w:rStyle w:val="StyleUnderline"/>
        </w:rPr>
        <w:t xml:space="preserve"> as a </w:t>
      </w:r>
      <w:r w:rsidRPr="00015112">
        <w:rPr>
          <w:rStyle w:val="Emphasis"/>
        </w:rPr>
        <w:t>single body politic</w:t>
      </w:r>
      <w:r w:rsidRPr="00015112">
        <w:rPr>
          <w:rStyle w:val="StyleUnderline"/>
        </w:rPr>
        <w:t xml:space="preserve"> with claims on a </w:t>
      </w:r>
      <w:r w:rsidRPr="00015112">
        <w:rPr>
          <w:rStyle w:val="Emphasis"/>
        </w:rPr>
        <w:t>shared futurity</w:t>
      </w:r>
      <w:r w:rsidRPr="00015112">
        <w:rPr>
          <w:rStyle w:val="StyleUnderline"/>
        </w:rPr>
        <w:t xml:space="preserve">. The fulfillment of this destiny </w:t>
      </w:r>
      <w:r w:rsidRPr="00015112">
        <w:rPr>
          <w:rStyle w:val="Emphasis"/>
        </w:rPr>
        <w:t>relied upon the negation of the other</w:t>
      </w:r>
      <w:r w:rsidRPr="00015112">
        <w:rPr>
          <w:rStyle w:val="StyleUnderline"/>
        </w:rPr>
        <w:t xml:space="preserve">, the bad race, the dangerous race, the race that stood </w:t>
      </w:r>
      <w:r w:rsidRPr="00015112">
        <w:rPr>
          <w:rStyle w:val="Emphasis"/>
        </w:rPr>
        <w:t>outside the purview of the norm</w:t>
      </w:r>
      <w:r w:rsidRPr="00015112">
        <w:rPr>
          <w:rStyle w:val="StyleUnderline"/>
        </w:rPr>
        <w:t xml:space="preserve"> and had no share in its time-zone</w:t>
      </w:r>
      <w:r w:rsidRPr="00015112">
        <w:rPr>
          <w:sz w:val="16"/>
        </w:rPr>
        <w:t xml:space="preserve">, the ones called to live in the between space—as nobody. </w:t>
      </w:r>
      <w:r w:rsidRPr="00015112">
        <w:rPr>
          <w:rStyle w:val="StyleUnderline"/>
        </w:rPr>
        <w:t xml:space="preserve">As the relatively more benign civilization policies </w:t>
      </w:r>
      <w:r w:rsidRPr="00015112">
        <w:rPr>
          <w:rStyle w:val="Emphasis"/>
        </w:rPr>
        <w:t>failed</w:t>
      </w:r>
      <w:r w:rsidRPr="00015112">
        <w:rPr>
          <w:sz w:val="16"/>
        </w:rPr>
        <w:t xml:space="preserve"> to convert Aboriginal forms of life into separate but civilized, Christian communities on reserves, the federal government intensified its tactics. </w:t>
      </w:r>
      <w:r w:rsidRPr="00015112">
        <w:rPr>
          <w:rStyle w:val="StyleUnderline"/>
        </w:rPr>
        <w:t xml:space="preserve">Policies became </w:t>
      </w:r>
      <w:r w:rsidRPr="00015112">
        <w:rPr>
          <w:rStyle w:val="Emphasis"/>
        </w:rPr>
        <w:t>more aggressive</w:t>
      </w:r>
      <w:r w:rsidRPr="00015112">
        <w:rPr>
          <w:rStyle w:val="StyleUnderline"/>
        </w:rPr>
        <w:t>. As these more aggressive policies</w:t>
      </w:r>
      <w:r w:rsidRPr="00015112">
        <w:rPr>
          <w:sz w:val="16"/>
        </w:rPr>
        <w:t xml:space="preserve"> (such as enfranchisement) </w:t>
      </w:r>
      <w:r w:rsidRPr="00015112">
        <w:rPr>
          <w:rStyle w:val="StyleUnderline"/>
        </w:rPr>
        <w:t xml:space="preserve">also failed, the federal government </w:t>
      </w:r>
      <w:r w:rsidRPr="00015112">
        <w:rPr>
          <w:rStyle w:val="Emphasis"/>
        </w:rPr>
        <w:t>intensified its tactics once again</w:t>
      </w:r>
      <w:r w:rsidRPr="00015112">
        <w:rPr>
          <w:rStyle w:val="StyleUnderline"/>
        </w:rPr>
        <w:t xml:space="preserve">, </w:t>
      </w:r>
      <w:r w:rsidRPr="00015112">
        <w:rPr>
          <w:rStyle w:val="Emphasis"/>
        </w:rPr>
        <w:t>escalating the stakes</w:t>
      </w:r>
      <w:r w:rsidRPr="00015112">
        <w:rPr>
          <w:rStyle w:val="StyleUnderline"/>
        </w:rPr>
        <w:t xml:space="preserve"> and the </w:t>
      </w:r>
      <w:r w:rsidRPr="00015112">
        <w:rPr>
          <w:rStyle w:val="Emphasis"/>
        </w:rPr>
        <w:t>strategies</w:t>
      </w:r>
      <w:r w:rsidRPr="00015112">
        <w:rPr>
          <w:rStyle w:val="StyleUnderline"/>
        </w:rPr>
        <w:t xml:space="preserve"> towards the horizon of assimilation. This ‘</w:t>
      </w:r>
      <w:r w:rsidRPr="00015112">
        <w:rPr>
          <w:rStyle w:val="Emphasis"/>
        </w:rPr>
        <w:t>doubling down</w:t>
      </w:r>
      <w:r w:rsidRPr="00015112">
        <w:rPr>
          <w:rStyle w:val="StyleUnderline"/>
        </w:rPr>
        <w:t xml:space="preserve">’ in the face of failure is a </w:t>
      </w:r>
      <w:r w:rsidRPr="00015112">
        <w:rPr>
          <w:rStyle w:val="Emphasis"/>
        </w:rPr>
        <w:t>primary trace effect</w:t>
      </w:r>
      <w:r w:rsidRPr="00015112">
        <w:rPr>
          <w:rStyle w:val="StyleUnderline"/>
        </w:rPr>
        <w:t xml:space="preserve"> of the death drive</w:t>
      </w:r>
      <w:r w:rsidRPr="00015112">
        <w:rPr>
          <w:sz w:val="16"/>
        </w:rPr>
        <w:t xml:space="preserve">, and indeed, it is not unreasonable to argue that the federal government Indian policy has, since confederation, been death driven. </w:t>
      </w:r>
      <w:r w:rsidRPr="00015112">
        <w:rPr>
          <w:rStyle w:val="StyleUnderline"/>
        </w:rPr>
        <w:t xml:space="preserve">Because the aim of fully eradicating the otherness of the other </w:t>
      </w:r>
      <w:r w:rsidRPr="00015112">
        <w:rPr>
          <w:rStyle w:val="Emphasis"/>
        </w:rPr>
        <w:t>can only fail</w:t>
      </w:r>
      <w:r w:rsidRPr="00015112">
        <w:rPr>
          <w:sz w:val="16"/>
        </w:rPr>
        <w:t>—in Freudian parlance, it cannot be mastered—</w:t>
      </w:r>
      <w:r w:rsidRPr="00015112">
        <w:rPr>
          <w:rStyle w:val="StyleUnderline"/>
        </w:rPr>
        <w:t xml:space="preserve">the trajectory of the aiming </w:t>
      </w:r>
      <w:r w:rsidRPr="00015112">
        <w:rPr>
          <w:rStyle w:val="Emphasis"/>
        </w:rPr>
        <w:t>turns in a circularity</w:t>
      </w:r>
      <w:r w:rsidRPr="00015112">
        <w:rPr>
          <w:rStyle w:val="StyleUnderline"/>
        </w:rPr>
        <w:t xml:space="preserve">, orbiting around that which can never be had: </w:t>
      </w:r>
      <w:r w:rsidRPr="00015112">
        <w:rPr>
          <w:rStyle w:val="Emphasis"/>
        </w:rPr>
        <w:t>perfection</w:t>
      </w:r>
      <w:r w:rsidRPr="00015112">
        <w:rPr>
          <w:sz w:val="16"/>
        </w:rPr>
        <w:t xml:space="preserve">. Caught in death drive circularity, </w:t>
      </w:r>
      <w:r w:rsidRPr="00015112">
        <w:rPr>
          <w:rStyle w:val="StyleUnderline"/>
        </w:rPr>
        <w:t>the aiming towards the objective</w:t>
      </w:r>
      <w:r w:rsidRPr="00015112">
        <w:rPr>
          <w:sz w:val="16"/>
        </w:rPr>
        <w:t xml:space="preserve"> (i.e. </w:t>
      </w:r>
      <w:r w:rsidRPr="00015112">
        <w:rPr>
          <w:rStyle w:val="StyleUnderline"/>
        </w:rPr>
        <w:t xml:space="preserve">a </w:t>
      </w:r>
      <w:r w:rsidRPr="00015112">
        <w:rPr>
          <w:rStyle w:val="Emphasis"/>
        </w:rPr>
        <w:t>unified body politic</w:t>
      </w:r>
      <w:r w:rsidRPr="00015112">
        <w:rPr>
          <w:sz w:val="16"/>
        </w:rPr>
        <w:t xml:space="preserve">) </w:t>
      </w:r>
      <w:r w:rsidRPr="00015112">
        <w:rPr>
          <w:rStyle w:val="Emphasis"/>
        </w:rPr>
        <w:t>authorizes</w:t>
      </w:r>
      <w:r w:rsidRPr="00015112">
        <w:rPr>
          <w:rStyle w:val="StyleUnderline"/>
        </w:rPr>
        <w:t xml:space="preserve">, and indeed </w:t>
      </w:r>
      <w:r w:rsidRPr="00015112">
        <w:rPr>
          <w:rStyle w:val="Emphasis"/>
        </w:rPr>
        <w:t>recruits</w:t>
      </w:r>
      <w:r w:rsidRPr="00015112">
        <w:rPr>
          <w:rStyle w:val="StyleUnderline"/>
        </w:rPr>
        <w:t xml:space="preserve">, </w:t>
      </w:r>
      <w:r w:rsidRPr="00015112">
        <w:rPr>
          <w:rStyle w:val="Emphasis"/>
        </w:rPr>
        <w:t>escalating violence</w:t>
      </w:r>
      <w:r w:rsidRPr="00015112">
        <w:rPr>
          <w:sz w:val="16"/>
        </w:rPr>
        <w:t xml:space="preserve"> in the interest of—finally—closing the open. For Žižek, </w:t>
      </w:r>
      <w:r w:rsidRPr="00015112">
        <w:rPr>
          <w:rStyle w:val="StyleUnderline"/>
        </w:rPr>
        <w:t>this compulsive ‘</w:t>
      </w:r>
      <w:r w:rsidRPr="00015112">
        <w:rPr>
          <w:rStyle w:val="Emphasis"/>
        </w:rPr>
        <w:t>doubling-down</w:t>
      </w:r>
      <w:r w:rsidRPr="00015112">
        <w:rPr>
          <w:rStyle w:val="StyleUnderline"/>
        </w:rPr>
        <w:t xml:space="preserve">’ in the face of failure to arrive at the impossible horizon of perfection </w:t>
      </w:r>
      <w:r w:rsidRPr="00015112">
        <w:rPr>
          <w:rStyle w:val="Emphasis"/>
        </w:rPr>
        <w:t>tips towards totalitarian temptation</w:t>
      </w:r>
      <w:r w:rsidRPr="00015112">
        <w:rPr>
          <w:rStyle w:val="StyleUnderline"/>
        </w:rPr>
        <w:t>, which</w:t>
      </w:r>
      <w:r w:rsidRPr="00015112">
        <w:rPr>
          <w:sz w:val="16"/>
        </w:rPr>
        <w:t xml:space="preserve">, he tells us, </w:t>
      </w:r>
      <w:r w:rsidRPr="00015112">
        <w:rPr>
          <w:rStyle w:val="StyleUnderline"/>
        </w:rPr>
        <w:t xml:space="preserve">is implicated in the drive to </w:t>
      </w:r>
      <w:r w:rsidRPr="00015112">
        <w:rPr>
          <w:rStyle w:val="Emphasis"/>
        </w:rPr>
        <w:t>unify a singular body politic</w:t>
      </w:r>
      <w:r w:rsidRPr="00015112">
        <w:rPr>
          <w:sz w:val="16"/>
        </w:rPr>
        <w:t xml:space="preserve">, a new man without antagonistic tension. </w:t>
      </w:r>
    </w:p>
    <w:p w14:paraId="3D775D7A" w14:textId="77777777" w:rsidR="00FB2992" w:rsidRPr="00015112" w:rsidRDefault="00FB2992" w:rsidP="00FB2992">
      <w:pPr>
        <w:rPr>
          <w:sz w:val="16"/>
        </w:rPr>
      </w:pPr>
      <w:r w:rsidRPr="00015112">
        <w:rPr>
          <w:rStyle w:val="StyleUnderline"/>
        </w:rPr>
        <w:t xml:space="preserve">The drive aims for the return to a </w:t>
      </w:r>
      <w:r w:rsidRPr="00015112">
        <w:rPr>
          <w:rStyle w:val="Emphasis"/>
        </w:rPr>
        <w:t>moment of unity before the intrusion of language</w:t>
      </w:r>
      <w:r w:rsidRPr="00015112">
        <w:rPr>
          <w:rStyle w:val="StyleUnderline"/>
        </w:rPr>
        <w:t xml:space="preserve"> and the entrance of the subject into</w:t>
      </w:r>
      <w:r w:rsidRPr="00015112">
        <w:rPr>
          <w:sz w:val="16"/>
        </w:rPr>
        <w:t xml:space="preserve"> what Lacan calls </w:t>
      </w:r>
      <w:r w:rsidRPr="00015112">
        <w:rPr>
          <w:rStyle w:val="StyleUnderline"/>
        </w:rPr>
        <w:t>the Symbolic</w:t>
      </w:r>
      <w:r w:rsidRPr="00015112">
        <w:rPr>
          <w:sz w:val="16"/>
        </w:rPr>
        <w:t xml:space="preserve">—the universe of symbols in which all human subjects share. </w:t>
      </w:r>
      <w:r w:rsidRPr="00015112">
        <w:rPr>
          <w:rStyle w:val="StyleUnderline"/>
        </w:rPr>
        <w:t>Because</w:t>
      </w:r>
      <w:r w:rsidRPr="00015112">
        <w:rPr>
          <w:sz w:val="16"/>
        </w:rPr>
        <w:t xml:space="preserve"> this economy of signifiers operates through a modality of difference by association, on the premise that </w:t>
      </w:r>
      <w:r w:rsidRPr="00015112">
        <w:rPr>
          <w:rStyle w:val="StyleUnderline"/>
        </w:rPr>
        <w:t xml:space="preserve">language </w:t>
      </w:r>
      <w:r w:rsidRPr="00015112">
        <w:rPr>
          <w:rStyle w:val="Emphasis"/>
        </w:rPr>
        <w:t>does not reflect</w:t>
      </w:r>
      <w:r w:rsidRPr="00015112">
        <w:rPr>
          <w:rStyle w:val="StyleUnderline"/>
        </w:rPr>
        <w:t xml:space="preserve"> or </w:t>
      </w:r>
      <w:r w:rsidRPr="00015112">
        <w:rPr>
          <w:rStyle w:val="Emphasis"/>
        </w:rPr>
        <w:t>carry within it universal a priori meaning</w:t>
      </w:r>
      <w:r w:rsidRPr="00015112">
        <w:rPr>
          <w:sz w:val="16"/>
        </w:rPr>
        <w:t xml:space="preserve">, spirit, or Truth, </w:t>
      </w:r>
      <w:r w:rsidRPr="00015112">
        <w:rPr>
          <w:rStyle w:val="StyleUnderline"/>
        </w:rPr>
        <w:t xml:space="preserve">signifiers are always and already sliding along a chain of signification that is </w:t>
      </w:r>
      <w:r w:rsidRPr="00015112">
        <w:rPr>
          <w:rStyle w:val="Emphasis"/>
        </w:rPr>
        <w:t>never truly fixed</w:t>
      </w:r>
      <w:r w:rsidRPr="00015112">
        <w:rPr>
          <w:sz w:val="16"/>
        </w:rPr>
        <w:t xml:space="preserve">. Rather, for Lacan, </w:t>
      </w:r>
      <w:r w:rsidRPr="00015112">
        <w:rPr>
          <w:rStyle w:val="StyleUnderline"/>
        </w:rPr>
        <w:t xml:space="preserve">meaning is constructed through </w:t>
      </w:r>
      <w:r w:rsidRPr="00015112">
        <w:rPr>
          <w:rStyle w:val="Emphasis"/>
        </w:rPr>
        <w:t>quilting points</w:t>
      </w:r>
      <w:r w:rsidRPr="00015112">
        <w:rPr>
          <w:rStyle w:val="StyleUnderline"/>
        </w:rPr>
        <w:t xml:space="preserve">, durable concepts that </w:t>
      </w:r>
      <w:r w:rsidRPr="00015112">
        <w:rPr>
          <w:rStyle w:val="Emphasis"/>
        </w:rPr>
        <w:t>affix ideas to their signifiers</w:t>
      </w:r>
      <w:r w:rsidRPr="00015112">
        <w:rPr>
          <w:rStyle w:val="StyleUnderline"/>
        </w:rPr>
        <w:t xml:space="preserve"> and which, in their durability, </w:t>
      </w:r>
      <w:r w:rsidRPr="00015112">
        <w:rPr>
          <w:rStyle w:val="Emphasis"/>
        </w:rPr>
        <w:t>structure entire fields of meaning</w:t>
      </w:r>
      <w:r w:rsidRPr="00015112">
        <w:rPr>
          <w:sz w:val="16"/>
        </w:rPr>
        <w:t xml:space="preserve">. For Lacan, subjects are formed by their entrance into this system of sliding difference from a pre-linguistic state retroactively constructed through nostalgic affective associations with unity, perfection, and completion. The loss or lack occurs in the imaginary, the order of presence and absence, and is formalized in the symbolic. </w:t>
      </w:r>
      <w:r w:rsidRPr="00015112">
        <w:rPr>
          <w:rStyle w:val="StyleUnderline"/>
        </w:rPr>
        <w:t>This is experienced by the subject as a loss of that to which she/he can never again return, but for which she/he perpetually yearns, and toward which she/he perpetually moves</w:t>
      </w:r>
      <w:r w:rsidRPr="00015112">
        <w:rPr>
          <w:sz w:val="16"/>
        </w:rPr>
        <w:t xml:space="preserve">. The circularity of movement toward this impossible horizon is precisely the movement of the drive. It is my argument that </w:t>
      </w:r>
      <w:r w:rsidRPr="00015112">
        <w:rPr>
          <w:rStyle w:val="StyleUnderline"/>
        </w:rPr>
        <w:t>the concept of “</w:t>
      </w:r>
      <w:r w:rsidRPr="00015112">
        <w:rPr>
          <w:rStyle w:val="Emphasis"/>
        </w:rPr>
        <w:t>the Indian</w:t>
      </w:r>
      <w:r w:rsidRPr="00015112">
        <w:rPr>
          <w:rStyle w:val="StyleUnderline"/>
        </w:rPr>
        <w:t xml:space="preserve">” is a </w:t>
      </w:r>
      <w:r w:rsidRPr="00015112">
        <w:rPr>
          <w:rStyle w:val="Emphasis"/>
        </w:rPr>
        <w:t>quilting point</w:t>
      </w:r>
      <w:r w:rsidRPr="00015112">
        <w:rPr>
          <w:rStyle w:val="StyleUnderline"/>
        </w:rPr>
        <w:t xml:space="preserve"> through which the </w:t>
      </w:r>
      <w:r w:rsidRPr="00015112">
        <w:rPr>
          <w:rStyle w:val="Emphasis"/>
        </w:rPr>
        <w:t>field of politics</w:t>
      </w:r>
      <w:r w:rsidRPr="00015112">
        <w:rPr>
          <w:sz w:val="16"/>
        </w:rPr>
        <w:t xml:space="preserve"> in Canada </w:t>
      </w:r>
      <w:r w:rsidRPr="00015112">
        <w:rPr>
          <w:rStyle w:val="StyleUnderline"/>
        </w:rPr>
        <w:t xml:space="preserve">is </w:t>
      </w:r>
      <w:r w:rsidRPr="00015112">
        <w:rPr>
          <w:rStyle w:val="Emphasis"/>
        </w:rPr>
        <w:t>sutured into signification</w:t>
      </w:r>
      <w:r w:rsidRPr="00015112">
        <w:rPr>
          <w:rStyle w:val="StyleUnderline"/>
        </w:rPr>
        <w:t xml:space="preserve">, a durable concept that </w:t>
      </w:r>
      <w:r w:rsidRPr="00015112">
        <w:rPr>
          <w:rStyle w:val="Emphasis"/>
        </w:rPr>
        <w:t>organizes the meaning of nation</w:t>
      </w:r>
      <w:r w:rsidRPr="00015112">
        <w:rPr>
          <w:rStyle w:val="StyleUnderline"/>
        </w:rPr>
        <w:t xml:space="preserve">, </w:t>
      </w:r>
      <w:r w:rsidRPr="00015112">
        <w:rPr>
          <w:rStyle w:val="Emphasis"/>
        </w:rPr>
        <w:t>citizen</w:t>
      </w:r>
      <w:r w:rsidRPr="00015112">
        <w:rPr>
          <w:rStyle w:val="StyleUnderline"/>
        </w:rPr>
        <w:t xml:space="preserve">, </w:t>
      </w:r>
      <w:r w:rsidRPr="00015112">
        <w:rPr>
          <w:rStyle w:val="Emphasis"/>
        </w:rPr>
        <w:t>sovereignty</w:t>
      </w:r>
      <w:r w:rsidRPr="00015112">
        <w:rPr>
          <w:rStyle w:val="StyleUnderline"/>
        </w:rPr>
        <w:t xml:space="preserve">, and </w:t>
      </w:r>
      <w:r w:rsidRPr="00015112">
        <w:rPr>
          <w:rStyle w:val="Emphasis"/>
        </w:rPr>
        <w:t>subjecthood</w:t>
      </w:r>
      <w:r w:rsidRPr="00015112">
        <w:rPr>
          <w:sz w:val="16"/>
        </w:rPr>
        <w:t xml:space="preserve">. Further, </w:t>
      </w:r>
      <w:r w:rsidRPr="00015112">
        <w:rPr>
          <w:rStyle w:val="StyleUnderline"/>
        </w:rPr>
        <w:t xml:space="preserve">the hypoxic vision of national unity and a harmonious white(ned) citizenry is a movement propelled by the drive, a circularity impelled by the belief that what is lacking in the present can be </w:t>
      </w:r>
      <w:r w:rsidRPr="00015112">
        <w:rPr>
          <w:rStyle w:val="Emphasis"/>
        </w:rPr>
        <w:t>made good in the future</w:t>
      </w:r>
      <w:r w:rsidRPr="00015112">
        <w:rPr>
          <w:rStyle w:val="StyleUnderline"/>
        </w:rPr>
        <w:t>—an imaginary that activates/harnesses a kind of libidinal energy that is, by its very nature, inexhaustible</w:t>
      </w:r>
      <w:r w:rsidRPr="00015112">
        <w:rPr>
          <w:sz w:val="16"/>
        </w:rPr>
        <w:t>.</w:t>
      </w:r>
    </w:p>
    <w:p w14:paraId="2749EF22" w14:textId="77777777" w:rsidR="00FB2992" w:rsidRPr="00015112" w:rsidRDefault="00FB2992" w:rsidP="00FB2992"/>
    <w:p w14:paraId="5649EDDE" w14:textId="77777777" w:rsidR="00FB2992" w:rsidRPr="00015112" w:rsidRDefault="00FB2992" w:rsidP="00FB2992"/>
    <w:p w14:paraId="2F581B6D" w14:textId="200202B5" w:rsidR="00EC52FE" w:rsidRPr="00015112" w:rsidRDefault="00EC52FE" w:rsidP="00EC52FE">
      <w:pPr>
        <w:pStyle w:val="Heading4"/>
      </w:pPr>
      <w:r w:rsidRPr="00015112">
        <w:t xml:space="preserve">The only alternative is one of decolonization. </w:t>
      </w:r>
    </w:p>
    <w:p w14:paraId="6220E3D6" w14:textId="77777777" w:rsidR="00EC52FE" w:rsidRPr="00015112" w:rsidRDefault="00EC52FE" w:rsidP="00EC52FE">
      <w:pPr>
        <w:rPr>
          <w:rStyle w:val="Style13ptBold"/>
        </w:rPr>
      </w:pPr>
      <w:r w:rsidRPr="00015112">
        <w:rPr>
          <w:rStyle w:val="Style13ptBold"/>
        </w:rPr>
        <w:t>Tuck and Yang 12</w:t>
      </w:r>
    </w:p>
    <w:p w14:paraId="22D16E46" w14:textId="77777777" w:rsidR="00EC52FE" w:rsidRPr="00015112" w:rsidRDefault="00EC52FE" w:rsidP="00EC52FE">
      <w:pPr>
        <w:rPr>
          <w:b/>
          <w:szCs w:val="20"/>
        </w:rPr>
      </w:pPr>
      <w:r w:rsidRPr="00015112">
        <w:rPr>
          <w:rStyle w:val="Style13ptBold"/>
          <w:sz w:val="20"/>
          <w:szCs w:val="20"/>
        </w:rPr>
        <w:t>(Eve Tuck, Unangax, State University of New York at New Paltz K. Wayne Yang University of California, San Diego, Decolonization is not a metaphor, Decolonization: Indigeneity, Education &amp; Society Vol. 1, No. 1, 2012, pp. 1-40, JKS)</w:t>
      </w:r>
    </w:p>
    <w:p w14:paraId="57802BA0" w14:textId="77777777" w:rsidR="00EC52FE" w:rsidRPr="00015112" w:rsidRDefault="00EC52FE" w:rsidP="00EC52FE">
      <w:pPr>
        <w:rPr>
          <w:rStyle w:val="StyleUnderline"/>
          <w:iCs/>
          <w:bdr w:val="single" w:sz="8" w:space="0" w:color="auto"/>
        </w:rPr>
      </w:pPr>
      <w:r w:rsidRPr="00015112">
        <w:rPr>
          <w:rStyle w:val="StyleUnderline"/>
        </w:rPr>
        <w:t xml:space="preserve">An ethic of incommensurability, </w:t>
      </w:r>
      <w:r w:rsidRPr="00015112">
        <w:rPr>
          <w:sz w:val="12"/>
        </w:rPr>
        <w:t xml:space="preserve">which </w:t>
      </w:r>
      <w:r w:rsidRPr="00015112">
        <w:rPr>
          <w:rStyle w:val="StyleUnderline"/>
        </w:rPr>
        <w:t xml:space="preserve">guides moves that unsettle innocence, stands in contrast to </w:t>
      </w:r>
      <w:r w:rsidRPr="00015112">
        <w:rPr>
          <w:sz w:val="12"/>
        </w:rPr>
        <w:t>aims of</w:t>
      </w:r>
      <w:r w:rsidRPr="00015112">
        <w:rPr>
          <w:rStyle w:val="StyleUnderline"/>
        </w:rPr>
        <w:t xml:space="preserve"> reconciliation, which motivate settler moves to innocence. Reconciliation is about rescuing settler normalcy, </w:t>
      </w:r>
      <w:r w:rsidRPr="00015112">
        <w:rPr>
          <w:sz w:val="12"/>
        </w:rPr>
        <w:t xml:space="preserve">about </w:t>
      </w:r>
      <w:r w:rsidRPr="00015112">
        <w:rPr>
          <w:rStyle w:val="StyleUnderline"/>
        </w:rPr>
        <w:t xml:space="preserve">rescuing a settler future. Reconciliation is concerned with questions of what will decolonization look like? </w:t>
      </w:r>
      <w:r w:rsidRPr="00015112">
        <w:rPr>
          <w:sz w:val="12"/>
        </w:rPr>
        <w:t xml:space="preserve">What will happen after abolition? </w:t>
      </w:r>
      <w:r w:rsidRPr="00015112">
        <w:rPr>
          <w:rStyle w:val="StyleUnderline"/>
        </w:rPr>
        <w:t xml:space="preserve">What will be the consequences </w:t>
      </w:r>
      <w:r w:rsidRPr="00015112">
        <w:rPr>
          <w:sz w:val="12"/>
        </w:rPr>
        <w:t>of decolonization</w:t>
      </w:r>
      <w:r w:rsidRPr="00015112">
        <w:rPr>
          <w:rStyle w:val="StyleUnderline"/>
        </w:rPr>
        <w:t xml:space="preserve"> for the settler? Incommensurability acknowledges that these questions need not, </w:t>
      </w:r>
      <w:r w:rsidRPr="00015112">
        <w:rPr>
          <w:sz w:val="12"/>
        </w:rPr>
        <w:t>and perhaps cannot</w:t>
      </w:r>
      <w:r w:rsidRPr="00015112">
        <w:rPr>
          <w:rStyle w:val="StyleUnderline"/>
        </w:rPr>
        <w:t xml:space="preserve">, be answered </w:t>
      </w:r>
      <w:r w:rsidRPr="00015112">
        <w:rPr>
          <w:sz w:val="12"/>
        </w:rPr>
        <w:t>in order</w:t>
      </w:r>
      <w:r w:rsidRPr="00015112">
        <w:rPr>
          <w:rStyle w:val="StyleUnderline"/>
        </w:rPr>
        <w:t xml:space="preserve"> for decolonization to exist as a framework. </w:t>
      </w:r>
      <w:r w:rsidRPr="00015112">
        <w:rPr>
          <w:sz w:val="12"/>
        </w:rPr>
        <w:t xml:space="preserve">We want to say, first, that </w:t>
      </w:r>
      <w:r w:rsidRPr="00015112">
        <w:rPr>
          <w:rStyle w:val="Emphasis"/>
        </w:rPr>
        <w:t xml:space="preserve">decolonization is not obliged to answer </w:t>
      </w:r>
      <w:r w:rsidRPr="00015112">
        <w:rPr>
          <w:sz w:val="12"/>
        </w:rPr>
        <w:t>those questions -</w:t>
      </w:r>
      <w:r w:rsidRPr="00015112">
        <w:rPr>
          <w:rStyle w:val="Emphasis"/>
        </w:rPr>
        <w:t xml:space="preserve"> decolonization is not accountable to settlers, or settler futurity. Decolonization is accountable to Indigenous sovereignty and futurity. </w:t>
      </w:r>
      <w:r w:rsidRPr="00015112">
        <w:rPr>
          <w:sz w:val="12"/>
        </w:rPr>
        <w:t xml:space="preserve">Still, we acknowledge the questions of those wary participants in Occupy Oakland and other settlers who want to know what decolonization will require of them. </w:t>
      </w:r>
      <w:r w:rsidRPr="00015112">
        <w:rPr>
          <w:rStyle w:val="StyleUnderline"/>
        </w:rPr>
        <w:t xml:space="preserve">The answers are not fully in view and can’t be as long as decolonization remains punctuated by metaphor. The answers will not emerge from friendly understanding, and indeed require a dangerous understanding of uncommonality that un-coalesces coalition politics - moves that may feel very unfriendly. </w:t>
      </w:r>
      <w:r w:rsidRPr="00015112">
        <w:rPr>
          <w:sz w:val="12"/>
        </w:rPr>
        <w:t>But</w:t>
      </w:r>
      <w:r w:rsidRPr="00015112">
        <w:rPr>
          <w:rStyle w:val="StyleUnderline"/>
        </w:rPr>
        <w:t xml:space="preserve"> we will find </w:t>
      </w:r>
      <w:r w:rsidRPr="00015112">
        <w:rPr>
          <w:sz w:val="12"/>
        </w:rPr>
        <w:t xml:space="preserve">out </w:t>
      </w:r>
      <w:r w:rsidRPr="00015112">
        <w:rPr>
          <w:rStyle w:val="StyleUnderline"/>
        </w:rPr>
        <w:t>the answers as we get there, “in the exact measure that we can discern the movements which give [decolonization] historical form and content”</w:t>
      </w:r>
      <w:r w:rsidRPr="00015112">
        <w:rPr>
          <w:sz w:val="12"/>
        </w:rPr>
        <w:t xml:space="preserve"> (Fanon, 1963, p. 36). </w:t>
      </w:r>
      <w:r w:rsidRPr="00015112">
        <w:rPr>
          <w:rStyle w:val="StyleUnderline"/>
        </w:rPr>
        <w:t xml:space="preserve">To fully enact an ethic of incommensurability means relinquishing settler futurity, abandoning the hope that settlers may one day be commensurable to Native peoples. </w:t>
      </w:r>
      <w:r w:rsidRPr="00015112">
        <w:rPr>
          <w:rStyle w:val="Emphasis"/>
        </w:rPr>
        <w:t>It means removing the asterisks, periods, commas, apostrophes, the whereas’s, buts, and conditional clauses that punctuate decolonization and underwrite settler innocence</w:t>
      </w:r>
      <w:r w:rsidRPr="00015112">
        <w:rPr>
          <w:rStyle w:val="StyleUnderline"/>
        </w:rPr>
        <w:t xml:space="preserve">. The Native futures, </w:t>
      </w:r>
      <w:r w:rsidRPr="00015112">
        <w:rPr>
          <w:sz w:val="12"/>
        </w:rPr>
        <w:t xml:space="preserve">the lives </w:t>
      </w:r>
      <w:r w:rsidRPr="00015112">
        <w:rPr>
          <w:rStyle w:val="StyleUnderline"/>
        </w:rPr>
        <w:t xml:space="preserve">to be lived once the settler nation is gone </w:t>
      </w:r>
      <w:r w:rsidRPr="00015112">
        <w:rPr>
          <w:sz w:val="12"/>
        </w:rPr>
        <w:t>- these</w:t>
      </w:r>
      <w:r w:rsidRPr="00015112">
        <w:rPr>
          <w:rStyle w:val="StyleUnderline"/>
        </w:rPr>
        <w:t xml:space="preserve"> are the unwritten possibilities made possible by an ethic of incommensurability.</w:t>
      </w:r>
    </w:p>
    <w:p w14:paraId="6B167BCE" w14:textId="77777777" w:rsidR="00EC52FE" w:rsidRPr="00015112" w:rsidRDefault="00EC52FE" w:rsidP="00EC52FE">
      <w:pPr>
        <w:rPr>
          <w:i/>
        </w:rPr>
      </w:pPr>
      <w:r w:rsidRPr="00015112">
        <w:rPr>
          <w:i/>
        </w:rPr>
        <w:t>when you take away the punctuation</w:t>
      </w:r>
    </w:p>
    <w:p w14:paraId="58987024" w14:textId="77777777" w:rsidR="00EC52FE" w:rsidRPr="00015112" w:rsidRDefault="00EC52FE" w:rsidP="00EC52FE">
      <w:pPr>
        <w:rPr>
          <w:i/>
        </w:rPr>
      </w:pPr>
      <w:r w:rsidRPr="00015112">
        <w:rPr>
          <w:i/>
        </w:rPr>
        <w:t>he says of</w:t>
      </w:r>
    </w:p>
    <w:p w14:paraId="6B12FAE7" w14:textId="77777777" w:rsidR="00EC52FE" w:rsidRPr="00015112" w:rsidRDefault="00EC52FE" w:rsidP="00EC52FE">
      <w:pPr>
        <w:rPr>
          <w:i/>
        </w:rPr>
      </w:pPr>
      <w:r w:rsidRPr="00015112">
        <w:rPr>
          <w:i/>
        </w:rPr>
        <w:t>lines lifted from the documents about military-occupied land</w:t>
      </w:r>
    </w:p>
    <w:p w14:paraId="52306A5A" w14:textId="77777777" w:rsidR="00EC52FE" w:rsidRPr="00015112" w:rsidRDefault="00EC52FE" w:rsidP="00EC52FE">
      <w:pPr>
        <w:rPr>
          <w:i/>
        </w:rPr>
      </w:pPr>
      <w:r w:rsidRPr="00015112">
        <w:rPr>
          <w:i/>
        </w:rPr>
        <w:t>its acreage and location</w:t>
      </w:r>
    </w:p>
    <w:p w14:paraId="266CD10B" w14:textId="77777777" w:rsidR="00EC52FE" w:rsidRPr="00015112" w:rsidRDefault="00EC52FE" w:rsidP="00EC52FE">
      <w:pPr>
        <w:rPr>
          <w:i/>
        </w:rPr>
      </w:pPr>
      <w:r w:rsidRPr="00015112">
        <w:rPr>
          <w:i/>
        </w:rPr>
        <w:t>you take away its finality</w:t>
      </w:r>
    </w:p>
    <w:p w14:paraId="379C5E60" w14:textId="77777777" w:rsidR="00EC52FE" w:rsidRPr="00015112" w:rsidRDefault="00EC52FE" w:rsidP="00EC52FE">
      <w:pPr>
        <w:rPr>
          <w:i/>
        </w:rPr>
      </w:pPr>
      <w:r w:rsidRPr="00015112">
        <w:rPr>
          <w:i/>
        </w:rPr>
        <w:t>opening the possibility of other futures</w:t>
      </w:r>
    </w:p>
    <w:p w14:paraId="04DD5861" w14:textId="77777777" w:rsidR="00EC52FE" w:rsidRPr="00015112" w:rsidRDefault="00EC52FE" w:rsidP="00EC52FE">
      <w:r w:rsidRPr="00015112">
        <w:t>-Craig Santos Perez, Chamoru scholar and poet (as quoted by Voeltz, 2012)</w:t>
      </w:r>
    </w:p>
    <w:p w14:paraId="602CBCE9" w14:textId="1A03A176" w:rsidR="00EC52FE" w:rsidRPr="00015112" w:rsidRDefault="00EC52FE" w:rsidP="00EC52FE">
      <w:pPr>
        <w:rPr>
          <w:rStyle w:val="Emphasis"/>
        </w:rPr>
      </w:pPr>
      <w:r w:rsidRPr="00015112">
        <w:rPr>
          <w:rStyle w:val="Emphasis"/>
        </w:rPr>
        <w:t>Decolonization offers a different perspective to human and civil rights based approaches to justice, an unsettling one, rather than a complementary one. Decolonization is not an “and”. It is an elsewhere.</w:t>
      </w:r>
    </w:p>
    <w:p w14:paraId="32B375A4" w14:textId="77777777" w:rsidR="00EC52FE" w:rsidRPr="00015112" w:rsidRDefault="00EC52FE" w:rsidP="00EC52FE">
      <w:pPr>
        <w:rPr>
          <w:b/>
          <w:iCs/>
          <w:u w:val="single"/>
        </w:rPr>
      </w:pPr>
    </w:p>
    <w:p w14:paraId="5B2C01BA" w14:textId="22399FDB" w:rsidR="00C77416" w:rsidRPr="00015112" w:rsidRDefault="00C77416" w:rsidP="00C77416">
      <w:pPr>
        <w:pStyle w:val="Heading3"/>
      </w:pPr>
      <w:r w:rsidRPr="00015112">
        <w:t>1NC – Alt – Settler Uncomfortability – Henderson</w:t>
      </w:r>
    </w:p>
    <w:p w14:paraId="17B653BA" w14:textId="77777777" w:rsidR="00C77416" w:rsidRPr="00015112" w:rsidRDefault="00C77416" w:rsidP="00C77416">
      <w:pPr>
        <w:pStyle w:val="Heading4"/>
        <w:rPr>
          <w:rFonts w:cs="Times New Roman"/>
        </w:rPr>
      </w:pPr>
      <w:r w:rsidRPr="00015112">
        <w:rPr>
          <w:rFonts w:cs="Times New Roman"/>
        </w:rPr>
        <w:t xml:space="preserve">The alternative is to refuse the aff to force a confrontation with the settler imaginary – only that process of </w:t>
      </w:r>
      <w:r w:rsidRPr="00015112">
        <w:rPr>
          <w:rStyle w:val="AnalyticEmphasisChar"/>
        </w:rPr>
        <w:t>settler uncomfortability</w:t>
      </w:r>
      <w:r w:rsidRPr="00015112">
        <w:rPr>
          <w:rFonts w:cs="Times New Roman"/>
        </w:rPr>
        <w:t xml:space="preserve"> can destabilize the calcified regime of colonialism which foregrounds all action – the alt is a process of slippage within the world as we know it </w:t>
      </w:r>
    </w:p>
    <w:p w14:paraId="48B6BEC4" w14:textId="77777777" w:rsidR="00C77416" w:rsidRPr="00015112" w:rsidRDefault="00C77416" w:rsidP="00C77416">
      <w:pPr>
        <w:rPr>
          <w:rStyle w:val="Style13ptBold"/>
        </w:rPr>
      </w:pPr>
      <w:r w:rsidRPr="00015112">
        <w:rPr>
          <w:rStyle w:val="Style13ptBold"/>
        </w:rPr>
        <w:t>Henderson 15</w:t>
      </w:r>
    </w:p>
    <w:p w14:paraId="25C147E3" w14:textId="77777777" w:rsidR="00C77416" w:rsidRPr="00015112" w:rsidRDefault="00C77416" w:rsidP="00C77416">
      <w:r w:rsidRPr="00015112">
        <w:t xml:space="preserve">(Phil, Professor at the University of Victoria, Bachelor’s (Hons.) in Political Science from the University of Western Ontario and a Master’s Degree in Political Science from the University of Victoria, with a specialization in Cultural, Social and Political thought; October 21, 2015; “Imagoed communities: the psychosocial space of settler colonialism”, Accessed: 4-4-2018, </w:t>
      </w:r>
      <w:r w:rsidRPr="00015112">
        <w:rPr>
          <w:i/>
        </w:rPr>
        <w:t>Settler Colonial Studies, Volume 7, pp. 40-56</w:t>
      </w:r>
      <w:r w:rsidRPr="00015112">
        <w:t>, jwm)</w:t>
      </w:r>
    </w:p>
    <w:p w14:paraId="02EF8B69" w14:textId="77777777" w:rsidR="00C77416" w:rsidRPr="00015112" w:rsidRDefault="00C77416" w:rsidP="00C77416">
      <w:r w:rsidRPr="00015112">
        <w:rPr>
          <w:sz w:val="14"/>
        </w:rPr>
        <w:t xml:space="preserve">Facing assertive indigenous presences within settler colonial spaces, </w:t>
      </w:r>
      <w:r w:rsidRPr="00015112">
        <w:rPr>
          <w:rStyle w:val="StyleUnderline"/>
        </w:rPr>
        <w:t xml:space="preserve">settlers must answer the legitimate charge that </w:t>
      </w:r>
      <w:r w:rsidRPr="00015112">
        <w:rPr>
          <w:rStyle w:val="Emphasis"/>
        </w:rPr>
        <w:t>their daily life – in all its banality – is predicated upon the privileges produced by ongoing genocide</w:t>
      </w:r>
      <w:r w:rsidRPr="00015112">
        <w:rPr>
          <w:sz w:val="14"/>
        </w:rPr>
        <w:t xml:space="preserve">. </w:t>
      </w:r>
      <w:r w:rsidRPr="00015112">
        <w:rPr>
          <w:rStyle w:val="StyleUnderline"/>
        </w:rPr>
        <w:t>The</w:t>
      </w:r>
      <w:r w:rsidRPr="00015112">
        <w:rPr>
          <w:sz w:val="14"/>
        </w:rPr>
        <w:t xml:space="preserve"> </w:t>
      </w:r>
      <w:r w:rsidRPr="00015112">
        <w:rPr>
          <w:rStyle w:val="StyleUnderline"/>
        </w:rPr>
        <w:t>jarring nature of such charges offers an irreconcilable challenge to settlers qua settlers.</w:t>
      </w:r>
      <w:r w:rsidRPr="00015112">
        <w:rPr>
          <w:sz w:val="14"/>
        </w:rPr>
        <w:t xml:space="preserve">64 Should these charges become impossible to ignore, </w:t>
      </w:r>
      <w:r w:rsidRPr="00015112">
        <w:rPr>
          <w:rStyle w:val="StyleUnderline"/>
        </w:rPr>
        <w:t>they threaten to explode the imago of settler colonialism, which had hitherto operated within the settler psyche in a relatively smooth and benign manner</w:t>
      </w:r>
      <w:r w:rsidRPr="00015112">
        <w:rPr>
          <w:sz w:val="14"/>
        </w:rPr>
        <w:t xml:space="preserve">. </w:t>
      </w:r>
      <w:r w:rsidRPr="00015112">
        <w:rPr>
          <w:rStyle w:val="StyleUnderline"/>
        </w:rPr>
        <w:t>This explosion is potentiated by the revelation of even a portion of the violence that is required to make settler life possible.</w:t>
      </w:r>
      <w:r w:rsidRPr="00015112">
        <w:rPr>
          <w:sz w:val="14"/>
        </w:rPr>
        <w:t xml:space="preserve"> If, for example, settlers are forced to see ‘their’ beach as a site of murder and ongoing colonization, it becomes more difficult to sustain it within the imaginary as a site of frivolity.65 As Brown writes, in the ‘loss of horizons, order, and identity’ the subject experiences a sense of enormous vulnerability.66  Threatened with this ‘loss of containment', the settler subject embarks down the road to psychosis.67 Thus, to parlay Brown's thesis to the settler colonial context, the uncontrollable rage that indigenous presences induce within the settler is not evidence of the strength of settlers, but rather of a subject lashing out on the brink of its own dissolution. </w:t>
      </w:r>
      <w:r w:rsidRPr="00015112">
        <w:rPr>
          <w:rStyle w:val="StyleUnderline"/>
        </w:rPr>
        <w:t>This panic – this rabid and insatiable anger – is always already at the core of the settler as a subject</w:t>
      </w:r>
      <w:r w:rsidRPr="00015112">
        <w:rPr>
          <w:sz w:val="14"/>
        </w:rPr>
        <w:t xml:space="preserve">. As Lorenzo Veracini observes, the settler necessarily remains in a disposition of aggression ‘even after indigenous alterities have ceased to be threatening'.68 </w:t>
      </w:r>
      <w:r w:rsidRPr="00015112">
        <w:rPr>
          <w:rStyle w:val="StyleUnderline"/>
        </w:rPr>
        <w:t>This disposition results from the precarity inherent in the maintenance of settler colonialism's imago, wherein any and all indigenous presences threaten subjective dissolution of the settler as such</w:t>
      </w:r>
      <w:r w:rsidRPr="00015112">
        <w:rPr>
          <w:sz w:val="14"/>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w:t>
      </w:r>
      <w:r w:rsidRPr="00015112">
        <w:rPr>
          <w:rStyle w:val="StyleUnderline"/>
        </w:rPr>
        <w:t xml:space="preserve">Their desire to produce a firm imago means that settlers are also always already in a psychically defensive position – that is, the settler's offensive position on occupied land is sustained through a defensive posture. For while settlers desire the total erasure of indigenous populations, the attendant desire to disappear their own identity as settlers necessitates the suppression of both desires, if the subject's reliance on settler colonial power structure is to be psychically naturalized. </w:t>
      </w:r>
      <w:r w:rsidRPr="00015112">
        <w:rPr>
          <w:sz w:val="14"/>
        </w:rPr>
        <w:t xml:space="preserve">Settlers’ reactions to indigenous peoples fit, almost universally, with the two ego defense responses that Sigmund Freud observed. The first of these defenses is to attempt a complete conversion of the suppressed desire into a new idea. </w:t>
      </w:r>
      <w:r w:rsidRPr="00015112">
        <w:rPr>
          <w:rStyle w:val="Emphasis"/>
        </w:rPr>
        <w:t>In settler colonial contexts, this requires averting attention from the violence of dispossession</w:t>
      </w:r>
      <w:r w:rsidRPr="00015112">
        <w:rPr>
          <w:sz w:val="14"/>
        </w:rPr>
        <w:t xml:space="preserve">; </w:t>
      </w:r>
      <w:r w:rsidRPr="00015112">
        <w:rPr>
          <w:rStyle w:val="StyleUnderline"/>
        </w:rPr>
        <w:t>as such, settlers often suggest that they aim to create a ‘city on the hill’</w:t>
      </w:r>
      <w:r w:rsidRPr="00015112">
        <w:rPr>
          <w:sz w:val="14"/>
        </w:rPr>
        <w:t xml:space="preserve">.70 Freud noted that the conversion defense mechanism does suppress the anxiety-inducing desire, but it also leads to ‘periodic hysterical outbursts'. </w:t>
      </w:r>
      <w:r w:rsidRPr="00015112">
        <w:rPr>
          <w:rStyle w:val="StyleUnderline"/>
        </w:rPr>
        <w:t>Such is the case when settlers’ utopic visions are forced to confront the reality that the gentile community they imagine is founded in and perpetuates irredeemable suffering</w:t>
      </w:r>
      <w:r w:rsidRPr="00015112">
        <w:rPr>
          <w:sz w:val="14"/>
        </w:rPr>
        <w:t xml:space="preserve">. A second type of defense is to channel the original desire's energy into an obsession or a phobia. The effects of this defense are seen in the preoccupation that settler colonialism has with purity of blood or of community.71 As we have already seen, </w:t>
      </w:r>
      <w:r w:rsidRPr="00015112">
        <w:rPr>
          <w:rStyle w:val="StyleUnderline"/>
        </w:rPr>
        <w:t>this obsession at once solidifies the power of the settler state, thereby naturalizing the settler and simultaneously perpetuating the processes of erasing indigenous peoples.</w:t>
      </w:r>
      <w:r w:rsidRPr="00015112">
        <w:rPr>
          <w:sz w:val="14"/>
        </w:rPr>
        <w:t xml:space="preserve"> Psychic defenses are intended to secure the subject from pain, and whether that pain originates inside or outside the psyche is inconsequential. </w:t>
      </w:r>
      <w:r w:rsidRPr="00015112">
        <w:rPr>
          <w:rStyle w:val="StyleUnderline"/>
        </w:rPr>
        <w:t>Because of the threat that indigeneity presents to the phantasmatic wholeness of settler colonialism, settlers must always remain suspended in a state of arrested development between these defensive positions</w:t>
      </w:r>
      <w:r w:rsidRPr="00015112">
        <w:rPr>
          <w:sz w:val="14"/>
        </w:rPr>
        <w:t xml:space="preserve">. Despite any pretensions to the contrary, the settler is necessarily a parochial subject who continuously coils, reacts, disavows, and lashes out, when confronted with his dependency on indigenous peoples and their territory. This psychic precarity exists at the core of the settler subject because of the unending fear of its own dissolution, should indigenous sovereignty be recognized.72 Goeman writes as an explicit challenge to other indigenous peoples, but this holds true to settler-allies as well, that </w:t>
      </w:r>
      <w:r w:rsidRPr="00015112">
        <w:rPr>
          <w:rStyle w:val="Emphasis"/>
        </w:rPr>
        <w:t>decolonization must include an analysis of the dominant ‘self-disciplining colonial subject’</w:t>
      </w:r>
      <w:r w:rsidRPr="00015112">
        <w:rPr>
          <w:sz w:val="14"/>
        </w:rPr>
        <w:t xml:space="preserve">.73 However, as this discussion of subjective precarity demonstrates, the degree of to which these disciplinary or phenomenological processes are complete should not be overstated. For </w:t>
      </w:r>
      <w:r w:rsidRPr="00015112">
        <w:rPr>
          <w:rStyle w:val="StyleUnderline"/>
        </w:rPr>
        <w:t xml:space="preserve">settler-allies must also examine and cultivate the ways in which settler subjects fail to be totally disciplined. </w:t>
      </w:r>
      <w:r w:rsidRPr="00015112">
        <w:rPr>
          <w:sz w:val="14"/>
        </w:rPr>
        <w:t xml:space="preserve">Evidence of </w:t>
      </w:r>
      <w:r w:rsidRPr="00015112">
        <w:rPr>
          <w:rStyle w:val="Emphasis"/>
        </w:rPr>
        <w:t>this incompletion</w:t>
      </w:r>
      <w:r w:rsidRPr="00015112">
        <w:rPr>
          <w:rStyle w:val="StyleUnderline"/>
        </w:rPr>
        <w:t xml:space="preserve"> is apparent in the subject's arrested state of development. Discovering </w:t>
      </w:r>
      <w:r w:rsidRPr="00015112">
        <w:rPr>
          <w:rStyle w:val="Emphasis"/>
        </w:rPr>
        <w:t>the instability at the core of the settler subject,</w:t>
      </w:r>
      <w:r w:rsidRPr="00015112">
        <w:rPr>
          <w:sz w:val="14"/>
        </w:rPr>
        <w:t xml:space="preserve"> indeed of all subjects, is the central conceit of psychoanalysis. This exception of at least partial failure to fully subjectivize the settler is also what sets my account apart from </w:t>
      </w:r>
      <w:r w:rsidRPr="00015112">
        <w:rPr>
          <w:rStyle w:val="StyleUnderline"/>
        </w:rPr>
        <w:t>Rifkin's. His phenomenology falls into the trap</w:t>
      </w:r>
      <w:r w:rsidRPr="00015112">
        <w:rPr>
          <w:sz w:val="14"/>
        </w:rPr>
        <w:t xml:space="preserve"> that Jacqueline Rose observes within many sociological accounts of the subject: </w:t>
      </w:r>
      <w:r w:rsidRPr="00015112">
        <w:rPr>
          <w:rStyle w:val="StyleUnderline"/>
        </w:rPr>
        <w:t>that of assuming a successful internalization of norms. From the psychoanalytical perspective, the ‘unconscious constantly reveals the “failure”’ of internalization.</w:t>
      </w:r>
      <w:r w:rsidRPr="00015112">
        <w:rPr>
          <w:sz w:val="14"/>
        </w:rPr>
        <w:t xml:space="preserve">74 As we have seen, </w:t>
      </w:r>
      <w:r w:rsidRPr="00015112">
        <w:rPr>
          <w:rStyle w:val="StyleUnderline"/>
        </w:rPr>
        <w:t xml:space="preserve">within settler subjects </w:t>
      </w:r>
      <w:r w:rsidRPr="00015112">
        <w:rPr>
          <w:sz w:val="14"/>
        </w:rPr>
        <w:t xml:space="preserve">this can be expressed as </w:t>
      </w:r>
      <w:r w:rsidRPr="00015112">
        <w:rPr>
          <w:rStyle w:val="StyleUnderline"/>
        </w:rPr>
        <w:t>an irrational anxiety</w:t>
      </w:r>
      <w:r w:rsidRPr="00015112">
        <w:rPr>
          <w:sz w:val="14"/>
        </w:rPr>
        <w:t xml:space="preserve"> that expr</w:t>
      </w:r>
      <w:r w:rsidRPr="00015112">
        <w:rPr>
          <w:rStyle w:val="StyleUnderline"/>
        </w:rPr>
        <w:t>esses itself whenever a settler is confronted with the facts regarding their colonizing status</w:t>
      </w:r>
      <w:r w:rsidRPr="00015112">
        <w:rPr>
          <w:sz w:val="14"/>
        </w:rPr>
        <w:t xml:space="preserve">. Under conditions of total subjectification, such charges ought to be unintelligible to the settler. Thus, </w:t>
      </w:r>
      <w:r w:rsidRPr="00015112">
        <w:rPr>
          <w:rStyle w:val="Emphasis"/>
        </w:rPr>
        <w:t>the process of subject formation is always in slippage and never totalized as others might suggest</w:t>
      </w:r>
      <w:r w:rsidRPr="00015112">
        <w:rPr>
          <w:sz w:val="14"/>
        </w:rPr>
        <w:t xml:space="preserve">.75 Because of this precarity, the settler subject is prone to violence and lashing out; but </w:t>
      </w:r>
      <w:r w:rsidRPr="00015112">
        <w:rPr>
          <w:rStyle w:val="StyleUnderline"/>
        </w:rPr>
        <w:t>the subject in slippage also provides an avenue by which the process of settler colonialism can be subverted</w:t>
      </w:r>
      <w:r w:rsidRPr="00015112">
        <w:rPr>
          <w:sz w:val="14"/>
        </w:rPr>
        <w:t xml:space="preserve"> – </w:t>
      </w:r>
      <w:r w:rsidRPr="00015112">
        <w:rPr>
          <w:rStyle w:val="StyleUnderline"/>
        </w:rPr>
        <w:t>creating cracks in a phantasmatic wholeness which can be opened wider</w:t>
      </w:r>
      <w:r w:rsidRPr="00015112">
        <w:rPr>
          <w:sz w:val="14"/>
        </w:rPr>
        <w:t xml:space="preserve">. </w:t>
      </w:r>
      <w:r w:rsidRPr="00015112">
        <w:rPr>
          <w:rStyle w:val="StyleUnderline"/>
        </w:rPr>
        <w:t>Breakages of this sort offer an opportunity</w:t>
      </w:r>
      <w:r w:rsidRPr="00015112">
        <w:rPr>
          <w:sz w:val="14"/>
        </w:rPr>
        <w:t xml:space="preserve"> to pursue what Paulette Regan calls a ‘restorying’ of settler colonial history and culture, </w:t>
      </w:r>
      <w:r w:rsidRPr="00015112">
        <w:rPr>
          <w:rStyle w:val="Emphasis"/>
        </w:rPr>
        <w:t>to decenter settler mythologies built upon and within the dispossession of indigenous peoples</w:t>
      </w:r>
      <w:r w:rsidRPr="00015112">
        <w:rPr>
          <w:sz w:val="14"/>
        </w:rPr>
        <w:t>.</w:t>
      </w:r>
      <w:r w:rsidRPr="00015112">
        <w:rPr>
          <w:rStyle w:val="Emphasis"/>
        </w:rPr>
        <w:t>76 The cultivation of these cracks is a necessary part of decolonizing work</w:t>
      </w:r>
      <w:r w:rsidRPr="00015112">
        <w:rPr>
          <w:sz w:val="14"/>
        </w:rPr>
        <w:t xml:space="preserve">, </w:t>
      </w:r>
      <w:r w:rsidRPr="00015112">
        <w:rPr>
          <w:rStyle w:val="StyleUnderline"/>
        </w:rPr>
        <w:t>as it continues to panic and thus to destabilize settler subjects.</w:t>
      </w:r>
      <w:r w:rsidRPr="00015112">
        <w:rPr>
          <w:sz w:val="14"/>
        </w:rPr>
        <w:t xml:space="preserve"> </w:t>
      </w:r>
      <w:r w:rsidRPr="00015112">
        <w:rPr>
          <w:rStyle w:val="StyleUnderline"/>
        </w:rPr>
        <w:t xml:space="preserve">Resistance to settler colonialism does not occur only in highly visible moments </w:t>
      </w:r>
      <w:r w:rsidRPr="00015112">
        <w:rPr>
          <w:sz w:val="14"/>
        </w:rPr>
        <w:t xml:space="preserve">like the famous conflict at Kanesatake and Kahnawake,77 </w:t>
      </w:r>
      <w:r w:rsidRPr="00015112">
        <w:rPr>
          <w:rStyle w:val="Emphasis"/>
        </w:rPr>
        <w:t>it also occurs in reiterative and disruptive practices, presences, and speech acts.</w:t>
      </w:r>
      <w:r w:rsidRPr="00015112">
        <w:rPr>
          <w:sz w:val="14"/>
        </w:rPr>
        <w:t xml:space="preserve"> Goeman correctly observes that </w:t>
      </w:r>
      <w:r w:rsidRPr="00015112">
        <w:rPr>
          <w:rStyle w:val="StyleUnderline"/>
        </w:rPr>
        <w:t>the ‘repetitive practices of everyday life’ are what give settler spaces their meaning, as they provide a degree of naturalness to the settler imago and its psychic investments</w:t>
      </w:r>
      <w:r w:rsidRPr="00015112">
        <w:rPr>
          <w:sz w:val="14"/>
        </w:rPr>
        <w:t>.78 As such, to</w:t>
      </w:r>
      <w:r w:rsidRPr="00015112">
        <w:rPr>
          <w:rStyle w:val="Emphasis"/>
        </w:rPr>
        <w:t xml:space="preserve"> disrupt the ease of these repetitions is at once to striate radically the otherwise smooth spaces of settler colonialism and also to disrupt the easy (re)production of the settler subject.</w:t>
      </w:r>
      <w:r w:rsidRPr="00015112">
        <w:rPr>
          <w:sz w:val="14"/>
        </w:rPr>
        <w:t xml:space="preserve"> Goeman calls </w:t>
      </w:r>
      <w:r w:rsidRPr="00015112">
        <w:rPr>
          <w:rStyle w:val="StyleUnderline"/>
        </w:rPr>
        <w:t>these subversive acts the ‘micro-politics of resistance'</w:t>
      </w:r>
      <w:r w:rsidRPr="00015112">
        <w:rPr>
          <w:sz w:val="14"/>
        </w:rPr>
        <w:t xml:space="preserve">, which historically took the form of ‘moving fences, not cooperating with census enumerators, sometimes disrupting survey parties’ amongst other process.79 These acts panic the subject that is disciplined as a product of settler colonial power, by forcing encounters with the sovereign indigenous peoples that were imagined to be gone. This </w:t>
      </w:r>
      <w:r w:rsidRPr="00015112">
        <w:rPr>
          <w:rStyle w:val="StyleUnderline"/>
        </w:rPr>
        <w:t xml:space="preserve">reveals to the settler, if only fleetingly, the violence that founds and sustains the settler colonial relationship. While such practices may not overthrow the settler colonial system, they do </w:t>
      </w:r>
      <w:r w:rsidRPr="00015112">
        <w:rPr>
          <w:rStyle w:val="Emphasis"/>
        </w:rPr>
        <w:t>subvert its logics by insistently drawing attention to the ongoing presence of indigenous peoples who refuse erasure.</w:t>
      </w:r>
    </w:p>
    <w:p w14:paraId="3AC3FA9C" w14:textId="77777777" w:rsidR="00C77416" w:rsidRPr="00015112" w:rsidRDefault="00C77416" w:rsidP="00C77416"/>
    <w:p w14:paraId="2D994ACE" w14:textId="50EB0A39" w:rsidR="00C77416" w:rsidRPr="00015112" w:rsidRDefault="00CB1D9D" w:rsidP="00CB1D9D">
      <w:pPr>
        <w:pStyle w:val="Heading1"/>
      </w:pPr>
      <w:r w:rsidRPr="00015112">
        <w:t>2NC</w:t>
      </w:r>
    </w:p>
    <w:p w14:paraId="242794F9" w14:textId="7244350D" w:rsidR="00CB1D9D" w:rsidRPr="00015112" w:rsidRDefault="00CB1D9D" w:rsidP="00CB1D9D">
      <w:pPr>
        <w:pStyle w:val="Heading2"/>
      </w:pPr>
      <w:r w:rsidRPr="00015112">
        <w:t>FW</w:t>
      </w:r>
    </w:p>
    <w:p w14:paraId="30A4BF3D" w14:textId="2F0C69AB" w:rsidR="004634EA" w:rsidRPr="00015112" w:rsidRDefault="004634EA" w:rsidP="00EC52FE">
      <w:pPr>
        <w:pStyle w:val="Heading3"/>
      </w:pPr>
      <w:r w:rsidRPr="00015112">
        <w:t xml:space="preserve">2NC – </w:t>
      </w:r>
      <w:r w:rsidR="00ED6DC1" w:rsidRPr="00015112">
        <w:t>FW</w:t>
      </w:r>
      <w:r w:rsidRPr="00015112">
        <w:t xml:space="preserve"> </w:t>
      </w:r>
      <w:r w:rsidR="006E1C64" w:rsidRPr="00015112">
        <w:t>–</w:t>
      </w:r>
      <w:r w:rsidRPr="00015112">
        <w:t xml:space="preserve"> </w:t>
      </w:r>
      <w:r w:rsidR="006E1C64" w:rsidRPr="00015112">
        <w:t>ROB = Center Natives – Carlson</w:t>
      </w:r>
    </w:p>
    <w:p w14:paraId="7E5CE840" w14:textId="77777777" w:rsidR="006E1C64" w:rsidRPr="00015112" w:rsidRDefault="006E1C64" w:rsidP="006E1C64">
      <w:pPr>
        <w:pStyle w:val="Heading4"/>
        <w:rPr>
          <w:rFonts w:cs="Times New Roman"/>
        </w:rPr>
      </w:pPr>
      <w:r w:rsidRPr="00015112">
        <w:rPr>
          <w:rFonts w:cs="Times New Roman"/>
        </w:rPr>
        <w:t xml:space="preserve">The </w:t>
      </w:r>
      <w:r w:rsidRPr="00015112">
        <w:rPr>
          <w:rStyle w:val="AnalyticEmphasisChar"/>
        </w:rPr>
        <w:t>role of the ballot</w:t>
      </w:r>
      <w:r w:rsidRPr="00015112">
        <w:rPr>
          <w:rFonts w:cs="Times New Roman"/>
        </w:rPr>
        <w:t xml:space="preserve"> is to resist the pull toward settler comfortability – any ethical commitment requires that the aff place themselves in the center of Native scholarship and demands. </w:t>
      </w:r>
    </w:p>
    <w:p w14:paraId="4D46CE38" w14:textId="77777777" w:rsidR="006E1C64" w:rsidRPr="00015112" w:rsidRDefault="006E1C64" w:rsidP="006E1C64">
      <w:pPr>
        <w:rPr>
          <w:rStyle w:val="Style13ptBold"/>
        </w:rPr>
      </w:pPr>
      <w:r w:rsidRPr="00015112">
        <w:rPr>
          <w:rStyle w:val="Style13ptBold"/>
        </w:rPr>
        <w:t>Carlson 16</w:t>
      </w:r>
    </w:p>
    <w:p w14:paraId="306214A2" w14:textId="77777777" w:rsidR="006E1C64" w:rsidRPr="00015112" w:rsidRDefault="006E1C64" w:rsidP="006E1C64">
      <w:pPr>
        <w:rPr>
          <w:b/>
          <w:bCs/>
          <w:szCs w:val="20"/>
        </w:rPr>
      </w:pPr>
      <w:r w:rsidRPr="00015112">
        <w:rPr>
          <w:rStyle w:val="Style13ptBold"/>
          <w:sz w:val="20"/>
          <w:szCs w:val="20"/>
        </w:rPr>
        <w:t>(Elizabeth Carlson, PhD, is an Aamitigoozhi, Wemistigosi, and Wasicu (settler Canadian and American), whose Swedish, Saami, German, Scots-Irish, and English ancestors have settled on lands of the Anishinaabe and Omaha Nations which were unethically obtained by the US government. Elizabeth lives on Treaty 1 territory, the traditional lands of the Anishinaabe, Nehiyawak, Dakota, Nakota, and Red River Metis peoples currently occupied by the city of Winnipeg, the province of Manitoba, (2016): Anti-colonial methodologies and practices for settler colonial studies, Settler Colonial Studies, DOI: 10.1080/2201473X.2016.1241213, JKS)</w:t>
      </w:r>
    </w:p>
    <w:p w14:paraId="3DBE5FF8" w14:textId="77777777" w:rsidR="006E1C64" w:rsidRPr="00015112" w:rsidRDefault="006E1C64" w:rsidP="006E1C64">
      <w:pPr>
        <w:rPr>
          <w:rStyle w:val="Emphasis"/>
        </w:rPr>
      </w:pPr>
      <w:r w:rsidRPr="00015112">
        <w:rPr>
          <w:sz w:val="12"/>
        </w:rPr>
        <w:t>Arlo Kempf says that ‘</w:t>
      </w:r>
      <w:r w:rsidRPr="00015112">
        <w:rPr>
          <w:rStyle w:val="StyleUnderline"/>
        </w:rPr>
        <w:t>where anticolonialism is a tool used to invoke resistance for the colonized, it is a tool used to invoke accountability for the colonizer’</w:t>
      </w:r>
      <w:r w:rsidRPr="00015112">
        <w:rPr>
          <w:sz w:val="12"/>
        </w:rPr>
        <w:t xml:space="preserve">.42 </w:t>
      </w:r>
      <w:r w:rsidRPr="00015112">
        <w:rPr>
          <w:rStyle w:val="StyleUnderline"/>
        </w:rPr>
        <w:t>Relational accountability should be a cornerstone of settler colonial studies.</w:t>
      </w:r>
      <w:r w:rsidRPr="00015112">
        <w:rPr>
          <w:sz w:val="12"/>
        </w:rPr>
        <w:t xml:space="preserve"> I believe </w:t>
      </w:r>
      <w:r w:rsidRPr="00015112">
        <w:rPr>
          <w:rStyle w:val="StyleUnderline"/>
        </w:rPr>
        <w:t xml:space="preserve">settler colonial studies and scholars should ethically and overtly place themselves in relationship to the centuries of Indigenous oral, </w:t>
      </w:r>
      <w:r w:rsidRPr="00015112">
        <w:rPr>
          <w:sz w:val="12"/>
        </w:rPr>
        <w:t>and later academic</w:t>
      </w:r>
      <w:r w:rsidRPr="00015112">
        <w:rPr>
          <w:rStyle w:val="StyleUnderline"/>
        </w:rPr>
        <w:t xml:space="preserve"> scholarship that </w:t>
      </w:r>
      <w:r w:rsidRPr="00015112">
        <w:rPr>
          <w:sz w:val="12"/>
        </w:rPr>
        <w:t xml:space="preserve">conceptualizes and </w:t>
      </w:r>
      <w:r w:rsidRPr="00015112">
        <w:rPr>
          <w:rStyle w:val="StyleUnderline"/>
        </w:rPr>
        <w:t xml:space="preserve">resists settler colonialism </w:t>
      </w:r>
      <w:r w:rsidRPr="00015112">
        <w:rPr>
          <w:sz w:val="12"/>
        </w:rPr>
        <w:t xml:space="preserve">without necessarily using the term: SCT may be revelatory to many settler scholars, but </w:t>
      </w:r>
      <w:r w:rsidRPr="00015112">
        <w:rPr>
          <w:rStyle w:val="StyleUnderline"/>
        </w:rPr>
        <w:t>Indigenous people have been speaking for a long time about colonial continuities based on their lived experiences</w:t>
      </w:r>
      <w:r w:rsidRPr="00015112">
        <w:rPr>
          <w:sz w:val="12"/>
        </w:rPr>
        <w:t xml:space="preserve">. Some SCTs have sought to connect with these discussions and to foreground Indigenous resistance, survival and agency. </w:t>
      </w:r>
      <w:r w:rsidRPr="00015112">
        <w:rPr>
          <w:rStyle w:val="StyleUnderline"/>
        </w:rPr>
        <w:t xml:space="preserve">Others, </w:t>
      </w:r>
      <w:r w:rsidRPr="00015112">
        <w:rPr>
          <w:sz w:val="12"/>
        </w:rPr>
        <w:t xml:space="preserve">however, seem to </w:t>
      </w:r>
      <w:r w:rsidRPr="00015112">
        <w:rPr>
          <w:rStyle w:val="StyleUnderline"/>
        </w:rPr>
        <w:t>use SCT as a pathway to explain the colonial encounter without engaging with Indigenous people and experience</w:t>
      </w:r>
      <w:r w:rsidRPr="00015112">
        <w:rPr>
          <w:sz w:val="12"/>
        </w:rPr>
        <w:t xml:space="preserve">s – either on the grounds that this structural analysis already conceptually explains Indigenous experience, or because </w:t>
      </w:r>
      <w:r w:rsidRPr="00015112">
        <w:rPr>
          <w:rStyle w:val="StyleUnderline"/>
        </w:rPr>
        <w:t>Indigenous resistance is rendered invisible</w:t>
      </w:r>
      <w:r w:rsidRPr="00015112">
        <w:rPr>
          <w:sz w:val="12"/>
        </w:rPr>
        <w:t xml:space="preserve">.43 </w:t>
      </w:r>
      <w:r w:rsidRPr="00015112">
        <w:rPr>
          <w:rStyle w:val="StyleUnderline"/>
        </w:rPr>
        <w:t>Ethical settler colonial theory</w:t>
      </w:r>
      <w:r w:rsidRPr="00015112">
        <w:rPr>
          <w:sz w:val="12"/>
        </w:rPr>
        <w:t xml:space="preserve"> (SCT) </w:t>
      </w:r>
      <w:r w:rsidRPr="00015112">
        <w:rPr>
          <w:rStyle w:val="StyleUnderline"/>
        </w:rPr>
        <w:t>would recognize the foundational role Indigenous scholarship has in critiques of settler colonialism. It would acknowledge the limitations of settler scholars in articulating settler colonialism without dialogue with Indigenous peoples,</w:t>
      </w:r>
      <w:r w:rsidRPr="00015112">
        <w:rPr>
          <w:sz w:val="12"/>
        </w:rPr>
        <w:t xml:space="preserve"> and take as its norm making this dialogue evident. In my view, it is critical that we not view settler colonial studies as a new or unique field being established, which would enact a discovery narrative and contribute to Indigenous erasure, but rather take a longer and broader view. </w:t>
      </w:r>
      <w:r w:rsidRPr="00015112">
        <w:rPr>
          <w:rStyle w:val="StyleUnderline"/>
        </w:rPr>
        <w:t>Indigenous oral and academic scholars are indeed the originators of this work. This space is not empty</w:t>
      </w:r>
      <w:r w:rsidRPr="00015112">
        <w:rPr>
          <w:sz w:val="12"/>
        </w:rPr>
        <w:t xml:space="preserve">. Of course, powerful forces of socialization and discipline impact scholars in the academy. There is much pressure to claim unique space, to establish a name for ourselves, and to make academic discoveries. I am suggesting that settler colonial studies and </w:t>
      </w:r>
      <w:r w:rsidRPr="00015112">
        <w:rPr>
          <w:rStyle w:val="StyleUnderline"/>
        </w:rPr>
        <w:t>anti-colonial scholars resist these hegemonic pressures and maintain a higher anti-colonial ethic.</w:t>
      </w:r>
      <w:r w:rsidRPr="00015112">
        <w:rPr>
          <w:sz w:val="12"/>
        </w:rPr>
        <w:t xml:space="preserve"> As has been argued, ‘</w:t>
      </w:r>
      <w:r w:rsidRPr="00015112">
        <w:rPr>
          <w:rStyle w:val="StyleUnderline"/>
        </w:rPr>
        <w:t>the theory itself places ethical demands on us as settlers, including the demand that we actively refuse its potential to re-empower our own academic voices and to marginalize Indigenous resistance’</w:t>
      </w:r>
      <w:r w:rsidRPr="00015112">
        <w:rPr>
          <w:sz w:val="12"/>
        </w:rPr>
        <w:t xml:space="preserve">.44 As settler scholars, we can reposition our work relationally and contextually with humi- lity and accountability. </w:t>
      </w:r>
      <w:r w:rsidRPr="00015112">
        <w:rPr>
          <w:rStyle w:val="StyleUnderline"/>
        </w:rPr>
        <w:t xml:space="preserve">We can centre Indigenous resistance, knowledges, </w:t>
      </w:r>
      <w:r w:rsidRPr="00015112">
        <w:rPr>
          <w:sz w:val="12"/>
        </w:rPr>
        <w:t>and scholarship</w:t>
      </w:r>
      <w:r w:rsidRPr="00015112">
        <w:rPr>
          <w:rStyle w:val="StyleUnderline"/>
        </w:rPr>
        <w:t xml:space="preserve"> in our work, and contextualize our work in Indigenous sovereignty. We can view oral Indigenous scholarship as legitimate scholarly sources. We can acknowledge explicitly and often the Indigenous traditions of resistance and scholarship that have taught us and pro- vided the foundations for our work. </w:t>
      </w:r>
      <w:r w:rsidRPr="00015112">
        <w:rPr>
          <w:rStyle w:val="Emphasis"/>
        </w:rPr>
        <w:t xml:space="preserve">If our work has no foundation of Indigenous scholarship </w:t>
      </w:r>
      <w:r w:rsidRPr="00015112">
        <w:rPr>
          <w:sz w:val="12"/>
        </w:rPr>
        <w:t>and mentorship, I believe</w:t>
      </w:r>
      <w:r w:rsidRPr="00015112">
        <w:rPr>
          <w:rStyle w:val="Emphasis"/>
        </w:rPr>
        <w:t xml:space="preserve"> our contributions to settler colonial studies are </w:t>
      </w:r>
      <w:r w:rsidRPr="00015112">
        <w:rPr>
          <w:sz w:val="12"/>
        </w:rPr>
        <w:t>even more</w:t>
      </w:r>
      <w:r w:rsidRPr="00015112">
        <w:rPr>
          <w:rStyle w:val="Emphasis"/>
        </w:rPr>
        <w:t xml:space="preserve"> deeply problematic.</w:t>
      </w:r>
    </w:p>
    <w:p w14:paraId="4B74941F" w14:textId="77777777" w:rsidR="006E1C64" w:rsidRPr="00015112" w:rsidRDefault="006E1C64" w:rsidP="006E1C64"/>
    <w:p w14:paraId="61C497B3" w14:textId="77777777" w:rsidR="006E1C64" w:rsidRPr="00015112" w:rsidRDefault="006E1C64" w:rsidP="006E1C64"/>
    <w:p w14:paraId="13596CB8" w14:textId="4235ED70" w:rsidR="00ED6DC1" w:rsidRPr="00015112" w:rsidRDefault="00ED6DC1" w:rsidP="00EC52FE">
      <w:pPr>
        <w:pStyle w:val="Heading3"/>
      </w:pPr>
      <w:r w:rsidRPr="00015112">
        <w:t xml:space="preserve">2NC – FW </w:t>
      </w:r>
      <w:r w:rsidR="007B374A" w:rsidRPr="00015112">
        <w:t>–</w:t>
      </w:r>
      <w:r w:rsidRPr="00015112">
        <w:t xml:space="preserve"> </w:t>
      </w:r>
      <w:r w:rsidR="007B374A" w:rsidRPr="00015112">
        <w:t>Plan Focus Bad – Tuck and Yang</w:t>
      </w:r>
    </w:p>
    <w:p w14:paraId="3A166121" w14:textId="376C504E" w:rsidR="007B374A" w:rsidRPr="00015112" w:rsidRDefault="007B374A" w:rsidP="007B374A">
      <w:pPr>
        <w:pStyle w:val="Heading4"/>
        <w:rPr>
          <w:rFonts w:cs="Times New Roman"/>
        </w:rPr>
      </w:pPr>
      <w:r w:rsidRPr="00015112">
        <w:rPr>
          <w:rFonts w:cs="Times New Roman"/>
        </w:rPr>
        <w:t>Plan focus and solution-oriented politics is a settler move to innocence that displaces culpability.</w:t>
      </w:r>
    </w:p>
    <w:p w14:paraId="07990B87" w14:textId="77777777" w:rsidR="007B374A" w:rsidRPr="00015112" w:rsidRDefault="007B374A" w:rsidP="007B374A">
      <w:pPr>
        <w:rPr>
          <w:rStyle w:val="Style13ptBold"/>
          <w:b w:val="0"/>
          <w:sz w:val="20"/>
        </w:rPr>
      </w:pPr>
      <w:r w:rsidRPr="00015112">
        <w:rPr>
          <w:rStyle w:val="Style13ptBold"/>
        </w:rPr>
        <w:t xml:space="preserve">Tuck and Yang 12 </w:t>
      </w:r>
      <w:r w:rsidRPr="00015112">
        <w:rPr>
          <w:rStyle w:val="Style13ptBold"/>
          <w:b w:val="0"/>
          <w:sz w:val="20"/>
        </w:rPr>
        <w:t xml:space="preserve">(Eve Tuck, Unangax, State University of New York at New Paltz K. Wayne Yang University of California, San Diego; “Decolonization is not a metaphor”; Decolonization: Indigeneity, Education &amp; Society; 2012; </w:t>
      </w:r>
      <w:hyperlink r:id="rId7" w:history="1">
        <w:r w:rsidRPr="00015112">
          <w:rPr>
            <w:rStyle w:val="Style13ptBold"/>
            <w:b w:val="0"/>
            <w:sz w:val="20"/>
          </w:rPr>
          <w:t>https://clas.osu.edu/sites/clas.osu.edu/files/Tuck%20and%20Yang%202012%20Decolonization%20is%20not%20a%20metaphor.pdf</w:t>
        </w:r>
      </w:hyperlink>
      <w:r w:rsidRPr="00015112">
        <w:rPr>
          <w:rStyle w:val="Style13ptBold"/>
          <w:b w:val="0"/>
          <w:sz w:val="20"/>
        </w:rPr>
        <w:t>; ERB)</w:t>
      </w:r>
    </w:p>
    <w:p w14:paraId="155BFA09" w14:textId="77777777" w:rsidR="007B374A" w:rsidRPr="00015112" w:rsidRDefault="007B374A" w:rsidP="007B374A">
      <w:pPr>
        <w:rPr>
          <w:sz w:val="16"/>
        </w:rPr>
      </w:pPr>
      <w:r w:rsidRPr="00015112">
        <w:rPr>
          <w:sz w:val="16"/>
        </w:rPr>
        <w:t xml:space="preserve">We observe that another component of a desire to play Indian is </w:t>
      </w:r>
      <w:r w:rsidRPr="00015112">
        <w:rPr>
          <w:rStyle w:val="StyleUnderline"/>
        </w:rPr>
        <w:t xml:space="preserve">a settler desire to be made innocent, to find some mercy or relief in face of the relentlessness of settler guilt and haunting </w:t>
      </w:r>
      <w:r w:rsidRPr="00015112">
        <w:rPr>
          <w:sz w:val="16"/>
        </w:rPr>
        <w:t xml:space="preserve">(see Tuck and Ree, forthcoming, on mercy and haunting). Directly and indirectly </w:t>
      </w:r>
      <w:r w:rsidRPr="00015112">
        <w:rPr>
          <w:rStyle w:val="StyleUnderline"/>
        </w:rPr>
        <w:t>benefitting from the erasure and assimilation of Indigenous peoples is a difficult reality for settlers to accept</w:t>
      </w:r>
      <w:r w:rsidRPr="00015112">
        <w:rPr>
          <w:sz w:val="16"/>
        </w:rPr>
        <w:t xml:space="preserve">. The weight of </w:t>
      </w:r>
      <w:r w:rsidRPr="00015112">
        <w:rPr>
          <w:rStyle w:val="StyleUnderline"/>
        </w:rPr>
        <w:t>this reality is uncomfortable</w:t>
      </w:r>
      <w:r w:rsidRPr="00015112">
        <w:rPr>
          <w:sz w:val="16"/>
        </w:rPr>
        <w:t xml:space="preserve">; the misery of guilt makes one hurry toward any reprieve. In her 1998 Master’s thesis, Janet Mawhinney analyzed the ways in which </w:t>
      </w:r>
      <w:r w:rsidRPr="00015112">
        <w:rPr>
          <w:rStyle w:val="StyleUnderline"/>
        </w:rPr>
        <w:t>white people maintained and (re)produced white privilege in self-defined anti-racist settings and organizations</w:t>
      </w:r>
      <w:r w:rsidRPr="00015112">
        <w:rPr>
          <w:sz w:val="16"/>
        </w:rPr>
        <w:t xml:space="preserve">.8 She examined the role of storytelling and self-confession - </w:t>
      </w:r>
      <w:r w:rsidRPr="00015112">
        <w:rPr>
          <w:rStyle w:val="StyleUnderline"/>
        </w:rPr>
        <w:t>which serves to equate stories of personal exclusion with stories of structural racism and exclusion</w:t>
      </w:r>
      <w:r w:rsidRPr="00015112">
        <w:rPr>
          <w:sz w:val="16"/>
        </w:rPr>
        <w:t xml:space="preserve"> - and </w:t>
      </w:r>
      <w:r w:rsidRPr="00015112">
        <w:rPr>
          <w:rStyle w:val="StyleUnderline"/>
        </w:rPr>
        <w:t>what she terms ‘moves to innocence,’ or “strategies to remove involvement in and culpability for systems of domination</w:t>
      </w:r>
      <w:r w:rsidRPr="00015112">
        <w:rPr>
          <w:sz w:val="16"/>
        </w:rPr>
        <w:t xml:space="preserve">” (p. 17). Mawhinney builds upon Mary Louise Fellows and Sherene Razack’s (1998) conceptualization of, ‘the race to innocence’, “the process through which a woman comes to believe her own claim of subordination is the most urgent, and that she is unimplicated in the subordination of other women” (p. 335). Mawhinney’s thesis theorizes </w:t>
      </w:r>
      <w:r w:rsidRPr="00015112">
        <w:rPr>
          <w:rStyle w:val="StyleUnderline"/>
        </w:rPr>
        <w:t>the self-positioning</w:t>
      </w:r>
      <w:r w:rsidRPr="00015112">
        <w:rPr>
          <w:sz w:val="16"/>
        </w:rPr>
        <w:t xml:space="preserve"> of white people </w:t>
      </w:r>
      <w:r w:rsidRPr="00015112">
        <w:rPr>
          <w:rStyle w:val="StyleUnderline"/>
        </w:rPr>
        <w:t>as</w:t>
      </w:r>
      <w:r w:rsidRPr="00015112">
        <w:rPr>
          <w:sz w:val="16"/>
        </w:rPr>
        <w:t xml:space="preserve"> simultaneously </w:t>
      </w:r>
      <w:r w:rsidRPr="00015112">
        <w:rPr>
          <w:rStyle w:val="StyleUnderline"/>
        </w:rPr>
        <w:t>the</w:t>
      </w:r>
      <w:r w:rsidRPr="00015112">
        <w:rPr>
          <w:sz w:val="16"/>
        </w:rPr>
        <w:t xml:space="preserve"> </w:t>
      </w:r>
      <w:r w:rsidRPr="00015112">
        <w:rPr>
          <w:rStyle w:val="StyleUnderline"/>
        </w:rPr>
        <w:t>oppressed and never an oppressor,</w:t>
      </w:r>
      <w:r w:rsidRPr="00015112">
        <w:rPr>
          <w:sz w:val="16"/>
        </w:rPr>
        <w:t xml:space="preserve"> and as having an absence of experience of oppressive power relations (p. 100). This simultaneous self-positioning afforded white people in various purportedly anti-racist settings to say to people of color, “I don’t experience the problems you do, so I don’t think about it,” and “tell me what to do, you’re the experts here” (p. 103). “The commonsense appeal of such statements,” Malwhinney observes, enables white speakers to “utter them sanguine in [their] appearance of equanimity, is rooted in the normalization of a liberal analysis of power relations” (ibid.). In the discussion that follows, we will do some work to identify and argue against a series of what we call ‘settler moves to innocence’. </w:t>
      </w:r>
      <w:r w:rsidRPr="00015112">
        <w:rPr>
          <w:rStyle w:val="Emphasis"/>
        </w:rPr>
        <w:t>Settler moves to innocence are those strategies or positionings that attempt to relieve the settler of feelings of guilt or responsibility without giving up land or power or privilege, without having to change much at all</w:t>
      </w:r>
      <w:r w:rsidRPr="00015112">
        <w:rPr>
          <w:sz w:val="16"/>
        </w:rPr>
        <w:t xml:space="preserve">. In fact, settler scholars may gain professional kudos or a boost in their reputations for being so sensitive or self-aware. Yet </w:t>
      </w:r>
      <w:r w:rsidRPr="00015112">
        <w:rPr>
          <w:rStyle w:val="StyleUnderline"/>
        </w:rPr>
        <w:t>settler moves to innocence are hollow, they only serve the settler</w:t>
      </w:r>
      <w:r w:rsidRPr="00015112">
        <w:rPr>
          <w:sz w:val="16"/>
        </w:rPr>
        <w:t xml:space="preserve">. This discussion will likely cause discomfort in our settler readers, may embarrass you/us or make us/you feel implicated. Because of the racialized flights and flows of settler colonial empire described above, settlers are diverse - there are white settlers and brown settlers, and peoples in both groups make moves to innocence that attempt to deny and deflect their own complicity in settler colonialism. When it makes sense to do so, we attend to moves to innocence enacted differently by white people and by brown and Black people. In describing settler moves to innocence, our goal is to provide a framework of excuses, distractions, and diversions from decolonization. We discuss some of the moves to innocence at greater length than others, mostly because some require less explanation and because others are more central to our initial argument for the demetaphorization of decolonization. </w:t>
      </w:r>
      <w:r w:rsidRPr="00015112">
        <w:rPr>
          <w:rStyle w:val="StyleUnderline"/>
        </w:rPr>
        <w:t xml:space="preserve">We provide this framework so that we can be </w:t>
      </w:r>
      <w:r w:rsidRPr="00015112">
        <w:rPr>
          <w:sz w:val="16"/>
        </w:rPr>
        <w:t xml:space="preserve">more impatient with each other, </w:t>
      </w:r>
      <w:r w:rsidRPr="00015112">
        <w:rPr>
          <w:rStyle w:val="StyleUnderline"/>
        </w:rPr>
        <w:t>less likely to accept gestures and half-steps, and more willing to press for acts which unsettle innocence</w:t>
      </w:r>
      <w:r w:rsidRPr="00015112">
        <w:rPr>
          <w:sz w:val="16"/>
        </w:rPr>
        <w:t>, which we discuss in the final section of this article.</w:t>
      </w:r>
    </w:p>
    <w:p w14:paraId="0493E365" w14:textId="77777777" w:rsidR="007B374A" w:rsidRPr="00015112" w:rsidRDefault="007B374A" w:rsidP="007B374A"/>
    <w:p w14:paraId="7860F14F" w14:textId="328C528A" w:rsidR="007B374A" w:rsidRPr="00015112" w:rsidRDefault="00CB1D9D" w:rsidP="00CB1D9D">
      <w:pPr>
        <w:pStyle w:val="Heading2"/>
      </w:pPr>
      <w:r w:rsidRPr="00015112">
        <w:t>Ontology</w:t>
      </w:r>
    </w:p>
    <w:p w14:paraId="072EC8E5" w14:textId="002DAE57" w:rsidR="00E9357B" w:rsidRPr="00015112" w:rsidRDefault="00E9357B" w:rsidP="00EC52FE">
      <w:pPr>
        <w:pStyle w:val="Heading3"/>
      </w:pPr>
      <w:r w:rsidRPr="00015112">
        <w:t>2NC – Ontology – Rifkin</w:t>
      </w:r>
    </w:p>
    <w:p w14:paraId="7385E5BE" w14:textId="77777777" w:rsidR="00E9357B" w:rsidRPr="00015112" w:rsidRDefault="00E9357B" w:rsidP="00E9357B">
      <w:pPr>
        <w:pStyle w:val="Heading4"/>
        <w:rPr>
          <w:rFonts w:cs="Times New Roman"/>
        </w:rPr>
      </w:pPr>
      <w:r w:rsidRPr="00015112">
        <w:rPr>
          <w:rFonts w:cs="Times New Roman"/>
        </w:rPr>
        <w:t xml:space="preserve">Settler invasion is </w:t>
      </w:r>
      <w:r w:rsidRPr="00015112">
        <w:rPr>
          <w:rStyle w:val="AnalyticEmphasisChar"/>
        </w:rPr>
        <w:t>not</w:t>
      </w:r>
      <w:r w:rsidRPr="00015112">
        <w:rPr>
          <w:rFonts w:cs="Times New Roman"/>
        </w:rPr>
        <w:t xml:space="preserve"> an event, but a </w:t>
      </w:r>
      <w:r w:rsidRPr="00015112">
        <w:rPr>
          <w:rStyle w:val="AnalyticEmphasisChar"/>
        </w:rPr>
        <w:t>structure</w:t>
      </w:r>
      <w:r w:rsidRPr="00015112">
        <w:rPr>
          <w:rFonts w:cs="Times New Roman"/>
        </w:rPr>
        <w:t xml:space="preserve"> of elimination that manifests itself in everyday iteration in modes of being and spatial inhabitance – all forms of political engagement necessitate indigenous land dispossession </w:t>
      </w:r>
    </w:p>
    <w:p w14:paraId="72CB9552" w14:textId="77777777" w:rsidR="00E9357B" w:rsidRPr="00015112" w:rsidRDefault="00E9357B" w:rsidP="00E9357B">
      <w:pPr>
        <w:rPr>
          <w:sz w:val="16"/>
          <w:szCs w:val="16"/>
        </w:rPr>
      </w:pPr>
      <w:r w:rsidRPr="00015112">
        <w:rPr>
          <w:rStyle w:val="Style13ptBold"/>
        </w:rPr>
        <w:t xml:space="preserve">Rifkin 14 </w:t>
      </w:r>
      <w:r w:rsidRPr="00015112">
        <w:t>– Associate Professor of English &amp; WGS @ UNC-Greensboro [Mark, ‘Settler Common Sense: Queerness and Everyday Colonialism in the American Renaissance,’ pp. 7-10] mp</w:t>
      </w:r>
    </w:p>
    <w:p w14:paraId="072C5737" w14:textId="77777777" w:rsidR="00E9357B" w:rsidRPr="00015112" w:rsidRDefault="00E9357B" w:rsidP="00E9357B">
      <w:pPr>
        <w:rPr>
          <w:sz w:val="16"/>
        </w:rPr>
      </w:pPr>
      <w:r w:rsidRPr="00015112">
        <w:rPr>
          <w:sz w:val="16"/>
        </w:rPr>
        <w:t xml:space="preserve">If nineteenth-century American literary studies tends to focus on the ways Indians enter the narrative frame and the kinds of meanings and associa- tions they bear, </w:t>
      </w:r>
      <w:r w:rsidRPr="00015112">
        <w:rPr>
          <w:rStyle w:val="StyleUnderline"/>
        </w:rPr>
        <w:t xml:space="preserve">recent attempts to theorize settler colonialism have sought to </w:t>
      </w:r>
      <w:r w:rsidRPr="00015112">
        <w:rPr>
          <w:rStyle w:val="Emphasis"/>
        </w:rPr>
        <w:t>shift attention from its effects on Indigenous subjects</w:t>
      </w:r>
      <w:r w:rsidRPr="00015112">
        <w:rPr>
          <w:rStyle w:val="StyleUnderline"/>
        </w:rPr>
        <w:t xml:space="preserve"> to its implications for </w:t>
      </w:r>
      <w:r w:rsidRPr="00015112">
        <w:rPr>
          <w:rStyle w:val="Emphasis"/>
        </w:rPr>
        <w:t>nonnative political attachments, forms of inhabitance, and modes of being</w:t>
      </w:r>
      <w:r w:rsidRPr="00015112">
        <w:rPr>
          <w:sz w:val="16"/>
        </w:rPr>
        <w:t xml:space="preserve">, illuminating and </w:t>
      </w:r>
      <w:r w:rsidRPr="00015112">
        <w:rPr>
          <w:rStyle w:val="StyleUnderline"/>
        </w:rPr>
        <w:t xml:space="preserve">tracking the </w:t>
      </w:r>
      <w:r w:rsidRPr="00015112">
        <w:rPr>
          <w:rStyle w:val="Emphasis"/>
        </w:rPr>
        <w:t>pervasive operation of settlement as a system</w:t>
      </w:r>
      <w:r w:rsidRPr="00015112">
        <w:rPr>
          <w:sz w:val="16"/>
        </w:rPr>
        <w:t>. In Settler Colonialism and the Transformation of Anthropology, Patrick Wolfe argues, “Settler colonies were (are) premised on the elimination of native societies. The split tensing reflects a determinate feature of settler colonization. The colonizers come to stay—</w:t>
      </w:r>
      <w:r w:rsidRPr="00015112">
        <w:rPr>
          <w:rStyle w:val="Emphasis"/>
        </w:rPr>
        <w:t>invasion is a structure not an event</w:t>
      </w:r>
      <w:r w:rsidRPr="00015112">
        <w:rPr>
          <w:sz w:val="16"/>
        </w:rPr>
        <w:t xml:space="preserve">” (2).6 He suggests that </w:t>
      </w:r>
      <w:r w:rsidRPr="00015112">
        <w:rPr>
          <w:rStyle w:val="StyleUnderline"/>
        </w:rPr>
        <w:t>a “logic of elimination” drives settler governance and sociality</w:t>
      </w:r>
      <w:r w:rsidRPr="00015112">
        <w:rPr>
          <w:sz w:val="16"/>
        </w:rPr>
        <w:t>, describing “</w:t>
      </w:r>
      <w:r w:rsidRPr="00015112">
        <w:rPr>
          <w:rStyle w:val="StyleUnderline"/>
        </w:rPr>
        <w:t>the settler-colonial will</w:t>
      </w:r>
      <w:r w:rsidRPr="00015112">
        <w:rPr>
          <w:sz w:val="16"/>
        </w:rPr>
        <w:t xml:space="preserve">” as “a historical force that </w:t>
      </w:r>
      <w:r w:rsidRPr="00015112">
        <w:rPr>
          <w:rStyle w:val="StyleUnderline"/>
        </w:rPr>
        <w:t>ultimately derives from the primal drive to expansion</w:t>
      </w:r>
      <w:r w:rsidRPr="00015112">
        <w:rPr>
          <w:sz w:val="16"/>
        </w:rPr>
        <w:t xml:space="preserve"> that is generally glossed as capitalism” (167), and in “Settler Colonialism and the Elimination of the Native,” he observes that “</w:t>
      </w:r>
      <w:r w:rsidRPr="00015112">
        <w:rPr>
          <w:rStyle w:val="StyleUnderline"/>
        </w:rPr>
        <w:t xml:space="preserve">elimination is an </w:t>
      </w:r>
      <w:r w:rsidRPr="00015112">
        <w:rPr>
          <w:rStyle w:val="Emphasis"/>
        </w:rPr>
        <w:t>organizing principle of settler-colonial society</w:t>
      </w:r>
      <w:r w:rsidRPr="00015112">
        <w:rPr>
          <w:rStyle w:val="StyleUnderline"/>
        </w:rPr>
        <w:t xml:space="preserve"> rather than a one-off (and superceded) occurrence</w:t>
      </w:r>
      <w:r w:rsidRPr="00015112">
        <w:rPr>
          <w:sz w:val="16"/>
        </w:rPr>
        <w:t>” (388). Rather than being superseded after an initial moment/ period of conquest, colonization persists since “</w:t>
      </w:r>
      <w:r w:rsidRPr="00015112">
        <w:rPr>
          <w:rStyle w:val="StyleUnderline"/>
        </w:rPr>
        <w:t xml:space="preserve">the logic of elimination marks a return whereby </w:t>
      </w:r>
      <w:r w:rsidRPr="00015112">
        <w:rPr>
          <w:rStyle w:val="Emphasis"/>
        </w:rPr>
        <w:t>the native repressed continues to structure settler- colonial society</w:t>
      </w:r>
      <w:r w:rsidRPr="00015112">
        <w:rPr>
          <w:sz w:val="16"/>
        </w:rPr>
        <w:t>” (390). In Aileen Moreton-Robinson’s work, whiteness func- tions as the central way of understanding the domination and displacement of Indigenous peoples by nonnatives.7 In “Writing Off Indigenous Sover- eignty,” she argues, “As a regime of power, patriarchal white sovereignty operates ideologically, materially and discursively to reproduce and main- tain its investment in the nation as a white possession” (88), and in “Writ- ing Off Treaties,” she suggests, “</w:t>
      </w:r>
      <w:r w:rsidRPr="00015112">
        <w:rPr>
          <w:rStyle w:val="Emphasis"/>
          <w:bCs/>
        </w:rPr>
        <w:t>At an ontological level the structure of subjective possession</w:t>
      </w:r>
      <w:r w:rsidRPr="00015112">
        <w:rPr>
          <w:rStyle w:val="StyleUnderline"/>
        </w:rPr>
        <w:t xml:space="preserve"> occurs through the imposition of one’s will-to-be on the thing which is perceived to lack will, thus it is </w:t>
      </w:r>
      <w:r w:rsidRPr="00015112">
        <w:rPr>
          <w:rStyle w:val="Emphasis"/>
        </w:rPr>
        <w:t>open to being possessed</w:t>
      </w:r>
      <w:r w:rsidRPr="00015112">
        <w:rPr>
          <w:sz w:val="16"/>
        </w:rPr>
        <w:t>,” such that “</w:t>
      </w:r>
      <w:r w:rsidRPr="00015112">
        <w:rPr>
          <w:rStyle w:val="StyleUnderline"/>
        </w:rPr>
        <w:t>possession . . . forms</w:t>
      </w:r>
      <w:r w:rsidRPr="00015112">
        <w:rPr>
          <w:sz w:val="16"/>
        </w:rPr>
        <w:t xml:space="preserve"> part of</w:t>
      </w:r>
      <w:r w:rsidRPr="00015112">
        <w:rPr>
          <w:rStyle w:val="StyleUnderline"/>
        </w:rPr>
        <w:t xml:space="preserve"> </w:t>
      </w:r>
      <w:r w:rsidRPr="00015112">
        <w:rPr>
          <w:rStyle w:val="Emphasis"/>
        </w:rPr>
        <w:t>the ontological structure</w:t>
      </w:r>
      <w:r w:rsidRPr="00015112">
        <w:rPr>
          <w:sz w:val="16"/>
          <w:szCs w:val="16"/>
        </w:rPr>
        <w:t xml:space="preserve"> of white subjectivity</w:t>
      </w:r>
      <w:r w:rsidRPr="00015112">
        <w:rPr>
          <w:sz w:val="16"/>
        </w:rPr>
        <w:t>” (83–84). For Jodi Byrd, the deployment of Indianness as a mobile figure works as the principal mode of U.S. settler colonialism. She observes that “</w:t>
      </w:r>
      <w:r w:rsidRPr="00015112">
        <w:rPr>
          <w:rStyle w:val="StyleUnderline"/>
        </w:rPr>
        <w:t xml:space="preserve">colonization and racialization . . . have </w:t>
      </w:r>
      <w:r w:rsidRPr="00015112">
        <w:rPr>
          <w:rStyle w:val="Emphasis"/>
        </w:rPr>
        <w:t>often been conflated</w:t>
      </w:r>
      <w:r w:rsidRPr="00015112">
        <w:rPr>
          <w:rStyle w:val="StyleUnderline"/>
        </w:rPr>
        <w:t>,” in ways that</w:t>
      </w:r>
      <w:r w:rsidRPr="00015112">
        <w:rPr>
          <w:sz w:val="16"/>
        </w:rPr>
        <w:t xml:space="preserve"> “tend to be sited along the axis of inclusion/exclusion” and that “</w:t>
      </w:r>
      <w:r w:rsidRPr="00015112">
        <w:rPr>
          <w:rStyle w:val="Emphasis"/>
        </w:rPr>
        <w:t>misdirect and cloud attention from the underlying structures of settler colonialism</w:t>
      </w:r>
      <w:r w:rsidRPr="00015112">
        <w:rPr>
          <w:sz w:val="16"/>
        </w:rPr>
        <w:t xml:space="preserve">” (xxiii, xvii). She argues that </w:t>
      </w:r>
      <w:r w:rsidRPr="00015112">
        <w:rPr>
          <w:rStyle w:val="StyleUnderline"/>
        </w:rPr>
        <w:t>settlement works through the translation of indigeneity as Indianness</w:t>
      </w:r>
      <w:r w:rsidRPr="00015112">
        <w:rPr>
          <w:sz w:val="16"/>
        </w:rPr>
        <w:t>, casting place-based political collec- tivities as (racialized) populations subject to U.S. jurisdiction and manage- ment: “</w:t>
      </w:r>
      <w:r w:rsidRPr="00015112">
        <w:rPr>
          <w:rStyle w:val="StyleUnderline"/>
        </w:rPr>
        <w:t>the Indian is left nowhere and everywhere within the ontological premises through which U.S. empire orients</w:t>
      </w:r>
      <w:r w:rsidRPr="00015112">
        <w:rPr>
          <w:sz w:val="16"/>
        </w:rPr>
        <w:t xml:space="preserve">, imagines, and critiques </w:t>
      </w:r>
      <w:r w:rsidRPr="00015112">
        <w:rPr>
          <w:rStyle w:val="StyleUnderline"/>
        </w:rPr>
        <w:t>itself</w:t>
      </w:r>
      <w:r w:rsidRPr="00015112">
        <w:rPr>
          <w:sz w:val="16"/>
        </w:rPr>
        <w:t xml:space="preserve"> ”; “</w:t>
      </w:r>
      <w:r w:rsidRPr="00015112">
        <w:rPr>
          <w:rStyle w:val="StyleUnderline"/>
        </w:rPr>
        <w:t>ideas of</w:t>
      </w:r>
      <w:r w:rsidRPr="00015112">
        <w:rPr>
          <w:sz w:val="16"/>
        </w:rPr>
        <w:t xml:space="preserve"> Indians and </w:t>
      </w:r>
      <w:r w:rsidRPr="00015112">
        <w:rPr>
          <w:rStyle w:val="StyleUnderline"/>
        </w:rPr>
        <w:t xml:space="preserve">Indianness have served as </w:t>
      </w:r>
      <w:r w:rsidRPr="00015112">
        <w:rPr>
          <w:rStyle w:val="Emphasis"/>
          <w:bCs/>
        </w:rPr>
        <w:t>the ontological ground through which U.S. settler colonialism enacts itself</w:t>
      </w:r>
      <w:r w:rsidRPr="00015112">
        <w:rPr>
          <w:rStyle w:val="Emphasis"/>
        </w:rPr>
        <w:t xml:space="preserve"> </w:t>
      </w:r>
      <w:r w:rsidRPr="00015112">
        <w:rPr>
          <w:sz w:val="16"/>
        </w:rPr>
        <w:t>” (xix).</w:t>
      </w:r>
    </w:p>
    <w:p w14:paraId="4B1A8629" w14:textId="77777777" w:rsidR="00E9357B" w:rsidRPr="00015112" w:rsidRDefault="00E9357B" w:rsidP="00E9357B"/>
    <w:p w14:paraId="5399C10A" w14:textId="77777777" w:rsidR="00E9357B" w:rsidRPr="00015112" w:rsidRDefault="00E9357B" w:rsidP="00E9357B"/>
    <w:p w14:paraId="081DC54A" w14:textId="77777777" w:rsidR="002B3CD5" w:rsidRPr="00015112" w:rsidRDefault="002B3CD5" w:rsidP="002B3CD5">
      <w:pPr>
        <w:pStyle w:val="Heading2"/>
      </w:pPr>
      <w:r w:rsidRPr="00015112">
        <w:t>Link</w:t>
      </w:r>
    </w:p>
    <w:p w14:paraId="79265729" w14:textId="77777777" w:rsidR="002B3CD5" w:rsidRPr="00015112" w:rsidRDefault="002B3CD5" w:rsidP="002B3CD5">
      <w:pPr>
        <w:pStyle w:val="Heading3"/>
      </w:pPr>
      <w:r w:rsidRPr="00015112">
        <w:t>1NC – L – Economy – Byrd</w:t>
      </w:r>
    </w:p>
    <w:p w14:paraId="4EEAB156" w14:textId="77777777" w:rsidR="002B3CD5" w:rsidRPr="00015112" w:rsidRDefault="002B3CD5" w:rsidP="002B3CD5">
      <w:pPr>
        <w:pStyle w:val="Heading4"/>
      </w:pPr>
      <w:r w:rsidRPr="00015112">
        <w:t xml:space="preserve">The affirmation of systems of valuation and financial institutions requires the fungibilization of black flesh and the clearing of red flesh to be rendered coherent – proporiation is always already unethical </w:t>
      </w:r>
    </w:p>
    <w:p w14:paraId="1CA20A62" w14:textId="77777777" w:rsidR="002B3CD5" w:rsidRPr="00015112" w:rsidRDefault="002B3CD5" w:rsidP="002B3CD5">
      <w:r w:rsidRPr="00015112">
        <w:rPr>
          <w:rStyle w:val="Style13ptBold"/>
        </w:rPr>
        <w:t>Byrd et al 18</w:t>
      </w:r>
      <w:r w:rsidRPr="00015112">
        <w:t xml:space="preserve">. Jodi A. Byrd is a citizen of the Chickasaw Nation of Oklahoma and associate professor of English and Gender and Women's Studies at the University of Illinois; Alyosha Goldstein is Associate Professor of American Studies at the University of New Mexico; Jodi Melamed is associate professor of English and Africana Studies at Marquette University; Chandan Reddy is an Associate Professor in the Department of Computer Science at Virginia Tech [“Predatory Value: Economies of Dispossession and Disturbed Relationalities,” 2018, </w:t>
      </w:r>
      <w:r w:rsidRPr="00015112">
        <w:rPr>
          <w:i/>
        </w:rPr>
        <w:t>Duke University Press</w:t>
      </w:r>
      <w:r w:rsidRPr="00015112">
        <w:t>, DOI: 10.1215/01642472-4362325]//vikas</w:t>
      </w:r>
    </w:p>
    <w:p w14:paraId="0F7518C9" w14:textId="77777777" w:rsidR="002B3CD5" w:rsidRPr="00015112" w:rsidRDefault="002B3CD5" w:rsidP="002B3CD5">
      <w:pPr>
        <w:rPr>
          <w:sz w:val="14"/>
        </w:rPr>
      </w:pPr>
      <w:r w:rsidRPr="00015112">
        <w:rPr>
          <w:b/>
          <w:u w:val="single"/>
        </w:rPr>
        <w:t>Financialization, debt, and the accelerated concentration of wealth today work through</w:t>
      </w:r>
      <w:r w:rsidRPr="00015112">
        <w:rPr>
          <w:sz w:val="14"/>
        </w:rPr>
        <w:t xml:space="preserve"> social </w:t>
      </w:r>
      <w:r w:rsidRPr="00015112">
        <w:rPr>
          <w:b/>
          <w:u w:val="single"/>
        </w:rPr>
        <w:t>relations</w:t>
      </w:r>
      <w:r w:rsidRPr="00015112">
        <w:rPr>
          <w:sz w:val="14"/>
        </w:rPr>
        <w:t xml:space="preserve"> already </w:t>
      </w:r>
      <w:r w:rsidRPr="00015112">
        <w:rPr>
          <w:b/>
          <w:u w:val="single"/>
        </w:rPr>
        <w:t>configured and disposed by imperial conquest and racial capitalism.</w:t>
      </w:r>
      <w:r w:rsidRPr="00015112">
        <w:rPr>
          <w:sz w:val="14"/>
        </w:rPr>
        <w:t xml:space="preserve"> In the Americas broadly and the United States specifically, </w:t>
      </w:r>
      <w:r w:rsidRPr="00015112">
        <w:rPr>
          <w:rStyle w:val="Emphasis"/>
        </w:rPr>
        <w:t>colonization and transatlantic slavery set in motion the dynamics and differential racialized valuations that continue to underwrite particular forms of subjection, property, commerce, and territoriality</w:t>
      </w:r>
      <w:r w:rsidRPr="00015112">
        <w:rPr>
          <w:sz w:val="14"/>
        </w:rPr>
        <w:t xml:space="preserve">. Racialization and racism further colonial dispossession just </w:t>
      </w:r>
      <w:r w:rsidRPr="00015112">
        <w:rPr>
          <w:b/>
          <w:u w:val="single"/>
        </w:rPr>
        <w:t>as the colonization of Indigenous peoples</w:t>
      </w:r>
      <w:r w:rsidRPr="00015112">
        <w:rPr>
          <w:sz w:val="14"/>
        </w:rPr>
        <w:t xml:space="preserve"> and those subjected to colonial rule contribute to the specific conditions and practices through which racialized subordination are enacted. </w:t>
      </w:r>
      <w:r w:rsidRPr="00015112">
        <w:rPr>
          <w:rStyle w:val="Emphasis"/>
        </w:rPr>
        <w:t>Racialization</w:t>
      </w:r>
      <w:r w:rsidRPr="00015112">
        <w:rPr>
          <w:sz w:val="14"/>
        </w:rPr>
        <w:t>—</w:t>
      </w:r>
      <w:r w:rsidRPr="00015112">
        <w:rPr>
          <w:rStyle w:val="Emphasis"/>
        </w:rPr>
        <w:t>manifesting in systemic and everyday forms of devaluation, exploitation, and expendability, as well as</w:t>
      </w:r>
      <w:r w:rsidRPr="00015112">
        <w:rPr>
          <w:sz w:val="14"/>
        </w:rPr>
        <w:t xml:space="preserve"> the violence of </w:t>
      </w:r>
      <w:r w:rsidRPr="00015112">
        <w:rPr>
          <w:rStyle w:val="Emphasis"/>
        </w:rPr>
        <w:t>racial terror and carceral regimes</w:t>
      </w:r>
      <w:r w:rsidRPr="00015112">
        <w:rPr>
          <w:sz w:val="14"/>
        </w:rPr>
        <w:t>—</w:t>
      </w:r>
      <w:r w:rsidRPr="00015112">
        <w:rPr>
          <w:b/>
          <w:u w:val="single"/>
        </w:rPr>
        <w:t xml:space="preserve">and ongoing colonial modes of settlement, occupation, governmentality, and jurisprudence </w:t>
      </w:r>
      <w:r w:rsidRPr="00015112">
        <w:rPr>
          <w:sz w:val="14"/>
        </w:rPr>
        <w:t xml:space="preserve">work in tandem with more capacious forms of US global militarism and empire. This special issue of Social Text examines these entanglements in conversation with Indigenous critical theory and Black and critical ethnic studies scholars whose work seeks to reframe the contemporary moment of predatory accumulation through the deeper temporalizations of colonization, settlement, and racialization. In this special issue, each of the articles offers ways to understand the tensions, reciprocities, and conflations among racialization and colonization as intersecting through contemporary conditions of dispossession. Dispossession is an insatiable predatory relation that entails a specific manner of world making that is at once predicated on and generative of a dialectic of biopolitical sorting, a division of what Denise Ferreira da Silva describes as transparency versus affectability and Elizabeth Povinelli calls the autological subject versus genealogical society.1 We take the United States as a shared site of reference not because it is exceptional with regard to the topics at hand but because it offers one salient geopolitical juncture around which the accumulated violence of colonial and racialized appropriation and contestation accrue present-day significance and circulation. Although not exceptional, the United States and the scope of its imperial formations are especially useful for addressing the specificities of how and why colonialism and racial capitalism have been historically co-constitutive and are of necessity together confronted by Indigenous peoples and the racially subordinated. </w:t>
      </w:r>
      <w:r w:rsidRPr="00015112">
        <w:rPr>
          <w:b/>
          <w:u w:val="single"/>
        </w:rPr>
        <w:t>By economies of dispossession we mean</w:t>
      </w:r>
      <w:r w:rsidRPr="00015112">
        <w:rPr>
          <w:sz w:val="14"/>
        </w:rPr>
        <w:t xml:space="preserve"> those multiple and </w:t>
      </w:r>
      <w:r w:rsidRPr="00015112">
        <w:rPr>
          <w:b/>
          <w:u w:val="single"/>
        </w:rPr>
        <w:t>intertwined genealogies of racialized property, subjection, and expropriation through which capitalism and colonialism take shape historically and change</w:t>
      </w:r>
      <w:r w:rsidRPr="00015112">
        <w:rPr>
          <w:sz w:val="14"/>
        </w:rPr>
        <w:t xml:space="preserve"> over time. Economies in the plural here indicates both </w:t>
      </w:r>
      <w:r w:rsidRPr="00015112">
        <w:rPr>
          <w:b/>
          <w:u w:val="single"/>
        </w:rPr>
        <w:t>the economic as a particular kind of material fulcrum</w:t>
      </w:r>
      <w:r w:rsidRPr="00015112">
        <w:rPr>
          <w:sz w:val="14"/>
        </w:rPr>
        <w:t>—a mode and relations of production, distribution, consumption, and reproduction with all this entails—</w:t>
      </w:r>
      <w:r w:rsidRPr="00015112">
        <w:rPr>
          <w:b/>
          <w:u w:val="single"/>
        </w:rPr>
        <w:t>and economy as a specific systemic organization or logic of circuits of interaction and exchange.</w:t>
      </w:r>
      <w:r w:rsidRPr="00015112">
        <w:rPr>
          <w:sz w:val="14"/>
        </w:rPr>
        <w:t xml:space="preserve"> Our intention is to problematize the ways in which dispossession is conventionally treated as a self-evident and circumscribed practice of unjust taking and subtractive action. As we further elaborate in this essay, the concept of economies of dispossession differs from David Harvey’s notion of “accumulation by dispossession” in a number of important ways, perhaps most significantly because of how </w:t>
      </w:r>
      <w:r w:rsidRPr="00015112">
        <w:rPr>
          <w:b/>
          <w:u w:val="single"/>
        </w:rPr>
        <w:t>this analytic underscores the</w:t>
      </w:r>
      <w:r w:rsidRPr="00015112">
        <w:rPr>
          <w:sz w:val="14"/>
        </w:rPr>
        <w:t xml:space="preserve"> constitutive and </w:t>
      </w:r>
      <w:r w:rsidRPr="00015112">
        <w:rPr>
          <w:rStyle w:val="Emphasis"/>
        </w:rPr>
        <w:t>continuing role of</w:t>
      </w:r>
      <w:r w:rsidRPr="00015112">
        <w:rPr>
          <w:sz w:val="14"/>
        </w:rPr>
        <w:t xml:space="preserve"> both </w:t>
      </w:r>
      <w:r w:rsidRPr="00015112">
        <w:rPr>
          <w:rStyle w:val="Emphasis"/>
        </w:rPr>
        <w:t>colonization and racialization for capitalism.</w:t>
      </w:r>
      <w:r w:rsidRPr="00015112">
        <w:rPr>
          <w:sz w:val="14"/>
        </w:rPr>
        <w:t xml:space="preserve">2 </w:t>
      </w:r>
      <w:r w:rsidRPr="00015112">
        <w:rPr>
          <w:rStyle w:val="Emphasis"/>
        </w:rPr>
        <w:t>Colonization and</w:t>
      </w:r>
      <w:r w:rsidRPr="00015112">
        <w:rPr>
          <w:b/>
          <w:u w:val="single"/>
        </w:rPr>
        <w:t xml:space="preserve"> the </w:t>
      </w:r>
      <w:r w:rsidRPr="00015112">
        <w:rPr>
          <w:rStyle w:val="Emphasis"/>
        </w:rPr>
        <w:t>economies of racial subjection serve as conditions of possibility</w:t>
      </w:r>
      <w:r w:rsidRPr="00015112">
        <w:rPr>
          <w:sz w:val="14"/>
        </w:rPr>
        <w:t xml:space="preserve"> in the United States </w:t>
      </w:r>
      <w:r w:rsidRPr="00015112">
        <w:rPr>
          <w:rStyle w:val="Emphasis"/>
        </w:rPr>
        <w:t>for</w:t>
      </w:r>
      <w:r w:rsidRPr="00015112">
        <w:rPr>
          <w:b/>
          <w:u w:val="single"/>
        </w:rPr>
        <w:t xml:space="preserve"> the ways in which </w:t>
      </w:r>
      <w:r w:rsidRPr="00015112">
        <w:rPr>
          <w:rStyle w:val="Emphasis"/>
        </w:rPr>
        <w:t>financial institutions and land and market speculators</w:t>
      </w:r>
      <w:r w:rsidRPr="00015112">
        <w:rPr>
          <w:b/>
          <w:u w:val="single"/>
        </w:rPr>
        <w:t xml:space="preserve"> have </w:t>
      </w:r>
      <w:r w:rsidRPr="00015112">
        <w:rPr>
          <w:rStyle w:val="Emphasis"/>
        </w:rPr>
        <w:t>produced and profited from</w:t>
      </w:r>
      <w:r w:rsidRPr="00015112">
        <w:rPr>
          <w:sz w:val="14"/>
        </w:rPr>
        <w:t xml:space="preserve"> those most </w:t>
      </w:r>
      <w:r w:rsidRPr="00015112">
        <w:rPr>
          <w:rStyle w:val="Emphasis"/>
        </w:rPr>
        <w:t>economically disenfranchised.</w:t>
      </w:r>
      <w:r w:rsidRPr="00015112">
        <w:rPr>
          <w:sz w:val="14"/>
        </w:rPr>
        <w:t xml:space="preserve"> Imperialism provides the vectors of economic speculation and </w:t>
      </w:r>
      <w:r w:rsidRPr="00015112">
        <w:rPr>
          <w:rStyle w:val="Emphasis"/>
        </w:rPr>
        <w:t>the enmeshment of administrative, plantation, and multiple colonial formations</w:t>
      </w:r>
      <w:r w:rsidRPr="00015112">
        <w:rPr>
          <w:sz w:val="14"/>
        </w:rPr>
        <w:t xml:space="preserve"> that have </w:t>
      </w:r>
      <w:r w:rsidRPr="00015112">
        <w:rPr>
          <w:rStyle w:val="Emphasis"/>
        </w:rPr>
        <w:t>underpinned the rise of the world economy.</w:t>
      </w:r>
      <w:r w:rsidRPr="00015112">
        <w:rPr>
          <w:sz w:val="14"/>
        </w:rPr>
        <w:t xml:space="preserve"> </w:t>
      </w:r>
      <w:r w:rsidRPr="00015112">
        <w:rPr>
          <w:b/>
          <w:u w:val="single"/>
        </w:rPr>
        <w:t>It is precisely in this overdetermined configuration of dispossession that</w:t>
      </w:r>
      <w:r w:rsidRPr="00015112">
        <w:rPr>
          <w:sz w:val="14"/>
        </w:rPr>
        <w:t xml:space="preserve"> the </w:t>
      </w:r>
      <w:r w:rsidRPr="00015112">
        <w:rPr>
          <w:b/>
          <w:u w:val="single"/>
        </w:rPr>
        <w:t>speculative and crony capitalist expropriations of the crisis this time have accelerated.</w:t>
      </w:r>
      <w:r w:rsidRPr="00015112">
        <w:rPr>
          <w:sz w:val="14"/>
        </w:rPr>
        <w:t xml:space="preserve"> </w:t>
      </w:r>
      <w:r w:rsidRPr="00015112">
        <w:rPr>
          <w:rStyle w:val="Emphasis"/>
        </w:rPr>
        <w:t>As the US imperial nation-state adjudicates itself through an economy of inclusion intended to signify “debts paid,” Indigenous dispossession continues</w:t>
      </w:r>
      <w:r w:rsidRPr="00015112">
        <w:rPr>
          <w:sz w:val="14"/>
        </w:rPr>
        <w:t xml:space="preserve"> unabated </w:t>
      </w:r>
      <w:r w:rsidRPr="00015112">
        <w:rPr>
          <w:rStyle w:val="Emphasis"/>
        </w:rPr>
        <w:t>to provide the logics that order power, violence, accumulation, and belonging for all those who find themselves on lands stripped from Indigenous peoples.</w:t>
      </w:r>
      <w:r w:rsidRPr="00015112">
        <w:rPr>
          <w:sz w:val="14"/>
        </w:rPr>
        <w:t xml:space="preserve"> Debt and financialization continue to constellate the subordinated social relations that are constitutive of late liberalism and how “race” itself is deployed to obscure the lasting ethical and material indebtedness settlers and arrivants have to Indigenous dispossession. Not only has land made territory made property in this sense provided the foundational relations of colonial accumulation and profit, but dispossession has also remained a perpetually incomplete project that continues to strive toward conforming and confirming these terms of value and belonging. </w:t>
      </w:r>
      <w:r w:rsidRPr="00015112">
        <w:rPr>
          <w:b/>
          <w:u w:val="single"/>
        </w:rPr>
        <w:t xml:space="preserve">Among our primary contentions is that </w:t>
      </w:r>
      <w:r w:rsidRPr="00015112">
        <w:rPr>
          <w:rStyle w:val="Emphasis"/>
        </w:rPr>
        <w:t>capitalism is not only constitutively racial capitalism but also</w:t>
      </w:r>
      <w:r w:rsidRPr="00015112">
        <w:rPr>
          <w:sz w:val="14"/>
        </w:rPr>
        <w:t xml:space="preserve">, likewise, </w:t>
      </w:r>
      <w:r w:rsidRPr="00015112">
        <w:rPr>
          <w:rStyle w:val="Emphasis"/>
        </w:rPr>
        <w:t>a way of hierarchically organizing and disposing social life predicated on and operationalized through empire and colonialism as a counterformation to Indigenous peoples</w:t>
      </w:r>
      <w:r w:rsidRPr="00015112">
        <w:t xml:space="preserve"> </w:t>
      </w:r>
      <w:r w:rsidRPr="00015112">
        <w:rPr>
          <w:sz w:val="14"/>
          <w:szCs w:val="14"/>
        </w:rPr>
        <w:t xml:space="preserve">and the recalcitrance of racialized lives that refuse and exceed its totalizing aspiration. </w:t>
      </w:r>
      <w:r w:rsidRPr="00015112">
        <w:rPr>
          <w:sz w:val="14"/>
        </w:rPr>
        <w:t xml:space="preserve">We argue that </w:t>
      </w:r>
      <w:r w:rsidRPr="00015112">
        <w:rPr>
          <w:rStyle w:val="Emphasis"/>
        </w:rPr>
        <w:t>dispossession</w:t>
      </w:r>
      <w:r w:rsidRPr="00015112">
        <w:rPr>
          <w:b/>
          <w:u w:val="single"/>
        </w:rPr>
        <w:t xml:space="preserve"> not only </w:t>
      </w:r>
      <w:r w:rsidRPr="00015112">
        <w:rPr>
          <w:rStyle w:val="Emphasis"/>
        </w:rPr>
        <w:t>presupposes</w:t>
      </w:r>
      <w:r w:rsidRPr="00015112">
        <w:rPr>
          <w:b/>
          <w:u w:val="single"/>
        </w:rPr>
        <w:t xml:space="preserve"> and configures </w:t>
      </w:r>
      <w:r w:rsidRPr="00015112">
        <w:rPr>
          <w:rStyle w:val="Emphasis"/>
        </w:rPr>
        <w:t>possession</w:t>
      </w:r>
      <w:r w:rsidRPr="00015112">
        <w:rPr>
          <w:b/>
          <w:u w:val="single"/>
        </w:rPr>
        <w:t xml:space="preserve"> itself </w:t>
      </w:r>
      <w:r w:rsidRPr="00015112">
        <w:rPr>
          <w:rStyle w:val="Emphasis"/>
        </w:rPr>
        <w:t>but also is a relation of taking and violence that works</w:t>
      </w:r>
      <w:r w:rsidRPr="00015112">
        <w:rPr>
          <w:b/>
          <w:u w:val="single"/>
        </w:rPr>
        <w:t xml:space="preserve"> at once </w:t>
      </w:r>
      <w:r w:rsidRPr="00015112">
        <w:rPr>
          <w:rStyle w:val="Emphasis"/>
        </w:rPr>
        <w:t>to produce and delimit subjectivation, property, and value.</w:t>
      </w:r>
      <w:r w:rsidRPr="00015112">
        <w:rPr>
          <w:sz w:val="14"/>
        </w:rPr>
        <w:t xml:space="preserve"> Because of the ways in which various iterations of liberal capitalism have historically conceived of personhood in terms of the property relation, dispossession in this sense is an ontological proposition. Colonization, Indigeneity, racialization, and chattel slavery and its afterlives, along with the heteropatriarchal household economy, are among the primary conditions of possibility for this proposition. Economies of dispossession variously addressed in this special issue are organized around logics of “propriation” as the pivot of appropriation and expropriation. </w:t>
      </w:r>
      <w:r w:rsidRPr="00015112">
        <w:rPr>
          <w:rStyle w:val="Emphasis"/>
        </w:rPr>
        <w:t>Propriation is a conception</w:t>
      </w:r>
      <w:r w:rsidRPr="00015112">
        <w:rPr>
          <w:sz w:val="14"/>
        </w:rPr>
        <w:t xml:space="preserve"> </w:t>
      </w:r>
      <w:r w:rsidRPr="00015112">
        <w:rPr>
          <w:b/>
          <w:u w:val="single"/>
        </w:rPr>
        <w:t>and practice of</w:t>
      </w:r>
      <w:r w:rsidRPr="00015112">
        <w:rPr>
          <w:sz w:val="14"/>
        </w:rPr>
        <w:t xml:space="preserve"> the </w:t>
      </w:r>
      <w:r w:rsidRPr="00015112">
        <w:rPr>
          <w:rStyle w:val="Emphasis"/>
        </w:rPr>
        <w:t>proper, propriety, proprietorship, and proprietary claims that instantiates property as a relation</w:t>
      </w:r>
      <w:r w:rsidRPr="00015112">
        <w:rPr>
          <w:sz w:val="14"/>
        </w:rPr>
        <w:t xml:space="preserve"> to private and public. </w:t>
      </w:r>
      <w:r w:rsidRPr="00015112">
        <w:rPr>
          <w:rStyle w:val="Emphasis"/>
        </w:rPr>
        <w:t>Propriation suggests a double movement of making one’s own and making one proper to or properly oneself.</w:t>
      </w:r>
      <w:r w:rsidRPr="00015112">
        <w:rPr>
          <w:sz w:val="14"/>
        </w:rPr>
        <w:t xml:space="preserve">3 </w:t>
      </w:r>
      <w:r w:rsidRPr="00015112">
        <w:rPr>
          <w:rStyle w:val="Emphasis"/>
        </w:rPr>
        <w:t>It is a supposition of civilization and civility.</w:t>
      </w:r>
      <w:r w:rsidRPr="00015112">
        <w:rPr>
          <w:sz w:val="14"/>
        </w:rPr>
        <w:t xml:space="preserve"> </w:t>
      </w:r>
      <w:r w:rsidRPr="00015112">
        <w:rPr>
          <w:b/>
          <w:u w:val="single"/>
        </w:rPr>
        <w:t>In feudalist Europe the property relation was fundamental to the maintenance of</w:t>
      </w:r>
      <w:r w:rsidRPr="00015112">
        <w:rPr>
          <w:sz w:val="14"/>
        </w:rPr>
        <w:t xml:space="preserve"> ostensibly proper </w:t>
      </w:r>
      <w:r w:rsidRPr="00015112">
        <w:rPr>
          <w:b/>
          <w:u w:val="single"/>
        </w:rPr>
        <w:t>social hierarchies.</w:t>
      </w:r>
      <w:r w:rsidRPr="00015112">
        <w:rPr>
          <w:sz w:val="14"/>
        </w:rPr>
        <w:t xml:space="preserve"> Subsequently, the ascendance of bourgeois liberalism made property ownership constitutive for privacy and personhood. Under feudalism property was commonly understood as “properly” consisting “in whatever resources one needed to do one’s part in keeping good order.”4 Liberal thought emphasized ownership in oneself and private property as a freely alienable commodity as essential to individual freedom and self-determination. Yet, property as a means to privacy and autonomy and private property as foundational to the propriety of social order have been neither chronologically distinct nor mutually exclusive. In this regard, Jacques Derrida theorizes propriation through a reading of Martin Heidegger’s linking “the question of being to the question of the property [propre]” and an analysis of sexual difference.5 The logic of propriation instantiated through dis/possession works in tandem with the production of colonial, racial, gender, and sexual categories that change over time. And indeed, </w:t>
      </w:r>
      <w:r w:rsidRPr="00015112">
        <w:rPr>
          <w:b/>
          <w:u w:val="single"/>
        </w:rPr>
        <w:t>as a normative practice that strives to conform legible sexual difference</w:t>
      </w:r>
      <w:r w:rsidRPr="00015112">
        <w:rPr>
          <w:sz w:val="14"/>
        </w:rPr>
        <w:t xml:space="preserve">, the </w:t>
      </w:r>
      <w:r w:rsidRPr="00015112">
        <w:rPr>
          <w:rStyle w:val="Emphasis"/>
        </w:rPr>
        <w:t>human and nonhuman</w:t>
      </w:r>
      <w:r w:rsidRPr="00015112">
        <w:rPr>
          <w:sz w:val="14"/>
        </w:rPr>
        <w:t xml:space="preserve">, </w:t>
      </w:r>
      <w:r w:rsidRPr="00015112">
        <w:rPr>
          <w:rStyle w:val="Emphasis"/>
        </w:rPr>
        <w:t>savage and civilized</w:t>
      </w:r>
      <w:r w:rsidRPr="00015112">
        <w:rPr>
          <w:sz w:val="14"/>
        </w:rPr>
        <w:t xml:space="preserve">, </w:t>
      </w:r>
      <w:r w:rsidRPr="00015112">
        <w:rPr>
          <w:rStyle w:val="Emphasis"/>
        </w:rPr>
        <w:t>public and private</w:t>
      </w:r>
      <w:r w:rsidRPr="00015112">
        <w:rPr>
          <w:sz w:val="14"/>
        </w:rPr>
        <w:t xml:space="preserve">, </w:t>
      </w:r>
      <w:r w:rsidRPr="00015112">
        <w:rPr>
          <w:rStyle w:val="Emphasis"/>
        </w:rPr>
        <w:t>inside and outside</w:t>
      </w:r>
      <w:r w:rsidRPr="00015112">
        <w:rPr>
          <w:sz w:val="14"/>
        </w:rPr>
        <w:t xml:space="preserve">, </w:t>
      </w:r>
      <w:r w:rsidRPr="00015112">
        <w:rPr>
          <w:b/>
          <w:u w:val="single"/>
        </w:rPr>
        <w:t xml:space="preserve">propriation </w:t>
      </w:r>
      <w:r w:rsidRPr="00015112">
        <w:rPr>
          <w:rStyle w:val="Emphasis"/>
        </w:rPr>
        <w:t>conforms bodies, land, and material and immaterial</w:t>
      </w:r>
      <w:r w:rsidRPr="00015112">
        <w:rPr>
          <w:b/>
          <w:u w:val="single"/>
        </w:rPr>
        <w:t xml:space="preserve"> “objects”</w:t>
      </w:r>
      <w:r w:rsidRPr="00015112">
        <w:rPr>
          <w:sz w:val="14"/>
        </w:rPr>
        <w:t xml:space="preserve"> or objectives </w:t>
      </w:r>
      <w:r w:rsidRPr="00015112">
        <w:rPr>
          <w:rStyle w:val="Emphasis"/>
        </w:rPr>
        <w:t>in an especially predatory and violent manner.</w:t>
      </w:r>
      <w:r w:rsidRPr="00015112">
        <w:rPr>
          <w:sz w:val="14"/>
        </w:rPr>
        <w:t xml:space="preserve">6 The sexualized and gendered </w:t>
      </w:r>
      <w:r w:rsidRPr="00015112">
        <w:rPr>
          <w:b/>
          <w:u w:val="single"/>
        </w:rPr>
        <w:t>logics of conquest</w:t>
      </w:r>
      <w:r w:rsidRPr="00015112">
        <w:rPr>
          <w:sz w:val="14"/>
        </w:rPr>
        <w:t xml:space="preserve"> in the so-called new world </w:t>
      </w:r>
      <w:r w:rsidRPr="00015112">
        <w:rPr>
          <w:b/>
          <w:u w:val="single"/>
        </w:rPr>
        <w:t>and transatlantic</w:t>
      </w:r>
      <w:r w:rsidRPr="00015112">
        <w:rPr>
          <w:sz w:val="14"/>
        </w:rPr>
        <w:t xml:space="preserve"> slavery in this sense </w:t>
      </w:r>
      <w:r w:rsidRPr="00015112">
        <w:rPr>
          <w:rStyle w:val="Emphasis"/>
        </w:rPr>
        <w:t>have been formative in operationalizing the specificities</w:t>
      </w:r>
      <w:r w:rsidRPr="00015112">
        <w:rPr>
          <w:sz w:val="14"/>
        </w:rPr>
        <w:t xml:space="preserve"> and predations </w:t>
      </w:r>
      <w:r w:rsidRPr="00015112">
        <w:rPr>
          <w:rStyle w:val="Emphasis"/>
        </w:rPr>
        <w:t>of possession.</w:t>
      </w:r>
      <w:r w:rsidRPr="00015112">
        <w:rPr>
          <w:sz w:val="14"/>
        </w:rPr>
        <w:t xml:space="preserve"> The “</w:t>
      </w:r>
      <w:r w:rsidRPr="00015112">
        <w:rPr>
          <w:b/>
          <w:u w:val="single"/>
        </w:rPr>
        <w:t>doctrine of discovery</w:t>
      </w:r>
      <w:r w:rsidRPr="00015112">
        <w:rPr>
          <w:sz w:val="14"/>
        </w:rPr>
        <w:t xml:space="preserve">” along </w:t>
      </w:r>
      <w:r w:rsidRPr="00015112">
        <w:rPr>
          <w:rStyle w:val="Emphasis"/>
        </w:rPr>
        <w:t>with its putative subsumption of Indigenous peoples as “domestic dependent nations”</w:t>
      </w:r>
      <w:r w:rsidRPr="00015112">
        <w:rPr>
          <w:sz w:val="14"/>
        </w:rPr>
        <w:t xml:space="preserve"> and processes through which abducted and racially abjected human beings were rendered private property </w:t>
      </w:r>
      <w:r w:rsidRPr="00015112">
        <w:rPr>
          <w:rStyle w:val="Emphasis"/>
        </w:rPr>
        <w:t>are together historically inseparable from how</w:t>
      </w:r>
      <w:r w:rsidRPr="00015112">
        <w:rPr>
          <w:sz w:val="14"/>
        </w:rPr>
        <w:t xml:space="preserve"> the </w:t>
      </w:r>
      <w:r w:rsidRPr="00015112">
        <w:rPr>
          <w:rStyle w:val="Emphasis"/>
        </w:rPr>
        <w:t>white masculinized bourgeois public sphere and feminized private sphere animated</w:t>
      </w:r>
      <w:r w:rsidRPr="00015112">
        <w:rPr>
          <w:sz w:val="14"/>
        </w:rPr>
        <w:t xml:space="preserve"> the </w:t>
      </w:r>
      <w:r w:rsidRPr="00015112">
        <w:rPr>
          <w:rStyle w:val="Emphasis"/>
        </w:rPr>
        <w:t>heteropatriarchal household economy as a model for national order in the US context.</w:t>
      </w:r>
      <w:r w:rsidRPr="00015112">
        <w:rPr>
          <w:sz w:val="14"/>
        </w:rPr>
        <w:t xml:space="preserve"> Moreover, under capitalism, property is always a means to further accumulation, a relentlessly acquisitive relation to land, to being in place, to people, to here and elsewhere. As conceived by Jeremy Bentham, “</w:t>
      </w:r>
      <w:r w:rsidRPr="00015112">
        <w:rPr>
          <w:b/>
          <w:u w:val="single"/>
        </w:rPr>
        <w:t>Property is only a foundation of expectation</w:t>
      </w:r>
      <w:r w:rsidRPr="00015112">
        <w:rPr>
          <w:sz w:val="14"/>
        </w:rPr>
        <w:t>—</w:t>
      </w:r>
      <w:r w:rsidRPr="00015112">
        <w:rPr>
          <w:rStyle w:val="Emphasis"/>
        </w:rPr>
        <w:t>the expectation of deriving certain advantages from the thing said to be possessed</w:t>
      </w:r>
      <w:r w:rsidRPr="00015112">
        <w:rPr>
          <w:sz w:val="14"/>
        </w:rPr>
        <w:t xml:space="preserve">, in consequence of the relations in which one already stands to it.”7 But </w:t>
      </w:r>
      <w:r w:rsidRPr="00015112">
        <w:rPr>
          <w:rStyle w:val="Emphasis"/>
        </w:rPr>
        <w:t>this economy of expectation is</w:t>
      </w:r>
      <w:r w:rsidRPr="00015112">
        <w:rPr>
          <w:sz w:val="14"/>
        </w:rPr>
        <w:t xml:space="preserve"> likewise </w:t>
      </w:r>
      <w:r w:rsidRPr="00015112">
        <w:rPr>
          <w:rStyle w:val="Emphasis"/>
        </w:rPr>
        <w:t>predicated upon the abstraction, consumption, and disposal of other people and places</w:t>
      </w:r>
      <w:r w:rsidRPr="00015112">
        <w:rPr>
          <w:sz w:val="14"/>
        </w:rPr>
        <w:t>—</w:t>
      </w:r>
      <w:r w:rsidRPr="00015112">
        <w:rPr>
          <w:rStyle w:val="Emphasis"/>
        </w:rPr>
        <w:t>attributed discrepant value by logics of</w:t>
      </w:r>
      <w:r w:rsidRPr="00015112">
        <w:rPr>
          <w:b/>
          <w:u w:val="single"/>
        </w:rPr>
        <w:t xml:space="preserve"> resources and racialization, and subordinated by the </w:t>
      </w:r>
      <w:r w:rsidRPr="00015112">
        <w:rPr>
          <w:rStyle w:val="Emphasis"/>
        </w:rPr>
        <w:t>settler colonial desire for presence, habitation, and permanence.</w:t>
      </w:r>
      <w:r w:rsidRPr="00015112">
        <w:rPr>
          <w:sz w:val="14"/>
        </w:rPr>
        <w:t xml:space="preserve"> Economies of dispossession are at once epistemologies of commensurability and differential devaluation.8 The shift in dominance between two coexisting logics of propriation, between Obama-era multicultural neoliberalism and the plutocratic, more overtly white supremacist capitalism advanced under Trump, illuminates the varieties of and continuities in logics of propriation and their repertoires of racialization and colonial praxis. As dominant racializing and colonizing procedures shift between Obama-era reformism, upwardly redistributive multicultural neoliberalism, and the taking and abuse of land in the name of austerity, on the one hand, and Trumpist repertoires of criminalization, renewals of the wages of whiteness, crony capitalism, and white settler “blood and soil” claims to place and land exploitation, on the other, the logic of propriation itself remains naturalized, while </w:t>
      </w:r>
      <w:r w:rsidRPr="00015112">
        <w:rPr>
          <w:rStyle w:val="Emphasis"/>
        </w:rPr>
        <w:t>the renewal of white supremacy’s relevance to capitalism reveals</w:t>
      </w:r>
      <w:r w:rsidRPr="00015112">
        <w:rPr>
          <w:sz w:val="14"/>
        </w:rPr>
        <w:t xml:space="preserve"> the </w:t>
      </w:r>
      <w:r w:rsidRPr="00015112">
        <w:rPr>
          <w:rStyle w:val="Emphasis"/>
        </w:rPr>
        <w:t>thinness of capitalist civil rights</w:t>
      </w:r>
      <w:r w:rsidRPr="00015112">
        <w:rPr>
          <w:sz w:val="14"/>
        </w:rPr>
        <w:t xml:space="preserve"> (</w:t>
      </w:r>
      <w:r w:rsidRPr="00015112">
        <w:rPr>
          <w:rStyle w:val="Emphasis"/>
        </w:rPr>
        <w:t>cum property rights</w:t>
      </w:r>
      <w:r w:rsidRPr="00015112">
        <w:rPr>
          <w:sz w:val="14"/>
        </w:rPr>
        <w:t xml:space="preserve">), thoroughly </w:t>
      </w:r>
      <w:r w:rsidRPr="00015112">
        <w:rPr>
          <w:b/>
          <w:u w:val="single"/>
        </w:rPr>
        <w:t>shaped by and shaping propriation</w:t>
      </w:r>
      <w:r w:rsidRPr="00015112">
        <w:rPr>
          <w:sz w:val="14"/>
        </w:rPr>
        <w:t xml:space="preserve"> since the 1970s.9 </w:t>
      </w:r>
    </w:p>
    <w:p w14:paraId="1A449FED" w14:textId="77777777" w:rsidR="002B3CD5" w:rsidRPr="00015112" w:rsidRDefault="002B3CD5" w:rsidP="002B3CD5"/>
    <w:p w14:paraId="55B816D2" w14:textId="77777777" w:rsidR="002B3CD5" w:rsidRPr="00015112" w:rsidRDefault="002B3CD5" w:rsidP="002B3CD5">
      <w:pPr>
        <w:pStyle w:val="Heading3"/>
      </w:pPr>
      <w:r w:rsidRPr="00015112">
        <w:t>1NC – L – Green Tech – Tokar</w:t>
      </w:r>
    </w:p>
    <w:p w14:paraId="12505A52" w14:textId="77777777" w:rsidR="002B3CD5" w:rsidRPr="00015112" w:rsidRDefault="002B3CD5" w:rsidP="002B3CD5">
      <w:pPr>
        <w:pStyle w:val="Heading4"/>
        <w:rPr>
          <w:rFonts w:cs="Arial"/>
        </w:rPr>
      </w:pPr>
      <w:r w:rsidRPr="00015112">
        <w:rPr>
          <w:rFonts w:cs="Arial"/>
        </w:rPr>
        <w:t xml:space="preserve">Technological interventions to save the environment increases exploitation of indigenous land </w:t>
      </w:r>
    </w:p>
    <w:p w14:paraId="2FA5C213" w14:textId="77777777" w:rsidR="002B3CD5" w:rsidRPr="00015112" w:rsidRDefault="002B3CD5" w:rsidP="002B3CD5">
      <w:r w:rsidRPr="00015112">
        <w:rPr>
          <w:rStyle w:val="Style13ptBold"/>
        </w:rPr>
        <w:t>Tokar 10</w:t>
      </w:r>
      <w:r w:rsidRPr="00015112">
        <w:t xml:space="preserve">. </w:t>
      </w:r>
      <w:r w:rsidRPr="00015112">
        <w:rPr>
          <w:sz w:val="16"/>
          <w:szCs w:val="16"/>
        </w:rPr>
        <w:t>Brian. Current director of the Institute for Social Ecology, and a lecturer in Environmental Studies at the University of Vermont. “Movements for Climate Action: Toward Utopia or Apocalypse?” Perspectives in Anarchist Theory (2010). Pgs 1-11. CS</w:t>
      </w:r>
    </w:p>
    <w:p w14:paraId="051314EB" w14:textId="77777777" w:rsidR="002B3CD5" w:rsidRPr="00015112" w:rsidRDefault="002B3CD5" w:rsidP="002B3CD5">
      <w:pPr>
        <w:rPr>
          <w:sz w:val="16"/>
        </w:rPr>
      </w:pPr>
      <w:r w:rsidRPr="00015112">
        <w:rPr>
          <w:sz w:val="16"/>
        </w:rPr>
        <w:t xml:space="preserve">Capitalist false solutions to the climate crisis fall into two broad categories. First are a series of </w:t>
      </w:r>
      <w:r w:rsidRPr="00015112">
        <w:rPr>
          <w:rStyle w:val="StyleUnderline"/>
        </w:rPr>
        <w:t>technological interventions</w:t>
      </w:r>
      <w:r w:rsidRPr="00015112">
        <w:rPr>
          <w:sz w:val="16"/>
        </w:rPr>
        <w:t xml:space="preserve">. They </w:t>
      </w:r>
      <w:r w:rsidRPr="00015112">
        <w:rPr>
          <w:rStyle w:val="StyleUnderline"/>
        </w:rPr>
        <w:t xml:space="preserve">aim to </w:t>
      </w:r>
      <w:r w:rsidRPr="00015112">
        <w:rPr>
          <w:rStyle w:val="Emphasis"/>
        </w:rPr>
        <w:t>either increase energy supplies</w:t>
      </w:r>
      <w:r w:rsidRPr="00015112">
        <w:rPr>
          <w:rStyle w:val="StyleUnderline"/>
        </w:rPr>
        <w:t xml:space="preserve"> while reducing reliance on fossil fuels, or to intervene on a massive physical scale to counter the warming effects of increasing carbon dioxide in the earth’s atmosphere</w:t>
      </w:r>
      <w:r w:rsidRPr="00015112">
        <w:rPr>
          <w:sz w:val="16"/>
        </w:rPr>
        <w:t xml:space="preserve">. Reducing fossil fuel use is certainly a necessary step, though </w:t>
      </w:r>
      <w:r w:rsidRPr="00015112">
        <w:rPr>
          <w:rStyle w:val="StyleUnderline"/>
        </w:rPr>
        <w:t>attempting to transform our energy systems</w:t>
      </w:r>
      <w:r w:rsidRPr="00015112">
        <w:rPr>
          <w:sz w:val="16"/>
        </w:rPr>
        <w:t xml:space="preserve"> without changing the way economic decisions are made may prove to be a futile pursuit. The latter approach, </w:t>
      </w:r>
      <w:r w:rsidRPr="00015112">
        <w:rPr>
          <w:rStyle w:val="Emphasis"/>
        </w:rPr>
        <w:t>broadly described by the term “geoengineering,” threatens to create a host of new environmental problems in the pursuit of a world-scale techno-fix to the climate crisis</w:t>
      </w:r>
      <w:r w:rsidRPr="00015112">
        <w:rPr>
          <w:sz w:val="16"/>
        </w:rPr>
        <w:t xml:space="preserve">.6 The other broad category of capitalist false solutions relies on the tools of the </w:t>
      </w:r>
      <w:r w:rsidRPr="00015112">
        <w:rPr>
          <w:b/>
          <w:u w:val="single"/>
        </w:rPr>
        <w:t>so-called “free market” as a substitute for direct interventions against pollution</w:t>
      </w:r>
      <w:r w:rsidRPr="00015112">
        <w:rPr>
          <w:sz w:val="16"/>
        </w:rPr>
        <w:t xml:space="preserve">. These include the creation of new markets in tradable carbon dioxide emissions allowances (now termed “cap-andtrade”), and the use of carbon offsets, i.e. investments in nominally low-carbon technologies elsewhere, as a substitute for reducing an individual or a corporation’s own emissions profile. </w:t>
      </w:r>
      <w:r w:rsidRPr="00015112">
        <w:rPr>
          <w:rStyle w:val="StyleUnderline"/>
        </w:rPr>
        <w:t>Among the technological false solutions, efforts to expand the use of nuclear power are by far the most insidious.</w:t>
      </w:r>
      <w:r w:rsidRPr="00015112">
        <w:rPr>
          <w:sz w:val="16"/>
        </w:rPr>
        <w:t xml:space="preserve"> Nuclear power has been subsidized for over fifty years by various governments – amounting to over a hundred billion dollars in the US alone – yet it still presents intractable technical and environmental problems. </w:t>
      </w:r>
      <w:r w:rsidRPr="00015112">
        <w:rPr>
          <w:rStyle w:val="StyleUnderline"/>
        </w:rPr>
        <w:t>Any expansion of nuclear power would expose countless more communities to the legacy of cancer</w:t>
      </w:r>
      <w:r w:rsidRPr="00015112">
        <w:rPr>
          <w:sz w:val="16"/>
        </w:rPr>
        <w:t xml:space="preserve"> that critical scientists such as Ernest Sternglass have documented, </w:t>
      </w:r>
      <w:r w:rsidRPr="00015112">
        <w:rPr>
          <w:rStyle w:val="Emphasis"/>
        </w:rPr>
        <w:t>and many indigenous communities to the even more severe consequences of uranium mining and milling</w:t>
      </w:r>
      <w:r w:rsidRPr="00015112">
        <w:rPr>
          <w:sz w:val="16"/>
        </w:rPr>
        <w:t xml:space="preserve">. </w:t>
      </w:r>
      <w:r w:rsidRPr="00015112">
        <w:rPr>
          <w:rStyle w:val="StyleUnderline"/>
        </w:rPr>
        <w:t>Scientists still have few clues what to do with the ever-increasing quantities of nuclear waste that will remain highly radioactive for millennia. Efforts to export the nominally most successful example of nuclear development,</w:t>
      </w:r>
      <w:r w:rsidRPr="00015112">
        <w:rPr>
          <w:sz w:val="16"/>
        </w:rPr>
        <w:t xml:space="preserve"> i.e., the French model, </w:t>
      </w:r>
      <w:r w:rsidRPr="00015112">
        <w:rPr>
          <w:rStyle w:val="StyleUnderline"/>
        </w:rPr>
        <w:t>have utterly failed, as demonstrated by France’s own legacy of nuclear contamination, as well as years of delays, qualityassurance problems, and massive cost overruns</w:t>
      </w:r>
      <w:r w:rsidRPr="00015112">
        <w:rPr>
          <w:sz w:val="16"/>
        </w:rPr>
        <w:t xml:space="preserve"> at the 5 billion euro French nuclear construction project in Finland.7 Recent studies of the implications of an expanded nuclear industry have also revealed some new problems. First it appears </w:t>
      </w:r>
      <w:r w:rsidRPr="00015112">
        <w:rPr>
          <w:rStyle w:val="StyleUnderline"/>
        </w:rPr>
        <w:t xml:space="preserve">that supplies of the relatively accessible, high-grade uranium ore that has thus far helped reduce the nuclear fuel cycle’s greenhouse gas emissions are quite limited. If the nuclear industry ever begins to approach its goal of doubling or tripling world nuclear generating capacity – sufficient to displace a significant portion of the predicted growth in carbon dioxide emissions – they will quickly deplete known reserves of high-grade uranium, </w:t>
      </w:r>
      <w:r w:rsidRPr="00015112">
        <w:rPr>
          <w:rStyle w:val="Emphasis"/>
        </w:rPr>
        <w:t>and soon have to rely upon fuel sources that require far more energy to mine and purify</w:t>
      </w:r>
      <w:r w:rsidRPr="00015112">
        <w:rPr>
          <w:sz w:val="16"/>
        </w:rPr>
        <w:t>.8</w:t>
      </w:r>
    </w:p>
    <w:p w14:paraId="48162FD2" w14:textId="77777777" w:rsidR="002B3CD5" w:rsidRPr="00015112" w:rsidRDefault="002B3CD5" w:rsidP="002B3CD5"/>
    <w:p w14:paraId="16356AD3" w14:textId="77777777" w:rsidR="002B3CD5" w:rsidRPr="00015112" w:rsidRDefault="002B3CD5" w:rsidP="002B3CD5">
      <w:pPr>
        <w:pStyle w:val="Heading3"/>
      </w:pPr>
      <w:r w:rsidRPr="00015112">
        <w:t>2NC – L – Green Tech – Freeman</w:t>
      </w:r>
    </w:p>
    <w:p w14:paraId="1A4FEAD5" w14:textId="77777777" w:rsidR="002B3CD5" w:rsidRPr="00015112" w:rsidRDefault="002B3CD5" w:rsidP="002B3CD5">
      <w:pPr>
        <w:pStyle w:val="Heading4"/>
        <w:rPr>
          <w:rFonts w:cs="Arial"/>
        </w:rPr>
      </w:pPr>
      <w:r w:rsidRPr="00015112">
        <w:rPr>
          <w:rFonts w:cs="Arial"/>
        </w:rPr>
        <w:t>Technology and tech</w:t>
      </w:r>
      <w:r w:rsidRPr="00015112">
        <w:rPr>
          <w:rFonts w:cs="Arial"/>
          <w:strike/>
        </w:rPr>
        <w:t xml:space="preserve"> </w:t>
      </w:r>
      <w:r w:rsidRPr="00015112">
        <w:rPr>
          <w:rFonts w:cs="Arial"/>
        </w:rPr>
        <w:t>innovation are powerful tools used by the settler state to pursue urban and municipal colonialism</w:t>
      </w:r>
    </w:p>
    <w:p w14:paraId="06F0C07A" w14:textId="77777777" w:rsidR="002B3CD5" w:rsidRPr="00015112" w:rsidRDefault="002B3CD5" w:rsidP="002B3CD5">
      <w:pPr>
        <w:rPr>
          <w:rStyle w:val="Style13ptBold"/>
          <w:b w:val="0"/>
        </w:rPr>
      </w:pPr>
      <w:r w:rsidRPr="00015112">
        <w:rPr>
          <w:rStyle w:val="Style13ptBold"/>
        </w:rPr>
        <w:t>Freeman 10. Vic</w:t>
      </w:r>
    </w:p>
    <w:p w14:paraId="5D14CCA7" w14:textId="77777777" w:rsidR="002B3CD5" w:rsidRPr="00015112" w:rsidRDefault="002B3CD5" w:rsidP="002B3CD5">
      <w:pPr>
        <w:rPr>
          <w:rStyle w:val="Style13ptBold"/>
          <w:b w:val="0"/>
        </w:rPr>
      </w:pPr>
      <w:r w:rsidRPr="00015112">
        <w:rPr>
          <w:rStyle w:val="Style13ptBold"/>
        </w:rPr>
        <w:t xml:space="preserve">[Victoria is… ““Toronto Has No History!” Indigeneity, Settler Colonialism, and Historical Memory in Canada’s Largest City,” </w:t>
      </w:r>
      <w:r w:rsidRPr="00015112">
        <w:rPr>
          <w:rStyle w:val="Style13ptBold"/>
          <w:i/>
        </w:rPr>
        <w:t>Erudit</w:t>
      </w:r>
      <w:r w:rsidRPr="00015112">
        <w:rPr>
          <w:rStyle w:val="Style13ptBold"/>
        </w:rPr>
        <w:t xml:space="preserve">, 5/5/2010, accessed 6/28/18. </w:t>
      </w:r>
      <w:hyperlink r:id="rId8" w:history="1">
        <w:r w:rsidRPr="00015112">
          <w:rPr>
            <w:rStyle w:val="Hyperlink"/>
            <w:sz w:val="26"/>
          </w:rPr>
          <w:t>https://www-erudit-org.proxy.lib.umich.edu/en/journals/uhr/2010-v38-n2-uhr3707/039672ar/</w:t>
        </w:r>
      </w:hyperlink>
      <w:r w:rsidRPr="00015112">
        <w:rPr>
          <w:rStyle w:val="Style13ptBold"/>
        </w:rPr>
        <w:t>. SKS]</w:t>
      </w:r>
    </w:p>
    <w:p w14:paraId="01FC15B0" w14:textId="77777777" w:rsidR="002B3CD5" w:rsidRPr="00015112" w:rsidRDefault="002B3CD5" w:rsidP="002B3CD5">
      <w:pPr>
        <w:rPr>
          <w:sz w:val="16"/>
        </w:rPr>
      </w:pPr>
      <w:r w:rsidRPr="00015112">
        <w:rPr>
          <w:rStyle w:val="StyleUnderline"/>
        </w:rPr>
        <w:t xml:space="preserve">Pungent smoke rising from an abalone shell and fanned by an eagle feather marked the beginning of the official celebration of the 175th anniversary of the incorporation of the City of Toronto </w:t>
      </w:r>
      <w:r w:rsidRPr="00015112">
        <w:rPr>
          <w:sz w:val="16"/>
        </w:rPr>
        <w:t xml:space="preserve">on Friday, 6 March 2009. </w:t>
      </w:r>
      <w:r w:rsidRPr="00015112">
        <w:rPr>
          <w:rStyle w:val="StyleUnderline"/>
        </w:rPr>
        <w:t>Before a sparse crowd at Nathan Phillips Square, Peter Schuler, an elder of the Mississaugas of the New Credit First Nation, explained the meaning of the smudging ceremony as a ritual of purification and then offered “a history lesson</w:t>
      </w:r>
      <w:r w:rsidRPr="00015112">
        <w:rPr>
          <w:sz w:val="16"/>
        </w:rPr>
        <w:t>.” He explained that according to tradition Toronto had been one of the stopping places of his ancestors on the Great Migration of the Anishinaabeg from the east coast. [1] “</w:t>
      </w:r>
      <w:r w:rsidRPr="00015112">
        <w:rPr>
          <w:rStyle w:val="StyleUnderline"/>
        </w:rPr>
        <w:t>We stayed quite a while,’ he added, but “in 1847 we were removed from this place.” He paused before continuing somewhat bemusedly: “I’m asked to come and celebrate this city but the city itself kind of moved us out.” This was an assertion of a history that remains unknown to most Torontonians, who generally seem to reflect the attitude that Toronto has little history worth remembering . . . and certainly very little Indigenous history worth remembering</w:t>
      </w:r>
      <w:r w:rsidRPr="00015112">
        <w:rPr>
          <w:sz w:val="16"/>
        </w:rPr>
        <w:t>. History does not form a large part of the city’s urban mythology or tourism promotion, and there is no museum or large-scale institution devoted to the whole span of the city’s history or that situates the history of Toronto in a larger context. W</w:t>
      </w:r>
      <w:r w:rsidRPr="00015112">
        <w:rPr>
          <w:rStyle w:val="StyleUnderline"/>
        </w:rPr>
        <w:t xml:space="preserve">hile Indigenous people have lived in the Toronto region for at least eleven thousand years and the original peoples who have made this territory their home over the last several hundred years have included the Wendats (Hurons), Tionnontati (Petuns), Senecas, and Mississaugas (Ojibwa, Chippewa, Anishinaabeg), there is “little widespread awareness of the depth of this pre-contact settlement history, or general knowledge of the societies that inhabited Ontario prior to the onset of Euro-Canadian settlement,” according to a report prepared for the city in 2004. [2] Even rarer is the admission by non-Indigenous Torontonians that colonialism has shaped both the city’s history and public memory of the region’s past. </w:t>
      </w:r>
      <w:r w:rsidRPr="00015112">
        <w:rPr>
          <w:sz w:val="16"/>
        </w:rPr>
        <w:t xml:space="preserve">Yet, as Jordan Stanger-Ross, Coll Thrush, Penelope Edmonds, and others have documented, </w:t>
      </w:r>
      <w:r w:rsidRPr="00015112">
        <w:rPr>
          <w:rStyle w:val="StyleUnderline"/>
        </w:rPr>
        <w:t>urban or municipal colonialism has been a key element of the settler colonial project.</w:t>
      </w:r>
      <w:r w:rsidRPr="00015112">
        <w:rPr>
          <w:sz w:val="16"/>
        </w:rPr>
        <w:t xml:space="preserve"> [3] </w:t>
      </w:r>
      <w:r w:rsidRPr="00015112">
        <w:rPr>
          <w:rStyle w:val="StyleUnderline"/>
        </w:rPr>
        <w:t>Indeed, the settler colonial city has often been viewed by colonizers and colonized alike as the “consummation of empire</w:t>
      </w:r>
      <w:r w:rsidRPr="00015112">
        <w:rPr>
          <w:sz w:val="16"/>
        </w:rPr>
        <w:t>.” [4] C</w:t>
      </w:r>
      <w:r w:rsidRPr="00015112">
        <w:rPr>
          <w:rStyle w:val="StyleUnderline"/>
        </w:rPr>
        <w:t>ities have been seen as the “ultimate avatars of . . . progress, representing the pinnacle of technology, commerce, and cultural sophistication</w:t>
      </w:r>
      <w:r w:rsidRPr="00015112">
        <w:rPr>
          <w:sz w:val="16"/>
        </w:rPr>
        <w:t xml:space="preserve">,” at the same time as they have obliterated the Indigenous landscape of the past. [5] </w:t>
      </w:r>
      <w:r w:rsidRPr="00015112">
        <w:rPr>
          <w:rStyle w:val="StyleUnderline"/>
        </w:rPr>
        <w:t>Because cities have been hubs of broader networks of power, engines driving regional economies, and places where settler populations and resources were concentrated, cities have been important sites where colonial relations were enacted</w:t>
      </w:r>
      <w:r w:rsidRPr="00015112">
        <w:rPr>
          <w:sz w:val="16"/>
        </w:rPr>
        <w:t xml:space="preserve"> [6] and have played a major role in the development and diffusion of national, colonial, and imperial ideas and practices. [7] In fact, as Stanger-Ross and Edmonds have argued, the </w:t>
      </w:r>
      <w:r w:rsidRPr="00015112">
        <w:rPr>
          <w:rStyle w:val="StyleUnderline"/>
        </w:rPr>
        <w:t>social, political, and cultural processes of urban development have themselves constituted a specific modality of colonialism</w:t>
      </w:r>
      <w:r w:rsidRPr="00015112">
        <w:rPr>
          <w:sz w:val="16"/>
        </w:rPr>
        <w:t xml:space="preserve">. [8] Recent studies of colonial processes in Seattle, Edmonton, Victoria, Vancouver, and Melbourne have demonstrated that different urban settings produced very different colonial landscapes and spatial politics, which in some instances were distinct from larger regional or national dynamics. [9] </w:t>
      </w:r>
      <w:r w:rsidRPr="00015112">
        <w:rPr>
          <w:rStyle w:val="StyleUnderline"/>
        </w:rPr>
        <w:t>As Edmonds notes, “These varying colonial economic and discursive formations came to frame particular Indigenous subjectivities and their representations.” [10] All of these colonial processes have been visible in the development of the city of Toronto, where, for example, Anna Jamieson wrote in 1835, “I can no more conceive a city filled with industrious Mohawks and Chippewas, than I can imagine a flock of panthers browsing in a penfold.”</w:t>
      </w:r>
      <w:r w:rsidRPr="00015112">
        <w:rPr>
          <w:sz w:val="16"/>
        </w:rPr>
        <w:t xml:space="preserve"> [11]</w:t>
      </w:r>
    </w:p>
    <w:p w14:paraId="3ED8AD72" w14:textId="77777777" w:rsidR="002B3CD5" w:rsidRPr="00015112" w:rsidRDefault="002B3CD5" w:rsidP="002B3CD5">
      <w:pPr>
        <w:rPr>
          <w:sz w:val="12"/>
        </w:rPr>
      </w:pPr>
    </w:p>
    <w:p w14:paraId="1982C436" w14:textId="77777777" w:rsidR="002B3CD5" w:rsidRPr="00015112" w:rsidRDefault="002B3CD5" w:rsidP="002B3CD5">
      <w:pPr>
        <w:rPr>
          <w:sz w:val="12"/>
        </w:rPr>
      </w:pPr>
    </w:p>
    <w:p w14:paraId="48AE1546" w14:textId="77777777" w:rsidR="002B3CD5" w:rsidRPr="00015112" w:rsidRDefault="002B3CD5" w:rsidP="002B3CD5">
      <w:pPr>
        <w:pStyle w:val="Heading3"/>
      </w:pPr>
      <w:r w:rsidRPr="00015112">
        <w:t xml:space="preserve">1NC – L – State Action – Smith </w:t>
      </w:r>
    </w:p>
    <w:p w14:paraId="5972E71C" w14:textId="77777777" w:rsidR="002B3CD5" w:rsidRPr="00015112" w:rsidRDefault="002B3CD5" w:rsidP="002B3CD5">
      <w:pPr>
        <w:pStyle w:val="Heading4"/>
        <w:rPr>
          <w:rFonts w:cs="Arial"/>
        </w:rPr>
      </w:pPr>
      <w:r w:rsidRPr="00015112">
        <w:rPr>
          <w:rFonts w:cs="Arial"/>
        </w:rPr>
        <w:t>Starting points matter – refuse the revitalization of Settler lifeworlds</w:t>
      </w:r>
    </w:p>
    <w:p w14:paraId="2818FE5B" w14:textId="77777777" w:rsidR="002B3CD5" w:rsidRPr="00015112" w:rsidRDefault="002B3CD5" w:rsidP="002B3CD5">
      <w:pPr>
        <w:rPr>
          <w:sz w:val="16"/>
          <w:szCs w:val="16"/>
        </w:rPr>
      </w:pPr>
      <w:r w:rsidRPr="00015112">
        <w:rPr>
          <w:rStyle w:val="Style13ptBold"/>
        </w:rPr>
        <w:t>Smith 18</w:t>
      </w:r>
      <w:r w:rsidRPr="00015112">
        <w:rPr>
          <w:sz w:val="16"/>
          <w:szCs w:val="16"/>
        </w:rPr>
        <w:t xml:space="preserve">. Gola Smith is a Black and Native woman, Northern Virginia Community College, BA in Philosophy [“Indigenous Lifeworlds,” 2018, </w:t>
      </w:r>
      <w:r w:rsidRPr="00015112">
        <w:rPr>
          <w:i/>
          <w:iCs/>
          <w:sz w:val="16"/>
          <w:szCs w:val="16"/>
        </w:rPr>
        <w:t>Academia</w:t>
      </w:r>
      <w:r w:rsidRPr="00015112">
        <w:rPr>
          <w:sz w:val="16"/>
          <w:szCs w:val="16"/>
        </w:rPr>
        <w:t xml:space="preserve">, URL: </w:t>
      </w:r>
      <w:hyperlink r:id="rId9" w:history="1">
        <w:r w:rsidRPr="00015112">
          <w:rPr>
            <w:rStyle w:val="Hyperlink"/>
            <w:sz w:val="16"/>
            <w:szCs w:val="16"/>
          </w:rPr>
          <w:t>https://www.academia.edu/39219089/Indigenous_Lifeworlds?auto=download]//vikas</w:t>
        </w:r>
      </w:hyperlink>
    </w:p>
    <w:p w14:paraId="61E2B316" w14:textId="77777777" w:rsidR="002B3CD5" w:rsidRPr="00015112" w:rsidRDefault="002B3CD5" w:rsidP="002B3CD5">
      <w:pPr>
        <w:rPr>
          <w:sz w:val="16"/>
          <w:szCs w:val="16"/>
        </w:rPr>
      </w:pPr>
      <w:r w:rsidRPr="00015112">
        <w:rPr>
          <w:sz w:val="16"/>
          <w:szCs w:val="16"/>
        </w:rPr>
        <w:t>I plan to introduce a series of papers concerning the necessary stances Indigenous and Black activists – and their ‘allies’ 1 – must take. This issue forwards the basics of my stance and thoughts – as a Black and Indigenous woman – on Indigenous refusal and resurgence (in line with the concerns of Glen Coulthard with contemporary Indigenous and Settler activism).</w:t>
      </w:r>
    </w:p>
    <w:p w14:paraId="50FD3E83" w14:textId="77777777" w:rsidR="002B3CD5" w:rsidRPr="00015112" w:rsidRDefault="002B3CD5" w:rsidP="002B3CD5">
      <w:pPr>
        <w:rPr>
          <w:sz w:val="16"/>
        </w:rPr>
      </w:pPr>
      <w:r w:rsidRPr="00015112">
        <w:rPr>
          <w:sz w:val="16"/>
        </w:rPr>
        <w:t xml:space="preserve">"Many </w:t>
      </w:r>
      <w:r w:rsidRPr="00015112">
        <w:rPr>
          <w:b/>
          <w:bCs/>
          <w:u w:val="single"/>
        </w:rPr>
        <w:t xml:space="preserve">proposals have been made to us to adopt </w:t>
      </w:r>
      <w:r w:rsidRPr="00015112">
        <w:rPr>
          <w:rStyle w:val="Emphasis"/>
        </w:rPr>
        <w:t>your laws</w:t>
      </w:r>
      <w:r w:rsidRPr="00015112">
        <w:rPr>
          <w:sz w:val="16"/>
        </w:rPr>
        <w:t xml:space="preserve">, your religion, </w:t>
      </w:r>
      <w:r w:rsidRPr="00015112">
        <w:rPr>
          <w:rStyle w:val="Emphasis"/>
        </w:rPr>
        <w:t>your manners and your customs</w:t>
      </w:r>
      <w:r w:rsidRPr="00015112">
        <w:rPr>
          <w:sz w:val="16"/>
        </w:rPr>
        <w:t>. We would be better pleased with beholding the good effects of these doctrines in your own practices, than with hearing you talk about them".</w:t>
      </w:r>
    </w:p>
    <w:p w14:paraId="1E541A88" w14:textId="77777777" w:rsidR="002B3CD5" w:rsidRPr="00015112" w:rsidRDefault="002B3CD5" w:rsidP="002B3CD5">
      <w:pPr>
        <w:rPr>
          <w:sz w:val="16"/>
          <w:szCs w:val="16"/>
        </w:rPr>
      </w:pPr>
      <w:r w:rsidRPr="00015112">
        <w:rPr>
          <w:sz w:val="16"/>
          <w:szCs w:val="16"/>
        </w:rPr>
        <w:t>- Old Tassel, Chief of the Tsalagi (Cherokee)</w:t>
      </w:r>
    </w:p>
    <w:p w14:paraId="1B8A9F50" w14:textId="77777777" w:rsidR="002B3CD5" w:rsidRPr="00015112" w:rsidRDefault="002B3CD5" w:rsidP="002B3CD5">
      <w:pPr>
        <w:rPr>
          <w:sz w:val="16"/>
        </w:rPr>
      </w:pPr>
      <w:r w:rsidRPr="00015112">
        <w:rPr>
          <w:b/>
          <w:bCs/>
          <w:u w:val="single"/>
        </w:rPr>
        <w:t>For centuries we have been told by Settlers that our lives and stories are</w:t>
      </w:r>
      <w:r w:rsidRPr="00015112">
        <w:rPr>
          <w:sz w:val="16"/>
        </w:rPr>
        <w:t xml:space="preserve"> merely </w:t>
      </w:r>
      <w:r w:rsidRPr="00015112">
        <w:rPr>
          <w:rStyle w:val="Emphasis"/>
        </w:rPr>
        <w:t>tools of the Settler</w:t>
      </w:r>
      <w:r w:rsidRPr="00015112">
        <w:rPr>
          <w:sz w:val="16"/>
        </w:rPr>
        <w:t xml:space="preserve">, </w:t>
      </w:r>
      <w:r w:rsidRPr="00015112">
        <w:rPr>
          <w:b/>
          <w:bCs/>
          <w:u w:val="single"/>
        </w:rPr>
        <w:t>who insists on fueling his</w:t>
      </w:r>
      <w:r w:rsidRPr="00015112">
        <w:rPr>
          <w:sz w:val="16"/>
        </w:rPr>
        <w:t xml:space="preserve"> new </w:t>
      </w:r>
      <w:r w:rsidRPr="00015112">
        <w:rPr>
          <w:b/>
          <w:bCs/>
          <w:u w:val="single"/>
        </w:rPr>
        <w:t>futures with the essence of Indigenous life</w:t>
      </w:r>
      <w:r w:rsidRPr="00015112">
        <w:rPr>
          <w:sz w:val="16"/>
        </w:rPr>
        <w:t xml:space="preserve">. Time and time again, </w:t>
      </w:r>
      <w:r w:rsidRPr="00015112">
        <w:rPr>
          <w:b/>
          <w:bCs/>
          <w:u w:val="single"/>
        </w:rPr>
        <w:t>the same story unfolds</w:t>
      </w:r>
      <w:r w:rsidRPr="00015112">
        <w:rPr>
          <w:sz w:val="16"/>
        </w:rPr>
        <w:t xml:space="preserve">: </w:t>
      </w:r>
      <w:r w:rsidRPr="00015112">
        <w:rPr>
          <w:b/>
          <w:bCs/>
          <w:u w:val="single"/>
        </w:rPr>
        <w:t>one more</w:t>
      </w:r>
      <w:r w:rsidRPr="00015112">
        <w:rPr>
          <w:sz w:val="16"/>
        </w:rPr>
        <w:t xml:space="preserve"> - seemingly benign - </w:t>
      </w:r>
      <w:r w:rsidRPr="00015112">
        <w:rPr>
          <w:b/>
          <w:bCs/>
          <w:u w:val="single"/>
        </w:rPr>
        <w:t>policy for the Savage that implicitly affirms</w:t>
      </w:r>
      <w:r w:rsidRPr="00015112">
        <w:rPr>
          <w:sz w:val="16"/>
        </w:rPr>
        <w:t xml:space="preserve"> the </w:t>
      </w:r>
      <w:r w:rsidRPr="00015112">
        <w:rPr>
          <w:b/>
          <w:bCs/>
          <w:u w:val="single"/>
        </w:rPr>
        <w:t>Westphalian sovereignty</w:t>
      </w:r>
      <w:r w:rsidRPr="00015112">
        <w:rPr>
          <w:sz w:val="16"/>
        </w:rPr>
        <w:t xml:space="preserve">. </w:t>
      </w:r>
      <w:r w:rsidRPr="00015112">
        <w:rPr>
          <w:b/>
          <w:bCs/>
          <w:u w:val="single"/>
        </w:rPr>
        <w:t>Indigenous life struggles to finds its place in an environment intoxicated</w:t>
      </w:r>
      <w:r w:rsidRPr="00015112">
        <w:rPr>
          <w:sz w:val="16"/>
        </w:rPr>
        <w:t xml:space="preserve"> with stories and promises of progress. </w:t>
      </w:r>
      <w:r w:rsidRPr="00015112">
        <w:rPr>
          <w:b/>
          <w:bCs/>
          <w:u w:val="single"/>
        </w:rPr>
        <w:t>Those of us on the Rez increasingly have nothing more to look at than</w:t>
      </w:r>
      <w:r w:rsidRPr="00015112">
        <w:rPr>
          <w:sz w:val="16"/>
        </w:rPr>
        <w:t xml:space="preserve"> our </w:t>
      </w:r>
      <w:r w:rsidRPr="00015112">
        <w:rPr>
          <w:b/>
          <w:bCs/>
          <w:u w:val="single"/>
        </w:rPr>
        <w:t>tribal land grants</w:t>
      </w:r>
      <w:r w:rsidRPr="00015112">
        <w:rPr>
          <w:sz w:val="16"/>
        </w:rPr>
        <w:t xml:space="preserve"> from the Settler’s institutions as evidence of Indigenous antiquity.</w:t>
      </w:r>
    </w:p>
    <w:p w14:paraId="300E739D" w14:textId="77777777" w:rsidR="002B3CD5" w:rsidRPr="00015112" w:rsidRDefault="002B3CD5" w:rsidP="002B3CD5">
      <w:pPr>
        <w:rPr>
          <w:sz w:val="16"/>
        </w:rPr>
      </w:pPr>
      <w:r w:rsidRPr="00015112">
        <w:rPr>
          <w:sz w:val="16"/>
        </w:rPr>
        <w:t xml:space="preserve">As Glen Coulthard reminds us, the </w:t>
      </w:r>
      <w:r w:rsidRPr="00015112">
        <w:rPr>
          <w:b/>
          <w:bCs/>
          <w:u w:val="single"/>
        </w:rPr>
        <w:t xml:space="preserve">tools to resolve our grievances will never lie in </w:t>
      </w:r>
      <w:r w:rsidRPr="00015112">
        <w:rPr>
          <w:sz w:val="16"/>
        </w:rPr>
        <w:t>what he terms “</w:t>
      </w:r>
      <w:r w:rsidRPr="00015112">
        <w:rPr>
          <w:b/>
          <w:bCs/>
          <w:u w:val="single"/>
        </w:rPr>
        <w:t>recognition</w:t>
      </w:r>
      <w:r w:rsidRPr="00015112">
        <w:rPr>
          <w:sz w:val="16"/>
        </w:rPr>
        <w:t xml:space="preserve">,”2 </w:t>
      </w:r>
      <w:r w:rsidRPr="00015112">
        <w:rPr>
          <w:b/>
          <w:bCs/>
          <w:u w:val="single"/>
        </w:rPr>
        <w:t xml:space="preserve">but a </w:t>
      </w:r>
      <w:r w:rsidRPr="00015112">
        <w:rPr>
          <w:rStyle w:val="Emphasis"/>
        </w:rPr>
        <w:t>refusal of Settler sovereignty</w:t>
      </w:r>
      <w:r w:rsidRPr="00015112">
        <w:rPr>
          <w:sz w:val="16"/>
        </w:rPr>
        <w:t xml:space="preserve">. Those who ask us to adopt </w:t>
      </w:r>
      <w:r w:rsidRPr="00015112">
        <w:rPr>
          <w:b/>
          <w:bCs/>
          <w:u w:val="single"/>
        </w:rPr>
        <w:t>the tools of colonial institutions</w:t>
      </w:r>
      <w:r w:rsidRPr="00015112">
        <w:rPr>
          <w:sz w:val="16"/>
        </w:rPr>
        <w:t>, "</w:t>
      </w:r>
      <w:r w:rsidRPr="00015112">
        <w:rPr>
          <w:b/>
          <w:bCs/>
          <w:u w:val="single"/>
        </w:rPr>
        <w:t>do not provide the tools</w:t>
      </w:r>
      <w:r w:rsidRPr="00015112">
        <w:rPr>
          <w:sz w:val="16"/>
        </w:rPr>
        <w:t xml:space="preserve"> required </w:t>
      </w:r>
      <w:r w:rsidRPr="00015112">
        <w:rPr>
          <w:b/>
          <w:bCs/>
          <w:u w:val="single"/>
        </w:rPr>
        <w:t xml:space="preserve">to protect us against the </w:t>
      </w:r>
      <w:r w:rsidRPr="00015112">
        <w:rPr>
          <w:rStyle w:val="Emphasis"/>
        </w:rPr>
        <w:t>unilateral construction of our rights</w:t>
      </w:r>
      <w:r w:rsidRPr="00015112">
        <w:rPr>
          <w:sz w:val="16"/>
        </w:rPr>
        <w:t xml:space="preserve">.” </w:t>
      </w:r>
      <w:r w:rsidRPr="00015112">
        <w:rPr>
          <w:b/>
          <w:bCs/>
          <w:u w:val="single"/>
        </w:rPr>
        <w:t>The Indigenous spirit</w:t>
      </w:r>
      <w:r w:rsidRPr="00015112">
        <w:rPr>
          <w:sz w:val="16"/>
        </w:rPr>
        <w:t xml:space="preserve"> - or adanvdo - </w:t>
      </w:r>
      <w:r w:rsidRPr="00015112">
        <w:rPr>
          <w:b/>
          <w:bCs/>
          <w:u w:val="single"/>
        </w:rPr>
        <w:t xml:space="preserve">can only be </w:t>
      </w:r>
      <w:r w:rsidRPr="00015112">
        <w:rPr>
          <w:rStyle w:val="Emphasis"/>
        </w:rPr>
        <w:t>vitalized</w:t>
      </w:r>
      <w:r w:rsidRPr="00015112">
        <w:rPr>
          <w:b/>
          <w:bCs/>
          <w:u w:val="single"/>
        </w:rPr>
        <w:t xml:space="preserve"> through</w:t>
      </w:r>
      <w:r w:rsidRPr="00015112">
        <w:rPr>
          <w:sz w:val="16"/>
        </w:rPr>
        <w:t xml:space="preserve"> a politics of </w:t>
      </w:r>
      <w:r w:rsidRPr="00015112">
        <w:rPr>
          <w:b/>
          <w:bCs/>
          <w:u w:val="single"/>
        </w:rPr>
        <w:t xml:space="preserve">resurgence that </w:t>
      </w:r>
      <w:r w:rsidRPr="00015112">
        <w:rPr>
          <w:rStyle w:val="Emphasis"/>
        </w:rPr>
        <w:t>refuses negotiation in its entirity</w:t>
      </w:r>
      <w:r w:rsidRPr="00015112">
        <w:rPr>
          <w:sz w:val="16"/>
        </w:rPr>
        <w:t xml:space="preserve">. Our solution lies in our own communities through a “politics of authentic self-affirmation.” Coulthard forwards the Idle No More movement as evidence of such resurgence. </w:t>
      </w:r>
      <w:r w:rsidRPr="00015112">
        <w:rPr>
          <w:b/>
          <w:bCs/>
          <w:u w:val="single"/>
        </w:rPr>
        <w:t>The Indigenous spirit is</w:t>
      </w:r>
      <w:r w:rsidRPr="00015112">
        <w:rPr>
          <w:sz w:val="16"/>
        </w:rPr>
        <w:t xml:space="preserve"> “</w:t>
      </w:r>
      <w:r w:rsidRPr="00015112">
        <w:rPr>
          <w:b/>
          <w:bCs/>
          <w:u w:val="single"/>
        </w:rPr>
        <w:t>reclaimed and revitalized</w:t>
      </w:r>
      <w:r w:rsidRPr="00015112">
        <w:rPr>
          <w:sz w:val="16"/>
        </w:rPr>
        <w:t xml:space="preserve">” </w:t>
      </w:r>
      <w:r w:rsidRPr="00015112">
        <w:rPr>
          <w:b/>
          <w:bCs/>
          <w:u w:val="single"/>
        </w:rPr>
        <w:t>through</w:t>
      </w:r>
      <w:r w:rsidRPr="00015112">
        <w:rPr>
          <w:sz w:val="16"/>
        </w:rPr>
        <w:t xml:space="preserve"> its blockades and </w:t>
      </w:r>
      <w:r w:rsidRPr="00015112">
        <w:rPr>
          <w:rStyle w:val="Emphasis"/>
        </w:rPr>
        <w:t>refusals of Settler lifeworlds</w:t>
      </w:r>
      <w:r w:rsidRPr="00015112">
        <w:rPr>
          <w:sz w:val="16"/>
        </w:rPr>
        <w:t>. Indigenous activists – even if in everyday conversation – relate to each other in their hatred of the Settler pipelines being built on Turtle Island.</w:t>
      </w:r>
    </w:p>
    <w:p w14:paraId="357626AD" w14:textId="77777777" w:rsidR="002B3CD5" w:rsidRPr="00015112" w:rsidRDefault="002B3CD5" w:rsidP="002B3CD5">
      <w:pPr>
        <w:rPr>
          <w:b/>
          <w:bCs/>
          <w:u w:val="single"/>
        </w:rPr>
      </w:pPr>
      <w:r w:rsidRPr="00015112">
        <w:rPr>
          <w:b/>
          <w:bCs/>
          <w:u w:val="single"/>
        </w:rPr>
        <w:t>This cannot be a site of negotiation.</w:t>
      </w:r>
    </w:p>
    <w:p w14:paraId="10B6901F" w14:textId="77777777" w:rsidR="002B3CD5" w:rsidRPr="00015112" w:rsidRDefault="002B3CD5" w:rsidP="002B3CD5">
      <w:pPr>
        <w:rPr>
          <w:b/>
          <w:bCs/>
          <w:u w:val="single"/>
        </w:rPr>
      </w:pPr>
      <w:r w:rsidRPr="00015112">
        <w:rPr>
          <w:sz w:val="16"/>
        </w:rPr>
        <w:t xml:space="preserve">More often than not, Indigenous scholars arguing in favor of incremental reforms that rely on a politics of recognition forget that </w:t>
      </w:r>
      <w:r w:rsidRPr="00015112">
        <w:rPr>
          <w:rStyle w:val="Emphasis"/>
        </w:rPr>
        <w:t>the site at which our demands align</w:t>
      </w:r>
      <w:r w:rsidRPr="00015112">
        <w:rPr>
          <w:b/>
          <w:bCs/>
          <w:u w:val="single"/>
        </w:rPr>
        <w:t xml:space="preserve"> does </w:t>
      </w:r>
      <w:r w:rsidRPr="00015112">
        <w:rPr>
          <w:rStyle w:val="Emphasis"/>
        </w:rPr>
        <w:t>matter</w:t>
      </w:r>
      <w:r w:rsidRPr="00015112">
        <w:rPr>
          <w:sz w:val="16"/>
        </w:rPr>
        <w:t xml:space="preserve">. The value in Indigenous activist movements (like Idle No More) lies not in their ability to affect Settler politics, but in the ability to refuse recognition altogether. Even if Indigenous politicians legislatively halted construction of the Dakota Access Pipeline, Indigenous life would not be benefited. This is because </w:t>
      </w:r>
      <w:r w:rsidRPr="00015112">
        <w:rPr>
          <w:b/>
          <w:bCs/>
          <w:u w:val="single"/>
        </w:rPr>
        <w:t>the lifeworlds being built are not Indigenous lifeworlds</w:t>
      </w:r>
      <w:r w:rsidRPr="00015112">
        <w:rPr>
          <w:sz w:val="16"/>
        </w:rPr>
        <w:t xml:space="preserve">. </w:t>
      </w:r>
      <w:r w:rsidRPr="00015112">
        <w:rPr>
          <w:rStyle w:val="Emphasis"/>
        </w:rPr>
        <w:t>They are Settler lifeworlds.</w:t>
      </w:r>
      <w:r w:rsidRPr="00015112">
        <w:rPr>
          <w:b/>
          <w:bCs/>
          <w:u w:val="single"/>
        </w:rPr>
        <w:t xml:space="preserve"> </w:t>
      </w:r>
    </w:p>
    <w:p w14:paraId="46C39D80" w14:textId="77777777" w:rsidR="002B3CD5" w:rsidRPr="00015112" w:rsidRDefault="002B3CD5" w:rsidP="002B3CD5">
      <w:pPr>
        <w:rPr>
          <w:sz w:val="14"/>
        </w:rPr>
      </w:pPr>
      <w:r w:rsidRPr="00015112">
        <w:rPr>
          <w:b/>
          <w:bCs/>
          <w:u w:val="single"/>
        </w:rPr>
        <w:t>This is not to say the slew of legislative changes enacted by Indigenous politicians has not benefited communities</w:t>
      </w:r>
      <w:r w:rsidRPr="00015112">
        <w:rPr>
          <w:sz w:val="16"/>
        </w:rPr>
        <w:t xml:space="preserve">, </w:t>
      </w:r>
      <w:r w:rsidRPr="00015112">
        <w:rPr>
          <w:b/>
          <w:bCs/>
          <w:u w:val="single"/>
        </w:rPr>
        <w:t xml:space="preserve">but to forward an </w:t>
      </w:r>
      <w:r w:rsidRPr="00015112">
        <w:rPr>
          <w:rStyle w:val="Emphasis"/>
        </w:rPr>
        <w:t>alternative orientation</w:t>
      </w:r>
      <w:r w:rsidRPr="00015112">
        <w:rPr>
          <w:b/>
          <w:bCs/>
          <w:u w:val="single"/>
        </w:rPr>
        <w:t xml:space="preserve"> for</w:t>
      </w:r>
      <w:r w:rsidRPr="00015112">
        <w:rPr>
          <w:sz w:val="16"/>
        </w:rPr>
        <w:t xml:space="preserve"> our </w:t>
      </w:r>
      <w:r w:rsidRPr="00015112">
        <w:rPr>
          <w:b/>
          <w:bCs/>
          <w:u w:val="single"/>
        </w:rPr>
        <w:t>politics</w:t>
      </w:r>
      <w:r w:rsidRPr="00015112">
        <w:rPr>
          <w:sz w:val="16"/>
        </w:rPr>
        <w:t xml:space="preserve">. I will offer a brief discussion of the “SURVIVE Act” to demonstrate my point. Even if funds are set aside for Indigenous tribes through the “SURVIVE Act” to “respond to the emotional, psychological, or physical needs of a victim of crime,” the question of when we can start building our own lifeworlds still remains. </w:t>
      </w:r>
      <w:r w:rsidRPr="00015112">
        <w:rPr>
          <w:b/>
          <w:bCs/>
          <w:u w:val="single"/>
        </w:rPr>
        <w:t>What we need are not</w:t>
      </w:r>
      <w:r w:rsidRPr="00015112">
        <w:rPr>
          <w:sz w:val="16"/>
        </w:rPr>
        <w:t xml:space="preserve"> more </w:t>
      </w:r>
      <w:r w:rsidRPr="00015112">
        <w:rPr>
          <w:b/>
          <w:bCs/>
          <w:u w:val="single"/>
        </w:rPr>
        <w:t>Settler</w:t>
      </w:r>
      <w:r w:rsidRPr="00015112">
        <w:rPr>
          <w:sz w:val="16"/>
        </w:rPr>
        <w:t xml:space="preserve"> criminal justice </w:t>
      </w:r>
      <w:r w:rsidRPr="00015112">
        <w:rPr>
          <w:b/>
          <w:bCs/>
          <w:u w:val="single"/>
        </w:rPr>
        <w:t>systems because the discussion</w:t>
      </w:r>
      <w:r w:rsidRPr="00015112">
        <w:rPr>
          <w:sz w:val="16"/>
        </w:rPr>
        <w:t xml:space="preserve"> of a “criminal justice system” </w:t>
      </w:r>
      <w:r w:rsidRPr="00015112">
        <w:rPr>
          <w:b/>
          <w:bCs/>
          <w:u w:val="single"/>
        </w:rPr>
        <w:t>is</w:t>
      </w:r>
      <w:r w:rsidRPr="00015112">
        <w:rPr>
          <w:sz w:val="16"/>
        </w:rPr>
        <w:t xml:space="preserve"> - itself – </w:t>
      </w:r>
      <w:r w:rsidRPr="00015112">
        <w:rPr>
          <w:b/>
          <w:bCs/>
          <w:u w:val="single"/>
        </w:rPr>
        <w:t xml:space="preserve">mediated by the </w:t>
      </w:r>
      <w:r w:rsidRPr="00015112">
        <w:rPr>
          <w:rStyle w:val="Emphasis"/>
        </w:rPr>
        <w:t>destruction of our lifeworlds</w:t>
      </w:r>
      <w:r w:rsidRPr="00015112">
        <w:rPr>
          <w:sz w:val="14"/>
        </w:rPr>
        <w:t>. Before we were colonized, the Tsalagi had peace towns for wrongdoers, nothing like the prisons now being built on Indigenous lands for wrongdoers.</w:t>
      </w:r>
    </w:p>
    <w:p w14:paraId="597DFFBB" w14:textId="77777777" w:rsidR="002B3CD5" w:rsidRPr="00015112" w:rsidRDefault="002B3CD5" w:rsidP="002B3CD5">
      <w:pPr>
        <w:rPr>
          <w:rStyle w:val="Emphasis"/>
        </w:rPr>
      </w:pPr>
      <w:r w:rsidRPr="00015112">
        <w:rPr>
          <w:sz w:val="14"/>
        </w:rPr>
        <w:t>This shit is all wrong. Stop telling me what to do. Let Indigenous activists create solutions from the mobilization of our politics. Don’t make us touch your shit.</w:t>
      </w:r>
    </w:p>
    <w:p w14:paraId="51C886AB" w14:textId="77777777" w:rsidR="002B3CD5" w:rsidRPr="00015112" w:rsidRDefault="002B3CD5" w:rsidP="002B3CD5"/>
    <w:p w14:paraId="14E330E1" w14:textId="77777777" w:rsidR="002B3CD5" w:rsidRPr="00015112" w:rsidRDefault="002B3CD5" w:rsidP="002B3CD5">
      <w:pPr>
        <w:pStyle w:val="Heading3"/>
      </w:pPr>
      <w:r w:rsidRPr="00015112">
        <w:t>2NC – L – State Action – Rodriguez</w:t>
      </w:r>
    </w:p>
    <w:p w14:paraId="6AD6EAA6" w14:textId="77777777" w:rsidR="002B3CD5" w:rsidRPr="00015112" w:rsidRDefault="002B3CD5" w:rsidP="002B3CD5">
      <w:pPr>
        <w:pStyle w:val="Heading4"/>
      </w:pPr>
      <w:r w:rsidRPr="00015112">
        <w:t xml:space="preserve">This is sufficient reason to vote negative – US statecraft constitutes </w:t>
      </w:r>
      <w:r w:rsidRPr="00015112">
        <w:rPr>
          <w:u w:val="single"/>
        </w:rPr>
        <w:t xml:space="preserve">permanent war </w:t>
      </w:r>
      <w:r w:rsidRPr="00015112">
        <w:t xml:space="preserve">on indigenous subjects </w:t>
      </w:r>
    </w:p>
    <w:p w14:paraId="51F4C403" w14:textId="77777777" w:rsidR="002B3CD5" w:rsidRPr="00015112" w:rsidRDefault="002B3CD5" w:rsidP="002B3CD5">
      <w:pPr>
        <w:rPr>
          <w:sz w:val="16"/>
          <w:szCs w:val="16"/>
        </w:rPr>
      </w:pPr>
      <w:r w:rsidRPr="00015112">
        <w:rPr>
          <w:rStyle w:val="Style13ptBold"/>
        </w:rPr>
        <w:t xml:space="preserve">Rodríguez 10 </w:t>
      </w:r>
      <w:r w:rsidRPr="00015112">
        <w:t xml:space="preserve">– </w:t>
      </w:r>
      <w:r w:rsidRPr="00015112">
        <w:rPr>
          <w:sz w:val="16"/>
          <w:szCs w:val="16"/>
        </w:rPr>
        <w:t>Professor of the Department of Ethnic Studies at UC Riverside. He received his Ph.D. and M.A. degrees in Ethnic Studies from the University of California, Berkeley (2001), and earned two B.A. degrees and a Concentration degree from Cornell University [Dylan, “The Terms of Engagement: Warfare, White Locality, and Abolition,” Critical Sociology 36(1) 151-173, DKP]</w:t>
      </w:r>
    </w:p>
    <w:p w14:paraId="36107B89" w14:textId="77777777" w:rsidR="002B3CD5" w:rsidRPr="00015112" w:rsidRDefault="002B3CD5" w:rsidP="002B3CD5">
      <w:pPr>
        <w:spacing w:line="240" w:lineRule="auto"/>
        <w:contextualSpacing/>
        <w:rPr>
          <w:sz w:val="16"/>
        </w:rPr>
      </w:pPr>
      <w:r w:rsidRPr="00015112">
        <w:rPr>
          <w:sz w:val="16"/>
        </w:rPr>
        <w:t xml:space="preserve">Generally, </w:t>
      </w:r>
      <w:r w:rsidRPr="00015112">
        <w:rPr>
          <w:rStyle w:val="StyleUnderline"/>
        </w:rPr>
        <w:t>the state materializes and becomes comprehensible</w:t>
      </w:r>
      <w:r w:rsidRPr="00015112">
        <w:rPr>
          <w:sz w:val="16"/>
        </w:rPr>
        <w:t xml:space="preserve"> to both its anticipated and unexpected publics </w:t>
      </w:r>
      <w:r w:rsidRPr="00015112">
        <w:rPr>
          <w:rStyle w:val="StyleUnderline"/>
        </w:rPr>
        <w:t>through</w:t>
      </w:r>
      <w:r w:rsidRPr="00015112">
        <w:rPr>
          <w:sz w:val="16"/>
        </w:rPr>
        <w:t xml:space="preserve"> such </w:t>
      </w:r>
      <w:r w:rsidRPr="00015112">
        <w:rPr>
          <w:rStyle w:val="StyleUnderline"/>
        </w:rPr>
        <w:t>definitive moments of crafting: the state identifies itself as a series of</w:t>
      </w:r>
      <w:r w:rsidRPr="00015112">
        <w:rPr>
          <w:sz w:val="16"/>
        </w:rPr>
        <w:t xml:space="preserve"> active rhetorical, political, and institutional projects and </w:t>
      </w:r>
      <w:r w:rsidRPr="00015112">
        <w:rPr>
          <w:rStyle w:val="StyleUnderline"/>
        </w:rPr>
        <w:t>mobilizations,</w:t>
      </w:r>
      <w:r w:rsidRPr="00015112">
        <w:rPr>
          <w:sz w:val="16"/>
        </w:rPr>
        <w:t xml:space="preserve"> many of </w:t>
      </w:r>
      <w:r w:rsidRPr="00015112">
        <w:rPr>
          <w:rStyle w:val="StyleUnderline"/>
        </w:rPr>
        <w:t xml:space="preserve">which hinge on the marshalling of </w:t>
      </w:r>
      <w:r w:rsidRPr="00015112">
        <w:rPr>
          <w:sz w:val="16"/>
        </w:rPr>
        <w:t xml:space="preserve">capacities for </w:t>
      </w:r>
      <w:r w:rsidRPr="00015112">
        <w:rPr>
          <w:rStyle w:val="StyleUnderline"/>
        </w:rPr>
        <w:t xml:space="preserve">racist state violence </w:t>
      </w:r>
      <w:r w:rsidRPr="00015112">
        <w:rPr>
          <w:sz w:val="16"/>
        </w:rPr>
        <w:t xml:space="preserve">(war). </w:t>
      </w:r>
      <w:r w:rsidRPr="00015112">
        <w:rPr>
          <w:rStyle w:val="StyleUnderline"/>
        </w:rPr>
        <w:t xml:space="preserve">The state’s self-narration </w:t>
      </w:r>
      <w:r w:rsidRPr="00015112">
        <w:rPr>
          <w:sz w:val="16"/>
        </w:rPr>
        <w:t>inundates and</w:t>
      </w:r>
      <w:r w:rsidRPr="00015112">
        <w:rPr>
          <w:rStyle w:val="StyleUnderline"/>
        </w:rPr>
        <w:t xml:space="preserve"> hails</w:t>
      </w:r>
      <w:r w:rsidRPr="00015112">
        <w:rPr>
          <w:sz w:val="16"/>
        </w:rPr>
        <w:t xml:space="preserve"> multiple</w:t>
      </w:r>
      <w:r w:rsidRPr="00015112">
        <w:rPr>
          <w:rStyle w:val="StyleUnderline"/>
        </w:rPr>
        <w:t xml:space="preserve"> publics with its discourse of policing and jurisprudence as the r</w:t>
      </w:r>
      <w:r w:rsidRPr="00015112">
        <w:rPr>
          <w:sz w:val="16"/>
        </w:rPr>
        <w:t xml:space="preserve">ighteously punitive and </w:t>
      </w:r>
      <w:r w:rsidRPr="00015112">
        <w:rPr>
          <w:rStyle w:val="StyleUnderline"/>
        </w:rPr>
        <w:t>justifiably violent front lines of an overlapping</w:t>
      </w:r>
      <w:r w:rsidRPr="00015112">
        <w:rPr>
          <w:sz w:val="16"/>
        </w:rPr>
        <w:t xml:space="preserve"> series of comprehensive, </w:t>
      </w:r>
      <w:r w:rsidRPr="00015112">
        <w:rPr>
          <w:rStyle w:val="StyleUnderline"/>
        </w:rPr>
        <w:t>militarized,</w:t>
      </w:r>
      <w:r w:rsidRPr="00015112">
        <w:rPr>
          <w:sz w:val="16"/>
        </w:rPr>
        <w:t xml:space="preserve"> and culturally valorized </w:t>
      </w:r>
      <w:r w:rsidRPr="00015112">
        <w:rPr>
          <w:rStyle w:val="StyleUnderline"/>
        </w:rPr>
        <w:t>domestic wars,</w:t>
      </w:r>
      <w:r w:rsidRPr="00015112">
        <w:rPr>
          <w:sz w:val="16"/>
        </w:rPr>
        <w:t xml:space="preserve"> whether the ‘war on drugs’, ‘war on crime’, ‘war on gangs’, ‘war on illegal immigration’, or ‘war on terror’. By extension, </w:t>
      </w:r>
      <w:r w:rsidRPr="00015112">
        <w:rPr>
          <w:rStyle w:val="StyleUnderline"/>
        </w:rPr>
        <w:t>it is the material processes of war, from the writing of public policy to the</w:t>
      </w:r>
      <w:r w:rsidRPr="00015112">
        <w:rPr>
          <w:sz w:val="16"/>
        </w:rPr>
        <w:t xml:space="preserve"> hyper-</w:t>
      </w:r>
      <w:r w:rsidRPr="00015112">
        <w:rPr>
          <w:rStyle w:val="StyleUnderline"/>
        </w:rPr>
        <w:t>weaponization of the police, that</w:t>
      </w:r>
      <w:r w:rsidRPr="00015112">
        <w:rPr>
          <w:sz w:val="16"/>
        </w:rPr>
        <w:t xml:space="preserve"> commonly </w:t>
      </w:r>
      <w:r w:rsidRPr="00015112">
        <w:rPr>
          <w:rStyle w:val="StyleUnderline"/>
        </w:rPr>
        <w:t>represents the practical existence of the state</w:t>
      </w:r>
      <w:r w:rsidRPr="00015112">
        <w:rPr>
          <w:sz w:val="16"/>
        </w:rPr>
        <w:t xml:space="preserve"> as we come to normally ‘know’ it.</w:t>
      </w:r>
    </w:p>
    <w:p w14:paraId="31600572" w14:textId="77777777" w:rsidR="002B3CD5" w:rsidRPr="00015112" w:rsidRDefault="002B3CD5" w:rsidP="002B3CD5">
      <w:pPr>
        <w:spacing w:line="240" w:lineRule="auto"/>
        <w:contextualSpacing/>
        <w:rPr>
          <w:sz w:val="16"/>
        </w:rPr>
      </w:pPr>
      <w:r w:rsidRPr="00015112">
        <w:rPr>
          <w:rStyle w:val="StyleUnderline"/>
        </w:rPr>
        <w:t>Domestic warfare has</w:t>
      </w:r>
      <w:r w:rsidRPr="00015112">
        <w:rPr>
          <w:sz w:val="16"/>
        </w:rPr>
        <w:t xml:space="preserve"> thus </w:t>
      </w:r>
      <w:r w:rsidRPr="00015112">
        <w:rPr>
          <w:rStyle w:val="StyleUnderline"/>
        </w:rPr>
        <w:t>become</w:t>
      </w:r>
      <w:r w:rsidRPr="00015112">
        <w:rPr>
          <w:sz w:val="16"/>
        </w:rPr>
        <w:t xml:space="preserve"> both </w:t>
      </w:r>
      <w:r w:rsidRPr="00015112">
        <w:rPr>
          <w:rStyle w:val="StyleUnderline"/>
        </w:rPr>
        <w:t xml:space="preserve">the common language and </w:t>
      </w:r>
      <w:r w:rsidRPr="00015112">
        <w:rPr>
          <w:sz w:val="16"/>
        </w:rPr>
        <w:t xml:space="preserve">intensely materialized </w:t>
      </w:r>
      <w:r w:rsidRPr="00015112">
        <w:rPr>
          <w:rStyle w:val="StyleUnderline"/>
        </w:rPr>
        <w:t xml:space="preserve">modality of the US state. </w:t>
      </w:r>
      <w:r w:rsidRPr="00015112">
        <w:rPr>
          <w:sz w:val="16"/>
        </w:rPr>
        <w:t xml:space="preserve">While this form of legitimated state violence certainly predates Reagan’s ‘war on drugs’ and his/its inheritors, </w:t>
      </w:r>
      <w:r w:rsidRPr="00015112">
        <w:rPr>
          <w:rStyle w:val="StyleUnderline"/>
        </w:rPr>
        <w:t xml:space="preserve">the scope and depth of domestic warmaking seems to be mounting with a peculiar urgency </w:t>
      </w:r>
      <w:r w:rsidRPr="00015112">
        <w:rPr>
          <w:sz w:val="16"/>
        </w:rPr>
        <w:t xml:space="preserve">in our historical moment. To take former NYPD and current LAPD Chief William Bratton on the strength of his own words, </w:t>
      </w:r>
      <w:r w:rsidRPr="00015112">
        <w:rPr>
          <w:rStyle w:val="StyleUnderline"/>
        </w:rPr>
        <w:t>the primary work of the police is to engage aggressively in ‘the internal war on terrorism’</w:t>
      </w:r>
      <w:r w:rsidRPr="00015112">
        <w:rPr>
          <w:sz w:val="16"/>
        </w:rPr>
        <w:t xml:space="preserve"> (Garvey and Winton 2002), </w:t>
      </w:r>
      <w:r w:rsidRPr="00015112">
        <w:rPr>
          <w:rStyle w:val="StyleUnderline"/>
        </w:rPr>
        <w:t xml:space="preserve">which </w:t>
      </w:r>
      <w:r w:rsidRPr="00015112">
        <w:rPr>
          <w:sz w:val="16"/>
        </w:rPr>
        <w:t>in these times</w:t>
      </w:r>
      <w:r w:rsidRPr="00015112">
        <w:rPr>
          <w:rStyle w:val="StyleUnderline"/>
        </w:rPr>
        <w:t xml:space="preserve"> entails</w:t>
      </w:r>
      <w:r w:rsidRPr="00015112">
        <w:rPr>
          <w:sz w:val="16"/>
        </w:rPr>
        <w:t xml:space="preserve"> everything from </w:t>
      </w:r>
      <w:r w:rsidRPr="00015112">
        <w:rPr>
          <w:rStyle w:val="StyleUnderline"/>
        </w:rPr>
        <w:t>record-breaking expansions of urban police</w:t>
      </w:r>
      <w:r w:rsidRPr="00015112">
        <w:rPr>
          <w:sz w:val="16"/>
        </w:rPr>
        <w:t xml:space="preserve"> forces (McGreevy 2007), to cross-party consensus in legislating state offensives against criminalized populations of choice (Rau 2007) </w:t>
      </w:r>
      <w:r w:rsidRPr="00015112">
        <w:rPr>
          <w:rStyle w:val="StyleUnderline"/>
        </w:rPr>
        <w:t>and the reshuffling of administrative relationships between the militarized and juridical arms of</w:t>
      </w:r>
      <w:r w:rsidRPr="00015112">
        <w:rPr>
          <w:sz w:val="16"/>
        </w:rPr>
        <w:t xml:space="preserve"> local and federal </w:t>
      </w:r>
      <w:r w:rsidRPr="00015112">
        <w:rPr>
          <w:rStyle w:val="StyleUnderline"/>
        </w:rPr>
        <w:t>government to facilitate the state’s</w:t>
      </w:r>
      <w:r w:rsidRPr="00015112">
        <w:rPr>
          <w:sz w:val="16"/>
        </w:rPr>
        <w:t xml:space="preserve"> various localized </w:t>
      </w:r>
      <w:r w:rsidRPr="00015112">
        <w:rPr>
          <w:rStyle w:val="StyleUnderline"/>
        </w:rPr>
        <w:t>‘wars on gangs’</w:t>
      </w:r>
      <w:r w:rsidRPr="00015112">
        <w:rPr>
          <w:sz w:val="16"/>
        </w:rPr>
        <w:t xml:space="preserve"> (McGreevy and Winton 2007). </w:t>
      </w:r>
      <w:r w:rsidRPr="00015112">
        <w:rPr>
          <w:rStyle w:val="StyleUnderline"/>
        </w:rPr>
        <w:t>This modality of domestic warmaking also</w:t>
      </w:r>
      <w:r w:rsidRPr="00015112">
        <w:rPr>
          <w:sz w:val="16"/>
        </w:rPr>
        <w:t xml:space="preserve">, crucially, </w:t>
      </w:r>
      <w:r w:rsidRPr="00015112">
        <w:rPr>
          <w:rStyle w:val="StyleUnderline"/>
        </w:rPr>
        <w:t>entails the discursive innovations of</w:t>
      </w:r>
      <w:r w:rsidRPr="00015112">
        <w:rPr>
          <w:sz w:val="16"/>
        </w:rPr>
        <w:t xml:space="preserve"> an emergent multiculturalist </w:t>
      </w:r>
      <w:r w:rsidRPr="00015112">
        <w:rPr>
          <w:rStyle w:val="StyleUnderline"/>
        </w:rPr>
        <w:t>white supremacy, wherein authoritative embodiments of the</w:t>
      </w:r>
      <w:r w:rsidRPr="00015112">
        <w:rPr>
          <w:sz w:val="16"/>
        </w:rPr>
        <w:t xml:space="preserve"> ‘new’ post-civil rights </w:t>
      </w:r>
      <w:r w:rsidRPr="00015112">
        <w:rPr>
          <w:rStyle w:val="StyleUnderline"/>
        </w:rPr>
        <w:t>racist state smoothly recapitulate the a priori of the nation-building project.</w:t>
      </w:r>
      <w:r w:rsidRPr="00015112">
        <w:rPr>
          <w:sz w:val="16"/>
        </w:rPr>
        <w:t xml:space="preserve"> Barack Obama’s now notorious 2008 Father’s Day speech at the Apostolic Church of God in Chicago, in which he scolded and cajoled ‘black fathers’ for ‘acting like boys instead of men’ and rendering ‘the foundations of our families … weaker’, also encompassed a back-door (and largely unnoticed) pledge of allegiance to the law-and-order state: ‘Yes, we need more cops on the street. Yes, we need fewer guns in the hands of people who shouldn’t have them.’ (Obama 2008) Crucially, Obama obtained an enthusiastic round of applause from his ostensibly progressive black audience on all rhetorical counts.</w:t>
      </w:r>
    </w:p>
    <w:p w14:paraId="4BBDB59D" w14:textId="77777777" w:rsidR="002B3CD5" w:rsidRPr="00015112" w:rsidRDefault="002B3CD5" w:rsidP="002B3CD5">
      <w:pPr>
        <w:spacing w:line="240" w:lineRule="auto"/>
        <w:contextualSpacing/>
        <w:rPr>
          <w:sz w:val="16"/>
        </w:rPr>
      </w:pPr>
      <w:r w:rsidRPr="00015112">
        <w:rPr>
          <w:sz w:val="16"/>
        </w:rPr>
        <w:t xml:space="preserve">It is in this context that we can urgently assume </w:t>
      </w:r>
      <w:r w:rsidRPr="00015112">
        <w:rPr>
          <w:rStyle w:val="StyleUnderline"/>
        </w:rPr>
        <w:t>the political burden of critically assessing the work of progressive</w:t>
      </w:r>
      <w:r w:rsidRPr="00015112">
        <w:rPr>
          <w:sz w:val="16"/>
        </w:rPr>
        <w:t xml:space="preserve"> USA-based community and non-profit organizations, grass roots </w:t>
      </w:r>
      <w:r w:rsidRPr="00015112">
        <w:rPr>
          <w:rStyle w:val="StyleUnderline"/>
        </w:rPr>
        <w:t>movements</w:t>
      </w:r>
      <w:r w:rsidRPr="00015112">
        <w:rPr>
          <w:sz w:val="16"/>
        </w:rPr>
        <w:t>, and issue-based campaigns: that is,</w:t>
      </w:r>
      <w:r w:rsidRPr="00015112">
        <w:rPr>
          <w:rStyle w:val="StyleUnderline"/>
        </w:rPr>
        <w:t xml:space="preserve"> if</w:t>
      </w:r>
      <w:r w:rsidRPr="00015112">
        <w:rPr>
          <w:sz w:val="16"/>
        </w:rPr>
        <w:t xml:space="preserve"> critical scholars, progressive and radical scholar activists, and </w:t>
      </w:r>
      <w:r w:rsidRPr="00015112">
        <w:rPr>
          <w:rStyle w:val="StyleUnderline"/>
        </w:rPr>
        <w:t>antiviolence movements are to take the state’s own language of domestic warfare seriously, what are they to make of the</w:t>
      </w:r>
      <w:r w:rsidRPr="00015112">
        <w:rPr>
          <w:sz w:val="16"/>
        </w:rPr>
        <w:t xml:space="preserve"> political, ideological, </w:t>
      </w:r>
      <w:r w:rsidRPr="00015112">
        <w:rPr>
          <w:rStyle w:val="StyleUnderline"/>
        </w:rPr>
        <w:t>institutional</w:t>
      </w:r>
      <w:r w:rsidRPr="00015112">
        <w:rPr>
          <w:sz w:val="16"/>
        </w:rPr>
        <w:t xml:space="preserve">, and financial </w:t>
      </w:r>
      <w:r w:rsidRPr="00015112">
        <w:rPr>
          <w:rStyle w:val="StyleUnderline"/>
        </w:rPr>
        <w:t>relationships that</w:t>
      </w:r>
      <w:r w:rsidRPr="00015112">
        <w:rPr>
          <w:sz w:val="16"/>
        </w:rPr>
        <w:t xml:space="preserve"> progressive </w:t>
      </w:r>
      <w:r w:rsidRPr="00015112">
        <w:rPr>
          <w:rStyle w:val="StyleUnderline"/>
        </w:rPr>
        <w:t xml:space="preserve">movements, </w:t>
      </w:r>
      <w:r w:rsidRPr="00015112">
        <w:rPr>
          <w:sz w:val="16"/>
        </w:rPr>
        <w:t xml:space="preserve">campaigns, and organizations </w:t>
      </w:r>
      <w:r w:rsidRPr="00015112">
        <w:rPr>
          <w:rStyle w:val="StyleUnderline"/>
        </w:rPr>
        <w:t>are creating in</w:t>
      </w:r>
      <w:r w:rsidRPr="00015112">
        <w:rPr>
          <w:sz w:val="16"/>
        </w:rPr>
        <w:t xml:space="preserve"> (uneasy) </w:t>
      </w:r>
      <w:r w:rsidRPr="00015112">
        <w:rPr>
          <w:rStyle w:val="StyleUnderline"/>
        </w:rPr>
        <w:t xml:space="preserve">alliance with the state’s </w:t>
      </w:r>
      <w:r w:rsidRPr="00015112">
        <w:rPr>
          <w:sz w:val="16"/>
        </w:rPr>
        <w:t xml:space="preserve">vast </w:t>
      </w:r>
      <w:r w:rsidRPr="00015112">
        <w:rPr>
          <w:rStyle w:val="StyleUnderline"/>
        </w:rPr>
        <w:t xml:space="preserve">architectures of war? </w:t>
      </w:r>
      <w:r w:rsidRPr="00015112">
        <w:rPr>
          <w:sz w:val="16"/>
        </w:rPr>
        <w:t>Under what conditions and sets of assumptions are progressive activists, organizers, and scholars able to so militantly oppose the proliferation of American state violence in other parts of the world, while tolerating the everyday and nearby state violence of US policing, criminal law, and low-intensity genocide?</w:t>
      </w:r>
    </w:p>
    <w:p w14:paraId="47ED21A6" w14:textId="77777777" w:rsidR="002B3CD5" w:rsidRPr="00015112" w:rsidRDefault="002B3CD5" w:rsidP="002B3CD5">
      <w:pPr>
        <w:spacing w:line="240" w:lineRule="auto"/>
        <w:contextualSpacing/>
        <w:rPr>
          <w:sz w:val="16"/>
          <w:szCs w:val="16"/>
        </w:rPr>
      </w:pPr>
      <w:r w:rsidRPr="00015112">
        <w:rPr>
          <w:sz w:val="16"/>
          <w:szCs w:val="16"/>
        </w:rPr>
        <w:t xml:space="preserve">By way of brief example, the early 21st century renaissance of ‘Immigrant Rights’ activism in the USA has frequently reasserted the mystified novelties of the ‘post-9/11’ Homeland Security racist state. While an intensified critical focus on the criminalization and imprisonment of brown migrants does enable a particularized critique of the US racist state, it has at times nonetheless produced a troublesome political insistence that </w:t>
      </w:r>
    </w:p>
    <w:p w14:paraId="6F30C06F" w14:textId="77777777" w:rsidR="002B3CD5" w:rsidRPr="00015112" w:rsidRDefault="002B3CD5" w:rsidP="002B3CD5">
      <w:pPr>
        <w:spacing w:line="240" w:lineRule="auto"/>
        <w:contextualSpacing/>
        <w:rPr>
          <w:sz w:val="16"/>
          <w:szCs w:val="16"/>
        </w:rPr>
      </w:pPr>
      <w:r w:rsidRPr="00015112">
        <w:rPr>
          <w:sz w:val="16"/>
          <w:szCs w:val="16"/>
        </w:rPr>
        <w:t xml:space="preserve">1) the objective sociopolitical crisis refracted in US racist criminalization has substantially changed in form, and is significantly anchored to </w:t>
      </w:r>
    </w:p>
    <w:p w14:paraId="3C534814" w14:textId="77777777" w:rsidR="002B3CD5" w:rsidRPr="00015112" w:rsidRDefault="002B3CD5" w:rsidP="002B3CD5">
      <w:pPr>
        <w:spacing w:line="240" w:lineRule="auto"/>
        <w:contextualSpacing/>
        <w:rPr>
          <w:sz w:val="16"/>
          <w:szCs w:val="16"/>
        </w:rPr>
      </w:pPr>
      <w:r w:rsidRPr="00015112">
        <w:rPr>
          <w:sz w:val="16"/>
          <w:szCs w:val="16"/>
        </w:rPr>
        <w:t>2) a qualitative shift in the logic of US state racism itself (Nguyen 2005). 4 Thus, the political rubric and analytical category of ‘(anti-) immigrant’ criminalization, detention, policing has become both a critically necessary and theoretically troubling discursiveterrain. On the one hand, theracist criminalization and domestic pursuit of (assumptively) brown migrants and/or racially coded ‘alien/undocumented’ bodies is a classical technology of the US white supremacist state. In this sense, a situated historical examination of how this racist statecraft articulates particularly and peculiarly to our political moment is clearly crucial to understanding, effectively resisting, and radically critiquing the specific edifices of US state violence in their most common institutional terms: Homeland Security, border policing, wars on (immigrant) gangs, and ‘illegal immigrant’ control. On the other hand, the rubric of ‘immigrant rights’ – to the extent that it focuses largely on (non-black and non-indigenous) racial criminalizations of Mexican, Latino/a and Middle Eastern border crossers – runs the risk of reconstituting the fetishized political category and vexed rhetoric of an alleged ‘post-9/11’ (racial) era. As I have elaborated more extensively elsewhere (Rodríguez 2008) this political-discursivestructuresuggests, and sometimesexplicitly asserts, the emergence of multiple ‘new’ forms of racist state violence in the context of a ‘War on Terror’, and often relies on an exceptionalist, ahistorical narration of anti-immigrant civil and state violence in order to distinguish immigrant criminalization/detention from other, more politically normalized forms of institutionalized racist dehumanization. This myopic analytical approach displaces – and pragmatically obstructs – the difficult praxis of conceptualizing immigrant criminalization within the organic logic of the totality of US white supremacist state violence, as addressed in the incisive work of such scholar activists as Davíd Manuel Hernandez (2008), Martha Escobar (2008), and others.</w:t>
      </w:r>
    </w:p>
    <w:p w14:paraId="6200F484" w14:textId="77777777" w:rsidR="002B3CD5" w:rsidRPr="00015112" w:rsidRDefault="002B3CD5" w:rsidP="002B3CD5">
      <w:pPr>
        <w:spacing w:line="240" w:lineRule="auto"/>
        <w:contextualSpacing/>
        <w:rPr>
          <w:sz w:val="16"/>
        </w:rPr>
      </w:pPr>
      <w:r w:rsidRPr="00015112">
        <w:rPr>
          <w:sz w:val="16"/>
        </w:rPr>
        <w:t xml:space="preserve">Thus, </w:t>
      </w:r>
      <w:r w:rsidRPr="00015112">
        <w:rPr>
          <w:rStyle w:val="StyleUnderline"/>
        </w:rPr>
        <w:t>behind the din of progressive</w:t>
      </w:r>
      <w:r w:rsidRPr="00015112">
        <w:rPr>
          <w:sz w:val="16"/>
        </w:rPr>
        <w:t xml:space="preserve"> and liberal reformist </w:t>
      </w:r>
      <w:r w:rsidRPr="00015112">
        <w:rPr>
          <w:rStyle w:val="StyleUnderline"/>
        </w:rPr>
        <w:t>struggles over public policy</w:t>
      </w:r>
      <w:r w:rsidRPr="00015112">
        <w:rPr>
          <w:sz w:val="16"/>
        </w:rPr>
        <w:t xml:space="preserve">, civil liberties, and law, and beneath the infrequent mobilizations of activity to defend against the next onslaught of racist, classist, ageist, and misogynist criminalization, </w:t>
      </w:r>
      <w:r w:rsidRPr="00015112">
        <w:rPr>
          <w:rStyle w:val="StyleUnderline"/>
        </w:rPr>
        <w:t xml:space="preserve">there is an unspoken politics of assumption that takes for granted the mystified permanence of domestic warfare as a constant production of targeted and massive suffering, guided by the logic of normalized and mundane black, brown, and indigenous subjection to the expediencies and essential violence of the American (global) nation-building project. </w:t>
      </w:r>
      <w:r w:rsidRPr="00015112">
        <w:rPr>
          <w:sz w:val="16"/>
        </w:rPr>
        <w:t xml:space="preserve">To put it differently: </w:t>
      </w:r>
      <w:r w:rsidRPr="00015112">
        <w:rPr>
          <w:rStyle w:val="StyleUnderline"/>
        </w:rPr>
        <w:t>despite the unprecedented forms of imprisonment,</w:t>
      </w:r>
      <w:r w:rsidRPr="00015112">
        <w:rPr>
          <w:sz w:val="16"/>
        </w:rPr>
        <w:t xml:space="preserve"> social and political </w:t>
      </w:r>
      <w:r w:rsidRPr="00015112">
        <w:rPr>
          <w:rStyle w:val="StyleUnderline"/>
        </w:rPr>
        <w:t>repression, and violent policing</w:t>
      </w:r>
      <w:r w:rsidRPr="00015112">
        <w:rPr>
          <w:sz w:val="16"/>
        </w:rPr>
        <w:t xml:space="preserve"> that compose the mosaic of our historical time,</w:t>
      </w:r>
      <w:r w:rsidRPr="00015112">
        <w:rPr>
          <w:rStyle w:val="StyleUnderline"/>
        </w:rPr>
        <w:t xml:space="preserve"> the</w:t>
      </w:r>
      <w:r w:rsidRPr="00015112">
        <w:rPr>
          <w:sz w:val="16"/>
        </w:rPr>
        <w:t xml:space="preserve"> establishment </w:t>
      </w:r>
      <w:r w:rsidRPr="00015112">
        <w:rPr>
          <w:rStyle w:val="StyleUnderline"/>
        </w:rPr>
        <w:t>left</w:t>
      </w:r>
      <w:r w:rsidRPr="00015112">
        <w:rPr>
          <w:sz w:val="16"/>
        </w:rPr>
        <w:t xml:space="preserve"> (within and perhaps beyond the USA) really </w:t>
      </w:r>
      <w:r w:rsidRPr="00015112">
        <w:rPr>
          <w:rStyle w:val="StyleUnderline"/>
        </w:rPr>
        <w:t>does not care to envision</w:t>
      </w:r>
      <w:r w:rsidRPr="00015112">
        <w:rPr>
          <w:sz w:val="16"/>
        </w:rPr>
        <w:t xml:space="preserve">, much less politically prioritize, </w:t>
      </w:r>
      <w:r w:rsidRPr="00015112">
        <w:rPr>
          <w:rStyle w:val="StyleUnderline"/>
        </w:rPr>
        <w:t>the abolition of US domestic warfare</w:t>
      </w:r>
      <w:r w:rsidRPr="00015112">
        <w:rPr>
          <w:sz w:val="16"/>
        </w:rPr>
        <w:t xml:space="preserve"> </w:t>
      </w:r>
      <w:r w:rsidRPr="00015112">
        <w:rPr>
          <w:rStyle w:val="StyleUnderline"/>
        </w:rPr>
        <w:t>and its structuring white supremacist social logic</w:t>
      </w:r>
      <w:r w:rsidRPr="00015112">
        <w:rPr>
          <w:sz w:val="16"/>
        </w:rPr>
        <w:t xml:space="preserve"> as its most urgent task of the present and future. The non-profit and NGO left, in particular, seems content to engage in desperate (and usually well-intentioned) attempts to manage the casualties of domestic warfare, </w:t>
      </w:r>
      <w:r w:rsidRPr="00015112">
        <w:rPr>
          <w:rStyle w:val="StyleUnderline"/>
        </w:rPr>
        <w:t>foregoing the urgency of an abolitionist praxis that openly</w:t>
      </w:r>
      <w:r w:rsidRPr="00015112">
        <w:rPr>
          <w:sz w:val="16"/>
        </w:rPr>
        <w:t xml:space="preserve">, critically, and radically </w:t>
      </w:r>
      <w:r w:rsidRPr="00015112">
        <w:rPr>
          <w:rStyle w:val="StyleUnderline"/>
        </w:rPr>
        <w:t xml:space="preserve">addresses the </w:t>
      </w:r>
      <w:r w:rsidRPr="00015112">
        <w:rPr>
          <w:sz w:val="16"/>
        </w:rPr>
        <w:t xml:space="preserve">moral, cultural, and political </w:t>
      </w:r>
      <w:r w:rsidRPr="00015112">
        <w:rPr>
          <w:rStyle w:val="StyleUnderline"/>
        </w:rPr>
        <w:t>premises of these wars.</w:t>
      </w:r>
    </w:p>
    <w:p w14:paraId="59B15035" w14:textId="77777777" w:rsidR="002B3CD5" w:rsidRPr="00015112" w:rsidRDefault="002B3CD5" w:rsidP="002B3CD5">
      <w:pPr>
        <w:spacing w:line="240" w:lineRule="auto"/>
        <w:contextualSpacing/>
        <w:rPr>
          <w:sz w:val="16"/>
        </w:rPr>
      </w:pPr>
      <w:r w:rsidRPr="00015112">
        <w:rPr>
          <w:sz w:val="16"/>
        </w:rPr>
        <w:t xml:space="preserve">In so many ways, the US progressive/left establishment is filling the void created by what Ruth Wilson Gilmore has called the violent ‘abandonments’ of the state, which forfeits and implodes its own social welfare capacities (which were already insufficient at best) while transforming and (productively) exploding its domestic warmaking functionalities – which Gilmore (2007b: 44–5) says are guided by a ‘frightening willingness to engage in human sacrifice’. Yet, at the same time that the state has been openly galvanizing itself to declare and wage violent struggle against strategically targeted local populations, the establishment left remains relatively unwilling and therefore institutionally unable to address the questions of social survival, grass roots mobilization, radical social justice, and social transformation on the concrete and everyday terms of the very domestic war(s) that the state has so openly and repeatedly declared as the premises of its own coherence. </w:t>
      </w:r>
      <w:r w:rsidRPr="00015112">
        <w:rPr>
          <w:rStyle w:val="StyleUnderline"/>
        </w:rPr>
        <w:t>Given that domestic warfare composes both the</w:t>
      </w:r>
      <w:r w:rsidRPr="00015112">
        <w:rPr>
          <w:sz w:val="16"/>
        </w:rPr>
        <w:t xml:space="preserve"> common </w:t>
      </w:r>
      <w:r w:rsidRPr="00015112">
        <w:rPr>
          <w:rStyle w:val="StyleUnderline"/>
        </w:rPr>
        <w:t xml:space="preserve">narrative language and concrete material production of the state, the question remains as to why the </w:t>
      </w:r>
      <w:r w:rsidRPr="00015112">
        <w:rPr>
          <w:sz w:val="16"/>
        </w:rPr>
        <w:t xml:space="preserve">establishment </w:t>
      </w:r>
      <w:r w:rsidRPr="00015112">
        <w:rPr>
          <w:rStyle w:val="StyleUnderline"/>
        </w:rPr>
        <w:t>left has not understood this statecraft as the state of emergency that</w:t>
      </w:r>
      <w:r w:rsidRPr="00015112">
        <w:rPr>
          <w:sz w:val="16"/>
        </w:rPr>
        <w:t xml:space="preserve"> the condition so openly, institutionally </w:t>
      </w:r>
      <w:r w:rsidRPr="00015112">
        <w:rPr>
          <w:rStyle w:val="StyleUnderline"/>
        </w:rPr>
        <w:t>encompasses (war!)</w:t>
      </w:r>
      <w:r w:rsidRPr="00015112">
        <w:rPr>
          <w:sz w:val="16"/>
        </w:rPr>
        <w:t>. Perhaps it is because critical intellectuals, scholar activists, and progressive organizers are underestimating the skill and reach of the state as a pedagogical (teaching) apparatus, that they have generally undertheorized how the state so skillfully generates (and often politically accommodates) sanctioned spaces of political contradiction that engulf ‘dissent’ and counter-state, antiracist, and antiviolence organizing</w:t>
      </w:r>
    </w:p>
    <w:p w14:paraId="025EDC72" w14:textId="77777777" w:rsidR="002B3CD5" w:rsidRPr="00015112" w:rsidRDefault="002B3CD5" w:rsidP="002B3CD5"/>
    <w:p w14:paraId="0C3BB711" w14:textId="77777777" w:rsidR="002B3CD5" w:rsidRPr="00015112" w:rsidRDefault="002B3CD5" w:rsidP="002B3CD5"/>
    <w:p w14:paraId="69EABCC0" w14:textId="77777777" w:rsidR="002B3CD5" w:rsidRPr="00015112" w:rsidRDefault="002B3CD5" w:rsidP="002B3CD5"/>
    <w:p w14:paraId="1E03E327" w14:textId="0E0226DF" w:rsidR="00E9357B" w:rsidRPr="00015112" w:rsidRDefault="00CB1D9D" w:rsidP="00CB1D9D">
      <w:pPr>
        <w:pStyle w:val="Heading2"/>
      </w:pPr>
      <w:r w:rsidRPr="00015112">
        <w:t>Impact</w:t>
      </w:r>
    </w:p>
    <w:p w14:paraId="35E2526E" w14:textId="3D83DFD5" w:rsidR="00EF23E7" w:rsidRPr="00015112" w:rsidRDefault="00EF23E7" w:rsidP="00EC52FE">
      <w:pPr>
        <w:pStyle w:val="Heading3"/>
      </w:pPr>
      <w:r w:rsidRPr="00015112">
        <w:t xml:space="preserve">2NC – </w:t>
      </w:r>
      <w:r w:rsidR="00ED6DC1" w:rsidRPr="00015112">
        <w:t>!</w:t>
      </w:r>
      <w:r w:rsidRPr="00015112">
        <w:t xml:space="preserve"> – Extinction – Mishra</w:t>
      </w:r>
    </w:p>
    <w:p w14:paraId="1E24E075" w14:textId="4CB04BDC" w:rsidR="00EF23E7" w:rsidRPr="00015112" w:rsidRDefault="007B374A" w:rsidP="00EF23E7">
      <w:pPr>
        <w:pStyle w:val="Heading4"/>
        <w:rPr>
          <w:rFonts w:cs="Times New Roman"/>
        </w:rPr>
      </w:pPr>
      <w:r w:rsidRPr="00015112">
        <w:rPr>
          <w:rFonts w:cs="Times New Roman"/>
        </w:rPr>
        <w:t>Settler politics</w:t>
      </w:r>
      <w:r w:rsidR="00EF23E7" w:rsidRPr="00015112">
        <w:rPr>
          <w:rFonts w:cs="Times New Roman"/>
        </w:rPr>
        <w:t xml:space="preserve"> threatens the </w:t>
      </w:r>
      <w:r w:rsidR="00EF23E7" w:rsidRPr="00015112">
        <w:rPr>
          <w:rFonts w:cs="Times New Roman"/>
          <w:u w:val="single"/>
        </w:rPr>
        <w:t>entire</w:t>
      </w:r>
      <w:r w:rsidR="00EF23E7" w:rsidRPr="00015112">
        <w:rPr>
          <w:rFonts w:cs="Times New Roman"/>
        </w:rPr>
        <w:t xml:space="preserve"> planet with </w:t>
      </w:r>
      <w:r w:rsidR="00EF23E7" w:rsidRPr="00015112">
        <w:rPr>
          <w:rFonts w:cs="Times New Roman"/>
          <w:u w:val="single"/>
        </w:rPr>
        <w:t>endless racist violence</w:t>
      </w:r>
      <w:r w:rsidR="00EF23E7" w:rsidRPr="00015112">
        <w:rPr>
          <w:rFonts w:cs="Times New Roman"/>
        </w:rPr>
        <w:t>.</w:t>
      </w:r>
    </w:p>
    <w:p w14:paraId="07C3AD4B" w14:textId="77777777" w:rsidR="00EF23E7" w:rsidRPr="00015112" w:rsidRDefault="00EF23E7" w:rsidP="00EF23E7">
      <w:r w:rsidRPr="00015112">
        <w:rPr>
          <w:rStyle w:val="Style13ptBold"/>
        </w:rPr>
        <w:t>Mishra 18</w:t>
      </w:r>
      <w:r w:rsidRPr="00015112">
        <w:t xml:space="preserve">, MA @ Jawaharlal Nehru University in New Delhi (Pankaj, “The Religion of Whiteness Becomes a Suicide Cult,” </w:t>
      </w:r>
      <w:r w:rsidRPr="00015112">
        <w:rPr>
          <w:i/>
          <w:iCs/>
        </w:rPr>
        <w:t>New York Times</w:t>
      </w:r>
      <w:r w:rsidRPr="00015112">
        <w:t>, https://www.nytimes.com/2018/08/30/opinion/race-politics-whiteness.html)//BB</w:t>
      </w:r>
    </w:p>
    <w:p w14:paraId="78DBBFFA" w14:textId="77777777" w:rsidR="00EF23E7" w:rsidRPr="00015112" w:rsidRDefault="00EF23E7" w:rsidP="00EF23E7">
      <w:pPr>
        <w:rPr>
          <w:sz w:val="14"/>
        </w:rPr>
      </w:pPr>
      <w:r w:rsidRPr="00015112">
        <w:rPr>
          <w:sz w:val="14"/>
        </w:rPr>
        <w:t xml:space="preserve">In the years that followed, politicians and pundits in Britain and its </w:t>
      </w:r>
      <w:r w:rsidRPr="00015112">
        <w:rPr>
          <w:rStyle w:val="StyleUnderline"/>
        </w:rPr>
        <w:t>settler</w:t>
      </w:r>
      <w:r w:rsidRPr="00015112">
        <w:rPr>
          <w:sz w:val="14"/>
        </w:rPr>
        <w:t xml:space="preserve"> colonies of Australia, Canada and the United States would jointly forge an </w:t>
      </w:r>
      <w:r w:rsidRPr="00015112">
        <w:rPr>
          <w:rStyle w:val="StyleUnderline"/>
        </w:rPr>
        <w:t>identity geopolitics</w:t>
      </w:r>
      <w:r w:rsidRPr="00015112">
        <w:rPr>
          <w:sz w:val="14"/>
        </w:rPr>
        <w:t xml:space="preserve"> of the “higher races.” Today it </w:t>
      </w:r>
      <w:r w:rsidRPr="00015112">
        <w:rPr>
          <w:rStyle w:val="StyleUnderline"/>
        </w:rPr>
        <w:t xml:space="preserve">has reached its final and </w:t>
      </w:r>
      <w:r w:rsidRPr="00015112">
        <w:rPr>
          <w:rStyle w:val="Emphasis"/>
        </w:rPr>
        <w:t>most desperate phase</w:t>
      </w:r>
      <w:r w:rsidRPr="00015112">
        <w:rPr>
          <w:rStyle w:val="StyleUnderline"/>
        </w:rPr>
        <w:t xml:space="preserve">, with </w:t>
      </w:r>
      <w:r w:rsidRPr="00015112">
        <w:rPr>
          <w:rStyle w:val="Emphasis"/>
        </w:rPr>
        <w:t>existential fears</w:t>
      </w:r>
      <w:r w:rsidRPr="00015112">
        <w:rPr>
          <w:rStyle w:val="StyleUnderline"/>
        </w:rPr>
        <w:t xml:space="preserve"> about endangered white power feverishly circulating</w:t>
      </w:r>
      <w:r w:rsidRPr="00015112">
        <w:rPr>
          <w:sz w:val="14"/>
        </w:rPr>
        <w:t xml:space="preserve"> once again between the core and periphery of the greatest modern empire. “The fundamental question of our time is whether the West has the will to survive,” President Trump said last year in a speech hailed by the British journalist Douglas Murray, the Canadian columnist Mark Steyn and the American editor Rich Lowry. More recently, Mr. Trump tweeted (falsely) about “large-scale killing” of white farmers in South Africa — a preoccupation, deepened by Rupert Murdoch’s media, of white supremacists around the world.</w:t>
      </w:r>
    </w:p>
    <w:p w14:paraId="2160E0B2" w14:textId="77777777" w:rsidR="00EF23E7" w:rsidRPr="00015112" w:rsidRDefault="00EF23E7" w:rsidP="00EF23E7">
      <w:pPr>
        <w:rPr>
          <w:sz w:val="14"/>
          <w:szCs w:val="14"/>
        </w:rPr>
      </w:pPr>
      <w:r w:rsidRPr="00015112">
        <w:rPr>
          <w:sz w:val="14"/>
          <w:szCs w:val="14"/>
        </w:rPr>
        <w:t xml:space="preserve">To understand the rapid mainstreaming of white supremacism in English-speaking liberal democracies today, we must examine the experience of unprecedented global migration and racial mixing in the Anglosphere in the late 19th century: countries such as the United States and Australia where, as Roosevelt wrote admiringly in 1897, “democracy, with the clear instinct of race selfishness, saw the race foe, and kept out the dangerous alien.” It is in the motherlands of democracy rather than in fascist Europe that racial hierarchies first defined the modern world. It is also where a last-ditch and potentially calamitous battle to preserve them is being fought today. This “race selfishness” was sharpened in the late 19th century, as the elites of the “higher races” struggled to contain mass disaffection generated by the traumatic change of globalization: loss of jobs and livelihoods amid rapid economic growth and intensified movements of capital, goods and labor. For fearful ruling classes, political order depended on their ability to forge an alliance between, as Hannah Arendt wrote, “capital and mob,” between rich and powerful whites and those rendered superfluous by industrial capitalism. Exclusion or degradation of nonwhite peoples seemed one way of securing dignity for those marginalized by economic and technological shifts. The political climate was prepared by intellectuals with clear-cut racial theories, such as Brooks Adams, a Boston Brahmin friend of Roosevelt, and Charles B. Davenport, the leading American exponent of eugenics. In Australia, Pearson’s social Darwinism was amplified by media barons like Keith Murdoch (father of Rupert and a stalwart of the eugenics movement) and institutionalized in a “White Australia” policy that restricted “colored” migration for most of the 20th century. Anti-minority passions in the United States peaked with the 1924 immigration law (much admired by Hitler and, more recently, by Jeff Sessions), which impeded Jewish immigrants and barred Asians entirely. By the early 20th century, violence against indigenous peoples, immigrants and African-Americans reached a new ferocity, and nativist and racist demagogues entrenched a politics of dispossession, segregation and disenfranchisement. Seeking to maintain white power globally, Roosevelt helped transform the United States into a major imperialist power. Woodrow Wilson, too, worked to preserve, as he put it, “white civilization and its domination of the planet” even as he patented the emollient rhetoric of liberal internationalism that many in the American political and media establishment still parrot. At the post-World War I Paris Peace Conference, which Wilson supervised, the leaders of Britain, the United States, Australia, South Africa, New Zealand and Canada not only humiliated the many Asians and Africans demanding self-determination; they also jointly defeated an attempt by Japan, their wartime ally, to have a racial equality clause included in the Covenant of the League of Nations. The exposure of Nazi crimes, followed by decolonization and civil rights movements, generally discredited quasi-scientific racism and stigmatized overt expressions of white supremacism. In our own time, global capitalism has promised to build a colorblind world through economic integration. But as revolts erupt against globalization in its latest, more disruptive phase, politicians and pundits in the Anglosphere are again scrambling to rebuild political communities around what W. E.B. Du Bois in 1910 identified as “the new religion of whiteness.” </w:t>
      </w:r>
    </w:p>
    <w:p w14:paraId="1C98BE58" w14:textId="77777777" w:rsidR="00EF23E7" w:rsidRPr="00015112" w:rsidRDefault="00EF23E7" w:rsidP="00EF23E7">
      <w:pPr>
        <w:rPr>
          <w:sz w:val="14"/>
          <w:szCs w:val="14"/>
        </w:rPr>
      </w:pPr>
      <w:r w:rsidRPr="00015112">
        <w:rPr>
          <w:sz w:val="14"/>
          <w:szCs w:val="14"/>
        </w:rPr>
        <w:t>The intellectual white web originally woven in late-19th-century Australia vibrates once more with what the historians Marilyn Lake and Henry Reynolds termed “</w:t>
      </w:r>
      <w:r w:rsidRPr="00015112">
        <w:rPr>
          <w:rStyle w:val="Emphasis"/>
        </w:rPr>
        <w:t>racial knowledge</w:t>
      </w:r>
      <w:r w:rsidRPr="00015112">
        <w:rPr>
          <w:rStyle w:val="StyleUnderline"/>
        </w:rPr>
        <w:t xml:space="preserve"> and </w:t>
      </w:r>
      <w:r w:rsidRPr="00015112">
        <w:rPr>
          <w:rStyle w:val="Emphasis"/>
        </w:rPr>
        <w:t>technologies</w:t>
      </w:r>
      <w:r w:rsidRPr="00015112">
        <w:rPr>
          <w:sz w:val="14"/>
          <w:szCs w:val="14"/>
        </w:rPr>
        <w:t xml:space="preserve"> that </w:t>
      </w:r>
      <w:r w:rsidRPr="00015112">
        <w:rPr>
          <w:rStyle w:val="StyleUnderline"/>
        </w:rPr>
        <w:t>animated white men’s countries and their</w:t>
      </w:r>
      <w:r w:rsidRPr="00015112">
        <w:rPr>
          <w:sz w:val="14"/>
          <w:szCs w:val="14"/>
        </w:rPr>
        <w:t xml:space="preserve"> strategies of </w:t>
      </w:r>
      <w:r w:rsidRPr="00015112">
        <w:rPr>
          <w:rStyle w:val="Emphasis"/>
        </w:rPr>
        <w:t>exclusion</w:t>
      </w:r>
      <w:r w:rsidRPr="00015112">
        <w:rPr>
          <w:rStyle w:val="StyleUnderline"/>
        </w:rPr>
        <w:t xml:space="preserve">, </w:t>
      </w:r>
      <w:r w:rsidRPr="00015112">
        <w:rPr>
          <w:rStyle w:val="Emphasis"/>
        </w:rPr>
        <w:t>deportation</w:t>
      </w:r>
      <w:r w:rsidRPr="00015112">
        <w:rPr>
          <w:rStyle w:val="StyleUnderline"/>
        </w:rPr>
        <w:t xml:space="preserve"> and </w:t>
      </w:r>
      <w:r w:rsidRPr="00015112">
        <w:rPr>
          <w:rStyle w:val="Emphasis"/>
        </w:rPr>
        <w:t>segregation</w:t>
      </w:r>
      <w:r w:rsidRPr="00015112">
        <w:rPr>
          <w:sz w:val="14"/>
          <w:szCs w:val="14"/>
        </w:rPr>
        <w:t xml:space="preserve">.” Mr. Trump, for instance, has chosen Australia’s brutal but popular immigration policies as a model: “That is a good idea. We should do that too,” he said in January 2017 to Malcolm Turnbull, Australia’s prime minister at the time, as he explained his tactic of locking up refugees on remote islands. “You are worse than I am,” Mr. Trump told Mr. Turnbull. </w:t>
      </w:r>
    </w:p>
    <w:p w14:paraId="2ACAF9DB" w14:textId="77777777" w:rsidR="00EF23E7" w:rsidRPr="00015112" w:rsidRDefault="00EF23E7" w:rsidP="00EF23E7">
      <w:pPr>
        <w:rPr>
          <w:sz w:val="14"/>
          <w:szCs w:val="14"/>
        </w:rPr>
      </w:pPr>
      <w:r w:rsidRPr="00015112">
        <w:rPr>
          <w:sz w:val="14"/>
          <w:szCs w:val="14"/>
        </w:rPr>
        <w:t xml:space="preserve">If right-wing Australian politicians were among the first to mainstream a belligerent white nationalism, the periodicals and television channels of Rupert Murdoch have worked overtime to preserve the alliance between capital and mob in the Anglosphere. Indulged by Mr. Murdoch’s newspapers, writers like Bernard Lewis, Niall Ferguson, David Frum, Andrew Sullivan and Andrew Roberts repeatedly urged American neoconservatives after the Sept. 11 attacks to take up the aging white man’s burden and quell mutinous natives. </w:t>
      </w:r>
    </w:p>
    <w:p w14:paraId="47E00FC3" w14:textId="77777777" w:rsidR="00EF23E7" w:rsidRPr="00015112" w:rsidRDefault="00EF23E7" w:rsidP="00EF23E7">
      <w:pPr>
        <w:rPr>
          <w:sz w:val="14"/>
        </w:rPr>
      </w:pPr>
      <w:r w:rsidRPr="00015112">
        <w:rPr>
          <w:sz w:val="14"/>
        </w:rPr>
        <w:t xml:space="preserve">A broad range of figures in the Anglosphere’s establishment, including some of Mr. Trump’s most ostentatious critics today, contributed manure to the soil in which Trumpism flourishes. Cheered on by the Murdoch press, Tony Blair tried to deepen Britain and America’s “special relationship” in Iraq. Leaders of Australia and Canada also eagerly helped with the torture, rendition and extermination of black and brown brutes. </w:t>
      </w:r>
    </w:p>
    <w:p w14:paraId="79C9976F" w14:textId="77777777" w:rsidR="00EF23E7" w:rsidRPr="00015112" w:rsidRDefault="00EF23E7" w:rsidP="00EF23E7">
      <w:pPr>
        <w:rPr>
          <w:sz w:val="14"/>
        </w:rPr>
      </w:pPr>
      <w:r w:rsidRPr="00015112">
        <w:rPr>
          <w:sz w:val="14"/>
        </w:rPr>
        <w:t xml:space="preserve">Not surprisingly, these chieftains of </w:t>
      </w:r>
      <w:r w:rsidRPr="00015112">
        <w:rPr>
          <w:rStyle w:val="StyleUnderline"/>
        </w:rPr>
        <w:t>white settler colonies are fierce cultural warriors; they</w:t>
      </w:r>
      <w:r w:rsidRPr="00015112">
        <w:rPr>
          <w:sz w:val="14"/>
        </w:rPr>
        <w:t xml:space="preserve"> are all affiliated with private donors who </w:t>
      </w:r>
      <w:r w:rsidRPr="00015112">
        <w:rPr>
          <w:rStyle w:val="StyleUnderline"/>
        </w:rPr>
        <w:t>build platforms where</w:t>
      </w:r>
      <w:r w:rsidRPr="00015112">
        <w:rPr>
          <w:sz w:val="14"/>
        </w:rPr>
        <w:t xml:space="preserve"> political correctness, Islam and feminism are excoriated, the </w:t>
      </w:r>
      <w:r w:rsidRPr="00015112">
        <w:rPr>
          <w:rStyle w:val="StyleUnderline"/>
        </w:rPr>
        <w:t xml:space="preserve">facts of </w:t>
      </w:r>
      <w:r w:rsidRPr="00015112">
        <w:rPr>
          <w:rStyle w:val="Emphasis"/>
        </w:rPr>
        <w:t>injustice and inequality</w:t>
      </w:r>
      <w:r w:rsidRPr="00015112">
        <w:rPr>
          <w:rStyle w:val="StyleUnderline"/>
        </w:rPr>
        <w:t xml:space="preserve"> denied</w:t>
      </w:r>
      <w:r w:rsidRPr="00015112">
        <w:rPr>
          <w:sz w:val="14"/>
        </w:rPr>
        <w:t xml:space="preserve">, chests thumped about a superior but sadly imperiled Western civilization, and fraternal sympathy extended to Israel, the world’s last active settler-colonialist project. </w:t>
      </w:r>
    </w:p>
    <w:p w14:paraId="45C3773C" w14:textId="77777777" w:rsidR="00EF23E7" w:rsidRPr="00015112" w:rsidRDefault="00EF23E7" w:rsidP="00EF23E7">
      <w:pPr>
        <w:rPr>
          <w:sz w:val="14"/>
        </w:rPr>
      </w:pPr>
      <w:r w:rsidRPr="00015112">
        <w:rPr>
          <w:sz w:val="14"/>
        </w:rPr>
        <w:t xml:space="preserve">Emotional incontinence rather than style or wit marks such gilded networks of white power. For </w:t>
      </w:r>
      <w:r w:rsidRPr="00015112">
        <w:rPr>
          <w:rStyle w:val="StyleUnderline"/>
        </w:rPr>
        <w:t xml:space="preserve">the Anglosphere originally forged and united by the </w:t>
      </w:r>
      <w:r w:rsidRPr="00015112">
        <w:rPr>
          <w:rStyle w:val="Emphasis"/>
        </w:rPr>
        <w:t xml:space="preserve">slave trade </w:t>
      </w:r>
      <w:r w:rsidRPr="00015112">
        <w:rPr>
          <w:rStyle w:val="StyleUnderline"/>
        </w:rPr>
        <w:t xml:space="preserve">and </w:t>
      </w:r>
      <w:r w:rsidRPr="00015112">
        <w:rPr>
          <w:rStyle w:val="Emphasis"/>
        </w:rPr>
        <w:t>colonialism</w:t>
      </w:r>
      <w:r w:rsidRPr="00015112">
        <w:rPr>
          <w:rStyle w:val="StyleUnderline"/>
        </w:rPr>
        <w:t xml:space="preserve"> is in </w:t>
      </w:r>
      <w:r w:rsidRPr="00015112">
        <w:rPr>
          <w:rStyle w:val="Emphasis"/>
        </w:rPr>
        <w:t>terminal crisis</w:t>
      </w:r>
      <w:r w:rsidRPr="00015112">
        <w:rPr>
          <w:sz w:val="14"/>
        </w:rPr>
        <w:t xml:space="preserve"> today. </w:t>
      </w:r>
      <w:r w:rsidRPr="00015112">
        <w:rPr>
          <w:rStyle w:val="StyleUnderline"/>
        </w:rPr>
        <w:t>Whiteness denoted</w:t>
      </w:r>
      <w:r w:rsidRPr="00015112">
        <w:rPr>
          <w:sz w:val="14"/>
        </w:rPr>
        <w:t>, as Du Bois wrote, “</w:t>
      </w:r>
      <w:r w:rsidRPr="00015112">
        <w:rPr>
          <w:rStyle w:val="StyleUnderline"/>
        </w:rPr>
        <w:t>the ownership of the earth forever and ever.” But</w:t>
      </w:r>
      <w:r w:rsidRPr="00015112">
        <w:rPr>
          <w:sz w:val="14"/>
        </w:rPr>
        <w:t xml:space="preserve"> many </w:t>
      </w:r>
      <w:r w:rsidRPr="00015112">
        <w:rPr>
          <w:rStyle w:val="StyleUnderline"/>
        </w:rPr>
        <w:t>descendants</w:t>
      </w:r>
      <w:r w:rsidRPr="00015112">
        <w:rPr>
          <w:sz w:val="14"/>
        </w:rPr>
        <w:t xml:space="preserve"> of the landlords of the earth </w:t>
      </w:r>
      <w:r w:rsidRPr="00015112">
        <w:rPr>
          <w:rStyle w:val="StyleUnderline"/>
        </w:rPr>
        <w:t>find</w:t>
      </w:r>
      <w:r w:rsidRPr="00015112">
        <w:rPr>
          <w:sz w:val="14"/>
        </w:rPr>
        <w:t xml:space="preserve"> </w:t>
      </w:r>
      <w:r w:rsidRPr="00015112">
        <w:rPr>
          <w:rStyle w:val="StyleUnderline"/>
        </w:rPr>
        <w:t>themselves besieged</w:t>
      </w:r>
      <w:r w:rsidRPr="00015112">
        <w:rPr>
          <w:sz w:val="14"/>
        </w:rPr>
        <w:t xml:space="preserve"> both at home and abroad, </w:t>
      </w:r>
      <w:r w:rsidRPr="00015112">
        <w:rPr>
          <w:rStyle w:val="StyleUnderline"/>
        </w:rPr>
        <w:t>their authority as overlords, police</w:t>
      </w:r>
      <w:r w:rsidRPr="00015112">
        <w:rPr>
          <w:sz w:val="14"/>
        </w:rPr>
        <w:t xml:space="preserve">men </w:t>
      </w:r>
      <w:r w:rsidRPr="00015112">
        <w:rPr>
          <w:rStyle w:val="StyleUnderline"/>
        </w:rPr>
        <w:t xml:space="preserve">and </w:t>
      </w:r>
      <w:r w:rsidRPr="00015112">
        <w:rPr>
          <w:rStyle w:val="Emphasis"/>
        </w:rPr>
        <w:t>interpreters of the globe</w:t>
      </w:r>
      <w:r w:rsidRPr="00015112">
        <w:rPr>
          <w:rStyle w:val="StyleUnderline"/>
        </w:rPr>
        <w:t xml:space="preserve"> increasingly challenged</w:t>
      </w:r>
      <w:r w:rsidRPr="00015112">
        <w:rPr>
          <w:sz w:val="14"/>
        </w:rPr>
        <w:t xml:space="preserve">. </w:t>
      </w:r>
    </w:p>
    <w:p w14:paraId="76C200A6" w14:textId="77777777" w:rsidR="00EF23E7" w:rsidRPr="00015112" w:rsidRDefault="00EF23E7" w:rsidP="00EF23E7">
      <w:pPr>
        <w:rPr>
          <w:sz w:val="14"/>
        </w:rPr>
      </w:pPr>
      <w:r w:rsidRPr="00015112">
        <w:rPr>
          <w:sz w:val="14"/>
        </w:rPr>
        <w:t xml:space="preserve">Mr. Trump appears to some of these powerful but insecure men as an able-bodied defender of the “higher races.” The Muslim-baiting British Conservative politician Boris Johnson says that he is “increasingly admiring of Donald Trump.” Mr. Murray, the British journalist, thinks Mr. Trump is “reminding the West of what is great about ourselves.” The Canadian YouTube personality Jordan Peterson claims that his loathing of “identity politics” would have driven him to vote for Mr. Trump. </w:t>
      </w:r>
    </w:p>
    <w:p w14:paraId="0B9FE7EE" w14:textId="77777777" w:rsidR="00EF23E7" w:rsidRPr="00015112" w:rsidRDefault="00EF23E7" w:rsidP="00EF23E7">
      <w:pPr>
        <w:rPr>
          <w:sz w:val="14"/>
        </w:rPr>
      </w:pPr>
      <w:r w:rsidRPr="00015112">
        <w:rPr>
          <w:sz w:val="14"/>
        </w:rPr>
        <w:t xml:space="preserve">Other panicky white bros not only virulently denounce identity politics and political correctness — code for historically scorned peoples’ daring to propose norms about how they are treated; they also proclaim ever more rowdily that the (white) West was, and is, best. “It is time to make the case for colonialism again,” Bruce Gilley, a Canadian academic, recently asserted and promptly shot to martyrdom in the far-right constellation as a victim of politically correct criticism. Such </w:t>
      </w:r>
      <w:r w:rsidRPr="00015112">
        <w:rPr>
          <w:rStyle w:val="StyleUnderline"/>
        </w:rPr>
        <w:t>busy recyclers of Western supremacism</w:t>
      </w:r>
      <w:r w:rsidRPr="00015112">
        <w:rPr>
          <w:sz w:val="14"/>
        </w:rPr>
        <w:t xml:space="preserve">, many of whom uphold a disgraced racial pseudoscience, remind us that history often repeats itself as intellectual farce. </w:t>
      </w:r>
    </w:p>
    <w:p w14:paraId="10914040" w14:textId="77777777" w:rsidR="00EF23E7" w:rsidRPr="00015112" w:rsidRDefault="00EF23E7" w:rsidP="00EF23E7">
      <w:pPr>
        <w:rPr>
          <w:sz w:val="14"/>
        </w:rPr>
      </w:pPr>
      <w:r w:rsidRPr="00015112">
        <w:rPr>
          <w:sz w:val="14"/>
        </w:rPr>
        <w:t xml:space="preserve">The low comedy of charlatanry, however, </w:t>
      </w:r>
      <w:r w:rsidRPr="00015112">
        <w:rPr>
          <w:rStyle w:val="StyleUnderline"/>
        </w:rPr>
        <w:t xml:space="preserve">should not distract us from the </w:t>
      </w:r>
      <w:r w:rsidRPr="00015112">
        <w:rPr>
          <w:rStyle w:val="Emphasis"/>
        </w:rPr>
        <w:t>lethal dangers</w:t>
      </w:r>
      <w:r w:rsidRPr="00015112">
        <w:rPr>
          <w:rStyle w:val="StyleUnderline"/>
        </w:rPr>
        <w:t xml:space="preserve"> of a wounded and swaggering identity geopolitics</w:t>
      </w:r>
      <w:r w:rsidRPr="00015112">
        <w:rPr>
          <w:sz w:val="14"/>
        </w:rPr>
        <w:t xml:space="preserve">. The war on terror reactivated the 19th century’s imperial archive of racial knowledge, according to which the swarthy enemy was subhuman, inviting extreme and lawless violence. The rapid contraction of suffrage rights witnessed in early-20th-century America is now mimicked by Republican attempts to disenfranchise nonwhite voters. The Australian lawmaker who recently urged a “final solution” for Muslim immigrants was only slightly out of tune with public debate about immigration in Australia. </w:t>
      </w:r>
      <w:r w:rsidRPr="00015112">
        <w:rPr>
          <w:rStyle w:val="StyleUnderline"/>
        </w:rPr>
        <w:t>Hate crimes continue to rise</w:t>
      </w:r>
      <w:r w:rsidRPr="00015112">
        <w:rPr>
          <w:sz w:val="14"/>
        </w:rPr>
        <w:t xml:space="preserve"> across the United States, Britain and Canada. More ominously, demographic, economic and political decline, and the loss of intellectual hegemony, have plunged many long-term winners of history into a vengeful despair. </w:t>
      </w:r>
    </w:p>
    <w:p w14:paraId="2F5A7FDD" w14:textId="77777777" w:rsidR="00EF23E7" w:rsidRPr="00015112" w:rsidRDefault="00EF23E7" w:rsidP="00EF23E7">
      <w:pPr>
        <w:rPr>
          <w:sz w:val="14"/>
        </w:rPr>
      </w:pPr>
      <w:r w:rsidRPr="00015112">
        <w:rPr>
          <w:sz w:val="14"/>
        </w:rPr>
        <w:t xml:space="preserve">A century ago, the mere suspicion of being thrust aside by black and yellow peoples sparked apocalyptic visions of “race suicide.” Today, the “preponderance of China” that Pearson predicted is becoming a reality, and the religion of </w:t>
      </w:r>
      <w:r w:rsidRPr="00015112">
        <w:rPr>
          <w:rStyle w:val="StyleUnderline"/>
        </w:rPr>
        <w:t>whiteness increasingly resembles a</w:t>
      </w:r>
      <w:r w:rsidRPr="00015112">
        <w:rPr>
          <w:sz w:val="14"/>
        </w:rPr>
        <w:t xml:space="preserve"> suicide </w:t>
      </w:r>
      <w:r w:rsidRPr="00015112">
        <w:rPr>
          <w:rStyle w:val="Emphasis"/>
        </w:rPr>
        <w:t>cult</w:t>
      </w:r>
      <w:r w:rsidRPr="00015112">
        <w:rPr>
          <w:sz w:val="14"/>
        </w:rPr>
        <w:t xml:space="preserve">. Mr. Trump’s trade wars, sanctions, border walls, deportations, denaturalizations and other 11th-hour battles seem to push us all closer to the “terrible probability” James Baldwin once outlined: that </w:t>
      </w:r>
      <w:r w:rsidRPr="00015112">
        <w:rPr>
          <w:rStyle w:val="StyleUnderline"/>
        </w:rPr>
        <w:t xml:space="preserve">the rulers of the “higher races,” “struggling to hold on to what they have stolen from their captives, and unable to look into their mirror, will </w:t>
      </w:r>
      <w:r w:rsidRPr="00015112">
        <w:rPr>
          <w:rStyle w:val="Emphasis"/>
        </w:rPr>
        <w:t>precipitate a chaos throughout the world</w:t>
      </w:r>
      <w:r w:rsidRPr="00015112">
        <w:rPr>
          <w:rStyle w:val="StyleUnderline"/>
        </w:rPr>
        <w:t xml:space="preserve"> which, if it does not </w:t>
      </w:r>
      <w:r w:rsidRPr="00015112">
        <w:rPr>
          <w:rStyle w:val="Emphasis"/>
        </w:rPr>
        <w:t>bring life on this planet to an end</w:t>
      </w:r>
      <w:r w:rsidRPr="00015112">
        <w:rPr>
          <w:rStyle w:val="StyleUnderline"/>
        </w:rPr>
        <w:t xml:space="preserve">, will bring about a </w:t>
      </w:r>
      <w:r w:rsidRPr="00015112">
        <w:rPr>
          <w:rStyle w:val="Emphasis"/>
        </w:rPr>
        <w:t>racial war</w:t>
      </w:r>
      <w:r w:rsidRPr="00015112">
        <w:rPr>
          <w:rStyle w:val="StyleUnderline"/>
        </w:rPr>
        <w:t xml:space="preserve"> </w:t>
      </w:r>
      <w:r w:rsidRPr="00015112">
        <w:rPr>
          <w:sz w:val="14"/>
        </w:rPr>
        <w:t>such as</w:t>
      </w:r>
      <w:r w:rsidRPr="00015112">
        <w:rPr>
          <w:rStyle w:val="StyleUnderline"/>
        </w:rPr>
        <w:t xml:space="preserve"> the </w:t>
      </w:r>
      <w:r w:rsidRPr="00015112">
        <w:rPr>
          <w:rStyle w:val="Emphasis"/>
        </w:rPr>
        <w:t>world has never seen</w:t>
      </w:r>
      <w:r w:rsidRPr="00015112">
        <w:rPr>
          <w:sz w:val="14"/>
        </w:rPr>
        <w:t>.”</w:t>
      </w:r>
    </w:p>
    <w:p w14:paraId="3DE805FF" w14:textId="77777777" w:rsidR="00EF23E7" w:rsidRPr="00015112" w:rsidRDefault="00EF23E7" w:rsidP="00EF23E7">
      <w:pPr>
        <w:rPr>
          <w:sz w:val="14"/>
        </w:rPr>
      </w:pPr>
    </w:p>
    <w:p w14:paraId="5CEDA387" w14:textId="427034C3" w:rsidR="006F2276" w:rsidRPr="00015112" w:rsidRDefault="006F2276" w:rsidP="006F2276">
      <w:pPr>
        <w:pStyle w:val="Heading3"/>
        <w:rPr>
          <w:rFonts w:cs="Times New Roman"/>
        </w:rPr>
      </w:pPr>
      <w:r w:rsidRPr="00015112">
        <w:rPr>
          <w:rFonts w:cs="Times New Roman"/>
        </w:rPr>
        <w:t>2NC – ! – War – Tuck and Yang</w:t>
      </w:r>
    </w:p>
    <w:p w14:paraId="23A74FB5" w14:textId="65A4E6F1" w:rsidR="006F2276" w:rsidRPr="00015112" w:rsidRDefault="006F2276" w:rsidP="006F2276">
      <w:pPr>
        <w:pStyle w:val="Heading4"/>
        <w:rPr>
          <w:rFonts w:cs="Times New Roman"/>
        </w:rPr>
      </w:pPr>
      <w:r w:rsidRPr="00015112">
        <w:rPr>
          <w:rFonts w:cs="Times New Roman"/>
        </w:rPr>
        <w:t xml:space="preserve">Settler colonialism becomes the condition of possibility for war globally. </w:t>
      </w:r>
    </w:p>
    <w:p w14:paraId="64A9882D" w14:textId="77777777" w:rsidR="006F2276" w:rsidRPr="00015112" w:rsidRDefault="006F2276" w:rsidP="006F2276">
      <w:r w:rsidRPr="00015112">
        <w:rPr>
          <w:rStyle w:val="Style13ptBold"/>
        </w:rPr>
        <w:t>Tuck and Yang 12</w:t>
      </w:r>
      <w:r w:rsidRPr="00015112">
        <w:t xml:space="preserve"> (Eve; K. Wayne, the dynamic duo “Decolonization Is Not a Metaphor” </w:t>
      </w:r>
      <w:r w:rsidRPr="00015112">
        <w:rPr>
          <w:i/>
          <w:iCs/>
        </w:rPr>
        <w:t xml:space="preserve">Decolonization: Indigeneity, Education &amp; Society </w:t>
      </w:r>
      <w:r w:rsidRPr="00015112">
        <w:t>1, no. 1, pp. 31-33)</w:t>
      </w:r>
    </w:p>
    <w:p w14:paraId="56DA13BE" w14:textId="77777777" w:rsidR="006F2276" w:rsidRPr="00015112" w:rsidRDefault="006F2276" w:rsidP="006F2276">
      <w:pPr>
        <w:rPr>
          <w:rStyle w:val="StyleUnderline"/>
        </w:rPr>
      </w:pPr>
      <w:r w:rsidRPr="00015112">
        <w:rPr>
          <w:sz w:val="12"/>
          <w:szCs w:val="12"/>
        </w:rPr>
        <w:t xml:space="preserve">There is so much that is incommensurable, so many overlaps that can’t be figured, that cannot be resolved. </w:t>
      </w:r>
      <w:r w:rsidRPr="00015112">
        <w:rPr>
          <w:rStyle w:val="Emphasis"/>
        </w:rPr>
        <w:t>Settler colonialism fuels imperialism all around the globe.</w:t>
      </w:r>
      <w:r w:rsidRPr="00015112">
        <w:rPr>
          <w:sz w:val="12"/>
          <w:szCs w:val="12"/>
        </w:rPr>
        <w:t xml:space="preserve"> </w:t>
      </w:r>
      <w:r w:rsidRPr="00015112">
        <w:rPr>
          <w:rStyle w:val="StyleUnderline"/>
        </w:rPr>
        <w:t>Oil is the motor and motive for war and so was salt, so will be water.</w:t>
      </w:r>
      <w:r w:rsidRPr="00015112">
        <w:rPr>
          <w:sz w:val="12"/>
          <w:szCs w:val="12"/>
        </w:rPr>
        <w:t xml:space="preserve"> </w:t>
      </w:r>
      <w:r w:rsidRPr="00015112">
        <w:rPr>
          <w:rStyle w:val="Emphasis"/>
        </w:rPr>
        <w:t>Settler sovereignty over these very pieces of earth, air, and water is what makes possible these imperialisms.</w:t>
      </w:r>
      <w:r w:rsidRPr="00015112">
        <w:rPr>
          <w:sz w:val="12"/>
          <w:szCs w:val="12"/>
        </w:rPr>
        <w:t xml:space="preserve"> </w:t>
      </w:r>
      <w:r w:rsidRPr="00015112">
        <w:rPr>
          <w:rStyle w:val="StyleUnderline"/>
        </w:rPr>
        <w:t>The same yellow pollen in the water of the Laguna Pueblo reservation in New Mexico</w:t>
      </w:r>
      <w:r w:rsidRPr="00015112">
        <w:rPr>
          <w:sz w:val="12"/>
          <w:szCs w:val="12"/>
        </w:rPr>
        <w:t xml:space="preserve">, Leslie Marmon Silko reminds us, </w:t>
      </w:r>
      <w:r w:rsidRPr="00015112">
        <w:rPr>
          <w:rStyle w:val="StyleUnderline"/>
        </w:rPr>
        <w:t>is the same uranium that annihilated over 200,000 strangers in 2 flashes. The same yellow pollen that poisons the land from where it came. Used in the same war that took a generation of young Pueblo men.</w:t>
      </w:r>
      <w:r w:rsidRPr="00015112">
        <w:rPr>
          <w:sz w:val="12"/>
          <w:szCs w:val="12"/>
        </w:rPr>
        <w:t xml:space="preserve">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In “No”, her response to the 2003 United States invasion of Iraq, Mvskoke/Creek poet Joy Harjo (2004) writes, “Yes, that was me you saw shaking with bravery, with a government issued rifle on my back. I’m sorry I could not greet you, as you deserved, my relative.” Don’t Native Americans participate in greater rates in the military? asks the young-ish man from Viet Nam. </w:t>
      </w:r>
      <w:r w:rsidRPr="00015112">
        <w:rPr>
          <w:rStyle w:val="StyleUnderline"/>
        </w:rPr>
        <w:t>“Indian Country” was/is the term used in Viet Nam, Afghanistan, Iraq by the U.S. military for ‘enemy territory’. The first Black American President said without blinking, “There was a point before folks had left, before we had gotten everybody back on the helicopter and were flying back to base, where they said Geronimo has been killed, and Geronimo was the code name for bin Laden.” Elmer Pratt, Black Panther leader, falsely imprisoned for 27 years, was a Vietnam Veteran, was nicknamed ‘Geronimo’. Geronimo is settler nickname for the Bedonkohe Apache warrior who fought Mexican and then U.S. expansion into Apache tribal lands. The Colt .45 was perfected to kill Indigenous people during the ‘liberation’ of what became the Philippines, but it was first invented for the ‘Indian Wars’ in North America alongside The Hotchkiss Canon- a gattling gun that shot canonballs. The technologies of the permanent settler war are reserviced for foreign wars, including boarding schools, colonial schools, urban schools run by military personnel. It is properly called Indian Country. Ideologies of US settler colonialism directly informed Australian settler colonialism. South African apartheid townships, the kill-zones in what became the Philippine colony, then nation-state, the checkerboarding of Palestinian land with checkpoints, were modeled after U.S. seizures of land and containments of Indian bodies to reservations. The racial science developed in the U.S. (a settler colonial racial science) informed Hitler’s designs on racial purity</w:t>
      </w:r>
      <w:r w:rsidRPr="00015112">
        <w:rPr>
          <w:sz w:val="12"/>
          <w:szCs w:val="12"/>
        </w:rPr>
        <w:t xml:space="preserve"> (“This book is my bible” he said of Madison Grant’s The Passing of the Great Race). </w:t>
      </w:r>
      <w:r w:rsidRPr="00015112">
        <w:rPr>
          <w:rStyle w:val="StyleUnderline"/>
        </w:rPr>
        <w:t>The admiration is sometimes mutual, the doctors and administrators of forced sterilizations of black, Native, disabled, poor, and mostly female people - The Sterilization Act accompanied the Racial Integrity Act and the Pocohontas Exception - praised the Nazi eugenics program.</w:t>
      </w:r>
      <w:r w:rsidRPr="00015112">
        <w:rPr>
          <w:sz w:val="12"/>
          <w:szCs w:val="12"/>
        </w:rPr>
        <w:t xml:space="preserve"> Forced sterilizations became illegal in California in 1964. </w:t>
      </w:r>
      <w:r w:rsidRPr="00015112">
        <w:rPr>
          <w:rStyle w:val="StyleUnderline"/>
        </w:rPr>
        <w:t>The management technologies of North American settler colonialism have provided the tools for internal colonialisms elsewhere. So to with philosophies of state and corporate land-grabbing</w:t>
      </w:r>
      <w:r w:rsidRPr="00015112">
        <w:rPr>
          <w:sz w:val="12"/>
          <w:szCs w:val="12"/>
        </w:rPr>
        <w:t xml:space="preserve"> 24 . The prominence of “flat world” perspectives asserts that technology has afforded a diminished significance of place and borders. </w:t>
      </w:r>
      <w:r w:rsidRPr="00015112">
        <w:rPr>
          <w:rStyle w:val="StyleUnderline"/>
        </w:rPr>
        <w:t>The claim is that U.S. borders have become more flexible, yet simultaneously, the physical border has become more absolute and enforced. The border is no longer just a line suturing two nation-states; the U.S. now polices its borders interior to its territory and exercises sovereignty throughout the globe. Just as sovereignty has expanded, so has settler colonialism in partial forms.</w:t>
      </w:r>
    </w:p>
    <w:p w14:paraId="2977D0CC" w14:textId="60EEF5AD" w:rsidR="00434088" w:rsidRPr="00015112" w:rsidRDefault="00434088" w:rsidP="00F368A8">
      <w:pPr>
        <w:pStyle w:val="Heading3"/>
        <w:rPr>
          <w:rFonts w:cs="Times New Roman"/>
        </w:rPr>
      </w:pPr>
      <w:r w:rsidRPr="00015112">
        <w:rPr>
          <w:rFonts w:cs="Times New Roman"/>
        </w:rPr>
        <w:t>2NC – ! – Genocide – Maldonado-Torres</w:t>
      </w:r>
    </w:p>
    <w:p w14:paraId="0BBB8606" w14:textId="77777777" w:rsidR="00434088" w:rsidRPr="00015112" w:rsidRDefault="00434088" w:rsidP="00434088">
      <w:pPr>
        <w:pStyle w:val="Heading4"/>
        <w:rPr>
          <w:rFonts w:cs="Times New Roman"/>
        </w:rPr>
      </w:pPr>
      <w:r w:rsidRPr="00015112">
        <w:rPr>
          <w:rFonts w:cs="Times New Roman"/>
        </w:rPr>
        <w:t>Coloniality naturalizes a non-ethics of death and generalizes the condition of damnation – ongoing genocide, enslavement, ecological destruction and unending war is produced by and reproduces colonial epistemologies.</w:t>
      </w:r>
    </w:p>
    <w:p w14:paraId="3411537F" w14:textId="77777777" w:rsidR="00434088" w:rsidRPr="00015112" w:rsidRDefault="00434088" w:rsidP="00434088">
      <w:r w:rsidRPr="00015112">
        <w:rPr>
          <w:rStyle w:val="Style13ptBold"/>
        </w:rPr>
        <w:t>Maldonado-Torres 8</w:t>
      </w:r>
      <w:r w:rsidRPr="00015112">
        <w:t xml:space="preserve"> </w:t>
      </w:r>
      <w:r w:rsidRPr="00015112">
        <w:rPr>
          <w:sz w:val="12"/>
          <w:szCs w:val="12"/>
        </w:rPr>
        <w:t>[Nelson, “Against War : Views from the Underside of Modernity”¶ Durham, NC, USA: Duke University Press, 2008. p 215-217¶ http://site.ebrary.com/lib/utexas/Doc?id=10217191&amp;ppg=52]</w:t>
      </w:r>
    </w:p>
    <w:p w14:paraId="17BCF546" w14:textId="77777777" w:rsidR="00434088" w:rsidRPr="00015112" w:rsidRDefault="00434088" w:rsidP="00434088">
      <w:pPr>
        <w:rPr>
          <w:sz w:val="10"/>
          <w:szCs w:val="10"/>
        </w:rPr>
      </w:pPr>
      <w:r w:rsidRPr="00015112">
        <w:rPr>
          <w:sz w:val="10"/>
          <w:szCs w:val="10"/>
        </w:rPr>
        <w:t xml:space="preserve">Dussel, Quijano, and Wynter lead us to the understanding that what happened in the Americas was a transformation and naturalization of the non-ethics of war— which represented a sort of exception to the ethics that regulate normal conduct in Christian countries— into a more stable and long-standing reality of damnation, and that this epistemic and material shift occurred in the colony. </w:t>
      </w:r>
      <w:r w:rsidRPr="00015112">
        <w:rPr>
          <w:rStyle w:val="StyleUnderline"/>
        </w:rPr>
        <w:t>Damnation, life in hell, is colonialism: a reality characterized by the naturalization of war</w:t>
      </w:r>
      <w:r w:rsidRPr="00015112">
        <w:rPr>
          <w:sz w:val="10"/>
          <w:szCs w:val="10"/>
        </w:rPr>
        <w:t xml:space="preserve"> by means of the naturalization of slavery, now justified in relation to the very constitution of people and no longer solely or principally to their faith or belief. </w:t>
      </w:r>
      <w:r w:rsidRPr="00015112">
        <w:rPr>
          <w:rStyle w:val="StyleUnderline"/>
        </w:rPr>
        <w:t xml:space="preserve">That human beings become slaves when they are vanquished in a war translates in the Americas into the suspicion that the conquered people, and then non-European peoples in general, are constitutively inferior </w:t>
      </w:r>
      <w:r w:rsidRPr="00015112">
        <w:rPr>
          <w:sz w:val="10"/>
          <w:szCs w:val="10"/>
        </w:rPr>
        <w:t>and that therefore they should assume a position of slavery and serfdom. Later on, this idea would be solidified with respect to the slavery of African peoples, achieving stability up to the present with the tragic reality of different forms of racism. Through this process, what looked like a “state of exception” in the colonies became the rule in the modern world. However, deviating from Giorgio Agamben’s diagnosis, one must say that the colony— long before the concentration camp and the Nazi politics of extermination— served as the testing ground for the limits and possibilities of modernity, thereby revealing its darkest secrets.61 It is race, the coloniality of power, and its concomitant Eurocentrism (and</w:t>
      </w:r>
      <w:r w:rsidRPr="00015112">
        <w:rPr>
          <w:sz w:val="12"/>
          <w:szCs w:val="12"/>
        </w:rPr>
        <w:t>¶</w:t>
      </w:r>
      <w:r w:rsidRPr="00015112">
        <w:rPr>
          <w:sz w:val="10"/>
          <w:szCs w:val="10"/>
        </w:rPr>
        <w:t xml:space="preserve"> not only national socialisms or expressed forms of fascism) that allow the “state of exception” to continue to define ordinary relations in this, our so-called postmodern world. Race emerges within a permanent state of exception where forms of behavior that are legitimate in war become a natural part of the ordinary way of life. In that world, an otherwise extraordinary affair becomes the norm and living in it requires extraordinary effort.62 In the racial/ colonial world, the </w:t>
      </w:r>
      <w:r w:rsidRPr="00015112">
        <w:rPr>
          <w:rStyle w:val="StyleUnderline"/>
        </w:rPr>
        <w:t>“hell” of war becomes a condition that defines the reality</w:t>
      </w:r>
      <w:r w:rsidRPr="00015112">
        <w:rPr>
          <w:sz w:val="10"/>
          <w:szCs w:val="10"/>
        </w:rPr>
        <w:t xml:space="preserve"> of racialized selves, which Fanon referred to as the damnés de la terre (condemned of the earth). The damné (condemned) is a subject who exists in a permanent “hell,” and as such, this figure serves as the main referent or liminal other that guarantees the continued affirmation of modernity as a paradigm of war. The hell of the condemned is not defined by the alienation of colonized productive forces, but rather signals the dispensability of racialized subjects, that is, the idea that the world would be fundamentally better without them. The racialized subject is ultimately a dispensable source of value, and exploitation is conceived in this context as due torture, and not solely as the extraction of surplus value. Moreover, it is this very same conception that gives rise to the particular erotic dynamics that characterize the relation between the master and its slaves or racialized workers. The condemned, in short, inhabit a context in which the confrontation with death and murder is ordinary. Their “hell” is not simply “other people,” as Sartre would have put it— at least at one point— but rather racist perceptions that are responsible for the suspension of ethical behavior toward peoples at the bottom of the color line. Through racial </w:t>
      </w:r>
      <w:r w:rsidRPr="00015112">
        <w:rPr>
          <w:rStyle w:val="StyleUnderline"/>
        </w:rPr>
        <w:t>conceptions that became central to the modern self, modernity and coloniality produced a permanent state of war that racialized and colonized subjects cannot evade or escape.</w:t>
      </w:r>
      <w:r w:rsidRPr="00015112">
        <w:rPr>
          <w:sz w:val="10"/>
          <w:szCs w:val="10"/>
        </w:rPr>
        <w:t xml:space="preserve"> The modern function of race and the coloniality of power, I am suggesting here, can be understood as a radicalization and naturalization of the non-ethics of war in colonialism.63 This non-ethics included the practices of eliminating and enslaving certain subjects— for example, indigenous and black— as part of the enterprise of colonization. From here one could as well refer to them as the death ethics of war. War, however, is not only about killing or enslaving; it also includes a particular treatment of sexuality and femininity: rape. Coloniality is an order of things that places people of color within the murderous and rapist view of a vigilant ego, and the primary targets of this rape are women. But men of color are also seen through these lenses and feminized, to become fundamentally penetrable subjects for the ego conquiro. Racialization functions through gender and sex, and the ego conquiro is thereby constitutively a phallic ego as well.64 Dussel, who presents this thesis of the phallic character of the ego cogito, also makes links, albeit indirectly, with the reality of war. And thus, in the beginning of modernity, before Descartes discovered . . . a terrifying anthropological dualism in Europe, the Spanish conquistadors arrived in America. The phallic conception of the European-medieval world is now added to the forms of submission of the vanquished Indians. “Males,” Bartolomé de las Casas writes, are reduced through “the hardest, most horrible, and harshest serfdom”; but this only occurs with those who have remained alive, because many of them have died; however, “in war typically they only leave alive young men (mozos) and women.”65 The </w:t>
      </w:r>
      <w:r w:rsidRPr="00015112">
        <w:rPr>
          <w:rStyle w:val="StyleUnderline"/>
        </w:rPr>
        <w:t>indigenous people who survive the massacre or are left alive have to contend with a world that considers them to be dispensable.</w:t>
      </w:r>
      <w:r w:rsidRPr="00015112">
        <w:rPr>
          <w:sz w:val="10"/>
          <w:szCs w:val="10"/>
        </w:rPr>
        <w:t xml:space="preserve"> And </w:t>
      </w:r>
      <w:r w:rsidRPr="00015112">
        <w:rPr>
          <w:rStyle w:val="StyleUnderline"/>
        </w:rPr>
        <w:t>since their bodies have been conceived of as inherently inferior or violent, they must be constantly subdued or civilized, which requires renewed acts of conquest and colonization</w:t>
      </w:r>
      <w:r w:rsidRPr="00015112">
        <w:rPr>
          <w:sz w:val="10"/>
          <w:szCs w:val="10"/>
        </w:rPr>
        <w:t xml:space="preserve">. The survivors continue to live in a world defined by war, and this situation is peculiar in the case of women. As T. Denean Sharpley-Whiting and Renée T. White put it in the preface to their anthology Spoils of War: Women of Color, Cultures, and Revolutions: A sexist and/or racist patriarchal culture and order posts and attempts to maintain, through violent acts of force if necessary, the subjugation and inferiority of women of color. As Joy James notes, “its explicit, </w:t>
      </w:r>
      <w:r w:rsidRPr="00015112">
        <w:rPr>
          <w:rStyle w:val="StyleUnderline"/>
        </w:rPr>
        <w:t>general premise constructs a conceptual framework of male [and/or white] as normative in order to enforce a political [racial, economic, cultural, sexual] and intellectual mandate of male [and/or white] as superior.</w:t>
      </w:r>
      <w:r w:rsidRPr="00015112">
        <w:rPr>
          <w:sz w:val="10"/>
          <w:szCs w:val="10"/>
        </w:rPr>
        <w:t xml:space="preserve">” </w:t>
      </w:r>
      <w:r w:rsidRPr="00015112">
        <w:rPr>
          <w:rStyle w:val="StyleUnderline"/>
        </w:rPr>
        <w:t>The warfront has always been a “feminized” and “colored” space for women of color. Their experiences and perceptions of war, conflict, resistance, and struggle emerge from their specific racial-ethnic and gendered locations</w:t>
      </w:r>
      <w:r w:rsidRPr="00015112">
        <w:rPr>
          <w:sz w:val="10"/>
          <w:szCs w:val="10"/>
        </w:rPr>
        <w:t xml:space="preserve">. “Inter arma silent leges: in time of war the law is silent,” Walzer notes. Thus, this volume operates from the premise that war has been and is presently in our midst.66 The links between war, conquest, and the exploitation of women’s bodies are hardly accidental. In his study of war and gender, Joshua Goldstein argues that conquest usually proceeds through an extension of the rape and exploitation of women in wartime.67 He argues that to understand conquest, one needs to examine: 1) male sexuality as a cause of aggression; 2) the feminization of enemies as symbolic domination; and 3) dependence on the exploitation of women’s labor— including reproduction.68 My argument is, first, that these three elements came together in a powerful way in the idea of race that began to emerge in the conquest and colonization of the Americas. My second point is that through the idea of race, these elements exceed the activity of conquest and come to define what from that point on passes as the idea of a “normal” world. As a result, the phenomenology of a racial context resembles, if it is not fundamentally identical to, the phenomenology of war and conquest. Racism posits its targets as racialized and sexualized subjects that, once vanquished, are said to be inherently servile and whose bodies come to form part of an economy of sexual abuse, exploitation, and control. The coloniality of power cannot be fully understood without reference to the transformation and naturalization of war and conquest in modern times. Hellish existence in the colonial world carries with it both the racial and the gendered aspects of the naturalization of the non-ethics of war. “Killability” and “rapeability” are inscribed into the images of colonial bodies and deeply mark their ordinary existence. Lacking real authority, colonized men are permanently feminized and simultaneously represent a constant threat for whom any amount of authority, any visible trace of the phallus is multiplied in a symbolic hysteria that knows no limits.69 Mythical depiction of the black man’s penis is a case in point: the black man is depicted as an aggressive sexual beast who desires to rape women, particularly white women. The black woman, in turn, is seen as always already sexually available to the rapist gaze of the white, and as fundamentally promiscuous. In short, the black woman is seen as a highly erotic being whose primary function is fulfilling sexual desire and reproduction. To be sure, any amount of “penis” in either one represents a threat, but in his most familiar and typical forms the black man represents the act of rape—“raping”—while the black woman is seen as the most legitimate victim of rape—“being raped.” In an antiblack world black women appear as subjects who deserve to be raped and to suffer the consequences— in terms of a lack of protection from the legal system, sexual abuse, and lack of financial assistance to sustain themselves and their families— just as black men deserve to be penalized for raping, even without having committed the act. Both “raping” and “being raped” are attached to blackness as if they form part of the essence of black folk, who are seen as a dispensable population. </w:t>
      </w:r>
      <w:r w:rsidRPr="00015112">
        <w:rPr>
          <w:rStyle w:val="StyleUnderline"/>
        </w:rPr>
        <w:t>Black bodies are seen as excessively violent and erotic, as well as being the legitimate recipients of excessive violence, erotic and otherwise.70 “Killability</w:t>
      </w:r>
      <w:r w:rsidRPr="00015112">
        <w:rPr>
          <w:sz w:val="10"/>
          <w:szCs w:val="10"/>
        </w:rPr>
        <w:t>” and “</w:t>
      </w:r>
      <w:r w:rsidRPr="00015112">
        <w:rPr>
          <w:strike/>
          <w:sz w:val="10"/>
          <w:szCs w:val="10"/>
        </w:rPr>
        <w:t>rapeability</w:t>
      </w:r>
      <w:r w:rsidRPr="00015112">
        <w:rPr>
          <w:sz w:val="10"/>
          <w:szCs w:val="10"/>
        </w:rPr>
        <w:t>”</w:t>
      </w:r>
      <w:r w:rsidRPr="00015112">
        <w:rPr>
          <w:rStyle w:val="StyleUnderline"/>
          <w:sz w:val="10"/>
          <w:szCs w:val="10"/>
        </w:rPr>
        <w:t xml:space="preserve"> </w:t>
      </w:r>
      <w:r w:rsidRPr="00015112">
        <w:rPr>
          <w:rStyle w:val="StyleUnderline"/>
        </w:rPr>
        <w:t>are part of their essence, understood in a phenomenological way. The “essence” of blackness in a colonial anti-black world is part of a larger context of meaning in which the death ethics of war gradually becomes a constitutive part of an allegedly normal world.</w:t>
      </w:r>
      <w:r w:rsidRPr="00015112">
        <w:rPr>
          <w:sz w:val="10"/>
          <w:szCs w:val="10"/>
        </w:rPr>
        <w:t xml:space="preserve"> In its modern racial and colonial connotations and uses, blackness is the invention and the projection of a social body oriented by the death ethics of war.71 This murderous and raping social body projects the features that define it onto sub-Others in order to be able to legitimate the same behavior that is allegedly descriptive of them. The same ideas that inspire perverted acts in war— particularly slavery, murder, and rape— are legitimized in modernity through the idea of race and gradually come to be seen as more or less normal thanks to the alleged obviousness and non-problematic character of black slavery and anti-black racism. To be sure, those who suffer the consequences of such a system are primarily blacks and indigenous peoples, but it also deeply affects all of those who appear as colored or close to darkness. In short, </w:t>
      </w:r>
      <w:r w:rsidRPr="00015112">
        <w:rPr>
          <w:rStyle w:val="StyleUnderline"/>
        </w:rPr>
        <w:t>this system of symbolic representations, the material conditions that in part produce and continue to legitimate it, and the existential dynamics that occur therein (which are also at the same time derivative and constitutive of such a context) are part of a process that naturalizes the non-ethics or death ethics of war. Sub-ontological difference is the result of such naturalization and is legitimized through the idea of race. In such a world, ontology collapses into a Manicheanism</w:t>
      </w:r>
      <w:r w:rsidRPr="00015112">
        <w:rPr>
          <w:sz w:val="10"/>
          <w:szCs w:val="10"/>
        </w:rPr>
        <w:t>, as Fanon suggested.72</w:t>
      </w:r>
    </w:p>
    <w:p w14:paraId="471A3281" w14:textId="77777777" w:rsidR="00434088" w:rsidRPr="00015112" w:rsidRDefault="00434088" w:rsidP="00434088">
      <w:pPr>
        <w:rPr>
          <w:sz w:val="10"/>
          <w:szCs w:val="10"/>
        </w:rPr>
      </w:pPr>
    </w:p>
    <w:p w14:paraId="531061EB" w14:textId="77777777" w:rsidR="00434088" w:rsidRPr="00015112" w:rsidRDefault="00434088" w:rsidP="00434088">
      <w:pPr>
        <w:rPr>
          <w:sz w:val="10"/>
          <w:szCs w:val="10"/>
        </w:rPr>
      </w:pPr>
    </w:p>
    <w:p w14:paraId="0CFAC746" w14:textId="77777777" w:rsidR="00434088" w:rsidRPr="00015112" w:rsidRDefault="00434088" w:rsidP="00434088"/>
    <w:p w14:paraId="54071632" w14:textId="7E735459" w:rsidR="00F368A8" w:rsidRPr="00015112" w:rsidRDefault="00F368A8" w:rsidP="00F368A8">
      <w:pPr>
        <w:pStyle w:val="Heading3"/>
        <w:rPr>
          <w:rFonts w:cs="Times New Roman"/>
        </w:rPr>
      </w:pPr>
      <w:r w:rsidRPr="00015112">
        <w:rPr>
          <w:rFonts w:cs="Times New Roman"/>
        </w:rPr>
        <w:t>2NC – ! – AT: Util – Santos</w:t>
      </w:r>
    </w:p>
    <w:p w14:paraId="2EEB4C44" w14:textId="4FD38197" w:rsidR="00F368A8" w:rsidRPr="00015112" w:rsidRDefault="00F368A8" w:rsidP="00F368A8">
      <w:pPr>
        <w:pStyle w:val="Heading4"/>
        <w:rPr>
          <w:rFonts w:cs="Times New Roman"/>
        </w:rPr>
      </w:pPr>
      <w:r w:rsidRPr="00015112">
        <w:rPr>
          <w:rFonts w:cs="Times New Roman"/>
        </w:rPr>
        <w:t xml:space="preserve">Utilitarianism continually re-enacts the genocidal logic of settlement in naturalizing the sacrifice of indigenous peoples to save settler futurity, ensuring a perpetual present </w:t>
      </w:r>
    </w:p>
    <w:p w14:paraId="13D986DA" w14:textId="77777777" w:rsidR="00F368A8" w:rsidRPr="00015112" w:rsidRDefault="00F368A8" w:rsidP="00F368A8">
      <w:pPr>
        <w:pStyle w:val="CiteSpacing"/>
        <w:rPr>
          <w:rFonts w:ascii="Times New Roman" w:hAnsi="Times New Roman"/>
        </w:rPr>
      </w:pPr>
      <w:r w:rsidRPr="00015112">
        <w:rPr>
          <w:rStyle w:val="Style13ptBold"/>
        </w:rPr>
        <w:t>Santos 3</w:t>
      </w:r>
      <w:r w:rsidRPr="00015112">
        <w:rPr>
          <w:rFonts w:ascii="Times New Roman" w:hAnsi="Times New Roman"/>
        </w:rPr>
        <w:t xml:space="preserve"> (Boaventura de Sousa Santos, Director of the Center for Social Studies at the University of Coimbra, “Collective Suicide?” Bad Subjects, Iss.63, April 2003, https://bad.eserver.org/issues/2003/63/santos)</w:t>
      </w:r>
    </w:p>
    <w:p w14:paraId="1B170AE0" w14:textId="77777777" w:rsidR="00F368A8" w:rsidRPr="00015112" w:rsidRDefault="00F368A8" w:rsidP="00F368A8">
      <w:pPr>
        <w:rPr>
          <w:sz w:val="14"/>
          <w:szCs w:val="14"/>
        </w:rPr>
      </w:pPr>
      <w:r w:rsidRPr="00015112">
        <w:rPr>
          <w:sz w:val="14"/>
          <w:szCs w:val="14"/>
        </w:rPr>
        <w:t xml:space="preserve">According to Franz Hinkelammert, </w:t>
      </w:r>
      <w:r w:rsidRPr="00015112">
        <w:rPr>
          <w:rStyle w:val="StyleUnderline"/>
        </w:rPr>
        <w:t xml:space="preserve">the West has repeatedly been under the illusion that it should try to </w:t>
      </w:r>
      <w:r w:rsidRPr="00015112">
        <w:rPr>
          <w:rStyle w:val="Emphasis"/>
        </w:rPr>
        <w:t>save humanity by destroying part of it</w:t>
      </w:r>
      <w:r w:rsidRPr="00015112">
        <w:rPr>
          <w:sz w:val="14"/>
          <w:szCs w:val="14"/>
        </w:rPr>
        <w:t xml:space="preserve">. This is a salvific and </w:t>
      </w:r>
      <w:r w:rsidRPr="00015112">
        <w:rPr>
          <w:rStyle w:val="StyleUnderline"/>
        </w:rPr>
        <w:t>sacrificial destruction, committed in the name of the need to radically materialize all the possibilities opened up by a given social and political reality over which it is supposed to have total power</w:t>
      </w:r>
      <w:r w:rsidRPr="00015112">
        <w:rPr>
          <w:sz w:val="14"/>
          <w:szCs w:val="14"/>
        </w:rPr>
        <w:t xml:space="preserve">. This is how it was </w:t>
      </w:r>
      <w:r w:rsidRPr="00015112">
        <w:rPr>
          <w:rStyle w:val="StyleUnderline"/>
        </w:rPr>
        <w:t xml:space="preserve">in </w:t>
      </w:r>
      <w:r w:rsidRPr="00015112">
        <w:rPr>
          <w:rStyle w:val="Emphasis"/>
        </w:rPr>
        <w:t>colonialism</w:t>
      </w:r>
      <w:r w:rsidRPr="00015112">
        <w:rPr>
          <w:rStyle w:val="StyleUnderline"/>
        </w:rPr>
        <w:t xml:space="preserve">, with the </w:t>
      </w:r>
      <w:r w:rsidRPr="00015112">
        <w:rPr>
          <w:rStyle w:val="Emphasis"/>
        </w:rPr>
        <w:t>genocide</w:t>
      </w:r>
      <w:r w:rsidRPr="00015112">
        <w:rPr>
          <w:rStyle w:val="StyleUnderline"/>
        </w:rPr>
        <w:t xml:space="preserve"> of </w:t>
      </w:r>
      <w:r w:rsidRPr="00015112">
        <w:rPr>
          <w:rStyle w:val="Emphasis"/>
        </w:rPr>
        <w:t>indigenous peoples</w:t>
      </w:r>
      <w:r w:rsidRPr="00015112">
        <w:rPr>
          <w:sz w:val="14"/>
          <w:szCs w:val="14"/>
        </w:rPr>
        <w:t xml:space="preserve">, and the African slaves. This is how it was </w:t>
      </w:r>
      <w:r w:rsidRPr="00015112">
        <w:rPr>
          <w:rStyle w:val="StyleUnderline"/>
        </w:rPr>
        <w:t xml:space="preserve">in the period of imperialist struggles, which caused </w:t>
      </w:r>
      <w:r w:rsidRPr="00015112">
        <w:rPr>
          <w:rStyle w:val="Emphasis"/>
        </w:rPr>
        <w:t>millions of deaths</w:t>
      </w:r>
      <w:r w:rsidRPr="00015112">
        <w:rPr>
          <w:rStyle w:val="StyleUnderline"/>
        </w:rPr>
        <w:t xml:space="preserve"> in two world wars and many other </w:t>
      </w:r>
      <w:r w:rsidRPr="00015112">
        <w:rPr>
          <w:rStyle w:val="Emphasis"/>
        </w:rPr>
        <w:t>colonial wars</w:t>
      </w:r>
      <w:r w:rsidRPr="00015112">
        <w:rPr>
          <w:sz w:val="14"/>
          <w:szCs w:val="14"/>
        </w:rPr>
        <w:t xml:space="preserve">. This is how it was </w:t>
      </w:r>
      <w:r w:rsidRPr="00015112">
        <w:rPr>
          <w:rStyle w:val="StyleUnderline"/>
        </w:rPr>
        <w:t xml:space="preserve">under </w:t>
      </w:r>
      <w:r w:rsidRPr="00015112">
        <w:rPr>
          <w:rStyle w:val="Emphasis"/>
        </w:rPr>
        <w:t>Stalinism</w:t>
      </w:r>
      <w:r w:rsidRPr="00015112">
        <w:rPr>
          <w:rStyle w:val="StyleUnderline"/>
        </w:rPr>
        <w:t xml:space="preserve">, with the Gulag, and under </w:t>
      </w:r>
      <w:r w:rsidRPr="00015112">
        <w:rPr>
          <w:rStyle w:val="Emphasis"/>
        </w:rPr>
        <w:t>Nazism</w:t>
      </w:r>
      <w:r w:rsidRPr="00015112">
        <w:rPr>
          <w:rStyle w:val="StyleUnderline"/>
        </w:rPr>
        <w:t xml:space="preserve">, with the </w:t>
      </w:r>
      <w:r w:rsidRPr="00015112">
        <w:rPr>
          <w:rStyle w:val="Emphasis"/>
        </w:rPr>
        <w:t>Holocaust</w:t>
      </w:r>
      <w:r w:rsidRPr="00015112">
        <w:rPr>
          <w:sz w:val="14"/>
          <w:szCs w:val="14"/>
        </w:rPr>
        <w:t xml:space="preserve">. And now today, this is how it is </w:t>
      </w:r>
      <w:r w:rsidRPr="00015112">
        <w:rPr>
          <w:rStyle w:val="StyleUnderline"/>
        </w:rPr>
        <w:t>in neoliberalism, with the collective sacrifice of the periphery</w:t>
      </w:r>
      <w:r w:rsidRPr="00015112">
        <w:rPr>
          <w:sz w:val="14"/>
          <w:szCs w:val="14"/>
        </w:rPr>
        <w:t xml:space="preserve"> and even the semiperiphery of the world system. With the war against Iraq, it is fitting to ask whether </w:t>
      </w:r>
      <w:r w:rsidRPr="00015112">
        <w:rPr>
          <w:rStyle w:val="StyleUnderline"/>
        </w:rPr>
        <w:t xml:space="preserve">what is in </w:t>
      </w:r>
      <w:r w:rsidRPr="00015112">
        <w:rPr>
          <w:rStyle w:val="Emphasis"/>
        </w:rPr>
        <w:t>progress</w:t>
      </w:r>
      <w:r w:rsidRPr="00015112">
        <w:rPr>
          <w:rStyle w:val="StyleUnderline"/>
        </w:rPr>
        <w:t xml:space="preserve"> is a new </w:t>
      </w:r>
      <w:r w:rsidRPr="00015112">
        <w:rPr>
          <w:rStyle w:val="Emphasis"/>
        </w:rPr>
        <w:t>genocidal</w:t>
      </w:r>
      <w:r w:rsidRPr="00015112">
        <w:rPr>
          <w:rStyle w:val="StyleUnderline"/>
        </w:rPr>
        <w:t xml:space="preserve"> and sacrificial </w:t>
      </w:r>
      <w:r w:rsidRPr="00015112">
        <w:rPr>
          <w:rStyle w:val="Emphasis"/>
        </w:rPr>
        <w:t>illusion</w:t>
      </w:r>
      <w:r w:rsidRPr="00015112">
        <w:rPr>
          <w:sz w:val="14"/>
          <w:szCs w:val="14"/>
        </w:rPr>
        <w:t xml:space="preserve">, and what its scope might be. It is above all appropriate to ask if the new illusion will not herald the radicalization and the ultimate perversion of the Western illusion: destroying all of humanity in the illusion of saving it. </w:t>
      </w:r>
      <w:r w:rsidRPr="00015112">
        <w:rPr>
          <w:rStyle w:val="Emphasis"/>
        </w:rPr>
        <w:t>Sacrificial genocide</w:t>
      </w:r>
      <w:r w:rsidRPr="00015112">
        <w:rPr>
          <w:rStyle w:val="StyleUnderline"/>
        </w:rPr>
        <w:t xml:space="preserve"> arises from a totalitarian illusion manifested in the belief that there are </w:t>
      </w:r>
      <w:r w:rsidRPr="00015112">
        <w:rPr>
          <w:rStyle w:val="Emphasis"/>
        </w:rPr>
        <w:t>no alternatives to the present</w:t>
      </w:r>
      <w:r w:rsidRPr="00015112">
        <w:rPr>
          <w:rStyle w:val="StyleUnderline"/>
        </w:rPr>
        <w:t>-day reality, and that the problems and difficulties confronting it arise from failing to take its logic of development to ultimate consequences. If there is unemployment, hunger and death in the Third World, this is not the result of market failures; instead, it is the outcome of market laws not having been fully applied. If there is terrorism, this is not due to the violence of the conditions that generate it; it is due, rather, to the fact that total violence has not been employed to physically eradicate all terrorists and potential terrorists</w:t>
      </w:r>
      <w:r w:rsidRPr="00015112">
        <w:rPr>
          <w:sz w:val="14"/>
          <w:szCs w:val="14"/>
        </w:rPr>
        <w:t xml:space="preserve">. </w:t>
      </w:r>
      <w:r w:rsidRPr="00015112">
        <w:rPr>
          <w:rStyle w:val="StyleUnderline"/>
        </w:rPr>
        <w:t xml:space="preserve">This </w:t>
      </w:r>
      <w:r w:rsidRPr="00015112">
        <w:rPr>
          <w:rStyle w:val="Emphasis"/>
        </w:rPr>
        <w:t>political logic</w:t>
      </w:r>
      <w:r w:rsidRPr="00015112">
        <w:rPr>
          <w:rStyle w:val="StyleUnderline"/>
        </w:rPr>
        <w:t xml:space="preserve"> is based on the supposition of total power and knowledge, and on the radical rejection of alternatives; it is ultra-conservative in that it aims to </w:t>
      </w:r>
      <w:r w:rsidRPr="00015112">
        <w:rPr>
          <w:rStyle w:val="Emphasis"/>
        </w:rPr>
        <w:t>reproduce infinitely the status quo</w:t>
      </w:r>
      <w:r w:rsidRPr="00015112">
        <w:rPr>
          <w:sz w:val="14"/>
          <w:szCs w:val="14"/>
        </w:rPr>
        <w:t>. Inherent to it is the notion of the end of history. During the last hundred years, the West has experienced three versions of this logic, and, therefore, seen three versions of the end of history: Stalinism, with its logic of insuperable efficiency of the plan; Nazism, with its logic of racial superiority; and neoliberalism,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w:t>
      </w:r>
    </w:p>
    <w:p w14:paraId="5E08F742" w14:textId="77777777" w:rsidR="00F368A8" w:rsidRPr="00015112" w:rsidRDefault="00F368A8" w:rsidP="00F368A8">
      <w:pPr>
        <w:rPr>
          <w:sz w:val="14"/>
          <w:szCs w:val="14"/>
        </w:rPr>
      </w:pPr>
    </w:p>
    <w:p w14:paraId="742142D4" w14:textId="4BC2084A" w:rsidR="00F368A8" w:rsidRPr="00015112" w:rsidRDefault="00F368A8" w:rsidP="00F368A8">
      <w:pPr>
        <w:pStyle w:val="Heading3"/>
        <w:rPr>
          <w:rFonts w:cs="Times New Roman"/>
        </w:rPr>
      </w:pPr>
      <w:r w:rsidRPr="00015112">
        <w:rPr>
          <w:rFonts w:cs="Times New Roman"/>
        </w:rPr>
        <w:t>2NC – ! – AT: Util – Masur</w:t>
      </w:r>
    </w:p>
    <w:p w14:paraId="19028E8C" w14:textId="7376004A" w:rsidR="00F368A8" w:rsidRPr="00015112" w:rsidRDefault="00F368A8" w:rsidP="00F368A8">
      <w:pPr>
        <w:pStyle w:val="Heading4"/>
        <w:rPr>
          <w:rFonts w:cs="Times New Roman"/>
        </w:rPr>
      </w:pPr>
      <w:r w:rsidRPr="00015112">
        <w:rPr>
          <w:rFonts w:cs="Times New Roman"/>
        </w:rPr>
        <w:t xml:space="preserve">Predictions of linear chains resulting high magnitude conflicts are impossible and always serve to discount ongoing violence </w:t>
      </w:r>
    </w:p>
    <w:p w14:paraId="12235619" w14:textId="77777777" w:rsidR="00F368A8" w:rsidRPr="00015112" w:rsidRDefault="00F368A8" w:rsidP="00F368A8">
      <w:pPr>
        <w:rPr>
          <w:rFonts w:eastAsia="Cambria"/>
        </w:rPr>
      </w:pPr>
      <w:r w:rsidRPr="00015112">
        <w:rPr>
          <w:rFonts w:eastAsia="Cambria"/>
          <w:b/>
          <w:bCs/>
          <w:sz w:val="24"/>
        </w:rPr>
        <w:t>Masur 7</w:t>
      </w:r>
      <w:r w:rsidRPr="00015112">
        <w:rPr>
          <w:rFonts w:eastAsia="Cambria"/>
          <w:sz w:val="24"/>
        </w:rPr>
        <w:t xml:space="preserve"> </w:t>
      </w:r>
      <w:r w:rsidRPr="00015112">
        <w:rPr>
          <w:rFonts w:eastAsia="Cambria"/>
        </w:rPr>
        <w:t>[Jonathan, Bigelow Fellow and Lecturer in Law, University of Chicago Law School, “Probability Thresholds”, 92 Iowa L. Rev. 1293]</w:t>
      </w:r>
    </w:p>
    <w:p w14:paraId="70AAAA43" w14:textId="77777777" w:rsidR="00F368A8" w:rsidRPr="00015112" w:rsidRDefault="00F368A8" w:rsidP="00F368A8">
      <w:pPr>
        <w:rPr>
          <w:rFonts w:eastAsia="Cambria"/>
          <w:u w:val="single"/>
        </w:rPr>
      </w:pPr>
      <w:r w:rsidRPr="00015112">
        <w:rPr>
          <w:rFonts w:eastAsia="Cambria"/>
          <w:u w:val="single"/>
        </w:rPr>
        <w:t>Deference to the executive</w:t>
      </w:r>
      <w:r w:rsidRPr="00015112">
        <w:rPr>
          <w:rFonts w:eastAsia="Cambria"/>
          <w:sz w:val="16"/>
          <w:szCs w:val="16"/>
        </w:rPr>
        <w:t xml:space="preserve"> </w:t>
      </w:r>
      <w:r w:rsidRPr="00015112">
        <w:rPr>
          <w:rFonts w:eastAsia="Cambria"/>
          <w:u w:val="single"/>
        </w:rPr>
        <w:t>has become</w:t>
      </w:r>
      <w:r w:rsidRPr="00015112">
        <w:rPr>
          <w:rFonts w:eastAsia="Cambria"/>
          <w:sz w:val="16"/>
          <w:szCs w:val="16"/>
        </w:rPr>
        <w:t xml:space="preserve"> a judicial </w:t>
      </w:r>
      <w:r w:rsidRPr="00015112">
        <w:rPr>
          <w:rFonts w:eastAsia="Cambria"/>
          <w:u w:val="single"/>
        </w:rPr>
        <w:t xml:space="preserve">shibboleth </w:t>
      </w:r>
      <w:r w:rsidRPr="00015112">
        <w:rPr>
          <w:rFonts w:eastAsia="Cambria"/>
          <w:sz w:val="16"/>
          <w:szCs w:val="16"/>
        </w:rPr>
        <w:t xml:space="preserve">and, in most cases, appropriately so n157 - the executive is peculiarly capable of [*1329] assessing and evaluating national-security threats. n158 But when courts afford this deference, </w:t>
      </w:r>
      <w:r w:rsidRPr="00015112">
        <w:rPr>
          <w:rFonts w:eastAsia="Cambria"/>
          <w:u w:val="single"/>
        </w:rPr>
        <w:t>inflation of the threatened harm is one of the natural consequences</w:t>
      </w:r>
      <w:r w:rsidRPr="00015112">
        <w:rPr>
          <w:rFonts w:eastAsia="Cambria"/>
          <w:sz w:val="16"/>
          <w:szCs w:val="16"/>
        </w:rPr>
        <w:t xml:space="preserve">. </w:t>
      </w:r>
      <w:r w:rsidRPr="00015112">
        <w:rPr>
          <w:rFonts w:eastAsia="Cambria"/>
          <w:sz w:val="8"/>
          <w:szCs w:val="8"/>
        </w:rPr>
        <w:t>As the subject matter moves further outside of the courts' competence - in other words, as the probability of an event drops and it becomes less susceptible to judicial evaluation - that effect increases, and deference becomes an ever more decisive factor in the weighing of costs and benefits. n159 Moreover,</w:t>
      </w:r>
      <w:r w:rsidRPr="00015112">
        <w:rPr>
          <w:rFonts w:eastAsia="Cambria"/>
          <w:sz w:val="16"/>
          <w:szCs w:val="16"/>
        </w:rPr>
        <w:t xml:space="preserve"> </w:t>
      </w:r>
      <w:r w:rsidRPr="00015112">
        <w:rPr>
          <w:rFonts w:eastAsia="Cambria"/>
          <w:u w:val="single"/>
        </w:rPr>
        <w:t>low-probability, high-magnitude harms are particularly susceptible to governmental inflation</w:t>
      </w:r>
      <w:r w:rsidRPr="00015112">
        <w:rPr>
          <w:rFonts w:eastAsia="Cambria"/>
          <w:sz w:val="16"/>
          <w:szCs w:val="16"/>
        </w:rPr>
        <w:t xml:space="preserve">. The lowest-probability harms involve especially acute informational asymmetries between the government and the court (and the opposing party). </w:t>
      </w:r>
      <w:r w:rsidRPr="00015112">
        <w:rPr>
          <w:rFonts w:eastAsia="Cambria"/>
          <w:u w:val="single"/>
        </w:rPr>
        <w:t>The less likely an event is to occur - and the more dramatic the threat - the less likely it is that background information relating to the event's potential causes or antecedents will have seeped into the public domain</w:t>
      </w:r>
      <w:r w:rsidRPr="00015112">
        <w:rPr>
          <w:rFonts w:eastAsia="Cambria"/>
          <w:sz w:val="16"/>
          <w:szCs w:val="16"/>
        </w:rPr>
        <w:t xml:space="preserve">. The explanation echoes in the nature of both low-probability events and high-magnitude harms. First, </w:t>
      </w:r>
      <w:r w:rsidRPr="00015112">
        <w:rPr>
          <w:rFonts w:eastAsia="Cambria"/>
          <w:u w:val="single"/>
        </w:rPr>
        <w:t>a potential harm of great magnitude</w:t>
      </w:r>
      <w:r w:rsidRPr="00015112">
        <w:rPr>
          <w:rFonts w:eastAsia="Cambria"/>
          <w:sz w:val="16"/>
          <w:szCs w:val="16"/>
        </w:rPr>
        <w:t xml:space="preserve"> n160 </w:t>
      </w:r>
      <w:r w:rsidRPr="00015112">
        <w:rPr>
          <w:rFonts w:eastAsia="Cambria"/>
          <w:u w:val="single"/>
        </w:rPr>
        <w:t>can assume only a few forms</w:t>
      </w:r>
      <w:r w:rsidRPr="00015112">
        <w:rPr>
          <w:rFonts w:eastAsia="Cambria"/>
          <w:sz w:val="16"/>
          <w:szCs w:val="16"/>
        </w:rPr>
        <w:t xml:space="preserve"> (remember that this must also be a harm catalyzed by speech). A war. A riot. A revolution. An act of terrorism or violence, necessarily with a substantially destructive weapon. A significant combat loss, such as the sinking of a troop transport. </w:t>
      </w:r>
      <w:r w:rsidRPr="00015112">
        <w:rPr>
          <w:rFonts w:eastAsia="Cambria"/>
          <w:u w:val="single"/>
        </w:rPr>
        <w:t>These categories define nearly the entire universe of relevant high-magnitude speech harms. Such harms share one essential, salient characteristic: they all concern topics that are especially</w:t>
      </w:r>
      <w:r w:rsidRPr="00015112">
        <w:rPr>
          <w:rFonts w:eastAsia="Cambria"/>
          <w:sz w:val="16"/>
          <w:szCs w:val="16"/>
        </w:rPr>
        <w:t xml:space="preserve"> - if not exclusively - </w:t>
      </w:r>
      <w:r w:rsidRPr="00015112">
        <w:rPr>
          <w:rFonts w:eastAsia="Cambria"/>
          <w:u w:val="single"/>
        </w:rPr>
        <w:t>within the expertise of the executive branch.</w:t>
      </w:r>
      <w:r w:rsidRPr="00015112">
        <w:rPr>
          <w:rFonts w:eastAsia="Cambria"/>
          <w:sz w:val="16"/>
          <w:szCs w:val="16"/>
        </w:rPr>
        <w:t xml:space="preserve"> </w:t>
      </w:r>
      <w:r w:rsidRPr="00015112">
        <w:rPr>
          <w:rFonts w:eastAsia="Cambria"/>
          <w:sz w:val="8"/>
          <w:szCs w:val="8"/>
        </w:rPr>
        <w:t>n161 Only the [*1330] executive can know if the publication of a ship's schedule will lead to the sinking of a transport because only the executive knows when the transports sail or how much submarine activity they are likely to encounter. n162 Only the executive can know whether the publication of partial plans for the hydrogen bomb will actually make it more likely that some terrorist or rogue nation could acquire the bomb, since only the executive knows what other information is yet to be published or how difficult it is to obtain plutonium and tritium on the world market. n163 And only the executive can know whether opening the deportation hearing of a potential terrorist to the news media will give other terrorists valuable information about American anti-terrorism methods because only the executive knows what those methods are or how they relate to what the hearing might divulge. n164</w:t>
      </w:r>
      <w:r w:rsidRPr="00015112">
        <w:rPr>
          <w:rFonts w:eastAsia="Cambria"/>
          <w:sz w:val="16"/>
          <w:szCs w:val="16"/>
        </w:rPr>
        <w:t xml:space="preserve"> </w:t>
      </w:r>
      <w:r w:rsidRPr="00015112">
        <w:rPr>
          <w:rFonts w:eastAsia="Cambria"/>
          <w:u w:val="single"/>
        </w:rPr>
        <w:t>High-magnitude harms are national-security-implicating harms, and national-security-implicating harms are the province of the executive</w:t>
      </w:r>
      <w:r w:rsidRPr="00015112">
        <w:rPr>
          <w:rFonts w:eastAsia="Cambria"/>
          <w:sz w:val="16"/>
          <w:szCs w:val="16"/>
        </w:rPr>
        <w:t xml:space="preserve">. Second, and in concomitant fashion, </w:t>
      </w:r>
      <w:r w:rsidRPr="00015112">
        <w:rPr>
          <w:rFonts w:eastAsia="Cambria"/>
          <w:u w:val="single"/>
        </w:rPr>
        <w:t>low-probability harms rarely involve simple causal relationships</w:t>
      </w:r>
      <w:r w:rsidRPr="00015112">
        <w:rPr>
          <w:rFonts w:eastAsia="Cambria"/>
          <w:sz w:val="16"/>
          <w:szCs w:val="16"/>
        </w:rPr>
        <w:t xml:space="preserve"> - </w:t>
      </w:r>
      <w:r w:rsidRPr="00015112">
        <w:rPr>
          <w:rFonts w:eastAsia="Cambria"/>
          <w:u w:val="single"/>
        </w:rPr>
        <w:t>if A, then B, but only with small probability.</w:t>
      </w:r>
      <w:r w:rsidRPr="00015112">
        <w:rPr>
          <w:rFonts w:eastAsia="Cambria"/>
          <w:sz w:val="16"/>
          <w:szCs w:val="16"/>
        </w:rPr>
        <w:t xml:space="preserve"> </w:t>
      </w:r>
      <w:r w:rsidRPr="00015112">
        <w:rPr>
          <w:rFonts w:eastAsia="Cambria"/>
          <w:u w:val="single"/>
        </w:rPr>
        <w:t>More frequently they require a series of only loosely dependent probable occurrences, the interaction of disparate parties, or fortuitous conjunctions of unrelated events</w:t>
      </w:r>
      <w:r w:rsidRPr="00015112">
        <w:rPr>
          <w:rFonts w:eastAsia="Cambria"/>
          <w:sz w:val="16"/>
          <w:szCs w:val="16"/>
        </w:rPr>
        <w:t xml:space="preserve">. </w:t>
      </w:r>
      <w:r w:rsidRPr="00015112">
        <w:rPr>
          <w:rFonts w:eastAsia="Cambria"/>
          <w:sz w:val="8"/>
          <w:szCs w:val="8"/>
        </w:rPr>
        <w:t>The greater the number of moving parts and the more complex the relationships that a particular speech act must catalyze in order for a harm to occur, the more difficult and costly it is for a court to make an independent assessment of that harm's likelihood. The link is with Brandenburg's "imminence" requirement:</w:t>
      </w:r>
      <w:r w:rsidRPr="00015112">
        <w:rPr>
          <w:rFonts w:eastAsia="Cambria"/>
          <w:sz w:val="16"/>
          <w:szCs w:val="16"/>
        </w:rPr>
        <w:t xml:space="preserve"> </w:t>
      </w:r>
      <w:r w:rsidRPr="00015112">
        <w:rPr>
          <w:rFonts w:eastAsia="Cambria"/>
          <w:u w:val="single"/>
        </w:rPr>
        <w:t>once a potential causal chain has become so attenuated that an event will not necessarily occur "imminently," that chain likely involves a sufficiently large number of links that a court will have difficulty assessing the relevant probability</w:t>
      </w:r>
      <w:r w:rsidRPr="00015112">
        <w:rPr>
          <w:rFonts w:eastAsia="Cambria"/>
          <w:sz w:val="16"/>
          <w:szCs w:val="16"/>
        </w:rPr>
        <w:t xml:space="preserve"> </w:t>
      </w:r>
      <w:r w:rsidRPr="00015112">
        <w:rPr>
          <w:rFonts w:eastAsia="Cambria"/>
          <w:sz w:val="8"/>
          <w:szCs w:val="8"/>
        </w:rPr>
        <w:t xml:space="preserve">absent some strong indication from the government. n165 It is endemic to the structure of American government that these types of decisions fall within the near-exclusive competence of the executive. n166 The question that remains is how to cope with the systemic distortions that result. [*1331] Throughout history, when the executive has exaggerated threats to justify speech restrictions, it typically has exaggerated low-probability threats, transmogrifying them from negligible dangers into constitutionally cognizable harms. n167 These are the types of dangers that will be more particularly within the executive's competence than the courts', and these are the types of dangers for which small adjustments in probability will produce the greatest impact. n168 B. Low-Probability Mathematics and the Difficulty of Weighing Costs and Benefits What the executive cannot do for itself, the courts and the populace will do for it. The cognitive-science literature offers a fairly robust description of the extraordinary difficulties that individuals have when coping with low-probability threats or even when rationally evaluating low-probability events. n169 </w:t>
      </w:r>
      <w:r w:rsidRPr="00015112">
        <w:rPr>
          <w:rFonts w:eastAsia="Cambria"/>
          <w:u w:val="single"/>
        </w:rPr>
        <w:t>Individuals tend to drastically overrate the statistical value of low-probability harms as a purely mathematical matter, substantially overpricing those harms when compared with harms of more easily quantifiable probabilities</w:t>
      </w:r>
      <w:r w:rsidRPr="00015112">
        <w:rPr>
          <w:rFonts w:eastAsia="Cambria"/>
          <w:sz w:val="16"/>
          <w:szCs w:val="16"/>
        </w:rPr>
        <w:t xml:space="preserve">. </w:t>
      </w:r>
      <w:r w:rsidRPr="00015112">
        <w:rPr>
          <w:rFonts w:eastAsia="Cambria"/>
          <w:sz w:val="8"/>
          <w:szCs w:val="8"/>
        </w:rPr>
        <w:t>It is worth pausing now to note that by the use of the word "individuals" here and in the following Sections, I do not mean only the great proverbially unwashed masses, as distinct from the noble and rational judiciary. A significant body of literature substantiates the belief that judges are highly susceptible to the same sorts of cognitive errors and biases that plague non-judicial decision-making. n170 And while there is reason to believe that experts may not succumb to all of the biases that interfere with a layperson's ability [*1332] to make rational choices, n171 judges are not experts (at assessing national security threats, for instance) - they are intelligent, educated generalists. n172 That fact is, of course, part of what makes deference to administrative agencies and executive actors appropriate in the first instance. n173 Absent any strong indication that judges will succeed in dodging the cognitive pitfalls that speckle typical rationality, this Article treats judicial and nonjudicial actors alike. n174 1. Low-Probability Value Inflation</w:t>
      </w:r>
      <w:r w:rsidRPr="00015112">
        <w:rPr>
          <w:rFonts w:eastAsia="Cambria"/>
          <w:sz w:val="16"/>
          <w:szCs w:val="16"/>
        </w:rPr>
        <w:t xml:space="preserve"> </w:t>
      </w:r>
      <w:r w:rsidRPr="00015112">
        <w:rPr>
          <w:rFonts w:eastAsia="Cambria"/>
          <w:u w:val="single"/>
        </w:rPr>
        <w:t>Study after study has demonstrated that individuals experience great difficulty, purely as a matter of estimation and intuition, when dealing with high-magnitude, low-probability threats</w:t>
      </w:r>
      <w:r w:rsidRPr="00015112">
        <w:rPr>
          <w:rFonts w:eastAsia="Cambria"/>
          <w:sz w:val="16"/>
          <w:szCs w:val="16"/>
        </w:rPr>
        <w:t xml:space="preserve">. For many years, economists, lawyers, regulators, and other types of </w:t>
      </w:r>
      <w:r w:rsidRPr="00015112">
        <w:rPr>
          <w:rFonts w:eastAsia="Cambria"/>
          <w:u w:val="single"/>
        </w:rPr>
        <w:t>decision-makers routinely have used statistical measures of the value of a human life when performing cost-benefit analyses and making regulatory decisions</w:t>
      </w:r>
      <w:r w:rsidRPr="00015112">
        <w:rPr>
          <w:rFonts w:eastAsia="Cambria"/>
          <w:sz w:val="16"/>
          <w:szCs w:val="16"/>
        </w:rPr>
        <w:t xml:space="preserve">. </w:t>
      </w:r>
      <w:r w:rsidRPr="00015112">
        <w:rPr>
          <w:rFonts w:eastAsia="Cambria"/>
          <w:sz w:val="8"/>
          <w:szCs w:val="8"/>
        </w:rPr>
        <w:t>Analysts obtain these value-of-life numbers by looking at the salary premiums that workers demand for more dangerous jobs, n175 the amounts that people will pay to avoid certain every-day risks, n176 or by simply performing surveys that ask hypothetical questions regarding what an individual would be willing to pay to avoid a peril of some fixed probability. While these estimates are hardly exact, they are well accepted and widely used within the risk-management industry and usually conform to a reasonably limited range of values. The value of life is most commonly priced at around $ 7 million. n177 Importantly, though, these calculations are made almost always with reference to fairly [*1333] commonplace risks (workplace accidents and the like) that occur with significant probability. n178</w:t>
      </w:r>
      <w:r w:rsidRPr="00015112">
        <w:rPr>
          <w:rFonts w:eastAsia="Cambria"/>
          <w:sz w:val="16"/>
          <w:szCs w:val="16"/>
        </w:rPr>
        <w:t xml:space="preserve"> </w:t>
      </w:r>
      <w:r w:rsidRPr="00015112">
        <w:rPr>
          <w:rFonts w:eastAsia="Cambria"/>
          <w:u w:val="single"/>
        </w:rPr>
        <w:t>Yet when the probability that a harm will occur drops significantly</w:t>
      </w:r>
      <w:r w:rsidRPr="00015112">
        <w:rPr>
          <w:rFonts w:eastAsia="Cambria"/>
          <w:sz w:val="16"/>
          <w:szCs w:val="16"/>
        </w:rPr>
        <w:t xml:space="preserve">, toward a chance of one in hundreds of thousands or one in a million, </w:t>
      </w:r>
      <w:r w:rsidRPr="00015112">
        <w:rPr>
          <w:rFonts w:eastAsia="Cambria"/>
          <w:u w:val="single"/>
        </w:rPr>
        <w:t>individuals' responses to the same types of risk-assessment questions change drastically</w:t>
      </w:r>
      <w:r w:rsidRPr="00015112">
        <w:rPr>
          <w:rFonts w:eastAsia="Cambria"/>
          <w:sz w:val="16"/>
          <w:szCs w:val="16"/>
        </w:rPr>
        <w:t xml:space="preserve">. </w:t>
      </w:r>
      <w:r w:rsidRPr="00015112">
        <w:rPr>
          <w:rFonts w:eastAsia="Cambria"/>
          <w:sz w:val="8"/>
          <w:szCs w:val="8"/>
        </w:rPr>
        <w:t>The average person is willing to pay far more to avoid an exceedingly low-probability harm than the standard $ 7 million value of life would predict. In one survey, respondents confronted with a probabilistic threat to their lives of 1 in 100,000 were willing to pay approximately $ 220 to avoid the danger, which corresponds to a value of life of $ 22 million - already well above the typical $ 7 million benchmark. n179 But when a parallel set of respondents were asked about a threat to their lives of only 1 in a million probability, they were still willing to pay on average $ 100 to avoid it, placing their estimated value of life at $ 100 million - nearly fifteen times the usual number and five times the value for a threat of tenfold greater probability. n180 Another study displayed this effect in even starker relief. Respondents were willing to pay, on average, $ 15 per airplane flight to lower the risk of a terrorist attack on that flight from 1 in a million to 1 in 10 million. n181 This price, for a risk reduction of 9 in 10 million, corresponds to a value of life of approximately $ 16 million, already well above the typical amount. But this effect exploded when respondents were asked what they would pay to eliminate that final 1 in 10 million chance. The average person was willing to spend more than $ 16 in the face of only a 1 in 10 million probability of harm, pricing her life at a whopping $ 160 million. n182 Other studies have revealed a similar effect, with individuals even willing to pay more to avoid smaller risks than to avoid larger ones. n183</w:t>
      </w:r>
      <w:r w:rsidRPr="00015112">
        <w:rPr>
          <w:rFonts w:eastAsia="Cambria"/>
          <w:sz w:val="16"/>
          <w:szCs w:val="16"/>
        </w:rPr>
        <w:t xml:space="preserve"> </w:t>
      </w:r>
      <w:r w:rsidRPr="00015112">
        <w:rPr>
          <w:rFonts w:eastAsia="Cambria"/>
          <w:u w:val="single"/>
        </w:rPr>
        <w:t>The consequences of this type of value inflation are straightforward and severe.</w:t>
      </w:r>
      <w:r w:rsidRPr="00015112">
        <w:rPr>
          <w:rFonts w:eastAsia="Cambria"/>
          <w:sz w:val="16"/>
          <w:szCs w:val="16"/>
        </w:rPr>
        <w:t xml:space="preserve"> </w:t>
      </w:r>
      <w:r w:rsidRPr="00015112">
        <w:rPr>
          <w:rFonts w:eastAsia="Cambria"/>
          <w:sz w:val="8"/>
          <w:szCs w:val="8"/>
        </w:rPr>
        <w:t>A judge or juror performing cost-benefit analysis on a speech act that [*1334] threatens a harm of high magnitude and low probability will be inclined to substantially overvalue the "cost" side of the ledger, compared to a higher-probability harm of similar statistical value, simply because of the low probability itself. This willingness to overpay to avoid low-probability threats will result in systematic oversuppression of speech in the presence of low-probability, high-magnitude harms; too little speech will occur when compared to either the result of an unadulterated cost-benefit analysis or to a balancing of speech against only higher-probability harms. By screening out the very lowest-probability events and their drastic distortions of cost-benefit analysis (again, valuations of life increase fivefold as the probability of harm drops from 1/100,000 to 1/1,000,000), a probability threshold will act as a crude check on this anti-speech bias. 2. Low-Probability Risk Insensitivity The studies described above reveal two coordinated effects. First, as threats grew smaller, the actuarial value of life increased rapidly. n184</w:t>
      </w:r>
      <w:r w:rsidRPr="00015112">
        <w:rPr>
          <w:rFonts w:eastAsia="Cambria"/>
          <w:sz w:val="16"/>
          <w:szCs w:val="16"/>
        </w:rPr>
        <w:t xml:space="preserve"> </w:t>
      </w:r>
      <w:r w:rsidRPr="00015112">
        <w:rPr>
          <w:rFonts w:eastAsia="Cambria"/>
          <w:u w:val="single"/>
        </w:rPr>
        <w:t>In the presence of small probabilities, individuals functioned as poor cost-benefit balancers</w:t>
      </w:r>
      <w:r w:rsidRPr="00015112">
        <w:rPr>
          <w:rFonts w:eastAsia="Cambria"/>
          <w:sz w:val="16"/>
          <w:szCs w:val="16"/>
        </w:rPr>
        <w:t xml:space="preserve">. </w:t>
      </w:r>
      <w:r w:rsidRPr="00015112">
        <w:rPr>
          <w:rFonts w:eastAsia="Cambria"/>
          <w:sz w:val="8"/>
          <w:szCs w:val="8"/>
        </w:rPr>
        <w:t>But what should not be overlooked is the fact that these inflated cost-of-life values resulted from peoples' willingness to pay approximately equivalent amounts of money to eliminate all "small" risks, even when they actually differed in probability by an order of magnitude.</w:t>
      </w:r>
      <w:r w:rsidRPr="00015112">
        <w:rPr>
          <w:rFonts w:eastAsia="Cambria"/>
          <w:sz w:val="16"/>
          <w:szCs w:val="16"/>
        </w:rPr>
        <w:t xml:space="preserve"> </w:t>
      </w:r>
      <w:r w:rsidRPr="00015112">
        <w:rPr>
          <w:rFonts w:eastAsia="Cambria"/>
          <w:u w:val="single"/>
        </w:rPr>
        <w:t>Low-probability value inflation is thus part and parcel of what one might describe as low-probability insensitivity - layperson inability to distinguish between various tiny probabilities, even when they differ by as much as a factor of ten</w:t>
      </w:r>
      <w:r w:rsidRPr="00015112">
        <w:rPr>
          <w:rFonts w:eastAsia="Cambria"/>
          <w:sz w:val="16"/>
          <w:szCs w:val="16"/>
        </w:rPr>
        <w:t xml:space="preserve">. </w:t>
      </w:r>
      <w:r w:rsidRPr="00015112">
        <w:rPr>
          <w:rFonts w:eastAsia="Cambria"/>
          <w:sz w:val="8"/>
          <w:szCs w:val="8"/>
        </w:rPr>
        <w:t>n185 Another experiment highlights this effect and is worth describing in some detail. A 1998 survey told respondents a fictional story about a chemical plant that was at risk of releasing dangerous chemicals into the atmosphere above a nearby community. n186 The survey described an insurance company engaged in writing policies for affected community members and then provided an estimate of the probability of a chemical release (some surveys listed it at 1 in 100,000, some at 1 in 1 million, and some at 1 in 10 million). n187 Each survey provided only one of the three values. The surveys then offered comparison data regarding the probability of a car accident and asked four questions: [*1335] (1) whether the plant posed a serious health and safety risk to those living in the community, (2) whether the plant could operate in a manner that was safe for the community, (3) how serious is the risk of death posed by the plant, and (4) how close to the plant respondents would be willing to live. n188 Remarkabl</w:t>
      </w:r>
      <w:r w:rsidRPr="00015112">
        <w:rPr>
          <w:rFonts w:eastAsia="Cambria"/>
          <w:sz w:val="16"/>
          <w:szCs w:val="16"/>
        </w:rPr>
        <w:t xml:space="preserve">y, </w:t>
      </w:r>
      <w:r w:rsidRPr="00015112">
        <w:rPr>
          <w:rFonts w:eastAsia="Cambria"/>
          <w:u w:val="single"/>
        </w:rPr>
        <w:t>respondents proved almost completely insensitive to the ten-fold gradations in risk between each of the three scenario</w:t>
      </w:r>
      <w:r w:rsidRPr="00015112">
        <w:rPr>
          <w:rFonts w:eastAsia="Cambria"/>
          <w:sz w:val="16"/>
          <w:szCs w:val="16"/>
        </w:rPr>
        <w:t xml:space="preserve">s. In their responses to the four questions, they graded the threat of a chemical release as "medium" (corresponding approximately to a risk of "3" on a scale of 1 to 5) irrespective of which of the three probabilities appeared on the survey they were given. n189 </w:t>
      </w:r>
      <w:r w:rsidRPr="00015112">
        <w:rPr>
          <w:rFonts w:eastAsia="Cambria"/>
          <w:u w:val="single"/>
        </w:rPr>
        <w:t>The survey respondents apparently viewed small risks as exactly that - and only that; the statistically enormous differences between them did not even register</w:t>
      </w:r>
      <w:r w:rsidRPr="00015112">
        <w:rPr>
          <w:rFonts w:eastAsia="Cambria"/>
          <w:sz w:val="16"/>
          <w:szCs w:val="16"/>
        </w:rPr>
        <w:t xml:space="preserve">. As one commentator suggests, </w:t>
      </w:r>
      <w:r w:rsidRPr="00015112">
        <w:rPr>
          <w:rFonts w:eastAsia="Cambria"/>
          <w:u w:val="single"/>
        </w:rPr>
        <w:t>it is likely that for risks in these domains "the relevant probability is "low, but not zero,' and ... finer distinctions are unhelpful</w:t>
      </w:r>
      <w:r w:rsidRPr="00015112">
        <w:rPr>
          <w:rFonts w:eastAsia="Cambria"/>
          <w:sz w:val="16"/>
          <w:szCs w:val="16"/>
        </w:rPr>
        <w:t xml:space="preserve">." </w:t>
      </w:r>
      <w:r w:rsidRPr="00015112">
        <w:rPr>
          <w:rFonts w:eastAsia="Cambria"/>
          <w:sz w:val="8"/>
          <w:szCs w:val="8"/>
        </w:rPr>
        <w:t>n190 A number of other studies have documented the same effect even among individuals presented with two differing risk situations side-by-side. n191 In contexts ranging from automobile fatalities, n192 to serious automobile injuries, n193 to hazardous waste, n194 to pesticides used on fresh produce, n195 and even to oyster-borne illnesses, n196 survey respondents displayed an utter inability to modulate their willingness to pay for increases in safety according to how much those safety increases actually would diminish the probability of harm. In one study, nearly half of survey respondents were willing to pay [*1336] more for a reduction in the probability of death from an unspecified cause from 2 in 100,000 to 1 in 100,000 than they were for a reduction in the probability of death from a similarly unspecified cause from 20 in 100,000 to 15 in 100,000 - despite the fact that the second reduction is fivefold greater. n197 It seems that</w:t>
      </w:r>
      <w:r w:rsidRPr="00015112">
        <w:rPr>
          <w:rFonts w:eastAsia="Cambria"/>
          <w:sz w:val="16"/>
          <w:szCs w:val="16"/>
        </w:rPr>
        <w:t xml:space="preserve"> </w:t>
      </w:r>
      <w:r w:rsidRPr="00015112">
        <w:rPr>
          <w:rFonts w:eastAsia="Cambria"/>
          <w:u w:val="single"/>
        </w:rPr>
        <w:t>individuals simply experience great difficulty at evaluating low probabilities with any consistency or accuracy.</w:t>
      </w:r>
      <w:r w:rsidRPr="00015112">
        <w:rPr>
          <w:rFonts w:eastAsia="Cambria"/>
          <w:sz w:val="16"/>
          <w:szCs w:val="16"/>
        </w:rPr>
        <w:t xml:space="preserve"> n198 Like its partner value inflation, probability insensitivity will tend to bias cost-benefit results systematically in favor of curtailing speech to protect against prospective harms. </w:t>
      </w:r>
      <w:r w:rsidRPr="00015112">
        <w:rPr>
          <w:rFonts w:eastAsia="Cambria"/>
          <w:u w:val="single"/>
        </w:rPr>
        <w:t>As probabilities of harm decrease, individuals pay less and less attention to fine gradations, pushing results towards the high-probability end of the spectrum</w:t>
      </w:r>
      <w:r w:rsidRPr="00015112">
        <w:rPr>
          <w:rFonts w:eastAsia="Cambria"/>
          <w:sz w:val="16"/>
          <w:szCs w:val="16"/>
        </w:rPr>
        <w:t xml:space="preserve">. </w:t>
      </w:r>
      <w:r w:rsidRPr="00015112">
        <w:rPr>
          <w:rFonts w:eastAsia="Cambria"/>
          <w:u w:val="single"/>
        </w:rPr>
        <w:t>Failure to recognize or appreciate the true size of a small probability represents the type of cognitive error that tends to compel decision-makers to accept restrictions on otherwise beneficial activities that they would not permit under an accurate cost-benefit analysis</w:t>
      </w:r>
      <w:r w:rsidRPr="00015112">
        <w:rPr>
          <w:rFonts w:eastAsia="Cambria"/>
          <w:sz w:val="8"/>
          <w:szCs w:val="8"/>
          <w:u w:val="single"/>
        </w:rPr>
        <w:t>.</w:t>
      </w:r>
      <w:r w:rsidRPr="00015112">
        <w:rPr>
          <w:rFonts w:eastAsia="Cambria"/>
          <w:sz w:val="8"/>
          <w:szCs w:val="8"/>
        </w:rPr>
        <w:t xml:space="preserve"> 3. The Tyranny of Small Mistakes Compounding the errors introduced into low-probability cost-benefit analysis by the cognitive biases described above is the fact that when it comes to low-probability events - indeed, when it comes to small numbers generally - small mistakes can produce enormous consequences. Estimations of large-magnitude damages are relatively robust. Underwriters, actuaries, and other risk assessors have become adept at gauging the damage that a putative danger might cause within reasonable limits. Working values for the cost of human life, major injuries, or damage to particular types of property exist, and risk experts employ them widely. n199 But more to the point, small mistakes are dwarfed by the enormous monetary baselines employed in such risk assessments. A very conservative estimate might place the value of the damage from the September 11th attacks on the World Trade Center at approximately $ 25 billion. n200 Even if that figure is off-target by a substantial amount, such as $ 2 billion, the overall effect on any resulting computation will be less than 10%.</w:t>
      </w:r>
      <w:r w:rsidRPr="00015112">
        <w:rPr>
          <w:rFonts w:eastAsia="Cambria"/>
          <w:sz w:val="16"/>
          <w:szCs w:val="16"/>
        </w:rPr>
        <w:t xml:space="preserve"> </w:t>
      </w:r>
      <w:r w:rsidRPr="00015112">
        <w:rPr>
          <w:rFonts w:eastAsia="Cambria"/>
          <w:u w:val="single"/>
        </w:rPr>
        <w:t>Probability assessments, on the other hand, introduce far greater uncertainty into any calculation.</w:t>
      </w:r>
      <w:r w:rsidRPr="00015112">
        <w:rPr>
          <w:rFonts w:eastAsia="Cambria"/>
          <w:sz w:val="16"/>
          <w:szCs w:val="16"/>
        </w:rPr>
        <w:t xml:space="preserve"> As this Article describes, speech harms [*1337] depend upon the actions of one or more intervening parties, as well as any number of other compounding or confounding factors. </w:t>
      </w:r>
      <w:r w:rsidRPr="00015112">
        <w:rPr>
          <w:rFonts w:eastAsia="Cambria"/>
          <w:u w:val="single"/>
        </w:rPr>
        <w:t>The probabilities involved in these events - which themselves invoke questions regarding, for example, the motivations or capabilities of some terrorist or military organization - hardly conduce to easy rational estimation.</w:t>
      </w:r>
      <w:r w:rsidRPr="00015112">
        <w:rPr>
          <w:rFonts w:eastAsia="Cambria"/>
          <w:sz w:val="16"/>
          <w:szCs w:val="16"/>
        </w:rPr>
        <w:t xml:space="preserve"> n201 </w:t>
      </w:r>
      <w:r w:rsidRPr="00015112">
        <w:rPr>
          <w:rFonts w:eastAsia="Cambria"/>
          <w:u w:val="single"/>
        </w:rPr>
        <w:t>There is a reason why these cases are discussed so frequently in qualitative terms and so rarely with reference to quantified probabilities</w:t>
      </w:r>
      <w:r w:rsidRPr="00015112">
        <w:rPr>
          <w:rFonts w:eastAsia="Cambria"/>
          <w:sz w:val="16"/>
          <w:szCs w:val="16"/>
        </w:rPr>
        <w:t xml:space="preserve">. </w:t>
      </w:r>
      <w:r w:rsidRPr="00015112">
        <w:rPr>
          <w:rFonts w:eastAsia="Cambria"/>
          <w:sz w:val="8"/>
          <w:szCs w:val="8"/>
        </w:rPr>
        <w:t>n202 Moreover, small errors in low-probability estimations introduce enormous variation into cost-benefit calculations. The mathematical point is both mundane and crucial: if the government believes that an event will occur with a probability of 2 in 100,000 if certain speech is allowed to take place, but the actual probability is, in fact, 1 in 100,000, n203 then the statistical estimate of harm is off by 50%. When the uncertainties endemic to assessing speech-related harms are coupled with standard probability indifference, errors of this magnitude seem almost inevitable. It is important to note that low-probability errors of this type are not themselves systematically biased toward either overestimation or underestimation of statistical harm. The mathematics of small probabilities work only as a lens, magnifying the effect of whatever errors have already taken place. Yet, as the rest of this Section describes, those errors are likely to be mistakes of over-estimation:</w:t>
      </w:r>
      <w:r w:rsidRPr="00015112">
        <w:rPr>
          <w:rFonts w:eastAsia="Cambria"/>
          <w:sz w:val="16"/>
          <w:szCs w:val="16"/>
        </w:rPr>
        <w:t xml:space="preserve"> </w:t>
      </w:r>
      <w:r w:rsidRPr="00015112">
        <w:rPr>
          <w:rFonts w:eastAsia="Cambria"/>
          <w:u w:val="single"/>
        </w:rPr>
        <w:t>miscalculations tending to inflate and overemphasize</w:t>
      </w:r>
      <w:r w:rsidRPr="00015112">
        <w:rPr>
          <w:rFonts w:eastAsia="Cambria"/>
          <w:sz w:val="16"/>
          <w:szCs w:val="16"/>
        </w:rPr>
        <w:t xml:space="preserve"> the </w:t>
      </w:r>
      <w:r w:rsidRPr="00015112">
        <w:rPr>
          <w:rFonts w:eastAsia="Cambria"/>
          <w:u w:val="single"/>
        </w:rPr>
        <w:t>dangers</w:t>
      </w:r>
      <w:r w:rsidRPr="00015112">
        <w:rPr>
          <w:rFonts w:eastAsia="Cambria"/>
          <w:sz w:val="16"/>
          <w:szCs w:val="16"/>
        </w:rPr>
        <w:t xml:space="preserve"> </w:t>
      </w:r>
      <w:r w:rsidRPr="00015112">
        <w:rPr>
          <w:rFonts w:eastAsia="Cambria"/>
          <w:sz w:val="8"/>
          <w:szCs w:val="8"/>
        </w:rPr>
        <w:t>attendant to speech. Enhanced by the mathematics of small numbers, these upward biases will magnify ephemeral threats into constitutionally significant events. [*1338] C. Dreadful Harms, Emotional Responses, and the Availability Heuristic In addition to the purely mathematical errors that attend efforts to cope with small numbers and low probabilities, the types of low-probability</w:t>
      </w:r>
      <w:r w:rsidRPr="00015112">
        <w:rPr>
          <w:rFonts w:eastAsia="Cambria"/>
          <w:sz w:val="16"/>
          <w:szCs w:val="16"/>
        </w:rPr>
        <w:t xml:space="preserve">, </w:t>
      </w:r>
      <w:r w:rsidRPr="00015112">
        <w:rPr>
          <w:rFonts w:eastAsia="Cambria"/>
          <w:u w:val="single"/>
        </w:rPr>
        <w:t>high-magnitude harms</w:t>
      </w:r>
      <w:r w:rsidRPr="00015112">
        <w:rPr>
          <w:rFonts w:eastAsia="Cambria"/>
          <w:sz w:val="16"/>
          <w:szCs w:val="16"/>
        </w:rPr>
        <w:t xml:space="preserve"> involved in free-speech cases </w:t>
      </w:r>
      <w:r w:rsidRPr="00015112">
        <w:rPr>
          <w:rFonts w:eastAsia="Cambria"/>
          <w:u w:val="single"/>
        </w:rPr>
        <w:t>often invoke strong emotional responses that further skew attempts to perform rational cost-benefit analysis.</w:t>
      </w:r>
      <w:r w:rsidRPr="00015112">
        <w:rPr>
          <w:rFonts w:eastAsia="Cambria"/>
          <w:sz w:val="16"/>
          <w:szCs w:val="16"/>
        </w:rPr>
        <w:t xml:space="preserve"> Two complementary cognitive effects are manifest. First, </w:t>
      </w:r>
      <w:r w:rsidRPr="00015112">
        <w:rPr>
          <w:rFonts w:eastAsia="Cambria"/>
          <w:u w:val="single"/>
        </w:rPr>
        <w:t>individuals tend to overreact to harms from "dreadful" or "unknown" sources or other types of harms that invoke a particularly significant emotional response</w:t>
      </w:r>
      <w:r w:rsidRPr="00015112">
        <w:rPr>
          <w:rFonts w:eastAsia="Cambria"/>
          <w:sz w:val="16"/>
          <w:szCs w:val="16"/>
        </w:rPr>
        <w:t xml:space="preserve">. </w:t>
      </w:r>
      <w:r w:rsidRPr="00015112">
        <w:rPr>
          <w:rFonts w:eastAsia="Cambria"/>
          <w:u w:val="single"/>
        </w:rPr>
        <w:t>High-magnitude harms</w:t>
      </w:r>
      <w:r w:rsidRPr="00015112">
        <w:rPr>
          <w:rFonts w:eastAsia="Cambria"/>
          <w:sz w:val="16"/>
          <w:szCs w:val="16"/>
        </w:rPr>
        <w:t xml:space="preserve"> resultant from speech </w:t>
      </w:r>
      <w:r w:rsidRPr="00015112">
        <w:rPr>
          <w:rFonts w:eastAsia="Cambria"/>
          <w:u w:val="single"/>
        </w:rPr>
        <w:t>are almost always of this type; terrorism, riots, and the like are not the stuff of ordinary experience, and their effects upon the public mood is far greater than the number of casualties would indicate</w:t>
      </w:r>
      <w:r w:rsidRPr="00015112">
        <w:rPr>
          <w:rFonts w:eastAsia="Cambria"/>
          <w:sz w:val="16"/>
          <w:szCs w:val="16"/>
        </w:rPr>
        <w:t xml:space="preserve">. Second, </w:t>
      </w:r>
      <w:r w:rsidRPr="00015112">
        <w:rPr>
          <w:rFonts w:eastAsia="Cambria"/>
          <w:u w:val="single"/>
        </w:rPr>
        <w:t>individuals tend to overvalue harms that have special temporal salience, harms that resonate with recent experience, or threats that seem similar to ones they have heard about in the near past</w:t>
      </w:r>
      <w:r w:rsidRPr="00015112">
        <w:rPr>
          <w:rFonts w:eastAsia="Cambria"/>
          <w:sz w:val="16"/>
          <w:szCs w:val="16"/>
        </w:rPr>
        <w:t xml:space="preserve">. </w:t>
      </w:r>
      <w:r w:rsidRPr="00015112">
        <w:rPr>
          <w:rFonts w:eastAsia="Cambria"/>
          <w:sz w:val="8"/>
          <w:szCs w:val="8"/>
        </w:rPr>
        <w:t>The effect of this type of cognitive bias - the "availability heuristic" - is obviously context-specific; modern citizens are not likely to inflate the threat of a troop transport being sunk in the same fashion as Americans living during the Second World War might have. Yet, at least one class of potential high-magnitude speech harms</w:t>
      </w:r>
      <w:r w:rsidRPr="00015112">
        <w:rPr>
          <w:rFonts w:eastAsia="Cambria"/>
          <w:sz w:val="16"/>
          <w:szCs w:val="16"/>
        </w:rPr>
        <w:t xml:space="preserve">, </w:t>
      </w:r>
      <w:r w:rsidRPr="00015112">
        <w:rPr>
          <w:rFonts w:eastAsia="Cambria"/>
          <w:u w:val="single"/>
        </w:rPr>
        <w:t>terrorism, remains of obvious salience today</w:t>
      </w:r>
      <w:r w:rsidRPr="00015112">
        <w:rPr>
          <w:rFonts w:eastAsia="Cambria"/>
          <w:sz w:val="16"/>
          <w:szCs w:val="16"/>
        </w:rPr>
        <w:t xml:space="preserve">. </w:t>
      </w:r>
      <w:r w:rsidRPr="00015112">
        <w:rPr>
          <w:rFonts w:eastAsia="Cambria"/>
          <w:sz w:val="8"/>
          <w:szCs w:val="8"/>
        </w:rPr>
        <w:t>Moreover, the low-probability threats that present themselves in any era - those threats that galvanize the government into attempts to curb speech - are likely to have great contemporaneous relevance, if for no other reason than for the fact that the government will attempt to make the citizenry aware of them as a part of its campaign to justify its restrictions on speech. High-magnitude, low-probability speech harms are thus, by their very nature, likely to tap into these heuristic biases. The result is a systematic overemphasis of low-probability threats, an effect that the First Amendment's probability threshold is meant crudely to counteract. 1. Emotions, Fear, and First Amendment Events It is not surprising to learn tha</w:t>
      </w:r>
      <w:r w:rsidRPr="00015112">
        <w:rPr>
          <w:rFonts w:eastAsia="Cambria"/>
          <w:sz w:val="16"/>
          <w:szCs w:val="16"/>
        </w:rPr>
        <w:t xml:space="preserve">t </w:t>
      </w:r>
      <w:r w:rsidRPr="00015112">
        <w:rPr>
          <w:rFonts w:eastAsia="Cambria"/>
          <w:u w:val="single"/>
        </w:rPr>
        <w:t>individuals respond more vociferously to emotionally charged threats or events</w:t>
      </w:r>
      <w:r w:rsidRPr="00015112">
        <w:rPr>
          <w:rFonts w:eastAsia="Cambria"/>
          <w:sz w:val="16"/>
          <w:szCs w:val="16"/>
        </w:rPr>
        <w:t xml:space="preserve">. </w:t>
      </w:r>
      <w:r w:rsidRPr="00015112">
        <w:rPr>
          <w:rFonts w:eastAsia="Cambria"/>
          <w:sz w:val="8"/>
          <w:szCs w:val="8"/>
        </w:rPr>
        <w:t>Emotion is, by definition, something that individuals experience outside of their purely rational modes of cognition - but that nevertheless influences individual preferences n204 - and a phenomenon that taps into both rational and extrarational centers will undoubtedly produce some type of heightened effect. What is striking is the degree to which</w:t>
      </w:r>
      <w:r w:rsidRPr="00015112">
        <w:rPr>
          <w:rFonts w:eastAsia="Cambria"/>
          <w:sz w:val="16"/>
          <w:szCs w:val="16"/>
        </w:rPr>
        <w:t xml:space="preserve"> </w:t>
      </w:r>
      <w:r w:rsidRPr="00015112">
        <w:rPr>
          <w:rFonts w:eastAsia="Cambria"/>
          <w:u w:val="single"/>
        </w:rPr>
        <w:t>emotional appeals can penetrate what ought to be purely rational decision-making processes</w:t>
      </w:r>
      <w:r w:rsidRPr="00015112">
        <w:rPr>
          <w:rFonts w:eastAsia="Cambria"/>
          <w:sz w:val="16"/>
          <w:szCs w:val="16"/>
        </w:rPr>
        <w:t xml:space="preserve"> and the extent to which they can skew the outcomes of those endeavors. [*1339] </w:t>
      </w:r>
      <w:r w:rsidRPr="00015112">
        <w:rPr>
          <w:rFonts w:eastAsia="Cambria"/>
          <w:u w:val="single"/>
        </w:rPr>
        <w:t>Experiments have demonstrated that individuals are willing to pay substantial premiums to avoid emotionally laden dangers above and beyond what they would spend to eliminate banal risks of the same magnitude and probability</w:t>
      </w:r>
      <w:r w:rsidRPr="00015112">
        <w:rPr>
          <w:rFonts w:eastAsia="Cambria"/>
          <w:sz w:val="16"/>
          <w:szCs w:val="16"/>
        </w:rPr>
        <w:t xml:space="preserve">. </w:t>
      </w:r>
      <w:r w:rsidRPr="00015112">
        <w:rPr>
          <w:rFonts w:eastAsia="Cambria"/>
          <w:sz w:val="8"/>
          <w:szCs w:val="8"/>
        </w:rPr>
        <w:t>In one study, subjects were willing to pay as much as 45% more to avoid a risk that had been described to them in emotional terms than they were willing to pay to avoid the same risk - a risk of death with the same probability - when they had been offered the risk in emotion-neutral terms. n205 Another study obtained similar results by looking at responses to threats of electric shock. n206 These examples, alongside many others, n207 reveal a more particular trend:</w:t>
      </w:r>
      <w:r w:rsidRPr="00015112">
        <w:rPr>
          <w:rFonts w:eastAsia="Cambria"/>
          <w:sz w:val="16"/>
          <w:szCs w:val="16"/>
        </w:rPr>
        <w:t xml:space="preserve"> </w:t>
      </w:r>
      <w:r w:rsidRPr="00015112">
        <w:rPr>
          <w:rFonts w:eastAsia="Cambria"/>
          <w:u w:val="single"/>
        </w:rPr>
        <w:t>individuals will respond more strongly to "dreadful" or "catastrophic" dangers and to dangers that they cannot control than they will to typical, everyday harms</w:t>
      </w:r>
      <w:r w:rsidRPr="00015112">
        <w:rPr>
          <w:rFonts w:eastAsia="Cambria"/>
          <w:sz w:val="16"/>
          <w:szCs w:val="16"/>
        </w:rPr>
        <w:t xml:space="preserve">. n208 </w:t>
      </w:r>
      <w:r w:rsidRPr="00015112">
        <w:rPr>
          <w:rFonts w:eastAsia="Cambria"/>
          <w:u w:val="single"/>
        </w:rPr>
        <w:t>The effect can become extremely pronounced in the context of improbable threats, as individuals "focus[] their attention on the outcome rather than the low probability of the harm."</w:t>
      </w:r>
      <w:r w:rsidRPr="00015112">
        <w:rPr>
          <w:rFonts w:eastAsia="Cambria"/>
          <w:sz w:val="16"/>
          <w:szCs w:val="16"/>
        </w:rPr>
        <w:t xml:space="preserve"> n209 </w:t>
      </w:r>
      <w:r w:rsidRPr="00015112">
        <w:rPr>
          <w:rFonts w:eastAsia="Cambria"/>
          <w:u w:val="single"/>
        </w:rPr>
        <w:t>It is the "catastrophic potential" of a threat - not its low probability or the statistical risk it actually poses - that dominates individual assessments</w:t>
      </w:r>
      <w:r w:rsidRPr="00015112">
        <w:rPr>
          <w:rFonts w:eastAsia="Cambria"/>
          <w:sz w:val="16"/>
          <w:szCs w:val="16"/>
        </w:rPr>
        <w:t xml:space="preserve">. n210 The most immediate application of this notion is to terrorism, and indeed, many commentators have concluded that mere invocation of </w:t>
      </w:r>
      <w:r w:rsidRPr="00015112">
        <w:rPr>
          <w:rFonts w:eastAsia="Cambria"/>
          <w:u w:val="single"/>
        </w:rPr>
        <w:t>the threat</w:t>
      </w:r>
      <w:r w:rsidRPr="00015112">
        <w:rPr>
          <w:rFonts w:eastAsia="Cambria"/>
          <w:sz w:val="16"/>
          <w:szCs w:val="16"/>
        </w:rPr>
        <w:t xml:space="preserve"> of terrorism "</w:t>
      </w:r>
      <w:r w:rsidRPr="00015112">
        <w:rPr>
          <w:rFonts w:eastAsia="Cambria"/>
          <w:u w:val="single"/>
        </w:rPr>
        <w:t>evokes vivid images of disaster, thus crowding out [rational] probability judgments" and enhancing the amount that individuals would sacrifice to avoid such a harm</w:t>
      </w:r>
      <w:r w:rsidRPr="00015112">
        <w:rPr>
          <w:rFonts w:eastAsia="Cambria"/>
          <w:sz w:val="16"/>
          <w:szCs w:val="16"/>
        </w:rPr>
        <w:t xml:space="preserve">. n211 But the principle extends to many of the types of low-probability, high-magnitude harms that might be expected to arise from speech. </w:t>
      </w:r>
      <w:r w:rsidRPr="00015112">
        <w:rPr>
          <w:rFonts w:eastAsia="Cambria"/>
        </w:rPr>
        <w:t xml:space="preserve"> </w:t>
      </w:r>
      <w:r w:rsidRPr="00015112">
        <w:rPr>
          <w:rFonts w:eastAsia="Cambria"/>
          <w:sz w:val="16"/>
          <w:szCs w:val="16"/>
        </w:rPr>
        <w:t xml:space="preserve">To some degree, </w:t>
      </w:r>
      <w:r w:rsidRPr="00015112">
        <w:rPr>
          <w:rFonts w:eastAsia="Cambria"/>
          <w:u w:val="single"/>
        </w:rPr>
        <w:t>the effect reaches all low-probability, high-impact harms; a "catastrophic" harm is simply one that is large, and individuals will naturally respond most strongly to large, fearsome threats of all types</w:t>
      </w:r>
      <w:r w:rsidRPr="00015112">
        <w:rPr>
          <w:rFonts w:eastAsia="Cambria"/>
          <w:sz w:val="16"/>
          <w:szCs w:val="16"/>
        </w:rPr>
        <w:t xml:space="preserve">. But the harms associated with reckless speech are particularly susceptible to these types of emotional over-reactions, partly because they necessarily involve the machinations of faceless third parties who act upon the speech. </w:t>
      </w:r>
      <w:r w:rsidRPr="00015112">
        <w:rPr>
          <w:rFonts w:eastAsia="Cambria"/>
          <w:u w:val="single"/>
        </w:rPr>
        <w:t>Wars, riots, terrorism, military disasters</w:t>
      </w:r>
      <w:r w:rsidRPr="00015112">
        <w:rPr>
          <w:rFonts w:eastAsia="Cambria"/>
          <w:sz w:val="16"/>
          <w:szCs w:val="16"/>
        </w:rPr>
        <w:t xml:space="preserve">, and the [*1340] chaos of the mob - </w:t>
      </w:r>
      <w:r w:rsidRPr="00015112">
        <w:rPr>
          <w:rFonts w:eastAsia="Cambria"/>
          <w:u w:val="single"/>
        </w:rPr>
        <w:t>these speech-induced threats conjure up dreadful images and inspire fear in a way that even mass disasters such as earthquakes and floods apparently do not. n212 Fear is a powerful inducement to action, n213 and speech-borne threats catalyze reactions far beyond what quotidian risks such as car accidents might produce, n214 whether or not they offer a comparably smaller statistical threat</w:t>
      </w:r>
      <w:r w:rsidRPr="00015112">
        <w:rPr>
          <w:rFonts w:eastAsia="Cambria"/>
          <w:sz w:val="16"/>
          <w:szCs w:val="16"/>
        </w:rPr>
        <w:t xml:space="preserve">. n215 One intuitive consequence of this response is that </w:t>
      </w:r>
      <w:r w:rsidRPr="00015112">
        <w:rPr>
          <w:rFonts w:eastAsia="Cambria"/>
          <w:u w:val="single"/>
        </w:rPr>
        <w:t>individuals will tend to focus systematically upon the "worst case," since it is that case that will trigger the strongest emotional response</w:t>
      </w:r>
      <w:r w:rsidRPr="00015112">
        <w:rPr>
          <w:rFonts w:eastAsia="Cambria"/>
          <w:sz w:val="16"/>
          <w:szCs w:val="16"/>
        </w:rPr>
        <w:t xml:space="preserve">. </w:t>
      </w:r>
      <w:r w:rsidRPr="00015112">
        <w:rPr>
          <w:rFonts w:eastAsia="Cambria"/>
          <w:sz w:val="8"/>
          <w:szCs w:val="8"/>
        </w:rPr>
        <w:t>n216 In one experiment, subjects received information about a potential risk from two parties: industry and the government. n217 For some subjects, the government described the risk as high and industry described it as low; for some subjects it was the opposite. Yet, in all cases, respondents viewed "the high risk information as being more informative," regardless of the source. n218 Experiments such as this one would make it seem tha</w:t>
      </w:r>
      <w:r w:rsidRPr="00015112">
        <w:rPr>
          <w:rFonts w:eastAsia="Cambria"/>
          <w:sz w:val="16"/>
          <w:szCs w:val="16"/>
        </w:rPr>
        <w:t xml:space="preserve">t </w:t>
      </w:r>
      <w:r w:rsidRPr="00015112">
        <w:rPr>
          <w:rFonts w:eastAsia="Cambria"/>
          <w:u w:val="single"/>
        </w:rPr>
        <w:t>our skewed perspective on the probability of dreadful events might be triggered, in part, by our pessimistic willingness to believe that they may well occur - whether or not that willingness is attributable entirely to the vivid emotional picture that such harms paint</w:t>
      </w:r>
      <w:r w:rsidRPr="00015112">
        <w:rPr>
          <w:rFonts w:eastAsia="Cambria"/>
          <w:sz w:val="16"/>
          <w:szCs w:val="16"/>
        </w:rPr>
        <w:t xml:space="preserve">. n219 </w:t>
      </w:r>
      <w:r w:rsidRPr="00015112">
        <w:rPr>
          <w:rFonts w:eastAsia="Cambria"/>
          <w:u w:val="single"/>
        </w:rPr>
        <w:t>The likely consequence is a decision-making populace prepared to believe the worst whenever they are provided with competing characterizations of a level of risk</w:t>
      </w:r>
      <w:r w:rsidRPr="00015112">
        <w:rPr>
          <w:rFonts w:eastAsia="Cambria"/>
          <w:sz w:val="16"/>
          <w:szCs w:val="16"/>
        </w:rPr>
        <w:t xml:space="preserve">. </w:t>
      </w:r>
      <w:r w:rsidRPr="00015112">
        <w:rPr>
          <w:rFonts w:eastAsia="Cambria"/>
          <w:sz w:val="8"/>
          <w:szCs w:val="8"/>
        </w:rPr>
        <w:t>In speech cases, the worst-case scenario will of course be the one suggested by the censor. Therefore, it may be that even if the government did not hold an information monopoly over assessments of speech harms n220 - and even if the government's opinion were not entitled to [*1341] special deference n221</w:t>
      </w:r>
      <w:r w:rsidRPr="00015112">
        <w:rPr>
          <w:rFonts w:eastAsia="Cambria"/>
          <w:sz w:val="16"/>
          <w:szCs w:val="16"/>
        </w:rPr>
        <w:t xml:space="preserve"> - </w:t>
      </w:r>
      <w:r w:rsidRPr="00015112">
        <w:rPr>
          <w:rFonts w:eastAsia="Cambria"/>
          <w:u w:val="single"/>
        </w:rPr>
        <w:t>the mere fact that the government was forecasting the most severe outcome would tilt the scales against other predictions.</w:t>
      </w:r>
      <w:r w:rsidRPr="00015112">
        <w:rPr>
          <w:rFonts w:eastAsia="Cambria"/>
          <w:sz w:val="16"/>
          <w:szCs w:val="16"/>
        </w:rPr>
        <w:t xml:space="preserve"> 2. The Availability Heuristic </w:t>
      </w:r>
      <w:r w:rsidRPr="00015112">
        <w:rPr>
          <w:rFonts w:eastAsia="Cambria"/>
          <w:u w:val="single"/>
        </w:rPr>
        <w:t>Operating alongside the overemphasis on "dreadful" or terrible harms is the tendency of individuals to overestimate the likelihood that an event will occur when an example of that event comes readily to mind</w:t>
      </w:r>
      <w:r w:rsidRPr="00015112">
        <w:rPr>
          <w:rFonts w:eastAsia="Cambria"/>
          <w:sz w:val="16"/>
          <w:szCs w:val="16"/>
        </w:rPr>
        <w:t xml:space="preserve">. </w:t>
      </w:r>
      <w:r w:rsidRPr="00015112">
        <w:rPr>
          <w:rFonts w:eastAsia="Cambria"/>
          <w:sz w:val="8"/>
          <w:szCs w:val="8"/>
        </w:rPr>
        <w:t>n222 This effect, known as the "availability heuristic," is the product of the very human tendency to focus on whatever evidence is most cognitively salient at any given moment. n223 It is by definition context-specific; what is news today - and therefore foremost in the minds of most individuals - may well not be news tomorrow. Thus, the availability heuristic may favor certain impressions on one day and a completely different set mere weeks or months later. Nor does the availability heuristic necessarily systematically favor the government or the speaker. A widely publicized story of police abuse - the unwarranted beating of a suspect, for instance - can trigger the availability heuristic and cause the public to misjudge the extent to which law-enforcement authorities are overstepping their lawful boundaries. One week later, news of the urban riot that erupted as a consequence of this act of police brutality could induce the same public to believe that the citizenry has run amok and that the authorities are doing an inadequate job of policing the community. n224 The only factor is how easily a decision-maker can summon an instance of the event in question to mind. It is worth noting also that the evidence and theory behind the availability heuristic would seem to conflict to some degree with the observation - offered by the same commentators who have recorded the enhanced public reaction to particularly dreadful or frightful events - tha</w:t>
      </w:r>
      <w:r w:rsidRPr="00015112">
        <w:rPr>
          <w:rFonts w:eastAsia="Cambria"/>
          <w:sz w:val="16"/>
          <w:szCs w:val="16"/>
        </w:rPr>
        <w:t xml:space="preserve">t </w:t>
      </w:r>
      <w:r w:rsidRPr="00015112">
        <w:rPr>
          <w:rFonts w:eastAsia="Cambria"/>
          <w:u w:val="single"/>
        </w:rPr>
        <w:t>individuals respond more strongly to "unknown" dangers</w:t>
      </w:r>
      <w:r w:rsidRPr="00015112">
        <w:rPr>
          <w:rFonts w:eastAsia="Cambria"/>
          <w:sz w:val="16"/>
          <w:szCs w:val="16"/>
        </w:rPr>
        <w:t xml:space="preserve">. </w:t>
      </w:r>
      <w:r w:rsidRPr="00015112">
        <w:rPr>
          <w:rFonts w:eastAsia="Cambria"/>
          <w:sz w:val="8"/>
          <w:szCs w:val="8"/>
        </w:rPr>
        <w:t>n225 Yet the disagreement is not, in fact, so stark. The answer is revealed through the types of risks that these commentators classify as "unknown": nuclear accidents, genetic mutations, food irradiation, and the like. n226 The claim, then, is not the facially bizarre assertion that individuals are responding to risks that they do not know of; instead, they react most strongly to threats [*1342] that have been much discussed within the press but that are sufficiently complex or "scientific" that the average layperson cannot comprehend them. The availability heuristic would predict similar outcomes. The impact of this tendency on how the American public perceives the types of low-probability harms that speech might engender is far from one-sided. Certain types of these threats would appear foreign or anachronistic to modern eyes. Recent American history is hardly full of examples of speech acts inciting urban riots or pogroms, n227 and the United States has not had a troop transport sunk due to the publication of its sailing date in quite some time. The availability heuristic might, in many cases, lead decision-makers to underestimate the probability that those types of harms will materialize; these are among the types of catastrophic events that are hard to imagine taking place in the modern United States. In fact, the period of McCarthyism during the 1940s and 1950s, an era characterized by what are now viewed as excessive assaults on the freedom of speech, n228 arguably retains greater salience than nearly any other series of events with such an obvious speech valence. The availability heuristic thus might augur generally greater protection for speech than conventional cost-benefit models would prescribe. There is, however, at least one more powerful counter-consideration: the importance of terrorism. As of 2005, the terrorist threat remains perhaps the single most salient issue of public policy, and the events of September 11th maintain a position of prominence in the minds of people across the country. n229</w:t>
      </w:r>
      <w:r w:rsidRPr="00015112">
        <w:rPr>
          <w:rFonts w:eastAsia="Cambria"/>
          <w:sz w:val="16"/>
          <w:szCs w:val="16"/>
        </w:rPr>
        <w:t xml:space="preserve"> </w:t>
      </w:r>
      <w:r w:rsidRPr="00015112">
        <w:rPr>
          <w:rFonts w:eastAsia="Cambria"/>
          <w:u w:val="single"/>
        </w:rPr>
        <w:t>The availability heuristic thus would predict that decision-makers will systematically and severely inflate their estimates of the probability of a terrorist event as one or more memorable examples come immediately to mind</w:t>
      </w:r>
      <w:r w:rsidRPr="00015112">
        <w:rPr>
          <w:rFonts w:eastAsia="Cambria"/>
          <w:sz w:val="16"/>
          <w:szCs w:val="16"/>
        </w:rPr>
        <w:t xml:space="preserve">. </w:t>
      </w:r>
      <w:r w:rsidRPr="00015112">
        <w:rPr>
          <w:rFonts w:eastAsia="Cambria"/>
          <w:sz w:val="8"/>
          <w:szCs w:val="8"/>
        </w:rPr>
        <w:t>Not coincidentally, the vast majority of cost-benefit speech cases that have come before the courts in recent years - and the vast majority that are expected to arrive in courtrooms in the near future - are terrorism cases. n230 [*1343] The availability heuristic may not be applicable ubiquito</w:t>
      </w:r>
      <w:r w:rsidRPr="00015112">
        <w:rPr>
          <w:rFonts w:eastAsia="Cambria"/>
        </w:rPr>
        <w:t xml:space="preserve"> </w:t>
      </w:r>
      <w:r w:rsidRPr="00015112">
        <w:rPr>
          <w:rFonts w:eastAsia="Cambria"/>
          <w:sz w:val="8"/>
          <w:szCs w:val="8"/>
        </w:rPr>
        <w:t>sly, but it is likely to have a substantial impact in the most crucial of contexts</w:t>
      </w:r>
    </w:p>
    <w:p w14:paraId="5E52BA7C" w14:textId="77777777" w:rsidR="00F368A8" w:rsidRPr="00015112" w:rsidRDefault="00F368A8" w:rsidP="00F368A8"/>
    <w:p w14:paraId="1BA7B56E" w14:textId="3DD15891" w:rsidR="00CB1D9D" w:rsidRPr="00015112" w:rsidRDefault="00CB1D9D" w:rsidP="00CB1D9D">
      <w:pPr>
        <w:pStyle w:val="Heading2"/>
      </w:pPr>
      <w:r w:rsidRPr="00015112">
        <w:t>Alt</w:t>
      </w:r>
    </w:p>
    <w:p w14:paraId="17F96DD2" w14:textId="16D2B618" w:rsidR="00EC52FE" w:rsidRPr="00015112" w:rsidRDefault="00EC52FE" w:rsidP="00EC52FE">
      <w:pPr>
        <w:pStyle w:val="Heading3"/>
      </w:pPr>
      <w:r w:rsidRPr="00015112">
        <w:t>2NC – Alt – Radical Imaginary Framing – Sefa Dei</w:t>
      </w:r>
    </w:p>
    <w:p w14:paraId="7ED54441" w14:textId="77777777" w:rsidR="00EC52FE" w:rsidRPr="00015112" w:rsidRDefault="00EC52FE" w:rsidP="00EC52FE">
      <w:pPr>
        <w:pStyle w:val="Heading4"/>
        <w:rPr>
          <w:rFonts w:cs="Arial"/>
        </w:rPr>
      </w:pPr>
      <w:r w:rsidRPr="00015112">
        <w:rPr>
          <w:rFonts w:cs="Arial"/>
        </w:rPr>
        <w:t xml:space="preserve">Prefer invoking </w:t>
      </w:r>
      <w:r w:rsidRPr="00015112">
        <w:rPr>
          <w:rFonts w:cs="Arial"/>
          <w:u w:val="single"/>
        </w:rPr>
        <w:t xml:space="preserve">radical imaginaries </w:t>
      </w:r>
      <w:r w:rsidRPr="00015112">
        <w:rPr>
          <w:rFonts w:cs="Arial"/>
        </w:rPr>
        <w:t xml:space="preserve">as a form of </w:t>
      </w:r>
      <w:r w:rsidRPr="00015112">
        <w:rPr>
          <w:rFonts w:cs="Arial"/>
          <w:u w:val="single"/>
        </w:rPr>
        <w:t xml:space="preserve">decolonial subversive politics </w:t>
      </w:r>
      <w:r w:rsidRPr="00015112">
        <w:rPr>
          <w:rFonts w:cs="Arial"/>
        </w:rPr>
        <w:t xml:space="preserve">that resists </w:t>
      </w:r>
      <w:r w:rsidRPr="00015112">
        <w:rPr>
          <w:rFonts w:cs="Arial"/>
          <w:u w:val="single"/>
        </w:rPr>
        <w:t xml:space="preserve">genocidal logics </w:t>
      </w:r>
      <w:r w:rsidRPr="00015112">
        <w:rPr>
          <w:rFonts w:cs="Arial"/>
        </w:rPr>
        <w:t xml:space="preserve"> </w:t>
      </w:r>
    </w:p>
    <w:p w14:paraId="56A85C3C" w14:textId="77777777" w:rsidR="00EC52FE" w:rsidRPr="00015112" w:rsidRDefault="00EC52FE" w:rsidP="00EC52FE">
      <w:pPr>
        <w:rPr>
          <w:sz w:val="16"/>
          <w:szCs w:val="16"/>
        </w:rPr>
      </w:pPr>
      <w:r w:rsidRPr="00015112">
        <w:rPr>
          <w:rStyle w:val="Style13ptBold"/>
        </w:rPr>
        <w:t>Sefa Dei 18</w:t>
      </w:r>
      <w:r w:rsidRPr="00015112">
        <w:t xml:space="preserve"> </w:t>
      </w:r>
      <w:r w:rsidRPr="00015112">
        <w:rPr>
          <w:sz w:val="16"/>
          <w:szCs w:val="16"/>
        </w:rPr>
        <w:t>– professor at Ontario Institute for Studies in Education of the University of Toronto Director for the Centre for Integrative Studies at OISE/UT and Carnegie African Diaspora Fellow [George J., ““Black Like Me”: Reframing Blackness for Decolonial Politics” 2018, Educational Studies, 54:2, 117-142, DKP]</w:t>
      </w:r>
    </w:p>
    <w:p w14:paraId="13E755EC" w14:textId="77777777" w:rsidR="00EC52FE" w:rsidRPr="00015112" w:rsidRDefault="00EC52FE" w:rsidP="00EC52FE">
      <w:pPr>
        <w:spacing w:line="240" w:lineRule="auto"/>
        <w:contextualSpacing/>
        <w:rPr>
          <w:rStyle w:val="StyleUnderline"/>
        </w:rPr>
      </w:pPr>
      <w:r w:rsidRPr="00015112">
        <w:rPr>
          <w:rStyle w:val="StyleUnderline"/>
        </w:rPr>
        <w:t>We must evoke a form of “radical indigenism”</w:t>
      </w:r>
      <w:r w:rsidRPr="00015112">
        <w:rPr>
          <w:sz w:val="16"/>
        </w:rPr>
        <w:t xml:space="preserve"> (Garroute, 2003) for Black and African peoples everywhere </w:t>
      </w:r>
      <w:r w:rsidRPr="00015112">
        <w:rPr>
          <w:rStyle w:val="StyleUnderline"/>
        </w:rPr>
        <w:t>to engage in decolonial resistance and subversive politics. The goal is to destabilize Western hegemonies in knowledge, economics, and political and material practices. Colonialism has been unending in the power and reach of its ideas and imperial designs. We must,</w:t>
      </w:r>
      <w:r w:rsidRPr="00015112">
        <w:rPr>
          <w:sz w:val="16"/>
        </w:rPr>
        <w:t xml:space="preserve"> therefore, </w:t>
      </w:r>
      <w:r w:rsidRPr="00015112">
        <w:rPr>
          <w:rStyle w:val="StyleUnderline"/>
        </w:rPr>
        <w:t xml:space="preserve">claim the language of land and territory in discussions about African Indigeneity as a project of decolonization. Land is both metaphorical and concrete. </w:t>
      </w:r>
      <w:r w:rsidRPr="00015112">
        <w:rPr>
          <w:sz w:val="16"/>
        </w:rPr>
        <w:t>The metaphorical is to allow us to claim that sense of belonging to place, space, and history. It is metaphorical because this</w:t>
      </w:r>
      <w:r w:rsidRPr="00015112">
        <w:rPr>
          <w:rStyle w:val="StyleUnderline"/>
        </w:rPr>
        <w:t xml:space="preserve"> Indigeneity resides in our bodies and cultural memories as well as our spiritual and psychic senses.</w:t>
      </w:r>
    </w:p>
    <w:p w14:paraId="2CD7F655" w14:textId="77777777" w:rsidR="00EC52FE" w:rsidRPr="00015112" w:rsidRDefault="00EC52FE" w:rsidP="00EC52FE">
      <w:pPr>
        <w:spacing w:line="240" w:lineRule="auto"/>
        <w:contextualSpacing/>
        <w:rPr>
          <w:sz w:val="16"/>
        </w:rPr>
      </w:pPr>
      <w:r w:rsidRPr="00015112">
        <w:rPr>
          <w:rStyle w:val="StyleUnderline"/>
        </w:rPr>
        <w:t xml:space="preserve">A distinction between Indigenous and Indigenous settler societies could be helpful. Indigenous helps theorize the shared experiences and histories of peoples whose Lands </w:t>
      </w:r>
      <w:r w:rsidRPr="00015112">
        <w:rPr>
          <w:sz w:val="16"/>
        </w:rPr>
        <w:t xml:space="preserve">were and/or </w:t>
      </w:r>
      <w:r w:rsidRPr="00015112">
        <w:rPr>
          <w:rStyle w:val="StyleUnderline"/>
        </w:rPr>
        <w:t>have been dispossessed by colonial</w:t>
      </w:r>
      <w:r w:rsidRPr="00015112">
        <w:rPr>
          <w:sz w:val="16"/>
        </w:rPr>
        <w:t xml:space="preserve"> and imperial </w:t>
      </w:r>
      <w:r w:rsidRPr="00015112">
        <w:rPr>
          <w:rStyle w:val="StyleUnderline"/>
        </w:rPr>
        <w:t>forces and those Indigenous in settler communities</w:t>
      </w:r>
      <w:r w:rsidRPr="00015112">
        <w:rPr>
          <w:sz w:val="16"/>
        </w:rPr>
        <w:t xml:space="preserve">/nations </w:t>
      </w:r>
      <w:r w:rsidRPr="00015112">
        <w:rPr>
          <w:rStyle w:val="StyleUnderline"/>
        </w:rPr>
        <w:t xml:space="preserve">who still struggle to uphold their legal claims </w:t>
      </w:r>
      <w:r w:rsidRPr="00015112">
        <w:rPr>
          <w:sz w:val="16"/>
        </w:rPr>
        <w:t>and titles</w:t>
      </w:r>
      <w:r w:rsidRPr="00015112">
        <w:rPr>
          <w:rStyle w:val="StyleUnderline"/>
        </w:rPr>
        <w:t xml:space="preserve"> to ancestral Lands. For Black peoples living in both Africa and White colonial settler communities like Turtle Island</w:t>
      </w:r>
      <w:r w:rsidRPr="00015112">
        <w:rPr>
          <w:sz w:val="16"/>
        </w:rPr>
        <w:t xml:space="preserve"> [Canada] </w:t>
      </w:r>
      <w:r w:rsidRPr="00015112">
        <w:rPr>
          <w:rStyle w:val="StyleUnderline"/>
        </w:rPr>
        <w:t xml:space="preserve">we are implicated in discussion of settlerhood violence. </w:t>
      </w:r>
      <w:r w:rsidRPr="00015112">
        <w:rPr>
          <w:sz w:val="16"/>
        </w:rPr>
        <w:t xml:space="preserve">We are not complicit in the sense of perpetuating colonial violence against Indigenous peoples. But </w:t>
      </w:r>
      <w:r w:rsidRPr="00015112">
        <w:rPr>
          <w:rStyle w:val="StyleUnderline"/>
        </w:rPr>
        <w:t>the discussion implicates us in how we own up to our responsibilities and begin to build solidarities to support struggles against White colonial settler violence</w:t>
      </w:r>
      <w:r w:rsidRPr="00015112">
        <w:rPr>
          <w:sz w:val="16"/>
        </w:rPr>
        <w:t xml:space="preserve"> (see Dei, 2017b; McClure, 2015; McKittrick &amp; Woods, 2007). I agree that </w:t>
      </w:r>
      <w:r w:rsidRPr="00015112">
        <w:rPr>
          <w:rStyle w:val="StyleUnderline"/>
        </w:rPr>
        <w:t>citizenship on stolen Lands is very problematic because it is tied to Land dispossession and the displacement of peoples through violent global genocidal processes. The colonial state uses citizenship to legitimize itself. For Black and African bodies claims of colonial citizenship implicate us</w:t>
      </w:r>
      <w:r w:rsidRPr="00015112">
        <w:rPr>
          <w:sz w:val="16"/>
        </w:rPr>
        <w:t xml:space="preserve"> as much as our labor was used to serve White colonial capital projects. </w:t>
      </w:r>
      <w:r w:rsidRPr="00015112">
        <w:rPr>
          <w:rStyle w:val="StyleUnderline"/>
        </w:rPr>
        <w:t>The fact that Whiteness itself has been a colonial fabrication</w:t>
      </w:r>
      <w:r w:rsidRPr="00015112">
        <w:rPr>
          <w:sz w:val="16"/>
        </w:rPr>
        <w:t xml:space="preserve"> (Cesaire, 1972) </w:t>
      </w:r>
      <w:r w:rsidRPr="00015112">
        <w:rPr>
          <w:rStyle w:val="StyleUnderline"/>
        </w:rPr>
        <w:t xml:space="preserve">and we must understand the colonial history behind that settler state </w:t>
      </w:r>
      <w:r w:rsidRPr="00015112">
        <w:rPr>
          <w:sz w:val="16"/>
        </w:rPr>
        <w:t>(Smith, 2010). And for Black and African peoples, our existence, however, cannot be reduced to simply a search for citizenship nor in the service for capital (King, 2014, 2016)</w:t>
      </w:r>
    </w:p>
    <w:p w14:paraId="7411EC2C" w14:textId="77777777" w:rsidR="00EC52FE" w:rsidRPr="00015112" w:rsidRDefault="00EC52FE" w:rsidP="00EC52FE"/>
    <w:p w14:paraId="2563C04E" w14:textId="77777777" w:rsidR="00EC52FE" w:rsidRPr="00015112" w:rsidRDefault="00EC52FE" w:rsidP="00EC52FE"/>
    <w:p w14:paraId="62501B6E" w14:textId="77777777" w:rsidR="00A30CFD" w:rsidRPr="00015112" w:rsidRDefault="00A30CFD" w:rsidP="00A30CFD">
      <w:pPr>
        <w:pStyle w:val="Heading3"/>
      </w:pPr>
      <w:r w:rsidRPr="00015112">
        <w:t>2NC – Alt – Refusal Solves Climate – Moten and Kelley</w:t>
      </w:r>
    </w:p>
    <w:p w14:paraId="36393177" w14:textId="77777777" w:rsidR="00A30CFD" w:rsidRPr="00015112" w:rsidRDefault="00A30CFD" w:rsidP="00A30CFD">
      <w:pPr>
        <w:pStyle w:val="Heading4"/>
        <w:rPr>
          <w:rFonts w:cs="Arial"/>
        </w:rPr>
      </w:pPr>
      <w:r w:rsidRPr="00015112">
        <w:rPr>
          <w:rFonts w:cs="Arial"/>
        </w:rPr>
        <w:t>Indigenous refusal is necessary to disrupt modernity’s antiblack and settlerist logic of possession that results in ecological destruction</w:t>
      </w:r>
    </w:p>
    <w:p w14:paraId="4B2B684A" w14:textId="77777777" w:rsidR="00A30CFD" w:rsidRPr="00015112" w:rsidRDefault="00A30CFD" w:rsidP="00A30CFD">
      <w:pPr>
        <w:rPr>
          <w:b/>
          <w:bCs/>
        </w:rPr>
      </w:pPr>
      <w:r w:rsidRPr="00015112">
        <w:rPr>
          <w:rStyle w:val="Style13ptBold"/>
        </w:rPr>
        <w:t xml:space="preserve">Moten and Kelley 17 </w:t>
      </w:r>
      <w:r w:rsidRPr="00015112">
        <w:t xml:space="preserve">(Fred, Professor of Performance Studies at New York University; Robin D.G., Professor of American History at the University of California, Los Angeles, “Robin D.G. Kelley &amp; Fred Moten In Conversation,” transcribed from </w:t>
      </w:r>
      <w:hyperlink r:id="rId10" w:history="1">
        <w:r w:rsidRPr="00015112">
          <w:rPr>
            <w:rStyle w:val="Hyperlink"/>
          </w:rPr>
          <w:t>https://www.youtube.com/watch?v=fP-2F9MXjRE</w:t>
        </w:r>
      </w:hyperlink>
      <w:r w:rsidRPr="00015112">
        <w:t xml:space="preserve"> 31:49-55:57)</w:t>
      </w:r>
    </w:p>
    <w:p w14:paraId="5B4CB25A" w14:textId="77777777" w:rsidR="00A30CFD" w:rsidRPr="00015112" w:rsidRDefault="00A30CFD" w:rsidP="00A30CFD">
      <w:pPr>
        <w:rPr>
          <w:sz w:val="16"/>
        </w:rPr>
      </w:pPr>
      <w:r w:rsidRPr="00015112">
        <w:rPr>
          <w:sz w:val="16"/>
        </w:rPr>
        <w:t xml:space="preserve">MOTEN: Well, um, first, I mean, the work I did around, um, you know, the ASA’s, um, you know, decision to endorse the academic and cultural boycott of Israel was really minimal and minor compared to a lot of other people who were really out front, um, and, and have been working tirelessly for that for many, many years. Um, and I think, you know, the, my contribution was more, you know, rhetorical in many ways in, in, in, and, and maybe, maybe theoretical only in the most minimal sense, in the sense that what I wanted to do was a couple of things. First, to recognize that, um, you know, let's say that </w:t>
      </w:r>
      <w:r w:rsidRPr="00015112">
        <w:rPr>
          <w:rStyle w:val="StyleUnderline"/>
        </w:rPr>
        <w:t xml:space="preserve">the conditions of what people call </w:t>
      </w:r>
      <w:r w:rsidRPr="00015112">
        <w:rPr>
          <w:rStyle w:val="Emphasis"/>
        </w:rPr>
        <w:t>modernity</w:t>
      </w:r>
      <w:r w:rsidRPr="00015112">
        <w:rPr>
          <w:sz w:val="16"/>
        </w:rPr>
        <w:t xml:space="preserve">, um, in, in, in, in, or global modernity, that </w:t>
      </w:r>
      <w:r w:rsidRPr="00015112">
        <w:rPr>
          <w:rStyle w:val="StyleUnderline"/>
        </w:rPr>
        <w:t xml:space="preserve">the </w:t>
      </w:r>
      <w:r w:rsidRPr="00015112">
        <w:rPr>
          <w:rStyle w:val="Emphasis"/>
        </w:rPr>
        <w:t>fundamental conditions</w:t>
      </w:r>
      <w:r w:rsidRPr="00015112">
        <w:rPr>
          <w:rStyle w:val="StyleUnderline"/>
        </w:rPr>
        <w:t xml:space="preserve"> that make that up are</w:t>
      </w:r>
      <w:r w:rsidRPr="00015112">
        <w:rPr>
          <w:sz w:val="16"/>
        </w:rPr>
        <w:t xml:space="preserve">, you know, </w:t>
      </w:r>
      <w:r w:rsidRPr="00015112">
        <w:rPr>
          <w:rStyle w:val="Emphasis"/>
        </w:rPr>
        <w:t>settler colonialism</w:t>
      </w:r>
      <w:r w:rsidRPr="00015112">
        <w:rPr>
          <w:rStyle w:val="StyleUnderline"/>
        </w:rPr>
        <w:t>. And</w:t>
      </w:r>
      <w:r w:rsidRPr="00015112">
        <w:rPr>
          <w:sz w:val="16"/>
        </w:rPr>
        <w:t xml:space="preserve"> I think </w:t>
      </w:r>
      <w:r w:rsidRPr="00015112">
        <w:rPr>
          <w:rStyle w:val="StyleUnderline"/>
        </w:rPr>
        <w:t xml:space="preserve">we can talk about settler colonialism in ways that are </w:t>
      </w:r>
      <w:r w:rsidRPr="00015112">
        <w:rPr>
          <w:rStyle w:val="Emphasis"/>
        </w:rPr>
        <w:t>broader</w:t>
      </w:r>
      <w:r w:rsidRPr="00015112">
        <w:rPr>
          <w:rStyle w:val="StyleUnderline"/>
        </w:rPr>
        <w:t xml:space="preserve"> than the normal way that we usually think of them as a </w:t>
      </w:r>
      <w:r w:rsidRPr="00015112">
        <w:rPr>
          <w:rStyle w:val="Emphasis"/>
        </w:rPr>
        <w:t>set of violent</w:t>
      </w:r>
      <w:r w:rsidRPr="00015112">
        <w:rPr>
          <w:rStyle w:val="StyleUnderline"/>
        </w:rPr>
        <w:t xml:space="preserve"> and </w:t>
      </w:r>
      <w:r w:rsidRPr="00015112">
        <w:rPr>
          <w:rStyle w:val="Emphasis"/>
        </w:rPr>
        <w:t>brutal relations</w:t>
      </w:r>
      <w:r w:rsidRPr="00015112">
        <w:rPr>
          <w:rStyle w:val="StyleUnderline"/>
        </w:rPr>
        <w:t xml:space="preserve"> between Europe and the rest of the world</w:t>
      </w:r>
      <w:r w:rsidRPr="00015112">
        <w:rPr>
          <w:sz w:val="16"/>
        </w:rPr>
        <w:t xml:space="preserve">. Because I think it's really important. And, and, and again, our, our mutual friend and mentor Cedric Robinson, pointed this out emphatically, and in brilliant ways early on, that settler colonialism is also an intra-European affair. Um, and it's important to understand that. It's important to understand this historic relationship between settler colonialism in the enclosure of the commons, um, which is part and, part of the origins of, of what we now know or understand as capitalism. But if we understand that </w:t>
      </w:r>
      <w:r w:rsidRPr="00015112">
        <w:rPr>
          <w:rStyle w:val="Emphasis"/>
        </w:rPr>
        <w:t>settler colonialism</w:t>
      </w:r>
      <w:r w:rsidRPr="00015112">
        <w:rPr>
          <w:rStyle w:val="StyleUnderline"/>
        </w:rPr>
        <w:t xml:space="preserve">, that the </w:t>
      </w:r>
      <w:r w:rsidRPr="00015112">
        <w:rPr>
          <w:rStyle w:val="Emphasis"/>
        </w:rPr>
        <w:t>transatlantic slave trade</w:t>
      </w:r>
      <w:r w:rsidRPr="00015112">
        <w:rPr>
          <w:sz w:val="16"/>
        </w:rPr>
        <w:t xml:space="preserve">, um, </w:t>
      </w:r>
      <w:r w:rsidRPr="00015112">
        <w:rPr>
          <w:rStyle w:val="StyleUnderline"/>
        </w:rPr>
        <w:t>and</w:t>
      </w:r>
      <w:r w:rsidRPr="00015112">
        <w:rPr>
          <w:sz w:val="16"/>
        </w:rPr>
        <w:t xml:space="preserve"> that, you know, </w:t>
      </w:r>
      <w:r w:rsidRPr="00015112">
        <w:rPr>
          <w:rStyle w:val="StyleUnderline"/>
        </w:rPr>
        <w:t xml:space="preserve">the emergence of a </w:t>
      </w:r>
      <w:r w:rsidRPr="00015112">
        <w:rPr>
          <w:rStyle w:val="Emphasis"/>
        </w:rPr>
        <w:t>set of philosophical formulations</w:t>
      </w:r>
      <w:r w:rsidRPr="00015112">
        <w:rPr>
          <w:sz w:val="16"/>
        </w:rPr>
        <w:t xml:space="preserve"> that </w:t>
      </w:r>
      <w:r w:rsidRPr="00015112">
        <w:rPr>
          <w:rStyle w:val="StyleUnderline"/>
        </w:rPr>
        <w:t xml:space="preserve">essentially provide for us </w:t>
      </w:r>
      <w:r w:rsidRPr="00015112">
        <w:rPr>
          <w:rStyle w:val="Emphasis"/>
        </w:rPr>
        <w:t>some modern conception of self</w:t>
      </w:r>
      <w:r w:rsidRPr="00015112">
        <w:rPr>
          <w:rStyle w:val="StyleUnderline"/>
        </w:rPr>
        <w:t xml:space="preserve"> that has as its basis a kind of </w:t>
      </w:r>
      <w:r w:rsidRPr="00015112">
        <w:rPr>
          <w:rStyle w:val="Emphasis"/>
        </w:rPr>
        <w:t>possessive</w:t>
      </w:r>
      <w:r w:rsidRPr="00015112">
        <w:rPr>
          <w:rStyle w:val="StyleUnderline"/>
        </w:rPr>
        <w:t xml:space="preserve">, </w:t>
      </w:r>
      <w:r w:rsidRPr="00015112">
        <w:rPr>
          <w:rStyle w:val="Emphasis"/>
        </w:rPr>
        <w:t>heteronormative</w:t>
      </w:r>
      <w:r w:rsidRPr="00015112">
        <w:rPr>
          <w:rStyle w:val="StyleUnderline"/>
        </w:rPr>
        <w:t xml:space="preserve">, </w:t>
      </w:r>
      <w:r w:rsidRPr="00015112">
        <w:rPr>
          <w:rStyle w:val="Emphasis"/>
        </w:rPr>
        <w:t>patriarchal individuation</w:t>
      </w:r>
      <w:r w:rsidRPr="00015112">
        <w:rPr>
          <w:rStyle w:val="StyleUnderline"/>
        </w:rPr>
        <w:t xml:space="preserve">, right? That's </w:t>
      </w:r>
      <w:r w:rsidRPr="00015112">
        <w:rPr>
          <w:rStyle w:val="Emphasis"/>
        </w:rPr>
        <w:t>what it is to be yourself</w:t>
      </w:r>
      <w:r w:rsidRPr="00015112">
        <w:rPr>
          <w:rStyle w:val="StyleUnderline"/>
        </w:rPr>
        <w:t xml:space="preserve"> on the </w:t>
      </w:r>
      <w:r w:rsidRPr="00015112">
        <w:rPr>
          <w:rStyle w:val="Emphasis"/>
        </w:rPr>
        <w:t>most fundamental level</w:t>
      </w:r>
      <w:r w:rsidRPr="00015112">
        <w:rPr>
          <w:sz w:val="16"/>
        </w:rPr>
        <w:t xml:space="preserve">. You know, and if you ask anybody in the philosophy department, they'll tell you that that's true, you know, and they won’t be joking, right, that, um, that, these, that these constitute the basis of, of our modernity. But for most of the people who live in the world, actually </w:t>
      </w:r>
      <w:r w:rsidRPr="00015112">
        <w:rPr>
          <w:rStyle w:val="StyleUnderline"/>
        </w:rPr>
        <w:t xml:space="preserve">for </w:t>
      </w:r>
      <w:r w:rsidRPr="00015112">
        <w:rPr>
          <w:rStyle w:val="Emphasis"/>
        </w:rPr>
        <w:t>everybody who lives in the world</w:t>
      </w:r>
      <w:r w:rsidRPr="00015112">
        <w:rPr>
          <w:rStyle w:val="StyleUnderline"/>
        </w:rPr>
        <w:t xml:space="preserve">, although most of the people in live in the world are actually able to both recognize this and say this, that modernity is a </w:t>
      </w:r>
      <w:r w:rsidRPr="00015112">
        <w:rPr>
          <w:rStyle w:val="Emphasis"/>
        </w:rPr>
        <w:t>social</w:t>
      </w:r>
      <w:r w:rsidRPr="00015112">
        <w:rPr>
          <w:rStyle w:val="StyleUnderline"/>
        </w:rPr>
        <w:t xml:space="preserve"> and </w:t>
      </w:r>
      <w:r w:rsidRPr="00015112">
        <w:rPr>
          <w:rStyle w:val="Emphasis"/>
        </w:rPr>
        <w:t>ecological disaster</w:t>
      </w:r>
      <w:r w:rsidRPr="00015112">
        <w:rPr>
          <w:rStyle w:val="StyleUnderline"/>
        </w:rPr>
        <w:t xml:space="preserve"> that we live, that we now </w:t>
      </w:r>
      <w:r w:rsidRPr="00015112">
        <w:rPr>
          <w:rStyle w:val="Emphasis"/>
        </w:rPr>
        <w:t>attempt to survive</w:t>
      </w:r>
      <w:r w:rsidRPr="00015112">
        <w:rPr>
          <w:sz w:val="16"/>
        </w:rPr>
        <w:t xml:space="preserve">. Okay? And if we take that up, then </w:t>
      </w:r>
      <w:r w:rsidRPr="00015112">
        <w:rPr>
          <w:rStyle w:val="StyleUnderline"/>
        </w:rPr>
        <w:t xml:space="preserve">part of what's at stake is that we recognize that </w:t>
      </w:r>
      <w:r w:rsidRPr="00015112">
        <w:rPr>
          <w:rStyle w:val="Emphasis"/>
        </w:rPr>
        <w:t>feminist</w:t>
      </w:r>
      <w:r w:rsidRPr="00015112">
        <w:rPr>
          <w:rStyle w:val="StyleUnderline"/>
        </w:rPr>
        <w:t xml:space="preserve"> and </w:t>
      </w:r>
      <w:r w:rsidRPr="00015112">
        <w:rPr>
          <w:rStyle w:val="Emphasis"/>
        </w:rPr>
        <w:t>queer interventions against heteronormative patriarchy</w:t>
      </w:r>
      <w:r w:rsidRPr="00015112">
        <w:rPr>
          <w:rStyle w:val="StyleUnderline"/>
        </w:rPr>
        <w:t xml:space="preserve">, that </w:t>
      </w:r>
      <w:r w:rsidRPr="00015112">
        <w:rPr>
          <w:rStyle w:val="Emphasis"/>
        </w:rPr>
        <w:t>Black interventions against the theory</w:t>
      </w:r>
      <w:r w:rsidRPr="00015112">
        <w:rPr>
          <w:rStyle w:val="StyleUnderline"/>
        </w:rPr>
        <w:t xml:space="preserve"> and </w:t>
      </w:r>
      <w:r w:rsidRPr="00015112">
        <w:rPr>
          <w:rStyle w:val="Emphasis"/>
        </w:rPr>
        <w:t>practice of slavery</w:t>
      </w:r>
      <w:r w:rsidRPr="00015112">
        <w:rPr>
          <w:rStyle w:val="StyleUnderline"/>
        </w:rPr>
        <w:t xml:space="preserve">, which is </w:t>
      </w:r>
      <w:r w:rsidRPr="00015112">
        <w:rPr>
          <w:rStyle w:val="Emphasis"/>
        </w:rPr>
        <w:t>ongoing</w:t>
      </w:r>
      <w:r w:rsidRPr="00015112">
        <w:rPr>
          <w:rStyle w:val="StyleUnderline"/>
        </w:rPr>
        <w:t xml:space="preserve">, that </w:t>
      </w:r>
      <w:r w:rsidRPr="00015112">
        <w:rPr>
          <w:rStyle w:val="Emphasis"/>
        </w:rPr>
        <w:t>indigenous interventions against settler colonialism</w:t>
      </w:r>
      <w:r w:rsidRPr="00015112">
        <w:rPr>
          <w:rStyle w:val="StyleUnderline"/>
        </w:rPr>
        <w:t xml:space="preserve"> constitute the general both </w:t>
      </w:r>
      <w:r w:rsidRPr="00015112">
        <w:rPr>
          <w:rStyle w:val="Emphasis"/>
        </w:rPr>
        <w:t>practical</w:t>
      </w:r>
      <w:r w:rsidRPr="00015112">
        <w:rPr>
          <w:rStyle w:val="StyleUnderline"/>
        </w:rPr>
        <w:t xml:space="preserve"> and </w:t>
      </w:r>
      <w:r w:rsidRPr="00015112">
        <w:rPr>
          <w:rStyle w:val="Emphasis"/>
        </w:rPr>
        <w:t>intellectual basis</w:t>
      </w:r>
      <w:r w:rsidRPr="00015112">
        <w:rPr>
          <w:rStyle w:val="StyleUnderline"/>
        </w:rPr>
        <w:t xml:space="preserve"> for not only our </w:t>
      </w:r>
      <w:r w:rsidRPr="00015112">
        <w:rPr>
          <w:rStyle w:val="Emphasis"/>
        </w:rPr>
        <w:t>attempts to survive</w:t>
      </w:r>
      <w:r w:rsidRPr="00015112">
        <w:rPr>
          <w:rStyle w:val="StyleUnderline"/>
        </w:rPr>
        <w:t>, but also our attempts to</w:t>
      </w:r>
      <w:r w:rsidRPr="00015112">
        <w:rPr>
          <w:sz w:val="16"/>
        </w:rPr>
        <w:t xml:space="preserve">, as I said before, save the Earth. And, and I put it in terms that the great poet Ed Roberson puts it; </w:t>
      </w:r>
      <w:r w:rsidRPr="00015112">
        <w:rPr>
          <w:rStyle w:val="Emphasis"/>
        </w:rPr>
        <w:t>not just to save the Earth</w:t>
      </w:r>
      <w:r w:rsidRPr="00015112">
        <w:rPr>
          <w:rStyle w:val="StyleUnderline"/>
        </w:rPr>
        <w:t xml:space="preserve">, but to </w:t>
      </w:r>
      <w:r w:rsidRPr="00015112">
        <w:rPr>
          <w:rStyle w:val="Emphasis"/>
        </w:rPr>
        <w:t>see the Earth before the end of the world</w:t>
      </w:r>
      <w:r w:rsidRPr="00015112">
        <w:rPr>
          <w:sz w:val="16"/>
        </w:rPr>
        <w:t xml:space="preserve">. And </w:t>
      </w:r>
      <w:r w:rsidRPr="00015112">
        <w:rPr>
          <w:rStyle w:val="StyleUnderline"/>
        </w:rPr>
        <w:t xml:space="preserve">this is an </w:t>
      </w:r>
      <w:r w:rsidRPr="00015112">
        <w:rPr>
          <w:rStyle w:val="Emphasis"/>
        </w:rPr>
        <w:t>emergency</w:t>
      </w:r>
      <w:r w:rsidRPr="00015112">
        <w:rPr>
          <w:rStyle w:val="StyleUnderline"/>
        </w:rPr>
        <w:t xml:space="preserve"> that we're in </w:t>
      </w:r>
      <w:r w:rsidRPr="00015112">
        <w:rPr>
          <w:rStyle w:val="Emphasis"/>
        </w:rPr>
        <w:t>now</w:t>
      </w:r>
      <w:r w:rsidRPr="00015112">
        <w:rPr>
          <w:rStyle w:val="StyleUnderline"/>
        </w:rPr>
        <w:t xml:space="preserve"> and it's </w:t>
      </w:r>
      <w:r w:rsidRPr="00015112">
        <w:rPr>
          <w:rStyle w:val="Emphasis"/>
        </w:rPr>
        <w:t>urgent</w:t>
      </w:r>
      <w:r w:rsidRPr="00015112">
        <w:rPr>
          <w:sz w:val="16"/>
        </w:rPr>
        <w:t xml:space="preserve">. Um, and I believe that </w:t>
      </w:r>
      <w:r w:rsidRPr="00015112">
        <w:rPr>
          <w:rStyle w:val="StyleUnderline"/>
        </w:rPr>
        <w:t xml:space="preserve">there’s a </w:t>
      </w:r>
      <w:r w:rsidRPr="00015112">
        <w:rPr>
          <w:rStyle w:val="Emphasis"/>
        </w:rPr>
        <w:t>specific convergence</w:t>
      </w:r>
      <w:r w:rsidRPr="00015112">
        <w:rPr>
          <w:rStyle w:val="StyleUnderline"/>
        </w:rPr>
        <w:t xml:space="preserve"> of black thought and indigenous thought that situates itself </w:t>
      </w:r>
      <w:r w:rsidRPr="00015112">
        <w:rPr>
          <w:rStyle w:val="Emphasis"/>
        </w:rPr>
        <w:t>precisely in relation to</w:t>
      </w:r>
      <w:r w:rsidRPr="00015112">
        <w:rPr>
          <w:rStyle w:val="StyleUnderline"/>
        </w:rPr>
        <w:t xml:space="preserve">, and is </w:t>
      </w:r>
      <w:r w:rsidRPr="00015112">
        <w:rPr>
          <w:rStyle w:val="Emphasis"/>
        </w:rPr>
        <w:t>articulated through</w:t>
      </w:r>
      <w:r w:rsidRPr="00015112">
        <w:rPr>
          <w:rStyle w:val="StyleUnderline"/>
        </w:rPr>
        <w:t xml:space="preserve">, the </w:t>
      </w:r>
      <w:r w:rsidRPr="00015112">
        <w:rPr>
          <w:rStyle w:val="Emphasis"/>
        </w:rPr>
        <w:t>interventions of queer thought</w:t>
      </w:r>
      <w:r w:rsidRPr="00015112">
        <w:rPr>
          <w:rStyle w:val="StyleUnderline"/>
        </w:rPr>
        <w:t xml:space="preserve"> and </w:t>
      </w:r>
      <w:r w:rsidRPr="00015112">
        <w:rPr>
          <w:rStyle w:val="Emphasis"/>
        </w:rPr>
        <w:t>feminist thought</w:t>
      </w:r>
      <w:r w:rsidRPr="00015112">
        <w:rPr>
          <w:rStyle w:val="StyleUnderline"/>
        </w:rPr>
        <w:t xml:space="preserve"> that we want to take up</w:t>
      </w:r>
      <w:r w:rsidRPr="00015112">
        <w:rPr>
          <w:sz w:val="16"/>
        </w:rPr>
        <w:t xml:space="preserve">. And, and it, and it strikes me as, for me at least, it's, it's a way of taking up a kind an—it's, </w:t>
      </w:r>
      <w:r w:rsidRPr="00015112">
        <w:rPr>
          <w:rStyle w:val="StyleUnderline"/>
        </w:rPr>
        <w:t>it’s a way of imagining</w:t>
      </w:r>
      <w:r w:rsidRPr="00015112">
        <w:rPr>
          <w:sz w:val="16"/>
        </w:rPr>
        <w:t xml:space="preserve"> how one might be able to, </w:t>
      </w:r>
      <w:r w:rsidRPr="00015112">
        <w:rPr>
          <w:rStyle w:val="StyleUnderline"/>
        </w:rPr>
        <w:t xml:space="preserve">how we might be able to </w:t>
      </w:r>
      <w:r w:rsidRPr="00015112">
        <w:rPr>
          <w:rStyle w:val="Emphasis"/>
        </w:rPr>
        <w:t>walk more lightly on the Earth</w:t>
      </w:r>
      <w:r w:rsidRPr="00015112">
        <w:rPr>
          <w:rStyle w:val="StyleUnderline"/>
        </w:rPr>
        <w:t xml:space="preserve">. To </w:t>
      </w:r>
      <w:r w:rsidRPr="00015112">
        <w:rPr>
          <w:rStyle w:val="Emphasis"/>
        </w:rPr>
        <w:t>honor the Earth</w:t>
      </w:r>
      <w:r w:rsidRPr="00015112">
        <w:rPr>
          <w:rStyle w:val="StyleUnderline"/>
        </w:rPr>
        <w:t xml:space="preserve"> as we walk on it, as we stand on it. To </w:t>
      </w:r>
      <w:r w:rsidRPr="00015112">
        <w:rPr>
          <w:rStyle w:val="Emphasis"/>
        </w:rPr>
        <w:t>not stomp on it</w:t>
      </w:r>
      <w:r w:rsidRPr="00015112">
        <w:rPr>
          <w:rStyle w:val="StyleUnderline"/>
        </w:rPr>
        <w:t xml:space="preserve">, to </w:t>
      </w:r>
      <w:r w:rsidRPr="00015112">
        <w:rPr>
          <w:rStyle w:val="Emphasis"/>
        </w:rPr>
        <w:t>not stomp all over it</w:t>
      </w:r>
      <w:r w:rsidRPr="00015112">
        <w:rPr>
          <w:rStyle w:val="StyleUnderline"/>
        </w:rPr>
        <w:t xml:space="preserve">, where </w:t>
      </w:r>
      <w:r w:rsidRPr="00015112">
        <w:rPr>
          <w:rStyle w:val="Emphasis"/>
        </w:rPr>
        <w:t>every step you take is a claim of ownership</w:t>
      </w:r>
      <w:r w:rsidRPr="00015112">
        <w:rPr>
          <w:sz w:val="16"/>
        </w:rPr>
        <w:t xml:space="preserve">. And, and this is one way to put it, would be to not so presumptuously imagine that the Earth can be reduced to something so paltry and so viciously understood as what we usually call home. This is part of the reason why the queer and the feminist critique is so important. It's a critique of a general problematic notion of domesticity. </w:t>
      </w:r>
      <w:r w:rsidRPr="00015112">
        <w:rPr>
          <w:rStyle w:val="StyleUnderline"/>
        </w:rPr>
        <w:t xml:space="preserve">It's like </w:t>
      </w:r>
      <w:r w:rsidRPr="00015112">
        <w:rPr>
          <w:rStyle w:val="Emphasis"/>
        </w:rPr>
        <w:t>another way of being on the Earth</w:t>
      </w:r>
      <w:r w:rsidRPr="00015112">
        <w:rPr>
          <w:rStyle w:val="StyleUnderline"/>
        </w:rPr>
        <w:t xml:space="preserve"> that </w:t>
      </w:r>
      <w:r w:rsidRPr="00015112">
        <w:rPr>
          <w:rStyle w:val="Emphasis"/>
        </w:rPr>
        <w:t>doesn't allow you</w:t>
      </w:r>
      <w:r w:rsidRPr="00015112">
        <w:rPr>
          <w:rStyle w:val="StyleUnderline"/>
        </w:rPr>
        <w:t xml:space="preserve"> in some </w:t>
      </w:r>
      <w:r w:rsidRPr="00015112">
        <w:rPr>
          <w:rStyle w:val="Emphasis"/>
        </w:rPr>
        <w:t>vicious</w:t>
      </w:r>
      <w:r w:rsidRPr="00015112">
        <w:rPr>
          <w:rStyle w:val="StyleUnderline"/>
        </w:rPr>
        <w:t xml:space="preserve"> and </w:t>
      </w:r>
      <w:r w:rsidRPr="00015112">
        <w:rPr>
          <w:rStyle w:val="Emphasis"/>
        </w:rPr>
        <w:t>brutal way</w:t>
      </w:r>
      <w:r w:rsidRPr="00015112">
        <w:rPr>
          <w:rStyle w:val="StyleUnderline"/>
        </w:rPr>
        <w:t xml:space="preserve"> to claim that it is yours</w:t>
      </w:r>
      <w:r w:rsidRPr="00015112">
        <w:rPr>
          <w:sz w:val="16"/>
        </w:rPr>
        <w:t xml:space="preserve">, right? Um, this is important and this is so, you know, often the methods that we use to claim the Earth as ours involved fences, borders. This manifests itself on a private level from household to household, but it also manifests itself on a national level, and at the level of the nation state, and it's not an accident that settler colonial states take it upon themselves to imagine themselves to be the living embodiment of the legitimacy of the nation state as a political and social form. For me, there's two reasons to be in solidarity with the people of Palestine. One is because they're human beings and they're being treated with absolute brutality, but the other is that there's a specific resistance to Israel as a nation state. And for my money, to be perfectly clear about this, I believe that this nation state of Israel is itself an artifact of antisemitism. If we thought about Israel and Zionism, not just as a form of racism that results in the displacement of Palestinians, but if we also think about them as artifacts of the historic displacement of Jews from Europe, right, in the same way that we might think of, let's say Sierra Leone or Liberia as artifacts of racist displacement, okay. If we think about it that way, okay, and another, and the reason I'm saying this is just to make sure that you know that there's a possible argument against the formulation that criticism of Israel is anti-Semitic when we know that Donald Trump is a staunch supporter, that people like Pat Robertson in the United States are staunch supporters that help us to the fact that you can be deeply anti-Semitic and support the state of Israel. These things go together. They're not antithetical to one another. So that it becomes important for us to be able to suggest that resistance to the state of Israel is also resistance to the idea of the legitimacy of the nation state. It's not an accident that Israel has taken upon itself, that when Israel takes upon itself, when the defense of Israel manifests itself as a defense of its right to exist, this is important. It's a defense, not just of Israel's right to exist, but of the nation state as a political form’s right to exist. And nation states don't have rights. What they're supposed to be are mechanisms to protect the rights of the people who live in them, and that has almost never been the case, and to the extent that they do protect the rights of the people who live in them, it's in the expense, it's at the expense of the people who don't, okay. So part of what's at stake, one of the reasons why it's at, it's important to pay particular attention to this issue, why we ought to resist the ridiculous formulation that singling out Israel at this moment is itself anti-Semitic is because it's important to recognize that Israel is the state. </w:t>
      </w:r>
    </w:p>
    <w:p w14:paraId="073B957F" w14:textId="7BD7F10E" w:rsidR="00A30CFD" w:rsidRPr="00015112" w:rsidRDefault="00585B3A" w:rsidP="00B97642">
      <w:pPr>
        <w:pStyle w:val="Heading1"/>
      </w:pPr>
      <w:r w:rsidRPr="00015112">
        <w:t>Aff Answers</w:t>
      </w:r>
    </w:p>
    <w:p w14:paraId="217B15EB" w14:textId="6E3BD58F" w:rsidR="006C4B0E" w:rsidRPr="00015112" w:rsidRDefault="006C4B0E" w:rsidP="005E1BEC">
      <w:pPr>
        <w:pStyle w:val="Heading2"/>
      </w:pPr>
      <w:r w:rsidRPr="00015112">
        <w:t>FW</w:t>
      </w:r>
    </w:p>
    <w:p w14:paraId="431CCBD7" w14:textId="2DDF5477" w:rsidR="006C4B0E" w:rsidRPr="00015112" w:rsidRDefault="006C4B0E" w:rsidP="006C4B0E">
      <w:pPr>
        <w:pStyle w:val="Heading3"/>
      </w:pPr>
      <w:r w:rsidRPr="00015112">
        <w:t>2AC</w:t>
      </w:r>
      <w:r w:rsidR="00981214" w:rsidRPr="00015112">
        <w:t xml:space="preserve"> </w:t>
      </w:r>
      <w:r w:rsidRPr="00015112">
        <w:t xml:space="preserve">– Fiat/Legal Details Good </w:t>
      </w:r>
    </w:p>
    <w:p w14:paraId="42C4D823" w14:textId="77777777" w:rsidR="006C4B0E" w:rsidRPr="00015112" w:rsidRDefault="006C4B0E" w:rsidP="006C4B0E">
      <w:pPr>
        <w:pStyle w:val="Heading4"/>
      </w:pPr>
      <w:r w:rsidRPr="00015112">
        <w:t xml:space="preserve">Debate is imperfect, but only our interpretation can harness legal education to understand the law’s </w:t>
      </w:r>
      <w:r w:rsidRPr="00015112">
        <w:rPr>
          <w:u w:val="single"/>
        </w:rPr>
        <w:t>strategic reversibility</w:t>
      </w:r>
      <w:r w:rsidRPr="00015112">
        <w:t xml:space="preserve"> paired with </w:t>
      </w:r>
      <w:r w:rsidRPr="00015112">
        <w:rPr>
          <w:u w:val="single"/>
        </w:rPr>
        <w:t>intellectual survival skills</w:t>
      </w:r>
      <w:r w:rsidRPr="00015112">
        <w:t xml:space="preserve"> that help us navigate and </w:t>
      </w:r>
      <w:r w:rsidRPr="00015112">
        <w:rPr>
          <w:u w:val="single"/>
        </w:rPr>
        <w:t>contest</w:t>
      </w:r>
      <w:r w:rsidRPr="00015112">
        <w:t xml:space="preserve"> violent structures. This is the most plausible internal link from debate to meaningful social and political agitation for social justice.</w:t>
      </w:r>
    </w:p>
    <w:p w14:paraId="14A4992C" w14:textId="77777777" w:rsidR="006C4B0E" w:rsidRPr="00015112" w:rsidRDefault="006C4B0E" w:rsidP="006C4B0E">
      <w:r w:rsidRPr="00015112">
        <w:rPr>
          <w:rStyle w:val="Style13ptBold"/>
          <w:szCs w:val="24"/>
        </w:rPr>
        <w:t>Archer ‘18</w:t>
      </w:r>
      <w:r w:rsidRPr="00015112">
        <w:t xml:space="preserve"> </w:t>
      </w:r>
      <w:r w:rsidRPr="00015112">
        <w:rPr>
          <w:sz w:val="18"/>
          <w:szCs w:val="18"/>
        </w:rPr>
        <w:t>(Deborah N., Associate Professor of Clinical Law @ NYU School of Law, “POLITICAL LAWYERING FOR THE 21ST CENTURY,” draft, pp. 1-43) *Edited*</w:t>
      </w:r>
    </w:p>
    <w:p w14:paraId="0994FA64" w14:textId="77777777" w:rsidR="006C4B0E" w:rsidRPr="00015112" w:rsidRDefault="006C4B0E" w:rsidP="006C4B0E">
      <w:pPr>
        <w:spacing w:after="0"/>
        <w:rPr>
          <w:rStyle w:val="StyleUnderline"/>
        </w:rPr>
      </w:pPr>
      <w:r w:rsidRPr="00015112">
        <w:rPr>
          <w:rStyle w:val="StyleUnderline"/>
        </w:rPr>
        <w:t>Many</w:t>
      </w:r>
      <w:r w:rsidRPr="00015112">
        <w:rPr>
          <w:sz w:val="16"/>
        </w:rPr>
        <w:t xml:space="preserve"> law </w:t>
      </w:r>
      <w:r w:rsidRPr="00015112">
        <w:rPr>
          <w:rStyle w:val="StyleUnderline"/>
        </w:rPr>
        <w:t>students are overwhelmed by injustice.</w:t>
      </w:r>
      <w:r w:rsidRPr="00015112">
        <w:rPr>
          <w:sz w:val="16"/>
        </w:rPr>
        <w:t xml:space="preserve"> </w:t>
      </w:r>
      <w:r w:rsidRPr="00015112">
        <w:rPr>
          <w:rStyle w:val="StyleUnderline"/>
        </w:rPr>
        <w:t>When faced with</w:t>
      </w:r>
      <w:r w:rsidRPr="00015112">
        <w:rPr>
          <w:sz w:val="16"/>
        </w:rPr>
        <w:t xml:space="preserve"> the reality of </w:t>
      </w:r>
      <w:r w:rsidRPr="00015112">
        <w:rPr>
          <w:rStyle w:val="StyleUnderline"/>
        </w:rPr>
        <w:t>systemic inequities, even the most committed students may surrender to hopelessness, despair, and inaction.</w:t>
      </w:r>
      <w:r w:rsidRPr="00015112">
        <w:rPr>
          <w:sz w:val="16"/>
        </w:rPr>
        <w:t xml:space="preserve"> </w:t>
      </w:r>
      <w:r w:rsidRPr="00015112">
        <w:rPr>
          <w:rStyle w:val="Emphasis"/>
        </w:rPr>
        <w:t>This is</w:t>
      </w:r>
      <w:r w:rsidRPr="00015112">
        <w:rPr>
          <w:sz w:val="16"/>
        </w:rPr>
        <w:t xml:space="preserve"> not because they have stopped caring about injustice, but </w:t>
      </w:r>
      <w:r w:rsidRPr="00015112">
        <w:rPr>
          <w:rStyle w:val="Emphasis"/>
        </w:rPr>
        <w:t>because they cannot envision a path from injustice to justice.</w:t>
      </w:r>
      <w:r w:rsidRPr="00015112">
        <w:rPr>
          <w:sz w:val="16"/>
        </w:rPr>
        <w:t xml:space="preserve"> </w:t>
      </w:r>
      <w:r w:rsidRPr="00015112">
        <w:rPr>
          <w:rStyle w:val="StyleUnderline"/>
        </w:rPr>
        <w:t>Many do not have the tools to navigate systemic injustice or respond to interwoven legal and social ills.</w:t>
      </w:r>
      <w:r w:rsidRPr="00015112">
        <w:rPr>
          <w:sz w:val="16"/>
        </w:rPr>
        <w:t xml:space="preserve"> This article contends that although clinical </w:t>
      </w:r>
      <w:r w:rsidRPr="00015112">
        <w:rPr>
          <w:rStyle w:val="StyleUnderline"/>
        </w:rPr>
        <w:t>legal education</w:t>
      </w:r>
      <w:r w:rsidRPr="00015112">
        <w:rPr>
          <w:sz w:val="16"/>
        </w:rPr>
        <w:t xml:space="preserve"> provides an excellent opportunity to offer students the skills, experience, perspective, and confidence to grapple with today’s complex social justice issues, it </w:t>
      </w:r>
      <w:r w:rsidRPr="00015112">
        <w:rPr>
          <w:rStyle w:val="StyleUnderline"/>
        </w:rPr>
        <w:t>has not sufficiently responded to the changing educational needs of our students by teaching law students how to most effectively utilize litigation alongside other tools of systemic reform advocacy.</w:t>
      </w:r>
    </w:p>
    <w:p w14:paraId="335673CB" w14:textId="77777777" w:rsidR="006C4B0E" w:rsidRPr="00015112" w:rsidRDefault="006C4B0E" w:rsidP="006C4B0E">
      <w:pPr>
        <w:spacing w:after="0"/>
        <w:rPr>
          <w:sz w:val="16"/>
        </w:rPr>
      </w:pPr>
      <w:r w:rsidRPr="00015112">
        <w:rPr>
          <w:sz w:val="16"/>
        </w:rPr>
        <w:t xml:space="preserve">How can clinical education prepare law students to navigate issues of systemic discrimination and injustice? Clinical teaching’s signature pedagogical vehicle involves students providing direct representation of individual clients in straightforward, manageable cases in which students focus on discrete legal issues, take full ownership of the case, and see it through from beginning to end.1 These </w:t>
      </w:r>
      <w:r w:rsidRPr="00015112">
        <w:rPr>
          <w:rStyle w:val="StyleUnderline"/>
        </w:rPr>
        <w:t>cases train students to be creative problem solvers for individual clients. However, this</w:t>
      </w:r>
      <w:r w:rsidRPr="00015112">
        <w:rPr>
          <w:sz w:val="16"/>
        </w:rPr>
        <w:t xml:space="preserve"> model </w:t>
      </w:r>
      <w:r w:rsidRPr="00015112">
        <w:rPr>
          <w:rStyle w:val="StyleUnderline"/>
        </w:rPr>
        <w:t>does not effectively prepare students to address and combat structural or chronic inequality.</w:t>
      </w:r>
      <w:r w:rsidRPr="00015112">
        <w:rPr>
          <w:sz w:val="16"/>
        </w:rPr>
        <w:t xml:space="preserve"> </w:t>
      </w:r>
      <w:r w:rsidRPr="00015112">
        <w:rPr>
          <w:rStyle w:val="StyleUnderline"/>
        </w:rPr>
        <w:t>The individualized model</w:t>
      </w:r>
      <w:r w:rsidRPr="00015112">
        <w:rPr>
          <w:sz w:val="16"/>
        </w:rPr>
        <w:t xml:space="preserve"> also </w:t>
      </w:r>
      <w:r w:rsidRPr="00015112">
        <w:rPr>
          <w:rStyle w:val="StyleUnderline"/>
        </w:rPr>
        <w:t>provides relatively limited opportunities for students to address the intellectual and skills-based challenges of lawyering on a larger scale.</w:t>
      </w:r>
      <w:r w:rsidRPr="00015112">
        <w:rPr>
          <w:sz w:val="16"/>
        </w:rPr>
        <w:t xml:space="preserve">2 </w:t>
      </w:r>
      <w:r w:rsidRPr="00015112">
        <w:rPr>
          <w:rStyle w:val="Emphasis"/>
        </w:rPr>
        <w:t>Complex cases</w:t>
      </w:r>
      <w:r w:rsidRPr="00015112">
        <w:rPr>
          <w:sz w:val="16"/>
        </w:rPr>
        <w:t xml:space="preserve"> allow students to explore the complicated relationship between justice, law, and politics.3 They introduce students to many of the skills needed to </w:t>
      </w:r>
      <w:r w:rsidRPr="00015112">
        <w:rPr>
          <w:rStyle w:val="Emphasis"/>
        </w:rPr>
        <w:t>integrate rebellious</w:t>
      </w:r>
      <w:r w:rsidRPr="00015112">
        <w:rPr>
          <w:rStyle w:val="StyleUnderline"/>
        </w:rPr>
        <w:t xml:space="preserve"> or political </w:t>
      </w:r>
      <w:r w:rsidRPr="00015112">
        <w:rPr>
          <w:rStyle w:val="Emphasis"/>
        </w:rPr>
        <w:t>lawyering</w:t>
      </w:r>
      <w:r w:rsidRPr="00015112">
        <w:rPr>
          <w:sz w:val="16"/>
        </w:rPr>
        <w:t xml:space="preserve"> into their practice, </w:t>
      </w:r>
      <w:r w:rsidRPr="00015112">
        <w:rPr>
          <w:rStyle w:val="StyleUnderline"/>
        </w:rPr>
        <w:t xml:space="preserve">including working with others to </w:t>
      </w:r>
      <w:r w:rsidRPr="00015112">
        <w:rPr>
          <w:rStyle w:val="Emphasis"/>
        </w:rPr>
        <w:t>brainstorm, design, and execute an advocacy strategy</w:t>
      </w:r>
      <w:r w:rsidRPr="00015112">
        <w:rPr>
          <w:sz w:val="16"/>
        </w:rPr>
        <w:t xml:space="preserve">; </w:t>
      </w:r>
      <w:r w:rsidRPr="00015112">
        <w:rPr>
          <w:rStyle w:val="StyleUnderline"/>
        </w:rPr>
        <w:t xml:space="preserve">helping to </w:t>
      </w:r>
      <w:r w:rsidRPr="00015112">
        <w:rPr>
          <w:rStyle w:val="Emphasis"/>
        </w:rPr>
        <w:t>build</w:t>
      </w:r>
      <w:r w:rsidRPr="00015112">
        <w:rPr>
          <w:rStyle w:val="StyleUnderline"/>
        </w:rPr>
        <w:t xml:space="preserve"> and participate in </w:t>
      </w:r>
      <w:r w:rsidRPr="00015112">
        <w:rPr>
          <w:rStyle w:val="Emphasis"/>
        </w:rPr>
        <w:t>a coalition</w:t>
      </w:r>
      <w:r w:rsidRPr="00015112">
        <w:rPr>
          <w:sz w:val="16"/>
        </w:rPr>
        <w:t xml:space="preserve">; </w:t>
      </w:r>
      <w:r w:rsidRPr="00015112">
        <w:rPr>
          <w:rStyle w:val="StyleUnderline"/>
        </w:rPr>
        <w:t xml:space="preserve">engaging in </w:t>
      </w:r>
      <w:r w:rsidRPr="00015112">
        <w:rPr>
          <w:rStyle w:val="Emphasis"/>
        </w:rPr>
        <w:t>integrated advocacy</w:t>
      </w:r>
      <w:r w:rsidRPr="00015112">
        <w:rPr>
          <w:sz w:val="16"/>
        </w:rPr>
        <w:t xml:space="preserve">; </w:t>
      </w:r>
      <w:r w:rsidRPr="00015112">
        <w:rPr>
          <w:rStyle w:val="StyleUnderline"/>
        </w:rPr>
        <w:t xml:space="preserve">and analyzing the outside forces that help shape outcomes, including </w:t>
      </w:r>
      <w:r w:rsidRPr="00015112">
        <w:rPr>
          <w:rStyle w:val="Emphasis"/>
        </w:rPr>
        <w:t>organizational capacity</w:t>
      </w:r>
      <w:r w:rsidRPr="00015112">
        <w:rPr>
          <w:rStyle w:val="StyleUnderline"/>
        </w:rPr>
        <w:t xml:space="preserve">, </w:t>
      </w:r>
      <w:r w:rsidRPr="00015112">
        <w:rPr>
          <w:rStyle w:val="Emphasis"/>
        </w:rPr>
        <w:t>challenges of enforcement</w:t>
      </w:r>
      <w:r w:rsidRPr="00015112">
        <w:rPr>
          <w:rStyle w:val="StyleUnderline"/>
        </w:rPr>
        <w:t xml:space="preserve">, and </w:t>
      </w:r>
      <w:r w:rsidRPr="00015112">
        <w:rPr>
          <w:rStyle w:val="Emphasis"/>
        </w:rPr>
        <w:t>potential political backlash</w:t>
      </w:r>
      <w:r w:rsidRPr="00015112">
        <w:rPr>
          <w:rStyle w:val="StyleUnderline"/>
        </w:rPr>
        <w:t>.</w:t>
      </w:r>
      <w:r w:rsidRPr="00015112">
        <w:rPr>
          <w:sz w:val="16"/>
        </w:rPr>
        <w:t>4</w:t>
      </w:r>
    </w:p>
    <w:p w14:paraId="16A505B2" w14:textId="77777777" w:rsidR="006C4B0E" w:rsidRPr="00015112" w:rsidRDefault="006C4B0E" w:rsidP="006C4B0E">
      <w:pPr>
        <w:spacing w:after="0"/>
        <w:rPr>
          <w:sz w:val="16"/>
          <w:szCs w:val="10"/>
        </w:rPr>
      </w:pPr>
      <w:r w:rsidRPr="00015112">
        <w:rPr>
          <w:sz w:val="16"/>
          <w:szCs w:val="10"/>
        </w:rPr>
        <w:t>There is a longstanding and ongoing debate within the clinical legal education community about the relative merits of small, individual cases versus larger impact advocacy matters.5 The parameters of this debate, coupled with an influential body of clinical scholarship criticizing impact litigation and the lawyers who bring it,6 have led the clinical teaching community to overreact to these critiques by moving farther away from impact advocacy and strategic litigation rather than working to reconcile the legitimate concerns with the critical importance of impact advocacy as a tool for both systemic social change and legal education. Law schools also face internal and external pressures that affect their willingness to engage students in strategic litigation. The result is that important benefits of impact advocacy and strategic litigation have gotten lost or minimized.</w:t>
      </w:r>
    </w:p>
    <w:p w14:paraId="53D83410" w14:textId="77777777" w:rsidR="006C4B0E" w:rsidRPr="00015112" w:rsidRDefault="006C4B0E" w:rsidP="006C4B0E">
      <w:pPr>
        <w:spacing w:after="0"/>
        <w:rPr>
          <w:sz w:val="16"/>
        </w:rPr>
      </w:pPr>
      <w:r w:rsidRPr="00015112">
        <w:rPr>
          <w:rStyle w:val="StyleUnderline"/>
        </w:rPr>
        <w:t xml:space="preserve">Twenty years ago, social justice advocates </w:t>
      </w:r>
      <w:r w:rsidRPr="00015112">
        <w:rPr>
          <w:rStyle w:val="Emphasis"/>
        </w:rPr>
        <w:t>rallied around political lawyering</w:t>
      </w:r>
      <w:r w:rsidRPr="00015112">
        <w:rPr>
          <w:rStyle w:val="StyleUnderline"/>
        </w:rPr>
        <w:t xml:space="preserve"> as a tool for </w:t>
      </w:r>
      <w:r w:rsidRPr="00015112">
        <w:rPr>
          <w:rStyle w:val="Emphasis"/>
        </w:rPr>
        <w:t>more effective advocacy</w:t>
      </w:r>
      <w:r w:rsidRPr="00015112">
        <w:rPr>
          <w:rStyle w:val="StyleUnderline"/>
        </w:rPr>
        <w:t xml:space="preserve"> on behalf of marginalized communities.</w:t>
      </w:r>
      <w:r w:rsidRPr="00015112">
        <w:rPr>
          <w:sz w:val="16"/>
        </w:rPr>
        <w:t xml:space="preserve">7 </w:t>
      </w:r>
      <w:r w:rsidRPr="00015112">
        <w:rPr>
          <w:rStyle w:val="Emphasis"/>
        </w:rPr>
        <w:t>Political lawyering employs a systemic reform lens in case selection, advocacy strategy, and lawyering process</w:t>
      </w:r>
      <w:r w:rsidRPr="00015112">
        <w:rPr>
          <w:rStyle w:val="StyleUnderline"/>
        </w:rPr>
        <w:t xml:space="preserve">, with a focus on legal work done in service to </w:t>
      </w:r>
      <w:r w:rsidRPr="00015112">
        <w:rPr>
          <w:rStyle w:val="Emphasis"/>
        </w:rPr>
        <w:t>both individual and collective goals</w:t>
      </w:r>
      <w:r w:rsidRPr="00015112">
        <w:rPr>
          <w:rStyle w:val="StyleUnderline"/>
        </w:rPr>
        <w:t>.</w:t>
      </w:r>
      <w:r w:rsidRPr="00015112">
        <w:rPr>
          <w:sz w:val="16"/>
        </w:rPr>
        <w:t xml:space="preserve">8 </w:t>
      </w:r>
      <w:r w:rsidRPr="00015112">
        <w:rPr>
          <w:rStyle w:val="StyleUnderline"/>
        </w:rPr>
        <w:t xml:space="preserve">While litigation is central to political lawyering, political lawyers recognize that litigation, interdisciplinary </w:t>
      </w:r>
      <w:r w:rsidRPr="00015112">
        <w:rPr>
          <w:rStyle w:val="Emphasis"/>
        </w:rPr>
        <w:t>collaboration</w:t>
      </w:r>
      <w:r w:rsidRPr="00015112">
        <w:rPr>
          <w:rStyle w:val="StyleUnderline"/>
        </w:rPr>
        <w:t xml:space="preserve">, </w:t>
      </w:r>
      <w:r w:rsidRPr="00015112">
        <w:rPr>
          <w:rStyle w:val="Emphasis"/>
        </w:rPr>
        <w:t>policy reform</w:t>
      </w:r>
      <w:r w:rsidRPr="00015112">
        <w:rPr>
          <w:rStyle w:val="StyleUnderline"/>
        </w:rPr>
        <w:t xml:space="preserve">, and </w:t>
      </w:r>
      <w:r w:rsidRPr="00015112">
        <w:rPr>
          <w:rStyle w:val="Emphasis"/>
        </w:rPr>
        <w:t>community organization</w:t>
      </w:r>
      <w:r w:rsidRPr="00015112">
        <w:rPr>
          <w:rStyle w:val="StyleUnderline"/>
        </w:rPr>
        <w:t xml:space="preserve"> </w:t>
      </w:r>
      <w:r w:rsidRPr="00015112">
        <w:rPr>
          <w:rStyle w:val="Emphasis"/>
        </w:rPr>
        <w:t>must to proceed together</w:t>
      </w:r>
      <w:r w:rsidRPr="00015112">
        <w:rPr>
          <w:rStyle w:val="StyleUnderline"/>
        </w:rPr>
        <w:t>.</w:t>
      </w:r>
      <w:r w:rsidRPr="00015112">
        <w:rPr>
          <w:sz w:val="16"/>
        </w:rPr>
        <w:t xml:space="preserve"> </w:t>
      </w:r>
      <w:r w:rsidRPr="00015112">
        <w:rPr>
          <w:rStyle w:val="StyleUnderline"/>
        </w:rPr>
        <w:t xml:space="preserve">Litigation is just one piece of a complex advocacy puzzle. </w:t>
      </w:r>
      <w:r w:rsidRPr="00015112">
        <w:rPr>
          <w:sz w:val="16"/>
        </w:rPr>
        <w:t>However, clinical law professors have never fully grappled with how to employ this model.9</w:t>
      </w:r>
    </w:p>
    <w:p w14:paraId="28521EB5" w14:textId="77777777" w:rsidR="006C4B0E" w:rsidRPr="00015112" w:rsidRDefault="006C4B0E" w:rsidP="006C4B0E">
      <w:pPr>
        <w:spacing w:after="0"/>
        <w:rPr>
          <w:sz w:val="16"/>
        </w:rPr>
      </w:pPr>
      <w:r w:rsidRPr="00015112">
        <w:rPr>
          <w:rStyle w:val="StyleUnderline"/>
        </w:rPr>
        <w:t xml:space="preserve">Law professors today seeking to train the </w:t>
      </w:r>
      <w:r w:rsidRPr="00015112">
        <w:rPr>
          <w:rStyle w:val="Emphasis"/>
        </w:rPr>
        <w:t>next generation of social justice advocates</w:t>
      </w:r>
      <w:r w:rsidRPr="00015112">
        <w:rPr>
          <w:rStyle w:val="StyleUnderline"/>
        </w:rPr>
        <w:t xml:space="preserve"> should expose students to the transformational potential of integrated advocacy</w:t>
      </w:r>
      <w:r w:rsidRPr="00015112">
        <w:rPr>
          <w:sz w:val="16"/>
        </w:rPr>
        <w:t>—strategic litigation, community organizing, direct action, media strategies, and interdisciplinary collaboration proceeding together—</w:t>
      </w:r>
      <w:r w:rsidRPr="00015112">
        <w:rPr>
          <w:rStyle w:val="StyleUnderline"/>
        </w:rPr>
        <w:t>in the fight for social change.</w:t>
      </w:r>
      <w:r w:rsidRPr="00015112">
        <w:rPr>
          <w:sz w:val="16"/>
        </w:rPr>
        <w:t xml:space="preserve"> </w:t>
      </w:r>
      <w:r w:rsidRPr="00015112">
        <w:rPr>
          <w:rStyle w:val="Emphasis"/>
        </w:rPr>
        <w:t>Political lawyering can serve as a model.</w:t>
      </w:r>
      <w:r w:rsidRPr="00015112">
        <w:rPr>
          <w:sz w:val="16"/>
        </w:rPr>
        <w:t xml:space="preserve"> </w:t>
      </w:r>
      <w:r w:rsidRPr="00015112">
        <w:rPr>
          <w:rStyle w:val="StyleUnderline"/>
        </w:rPr>
        <w:t>The NAACP strategy of building comprehensive advocacy campaigns to challenge racial and economic injustice helped to launch the political lawyering movement</w:t>
      </w:r>
      <w:r w:rsidRPr="00015112">
        <w:rPr>
          <w:sz w:val="16"/>
        </w:rPr>
        <w:t xml:space="preserve"> in the last century.10 </w:t>
      </w:r>
      <w:r w:rsidRPr="00015112">
        <w:rPr>
          <w:rStyle w:val="StyleUnderline"/>
        </w:rPr>
        <w:t>But political lawyering in the 21st century</w:t>
      </w:r>
      <w:r w:rsidRPr="00015112">
        <w:rPr>
          <w:sz w:val="16"/>
        </w:rPr>
        <w:t xml:space="preserve"> needs to do more. It </w:t>
      </w:r>
      <w:r w:rsidRPr="00015112">
        <w:rPr>
          <w:rStyle w:val="StyleUnderline"/>
        </w:rPr>
        <w:t>needs to re-embrace and update the concept of integrated advocacy to help lawyers leverage a broad range of tools and perspectives to generate effective approaches to issues of injustice, both nascent and chronic.</w:t>
      </w:r>
      <w:r w:rsidRPr="00015112">
        <w:rPr>
          <w:sz w:val="16"/>
        </w:rPr>
        <w:t xml:space="preserve"> Charles Hamilton Houston, the architect of the strategy to challenge the racialized policy of “separate but equal,” whose life work challenged racial injustice in novel ways, famously explained that “a lawyer’s either a social engineer or he’s a parasite on society,” defining social engineer as a “highly skilled, perceptive, sensitive lawyer who understood the Constitution of the United States and knew how to explore its uses in the solving of problems of local communities and in bettering the conditions of the underprivileged citizens.”11 Law schools should set as an ambition teaching students to push boundaries in diagnosing and tackling the most pressing problems facing society.</w:t>
      </w:r>
    </w:p>
    <w:p w14:paraId="7170D7DF" w14:textId="77777777" w:rsidR="006C4B0E" w:rsidRPr="00015112" w:rsidRDefault="006C4B0E" w:rsidP="006C4B0E">
      <w:pPr>
        <w:spacing w:after="0"/>
        <w:rPr>
          <w:sz w:val="10"/>
          <w:szCs w:val="10"/>
        </w:rPr>
      </w:pPr>
      <w:r w:rsidRPr="00015112">
        <w:rPr>
          <w:sz w:val="10"/>
          <w:szCs w:val="10"/>
        </w:rPr>
        <w:t>The Article proceeds in three parts. Part I discusses political lawyering and explores its potential to serve as a framework to teach students the legal and extra-legal advocacy skills necessary to tackle the complex challenges of systemic injustice and inequity. Part I also discusses the institutional barriers that limit the ability and willingness of legal educators to exploit the pedagogical potential of a political lawyering framework, including the idea that litigation is often harmful to the cause of justice because it puts the lawyer ahead of the community being served. Part I then examines whether the choice that clinical legal education makes to teach through small, single-issue cases rather than through more complex vehicles offers students sufficient opportunities to develop the array of skills needed for integrated advocacy. Part II describes the ways that clinical legal education can reframe political lawyering as political justice lawyering, both to adapt to the current environment—complicated by the current partisan political climate—and the contemporary challenges of social justice advocacy. It also explores pedagogic strategies that clinical legal educators can employ to train effective 21st century social justice lawyers. Finally, Part III presents a case study from my own teaching to elucidate the opportunities and challenges inherent in this approach to clinical teaching.</w:t>
      </w:r>
    </w:p>
    <w:p w14:paraId="11168937" w14:textId="77777777" w:rsidR="006C4B0E" w:rsidRPr="00015112" w:rsidRDefault="006C4B0E" w:rsidP="006C4B0E">
      <w:pPr>
        <w:spacing w:after="0"/>
        <w:rPr>
          <w:sz w:val="10"/>
          <w:szCs w:val="10"/>
        </w:rPr>
      </w:pPr>
      <w:r w:rsidRPr="00015112">
        <w:rPr>
          <w:sz w:val="10"/>
          <w:szCs w:val="10"/>
        </w:rPr>
        <w:t xml:space="preserve">I. POLITICAL LAWYERING AS A FRAMEWORK FOR LEGAL EDUCATION </w:t>
      </w:r>
    </w:p>
    <w:p w14:paraId="289AB88E" w14:textId="77777777" w:rsidR="006C4B0E" w:rsidRPr="00015112" w:rsidRDefault="006C4B0E" w:rsidP="006C4B0E">
      <w:pPr>
        <w:spacing w:after="0"/>
        <w:rPr>
          <w:sz w:val="10"/>
          <w:szCs w:val="10"/>
        </w:rPr>
      </w:pPr>
      <w:r w:rsidRPr="00015112">
        <w:rPr>
          <w:sz w:val="10"/>
          <w:szCs w:val="10"/>
        </w:rPr>
        <w:t>“Social vision is part of the operating ethos of self-conscious law practice. The fact that most law practice is not done self-consciously is simply a function of the degree to which most law practice serves the status quo. Self-conscious practice appears to be less important, and is always less destabilizing, when it serves what is, rather than what ought to be.”</w:t>
      </w:r>
    </w:p>
    <w:p w14:paraId="52A6F48E" w14:textId="77777777" w:rsidR="006C4B0E" w:rsidRPr="00015112" w:rsidRDefault="006C4B0E" w:rsidP="006C4B0E">
      <w:pPr>
        <w:spacing w:after="0"/>
        <w:rPr>
          <w:sz w:val="10"/>
          <w:szCs w:val="10"/>
        </w:rPr>
      </w:pPr>
      <w:r w:rsidRPr="00015112">
        <w:rPr>
          <w:sz w:val="10"/>
          <w:szCs w:val="10"/>
        </w:rPr>
        <w:t>- Gary Bellow12</w:t>
      </w:r>
    </w:p>
    <w:p w14:paraId="6A00C4AC" w14:textId="77777777" w:rsidR="006C4B0E" w:rsidRPr="00015112" w:rsidRDefault="006C4B0E" w:rsidP="006C4B0E">
      <w:pPr>
        <w:spacing w:after="0"/>
        <w:rPr>
          <w:sz w:val="10"/>
          <w:szCs w:val="10"/>
        </w:rPr>
      </w:pPr>
      <w:r w:rsidRPr="00015112">
        <w:rPr>
          <w:sz w:val="10"/>
          <w:szCs w:val="10"/>
        </w:rPr>
        <w:t xml:space="preserve">In 1996, the Harvard Civil Rights-Civil Liberties Law Review published a symposium on “political lawyering”: a model of social justice advocacy that integrates legal advocacy and political mobilization by linking courtroom advocacy to community education, mobilization, and organizing.13 The symposium, honoring Gary Bellow, a leading political lawyer of the time and one of the architects of clinical legal education, explored the potential for political lawyering to respond to the social justice challenges of the moment.14 At the time of the symposium, progressive scholars and activists believed that America was in a period of retrenchment on civil rights and were in search of sources of hope.15 In the face of waning public support for the poor and disenfranchised, both financially and philosophically, one of the biggest dangers social justice advocates faced was despair about the possibility of progress.16 Bellow contended that the nation’s ideological reconfiguration created a potentially debilitating doubt among lawyer-activists who, faced with declining avenues for change, had “embraced a far too constricted definition of both the possible and desirable in law-oriented interventions than is, in fact, dictated by the rightward turn of national and local politics.”17 With victory harder to achieve, he insisted that lawyers who embraced and reimagined political lawyering would advance the fight for equality more effectively. </w:t>
      </w:r>
    </w:p>
    <w:p w14:paraId="3A85F990" w14:textId="77777777" w:rsidR="006C4B0E" w:rsidRPr="00015112" w:rsidRDefault="006C4B0E" w:rsidP="006C4B0E">
      <w:pPr>
        <w:spacing w:after="0"/>
        <w:rPr>
          <w:sz w:val="10"/>
          <w:szCs w:val="10"/>
        </w:rPr>
      </w:pPr>
      <w:r w:rsidRPr="00015112">
        <w:rPr>
          <w:sz w:val="10"/>
          <w:szCs w:val="10"/>
        </w:rPr>
        <w:t xml:space="preserve">The purpose of political lawyering is not to advance a particular partisan agenda: It is to represent disenfranchised communities against the forces of oppression.18 While difficult to define precisely, political lawyers take a politicized and value-oriented approach to legal work done in service to both individual and collective goals,19 embracing “politics” in the classical sense as a concern “with what it means to be human; what is the best life for a human being; and . . . the ways in which we can order our living together so that good human lives will emerge.”20 Practically, political lawyers use a systemic reform lens in decisions about case selection, advocacy strategy, and the lawyering process. Political lawyers think about the relationship between law, politics, and justice21 and use the law to animate fundamental change in society, to alter the allocation of power and opportunity, and to enable those individuals and communities with little power to claim and enjoy their rights.22 Political lawyers also take advantage of opportunities to influence the perceptions and behaviors of those in power.23 Finally, political lawyers empower individuals and communities by providing them with competent legal advocacy,24 but do not confine themselves to one mode of advocacy in their quest for structural change. Instead, political lawyers use integrated advocacy strategies, including litigation, legislative advocacy, public education, media, and social science research, assessing the efficacy and impact of each tool in service to a long-term visions of equality and solidarity.25 </w:t>
      </w:r>
    </w:p>
    <w:p w14:paraId="40C3E58D" w14:textId="77777777" w:rsidR="006C4B0E" w:rsidRPr="00015112" w:rsidRDefault="006C4B0E" w:rsidP="006C4B0E">
      <w:pPr>
        <w:spacing w:after="0"/>
        <w:rPr>
          <w:sz w:val="10"/>
          <w:szCs w:val="10"/>
        </w:rPr>
      </w:pPr>
      <w:r w:rsidRPr="00015112">
        <w:rPr>
          <w:sz w:val="10"/>
          <w:szCs w:val="10"/>
        </w:rPr>
        <w:t>A. A ROLE FOR POLITICAL LAWYERING IN CLINICAL LEGAL EDUCATION</w:t>
      </w:r>
    </w:p>
    <w:p w14:paraId="364A1CB4" w14:textId="77777777" w:rsidR="006C4B0E" w:rsidRPr="00015112" w:rsidRDefault="006C4B0E" w:rsidP="006C4B0E">
      <w:pPr>
        <w:spacing w:after="0"/>
        <w:rPr>
          <w:sz w:val="10"/>
          <w:szCs w:val="10"/>
        </w:rPr>
      </w:pPr>
      <w:r w:rsidRPr="00015112">
        <w:rPr>
          <w:sz w:val="10"/>
          <w:szCs w:val="10"/>
        </w:rPr>
        <w:t>In his essay, Gary Bellow described several examples of his experience as a political lawyer.26 He reflected that:</w:t>
      </w:r>
    </w:p>
    <w:p w14:paraId="543BEDFF" w14:textId="77777777" w:rsidR="006C4B0E" w:rsidRPr="00015112" w:rsidRDefault="006C4B0E" w:rsidP="006C4B0E">
      <w:pPr>
        <w:spacing w:after="0"/>
        <w:rPr>
          <w:sz w:val="10"/>
          <w:szCs w:val="10"/>
        </w:rPr>
      </w:pPr>
      <w:r w:rsidRPr="00015112">
        <w:rPr>
          <w:sz w:val="10"/>
          <w:szCs w:val="10"/>
        </w:rPr>
        <w:t>Certainly, if one focuses on the strategies employed in these examples, few uniformities emerge. In some of the efforts, we sought rule changes or injunctive relief against a particular practice on behalf of an identified class. In other situations, we pursued aggregate results by filing large numbers of individual cases. Some strategies are carried out in the courts. At other times we ignored litigation entirely in favor of bureaucratic maneuvering and community and union organizing. Even when pursuing litigation, we often placed far greater emphasis on mobilizing and educating clients, or strengthening the entities and organizations that represented them, than on judicial outcomes. And always, we employed the lawsuit, whether pushed to conclusion or not, as a vehicle for gathering information, positioning adversaries, asserting bargaining leverage, and adding to the continuing process of definition and designation that occurs in any conflict.27</w:t>
      </w:r>
    </w:p>
    <w:p w14:paraId="1A2629DA" w14:textId="77777777" w:rsidR="006C4B0E" w:rsidRPr="00015112" w:rsidRDefault="006C4B0E" w:rsidP="006C4B0E">
      <w:pPr>
        <w:spacing w:after="0"/>
        <w:rPr>
          <w:sz w:val="16"/>
        </w:rPr>
      </w:pPr>
      <w:r w:rsidRPr="00015112">
        <w:rPr>
          <w:sz w:val="16"/>
        </w:rPr>
        <w:t xml:space="preserve">The </w:t>
      </w:r>
      <w:r w:rsidRPr="00015112">
        <w:rPr>
          <w:rStyle w:val="StyleUnderline"/>
        </w:rPr>
        <w:t xml:space="preserve">parallels between the challenges social justice lawyers faced in the 1980s and 1990s and those that law students committed to social justice </w:t>
      </w:r>
      <w:r w:rsidRPr="00015112">
        <w:rPr>
          <w:sz w:val="16"/>
        </w:rPr>
        <w:t xml:space="preserve">28 </w:t>
      </w:r>
      <w:r w:rsidRPr="00015112">
        <w:rPr>
          <w:rStyle w:val="StyleUnderline"/>
        </w:rPr>
        <w:t>face today are evident.</w:t>
      </w:r>
      <w:r w:rsidRPr="00015112">
        <w:rPr>
          <w:sz w:val="16"/>
        </w:rPr>
        <w:t xml:space="preserve"> As discussed earlier, law students’ own </w:t>
      </w:r>
      <w:r w:rsidRPr="00015112">
        <w:rPr>
          <w:rStyle w:val="Emphasis"/>
        </w:rPr>
        <w:t>despair about the enormity of the fight for justice can compromise their ability to recognize and tackle chronic injustice.</w:t>
      </w:r>
      <w:r w:rsidRPr="00015112">
        <w:rPr>
          <w:sz w:val="16"/>
        </w:rPr>
        <w:t xml:space="preserve"> Like the earlier generation of political lawyers Bellow described, </w:t>
      </w:r>
      <w:r w:rsidRPr="00015112">
        <w:rPr>
          <w:rStyle w:val="StyleUnderline"/>
        </w:rPr>
        <w:t>many</w:t>
      </w:r>
      <w:r w:rsidRPr="00015112">
        <w:rPr>
          <w:sz w:val="16"/>
        </w:rPr>
        <w:t xml:space="preserve"> law students today </w:t>
      </w:r>
      <w:r w:rsidRPr="00015112">
        <w:rPr>
          <w:rStyle w:val="StyleUnderline"/>
        </w:rPr>
        <w:t xml:space="preserve">find it difficult to believe in the </w:t>
      </w:r>
      <w:r w:rsidRPr="00015112">
        <w:rPr>
          <w:rStyle w:val="Emphasis"/>
        </w:rPr>
        <w:t>possibility of change</w:t>
      </w:r>
      <w:r w:rsidRPr="00015112">
        <w:rPr>
          <w:rStyle w:val="StyleUnderline"/>
        </w:rPr>
        <w:t xml:space="preserve"> let alone its likelihood.</w:t>
      </w:r>
      <w:r w:rsidRPr="00015112">
        <w:rPr>
          <w:sz w:val="16"/>
        </w:rPr>
        <w:t xml:space="preserve"> </w:t>
      </w:r>
      <w:r w:rsidRPr="00015112">
        <w:rPr>
          <w:rStyle w:val="Emphasis"/>
        </w:rPr>
        <w:t>Inexperience challenging systemic legal problems exacerbates their skepticism.</w:t>
      </w:r>
      <w:r w:rsidRPr="00015112">
        <w:rPr>
          <w:sz w:val="16"/>
        </w:rPr>
        <w:t xml:space="preserve"> They recognize that the advocacy tools they have learned are insufficient to solve today’s problems, which fuels their sense of doubt.</w:t>
      </w:r>
    </w:p>
    <w:p w14:paraId="45205E58" w14:textId="77777777" w:rsidR="006C4B0E" w:rsidRPr="00015112" w:rsidRDefault="006C4B0E" w:rsidP="006C4B0E">
      <w:pPr>
        <w:spacing w:after="0"/>
        <w:rPr>
          <w:sz w:val="16"/>
        </w:rPr>
      </w:pPr>
      <w:r w:rsidRPr="00015112">
        <w:rPr>
          <w:sz w:val="16"/>
        </w:rPr>
        <w:t xml:space="preserve">To help expand their understanding of what may be possible, law </w:t>
      </w:r>
      <w:r w:rsidRPr="00015112">
        <w:rPr>
          <w:rStyle w:val="StyleUnderline"/>
        </w:rPr>
        <w:t>students</w:t>
      </w:r>
      <w:r w:rsidRPr="00015112">
        <w:rPr>
          <w:sz w:val="16"/>
        </w:rPr>
        <w:t xml:space="preserve">, particularly those </w:t>
      </w:r>
      <w:r w:rsidRPr="00015112">
        <w:rPr>
          <w:rStyle w:val="StyleUnderline"/>
        </w:rPr>
        <w:t>interested in continuing the fight for racial justice</w:t>
      </w:r>
      <w:r w:rsidRPr="00015112">
        <w:rPr>
          <w:sz w:val="16"/>
        </w:rPr>
        <w:t xml:space="preserve">, </w:t>
      </w:r>
      <w:r w:rsidRPr="00015112">
        <w:rPr>
          <w:rStyle w:val="StyleUnderline"/>
        </w:rPr>
        <w:t>should be taught to understand and embrace the goals, strategies, and tools of political lawyering</w:t>
      </w:r>
      <w:r w:rsidRPr="00015112">
        <w:rPr>
          <w:sz w:val="16"/>
        </w:rPr>
        <w:t>—re-imagined for current times. Clinical professors need not adopt political lawyering wholesale as the only or primary approach to teaching lawyering skills and legal advocacy. Indeed, one of the challenges social justice advocates face is unnecessarily limiting the understanding of what it means to be a good lawyer. Rather, clinical professors should explore political lawyering as one framework they can use to help struggling law students find direction and inspiration, as well as to create a sense of connection to the work of the social justice lawyers who preceded them. As Gary Bellow wrote:</w:t>
      </w:r>
    </w:p>
    <w:p w14:paraId="05D0411F" w14:textId="77777777" w:rsidR="006C4B0E" w:rsidRPr="00015112" w:rsidRDefault="006C4B0E" w:rsidP="006C4B0E">
      <w:pPr>
        <w:spacing w:after="0"/>
        <w:rPr>
          <w:sz w:val="16"/>
        </w:rPr>
      </w:pPr>
      <w:r w:rsidRPr="00015112">
        <w:rPr>
          <w:rStyle w:val="StyleUnderline"/>
        </w:rPr>
        <w:t>Doubt and defeatism</w:t>
      </w:r>
      <w:r w:rsidRPr="00015112">
        <w:rPr>
          <w:sz w:val="16"/>
        </w:rPr>
        <w:t xml:space="preserve">, the sense of overly pessimistic assessments of action possibilities, are recurrent experiences in oppositional politics, whomever the political actors may be. They </w:t>
      </w:r>
      <w:r w:rsidRPr="00015112">
        <w:rPr>
          <w:rStyle w:val="StyleUnderline"/>
        </w:rPr>
        <w:t>require hard-headed assessments of what works and why</w:t>
      </w:r>
      <w:r w:rsidRPr="00015112">
        <w:rPr>
          <w:sz w:val="16"/>
        </w:rPr>
        <w:t xml:space="preserve">; a willingness to relinquish strategies and goals born of different possibilities and particularities. . . . </w:t>
      </w:r>
      <w:r w:rsidRPr="00015112">
        <w:rPr>
          <w:rStyle w:val="Emphasis"/>
        </w:rPr>
        <w:t>Doubt and defeatism produce powerful spirals that can only be broken by</w:t>
      </w:r>
      <w:r w:rsidRPr="00015112">
        <w:rPr>
          <w:sz w:val="16"/>
        </w:rPr>
        <w:t xml:space="preserve"> acts of will and </w:t>
      </w:r>
      <w:r w:rsidRPr="00015112">
        <w:rPr>
          <w:rStyle w:val="Emphasis"/>
        </w:rPr>
        <w:t>leaps of faith.</w:t>
      </w:r>
      <w:r w:rsidRPr="00015112">
        <w:rPr>
          <w:sz w:val="16"/>
        </w:rPr>
        <w:t xml:space="preserve">29 </w:t>
      </w:r>
    </w:p>
    <w:p w14:paraId="215EEC00" w14:textId="77777777" w:rsidR="006C4B0E" w:rsidRPr="00015112" w:rsidRDefault="006C4B0E" w:rsidP="006C4B0E">
      <w:pPr>
        <w:spacing w:after="0"/>
        <w:rPr>
          <w:sz w:val="16"/>
        </w:rPr>
      </w:pPr>
      <w:r w:rsidRPr="00015112">
        <w:rPr>
          <w:sz w:val="16"/>
        </w:rPr>
        <w:t xml:space="preserve">To be an effective political lawyer, an advocate must have a “profound willingness and ability to learn about and respond to the complexity of real human beings in ever-shifting legal, economic, and social worlds.”30 So, while political lawyering is certainly grounded in effective legal advocacy, it demands more than conventional legal skills. The political lawyer values deep personal involvement as a necessary component in addressing and tackling legal issues. That personal engagement can take many forms, but, at a minimum, involves countless conversations, collaborative brainstorming, comparing shared experiences, and adding empathy and commonality to enhance the legal analysis and political judgment.31 </w:t>
      </w:r>
      <w:r w:rsidRPr="00015112">
        <w:rPr>
          <w:rStyle w:val="StyleUnderline"/>
        </w:rPr>
        <w:t>It</w:t>
      </w:r>
      <w:r w:rsidRPr="00015112">
        <w:rPr>
          <w:sz w:val="16"/>
        </w:rPr>
        <w:t xml:space="preserve"> also </w:t>
      </w:r>
      <w:r w:rsidRPr="00015112">
        <w:rPr>
          <w:rStyle w:val="StyleUnderline"/>
        </w:rPr>
        <w:t xml:space="preserve">requires lawyers to advocate with a </w:t>
      </w:r>
      <w:r w:rsidRPr="00015112">
        <w:rPr>
          <w:rStyle w:val="Emphasis"/>
        </w:rPr>
        <w:t>clear vision</w:t>
      </w:r>
      <w:r w:rsidRPr="00015112">
        <w:rPr>
          <w:rStyle w:val="StyleUnderline"/>
        </w:rPr>
        <w:t xml:space="preserve"> of what justice looks like</w:t>
      </w:r>
      <w:r w:rsidRPr="00015112">
        <w:rPr>
          <w:sz w:val="16"/>
        </w:rPr>
        <w:t xml:space="preserve"> because effective political lawyering “reache[s] not only across large numbers of people, but from the present into some altered version of the future.”32 </w:t>
      </w:r>
      <w:r w:rsidRPr="00015112">
        <w:rPr>
          <w:rStyle w:val="StyleUnderline"/>
        </w:rPr>
        <w:t>Learning to combine savvy legal analysis with broad engagement, a deeper understanding of the complexity of the problems</w:t>
      </w:r>
      <w:r w:rsidRPr="00015112">
        <w:rPr>
          <w:sz w:val="16"/>
        </w:rPr>
        <w:t xml:space="preserve"> faced by impacted communities, </w:t>
      </w:r>
      <w:r w:rsidRPr="00015112">
        <w:rPr>
          <w:rStyle w:val="StyleUnderline"/>
        </w:rPr>
        <w:t xml:space="preserve">and envisioning an altered and </w:t>
      </w:r>
      <w:r w:rsidRPr="00015112">
        <w:rPr>
          <w:rStyle w:val="Emphasis"/>
        </w:rPr>
        <w:t>more just future</w:t>
      </w:r>
      <w:r w:rsidRPr="00015112">
        <w:rPr>
          <w:rStyle w:val="StyleUnderline"/>
        </w:rPr>
        <w:t xml:space="preserve"> can help lead to </w:t>
      </w:r>
      <w:r w:rsidRPr="00015112">
        <w:rPr>
          <w:rStyle w:val="Emphasis"/>
        </w:rPr>
        <w:t>real solutions</w:t>
      </w:r>
      <w:r w:rsidRPr="00015112">
        <w:rPr>
          <w:sz w:val="16"/>
        </w:rPr>
        <w:t xml:space="preserve"> and overcome passivity and </w:t>
      </w:r>
      <w:r w:rsidRPr="00015112">
        <w:rPr>
          <w:strike/>
          <w:sz w:val="16"/>
        </w:rPr>
        <w:t>paralysis</w:t>
      </w:r>
      <w:r w:rsidRPr="00015112">
        <w:rPr>
          <w:sz w:val="16"/>
        </w:rPr>
        <w:t>.33</w:t>
      </w:r>
    </w:p>
    <w:p w14:paraId="51907625" w14:textId="77777777" w:rsidR="006C4B0E" w:rsidRPr="00015112" w:rsidRDefault="006C4B0E" w:rsidP="006C4B0E">
      <w:pPr>
        <w:spacing w:after="0"/>
        <w:rPr>
          <w:sz w:val="16"/>
        </w:rPr>
      </w:pPr>
      <w:r w:rsidRPr="00015112">
        <w:rPr>
          <w:rStyle w:val="StyleUnderline"/>
        </w:rPr>
        <w:t>The Civil Rights Movement</w:t>
      </w:r>
      <w:r w:rsidRPr="00015112">
        <w:rPr>
          <w:sz w:val="16"/>
        </w:rPr>
        <w:t xml:space="preserve">, with its blended advocacy strategies, pulling a variety of levers to enable immediate or systemic change, </w:t>
      </w:r>
      <w:r w:rsidRPr="00015112">
        <w:rPr>
          <w:rStyle w:val="StyleUnderline"/>
        </w:rPr>
        <w:t>offers one example</w:t>
      </w:r>
      <w:r w:rsidRPr="00015112">
        <w:rPr>
          <w:sz w:val="16"/>
        </w:rPr>
        <w:t xml:space="preserve"> of political lawyering. Visionary leaders helped give voice to the frustrations and demands of the community, while other leaders acted as tacticians to devise, plan, and coordinate the strategy.34 There were sustained and strategic protests to draw public attention to injustices, demand change, and apply political pressure. </w:t>
      </w:r>
      <w:r w:rsidRPr="00015112">
        <w:rPr>
          <w:rStyle w:val="StyleUnderline"/>
        </w:rPr>
        <w:t>The strategic use of litigation led gradually to the establishment of the building blocks for systemic change.</w:t>
      </w:r>
      <w:r w:rsidRPr="00015112">
        <w:rPr>
          <w:sz w:val="16"/>
        </w:rPr>
        <w:t xml:space="preserve"> Finally, </w:t>
      </w:r>
      <w:r w:rsidRPr="00015112">
        <w:rPr>
          <w:rStyle w:val="StyleUnderline"/>
        </w:rPr>
        <w:t>civil rights lawyers worked to enshrine litigation victories in legislation.</w:t>
      </w:r>
      <w:r w:rsidRPr="00015112">
        <w:rPr>
          <w:sz w:val="16"/>
        </w:rPr>
        <w:t>35</w:t>
      </w:r>
    </w:p>
    <w:p w14:paraId="2E11417C" w14:textId="77777777" w:rsidR="006C4B0E" w:rsidRPr="00015112" w:rsidRDefault="006C4B0E" w:rsidP="006C4B0E">
      <w:pPr>
        <w:spacing w:after="0"/>
        <w:rPr>
          <w:sz w:val="10"/>
          <w:szCs w:val="10"/>
        </w:rPr>
      </w:pPr>
      <w:r w:rsidRPr="00015112">
        <w:rPr>
          <w:sz w:val="10"/>
          <w:szCs w:val="10"/>
        </w:rPr>
        <w:t>While the goal of political lawyering is to empower and advance the rights of disadvantaged communities, the lawyers who engage in it also reap significant benefits. One scholar effectively articulated some of these benefits utilizing religious terms, asserting that political lawyering can provide hope and direction to advocates by providing a “faith”—“a story, an account of a rational hope that provides people with an image and principles for realizing the sort of lives they ought to live.”36 Political lawyering can also provide what Christians refer to as a “gospel”—a story that explains and inspires.37 The faith and gospel of political lawyering can help lead law students who are overwhelmed by injustice to a place of deeper understanding and more effective advocacy. But law students must learn how to understand, articulate, and deploy that faith and gospel in service of others.</w:t>
      </w:r>
    </w:p>
    <w:p w14:paraId="6709F5EE" w14:textId="77777777" w:rsidR="006C4B0E" w:rsidRPr="00015112" w:rsidRDefault="006C4B0E" w:rsidP="006C4B0E">
      <w:pPr>
        <w:spacing w:after="0"/>
        <w:rPr>
          <w:sz w:val="10"/>
          <w:szCs w:val="10"/>
        </w:rPr>
      </w:pPr>
      <w:r w:rsidRPr="00015112">
        <w:rPr>
          <w:sz w:val="10"/>
          <w:szCs w:val="10"/>
        </w:rPr>
        <w:t>B. INSTITUTIONAL CONSTRAINTS ON POLITICAL LAWYERING</w:t>
      </w:r>
    </w:p>
    <w:p w14:paraId="042C9B08" w14:textId="77777777" w:rsidR="006C4B0E" w:rsidRPr="00015112" w:rsidRDefault="006C4B0E" w:rsidP="006C4B0E">
      <w:pPr>
        <w:spacing w:after="0"/>
        <w:rPr>
          <w:sz w:val="16"/>
        </w:rPr>
      </w:pPr>
      <w:r w:rsidRPr="00015112">
        <w:rPr>
          <w:rStyle w:val="Emphasis"/>
        </w:rPr>
        <w:t>Complex social justice problems offer robust opportunities to teach students about the law and lawyering</w:t>
      </w:r>
      <w:r w:rsidRPr="00015112">
        <w:rPr>
          <w:sz w:val="16"/>
        </w:rPr>
        <w:t xml:space="preserve">, and legal clinics serve as an important vehicle to </w:t>
      </w:r>
      <w:r w:rsidRPr="00015112">
        <w:rPr>
          <w:rStyle w:val="Emphasis"/>
        </w:rPr>
        <w:t>bring that set of issues and experiences into the classroom.</w:t>
      </w:r>
      <w:r w:rsidRPr="00015112">
        <w:rPr>
          <w:sz w:val="16"/>
        </w:rPr>
        <w:t>38 As law schools reevaluate the nature and function of legal education in light of market forces,39 they should also give attention to the role of justice in the curriculum and the potential for law school clinics to be centers for incubation of new and evolving models of lawyering. By embracing political lawyering and encouraging engagement on complex and novel social justice issues, clinical legal education can operate as a “generator of new visions for legal practice” on behalf of poor and marginalized communities.40 Of course, that choice is not without hurdles or concern.</w:t>
      </w:r>
    </w:p>
    <w:p w14:paraId="3E444724" w14:textId="77777777" w:rsidR="006C4B0E" w:rsidRPr="00015112" w:rsidRDefault="006C4B0E" w:rsidP="006C4B0E">
      <w:pPr>
        <w:spacing w:after="0"/>
        <w:rPr>
          <w:sz w:val="10"/>
          <w:szCs w:val="10"/>
        </w:rPr>
      </w:pPr>
      <w:r w:rsidRPr="00015112">
        <w:rPr>
          <w:sz w:val="10"/>
          <w:szCs w:val="10"/>
        </w:rPr>
        <w:t>1. Ideological, Financial, and Pedagogical Pressures</w:t>
      </w:r>
    </w:p>
    <w:p w14:paraId="5C6A039F" w14:textId="77777777" w:rsidR="006C4B0E" w:rsidRPr="00015112" w:rsidRDefault="006C4B0E" w:rsidP="006C4B0E">
      <w:pPr>
        <w:spacing w:after="0"/>
        <w:rPr>
          <w:sz w:val="10"/>
          <w:szCs w:val="10"/>
        </w:rPr>
      </w:pPr>
      <w:r w:rsidRPr="00015112">
        <w:rPr>
          <w:sz w:val="10"/>
          <w:szCs w:val="10"/>
        </w:rPr>
        <w:t>When clinical and experiential learning programs have moved away from an access to justice model—with a focus on the immediate challenges facing individual clients—to a broader social justice model focused on systemic reform and community empowerment, they have often encountered criticism from inside and outside of the legal academy.41 First, critics have raised concerns that integrated advocacy in support of systemic reform may elevate the profile of faculty and law schools but detract from an appropriate focus on the educational goals of individual students.42 Others have identified the potential for violating the separation between pedagogy and partisan politics.43 And still other critics have identified a risk that faculty will impose their personal political perspectives on their students.44 As discussed in more detail below, integrated advocacy strategies can, in fact, serve as valuable clinical teaching tools that promote broader student learning and support important pedagogical goals. By contrast, exclusive reliance on individual representation offers limited opportunities to teach essential lawyering skills, including the skills critical to identifying and challenging systemic injustice.45</w:t>
      </w:r>
    </w:p>
    <w:p w14:paraId="6A19D8E7" w14:textId="77777777" w:rsidR="006C4B0E" w:rsidRPr="00015112" w:rsidRDefault="006C4B0E" w:rsidP="006C4B0E">
      <w:pPr>
        <w:spacing w:after="0"/>
        <w:rPr>
          <w:sz w:val="10"/>
          <w:szCs w:val="10"/>
        </w:rPr>
      </w:pPr>
      <w:r w:rsidRPr="00015112">
        <w:rPr>
          <w:sz w:val="10"/>
          <w:szCs w:val="10"/>
        </w:rPr>
        <w:t>Every clinical program makes a political decision in deciding which cases to take or not to take, as each decision has political implications.46 Accepting cases in criminal justice, immigration, environmental justice, and international human rights, for example, involves political choices, regardless of whether the issues are addressed through individual representation or systemic reform efforts.47 Clinics will continue to represent individual clients who are the victims of poverty, discrimination, and disenfranchisement. These cases do not suddenly become inappropriate teaching tools because the lawyer aggregates those claims and utilizes complementary strategies to seek systemic, community-wide redress. Lawyers must be free to use all available means to challenge the marginalization of their clients, including strategic litigation, legislative advocacy, and other advocacy strategies designed to achieve systemic reform. If law schools intend to fulfill their promise to prepare law students to tackle urgent and pressing challenges, then they must teach students to identify and address interlocking legal and social problems.</w:t>
      </w:r>
    </w:p>
    <w:p w14:paraId="7CA31691" w14:textId="77777777" w:rsidR="006C4B0E" w:rsidRPr="00015112" w:rsidRDefault="006C4B0E" w:rsidP="006C4B0E">
      <w:pPr>
        <w:spacing w:after="0"/>
        <w:rPr>
          <w:sz w:val="10"/>
          <w:szCs w:val="10"/>
        </w:rPr>
      </w:pPr>
      <w:r w:rsidRPr="00015112">
        <w:rPr>
          <w:sz w:val="10"/>
          <w:szCs w:val="10"/>
        </w:rPr>
        <w:t>Still, while law schools have educational ambitions, they also face financial demands that might affect their educational choices. In fact, those financial realities may motivate schools to avoid disputes that expose them to financial risk and to a potential loss of good will that a clinic’s involvement in controversial cases might occasion.48 While that institutional concern certainly has merit, it is not unique to political lawyering on behalf of clients. Whenever a law school chooses to represent clients, there is the potential for someone to take issue with the school’s choice of side or client. Similarly, law schools may experience external pressures from government, private entities, donors, and alumni to prevent the use of law school resources to challenge powerful corporate or government interests.49 These critiques evoke the successful challenge to Legal Services Corporations engaging in class action litigation on behalf of their clients50 and the long history of efforts to limit the means through which clinics can represent their clients.51 History is replete with examples of external attacks on law schools’ clinical efforts. From the 1968 attack by state legislators on the clinical program at the University of Mississippi School of Law over its involvement in a school desegregation suit,52 to the early 1980s threats to limit the activities of the University of Connecticut’s criminal defense clinic after the clinic successfully challenged a provision of the state’s death penalty statute,53 to the 2017 decision of the University of North Carolina Board of Governors to defund the law school’s Center for Civil Rights’ work to challenge systemic and racialized barriers to equality, law schools have experienced public scrutiny and scorn for their client and case selection decisions.</w:t>
      </w:r>
    </w:p>
    <w:p w14:paraId="17A5B429" w14:textId="77777777" w:rsidR="006C4B0E" w:rsidRPr="00015112" w:rsidRDefault="006C4B0E" w:rsidP="006C4B0E">
      <w:pPr>
        <w:spacing w:after="0"/>
        <w:rPr>
          <w:sz w:val="10"/>
          <w:szCs w:val="10"/>
        </w:rPr>
      </w:pPr>
      <w:r w:rsidRPr="00015112">
        <w:rPr>
          <w:sz w:val="10"/>
          <w:szCs w:val="10"/>
        </w:rPr>
        <w:t>A clinical faculty member’s case selection decisions should not be without limits or guidelines. For example, limited resources and specific pedagogical objectives will necessarily dictate which cases will be considered appropriate. However, making case selection decisions on the basis of pedagogical choices differs fundamentally from decisions based on ideological pressure from outside forces. The latter raises fundamental questions of academic freedom and other professional responsibilities.54 Clinical faculty members must maintain some independence to choose cases and clients that meet that clinic’s educational and public service goals.55</w:t>
      </w:r>
    </w:p>
    <w:p w14:paraId="4AFD498F" w14:textId="77777777" w:rsidR="006C4B0E" w:rsidRPr="00015112" w:rsidRDefault="006C4B0E" w:rsidP="006C4B0E">
      <w:pPr>
        <w:spacing w:after="0"/>
        <w:rPr>
          <w:sz w:val="10"/>
          <w:szCs w:val="10"/>
        </w:rPr>
      </w:pPr>
      <w:r w:rsidRPr="00015112">
        <w:rPr>
          <w:sz w:val="10"/>
          <w:szCs w:val="10"/>
        </w:rPr>
        <w:t>2. The Anti-Litigation Bias</w:t>
      </w:r>
    </w:p>
    <w:p w14:paraId="71FBC36B" w14:textId="77777777" w:rsidR="006C4B0E" w:rsidRPr="00015112" w:rsidRDefault="006C4B0E" w:rsidP="006C4B0E">
      <w:pPr>
        <w:spacing w:after="0"/>
        <w:rPr>
          <w:sz w:val="10"/>
          <w:szCs w:val="10"/>
        </w:rPr>
      </w:pPr>
      <w:r w:rsidRPr="00015112">
        <w:rPr>
          <w:sz w:val="10"/>
          <w:szCs w:val="10"/>
        </w:rPr>
        <w:t>Political lawyers have long embraced litigation’s potential to achieve “radical extensions of democracy, equality, and racial justice” in addition to structural and cultural change.56 Law reform and structural change are important aspects of political lawyering.57 Accordingly, impact litigation on behalf of marginalized people and communities has long been an important tool for political lawyers.58 Indeed, the NAACP’s fight against racial segregation and inequality in the 1940s and 1950s represents an early example of political lawyering that strategically deployed litigation as part of</w:t>
      </w:r>
    </w:p>
    <w:p w14:paraId="6284E338" w14:textId="77777777" w:rsidR="006C4B0E" w:rsidRPr="00015112" w:rsidRDefault="006C4B0E" w:rsidP="006C4B0E">
      <w:pPr>
        <w:spacing w:after="0"/>
        <w:rPr>
          <w:sz w:val="10"/>
          <w:szCs w:val="10"/>
        </w:rPr>
      </w:pPr>
      <w:r w:rsidRPr="00015112">
        <w:rPr>
          <w:sz w:val="10"/>
          <w:szCs w:val="10"/>
        </w:rPr>
        <w:t>a comprehensive effort to resist oppression and advance equality.59 Political lawyering never embraced an exaggerated belief that litigation should be the centerpiece of the fight for equality.60 Instead, like the advocates at the heart of the NAACP’s desegregation strategy, political lawyers “recognized that litigation, interdisciplinary collaboration, and community organization had to proceed together.”61</w:t>
      </w:r>
    </w:p>
    <w:p w14:paraId="1F0DC538" w14:textId="77777777" w:rsidR="006C4B0E" w:rsidRPr="00015112" w:rsidRDefault="006C4B0E" w:rsidP="006C4B0E">
      <w:pPr>
        <w:spacing w:after="0"/>
        <w:rPr>
          <w:sz w:val="10"/>
          <w:szCs w:val="10"/>
        </w:rPr>
      </w:pPr>
      <w:r w:rsidRPr="00015112">
        <w:rPr>
          <w:sz w:val="10"/>
          <w:szCs w:val="10"/>
        </w:rPr>
        <w:t>In the late 1990s and early 2000s, political and cultural shifts affected the strategies many political lawyers employed. New federal restrictions on the use of impact litigation and legislative advocacy by legal services lawyers were a cause of significant concern.62 Where impact litigation remained a possibility, many political lawyers worried that litigation offered a dangerous path. Although federal courts, in particular, had proved supportive in the fight for racial justice in the 1960s, progressive lawyers in later years worried that a more conservative judiciary was just as likely, if not more inclined, to set back progressive movements.63 This concern proved correct, particularly in the area of racial justice. Decades of conservative appointments to the federal bench64 led to a series of legal setbacks65 that effectively limited the federal courts as a venue for the redress of illegal discrimination.66 Many advocates also believed that while progressive lawyers were toiling away in the courtroom and achieving only minor success, conservative advocacy groups had mastered the more efficacious strategy of building powerful grassroots constituencies.67</w:t>
      </w:r>
    </w:p>
    <w:p w14:paraId="6E53C211" w14:textId="77777777" w:rsidR="006C4B0E" w:rsidRPr="00015112" w:rsidRDefault="006C4B0E" w:rsidP="006C4B0E">
      <w:pPr>
        <w:spacing w:after="0"/>
        <w:rPr>
          <w:sz w:val="10"/>
          <w:szCs w:val="10"/>
        </w:rPr>
      </w:pPr>
      <w:r w:rsidRPr="00015112">
        <w:rPr>
          <w:sz w:val="10"/>
          <w:szCs w:val="10"/>
        </w:rPr>
        <w:t>As courts increased their hostility to civil rights and racial justice, making victory and progress more difficult, political lawyers turned away from litigation and began focusing on alternative methods to fight for social change.68 While the labels have changed, the fundamental purpose of the work remained the same. Political lawyering gave way to rebellious lawyering, community lawyering, and movement lawyering.69 These models of advocacy embrace different visions of advocacy that may vary in the emphasis placed on the law’s comparative advantage relative to other strategic methodologies and tools.70 But, they all acknowledge the bond that joins client, community, and lawyer together in a common enterprise: empowering those without power and fighting for justice and equality. The de-emphasis on strategic litigation brought real benefits. It encouraged lawyers to work as members of a team, and challenged lawyers to ensure that those marginalized by injustice played a central role both as the focus of the advocacy and as participants in the advocacy, a positive turn regardless of the motivation.71</w:t>
      </w:r>
    </w:p>
    <w:p w14:paraId="1E490661" w14:textId="77777777" w:rsidR="006C4B0E" w:rsidRPr="00015112" w:rsidRDefault="006C4B0E" w:rsidP="006C4B0E">
      <w:pPr>
        <w:spacing w:after="0"/>
        <w:rPr>
          <w:sz w:val="10"/>
          <w:szCs w:val="10"/>
        </w:rPr>
      </w:pPr>
      <w:r w:rsidRPr="00015112">
        <w:rPr>
          <w:sz w:val="10"/>
          <w:szCs w:val="10"/>
        </w:rPr>
        <w:t>This evolution came at a cost. What began as a tactical de-emphasis on litigation evolved into a philosophical bias against litigation as a social justice advocacy tool.72 Initially, social justice lawyers turned away from impact litigation because they feared that an increasingly conservative judiciary would use these cases as an opportunity to further roll back prior gains. However, with time, the reluctance to pursue litigation became less a reaction to circumstance and more a matter of principle. Some writers argued that litigation is a tool through which lawyers usurp the authority of already marginalized clients by setting their priorities for them.73 And, they claimed that litigation disempowers communities because of the unbalanced power dynamics between social justice lawyers and marginalized clients.74 An example is the dialogue around rebellious lawyering, one of the most prominent models for social change advocacy. Gerald López conceptualized rebellious lawyering as an advocacy model that would empower poor clients through grassroots, community-based advocacy that was facilitated by lawyers.75 Rebellious lawyering emphasizes concepts of community organization, mobilization, and “deprofessionalization.”76 It calls on lawyers to reflect on critical elements of the attorney-client relationship that may further oppress members of marginalized communities.77 Through rebellious lawyering, Professor López advances the belief that although lawyers should help solve problems facing the poor, lawyers are not the preeminent problem solvers in that relationship and should defer to clients and communities.78 Gerald López prefers that lawyers focus on “teaching self-help and lay lawyering” to empower communities to help themselves.79</w:t>
      </w:r>
    </w:p>
    <w:p w14:paraId="728688FB" w14:textId="77777777" w:rsidR="006C4B0E" w:rsidRPr="00015112" w:rsidRDefault="006C4B0E" w:rsidP="006C4B0E">
      <w:pPr>
        <w:spacing w:after="0"/>
        <w:rPr>
          <w:sz w:val="10"/>
          <w:szCs w:val="10"/>
        </w:rPr>
      </w:pPr>
      <w:r w:rsidRPr="00015112">
        <w:rPr>
          <w:sz w:val="10"/>
          <w:szCs w:val="10"/>
        </w:rPr>
        <w:t>Professor López espoused his positive vision of rebellious lawyering as an alternative to what he calls regnant lawyering.80 Professor López asserts that regnant lawyers are convinced that they need to be the primary and active leaders in their representation of poor people. Regnant lawyers find community education and empowerment to be of only marginal importance.81 The result is that the regnant lawyer dominates the attorney-client relationship, giving little voice to the needs or concerns of the client. Finally, Professor López also believes that regnant lawyers have little practical understanding of legal, political, and social structures.82</w:t>
      </w:r>
    </w:p>
    <w:p w14:paraId="2E420BE8" w14:textId="77777777" w:rsidR="006C4B0E" w:rsidRPr="00015112" w:rsidRDefault="006C4B0E" w:rsidP="006C4B0E">
      <w:pPr>
        <w:spacing w:after="0"/>
        <w:rPr>
          <w:sz w:val="10"/>
          <w:szCs w:val="10"/>
        </w:rPr>
      </w:pPr>
      <w:r w:rsidRPr="00015112">
        <w:rPr>
          <w:sz w:val="10"/>
          <w:szCs w:val="10"/>
        </w:rPr>
        <w:t>Rebellious lawyering raised important questions about the role litigation should play in social justice movements. Gerald Lopez was certainly skeptical that “legal technicians” could make a meaningful contribution83 and questioned whether lawyers turned to litigation because it was best for the client or because the lawyer wanted to play “hero.”84 All political lawyers should ask themselves these questions when considering impact litigation as part of integrated advocacy on behalf of marginalized communities.85 But, over time, commentators began to equate regnant lawyering with impact litigation.86 Some social justice advocates argued that impact litigation perpetuated racism because white lawyers used it as a tool to impose their views on communities of color.87 Others advanced images of litigators as outsiders who used poor communities as guinea pigs in their social justice experiments, warning that “practicing law in the community is not a tourist adventure and, therefore, we must eschew the routine of the autonomous, interloping advocate who dreams up cases in the home office and then tests them on the community.”88 Litigation, and systemic reform litigation in particular, became synonymous with regnant lawyering: an “enemy” of social justice and not a tool fit for people committed to fighting for enduring social change.</w:t>
      </w:r>
    </w:p>
    <w:p w14:paraId="36CF8D89" w14:textId="77777777" w:rsidR="006C4B0E" w:rsidRPr="00015112" w:rsidRDefault="006C4B0E" w:rsidP="006C4B0E">
      <w:pPr>
        <w:spacing w:after="0"/>
        <w:rPr>
          <w:sz w:val="16"/>
        </w:rPr>
      </w:pPr>
      <w:r w:rsidRPr="00015112">
        <w:rPr>
          <w:sz w:val="16"/>
        </w:rPr>
        <w:t xml:space="preserve">Derrick </w:t>
      </w:r>
      <w:r w:rsidRPr="00015112">
        <w:rPr>
          <w:rStyle w:val="StyleUnderline"/>
        </w:rPr>
        <w:t>Bell advanced one of the most prominent and influential critiques of litigation.</w:t>
      </w:r>
      <w:r w:rsidRPr="00015112">
        <w:rPr>
          <w:sz w:val="16"/>
        </w:rPr>
        <w:t xml:space="preserve">89 </w:t>
      </w:r>
      <w:r w:rsidRPr="00015112">
        <w:rPr>
          <w:rStyle w:val="StyleUnderline"/>
        </w:rPr>
        <w:t>Although he acknowledged the success of</w:t>
      </w:r>
      <w:r w:rsidRPr="00015112">
        <w:rPr>
          <w:sz w:val="16"/>
        </w:rPr>
        <w:t xml:space="preserve"> the first decade of </w:t>
      </w:r>
      <w:r w:rsidRPr="00015112">
        <w:rPr>
          <w:rStyle w:val="StyleUnderline"/>
        </w:rPr>
        <w:t>school desegregation</w:t>
      </w:r>
      <w:r w:rsidRPr="00015112">
        <w:rPr>
          <w:sz w:val="16"/>
        </w:rPr>
        <w:t xml:space="preserve"> litigation, Professor </w:t>
      </w:r>
      <w:r w:rsidRPr="00015112">
        <w:rPr>
          <w:rStyle w:val="StyleUnderline"/>
        </w:rPr>
        <w:t>Bell questioned the lack of lawyer accountability to marginalized communities.</w:t>
      </w:r>
      <w:r w:rsidRPr="00015112">
        <w:rPr>
          <w:sz w:val="16"/>
        </w:rPr>
        <w:t xml:space="preserve"> According to Professor Bell, NAACP lawyers continued to employ an advocacy strategy that focused on structural school desegregation, even while many members of the Black community preferred a strategy that would have focused on building quality, though segregated, neighborhood schools.90 He cautioned that social justice advocates failed to acknowledge growing conflicts between what they believed were the long-range goals for their clients and the client’s evolving interests and needs.91 In the end, many members of the impacted community were left feeling marginalized. Professor Bell also suggested that “civil rights lawyers, like their more candid poverty law colleagues, are making decisions, setting priorities, and undertaking responsibilities that should be determined by their clients and shaped by the community.”92 </w:t>
      </w:r>
    </w:p>
    <w:p w14:paraId="53759AD5" w14:textId="77777777" w:rsidR="006C4B0E" w:rsidRPr="00015112" w:rsidRDefault="006C4B0E" w:rsidP="006C4B0E">
      <w:pPr>
        <w:spacing w:after="0"/>
        <w:rPr>
          <w:sz w:val="16"/>
        </w:rPr>
      </w:pPr>
      <w:r w:rsidRPr="00015112">
        <w:rPr>
          <w:rStyle w:val="StyleUnderline"/>
        </w:rPr>
        <w:t xml:space="preserve">Certainly, many lawyers who use litigation as a tool for social change are regnant and paternalistic, but </w:t>
      </w:r>
      <w:r w:rsidRPr="00015112">
        <w:rPr>
          <w:rStyle w:val="Emphasis"/>
        </w:rPr>
        <w:t>these qualities are not inherent</w:t>
      </w:r>
      <w:r w:rsidRPr="00015112">
        <w:rPr>
          <w:rStyle w:val="StyleUnderline"/>
        </w:rPr>
        <w:t xml:space="preserve"> in litigators</w:t>
      </w:r>
      <w:r w:rsidRPr="00015112">
        <w:rPr>
          <w:sz w:val="16"/>
        </w:rPr>
        <w:t xml:space="preserve"> working with marginalized communities.93 </w:t>
      </w:r>
      <w:r w:rsidRPr="00015112">
        <w:rPr>
          <w:rStyle w:val="StyleUnderline"/>
        </w:rPr>
        <w:t>Social justice advocates should have a healthy skepticism about the ability of the law</w:t>
      </w:r>
      <w:r w:rsidRPr="00015112">
        <w:rPr>
          <w:sz w:val="16"/>
        </w:rPr>
        <w:t xml:space="preserve">, standing alone, </w:t>
      </w:r>
      <w:r w:rsidRPr="00015112">
        <w:rPr>
          <w:rStyle w:val="StyleUnderline"/>
        </w:rPr>
        <w:t>to achieve lasting social change.</w:t>
      </w:r>
      <w:r w:rsidRPr="00015112">
        <w:rPr>
          <w:sz w:val="16"/>
        </w:rPr>
        <w:t xml:space="preserve">94 </w:t>
      </w:r>
      <w:r w:rsidRPr="00015112">
        <w:rPr>
          <w:rStyle w:val="StyleUnderline"/>
        </w:rPr>
        <w:t>They should always engage in advocacy that moves the client from the margins to the center.</w:t>
      </w:r>
      <w:r w:rsidRPr="00015112">
        <w:rPr>
          <w:sz w:val="16"/>
        </w:rPr>
        <w:t xml:space="preserve">95 </w:t>
      </w:r>
      <w:r w:rsidRPr="00015112">
        <w:rPr>
          <w:rStyle w:val="Emphasis"/>
        </w:rPr>
        <w:t>But</w:t>
      </w:r>
      <w:r w:rsidRPr="00015112">
        <w:rPr>
          <w:sz w:val="16"/>
        </w:rPr>
        <w:t xml:space="preserve">, </w:t>
      </w:r>
      <w:r w:rsidRPr="00015112">
        <w:rPr>
          <w:rStyle w:val="Emphasis"/>
        </w:rPr>
        <w:t>advocates should</w:t>
      </w:r>
      <w:r w:rsidRPr="00015112">
        <w:rPr>
          <w:sz w:val="16"/>
        </w:rPr>
        <w:t xml:space="preserve"> also </w:t>
      </w:r>
      <w:r w:rsidRPr="00015112">
        <w:rPr>
          <w:rStyle w:val="Emphasis"/>
        </w:rPr>
        <w:t>resist pressure to narrow the definition of what it means to be a great lawyer.</w:t>
      </w:r>
      <w:r w:rsidRPr="00015112">
        <w:rPr>
          <w:sz w:val="16"/>
        </w:rPr>
        <w:t xml:space="preserve"> </w:t>
      </w:r>
      <w:r w:rsidRPr="00015112">
        <w:rPr>
          <w:rStyle w:val="StyleUnderline"/>
        </w:rPr>
        <w:t xml:space="preserve">The discussion of social justice advocacy far too often </w:t>
      </w:r>
      <w:r w:rsidRPr="00015112">
        <w:rPr>
          <w:rStyle w:val="Emphasis"/>
        </w:rPr>
        <w:t>collapses</w:t>
      </w:r>
      <w:r w:rsidRPr="00015112">
        <w:rPr>
          <w:rStyle w:val="StyleUnderline"/>
        </w:rPr>
        <w:t xml:space="preserve"> the framework not only of political lawyering, but </w:t>
      </w:r>
      <w:r w:rsidRPr="00015112">
        <w:rPr>
          <w:rStyle w:val="Emphasis"/>
        </w:rPr>
        <w:t>all advocacy on behalf of poor and marginalized individuals and communities</w:t>
      </w:r>
      <w:r w:rsidRPr="00015112">
        <w:rPr>
          <w:rStyle w:val="StyleUnderline"/>
        </w:rPr>
        <w:t xml:space="preserve">, </w:t>
      </w:r>
      <w:r w:rsidRPr="00015112">
        <w:rPr>
          <w:rStyle w:val="Emphasis"/>
        </w:rPr>
        <w:t>into one that largely rejects the important role that strategic litigation has played and can continue to play in the fight for social justice</w:t>
      </w:r>
      <w:r w:rsidRPr="00015112">
        <w:rPr>
          <w:rStyle w:val="StyleUnderline"/>
        </w:rPr>
        <w:t>.</w:t>
      </w:r>
      <w:r w:rsidRPr="00015112">
        <w:rPr>
          <w:sz w:val="16"/>
        </w:rPr>
        <w:t xml:space="preserve"> </w:t>
      </w:r>
      <w:r w:rsidRPr="00015112">
        <w:rPr>
          <w:rStyle w:val="StyleUnderline"/>
        </w:rPr>
        <w:t xml:space="preserve">The ubiquity of the anti-litigation narrative </w:t>
      </w:r>
      <w:r w:rsidRPr="00015112">
        <w:rPr>
          <w:rStyle w:val="Emphasis"/>
        </w:rPr>
        <w:t>encourages progressive law students</w:t>
      </w:r>
      <w:r w:rsidRPr="00015112">
        <w:rPr>
          <w:sz w:val="16"/>
        </w:rPr>
        <w:t>—and many clinical law professors—</w:t>
      </w:r>
      <w:r w:rsidRPr="00015112">
        <w:rPr>
          <w:rStyle w:val="Emphasis"/>
        </w:rPr>
        <w:t>to dismiss litigation</w:t>
      </w:r>
      <w:r w:rsidRPr="00015112">
        <w:rPr>
          <w:rStyle w:val="StyleUnderline"/>
        </w:rPr>
        <w:t xml:space="preserve"> and its potential for challenging bias and discrimination.</w:t>
      </w:r>
      <w:r w:rsidRPr="00015112">
        <w:rPr>
          <w:sz w:val="16"/>
        </w:rPr>
        <w:t xml:space="preserve"> </w:t>
      </w:r>
      <w:r w:rsidRPr="00015112">
        <w:rPr>
          <w:rStyle w:val="StyleUnderline"/>
        </w:rPr>
        <w:t>Many progressive law students are afraid to become the professionals they envisioned they would be.</w:t>
      </w:r>
      <w:r w:rsidRPr="00015112">
        <w:rPr>
          <w:sz w:val="16"/>
        </w:rPr>
        <w:t>96 They do not want to become the discrimination tourist derided in the literature.</w:t>
      </w:r>
    </w:p>
    <w:p w14:paraId="61C1C3F4" w14:textId="77777777" w:rsidR="006C4B0E" w:rsidRPr="00015112" w:rsidRDefault="006C4B0E" w:rsidP="006C4B0E">
      <w:pPr>
        <w:spacing w:after="0"/>
        <w:rPr>
          <w:sz w:val="16"/>
        </w:rPr>
      </w:pPr>
      <w:r w:rsidRPr="00015112">
        <w:rPr>
          <w:sz w:val="16"/>
        </w:rPr>
        <w:t xml:space="preserve">In response to the critique of social justice litigation, </w:t>
      </w:r>
      <w:r w:rsidRPr="00015112">
        <w:rPr>
          <w:rStyle w:val="Emphasis"/>
        </w:rPr>
        <w:t>there is a growing body of scholarship supporting the conclusion that litigation is a key strategy for protecting and expanding the rights of marginalized communities.</w:t>
      </w:r>
      <w:r w:rsidRPr="00015112">
        <w:rPr>
          <w:sz w:val="16"/>
        </w:rPr>
        <w:t xml:space="preserve">97 </w:t>
      </w:r>
      <w:r w:rsidRPr="00015112">
        <w:rPr>
          <w:rStyle w:val="StyleUnderline"/>
        </w:rPr>
        <w:t xml:space="preserve">This body of scholarship acknowledges that litigation has played a critical role in the struggle for justice and equality, and that it continues to be “an </w:t>
      </w:r>
      <w:r w:rsidRPr="00015112">
        <w:rPr>
          <w:rStyle w:val="Emphasis"/>
        </w:rPr>
        <w:t>imperfect but indispensable strategy of social change</w:t>
      </w:r>
      <w:r w:rsidRPr="00015112">
        <w:rPr>
          <w:rStyle w:val="StyleUnderline"/>
        </w:rPr>
        <w:t>.”</w:t>
      </w:r>
      <w:r w:rsidRPr="00015112">
        <w:rPr>
          <w:sz w:val="16"/>
        </w:rPr>
        <w:t>98 Finally, these scholars examine social justice litigation in the context of the tradeoffs of different forms of activism, evaluating its potential in relation to available alternatives and revealing a new understanding of the link between law and social justice reform.99</w:t>
      </w:r>
    </w:p>
    <w:p w14:paraId="61875B07" w14:textId="77777777" w:rsidR="006C4B0E" w:rsidRPr="00015112" w:rsidRDefault="006C4B0E" w:rsidP="006C4B0E">
      <w:pPr>
        <w:spacing w:after="0"/>
        <w:rPr>
          <w:sz w:val="16"/>
        </w:rPr>
      </w:pPr>
      <w:r w:rsidRPr="00015112">
        <w:rPr>
          <w:rStyle w:val="StyleUnderline"/>
        </w:rPr>
        <w:t xml:space="preserve">The demonization of strategic litigation that persists in many progressive lawyering circles not only contributes to student </w:t>
      </w:r>
      <w:r w:rsidRPr="00015112">
        <w:rPr>
          <w:rStyle w:val="StyleUnderline"/>
          <w:strike/>
        </w:rPr>
        <w:t>paralysis</w:t>
      </w:r>
      <w:r w:rsidRPr="00015112">
        <w:rPr>
          <w:rStyle w:val="StyleUnderline"/>
        </w:rPr>
        <w:t>, it gives them a false sense of what it means to engage in systemic reform litigation</w:t>
      </w:r>
      <w:r w:rsidRPr="00015112">
        <w:rPr>
          <w:sz w:val="16"/>
        </w:rPr>
        <w:t xml:space="preserve"> on behalf of clients and the community. </w:t>
      </w:r>
      <w:r w:rsidRPr="00015112">
        <w:rPr>
          <w:rStyle w:val="StyleUnderline"/>
        </w:rPr>
        <w:t>Many prominent critiques of impact litigation neither provide an accurate depiction of the potential of that litigation, nor educate students on how to apply principles of political lawyering</w:t>
      </w:r>
      <w:r w:rsidRPr="00015112">
        <w:rPr>
          <w:sz w:val="16"/>
        </w:rPr>
        <w:t xml:space="preserve"> to that litigation. Indeed, while Derrick </w:t>
      </w:r>
      <w:r w:rsidRPr="00015112">
        <w:rPr>
          <w:rStyle w:val="Emphasis"/>
        </w:rPr>
        <w:t>Bell</w:t>
      </w:r>
      <w:r w:rsidRPr="00015112">
        <w:rPr>
          <w:sz w:val="16"/>
        </w:rPr>
        <w:t xml:space="preserve"> prominently critiqued the role of strategic litigation in social justice movements, he also </w:t>
      </w:r>
      <w:r w:rsidRPr="00015112">
        <w:rPr>
          <w:rStyle w:val="Emphasis"/>
        </w:rPr>
        <w:t>believed</w:t>
      </w:r>
      <w:r w:rsidRPr="00015112">
        <w:rPr>
          <w:sz w:val="16"/>
        </w:rPr>
        <w:t xml:space="preserve"> that </w:t>
      </w:r>
      <w:r w:rsidRPr="00015112">
        <w:rPr>
          <w:rStyle w:val="Emphasis"/>
        </w:rPr>
        <w:t>litigation</w:t>
      </w:r>
    </w:p>
    <w:p w14:paraId="20BC1142" w14:textId="77777777" w:rsidR="006C4B0E" w:rsidRPr="00015112" w:rsidRDefault="006C4B0E" w:rsidP="006C4B0E">
      <w:pPr>
        <w:spacing w:after="0"/>
        <w:rPr>
          <w:sz w:val="16"/>
        </w:rPr>
      </w:pPr>
      <w:r w:rsidRPr="00015112">
        <w:rPr>
          <w:rStyle w:val="Emphasis"/>
        </w:rPr>
        <w:t>can be an important means of calling attention to perceived injustice</w:t>
      </w:r>
      <w:r w:rsidRPr="00015112">
        <w:rPr>
          <w:sz w:val="16"/>
        </w:rPr>
        <w:t>; more important, . . . litigation presents opportunities for improving the weak economic and political position which renders the black community vulnerable to the specific injustices the litigation is intended to correct. Litigation can and should serve lawyer and client, as a community-organizing tool, an educational forum, a means of obtaining data, a method of exercising political leverage, and a rallying point for public support.100</w:t>
      </w:r>
    </w:p>
    <w:p w14:paraId="69EED229" w14:textId="77777777" w:rsidR="006C4B0E" w:rsidRPr="00015112" w:rsidRDefault="006C4B0E" w:rsidP="006C4B0E">
      <w:pPr>
        <w:spacing w:after="0"/>
        <w:rPr>
          <w:sz w:val="16"/>
        </w:rPr>
      </w:pPr>
      <w:r w:rsidRPr="00015112">
        <w:rPr>
          <w:sz w:val="16"/>
        </w:rPr>
        <w:t xml:space="preserve">Law students should be taught that lawyers who engage in systemic reform litigation, just like any other lawyer, can and should work with and on behalf of those victimized by discrimination. Indeed, despite the one- dimensional picture often painted for law students, not all progressive lawyers believe that “self-help” should be the focus of lawyering on behalf of poor or marginalized communities.101 </w:t>
      </w:r>
      <w:r w:rsidRPr="00015112">
        <w:rPr>
          <w:rStyle w:val="StyleUnderline"/>
        </w:rPr>
        <w:t>Moreover, despite the image of the “interloping advocate who dreams up cases in the home office and then tests them on the community</w:t>
      </w:r>
      <w:r w:rsidRPr="00015112">
        <w:rPr>
          <w:sz w:val="16"/>
        </w:rPr>
        <w:t xml:space="preserve">,” </w:t>
      </w:r>
      <w:r w:rsidRPr="00015112">
        <w:rPr>
          <w:rStyle w:val="StyleUnderline"/>
        </w:rPr>
        <w:t>not all progressive lawyers believe that it is inappropriate for lawyers to independently analyze social justice issues and develop ideas about ways to use the law to bring society closer to justice.</w:t>
      </w:r>
      <w:r w:rsidRPr="00015112">
        <w:rPr>
          <w:sz w:val="16"/>
        </w:rPr>
        <w:t xml:space="preserve"> Indeed, </w:t>
      </w:r>
      <w:r w:rsidRPr="00015112">
        <w:rPr>
          <w:rStyle w:val="Emphasis"/>
        </w:rPr>
        <w:t>“it is artificially constricting to conceive of lawyers as exclusively</w:t>
      </w:r>
      <w:r w:rsidRPr="00015112">
        <w:rPr>
          <w:sz w:val="16"/>
        </w:rPr>
        <w:t xml:space="preserve"> or primarily </w:t>
      </w:r>
      <w:r w:rsidRPr="00015112">
        <w:rPr>
          <w:rStyle w:val="Emphasis"/>
        </w:rPr>
        <w:t>problem-solvers.</w:t>
      </w:r>
      <w:r w:rsidRPr="00015112">
        <w:rPr>
          <w:sz w:val="16"/>
        </w:rPr>
        <w:t xml:space="preserve"> [Lawyers] are not only social mechanics who wait in [their] shops for people to come to [them] with problems to be fixed. [</w:t>
      </w:r>
      <w:r w:rsidRPr="00015112">
        <w:rPr>
          <w:rStyle w:val="Emphasis"/>
        </w:rPr>
        <w:t>Lawyers</w:t>
      </w:r>
      <w:r w:rsidRPr="00015112">
        <w:rPr>
          <w:sz w:val="16"/>
        </w:rPr>
        <w:t xml:space="preserve">] </w:t>
      </w:r>
      <w:r w:rsidRPr="00015112">
        <w:rPr>
          <w:rStyle w:val="Emphasis"/>
        </w:rPr>
        <w:t>should sometimes create problems.</w:t>
      </w:r>
      <w:r w:rsidRPr="00015112">
        <w:rPr>
          <w:sz w:val="16"/>
        </w:rPr>
        <w:t xml:space="preserve"> [Lawyers] should sometimes </w:t>
      </w:r>
      <w:r w:rsidRPr="00015112">
        <w:rPr>
          <w:rStyle w:val="Emphasis"/>
        </w:rPr>
        <w:t>deliver problems by translating people’s anger and hurt and insistence on justice into political as well as legal action.”</w:t>
      </w:r>
      <w:r w:rsidRPr="00015112">
        <w:rPr>
          <w:sz w:val="16"/>
        </w:rPr>
        <w:t xml:space="preserve">102 </w:t>
      </w:r>
      <w:r w:rsidRPr="00015112">
        <w:rPr>
          <w:rStyle w:val="Emphasis"/>
        </w:rPr>
        <w:t>Many</w:t>
      </w:r>
      <w:r w:rsidRPr="00015112">
        <w:rPr>
          <w:rStyle w:val="StyleUnderline"/>
        </w:rPr>
        <w:t xml:space="preserve"> great advocacy ideas </w:t>
      </w:r>
      <w:r w:rsidRPr="00015112">
        <w:rPr>
          <w:rStyle w:val="Emphasis"/>
        </w:rPr>
        <w:t>bubble up from the community</w:t>
      </w:r>
      <w:r w:rsidRPr="00015112">
        <w:rPr>
          <w:rStyle w:val="StyleUnderline"/>
        </w:rPr>
        <w:t xml:space="preserve">, </w:t>
      </w:r>
      <w:r w:rsidRPr="00015112">
        <w:rPr>
          <w:rStyle w:val="Emphasis"/>
        </w:rPr>
        <w:t>but</w:t>
      </w:r>
      <w:r w:rsidRPr="00015112">
        <w:rPr>
          <w:rStyle w:val="StyleUnderline"/>
        </w:rPr>
        <w:t xml:space="preserve"> </w:t>
      </w:r>
      <w:r w:rsidRPr="00015112">
        <w:rPr>
          <w:rStyle w:val="Emphasis"/>
        </w:rPr>
        <w:t>equally valid ideas can come from advocates</w:t>
      </w:r>
      <w:r w:rsidRPr="00015112">
        <w:rPr>
          <w:rStyle w:val="StyleUnderline"/>
        </w:rPr>
        <w:t xml:space="preserve"> who have been working with and for those communities</w:t>
      </w:r>
      <w:r w:rsidRPr="00015112">
        <w:rPr>
          <w:sz w:val="16"/>
        </w:rPr>
        <w:t xml:space="preserve"> (or are members of the community themselves). Progressive advocates must be prepared to provide legal assistance to clients even when those clients do not wish to be active participants in the advocacy. That is embracing the core meaning of client-centered lawyering. </w:t>
      </w:r>
      <w:r w:rsidRPr="00015112">
        <w:rPr>
          <w:rStyle w:val="StyleUnderline"/>
        </w:rPr>
        <w:t>Rather than being taught to avoid litigation at all costs, progressive law students need to learn how they can partner with victims of discrimination and be accountable to those victims in the context of litigation.</w:t>
      </w:r>
      <w:r w:rsidRPr="00015112">
        <w:rPr>
          <w:sz w:val="16"/>
        </w:rPr>
        <w:t xml:space="preserve"> They need to learn the skills of collaborative leadership in law.103</w:t>
      </w:r>
    </w:p>
    <w:p w14:paraId="0A017026" w14:textId="77777777" w:rsidR="006C4B0E" w:rsidRPr="00015112" w:rsidRDefault="006C4B0E" w:rsidP="006C4B0E">
      <w:pPr>
        <w:spacing w:after="0"/>
        <w:rPr>
          <w:sz w:val="16"/>
        </w:rPr>
      </w:pPr>
      <w:r w:rsidRPr="00015112">
        <w:rPr>
          <w:rStyle w:val="Emphasis"/>
        </w:rPr>
        <w:t>Advocates should</w:t>
      </w:r>
      <w:r w:rsidRPr="00015112">
        <w:rPr>
          <w:sz w:val="16"/>
        </w:rPr>
        <w:t xml:space="preserve"> also </w:t>
      </w:r>
      <w:r w:rsidRPr="00015112">
        <w:rPr>
          <w:rStyle w:val="Emphasis"/>
        </w:rPr>
        <w:t>be careful about</w:t>
      </w:r>
      <w:r w:rsidRPr="00015112">
        <w:rPr>
          <w:sz w:val="16"/>
        </w:rPr>
        <w:t xml:space="preserve"> advancing </w:t>
      </w:r>
      <w:r w:rsidRPr="00015112">
        <w:rPr>
          <w:rStyle w:val="Emphasis"/>
        </w:rPr>
        <w:t>a one-size-fits-all model of advocacy</w:t>
      </w:r>
      <w:r w:rsidRPr="00015112">
        <w:rPr>
          <w:sz w:val="16"/>
        </w:rPr>
        <w:t xml:space="preserve">,104 </w:t>
      </w:r>
      <w:r w:rsidRPr="00015112">
        <w:rPr>
          <w:rStyle w:val="StyleUnderline"/>
        </w:rPr>
        <w:t>lumping everything together under the “social justice advocacy” moniker or work on behalf of the “poor and disadvantaged” and assuming that one advocacy approach will work to solve all problems.</w:t>
      </w:r>
      <w:r w:rsidRPr="00015112">
        <w:rPr>
          <w:sz w:val="16"/>
        </w:rPr>
        <w:t xml:space="preserve"> Sometimes using “social justice” to refer to all of the work being done on behalf of poor and marginalized communities is the right thing to do—it unifies all of those who are fighting injustice on varying fronts. But, it can be harmful when discussing what advocacy tools will be most effective. </w:t>
      </w:r>
      <w:r w:rsidRPr="00015112">
        <w:rPr>
          <w:rStyle w:val="Emphasis"/>
        </w:rPr>
        <w:t>Given the many forms that discrimination takes and the many communities</w:t>
      </w:r>
      <w:r w:rsidRPr="00015112">
        <w:rPr>
          <w:sz w:val="16"/>
        </w:rPr>
        <w:t xml:space="preserve"> subject to discrimination, law professors should </w:t>
      </w:r>
      <w:r w:rsidRPr="00015112">
        <w:rPr>
          <w:rStyle w:val="StyleUnderline"/>
        </w:rPr>
        <w:t>caution students to be suspicious about broad generalizations about what clients always need or do not need, and what lawyers always should or should not do.</w:t>
      </w:r>
      <w:r w:rsidRPr="00015112">
        <w:rPr>
          <w:sz w:val="16"/>
        </w:rPr>
        <w:t xml:space="preserve"> </w:t>
      </w:r>
      <w:r w:rsidRPr="00015112">
        <w:rPr>
          <w:rStyle w:val="Emphasis"/>
        </w:rPr>
        <w:t>There is no universal theory about how to represent disadvantaged or marginalized people.</w:t>
      </w:r>
      <w:r w:rsidRPr="00015112">
        <w:rPr>
          <w:sz w:val="16"/>
        </w:rPr>
        <w:t xml:space="preserve"> </w:t>
      </w:r>
      <w:r w:rsidRPr="00015112">
        <w:rPr>
          <w:rStyle w:val="Emphasis"/>
        </w:rPr>
        <w:t>What works in the fight for economic justice may not be the best strategy to achieving racial justice.</w:t>
      </w:r>
      <w:r w:rsidRPr="00015112">
        <w:rPr>
          <w:sz w:val="16"/>
        </w:rPr>
        <w:t xml:space="preserve">105 </w:t>
      </w:r>
      <w:r w:rsidRPr="00015112">
        <w:rPr>
          <w:rStyle w:val="Emphasis"/>
        </w:rPr>
        <w:t>And what may be appropriate to help one victim of racial discrimination may not work for another.</w:t>
      </w:r>
      <w:r w:rsidRPr="00015112">
        <w:rPr>
          <w:sz w:val="16"/>
        </w:rPr>
        <w:t xml:space="preserve"> </w:t>
      </w:r>
      <w:r w:rsidRPr="00015112">
        <w:rPr>
          <w:rStyle w:val="Emphasis"/>
        </w:rPr>
        <w:t>There is room for all types of advocates and advocacy.</w:t>
      </w:r>
      <w:r w:rsidRPr="00015112">
        <w:rPr>
          <w:sz w:val="16"/>
        </w:rPr>
        <w:t>106 All advocates can be a part of the circle of human concern.107</w:t>
      </w:r>
    </w:p>
    <w:p w14:paraId="743821F1" w14:textId="77777777" w:rsidR="006C4B0E" w:rsidRPr="00015112" w:rsidRDefault="006C4B0E" w:rsidP="006C4B0E">
      <w:pPr>
        <w:spacing w:after="0"/>
        <w:rPr>
          <w:sz w:val="10"/>
          <w:szCs w:val="10"/>
        </w:rPr>
      </w:pPr>
      <w:r w:rsidRPr="00015112">
        <w:rPr>
          <w:sz w:val="10"/>
          <w:szCs w:val="10"/>
        </w:rPr>
        <w:t>3. The Preferred Model: Individual Representation</w:t>
      </w:r>
    </w:p>
    <w:p w14:paraId="287B06F9" w14:textId="77777777" w:rsidR="006C4B0E" w:rsidRPr="00015112" w:rsidRDefault="006C4B0E" w:rsidP="006C4B0E">
      <w:pPr>
        <w:spacing w:after="0"/>
        <w:rPr>
          <w:sz w:val="10"/>
          <w:szCs w:val="10"/>
        </w:rPr>
      </w:pPr>
      <w:r w:rsidRPr="00015112">
        <w:rPr>
          <w:sz w:val="10"/>
          <w:szCs w:val="10"/>
        </w:rPr>
        <w:t>Representing individual clients in small, manageable cases where students retain primary control has long been the preferred vehicle for teaching students to effectively address their clients’ legal problems.108 But many clinical programs focused on representing individual clients are not providing opportunities for students to learn how to utilize the law effectively to challenge systemic discrimination. In addition to teaching foundational lawyering skills like client interviewing, counseling, and fact investigation, clinics should also provide opportunities to teach complex and multi- dimensional lawyering skills.109 As this Section demonstrates, the clinical community’s disproportionate focus on micro-lawyering skills may be hampering the ability of students to focus on the political and social functions of the law and the structural dimensions of the problems facing client communities.110</w:t>
      </w:r>
    </w:p>
    <w:p w14:paraId="12C75201" w14:textId="77777777" w:rsidR="006C4B0E" w:rsidRPr="00015112" w:rsidRDefault="006C4B0E" w:rsidP="006C4B0E">
      <w:pPr>
        <w:spacing w:after="0"/>
        <w:rPr>
          <w:sz w:val="10"/>
          <w:szCs w:val="10"/>
        </w:rPr>
      </w:pPr>
      <w:r w:rsidRPr="00015112">
        <w:rPr>
          <w:sz w:val="10"/>
          <w:szCs w:val="10"/>
        </w:rPr>
        <w:t>The founding goals of clinical legal education were to provide law students the opportunity to learn the skills necessary to practice law and provide quality legal services to the poor.111 These origins closely shaped the development of clinical pedagogy and its current emphasis on individual representation.112 Small cases allow law students to have the primary relationship with the client, manage the case from beginning to end, and analyze relatively straightforward legal issues—all core principles of clinical pedagogy.113 The reliance on small cases also provides students with the invaluable opportunity to reflect deeply on the choices advocates make in creating and maintaining lawyer-client relationships.114</w:t>
      </w:r>
    </w:p>
    <w:p w14:paraId="03A1B826" w14:textId="77777777" w:rsidR="006C4B0E" w:rsidRPr="00015112" w:rsidRDefault="006C4B0E" w:rsidP="006C4B0E">
      <w:pPr>
        <w:spacing w:after="0"/>
        <w:rPr>
          <w:sz w:val="10"/>
          <w:szCs w:val="10"/>
        </w:rPr>
      </w:pPr>
      <w:r w:rsidRPr="00015112">
        <w:rPr>
          <w:sz w:val="10"/>
          <w:szCs w:val="10"/>
        </w:rPr>
        <w:t>In the early years of the clinical legal education movement, most clinical law professors came from legal services organizations and brought with them a preference for the individual client representation that dominated legal services practice.115 Clinical professors embody their learning objectives in their case selection116 and must prioritize some lawyering skills over others because there are limits to what can be learned in a single clinical course.117 In focusing on small cases, early clinicians understandably prioritized the skills they knew to be critical to their own work on behalf of poor individuals.</w:t>
      </w:r>
    </w:p>
    <w:p w14:paraId="6E223DBA" w14:textId="77777777" w:rsidR="006C4B0E" w:rsidRPr="00015112" w:rsidRDefault="006C4B0E" w:rsidP="006C4B0E">
      <w:pPr>
        <w:spacing w:after="0"/>
        <w:rPr>
          <w:sz w:val="10"/>
          <w:szCs w:val="10"/>
        </w:rPr>
      </w:pPr>
      <w:r w:rsidRPr="00015112">
        <w:rPr>
          <w:sz w:val="10"/>
          <w:szCs w:val="10"/>
        </w:rPr>
        <w:t>Today, clinical professors come to teaching from a broader array of professional backgrounds, and unsurprisingly want to bring their experiences into the classroom. They should be encouraged to make clinic design choices and set educational goals for their students based on the skills and knowledge they know to be necessary for success in their own practice areas. To many, the approaches clinical professors adopted at the beginning of the clinical legal education movement are not the answers to the questions and challenges our students face today. An exclusive reliance on small cases, though they are extremely valuable teaching tools, fails many students because small cases offer limited opportunities to teach a broad array of lawyering skills, including the skills critical to challenging systemic injustice.118 Of course, small cases have value—for the client and student both. But, in the new normal, they are often not enough to carry the weight of change.</w:t>
      </w:r>
    </w:p>
    <w:p w14:paraId="32A7040E" w14:textId="77777777" w:rsidR="006C4B0E" w:rsidRPr="00015112" w:rsidRDefault="006C4B0E" w:rsidP="006C4B0E">
      <w:pPr>
        <w:spacing w:after="0"/>
        <w:rPr>
          <w:sz w:val="10"/>
          <w:szCs w:val="10"/>
        </w:rPr>
      </w:pPr>
      <w:r w:rsidRPr="00015112">
        <w:rPr>
          <w:sz w:val="10"/>
          <w:szCs w:val="10"/>
        </w:rPr>
        <w:t>“Social justice work is rarely easy, clean, or pretty.”119 It can be downright messy and clinics should not shield students from its messiness. Working on larger, more complex cases exposes students to more of the skills necessary to fight for structural change.120 They can learn to exercise intellectual autonomy and to integrate conceptual thinking in their advocacy.121 They teach students how to achieve client objectives while also advancing broader social justice goals. Finally, in complex cases where litigation is a viable option, students are exposed to fundamental questions such as what claims to assert, where to file, who to represent, and who to sue. Students cannot be practice ready without some exposure to these skills.</w:t>
      </w:r>
    </w:p>
    <w:p w14:paraId="4C534DC0" w14:textId="77777777" w:rsidR="006C4B0E" w:rsidRPr="00015112" w:rsidRDefault="006C4B0E" w:rsidP="006C4B0E">
      <w:pPr>
        <w:spacing w:after="0"/>
        <w:rPr>
          <w:sz w:val="10"/>
          <w:szCs w:val="10"/>
        </w:rPr>
      </w:pPr>
      <w:r w:rsidRPr="00015112">
        <w:rPr>
          <w:sz w:val="10"/>
          <w:szCs w:val="10"/>
        </w:rPr>
        <w:t>Some clinical legal educators have questioned the traditional model of clinical education, arguing instead for engaging in work with a broader social justice impact.122 One basis for this argument, for example, is that “case- centered clinics are primarily accountable to students and law school administrators, rather than clients, and fail to serve political collectives.”123 In this conception, clinics prioritize student interests over community interests by accepting only those cases over which students will have full responsibility and reject more complex cases where the students’ limited skills would make that impossible. This is done even when the communities’ interests—and thus the cause of social justice—would be better served by the more complex cases.124 While this critique is framed in terms of benefits to students versus losses to social justice, there is indeed a loss to students as well.</w:t>
      </w:r>
    </w:p>
    <w:p w14:paraId="32DA8F39" w14:textId="77777777" w:rsidR="006C4B0E" w:rsidRPr="00015112" w:rsidRDefault="006C4B0E" w:rsidP="006C4B0E">
      <w:pPr>
        <w:spacing w:after="0"/>
        <w:rPr>
          <w:sz w:val="10"/>
          <w:szCs w:val="10"/>
        </w:rPr>
      </w:pPr>
      <w:r w:rsidRPr="00015112">
        <w:rPr>
          <w:sz w:val="10"/>
          <w:szCs w:val="10"/>
        </w:rPr>
        <w:t>Clinical legal educators who are teaching the next generation of social and racial justice advocates should help students understand the current legal framework for equality, and develop the ability to utilize that framework creatively on behalf of their clients. But, students also have to learn to transcend and reimagine current institutional frames, to conceptualize avenues for relief, create new narratives, and pull together the building blocks of a new legal framework to establish rights that did not exist before. Indeed, many of the challenges facing America today require reimagining justice from the ground up. Future social justice advocates must have social vision—“vision-making work is fundamental to the activist strategies political lawyering inevitably embodies.”125</w:t>
      </w:r>
    </w:p>
    <w:p w14:paraId="05B55AB2" w14:textId="77777777" w:rsidR="006C4B0E" w:rsidRPr="00015112" w:rsidRDefault="006C4B0E" w:rsidP="006C4B0E">
      <w:pPr>
        <w:spacing w:after="0"/>
        <w:rPr>
          <w:sz w:val="10"/>
          <w:szCs w:val="10"/>
        </w:rPr>
      </w:pPr>
      <w:r w:rsidRPr="00015112">
        <w:rPr>
          <w:sz w:val="10"/>
          <w:szCs w:val="10"/>
        </w:rPr>
        <w:t>Charles Hamilton Houston not only taught his law students to conceive that separate can never be equal, he taught them how to develop a legal theory in support of that idea and then to develop an integrated advocacy strategy, including complex litigation, to give that theory legal effect. “The process of linking strategy to political vision always requires adaptation and a detailed understanding of particular contexts for its effectiveness.”126 Moreover, as students move from theory to legal reality, they have to understand the skills required to genuinely engage the community. Indeed, “it is no simple matter to reconcile commitment to both clients and a larger social vision or to navigate the boundary between the insider and outsider communities in which political lawyers work.”127</w:t>
      </w:r>
    </w:p>
    <w:p w14:paraId="1965221A" w14:textId="77777777" w:rsidR="006C4B0E" w:rsidRPr="00015112" w:rsidRDefault="006C4B0E" w:rsidP="006C4B0E">
      <w:pPr>
        <w:spacing w:after="0"/>
        <w:rPr>
          <w:sz w:val="10"/>
          <w:szCs w:val="10"/>
        </w:rPr>
      </w:pPr>
      <w:r w:rsidRPr="00015112">
        <w:rPr>
          <w:sz w:val="10"/>
          <w:szCs w:val="10"/>
        </w:rPr>
        <w:t>There are, of course, trade-offs involved in engaging clinical students in impact advocacy, both for the student and the teacher.128 Many clinical faculty have expressed concerns that systemic reform work and complex vocacy matters require too high a cost to core pedagogical goals.129 There is a sense that “big cases” may achieve important social justice goals, but use student tuition to finance political goals without attendant benefits to the students’ education.130 According to this line of critique, if the fundamental goal of clinical legal education is the education of students, clinical education needs to continue to focus on small cases that allow for complete student ownership, with a student seeing the case through from beginning to end.131 Many clinicians believe that complete student ownership from beginning to end is critical to an effective clinical experience, and that this level of student ownership is not possible in big cases.132</w:t>
      </w:r>
    </w:p>
    <w:p w14:paraId="57DA0534" w14:textId="77777777" w:rsidR="006C4B0E" w:rsidRPr="00015112" w:rsidRDefault="006C4B0E" w:rsidP="006C4B0E">
      <w:pPr>
        <w:spacing w:after="0"/>
        <w:rPr>
          <w:sz w:val="10"/>
          <w:szCs w:val="10"/>
        </w:rPr>
      </w:pPr>
      <w:r w:rsidRPr="00015112">
        <w:rPr>
          <w:sz w:val="10"/>
          <w:szCs w:val="10"/>
        </w:rPr>
        <w:t>The problem with this argument is that giving clinic students sole control of a case from beginning to end is not the only way to maximize student learning. Close collaboration with clinical educators, fellow students, clients, and other collaborators offers rich opportunities for student learning. Working with those collaborators to evaluate a complex problem, consider whether a litigation strategy is appropriate, and implementing that strategy, is precisely the kind of experience students will need to master in political lawyering practice. If clinical programs want to ensure that social justice students develop the skills and values necessary to be responsible and effective lawyers before they graduate, students should have the opportunity to be exposed to advocacy models beyond individual client representation. Otherwise, clinics are missing an opportunity to teach students to embrace and engage in social justice work broadly.</w:t>
      </w:r>
    </w:p>
    <w:p w14:paraId="620679D9" w14:textId="77777777" w:rsidR="006C4B0E" w:rsidRPr="00015112" w:rsidRDefault="006C4B0E" w:rsidP="006C4B0E">
      <w:pPr>
        <w:spacing w:after="0"/>
        <w:rPr>
          <w:sz w:val="10"/>
          <w:szCs w:val="10"/>
        </w:rPr>
      </w:pPr>
      <w:r w:rsidRPr="00015112">
        <w:rPr>
          <w:sz w:val="10"/>
          <w:szCs w:val="10"/>
        </w:rPr>
        <w:t>II. REFRAMING POLITICAL LAWYERING FOR THE 21ST CENTURY</w:t>
      </w:r>
    </w:p>
    <w:p w14:paraId="2D7D717E" w14:textId="77777777" w:rsidR="006C4B0E" w:rsidRPr="00015112" w:rsidRDefault="006C4B0E" w:rsidP="006C4B0E">
      <w:pPr>
        <w:spacing w:after="0"/>
        <w:rPr>
          <w:sz w:val="10"/>
          <w:szCs w:val="10"/>
        </w:rPr>
      </w:pPr>
      <w:r w:rsidRPr="00015112">
        <w:rPr>
          <w:sz w:val="10"/>
          <w:szCs w:val="10"/>
        </w:rPr>
        <w:t>Modern social problems present new challenges for political lawyers. As such, political lawyers must evaluate the tools an earlier generation of political lawyers used to determine how to employ them in light of changed conditions. Social justice advocates have destabilized the dominant understanding of lawyering.133 Modern political lawyering must continue that process of destabilization, exploring alternatives to the way lawyers marshal social and economic capital, make strategic decisions, and transgress current structures and constraints.134 Political lawyering advocates should also question attempts to constrict the understanding of what lawyering tools can be employed in service to communities and in furtherance of justice.</w:t>
      </w:r>
    </w:p>
    <w:p w14:paraId="4077CBAF" w14:textId="77777777" w:rsidR="006C4B0E" w:rsidRPr="00015112" w:rsidRDefault="006C4B0E" w:rsidP="006C4B0E">
      <w:pPr>
        <w:spacing w:after="0"/>
        <w:rPr>
          <w:sz w:val="10"/>
          <w:szCs w:val="10"/>
        </w:rPr>
      </w:pPr>
      <w:r w:rsidRPr="00015112">
        <w:rPr>
          <w:sz w:val="10"/>
          <w:szCs w:val="10"/>
        </w:rPr>
        <w:t>A. Expanding the Advocacy Perspective</w:t>
      </w:r>
    </w:p>
    <w:p w14:paraId="4ECDDB67" w14:textId="77777777" w:rsidR="006C4B0E" w:rsidRPr="00015112" w:rsidRDefault="006C4B0E" w:rsidP="006C4B0E">
      <w:pPr>
        <w:spacing w:after="0"/>
        <w:rPr>
          <w:sz w:val="16"/>
        </w:rPr>
      </w:pPr>
      <w:r w:rsidRPr="00015112">
        <w:rPr>
          <w:rStyle w:val="StyleUnderline"/>
        </w:rPr>
        <w:t>At the core of</w:t>
      </w:r>
      <w:r w:rsidRPr="00015112">
        <w:rPr>
          <w:sz w:val="16"/>
        </w:rPr>
        <w:t xml:space="preserve"> Derrick </w:t>
      </w:r>
      <w:r w:rsidRPr="00015112">
        <w:rPr>
          <w:rStyle w:val="StyleUnderline"/>
        </w:rPr>
        <w:t>Bell’s critique</w:t>
      </w:r>
      <w:r w:rsidRPr="00015112">
        <w:rPr>
          <w:sz w:val="16"/>
        </w:rPr>
        <w:t xml:space="preserve"> of the latter stages of the campaign to desegregate public education </w:t>
      </w:r>
      <w:r w:rsidRPr="00015112">
        <w:rPr>
          <w:rStyle w:val="StyleUnderline"/>
        </w:rPr>
        <w:t>is</w:t>
      </w:r>
      <w:r w:rsidRPr="00015112">
        <w:rPr>
          <w:sz w:val="16"/>
        </w:rPr>
        <w:t xml:space="preserve"> the </w:t>
      </w:r>
      <w:r w:rsidRPr="00015112">
        <w:rPr>
          <w:rStyle w:val="StyleUnderline"/>
        </w:rPr>
        <w:t>divergence</w:t>
      </w:r>
      <w:r w:rsidRPr="00015112">
        <w:rPr>
          <w:sz w:val="16"/>
        </w:rPr>
        <w:t xml:space="preserve"> he saw </w:t>
      </w:r>
      <w:r w:rsidRPr="00015112">
        <w:rPr>
          <w:rStyle w:val="StyleUnderline"/>
        </w:rPr>
        <w:t>between</w:t>
      </w:r>
      <w:r w:rsidRPr="00015112">
        <w:rPr>
          <w:sz w:val="16"/>
        </w:rPr>
        <w:t xml:space="preserve"> the </w:t>
      </w:r>
      <w:r w:rsidRPr="00015112">
        <w:rPr>
          <w:rStyle w:val="StyleUnderline"/>
        </w:rPr>
        <w:t>interests</w:t>
      </w:r>
      <w:r w:rsidRPr="00015112">
        <w:rPr>
          <w:sz w:val="16"/>
        </w:rPr>
        <w:t xml:space="preserve"> of NAACP lawyers and those of certain segments of the Black community that evolved after the launch of the school desegregation campaign.135 In many ways, this divergence was the result of a failure to communicate. </w:t>
      </w:r>
      <w:r w:rsidRPr="00015112">
        <w:rPr>
          <w:rStyle w:val="StyleUnderline"/>
        </w:rPr>
        <w:t>To effectively engage in the integrated advocacy central to political lawyering</w:t>
      </w:r>
      <w:r w:rsidRPr="00015112">
        <w:rPr>
          <w:sz w:val="16"/>
        </w:rPr>
        <w:t xml:space="preserve">, </w:t>
      </w:r>
      <w:r w:rsidRPr="00015112">
        <w:rPr>
          <w:rStyle w:val="StyleUnderline"/>
        </w:rPr>
        <w:t>those engaged</w:t>
      </w:r>
      <w:r w:rsidRPr="00015112">
        <w:rPr>
          <w:sz w:val="16"/>
        </w:rPr>
        <w:t xml:space="preserve"> in individual representation, strategic litigation, legislative advocacy, community organizing, public education, direct action, and other forms of advocacy must remain in constant conversation. They </w:t>
      </w:r>
      <w:r w:rsidRPr="00015112">
        <w:rPr>
          <w:rStyle w:val="StyleUnderline"/>
        </w:rPr>
        <w:t>must</w:t>
      </w:r>
      <w:r w:rsidRPr="00015112">
        <w:rPr>
          <w:sz w:val="16"/>
        </w:rPr>
        <w:t xml:space="preserve"> also </w:t>
      </w:r>
      <w:r w:rsidRPr="00015112">
        <w:rPr>
          <w:rStyle w:val="StyleUnderline"/>
        </w:rPr>
        <w:t>use their work to facilitate a constant dialogue between the community, courts, government agencies, and legislatures</w:t>
      </w:r>
      <w:r w:rsidRPr="00015112">
        <w:rPr>
          <w:sz w:val="16"/>
        </w:rPr>
        <w:t xml:space="preserve"> at the local, state, and national levels.</w:t>
      </w:r>
    </w:p>
    <w:p w14:paraId="4A66EEA9" w14:textId="77777777" w:rsidR="006C4B0E" w:rsidRPr="00015112" w:rsidRDefault="006C4B0E" w:rsidP="006C4B0E">
      <w:pPr>
        <w:spacing w:after="0"/>
        <w:rPr>
          <w:sz w:val="16"/>
        </w:rPr>
      </w:pPr>
    </w:p>
    <w:p w14:paraId="158D94C2" w14:textId="26CB72EA" w:rsidR="006C4B0E" w:rsidRPr="00015112" w:rsidRDefault="00214FB3" w:rsidP="006C4B0E">
      <w:pPr>
        <w:pStyle w:val="Heading3"/>
      </w:pPr>
      <w:r w:rsidRPr="00015112">
        <w:t xml:space="preserve">2AC – </w:t>
      </w:r>
      <w:r w:rsidR="006C4B0E" w:rsidRPr="00015112">
        <w:t xml:space="preserve">Scenario Planning Good </w:t>
      </w:r>
    </w:p>
    <w:p w14:paraId="739080E2" w14:textId="77777777" w:rsidR="006C4B0E" w:rsidRPr="00015112" w:rsidRDefault="006C4B0E" w:rsidP="006C4B0E">
      <w:pPr>
        <w:pStyle w:val="Heading4"/>
      </w:pPr>
      <w:r w:rsidRPr="00015112">
        <w:t xml:space="preserve">Simulating scenarios is vital to prevent them – breaks down biases and opens up possibility for imagining new worlds </w:t>
      </w:r>
    </w:p>
    <w:p w14:paraId="09AD56F7" w14:textId="77777777" w:rsidR="006C4B0E" w:rsidRPr="00015112" w:rsidRDefault="006C4B0E" w:rsidP="006C4B0E">
      <w:r w:rsidRPr="00015112">
        <w:rPr>
          <w:b/>
          <w:sz w:val="24"/>
          <w:szCs w:val="24"/>
        </w:rPr>
        <w:t>Baum et al. ‘18</w:t>
      </w:r>
      <w:r w:rsidRPr="00015112">
        <w:t xml:space="preserve"> (</w:t>
      </w:r>
      <w:r w:rsidRPr="00015112">
        <w:rPr>
          <w:sz w:val="18"/>
          <w:szCs w:val="18"/>
        </w:rPr>
        <w:t>Global Catastrophic Risk Institute. 2018. “A Model for the Probability of Nuclear War.” SSRN Electronic Journal. Crossref, doi:10.2139/ssrn.3137081.)</w:t>
      </w:r>
    </w:p>
    <w:p w14:paraId="59EDF4C1" w14:textId="77777777" w:rsidR="006C4B0E" w:rsidRPr="00015112" w:rsidRDefault="006C4B0E" w:rsidP="006C4B0E">
      <w:pPr>
        <w:rPr>
          <w:sz w:val="16"/>
        </w:rPr>
      </w:pPr>
      <w:r w:rsidRPr="00015112">
        <w:rPr>
          <w:sz w:val="16"/>
        </w:rPr>
        <w:t xml:space="preserve">For </w:t>
      </w:r>
      <w:r w:rsidRPr="00015112">
        <w:rPr>
          <w:rStyle w:val="StyleUnderline"/>
        </w:rPr>
        <w:t>as long as some</w:t>
      </w:r>
      <w:r w:rsidRPr="00015112">
        <w:rPr>
          <w:sz w:val="16"/>
        </w:rPr>
        <w:t xml:space="preserve"> states </w:t>
      </w:r>
      <w:r w:rsidRPr="00015112">
        <w:rPr>
          <w:rStyle w:val="StyleUnderline"/>
        </w:rPr>
        <w:t xml:space="preserve">possess </w:t>
      </w:r>
      <w:r w:rsidRPr="00015112">
        <w:rPr>
          <w:rStyle w:val="Emphasis"/>
        </w:rPr>
        <w:t>nuc</w:t>
      </w:r>
      <w:r w:rsidRPr="00015112">
        <w:rPr>
          <w:rStyle w:val="StyleUnderline"/>
        </w:rPr>
        <w:t>lear weapon</w:t>
      </w:r>
      <w:r w:rsidRPr="00015112">
        <w:rPr>
          <w:rStyle w:val="Emphasis"/>
        </w:rPr>
        <w:t>s</w:t>
      </w:r>
      <w:r w:rsidRPr="00015112">
        <w:rPr>
          <w:rStyle w:val="StyleUnderline"/>
        </w:rPr>
        <w:t>, there will be some chance that these weapons will be used in war</w:t>
      </w:r>
      <w:r w:rsidRPr="00015112">
        <w:rPr>
          <w:sz w:val="16"/>
        </w:rPr>
        <w:t xml:space="preserve">. </w:t>
      </w:r>
      <w:r w:rsidRPr="00015112">
        <w:rPr>
          <w:rStyle w:val="Emphasis"/>
        </w:rPr>
        <w:t>How high</w:t>
      </w:r>
      <w:r w:rsidRPr="00015112">
        <w:rPr>
          <w:rStyle w:val="StyleUnderline"/>
        </w:rPr>
        <w:t xml:space="preserve"> of a chance this is</w:t>
      </w:r>
      <w:r w:rsidRPr="00015112">
        <w:rPr>
          <w:sz w:val="16"/>
        </w:rPr>
        <w:t>—the ongoing rate of nuclear war, or its probability over some time period—</w:t>
      </w:r>
      <w:r w:rsidRPr="00015112">
        <w:rPr>
          <w:rStyle w:val="StyleUnderline"/>
        </w:rPr>
        <w:t>is</w:t>
      </w:r>
      <w:r w:rsidRPr="00015112">
        <w:rPr>
          <w:sz w:val="16"/>
        </w:rPr>
        <w:t xml:space="preserve"> an </w:t>
      </w:r>
      <w:r w:rsidRPr="00015112">
        <w:rPr>
          <w:rStyle w:val="Emphasis"/>
        </w:rPr>
        <w:t>important</w:t>
      </w:r>
      <w:r w:rsidRPr="00015112">
        <w:rPr>
          <w:sz w:val="16"/>
        </w:rPr>
        <w:t xml:space="preserve"> </w:t>
      </w:r>
      <w:r w:rsidRPr="00015112">
        <w:rPr>
          <w:rStyle w:val="StyleUnderline"/>
        </w:rPr>
        <w:t>factor</w:t>
      </w:r>
      <w:r w:rsidRPr="00015112">
        <w:rPr>
          <w:sz w:val="16"/>
        </w:rPr>
        <w:t xml:space="preserve"> </w:t>
      </w:r>
      <w:r w:rsidRPr="00015112">
        <w:rPr>
          <w:rStyle w:val="StyleUnderline"/>
        </w:rPr>
        <w:t>in</w:t>
      </w:r>
      <w:r w:rsidRPr="00015112">
        <w:rPr>
          <w:sz w:val="16"/>
        </w:rPr>
        <w:t xml:space="preserve"> </w:t>
      </w:r>
      <w:r w:rsidRPr="00015112">
        <w:rPr>
          <w:rStyle w:val="Emphasis"/>
        </w:rPr>
        <w:t>several major policy issues</w:t>
      </w:r>
      <w:r w:rsidRPr="00015112">
        <w:rPr>
          <w:sz w:val="16"/>
        </w:rPr>
        <w:t xml:space="preserve">. However, there have been few attempts to model or quantify this probability. This paper presents a detailed model of nuclear war that can be used to understand and quantify the probability of nuclear war. This paper stops short of quantifying the probability because that would require more detailed analysis than one paper can provide. However, some important conclusions are nonetheless obtainable. First and foremost, </w:t>
      </w:r>
      <w:r w:rsidRPr="00015112">
        <w:rPr>
          <w:rStyle w:val="StyleUnderline"/>
        </w:rPr>
        <w:t>the</w:t>
      </w:r>
      <w:r w:rsidRPr="00015112">
        <w:rPr>
          <w:sz w:val="16"/>
        </w:rPr>
        <w:t xml:space="preserve"> </w:t>
      </w:r>
      <w:r w:rsidRPr="00015112">
        <w:rPr>
          <w:rStyle w:val="Emphasis"/>
        </w:rPr>
        <w:t>probability</w:t>
      </w:r>
      <w:r w:rsidRPr="00015112">
        <w:rPr>
          <w:sz w:val="16"/>
        </w:rPr>
        <w:t xml:space="preserve"> </w:t>
      </w:r>
      <w:r w:rsidRPr="00015112">
        <w:rPr>
          <w:rStyle w:val="StyleUnderline"/>
        </w:rPr>
        <w:t xml:space="preserve">of nuclear war </w:t>
      </w:r>
      <w:r w:rsidRPr="00015112">
        <w:rPr>
          <w:rStyle w:val="Emphasis"/>
        </w:rPr>
        <w:t>can be modeled and quantified</w:t>
      </w:r>
      <w:r w:rsidRPr="00015112">
        <w:rPr>
          <w:rStyle w:val="StyleUnderline"/>
        </w:rPr>
        <w:t>. Attempting to do so is</w:t>
      </w:r>
      <w:r w:rsidRPr="00015112">
        <w:rPr>
          <w:sz w:val="16"/>
        </w:rPr>
        <w:t xml:space="preserve"> </w:t>
      </w:r>
      <w:r w:rsidRPr="00015112">
        <w:rPr>
          <w:rStyle w:val="Emphasis"/>
        </w:rPr>
        <w:t>not doomed to hopeless guesswork</w:t>
      </w:r>
      <w:r w:rsidRPr="00015112">
        <w:rPr>
          <w:sz w:val="16"/>
        </w:rPr>
        <w:t xml:space="preserve">. This paper presents </w:t>
      </w:r>
      <w:r w:rsidRPr="00015112">
        <w:rPr>
          <w:rStyle w:val="StyleUnderline"/>
        </w:rPr>
        <w:t>one approach to doing so</w:t>
      </w:r>
      <w:r w:rsidRPr="00015112">
        <w:rPr>
          <w:sz w:val="16"/>
        </w:rPr>
        <w:t xml:space="preserve">, drawing on prior studies by Hellman (2008), Barrett et al. (2013), and Barrett (2016). The approach </w:t>
      </w:r>
      <w:r w:rsidRPr="00015112">
        <w:rPr>
          <w:rStyle w:val="StyleUnderline"/>
        </w:rPr>
        <w:t>is based on identifying and modeling nuclear war</w:t>
      </w:r>
      <w:r w:rsidRPr="00015112">
        <w:rPr>
          <w:sz w:val="16"/>
        </w:rPr>
        <w:t xml:space="preserve"> </w:t>
      </w:r>
      <w:r w:rsidRPr="00015112">
        <w:rPr>
          <w:rStyle w:val="Emphasis"/>
        </w:rPr>
        <w:t>scenarios</w:t>
      </w:r>
      <w:r w:rsidRPr="00015112">
        <w:rPr>
          <w:rStyle w:val="StyleUnderline"/>
        </w:rPr>
        <w:t>, i.e. the range of ways that nuclear war can occur. Scenario modeling is attractive because it</w:t>
      </w:r>
      <w:r w:rsidRPr="00015112">
        <w:rPr>
          <w:sz w:val="16"/>
        </w:rPr>
        <w:t xml:space="preserve"> </w:t>
      </w:r>
      <w:r w:rsidRPr="00015112">
        <w:rPr>
          <w:rStyle w:val="Emphasis"/>
        </w:rPr>
        <w:t>breaks the probability of nuclear war</w:t>
      </w:r>
      <w:r w:rsidRPr="00015112">
        <w:rPr>
          <w:sz w:val="16"/>
        </w:rPr>
        <w:t xml:space="preserve"> </w:t>
      </w:r>
      <w:r w:rsidRPr="00015112">
        <w:rPr>
          <w:rStyle w:val="StyleUnderline"/>
        </w:rPr>
        <w:t>into</w:t>
      </w:r>
      <w:r w:rsidRPr="00015112">
        <w:rPr>
          <w:sz w:val="16"/>
        </w:rPr>
        <w:t xml:space="preserve"> </w:t>
      </w:r>
      <w:r w:rsidRPr="00015112">
        <w:rPr>
          <w:rStyle w:val="Emphasis"/>
        </w:rPr>
        <w:t>smaller, more manageable parts</w:t>
      </w:r>
      <w:r w:rsidRPr="00015112">
        <w:rPr>
          <w:rStyle w:val="StyleUnderline"/>
        </w:rPr>
        <w:t>, many of which can be informed by</w:t>
      </w:r>
      <w:r w:rsidRPr="00015112">
        <w:rPr>
          <w:sz w:val="16"/>
        </w:rPr>
        <w:t xml:space="preserve"> </w:t>
      </w:r>
      <w:r w:rsidRPr="00015112">
        <w:rPr>
          <w:rStyle w:val="Emphasis"/>
        </w:rPr>
        <w:t>historical incidents</w:t>
      </w:r>
      <w:r w:rsidRPr="00015112">
        <w:rPr>
          <w:rStyle w:val="StyleUnderline"/>
        </w:rPr>
        <w:t xml:space="preserve">. Scenario modeling is valuable both for quantifying the probability and for helping people </w:t>
      </w:r>
      <w:r w:rsidRPr="00015112">
        <w:rPr>
          <w:rStyle w:val="Emphasis"/>
        </w:rPr>
        <w:t>understand</w:t>
      </w:r>
      <w:r w:rsidRPr="00015112">
        <w:rPr>
          <w:rStyle w:val="StyleUnderline"/>
        </w:rPr>
        <w:t xml:space="preserve"> how nuclear war is likely to occur. Scenario modeling provides quantitative and qualitative insights that are </w:t>
      </w:r>
      <w:r w:rsidRPr="00015112">
        <w:rPr>
          <w:rStyle w:val="Emphasis"/>
        </w:rPr>
        <w:t>valuable for crafting policies</w:t>
      </w:r>
      <w:r w:rsidRPr="00015112">
        <w:rPr>
          <w:sz w:val="16"/>
        </w:rPr>
        <w:t xml:space="preserve"> </w:t>
      </w:r>
      <w:r w:rsidRPr="00015112">
        <w:rPr>
          <w:rStyle w:val="StyleUnderline"/>
        </w:rPr>
        <w:t>to efficiently and effectively reduce the probability of nuclear war.</w:t>
      </w:r>
      <w:r w:rsidRPr="00015112">
        <w:rPr>
          <w:sz w:val="16"/>
        </w:rPr>
        <w:t xml:space="preserve"> This paper models fourteen different nuclear war scenarios. Six scenarios occur when a nuclear-armed state intentionally makes a first-strike nuclear attack: three involving intentional escalation and three involving inadvertent escalation. Eight scenarios occur when a nuclear32 armed state falsely believes that a nuclear attack has already occurred and makes what it believes is a retaliatory nuclear attack. The three intentional escalation scenarios are the traditional focus of nuclear weapons debates. These are the scenarios for which nuclear deterrence should be most effective. The other eleven scenarios all involve some sort of mistake, either in inadvertent escalation or in the false perception of a threat. The preponderance of inadvertent and false-belief scenarios raises questions about the reliability of nuclear deterrence. Exactly how reliable nuclear deterrence is requires quantification of the probabilities of the various scenarios, which is beyond the scope of this paper. </w:t>
      </w:r>
      <w:r w:rsidRPr="00015112">
        <w:rPr>
          <w:rStyle w:val="StyleUnderline"/>
        </w:rPr>
        <w:t xml:space="preserve">Several factors cut across </w:t>
      </w:r>
      <w:r w:rsidRPr="00015112">
        <w:rPr>
          <w:rStyle w:val="Emphasis"/>
        </w:rPr>
        <w:t>all</w:t>
      </w:r>
      <w:r w:rsidRPr="00015112">
        <w:rPr>
          <w:rStyle w:val="StyleUnderline"/>
        </w:rPr>
        <w:t xml:space="preserve"> fourteen </w:t>
      </w:r>
      <w:r w:rsidRPr="00015112">
        <w:rPr>
          <w:rStyle w:val="Emphasis"/>
        </w:rPr>
        <w:t>scenarios</w:t>
      </w:r>
      <w:r w:rsidRPr="00015112">
        <w:rPr>
          <w:rStyle w:val="StyleUnderline"/>
        </w:rPr>
        <w:t>. One is the</w:t>
      </w:r>
      <w:r w:rsidRPr="00015112">
        <w:rPr>
          <w:sz w:val="16"/>
        </w:rPr>
        <w:t xml:space="preserve"> </w:t>
      </w:r>
      <w:r w:rsidRPr="00015112">
        <w:rPr>
          <w:rStyle w:val="Emphasis"/>
        </w:rPr>
        <w:t>severity of geopolitical tensions</w:t>
      </w:r>
      <w:r w:rsidRPr="00015112">
        <w:rPr>
          <w:sz w:val="16"/>
        </w:rPr>
        <w:t xml:space="preserve"> felt by nuclear-armed states. </w:t>
      </w:r>
      <w:r w:rsidRPr="00015112">
        <w:rPr>
          <w:rStyle w:val="StyleUnderline"/>
        </w:rPr>
        <w:t>Higher tensions make states more inclined to use nuclear weapons. Wars and crises are</w:t>
      </w:r>
      <w:r w:rsidRPr="00015112">
        <w:rPr>
          <w:sz w:val="16"/>
        </w:rPr>
        <w:t xml:space="preserve"> </w:t>
      </w:r>
      <w:r w:rsidRPr="00015112">
        <w:rPr>
          <w:rStyle w:val="StyleUnderline"/>
        </w:rPr>
        <w:t>more likely to</w:t>
      </w:r>
      <w:r w:rsidRPr="00015112">
        <w:rPr>
          <w:sz w:val="16"/>
        </w:rPr>
        <w:t xml:space="preserve"> </w:t>
      </w:r>
      <w:r w:rsidRPr="00015112">
        <w:rPr>
          <w:rStyle w:val="Emphasis"/>
        </w:rPr>
        <w:t>commence</w:t>
      </w:r>
      <w:r w:rsidRPr="00015112">
        <w:rPr>
          <w:sz w:val="16"/>
        </w:rPr>
        <w:t xml:space="preserve"> </w:t>
      </w:r>
      <w:r w:rsidRPr="00015112">
        <w:rPr>
          <w:rStyle w:val="StyleUnderline"/>
        </w:rPr>
        <w:t>and</w:t>
      </w:r>
      <w:r w:rsidRPr="00015112">
        <w:rPr>
          <w:sz w:val="16"/>
        </w:rPr>
        <w:t xml:space="preserve"> </w:t>
      </w:r>
      <w:r w:rsidRPr="00015112">
        <w:rPr>
          <w:rStyle w:val="StyleUnderline"/>
        </w:rPr>
        <w:t xml:space="preserve">to </w:t>
      </w:r>
      <w:r w:rsidRPr="00015112">
        <w:rPr>
          <w:rStyle w:val="Emphasis"/>
        </w:rPr>
        <w:t>escalate</w:t>
      </w:r>
      <w:r w:rsidRPr="00015112">
        <w:rPr>
          <w:rStyle w:val="StyleUnderline"/>
        </w:rPr>
        <w:t xml:space="preserve">. Non-war nuclear detonations are more likely to be </w:t>
      </w:r>
      <w:r w:rsidRPr="00015112">
        <w:rPr>
          <w:rStyle w:val="Emphasis"/>
        </w:rPr>
        <w:t>blamed</w:t>
      </w:r>
      <w:r w:rsidRPr="00015112">
        <w:rPr>
          <w:sz w:val="16"/>
        </w:rPr>
        <w:t xml:space="preserve"> </w:t>
      </w:r>
      <w:r w:rsidRPr="00015112">
        <w:rPr>
          <w:rStyle w:val="StyleUnderline"/>
        </w:rPr>
        <w:t xml:space="preserve">on other states. </w:t>
      </w:r>
      <w:r w:rsidRPr="00015112">
        <w:rPr>
          <w:rStyle w:val="Emphasis"/>
        </w:rPr>
        <w:t>False alarms</w:t>
      </w:r>
      <w:r w:rsidRPr="00015112">
        <w:rPr>
          <w:sz w:val="16"/>
        </w:rPr>
        <w:t xml:space="preserve"> </w:t>
      </w:r>
      <w:r w:rsidRPr="00015112">
        <w:rPr>
          <w:rStyle w:val="StyleUnderline"/>
        </w:rPr>
        <w:t>are more likely to be</w:t>
      </w:r>
      <w:r w:rsidRPr="00015112">
        <w:rPr>
          <w:sz w:val="16"/>
        </w:rPr>
        <w:t xml:space="preserve"> </w:t>
      </w:r>
      <w:r w:rsidRPr="00015112">
        <w:rPr>
          <w:rStyle w:val="Emphasis"/>
        </w:rPr>
        <w:t>mistaken</w:t>
      </w:r>
      <w:r w:rsidRPr="00015112">
        <w:rPr>
          <w:sz w:val="16"/>
        </w:rPr>
        <w:t xml:space="preserve"> as real attacks. </w:t>
      </w:r>
      <w:r w:rsidRPr="00015112">
        <w:rPr>
          <w:rStyle w:val="Emphasis"/>
        </w:rPr>
        <w:t>Reducing tensions</w:t>
      </w:r>
      <w:r w:rsidRPr="00015112">
        <w:rPr>
          <w:sz w:val="16"/>
        </w:rPr>
        <w:t xml:space="preserve"> </w:t>
      </w:r>
      <w:r w:rsidRPr="00015112">
        <w:rPr>
          <w:rStyle w:val="StyleUnderline"/>
        </w:rPr>
        <w:t>and</w:t>
      </w:r>
      <w:r w:rsidRPr="00015112">
        <w:rPr>
          <w:sz w:val="16"/>
        </w:rPr>
        <w:t xml:space="preserve"> </w:t>
      </w:r>
      <w:r w:rsidRPr="00015112">
        <w:rPr>
          <w:rStyle w:val="Emphasis"/>
        </w:rPr>
        <w:t>improving relations</w:t>
      </w:r>
      <w:r w:rsidRPr="00015112">
        <w:rPr>
          <w:sz w:val="16"/>
        </w:rPr>
        <w:t xml:space="preserve"> </w:t>
      </w:r>
      <w:r w:rsidRPr="00015112">
        <w:rPr>
          <w:rStyle w:val="StyleUnderline"/>
        </w:rPr>
        <w:t>with nuclear-armed states is a</w:t>
      </w:r>
      <w:r w:rsidRPr="00015112">
        <w:rPr>
          <w:sz w:val="16"/>
        </w:rPr>
        <w:t xml:space="preserve"> </w:t>
      </w:r>
      <w:r w:rsidRPr="00015112">
        <w:rPr>
          <w:rStyle w:val="Emphasis"/>
        </w:rPr>
        <w:t>clear means of reducing the probability of nuclear war</w:t>
      </w:r>
      <w:r w:rsidRPr="00015112">
        <w:rPr>
          <w:sz w:val="16"/>
        </w:rPr>
        <w:t xml:space="preserve">, and it could be an especially effective one. </w:t>
      </w:r>
      <w:r w:rsidRPr="00015112">
        <w:rPr>
          <w:rStyle w:val="StyleUnderline"/>
        </w:rPr>
        <w:t>Another cross-cutting factor is the strength of the</w:t>
      </w:r>
      <w:r w:rsidRPr="00015112">
        <w:rPr>
          <w:sz w:val="16"/>
        </w:rPr>
        <w:t xml:space="preserve"> </w:t>
      </w:r>
      <w:r w:rsidRPr="00015112">
        <w:rPr>
          <w:rStyle w:val="Emphasis"/>
        </w:rPr>
        <w:t>norm</w:t>
      </w:r>
      <w:r w:rsidRPr="00015112">
        <w:rPr>
          <w:sz w:val="16"/>
        </w:rPr>
        <w:t xml:space="preserve"> </w:t>
      </w:r>
      <w:r w:rsidRPr="00015112">
        <w:rPr>
          <w:rStyle w:val="StyleUnderline"/>
        </w:rPr>
        <w:t>against</w:t>
      </w:r>
      <w:r w:rsidRPr="00015112">
        <w:rPr>
          <w:sz w:val="16"/>
        </w:rPr>
        <w:t xml:space="preserve"> </w:t>
      </w:r>
      <w:r w:rsidRPr="00015112">
        <w:rPr>
          <w:rStyle w:val="Emphasis"/>
        </w:rPr>
        <w:t>nuclear weapons use</w:t>
      </w:r>
      <w:r w:rsidRPr="00015112">
        <w:rPr>
          <w:rStyle w:val="StyleUnderline"/>
        </w:rPr>
        <w:t>. This norm appears to have played a role in the avoidance of nuclear war since WWII</w:t>
      </w:r>
      <w:r w:rsidRPr="00015112">
        <w:rPr>
          <w:sz w:val="16"/>
        </w:rPr>
        <w:t xml:space="preserve"> (e.g., Tannenwald 1999). </w:t>
      </w:r>
      <w:r w:rsidRPr="00015112">
        <w:rPr>
          <w:rStyle w:val="StyleUnderline"/>
        </w:rPr>
        <w:t>It works by raising the threshold required for states to decide to use nuclear weapons. The higher the threshold, the less likely some incident will cross it</w:t>
      </w:r>
      <w:r w:rsidRPr="00015112">
        <w:rPr>
          <w:sz w:val="16"/>
        </w:rPr>
        <w:t xml:space="preserve">. This holds for incidents across all fourteen scenarios, though it may hold to a lesser extent for the four scenarios involving non-war nuclear detonations, because in these scenarios, the norm has already been broken. Efforts that strengthen the norm against nuclear weapons use, such as the recent humanitarian initiative to stigmatize nuclear weapons (e.g., Borrie and Caughley 2013), could be another effective means of reducing the probability of nuclear war. Strengthening the norm against nuclear weapons use may be an underappreciated benefit of the humanitarian initiative. </w:t>
      </w:r>
      <w:r w:rsidRPr="00015112">
        <w:rPr>
          <w:rStyle w:val="StyleUnderline"/>
        </w:rPr>
        <w:t xml:space="preserve">A third cross-cutting factor is the </w:t>
      </w:r>
      <w:r w:rsidRPr="00015112">
        <w:rPr>
          <w:rStyle w:val="Emphasis"/>
        </w:rPr>
        <w:t>reliability of</w:t>
      </w:r>
      <w:r w:rsidRPr="00015112">
        <w:rPr>
          <w:sz w:val="16"/>
        </w:rPr>
        <w:t xml:space="preserve"> nuclear weapons </w:t>
      </w:r>
      <w:r w:rsidRPr="00015112">
        <w:rPr>
          <w:rStyle w:val="Emphasis"/>
        </w:rPr>
        <w:t>systems</w:t>
      </w:r>
      <w:r w:rsidRPr="00015112">
        <w:rPr>
          <w:rStyle w:val="StyleUnderline"/>
        </w:rPr>
        <w:t>. This includes the weapons themselves and the technologies and people who use them. It also includes everything from systems for monitoring for incoming attacks to systems for launching and detonating the weapons. The more reliable they are, the less probable nuclear war is</w:t>
      </w:r>
      <w:r w:rsidRPr="00015112">
        <w:rPr>
          <w:sz w:val="16"/>
        </w:rPr>
        <w:t>, especially for the eight false-belief scenarios.</w:t>
      </w:r>
    </w:p>
    <w:p w14:paraId="18D384B4" w14:textId="77777777" w:rsidR="006C4B0E" w:rsidRPr="00015112" w:rsidRDefault="006C4B0E" w:rsidP="006C4B0E"/>
    <w:p w14:paraId="3401E0EC" w14:textId="77777777" w:rsidR="006C4B0E" w:rsidRPr="00015112" w:rsidRDefault="006C4B0E" w:rsidP="006C4B0E"/>
    <w:p w14:paraId="79F923C6" w14:textId="2D61F184" w:rsidR="00B27F89" w:rsidRPr="00015112" w:rsidRDefault="005E1BEC" w:rsidP="005E1BEC">
      <w:pPr>
        <w:pStyle w:val="Heading2"/>
      </w:pPr>
      <w:r w:rsidRPr="00015112">
        <w:t>AT: Ontology</w:t>
      </w:r>
    </w:p>
    <w:p w14:paraId="0BF66554" w14:textId="77777777" w:rsidR="00F73E99" w:rsidRPr="00015112" w:rsidRDefault="00F73E99" w:rsidP="00F73E99">
      <w:pPr>
        <w:pStyle w:val="Heading3"/>
      </w:pPr>
      <w:r w:rsidRPr="00015112">
        <w:t>2AC – State Good</w:t>
      </w:r>
    </w:p>
    <w:p w14:paraId="069A0051" w14:textId="77777777" w:rsidR="00F73E99" w:rsidRPr="00015112" w:rsidRDefault="00F73E99" w:rsidP="00F73E99">
      <w:pPr>
        <w:pStyle w:val="Heading4"/>
      </w:pPr>
      <w:r w:rsidRPr="00015112">
        <w:t xml:space="preserve">Sweeping theories of radical indigenous ontological difference ignore the </w:t>
      </w:r>
      <w:r w:rsidRPr="00015112">
        <w:rPr>
          <w:u w:val="single"/>
        </w:rPr>
        <w:t>nuances</w:t>
      </w:r>
      <w:r w:rsidRPr="00015112">
        <w:t xml:space="preserve"> of </w:t>
      </w:r>
      <w:r w:rsidRPr="00015112">
        <w:rPr>
          <w:u w:val="single"/>
        </w:rPr>
        <w:t>actual struggles</w:t>
      </w:r>
      <w:r w:rsidRPr="00015112">
        <w:t xml:space="preserve"> that </w:t>
      </w:r>
      <w:r w:rsidRPr="00015112">
        <w:rPr>
          <w:u w:val="single"/>
        </w:rPr>
        <w:t>strategically repurpose settler categories</w:t>
      </w:r>
      <w:r w:rsidRPr="00015112">
        <w:t xml:space="preserve"> </w:t>
      </w:r>
    </w:p>
    <w:p w14:paraId="5D0ACAC3" w14:textId="77777777" w:rsidR="00F73E99" w:rsidRPr="00015112" w:rsidRDefault="00F73E99" w:rsidP="00F73E99">
      <w:r w:rsidRPr="00015112">
        <w:rPr>
          <w:rStyle w:val="Style13ptBold"/>
        </w:rPr>
        <w:t>Rosenow, 19</w:t>
      </w:r>
      <w:r w:rsidRPr="00015112">
        <w:t>—Senior Lecturer in International Relations at Oxford Brookes University (Doerthe, “Decolonising the Decolonisers? Of Ontological Encounters in the GMO Controversy and Beyond,” Global Society, 33:1, 82-99, dml)</w:t>
      </w:r>
    </w:p>
    <w:p w14:paraId="0211828B" w14:textId="77777777" w:rsidR="00F73E99" w:rsidRPr="00015112" w:rsidRDefault="00F73E99" w:rsidP="00F73E99">
      <w:pPr>
        <w:rPr>
          <w:sz w:val="16"/>
        </w:rPr>
      </w:pPr>
      <w:r w:rsidRPr="00015112">
        <w:rPr>
          <w:sz w:val="16"/>
        </w:rPr>
        <w:t xml:space="preserve">Despite the force and importance of this argument, I have felt slightly uneasy when reading those conclusions. </w:t>
      </w:r>
      <w:r w:rsidRPr="00015112">
        <w:rPr>
          <w:rStyle w:val="StyleUnderline"/>
        </w:rPr>
        <w:t xml:space="preserve">Focusing on </w:t>
      </w:r>
      <w:r w:rsidRPr="00015112">
        <w:rPr>
          <w:rStyle w:val="Emphasis"/>
        </w:rPr>
        <w:t>radical ontological difference</w:t>
      </w:r>
      <w:r w:rsidRPr="00015112">
        <w:rPr>
          <w:rStyle w:val="StyleUnderline"/>
        </w:rPr>
        <w:t xml:space="preserve"> can </w:t>
      </w:r>
      <w:r w:rsidRPr="00015112">
        <w:rPr>
          <w:rStyle w:val="Emphasis"/>
        </w:rPr>
        <w:t>easily lead</w:t>
      </w:r>
      <w:r w:rsidRPr="00015112">
        <w:rPr>
          <w:rStyle w:val="StyleUnderline"/>
        </w:rPr>
        <w:t xml:space="preserve"> to a </w:t>
      </w:r>
      <w:r w:rsidRPr="00015112">
        <w:rPr>
          <w:rStyle w:val="Emphasis"/>
        </w:rPr>
        <w:t>romanticised reification</w:t>
      </w:r>
      <w:r w:rsidRPr="00015112">
        <w:rPr>
          <w:rStyle w:val="StyleUnderline"/>
        </w:rPr>
        <w:t xml:space="preserve"> of other peoples’ difference that is </w:t>
      </w:r>
      <w:r w:rsidRPr="00015112">
        <w:rPr>
          <w:rStyle w:val="Emphasis"/>
        </w:rPr>
        <w:t>in danger of ignoring actual political struggles</w:t>
      </w:r>
      <w:r w:rsidRPr="00015112">
        <w:rPr>
          <w:rStyle w:val="StyleUnderline"/>
        </w:rPr>
        <w:t xml:space="preserve"> and </w:t>
      </w:r>
      <w:r w:rsidRPr="00015112">
        <w:rPr>
          <w:rStyle w:val="Emphasis"/>
        </w:rPr>
        <w:t>demands on the ground</w:t>
      </w:r>
      <w:r w:rsidRPr="00015112">
        <w:rPr>
          <w:sz w:val="16"/>
        </w:rPr>
        <w:t xml:space="preserve">. As Cusicanqui argues, </w:t>
      </w:r>
      <w:r w:rsidRPr="00015112">
        <w:rPr>
          <w:rStyle w:val="StyleUnderline"/>
        </w:rPr>
        <w:t xml:space="preserve">those struggles </w:t>
      </w:r>
      <w:r w:rsidRPr="00015112">
        <w:rPr>
          <w:rStyle w:val="Emphasis"/>
        </w:rPr>
        <w:t>might very well emerge</w:t>
      </w:r>
      <w:r w:rsidRPr="00015112">
        <w:rPr>
          <w:rStyle w:val="StyleUnderline"/>
        </w:rPr>
        <w:t xml:space="preserve"> out of an “</w:t>
      </w:r>
      <w:r w:rsidRPr="00015112">
        <w:rPr>
          <w:rStyle w:val="Emphasis"/>
        </w:rPr>
        <w:t>indigenous modernity</w:t>
      </w:r>
      <w:r w:rsidRPr="00015112">
        <w:rPr>
          <w:rStyle w:val="StyleUnderline"/>
        </w:rPr>
        <w:t xml:space="preserve">”, </w:t>
      </w:r>
      <w:r w:rsidRPr="00015112">
        <w:rPr>
          <w:rStyle w:val="Emphasis"/>
        </w:rPr>
        <w:t>rather than an insistence</w:t>
      </w:r>
      <w:r w:rsidRPr="00015112">
        <w:rPr>
          <w:rStyle w:val="StyleUnderline"/>
        </w:rPr>
        <w:t xml:space="preserve"> on the </w:t>
      </w:r>
      <w:r w:rsidRPr="00015112">
        <w:rPr>
          <w:rStyle w:val="Emphasis"/>
        </w:rPr>
        <w:t>right to one’s difference</w:t>
      </w:r>
      <w:r w:rsidRPr="00015112">
        <w:rPr>
          <w:sz w:val="16"/>
        </w:rPr>
        <w:t xml:space="preserve">. By this she means that </w:t>
      </w:r>
      <w:r w:rsidRPr="00015112">
        <w:rPr>
          <w:rStyle w:val="StyleUnderline"/>
        </w:rPr>
        <w:t xml:space="preserve">some Indigenous people aim to </w:t>
      </w:r>
      <w:r w:rsidRPr="00015112">
        <w:rPr>
          <w:rStyle w:val="Emphasis"/>
        </w:rPr>
        <w:t>formulate a hegemonic vision</w:t>
      </w:r>
      <w:r w:rsidRPr="00015112">
        <w:rPr>
          <w:rStyle w:val="StyleUnderline"/>
        </w:rPr>
        <w:t xml:space="preserve"> for how to structure a society that is </w:t>
      </w:r>
      <w:r w:rsidRPr="00015112">
        <w:rPr>
          <w:rStyle w:val="Emphasis"/>
        </w:rPr>
        <w:t>valid for everyone</w:t>
      </w:r>
      <w:r w:rsidRPr="00015112">
        <w:rPr>
          <w:rStyle w:val="StyleUnderline"/>
        </w:rPr>
        <w:t xml:space="preserve"> (Indigenous </w:t>
      </w:r>
      <w:r w:rsidRPr="00015112">
        <w:rPr>
          <w:rStyle w:val="Emphasis"/>
        </w:rPr>
        <w:t>AND</w:t>
      </w:r>
      <w:r w:rsidRPr="00015112">
        <w:rPr>
          <w:rStyle w:val="StyleUnderline"/>
        </w:rPr>
        <w:t xml:space="preserve"> non-Indigenous)</w:t>
      </w:r>
      <w:r w:rsidRPr="00015112">
        <w:rPr>
          <w:sz w:val="16"/>
        </w:rPr>
        <w:t xml:space="preserve">: they work for a society that is in their “image and likeness”, </w:t>
      </w:r>
      <w:r w:rsidRPr="00015112">
        <w:rPr>
          <w:rStyle w:val="StyleUnderline"/>
        </w:rPr>
        <w:t>and</w:t>
      </w:r>
      <w:r w:rsidRPr="00015112">
        <w:rPr>
          <w:sz w:val="16"/>
        </w:rPr>
        <w:t xml:space="preserve"> to </w:t>
      </w:r>
      <w:r w:rsidRPr="00015112">
        <w:rPr>
          <w:rStyle w:val="Emphasis"/>
        </w:rPr>
        <w:t>use modern notions</w:t>
      </w:r>
      <w:r w:rsidRPr="00015112">
        <w:rPr>
          <w:rStyle w:val="StyleUnderline"/>
        </w:rPr>
        <w:t xml:space="preserve"> such as “</w:t>
      </w:r>
      <w:r w:rsidRPr="00015112">
        <w:rPr>
          <w:rStyle w:val="Emphasis"/>
        </w:rPr>
        <w:t>citizenship</w:t>
      </w:r>
      <w:r w:rsidRPr="00015112">
        <w:rPr>
          <w:rStyle w:val="StyleUnderline"/>
        </w:rPr>
        <w:t xml:space="preserve">” for this purpose, rather than </w:t>
      </w:r>
      <w:r w:rsidRPr="00015112">
        <w:rPr>
          <w:rStyle w:val="Emphasis"/>
        </w:rPr>
        <w:t>rejecting the latter as irreconcilable with one’s own world</w:t>
      </w:r>
      <w:r w:rsidRPr="00015112">
        <w:rPr>
          <w:sz w:val="16"/>
        </w:rPr>
        <w:t xml:space="preserve">.39 By contrast, </w:t>
      </w:r>
      <w:r w:rsidRPr="00015112">
        <w:rPr>
          <w:rStyle w:val="StyleUnderline"/>
        </w:rPr>
        <w:t>some</w:t>
      </w:r>
      <w:r w:rsidRPr="00015112">
        <w:rPr>
          <w:sz w:val="16"/>
        </w:rPr>
        <w:t xml:space="preserve"> North American Indigenous </w:t>
      </w:r>
      <w:r w:rsidRPr="00015112">
        <w:rPr>
          <w:rStyle w:val="StyleUnderline"/>
        </w:rPr>
        <w:t>intellectuals call for an Indigenous “</w:t>
      </w:r>
      <w:r w:rsidRPr="00015112">
        <w:rPr>
          <w:rStyle w:val="Emphasis"/>
        </w:rPr>
        <w:t>resurgence</w:t>
      </w:r>
      <w:r w:rsidRPr="00015112">
        <w:rPr>
          <w:rStyle w:val="StyleUnderline"/>
        </w:rPr>
        <w:t xml:space="preserve">” that, </w:t>
      </w:r>
      <w:r w:rsidRPr="00015112">
        <w:rPr>
          <w:rStyle w:val="Emphasis"/>
        </w:rPr>
        <w:t>rather than seeking hegemony</w:t>
      </w:r>
      <w:r w:rsidRPr="00015112">
        <w:rPr>
          <w:rStyle w:val="StyleUnderline"/>
        </w:rPr>
        <w:t xml:space="preserve">, altogether </w:t>
      </w:r>
      <w:r w:rsidRPr="00015112">
        <w:rPr>
          <w:rStyle w:val="Emphasis"/>
        </w:rPr>
        <w:t>turns away from seeking recognition</w:t>
      </w:r>
      <w:r w:rsidRPr="00015112">
        <w:rPr>
          <w:rStyle w:val="StyleUnderline"/>
        </w:rPr>
        <w:t xml:space="preserve"> by wider (colonial) “society”</w:t>
      </w:r>
      <w:r w:rsidRPr="00015112">
        <w:rPr>
          <w:sz w:val="16"/>
        </w:rPr>
        <w:t xml:space="preserve">. As Leanne Betasamosake Simpson points out, </w:t>
      </w:r>
      <w:r w:rsidRPr="00015112">
        <w:rPr>
          <w:rStyle w:val="StyleUnderline"/>
        </w:rPr>
        <w:t xml:space="preserve">in such “resurgent mobilization … there is </w:t>
      </w:r>
      <w:r w:rsidRPr="00015112">
        <w:rPr>
          <w:rStyle w:val="Emphasis"/>
        </w:rPr>
        <w:t>virtually no room for white people</w:t>
      </w:r>
      <w:r w:rsidRPr="00015112">
        <w:rPr>
          <w:rStyle w:val="StyleUnderline"/>
        </w:rPr>
        <w:t>”.</w:t>
      </w:r>
      <w:r w:rsidRPr="00015112">
        <w:rPr>
          <w:sz w:val="16"/>
        </w:rPr>
        <w:t xml:space="preserve"> 40 But my unease was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recognising that one’s description does not capture what the encountered practices actually do.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audience—in other words, in the writing-up of her ethnographic research. 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in order to make a conceptual contribution. This takes place via the coining of central concepts and the outlining of all-encompassing frameworks that are meant to help us understand the analytical, normative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 </w:t>
      </w:r>
      <w:r w:rsidRPr="00015112">
        <w:rPr>
          <w:rStyle w:val="StyleUnderline"/>
        </w:rPr>
        <w:t>This is</w:t>
      </w:r>
      <w:r w:rsidRPr="00015112">
        <w:rPr>
          <w:sz w:val="16"/>
        </w:rPr>
        <w:t xml:space="preserve"> also </w:t>
      </w:r>
      <w:r w:rsidRPr="00015112">
        <w:rPr>
          <w:rStyle w:val="StyleUnderline"/>
        </w:rPr>
        <w:t xml:space="preserve">the problem of some </w:t>
      </w:r>
      <w:r w:rsidRPr="00015112">
        <w:rPr>
          <w:rStyle w:val="Emphasis"/>
        </w:rPr>
        <w:t>central decolonial work</w:t>
      </w:r>
      <w:r w:rsidRPr="00015112">
        <w:rPr>
          <w:sz w:val="16"/>
        </w:rPr>
        <w:t xml:space="preserve">. Drawing on Edouard Glissant, Mignolo, for example, critiques the “requirement of transparency” that forms the basis for understanding in Western social science scholarship. He argues for </w:t>
      </w:r>
      <w:r w:rsidRPr="00015112">
        <w:rPr>
          <w:rStyle w:val="StyleUnderline"/>
        </w:rPr>
        <w:t>the “</w:t>
      </w:r>
      <w:r w:rsidRPr="00015112">
        <w:rPr>
          <w:rStyle w:val="Emphasis"/>
        </w:rPr>
        <w:t>right to opacity</w:t>
      </w:r>
      <w:r w:rsidRPr="00015112">
        <w:rPr>
          <w:rStyle w:val="StyleUnderline"/>
        </w:rPr>
        <w:t xml:space="preserve">” of those located on the </w:t>
      </w:r>
      <w:r w:rsidRPr="00015112">
        <w:rPr>
          <w:rStyle w:val="Emphasis"/>
        </w:rPr>
        <w:t>other side of the colonial difference</w:t>
      </w:r>
      <w:r w:rsidRPr="00015112">
        <w:rPr>
          <w:sz w:val="16"/>
        </w:rPr>
        <w:t xml:space="preserve">.41 But this claim sits at odds with his simultaneous desire to write a new, all-encompassing history of “the modern/colonial world system”. 42 And like in Rojas’ and Blaney and Tickner’s articles, terms such as “pluriversality”43 or “diversality”44 </w:t>
      </w:r>
      <w:r w:rsidRPr="00015112">
        <w:rPr>
          <w:rStyle w:val="StyleUnderline"/>
        </w:rPr>
        <w:t>are coined in order to have a (</w:t>
      </w:r>
      <w:r w:rsidRPr="00015112">
        <w:rPr>
          <w:rStyle w:val="Emphasis"/>
        </w:rPr>
        <w:t>one!</w:t>
      </w:r>
      <w:r w:rsidRPr="00015112">
        <w:rPr>
          <w:rStyle w:val="StyleUnderline"/>
        </w:rPr>
        <w:t xml:space="preserve">) concept for a </w:t>
      </w:r>
      <w:r w:rsidRPr="00015112">
        <w:rPr>
          <w:rStyle w:val="Emphasis"/>
        </w:rPr>
        <w:t>similarly all-encompassing solution</w:t>
      </w:r>
      <w:r w:rsidRPr="00015112">
        <w:rPr>
          <w:rStyle w:val="StyleUnderline"/>
        </w:rPr>
        <w:t xml:space="preserve"> to domination</w:t>
      </w:r>
      <w:r w:rsidRPr="00015112">
        <w:rPr>
          <w:sz w:val="16"/>
        </w:rPr>
        <w:t xml:space="preserve">. While de la Cadena is critical of her own “anxiety to understand coherently (with which I meant clearly and without contradiction”), and while she points out how </w:t>
      </w:r>
      <w:r w:rsidRPr="00015112">
        <w:rPr>
          <w:rStyle w:val="StyleUnderline"/>
        </w:rPr>
        <w:t>this</w:t>
      </w:r>
      <w:r w:rsidRPr="00015112">
        <w:rPr>
          <w:sz w:val="16"/>
        </w:rPr>
        <w:t xml:space="preserve"> “was often out of place”, 45 Mignolo as well as Rojas and Blaney and Tickner </w:t>
      </w:r>
      <w:r w:rsidRPr="00015112">
        <w:rPr>
          <w:rStyle w:val="StyleUnderline"/>
        </w:rPr>
        <w:t>seek to place</w:t>
      </w:r>
      <w:r w:rsidRPr="00015112">
        <w:rPr>
          <w:sz w:val="16"/>
        </w:rPr>
        <w:t xml:space="preserve"> such </w:t>
      </w:r>
      <w:r w:rsidRPr="00015112">
        <w:rPr>
          <w:rStyle w:val="StyleUnderline"/>
        </w:rPr>
        <w:t xml:space="preserve">anxiety in </w:t>
      </w:r>
      <w:r w:rsidRPr="00015112">
        <w:rPr>
          <w:rStyle w:val="Emphasis"/>
        </w:rPr>
        <w:t>yet another coherent framework</w:t>
      </w:r>
      <w:r w:rsidRPr="00015112">
        <w:rPr>
          <w:rStyle w:val="StyleUnderline"/>
        </w:rPr>
        <w:t xml:space="preserve"> that </w:t>
      </w:r>
      <w:r w:rsidRPr="00015112">
        <w:rPr>
          <w:rStyle w:val="Emphasis"/>
        </w:rPr>
        <w:t>holds everything together</w:t>
      </w:r>
      <w:r w:rsidRPr="00015112">
        <w:rPr>
          <w:sz w:val="16"/>
        </w:rPr>
        <w:t xml:space="preserve">. </w:t>
      </w:r>
      <w:r w:rsidRPr="00015112">
        <w:rPr>
          <w:sz w:val="6"/>
          <w:szCs w:val="6"/>
        </w:rPr>
        <w:t xml:space="preserve">The question arises whether this can be any different in scholarly work that is not directly based on ethnographic research itself, and which can therefore not lay claim to a direct experience of ontological controversies. This has become an important question for my own (likewise third-level) work on anti-GMO activism. My work to date has primarily aimed at making a conceptual contribution, and has relied on a conversation between the ethnographic research of others and various bodies of conceptual work, including decolonial and “ontological turn” literature.46 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Westerneducated reader can grasp and “take home”. In the next section, I will draw on two anthropological ethnographic texts that are significant for research on the GMO controversy to show how this works. The two texts that will be analysed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encountered ontological difference. 3. Ontological Encounters in the GMO Controversy According to Susana Carro-Ripalda and Marta Astier,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 The question of whether GMOs do or do not pose a “factual” danger consequently lies outside of the remit of the social sciences, which therefore focus on the social dimension of statements that are made about nature. But as Kregg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 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mata’ (soy kills) as data for social analysis, rather than analysis itself worthy of response.50 However, Hetherington points out that not believing in the truth of the killer bean did not prevent him from “participating in Antonio’s knowledge practices”. 51 Becoming involved in the anti-soy bean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in spite of his lack of belief: it led to him becoming immersed in a relation with both peasants and beans that started to have a physical impact on him—in de la Cadena’s words, he indeed became “partially connected”: 52 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Tordon, could ruin my appetite and make me expect to see people emerge from their homes to show me pustules on their legs and stomachs.53 Similar observations are also found in Carro-Ripalda and Astier’s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Carro-Ripalda and Astier critically reflect on their own perceived failure to become knowledgeable about smallholders’ voices in their research on GM maize cultivation in Mexico. It was through ethnographic fieldwork in rural areas in Central Mexico, in-depth structured interviews, focus groups, participant observation and, finally, a National Workshop in Mexico City with over 50 stakeholders (including smallholder producers) that Carro-Ripalda and Astier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and regulatory spaces”. 56 The public discourse that centres on questions of safety, science, possibilities of regulation and problems of potential contamination, and which is upheld by both GM maize proponents and antiGMO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 Carro-Ripalda and Astier are focused on the dominance of one particular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Carro-Ripalda and Astier’s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 Carro-Ripalda and Astier’s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Carro-Ripalda and Astier argue, “their lives as maize cultivators, their pride in their craft and knowledge, and their ceremonially demanded right to information, choice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by definition the objective of enhancing knowledge and providing improved insight into a certain situation. In its very structure, an academic piece of work aims to resolve and settle, rather than to dislocate, to destabilise, or to provide discomfort. Carro-Ripalda and Astier’s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all of “the complexity of experiences, relations and reasons that bind people to maize”61 is more obvious. Becoming attuned to this complexity is linked to the authors having to become at least “partially connected”—to yet again use de la Cadena’s phrase—to the relations they attempt to trace. It is interesting, for example, that Carro-Ripalda and Astier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emphasised by Blaney and Tickner:62 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 Despite returning to the idea of voices as conveying “meaning” in this quote, meaning is related to sounds, to walking together, to particular places with their own sounds, smells, and colours. The sample of actual “voices” Carro-Ripalda and Astier then choose to present yet again invoke an intricate sense of the relationality of farmers and nonhumans: It is a joy to plant, getting hold of the maize, of a beautiful cob which is pleasant, to go to the harvest, to look at pretty cobs, all regular. Because this is what sustains me. You can see the difference in the seeds straight away … You need to look at the cob and as soon as I grab it I see the difference. It is the person who knows the seed the one who chooses it [for replanting the following year].64 By contrast, GM maize is associated by the smallholders whom Carro-Ripalda and Astier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in order to “sharpen [the] analysis of exactly how power operates, how relations are made and undermined, and with what consequences”. 66 Genetically modified maize is a problem because it is part of particular Mexican neoliberal visions and strategies, but in the context outlined by Carro-Ripalda and Astier, that vision is not only (and not even primarily) made sense of through given frames of knowledge, such as Marxist theories of the exploitation of labour, but sensually, through the way it disrupts the (physical) pleasure and joy that has sustained the farmer-maize-assemblage so far.67 GM technology externalises the maize from farmers and estrange them from their ways of life; and it is only through this externalisation that GM maize becomes perceivable as a potential source of “contamination”, as a danger against which farmers need to “defend” their seeds.68 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on the basis of science itself), while the second goes down the “social” route by either making a case for the need to respect cultural multiplicity, or for the need to prevent economic exploitation. Some activists make use of all of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Carro-Ripalda and Astier, this “unwittingly reinforce[es] images of smallholder producers as passive, timeless and voiceless.”70 This leads to precisely the sort of romanticised reification of “difference” that I have critiqued in the previous section of this article—paradoxically, in this case, on the basis of an ontology that is deeply modern, as it regards both “things” and “people” as ontologically stable and classifiable. By contrast, the authors of the two texts I have analysed in this section trace ontological encounters that cannot be contained by the nature/culture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 This article itself is now coming up to what would normally be a conclusion—i.e. the treacherous waters of nailing its contribution to knowledge. Given that this article is yet again another “third-level” engagement with questions of ontology and decoloniality, the question is whether there is any way to avoid this pull of hegemonic modes of academic knowledge production. Rather than providing a conclusion and reiterate the core argument that the article has made, I will attempt to finish this piece by raising even more questions, and by providing some further reflections. 4. Turtles all the Way Down: (Further) Reflections on What Questions to Ask 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“third-level” sense-making of ontological encounters. The contribution of third-level analysis is usually a conceptual one, which makes it by definition veer towards the general and abstract rather than the concrete. In relation to the literature on decolonial thought and the ontological turn, this becomes manifest in three different (yet interrelated) ways: first, in the desire to provide an understanding of ontology that enables a conceptualisation of the former as multiple. Drawing on the work of Mario Blaser and Eduardo Viveiros de Castro respectively, Rojas and Blaney and Tickner argue that ontology can be thought of as multiple if reality is understood as always being “enacted” or “performed”. 72 This is what Blaser calls an understanding of ontology as “materialsemiotic”: one that 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 What sort of questions drive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storyteller, because the truth of the story lies in the paths to rightful action that it outlines, rather than what it has to say about the “reality” of the world. But when the Westerner insists on the question, the answer finally is: “‘Well, then there must be turtles all the way down’.”77 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pluriversal, … The point is not whether this argument about reality and politics is right or wrong. The point is to recognise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analysed in the previous section in relation to the GMO controversy, the final argument that is made (e.g. about peasants’ economic and cultural rights) is yet again lucid and comprehensible to an audience that seeks to comprehend “stuff” within modern parameters. Where to go from here (particularly as a white, European scholar)? As suggested by Tucker, one way might be to engage in much more direct, ethnographic research, which would enable more direct experience of ontological encounters. Despite previously-mentioned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scholars numerous times.79 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 </w:t>
      </w:r>
      <w:r w:rsidRPr="00015112">
        <w:rPr>
          <w:sz w:val="16"/>
        </w:rPr>
        <w:t xml:space="preserve">Although this sort of embodied self-reflection on a writer’s “situatedness” (which in my own case means being “on the colonising side of a divide”81) has obviously been advanced by many critical scholars for decades (including feminists and post- as well as decolonial scholars), this article has hopefully shown that </w:t>
      </w:r>
      <w:r w:rsidRPr="00015112">
        <w:rPr>
          <w:rStyle w:val="StyleUnderline"/>
        </w:rPr>
        <w:t>there is still (</w:t>
      </w:r>
      <w:r w:rsidRPr="00015112">
        <w:rPr>
          <w:rStyle w:val="Emphasis"/>
        </w:rPr>
        <w:t>always</w:t>
      </w:r>
      <w:r w:rsidRPr="00015112">
        <w:rPr>
          <w:rStyle w:val="StyleUnderline"/>
        </w:rPr>
        <w:t xml:space="preserve">) a </w:t>
      </w:r>
      <w:r w:rsidRPr="00015112">
        <w:rPr>
          <w:rStyle w:val="Emphasis"/>
        </w:rPr>
        <w:t>need to go further</w:t>
      </w:r>
      <w:r w:rsidRPr="00015112">
        <w:rPr>
          <w:rStyle w:val="StyleUnderline"/>
        </w:rPr>
        <w:t xml:space="preserve">, in order to </w:t>
      </w:r>
      <w:r w:rsidRPr="00015112">
        <w:rPr>
          <w:rStyle w:val="Emphasis"/>
        </w:rPr>
        <w:t>more fundamentally challenge hegemonic</w:t>
      </w:r>
      <w:r w:rsidRPr="00015112">
        <w:rPr>
          <w:rStyle w:val="StyleUnderline"/>
        </w:rPr>
        <w:t xml:space="preserve">, </w:t>
      </w:r>
      <w:r w:rsidRPr="00015112">
        <w:rPr>
          <w:rStyle w:val="Emphasis"/>
        </w:rPr>
        <w:t>modern/colonial modes</w:t>
      </w:r>
      <w:r w:rsidRPr="00015112">
        <w:rPr>
          <w:rStyle w:val="StyleUnderline"/>
        </w:rPr>
        <w:t xml:space="preserve"> of knowledge production</w:t>
      </w:r>
      <w:r w:rsidRPr="00015112">
        <w:rPr>
          <w:sz w:val="16"/>
        </w:rPr>
        <w:t xml:space="preserve">. The sense of unease that I have outlined in section two was particularly strong when reading conclusions that were geared towards making recommendations for the discipline of IR, or for “international politics”, as such. </w:t>
      </w:r>
      <w:r w:rsidRPr="00015112">
        <w:rPr>
          <w:rStyle w:val="StyleUnderline"/>
        </w:rPr>
        <w:t xml:space="preserve">Aiming to </w:t>
      </w:r>
      <w:r w:rsidRPr="00015112">
        <w:rPr>
          <w:rStyle w:val="Emphasis"/>
        </w:rPr>
        <w:t>make generic conclusions for entire disciplines</w:t>
      </w:r>
      <w:r w:rsidRPr="00015112">
        <w:rPr>
          <w:rStyle w:val="StyleUnderline"/>
        </w:rPr>
        <w:t xml:space="preserve">, </w:t>
      </w:r>
      <w:r w:rsidRPr="00015112">
        <w:rPr>
          <w:rStyle w:val="Emphasis"/>
        </w:rPr>
        <w:t>political fields</w:t>
      </w:r>
      <w:r w:rsidRPr="00015112">
        <w:rPr>
          <w:rStyle w:val="StyleUnderline"/>
        </w:rPr>
        <w:t>, or global “</w:t>
      </w:r>
      <w:r w:rsidRPr="00015112">
        <w:rPr>
          <w:rStyle w:val="Emphasis"/>
        </w:rPr>
        <w:t>issues</w:t>
      </w:r>
      <w:r w:rsidRPr="00015112">
        <w:rPr>
          <w:rStyle w:val="StyleUnderline"/>
        </w:rPr>
        <w:t xml:space="preserve">” </w:t>
      </w:r>
      <w:r w:rsidRPr="00015112">
        <w:rPr>
          <w:rStyle w:val="Emphasis"/>
        </w:rPr>
        <w:t>pushes the generality</w:t>
      </w:r>
      <w:r w:rsidRPr="00015112">
        <w:rPr>
          <w:rStyle w:val="StyleUnderline"/>
        </w:rPr>
        <w:t xml:space="preserve"> and </w:t>
      </w:r>
      <w:r w:rsidRPr="00015112">
        <w:rPr>
          <w:rStyle w:val="Emphasis"/>
        </w:rPr>
        <w:t>abstraction</w:t>
      </w:r>
      <w:r w:rsidRPr="00015112">
        <w:rPr>
          <w:rStyle w:val="StyleUnderline"/>
        </w:rPr>
        <w:t xml:space="preserve"> of a contribution </w:t>
      </w:r>
      <w:r w:rsidRPr="00015112">
        <w:rPr>
          <w:rStyle w:val="Emphasis"/>
        </w:rPr>
        <w:t>even further away</w:t>
      </w:r>
      <w:r w:rsidRPr="00015112">
        <w:rPr>
          <w:rStyle w:val="StyleUnderline"/>
        </w:rPr>
        <w:t xml:space="preserve"> from an </w:t>
      </w:r>
      <w:r w:rsidRPr="00015112">
        <w:rPr>
          <w:rStyle w:val="Emphasis"/>
        </w:rPr>
        <w:t>advocacy of the concrete</w:t>
      </w:r>
      <w:r w:rsidRPr="00015112">
        <w:rPr>
          <w:sz w:val="16"/>
        </w:rPr>
        <w:t xml:space="preserve">. Why, and to whom, does it matter whether IR, as a discipline, or international politics, as object of study, becomes more pluriversal or not? What are the actual benefits of the concept of the pluriverse in the first place? Or to pick up the theme of this special issue: why does it matter whether IR is, or should move into, a mode of affirmation rather than critique?82 Why is this a good question to ask—and for whom? </w:t>
      </w:r>
      <w:r w:rsidRPr="00015112">
        <w:rPr>
          <w:rStyle w:val="StyleUnderline"/>
        </w:rPr>
        <w:t xml:space="preserve">This is </w:t>
      </w:r>
      <w:r w:rsidRPr="00015112">
        <w:rPr>
          <w:rStyle w:val="Emphasis"/>
        </w:rPr>
        <w:t>not just a theoretical problem</w:t>
      </w:r>
      <w:r w:rsidRPr="00015112">
        <w:rPr>
          <w:rStyle w:val="StyleUnderline"/>
        </w:rPr>
        <w:t xml:space="preserve">, but it has </w:t>
      </w:r>
      <w:r w:rsidRPr="00015112">
        <w:rPr>
          <w:rStyle w:val="Emphasis"/>
        </w:rPr>
        <w:t>real-life consequences for actually-existing decolonial struggles</w:t>
      </w:r>
      <w:r w:rsidRPr="00015112">
        <w:rPr>
          <w:rStyle w:val="StyleUnderline"/>
        </w:rPr>
        <w:t xml:space="preserve">. The desire for </w:t>
      </w:r>
      <w:r w:rsidRPr="00015112">
        <w:rPr>
          <w:rStyle w:val="Emphasis"/>
        </w:rPr>
        <w:t>making a generic argument</w:t>
      </w:r>
      <w:r w:rsidRPr="00015112">
        <w:rPr>
          <w:rStyle w:val="StyleUnderline"/>
        </w:rPr>
        <w:t xml:space="preserve"> about relational ontologies and a pluriversal politics </w:t>
      </w:r>
      <w:r w:rsidRPr="00015112">
        <w:rPr>
          <w:rStyle w:val="Emphasis"/>
        </w:rPr>
        <w:t>harbours the danger of making a huge variety of demands</w:t>
      </w:r>
      <w:r w:rsidRPr="00015112">
        <w:rPr>
          <w:rStyle w:val="StyleUnderline"/>
        </w:rPr>
        <w:t xml:space="preserve"> and </w:t>
      </w:r>
      <w:r w:rsidRPr="00015112">
        <w:rPr>
          <w:rStyle w:val="Emphasis"/>
        </w:rPr>
        <w:t>struggles that often exist in tension</w:t>
      </w:r>
      <w:r w:rsidRPr="00015112">
        <w:rPr>
          <w:rStyle w:val="StyleUnderline"/>
        </w:rPr>
        <w:t xml:space="preserve"> and </w:t>
      </w:r>
      <w:r w:rsidRPr="00015112">
        <w:rPr>
          <w:rStyle w:val="Emphasis"/>
        </w:rPr>
        <w:t>contradiction</w:t>
      </w:r>
      <w:r w:rsidRPr="00015112">
        <w:rPr>
          <w:rStyle w:val="StyleUnderline"/>
        </w:rPr>
        <w:t xml:space="preserve"> with each other </w:t>
      </w:r>
      <w:r w:rsidRPr="00015112">
        <w:rPr>
          <w:rStyle w:val="Emphasis"/>
        </w:rPr>
        <w:t>commensurable</w:t>
      </w:r>
      <w:r w:rsidRPr="00015112">
        <w:rPr>
          <w:sz w:val="16"/>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Mignolo and Arturo Escobar advocate a transnational fight for global justice and are enthusiastic about the potential of global movements to achieve that aim together.85 Like Mignolo, Rojas explicitly draws on the World Social Forum slogan “Another world is possible” as well as the Zapatistas slogan of “a world where many words fit” to make her case about the need for a pluriversal understanding of emancipatory-decolonial politics.86 </w:t>
      </w:r>
      <w:r w:rsidRPr="00015112">
        <w:rPr>
          <w:rStyle w:val="StyleUnderline"/>
        </w:rPr>
        <w:t>While</w:t>
      </w:r>
      <w:r w:rsidRPr="00015112">
        <w:rPr>
          <w:sz w:val="16"/>
        </w:rPr>
        <w:t xml:space="preserve"> it can be argued that </w:t>
      </w:r>
      <w:r w:rsidRPr="00015112">
        <w:rPr>
          <w:rStyle w:val="StyleUnderline"/>
        </w:rPr>
        <w:t xml:space="preserve">this problem of </w:t>
      </w:r>
      <w:r w:rsidRPr="00015112">
        <w:rPr>
          <w:rStyle w:val="Emphasis"/>
        </w:rPr>
        <w:t>seeing all these struggles</w:t>
      </w:r>
      <w:r w:rsidRPr="00015112">
        <w:rPr>
          <w:rStyle w:val="StyleUnderline"/>
        </w:rPr>
        <w:t xml:space="preserve"> and </w:t>
      </w:r>
      <w:r w:rsidRPr="00015112">
        <w:rPr>
          <w:rStyle w:val="Emphasis"/>
        </w:rPr>
        <w:t>demands as commensurable</w:t>
      </w:r>
      <w:r w:rsidRPr="00015112">
        <w:rPr>
          <w:rStyle w:val="StyleUnderline"/>
        </w:rPr>
        <w:t xml:space="preserve"> goes back to a </w:t>
      </w:r>
      <w:r w:rsidRPr="00015112">
        <w:rPr>
          <w:rStyle w:val="Emphasis"/>
        </w:rPr>
        <w:t>lack of actual engagement with particular decolonial practices</w:t>
      </w:r>
      <w:r w:rsidRPr="00015112">
        <w:rPr>
          <w:rStyle w:val="StyleUnderline"/>
        </w:rPr>
        <w:t xml:space="preserve"> and </w:t>
      </w:r>
      <w:r w:rsidRPr="00015112">
        <w:rPr>
          <w:rStyle w:val="Emphasis"/>
        </w:rPr>
        <w:t>battles</w:t>
      </w:r>
      <w:r w:rsidRPr="00015112">
        <w:rPr>
          <w:sz w:val="16"/>
        </w:rPr>
        <w:t xml:space="preserve">, what I have argued in this article is that </w:t>
      </w:r>
      <w:r w:rsidRPr="00015112">
        <w:rPr>
          <w:rStyle w:val="StyleUnderline"/>
        </w:rPr>
        <w:t xml:space="preserve">it is also related to the problem of </w:t>
      </w:r>
      <w:r w:rsidRPr="00015112">
        <w:rPr>
          <w:rStyle w:val="Emphasis"/>
        </w:rPr>
        <w:t>how</w:t>
      </w:r>
      <w:r w:rsidRPr="00015112">
        <w:rPr>
          <w:rStyle w:val="StyleUnderline"/>
        </w:rPr>
        <w:t xml:space="preserve"> and </w:t>
      </w:r>
      <w:r w:rsidRPr="00015112">
        <w:rPr>
          <w:rStyle w:val="Emphasis"/>
        </w:rPr>
        <w:t>what sort of knowledge is produced</w:t>
      </w:r>
      <w:r w:rsidRPr="00015112">
        <w:rPr>
          <w:rStyle w:val="StyleUnderline"/>
        </w:rPr>
        <w:t xml:space="preserve"> and </w:t>
      </w:r>
      <w:r w:rsidRPr="00015112">
        <w:rPr>
          <w:rStyle w:val="Emphasis"/>
        </w:rPr>
        <w:t>valued</w:t>
      </w:r>
      <w:r w:rsidRPr="00015112">
        <w:rPr>
          <w:rStyle w:val="StyleUnderline"/>
        </w:rPr>
        <w:t xml:space="preserve"> in the Western academy: knowledge that is </w:t>
      </w:r>
      <w:r w:rsidRPr="00015112">
        <w:rPr>
          <w:rStyle w:val="Emphasis"/>
        </w:rPr>
        <w:t>abstract</w:t>
      </w:r>
      <w:r w:rsidRPr="00015112">
        <w:rPr>
          <w:rStyle w:val="StyleUnderline"/>
        </w:rPr>
        <w:t xml:space="preserve">, </w:t>
      </w:r>
      <w:r w:rsidRPr="00015112">
        <w:rPr>
          <w:rStyle w:val="Emphasis"/>
        </w:rPr>
        <w:t>generic</w:t>
      </w:r>
      <w:r w:rsidRPr="00015112">
        <w:rPr>
          <w:rStyle w:val="StyleUnderline"/>
        </w:rPr>
        <w:t xml:space="preserve">, and </w:t>
      </w:r>
      <w:r w:rsidRPr="00015112">
        <w:rPr>
          <w:rStyle w:val="Emphasis"/>
        </w:rPr>
        <w:t>applicable beyond a specific context</w:t>
      </w:r>
      <w:r w:rsidRPr="00015112">
        <w:rPr>
          <w:rStyle w:val="StyleUnderline"/>
        </w:rPr>
        <w:t xml:space="preserve">. Knowledge that is </w:t>
      </w:r>
      <w:r w:rsidRPr="00015112">
        <w:rPr>
          <w:rStyle w:val="Emphasis"/>
        </w:rPr>
        <w:t>driven</w:t>
      </w:r>
      <w:r w:rsidRPr="00015112">
        <w:rPr>
          <w:rStyle w:val="StyleUnderline"/>
        </w:rPr>
        <w:t xml:space="preserve"> by the desire to </w:t>
      </w:r>
      <w:r w:rsidRPr="00015112">
        <w:rPr>
          <w:rStyle w:val="Emphasis"/>
        </w:rPr>
        <w:t>know what is</w:t>
      </w:r>
      <w:r w:rsidRPr="00015112">
        <w:rPr>
          <w:rStyle w:val="StyleUnderline"/>
        </w:rPr>
        <w:t>.</w:t>
      </w:r>
      <w:r w:rsidRPr="00015112">
        <w:rPr>
          <w:sz w:val="16"/>
        </w:rPr>
        <w:t xml:space="preserve"> Knowledge that desires to know what holds the turtle—all the way down.</w:t>
      </w:r>
    </w:p>
    <w:p w14:paraId="74C9D0F4" w14:textId="77777777" w:rsidR="00F73E99" w:rsidRPr="00015112" w:rsidRDefault="00F73E99" w:rsidP="00F73E99"/>
    <w:p w14:paraId="65EDE59C" w14:textId="4CD79539" w:rsidR="005E1BEC" w:rsidRPr="00015112" w:rsidRDefault="005E1BEC" w:rsidP="005E1BEC">
      <w:pPr>
        <w:pStyle w:val="Heading3"/>
      </w:pPr>
      <w:r w:rsidRPr="00015112">
        <w:t>2AC – AT: Ontology</w:t>
      </w:r>
    </w:p>
    <w:p w14:paraId="42F1098E" w14:textId="77777777" w:rsidR="005E1BEC" w:rsidRPr="00015112" w:rsidRDefault="005E1BEC" w:rsidP="005E1BEC">
      <w:pPr>
        <w:pStyle w:val="Heading4"/>
      </w:pPr>
      <w:r w:rsidRPr="00015112">
        <w:t xml:space="preserve">Sweeping theories of radical indigenous ontological difference ignore the </w:t>
      </w:r>
      <w:r w:rsidRPr="00015112">
        <w:rPr>
          <w:u w:val="single"/>
        </w:rPr>
        <w:t>nuances</w:t>
      </w:r>
      <w:r w:rsidRPr="00015112">
        <w:t xml:space="preserve"> of </w:t>
      </w:r>
      <w:r w:rsidRPr="00015112">
        <w:rPr>
          <w:u w:val="single"/>
        </w:rPr>
        <w:t>actual struggles</w:t>
      </w:r>
      <w:r w:rsidRPr="00015112">
        <w:t xml:space="preserve"> that </w:t>
      </w:r>
      <w:r w:rsidRPr="00015112">
        <w:rPr>
          <w:u w:val="single"/>
        </w:rPr>
        <w:t>strategically repurpose settler categories</w:t>
      </w:r>
      <w:r w:rsidRPr="00015112">
        <w:t xml:space="preserve"> </w:t>
      </w:r>
    </w:p>
    <w:p w14:paraId="34086800" w14:textId="77777777" w:rsidR="005E1BEC" w:rsidRPr="00015112" w:rsidRDefault="005E1BEC" w:rsidP="005E1BEC">
      <w:r w:rsidRPr="00015112">
        <w:rPr>
          <w:rStyle w:val="Style13ptBold"/>
        </w:rPr>
        <w:t>Rosenow, 19</w:t>
      </w:r>
      <w:r w:rsidRPr="00015112">
        <w:t>—Senior Lecturer in International Relations at Oxford Brookes University (Doerthe, “Decolonising the Decolonisers? Of Ontological Encounters in the GMO Controversy and Beyond,” Global Society, 33:1, 82-99, dml)</w:t>
      </w:r>
    </w:p>
    <w:p w14:paraId="4AB5FE7E" w14:textId="497B0752" w:rsidR="005E1BEC" w:rsidRPr="00015112" w:rsidRDefault="005E1BEC" w:rsidP="005E1BEC">
      <w:pPr>
        <w:rPr>
          <w:sz w:val="16"/>
        </w:rPr>
      </w:pPr>
      <w:r w:rsidRPr="00015112">
        <w:rPr>
          <w:sz w:val="16"/>
        </w:rPr>
        <w:t xml:space="preserve">Despite the force and importance of this argument, I have felt slightly uneasy when reading those conclusions. </w:t>
      </w:r>
      <w:r w:rsidRPr="00015112">
        <w:rPr>
          <w:rStyle w:val="StyleUnderline"/>
        </w:rPr>
        <w:t xml:space="preserve">Focusing on </w:t>
      </w:r>
      <w:r w:rsidRPr="00015112">
        <w:rPr>
          <w:rStyle w:val="Emphasis"/>
        </w:rPr>
        <w:t>radical ontological difference</w:t>
      </w:r>
      <w:r w:rsidRPr="00015112">
        <w:rPr>
          <w:rStyle w:val="StyleUnderline"/>
        </w:rPr>
        <w:t xml:space="preserve"> can </w:t>
      </w:r>
      <w:r w:rsidRPr="00015112">
        <w:rPr>
          <w:rStyle w:val="Emphasis"/>
        </w:rPr>
        <w:t>easily lead</w:t>
      </w:r>
      <w:r w:rsidRPr="00015112">
        <w:rPr>
          <w:rStyle w:val="StyleUnderline"/>
        </w:rPr>
        <w:t xml:space="preserve"> to a </w:t>
      </w:r>
      <w:r w:rsidRPr="00015112">
        <w:rPr>
          <w:rStyle w:val="Emphasis"/>
        </w:rPr>
        <w:t>romanticised reification</w:t>
      </w:r>
      <w:r w:rsidRPr="00015112">
        <w:rPr>
          <w:rStyle w:val="StyleUnderline"/>
        </w:rPr>
        <w:t xml:space="preserve"> of other peoples’ difference that is </w:t>
      </w:r>
      <w:r w:rsidRPr="00015112">
        <w:rPr>
          <w:rStyle w:val="Emphasis"/>
        </w:rPr>
        <w:t>in danger of ignoring actual political struggles</w:t>
      </w:r>
      <w:r w:rsidRPr="00015112">
        <w:rPr>
          <w:rStyle w:val="StyleUnderline"/>
        </w:rPr>
        <w:t xml:space="preserve"> and </w:t>
      </w:r>
      <w:r w:rsidRPr="00015112">
        <w:rPr>
          <w:rStyle w:val="Emphasis"/>
        </w:rPr>
        <w:t>demands on the ground</w:t>
      </w:r>
      <w:r w:rsidRPr="00015112">
        <w:rPr>
          <w:sz w:val="16"/>
        </w:rPr>
        <w:t xml:space="preserve">. As Cusicanqui argues, </w:t>
      </w:r>
      <w:r w:rsidRPr="00015112">
        <w:rPr>
          <w:rStyle w:val="StyleUnderline"/>
        </w:rPr>
        <w:t xml:space="preserve">those struggles </w:t>
      </w:r>
      <w:r w:rsidRPr="00015112">
        <w:rPr>
          <w:rStyle w:val="Emphasis"/>
        </w:rPr>
        <w:t>might very well emerge</w:t>
      </w:r>
      <w:r w:rsidRPr="00015112">
        <w:rPr>
          <w:rStyle w:val="StyleUnderline"/>
        </w:rPr>
        <w:t xml:space="preserve"> out of an “</w:t>
      </w:r>
      <w:r w:rsidRPr="00015112">
        <w:rPr>
          <w:rStyle w:val="Emphasis"/>
        </w:rPr>
        <w:t>indigenous modernity</w:t>
      </w:r>
      <w:r w:rsidRPr="00015112">
        <w:rPr>
          <w:rStyle w:val="StyleUnderline"/>
        </w:rPr>
        <w:t xml:space="preserve">”, </w:t>
      </w:r>
      <w:r w:rsidRPr="00015112">
        <w:rPr>
          <w:rStyle w:val="Emphasis"/>
        </w:rPr>
        <w:t>rather than an insistence</w:t>
      </w:r>
      <w:r w:rsidRPr="00015112">
        <w:rPr>
          <w:rStyle w:val="StyleUnderline"/>
        </w:rPr>
        <w:t xml:space="preserve"> on the </w:t>
      </w:r>
      <w:r w:rsidRPr="00015112">
        <w:rPr>
          <w:rStyle w:val="Emphasis"/>
        </w:rPr>
        <w:t>right to one’s difference</w:t>
      </w:r>
      <w:r w:rsidRPr="00015112">
        <w:rPr>
          <w:sz w:val="16"/>
        </w:rPr>
        <w:t xml:space="preserve">. By this she means that </w:t>
      </w:r>
      <w:r w:rsidRPr="00015112">
        <w:rPr>
          <w:rStyle w:val="StyleUnderline"/>
        </w:rPr>
        <w:t xml:space="preserve">some Indigenous people aim to </w:t>
      </w:r>
      <w:r w:rsidRPr="00015112">
        <w:rPr>
          <w:rStyle w:val="Emphasis"/>
        </w:rPr>
        <w:t>formulate a hegemonic vision</w:t>
      </w:r>
      <w:r w:rsidRPr="00015112">
        <w:rPr>
          <w:rStyle w:val="StyleUnderline"/>
        </w:rPr>
        <w:t xml:space="preserve"> for how to structure a society that is </w:t>
      </w:r>
      <w:r w:rsidRPr="00015112">
        <w:rPr>
          <w:rStyle w:val="Emphasis"/>
        </w:rPr>
        <w:t>valid for everyone</w:t>
      </w:r>
      <w:r w:rsidRPr="00015112">
        <w:rPr>
          <w:rStyle w:val="StyleUnderline"/>
        </w:rPr>
        <w:t xml:space="preserve"> (Indigenous </w:t>
      </w:r>
      <w:r w:rsidRPr="00015112">
        <w:rPr>
          <w:rStyle w:val="Emphasis"/>
        </w:rPr>
        <w:t>AND</w:t>
      </w:r>
      <w:r w:rsidRPr="00015112">
        <w:rPr>
          <w:rStyle w:val="StyleUnderline"/>
        </w:rPr>
        <w:t xml:space="preserve"> non-Indigenous)</w:t>
      </w:r>
      <w:r w:rsidRPr="00015112">
        <w:rPr>
          <w:sz w:val="16"/>
        </w:rPr>
        <w:t xml:space="preserve">: they work for a society that is in their “image and likeness”, </w:t>
      </w:r>
      <w:r w:rsidRPr="00015112">
        <w:rPr>
          <w:rStyle w:val="StyleUnderline"/>
        </w:rPr>
        <w:t>and</w:t>
      </w:r>
      <w:r w:rsidRPr="00015112">
        <w:rPr>
          <w:sz w:val="16"/>
        </w:rPr>
        <w:t xml:space="preserve"> to </w:t>
      </w:r>
      <w:r w:rsidRPr="00015112">
        <w:rPr>
          <w:rStyle w:val="Emphasis"/>
        </w:rPr>
        <w:t>use modern notions</w:t>
      </w:r>
      <w:r w:rsidRPr="00015112">
        <w:rPr>
          <w:rStyle w:val="StyleUnderline"/>
        </w:rPr>
        <w:t xml:space="preserve"> such as “</w:t>
      </w:r>
      <w:r w:rsidRPr="00015112">
        <w:rPr>
          <w:rStyle w:val="Emphasis"/>
        </w:rPr>
        <w:t>citizenship</w:t>
      </w:r>
      <w:r w:rsidRPr="00015112">
        <w:rPr>
          <w:rStyle w:val="StyleUnderline"/>
        </w:rPr>
        <w:t xml:space="preserve">” for this purpose, rather than </w:t>
      </w:r>
      <w:r w:rsidRPr="00015112">
        <w:rPr>
          <w:rStyle w:val="Emphasis"/>
        </w:rPr>
        <w:t>rejecting the latter as irreconcilable with one’s own world</w:t>
      </w:r>
      <w:r w:rsidRPr="00015112">
        <w:rPr>
          <w:sz w:val="16"/>
        </w:rPr>
        <w:t xml:space="preserve">.39 By contrast, </w:t>
      </w:r>
      <w:r w:rsidRPr="00015112">
        <w:rPr>
          <w:rStyle w:val="StyleUnderline"/>
        </w:rPr>
        <w:t>some</w:t>
      </w:r>
      <w:r w:rsidRPr="00015112">
        <w:rPr>
          <w:sz w:val="16"/>
        </w:rPr>
        <w:t xml:space="preserve"> North American Indigenous </w:t>
      </w:r>
      <w:r w:rsidRPr="00015112">
        <w:rPr>
          <w:rStyle w:val="StyleUnderline"/>
        </w:rPr>
        <w:t>intellectuals call for an Indigenous “</w:t>
      </w:r>
      <w:r w:rsidRPr="00015112">
        <w:rPr>
          <w:rStyle w:val="Emphasis"/>
        </w:rPr>
        <w:t>resurgence</w:t>
      </w:r>
      <w:r w:rsidRPr="00015112">
        <w:rPr>
          <w:rStyle w:val="StyleUnderline"/>
        </w:rPr>
        <w:t xml:space="preserve">” that, </w:t>
      </w:r>
      <w:r w:rsidRPr="00015112">
        <w:rPr>
          <w:rStyle w:val="Emphasis"/>
        </w:rPr>
        <w:t>rather than seeking hegemony</w:t>
      </w:r>
      <w:r w:rsidRPr="00015112">
        <w:rPr>
          <w:rStyle w:val="StyleUnderline"/>
        </w:rPr>
        <w:t xml:space="preserve">, altogether </w:t>
      </w:r>
      <w:r w:rsidRPr="00015112">
        <w:rPr>
          <w:rStyle w:val="Emphasis"/>
        </w:rPr>
        <w:t>turns away from seeking recognition</w:t>
      </w:r>
      <w:r w:rsidRPr="00015112">
        <w:rPr>
          <w:rStyle w:val="StyleUnderline"/>
        </w:rPr>
        <w:t xml:space="preserve"> by wider (colonial) “society”</w:t>
      </w:r>
      <w:r w:rsidRPr="00015112">
        <w:rPr>
          <w:sz w:val="16"/>
        </w:rPr>
        <w:t xml:space="preserve">. As Leanne Betasamosake Simpson points out, </w:t>
      </w:r>
      <w:r w:rsidRPr="00015112">
        <w:rPr>
          <w:rStyle w:val="StyleUnderline"/>
        </w:rPr>
        <w:t xml:space="preserve">in such “resurgent mobilization … there is </w:t>
      </w:r>
      <w:r w:rsidRPr="00015112">
        <w:rPr>
          <w:rStyle w:val="Emphasis"/>
        </w:rPr>
        <w:t>virtually no room for white people</w:t>
      </w:r>
      <w:r w:rsidRPr="00015112">
        <w:rPr>
          <w:rStyle w:val="StyleUnderline"/>
        </w:rPr>
        <w:t>”.</w:t>
      </w:r>
      <w:r w:rsidRPr="00015112">
        <w:rPr>
          <w:sz w:val="16"/>
        </w:rPr>
        <w:t xml:space="preserve"> 40 But my unease was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recognising that one’s description does not capture what the encountered practices actually do.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audience—in other words, in the writing-up of her ethnographic research. 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in order to make a conceptual contribution. This takes place via the coining of central concepts and the outlining of all-encompassing frameworks that are meant to help us understand the analytical, normative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 </w:t>
      </w:r>
      <w:r w:rsidRPr="00015112">
        <w:rPr>
          <w:rStyle w:val="StyleUnderline"/>
        </w:rPr>
        <w:t>This is</w:t>
      </w:r>
      <w:r w:rsidRPr="00015112">
        <w:rPr>
          <w:sz w:val="16"/>
        </w:rPr>
        <w:t xml:space="preserve"> also </w:t>
      </w:r>
      <w:r w:rsidRPr="00015112">
        <w:rPr>
          <w:rStyle w:val="StyleUnderline"/>
        </w:rPr>
        <w:t xml:space="preserve">the problem of some </w:t>
      </w:r>
      <w:r w:rsidRPr="00015112">
        <w:rPr>
          <w:rStyle w:val="Emphasis"/>
        </w:rPr>
        <w:t>central decolonial work</w:t>
      </w:r>
      <w:r w:rsidRPr="00015112">
        <w:rPr>
          <w:sz w:val="16"/>
        </w:rPr>
        <w:t xml:space="preserve">. Drawing on Edouard Glissant, Mignolo, for example, critiques the “requirement of transparency” that forms the basis for understanding in Western social science scholarship. He argues for </w:t>
      </w:r>
      <w:r w:rsidRPr="00015112">
        <w:rPr>
          <w:rStyle w:val="StyleUnderline"/>
        </w:rPr>
        <w:t>the “</w:t>
      </w:r>
      <w:r w:rsidRPr="00015112">
        <w:rPr>
          <w:rStyle w:val="Emphasis"/>
        </w:rPr>
        <w:t>right to opacity</w:t>
      </w:r>
      <w:r w:rsidRPr="00015112">
        <w:rPr>
          <w:rStyle w:val="StyleUnderline"/>
        </w:rPr>
        <w:t xml:space="preserve">” of those located on the </w:t>
      </w:r>
      <w:r w:rsidRPr="00015112">
        <w:rPr>
          <w:rStyle w:val="Emphasis"/>
        </w:rPr>
        <w:t>other side of the colonial difference</w:t>
      </w:r>
      <w:r w:rsidRPr="00015112">
        <w:rPr>
          <w:sz w:val="16"/>
        </w:rPr>
        <w:t xml:space="preserve">.41 But this claim sits at odds with his simultaneous desire to write a new, all-encompassing history of “the modern/colonial world system”. 42 And like in Rojas’ and Blaney and Tickner’s articles, terms such as “pluriversality”43 or “diversality”44 </w:t>
      </w:r>
      <w:r w:rsidRPr="00015112">
        <w:rPr>
          <w:rStyle w:val="StyleUnderline"/>
        </w:rPr>
        <w:t>are coined in order to have a (</w:t>
      </w:r>
      <w:r w:rsidRPr="00015112">
        <w:rPr>
          <w:rStyle w:val="Emphasis"/>
        </w:rPr>
        <w:t>one!</w:t>
      </w:r>
      <w:r w:rsidRPr="00015112">
        <w:rPr>
          <w:rStyle w:val="StyleUnderline"/>
        </w:rPr>
        <w:t xml:space="preserve">) concept for a </w:t>
      </w:r>
      <w:r w:rsidRPr="00015112">
        <w:rPr>
          <w:rStyle w:val="Emphasis"/>
        </w:rPr>
        <w:t>similarly all-encompassing solution</w:t>
      </w:r>
      <w:r w:rsidRPr="00015112">
        <w:rPr>
          <w:rStyle w:val="StyleUnderline"/>
        </w:rPr>
        <w:t xml:space="preserve"> to domination</w:t>
      </w:r>
      <w:r w:rsidRPr="00015112">
        <w:rPr>
          <w:sz w:val="16"/>
        </w:rPr>
        <w:t xml:space="preserve">. While de la Cadena is critical of her own “anxiety to understand coherently (with which I meant clearly and without contradiction”), and while she points out how </w:t>
      </w:r>
      <w:r w:rsidRPr="00015112">
        <w:rPr>
          <w:rStyle w:val="StyleUnderline"/>
        </w:rPr>
        <w:t>this</w:t>
      </w:r>
      <w:r w:rsidRPr="00015112">
        <w:rPr>
          <w:sz w:val="16"/>
        </w:rPr>
        <w:t xml:space="preserve"> “was often out of place”, 45 Mignolo as well as Rojas and Blaney and Tickner </w:t>
      </w:r>
      <w:r w:rsidRPr="00015112">
        <w:rPr>
          <w:rStyle w:val="StyleUnderline"/>
        </w:rPr>
        <w:t>seek to place</w:t>
      </w:r>
      <w:r w:rsidRPr="00015112">
        <w:rPr>
          <w:sz w:val="16"/>
        </w:rPr>
        <w:t xml:space="preserve"> such </w:t>
      </w:r>
      <w:r w:rsidRPr="00015112">
        <w:rPr>
          <w:rStyle w:val="StyleUnderline"/>
        </w:rPr>
        <w:t xml:space="preserve">anxiety in </w:t>
      </w:r>
      <w:r w:rsidRPr="00015112">
        <w:rPr>
          <w:rStyle w:val="Emphasis"/>
        </w:rPr>
        <w:t>yet another coherent framework</w:t>
      </w:r>
      <w:r w:rsidRPr="00015112">
        <w:rPr>
          <w:rStyle w:val="StyleUnderline"/>
        </w:rPr>
        <w:t xml:space="preserve"> that </w:t>
      </w:r>
      <w:r w:rsidRPr="00015112">
        <w:rPr>
          <w:rStyle w:val="Emphasis"/>
        </w:rPr>
        <w:t>holds everything together</w:t>
      </w:r>
      <w:r w:rsidRPr="00015112">
        <w:rPr>
          <w:sz w:val="16"/>
        </w:rPr>
        <w:t xml:space="preserve">. </w:t>
      </w:r>
      <w:r w:rsidRPr="00015112">
        <w:rPr>
          <w:sz w:val="6"/>
          <w:szCs w:val="6"/>
        </w:rPr>
        <w:t xml:space="preserve">The question arises whether this can be any different in scholarly work that is not directly based on ethnographic research itself, and which can therefore not lay claim to a direct experience of ontological controversies. This has become an important question for my own (likewise third-level) work on anti-GMO activism. My work to date has primarily aimed at making a conceptual contribution, and has relied on a conversation between the ethnographic research of others and various bodies of conceptual work, including decolonial and “ontological turn” literature.46 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Westerneducated reader can grasp and “take home”. In the next section, I will draw on two anthropological ethnographic texts that are significant for research on the GMO controversy to show how this works. The two texts that will be analysed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encountered ontological difference. 3. Ontological Encounters in the GMO Controversy According to Susana Carro-Ripalda and Marta Astier,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 The question of whether GMOs do or do not pose a “factual” danger consequently lies outside of the remit of the social sciences, which therefore focus on the social dimension of statements that are made about nature. But as Kregg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 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mata’ (soy kills) as data for social analysis, rather than analysis itself worthy of response.50 However, Hetherington points out that not believing in the truth of the killer bean did not prevent him from “participating in Antonio’s knowledge practices”. 51 Becoming involved in the anti-soy bean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in spite of his lack of belief: it led to him becoming immersed in a relation with both peasants and beans that started to have a physical impact on him—in de la Cadena’s words, he indeed became “partially connected”: 52 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Tordon, could ruin my appetite and make me expect to see people emerge from their homes to show me pustules on their legs and stomachs.53 Similar observations are also found in Carro-Ripalda and Astier’s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Carro-Ripalda and Astier critically reflect on their own perceived failure to become knowledgeable about smallholders’ voices in their research on GM maize cultivation in Mexico. It was through ethnographic fieldwork in rural areas in Central Mexico, in-depth structured interviews, focus groups, participant observation and, finally, a National Workshop in Mexico City with over 50 stakeholders (including smallholder producers) that Carro-Ripalda and Astier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and regulatory spaces”. 56 The public discourse that centres on questions of safety, science, possibilities of regulation and problems of potential contamination, and which is upheld by both GM maize proponents and antiGMO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 Carro-Ripalda and Astier are focused on the dominance of one particular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Carro-Ripalda and Astier’s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 Carro-Ripalda and Astier’s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Carro-Ripalda and Astier argue, “their lives as maize cultivators, their pride in their craft and knowledge, and their ceremonially demanded right to information, choice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by definition the objective of enhancing knowledge and providing improved insight into a certain situation. In its very structure, an academic piece of work aims to resolve and settle, rather than to dislocate, to destabilise, or to provide discomfort. Carro-Ripalda and Astier’s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all of “the complexity of experiences, relations and reasons that bind people to maize”61 is more obvious. Becoming attuned to this complexity is linked to the authors having to become at least “partially connected”—to yet again use de la Cadena’s phrase—to the relations they attempt to trace. It is interesting, for example, that Carro-Ripalda and Astier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emphasised by Blaney and Tickner:62 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 Despite returning to the idea of voices as conveying “meaning” in this quote, meaning is related to sounds, to walking together, to particular places with their own sounds, smells, and colours. The sample of actual “voices” Carro-Ripalda and Astier then choose to present yet again invoke an intricate sense of the relationality of farmers and nonhumans: It is a joy to plant, getting hold of the maize, of a beautiful cob which is pleasant, to go to the harvest, to look at pretty cobs, all regular. Because this is what sustains me. You can see the difference in the seeds straight away … You need to look at the cob and as soon as I grab it I see the difference. It is the person who knows the seed the one who chooses it [for replanting the following year].64 By contrast, GM maize is associated by the smallholders whom Carro-Ripalda and Astier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in order to “sharpen [the] analysis of exactly how power operates, how relations are made and undermined, and with what consequences”. 66 Genetically modified maize is a problem because it is part of particular Mexican neoliberal visions and strategies, but in the context outlined by Carro-Ripalda and Astier, that vision is not only (and not even primarily) made sense of through given frames of knowledge, such as Marxist theories of the exploitation of labour, but sensually, through the way it disrupts the (physical) pleasure and joy that has sustained the farmer-maize-assemblage so far.67 GM technology externalises the maize from farmers and estrange them from their ways of life; and it is only through this externalisation that GM maize becomes perceivable as a potential source of “contamination”, as a danger against which farmers need to “defend” their seeds.68 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on the basis of science itself), while the second goes down the “social” route by either making a case for the need to respect cultural multiplicity, or for the need to prevent economic exploitation. Some activists make use of all of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Carro-Ripalda and Astier, this “unwittingly reinforce[es] images of smallholder producers as passive, timeless and voiceless.”70 This leads to precisely the sort of romanticised reification of “difference” that I have critiqued in the previous section of this article—paradoxically, in this case, on the basis of an ontology that is deeply modern, as it regards both “things” and “people” as ontologically stable and classifiable. By contrast, the authors of the two texts I have analysed in this section trace ontological encounters that cannot be contained by the nature/culture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 This article itself is now coming up to what would normally be a conclusion—i.e. the treacherous waters of nailing its contribution to knowledge. Given that this article is yet again another “third-level” engagement with questions of ontology and decoloniality, the question is whether there is any way to avoid this pull of hegemonic modes of academic knowledge production. Rather than providing a conclusion and reiterate the core argument that the article has made, I will attempt to finish this piece by raising even more questions, and by providing some further reflections. 4. Turtles all the Way Down: (Further) Reflections on What Questions to Ask 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“third-level” sense-making of ontological encounters. The contribution of third-level analysis is usually a conceptual one, which makes it by definition veer towards the general and abstract rather than the concrete. In relation to the literature on decolonial thought and the ontological turn, this becomes manifest in three different (yet interrelated) ways: first, in the desire to provide an understanding of ontology that enables a conceptualisation of the former as multiple. Drawing on the work of Mario Blaser and Eduardo Viveiros de Castro respectively, Rojas and Blaney and Tickner argue that ontology can be thought of as multiple if reality is understood as always being “enacted” or “performed”. 72 This is what Blaser calls an understanding of ontology as “materialsemiotic”: one that 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 What sort of questions drive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storyteller, because the truth of the story lies in the paths to rightful action that it outlines, rather than what it has to say about the “reality” of the world. But when the Westerner insists on the question, the answer finally is: “‘Well, then there must be turtles all the way down’.”77 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pluriversal, … The point is not whether this argument about reality and politics is right or wrong. The point is to recognise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analysed in the previous section in relation to the GMO controversy, the final argument that is made (e.g. about peasants’ economic and cultural rights) is yet again lucid and comprehensible to an audience that seeks to comprehend “stuff” within modern parameters. Where to go from here (particularly as a white, European scholar)? As suggested by Tucker, one way might be to engage in much more direct, ethnographic research, which would enable more direct experience of ontological encounters. Despite previously-mentioned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scholars numerous times.79 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 </w:t>
      </w:r>
      <w:r w:rsidRPr="00015112">
        <w:rPr>
          <w:sz w:val="16"/>
        </w:rPr>
        <w:t xml:space="preserve">Although this sort of embodied self-reflection on a writer’s “situatedness” (which in my own case means being “on the colonising side of a divide”81) has obviously been advanced by many critical scholars for decades (including feminists and post- as well as decolonial scholars), this article has hopefully shown that </w:t>
      </w:r>
      <w:r w:rsidRPr="00015112">
        <w:rPr>
          <w:rStyle w:val="StyleUnderline"/>
        </w:rPr>
        <w:t>there is still (</w:t>
      </w:r>
      <w:r w:rsidRPr="00015112">
        <w:rPr>
          <w:rStyle w:val="Emphasis"/>
        </w:rPr>
        <w:t>always</w:t>
      </w:r>
      <w:r w:rsidRPr="00015112">
        <w:rPr>
          <w:rStyle w:val="StyleUnderline"/>
        </w:rPr>
        <w:t xml:space="preserve">) a </w:t>
      </w:r>
      <w:r w:rsidRPr="00015112">
        <w:rPr>
          <w:rStyle w:val="Emphasis"/>
        </w:rPr>
        <w:t>need to go further</w:t>
      </w:r>
      <w:r w:rsidRPr="00015112">
        <w:rPr>
          <w:rStyle w:val="StyleUnderline"/>
        </w:rPr>
        <w:t xml:space="preserve">, in order to </w:t>
      </w:r>
      <w:r w:rsidRPr="00015112">
        <w:rPr>
          <w:rStyle w:val="Emphasis"/>
        </w:rPr>
        <w:t>more fundamentally challenge hegemonic</w:t>
      </w:r>
      <w:r w:rsidRPr="00015112">
        <w:rPr>
          <w:rStyle w:val="StyleUnderline"/>
        </w:rPr>
        <w:t xml:space="preserve">, </w:t>
      </w:r>
      <w:r w:rsidRPr="00015112">
        <w:rPr>
          <w:rStyle w:val="Emphasis"/>
        </w:rPr>
        <w:t>modern/colonial modes</w:t>
      </w:r>
      <w:r w:rsidRPr="00015112">
        <w:rPr>
          <w:rStyle w:val="StyleUnderline"/>
        </w:rPr>
        <w:t xml:space="preserve"> of knowledge production</w:t>
      </w:r>
      <w:r w:rsidRPr="00015112">
        <w:rPr>
          <w:sz w:val="16"/>
        </w:rPr>
        <w:t xml:space="preserve">. The sense of unease that I have outlined in section two was particularly strong when reading conclusions that were geared towards making recommendations for the discipline of IR, or for “international politics”, as such. </w:t>
      </w:r>
      <w:r w:rsidRPr="00015112">
        <w:rPr>
          <w:rStyle w:val="StyleUnderline"/>
        </w:rPr>
        <w:t xml:space="preserve">Aiming to </w:t>
      </w:r>
      <w:r w:rsidRPr="00015112">
        <w:rPr>
          <w:rStyle w:val="Emphasis"/>
        </w:rPr>
        <w:t>make generic conclusions for entire disciplines</w:t>
      </w:r>
      <w:r w:rsidRPr="00015112">
        <w:rPr>
          <w:rStyle w:val="StyleUnderline"/>
        </w:rPr>
        <w:t xml:space="preserve">, </w:t>
      </w:r>
      <w:r w:rsidRPr="00015112">
        <w:rPr>
          <w:rStyle w:val="Emphasis"/>
        </w:rPr>
        <w:t>political fields</w:t>
      </w:r>
      <w:r w:rsidRPr="00015112">
        <w:rPr>
          <w:rStyle w:val="StyleUnderline"/>
        </w:rPr>
        <w:t>, or global “</w:t>
      </w:r>
      <w:r w:rsidRPr="00015112">
        <w:rPr>
          <w:rStyle w:val="Emphasis"/>
        </w:rPr>
        <w:t>issues</w:t>
      </w:r>
      <w:r w:rsidRPr="00015112">
        <w:rPr>
          <w:rStyle w:val="StyleUnderline"/>
        </w:rPr>
        <w:t xml:space="preserve">” </w:t>
      </w:r>
      <w:r w:rsidRPr="00015112">
        <w:rPr>
          <w:rStyle w:val="Emphasis"/>
        </w:rPr>
        <w:t>pushes the generality</w:t>
      </w:r>
      <w:r w:rsidRPr="00015112">
        <w:rPr>
          <w:rStyle w:val="StyleUnderline"/>
        </w:rPr>
        <w:t xml:space="preserve"> and </w:t>
      </w:r>
      <w:r w:rsidRPr="00015112">
        <w:rPr>
          <w:rStyle w:val="Emphasis"/>
        </w:rPr>
        <w:t>abstraction</w:t>
      </w:r>
      <w:r w:rsidRPr="00015112">
        <w:rPr>
          <w:rStyle w:val="StyleUnderline"/>
        </w:rPr>
        <w:t xml:space="preserve"> of a contribution </w:t>
      </w:r>
      <w:r w:rsidRPr="00015112">
        <w:rPr>
          <w:rStyle w:val="Emphasis"/>
        </w:rPr>
        <w:t>even further away</w:t>
      </w:r>
      <w:r w:rsidRPr="00015112">
        <w:rPr>
          <w:rStyle w:val="StyleUnderline"/>
        </w:rPr>
        <w:t xml:space="preserve"> from an </w:t>
      </w:r>
      <w:r w:rsidRPr="00015112">
        <w:rPr>
          <w:rStyle w:val="Emphasis"/>
        </w:rPr>
        <w:t>advocacy of the concrete</w:t>
      </w:r>
      <w:r w:rsidRPr="00015112">
        <w:rPr>
          <w:sz w:val="16"/>
        </w:rPr>
        <w:t xml:space="preserve">. Why, and to whom, does it matter whether IR, as a discipline, or international politics, as object of study, becomes more pluriversal or not? What are the actual benefits of the concept of the pluriverse in the first place? Or to pick up the theme of this special issue: why does it matter whether IR is, or should move into, a mode of affirmation rather than critique?82 Why is this a good question to ask—and for whom? </w:t>
      </w:r>
      <w:r w:rsidRPr="00015112">
        <w:rPr>
          <w:rStyle w:val="StyleUnderline"/>
        </w:rPr>
        <w:t xml:space="preserve">This is </w:t>
      </w:r>
      <w:r w:rsidRPr="00015112">
        <w:rPr>
          <w:rStyle w:val="Emphasis"/>
        </w:rPr>
        <w:t>not just a theoretical problem</w:t>
      </w:r>
      <w:r w:rsidRPr="00015112">
        <w:rPr>
          <w:rStyle w:val="StyleUnderline"/>
        </w:rPr>
        <w:t xml:space="preserve">, but it has </w:t>
      </w:r>
      <w:r w:rsidRPr="00015112">
        <w:rPr>
          <w:rStyle w:val="Emphasis"/>
        </w:rPr>
        <w:t>real-life consequences for actually-existing decolonial struggles</w:t>
      </w:r>
      <w:r w:rsidRPr="00015112">
        <w:rPr>
          <w:rStyle w:val="StyleUnderline"/>
        </w:rPr>
        <w:t xml:space="preserve">. The desire for </w:t>
      </w:r>
      <w:r w:rsidRPr="00015112">
        <w:rPr>
          <w:rStyle w:val="Emphasis"/>
        </w:rPr>
        <w:t>making a generic argument</w:t>
      </w:r>
      <w:r w:rsidRPr="00015112">
        <w:rPr>
          <w:rStyle w:val="StyleUnderline"/>
        </w:rPr>
        <w:t xml:space="preserve"> about relational ontologies and a pluriversal politics </w:t>
      </w:r>
      <w:r w:rsidRPr="00015112">
        <w:rPr>
          <w:rStyle w:val="Emphasis"/>
        </w:rPr>
        <w:t>harbours the danger of making a huge variety of demands</w:t>
      </w:r>
      <w:r w:rsidRPr="00015112">
        <w:rPr>
          <w:rStyle w:val="StyleUnderline"/>
        </w:rPr>
        <w:t xml:space="preserve"> and </w:t>
      </w:r>
      <w:r w:rsidRPr="00015112">
        <w:rPr>
          <w:rStyle w:val="Emphasis"/>
        </w:rPr>
        <w:t>struggles that often exist in tension</w:t>
      </w:r>
      <w:r w:rsidRPr="00015112">
        <w:rPr>
          <w:rStyle w:val="StyleUnderline"/>
        </w:rPr>
        <w:t xml:space="preserve"> and </w:t>
      </w:r>
      <w:r w:rsidRPr="00015112">
        <w:rPr>
          <w:rStyle w:val="Emphasis"/>
        </w:rPr>
        <w:t>contradiction</w:t>
      </w:r>
      <w:r w:rsidRPr="00015112">
        <w:rPr>
          <w:rStyle w:val="StyleUnderline"/>
        </w:rPr>
        <w:t xml:space="preserve"> with each other </w:t>
      </w:r>
      <w:r w:rsidRPr="00015112">
        <w:rPr>
          <w:rStyle w:val="Emphasis"/>
        </w:rPr>
        <w:t>commensurable</w:t>
      </w:r>
      <w:r w:rsidRPr="00015112">
        <w:rPr>
          <w:sz w:val="16"/>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Mignolo and Arturo Escobar advocate a transnational fight for global justice and are enthusiastic about the potential of global movements to achieve that aim together.85 Like Mignolo, Rojas explicitly draws on the World Social Forum slogan “Another world is possible” as well as the Zapatistas slogan of “a world where many words fit” to make her case about the need for a pluriversal understanding of emancipatory-decolonial politics.86 </w:t>
      </w:r>
      <w:r w:rsidRPr="00015112">
        <w:rPr>
          <w:rStyle w:val="StyleUnderline"/>
        </w:rPr>
        <w:t>While</w:t>
      </w:r>
      <w:r w:rsidRPr="00015112">
        <w:rPr>
          <w:sz w:val="16"/>
        </w:rPr>
        <w:t xml:space="preserve"> it can be argued that </w:t>
      </w:r>
      <w:r w:rsidRPr="00015112">
        <w:rPr>
          <w:rStyle w:val="StyleUnderline"/>
        </w:rPr>
        <w:t xml:space="preserve">this problem of </w:t>
      </w:r>
      <w:r w:rsidRPr="00015112">
        <w:rPr>
          <w:rStyle w:val="Emphasis"/>
        </w:rPr>
        <w:t>seeing all these struggles</w:t>
      </w:r>
      <w:r w:rsidRPr="00015112">
        <w:rPr>
          <w:rStyle w:val="StyleUnderline"/>
        </w:rPr>
        <w:t xml:space="preserve"> and </w:t>
      </w:r>
      <w:r w:rsidRPr="00015112">
        <w:rPr>
          <w:rStyle w:val="Emphasis"/>
        </w:rPr>
        <w:t>demands as commensurable</w:t>
      </w:r>
      <w:r w:rsidRPr="00015112">
        <w:rPr>
          <w:rStyle w:val="StyleUnderline"/>
        </w:rPr>
        <w:t xml:space="preserve"> goes back to a </w:t>
      </w:r>
      <w:r w:rsidRPr="00015112">
        <w:rPr>
          <w:rStyle w:val="Emphasis"/>
        </w:rPr>
        <w:t>lack of actual engagement with particular decolonial practices</w:t>
      </w:r>
      <w:r w:rsidRPr="00015112">
        <w:rPr>
          <w:rStyle w:val="StyleUnderline"/>
        </w:rPr>
        <w:t xml:space="preserve"> and </w:t>
      </w:r>
      <w:r w:rsidRPr="00015112">
        <w:rPr>
          <w:rStyle w:val="Emphasis"/>
        </w:rPr>
        <w:t>battles</w:t>
      </w:r>
      <w:r w:rsidRPr="00015112">
        <w:rPr>
          <w:sz w:val="16"/>
        </w:rPr>
        <w:t xml:space="preserve">, what I have argued in this article is that </w:t>
      </w:r>
      <w:r w:rsidRPr="00015112">
        <w:rPr>
          <w:rStyle w:val="StyleUnderline"/>
        </w:rPr>
        <w:t xml:space="preserve">it is also related to the problem of </w:t>
      </w:r>
      <w:r w:rsidRPr="00015112">
        <w:rPr>
          <w:rStyle w:val="Emphasis"/>
        </w:rPr>
        <w:t>how</w:t>
      </w:r>
      <w:r w:rsidRPr="00015112">
        <w:rPr>
          <w:rStyle w:val="StyleUnderline"/>
        </w:rPr>
        <w:t xml:space="preserve"> and </w:t>
      </w:r>
      <w:r w:rsidRPr="00015112">
        <w:rPr>
          <w:rStyle w:val="Emphasis"/>
        </w:rPr>
        <w:t>what sort of knowledge is produced</w:t>
      </w:r>
      <w:r w:rsidRPr="00015112">
        <w:rPr>
          <w:rStyle w:val="StyleUnderline"/>
        </w:rPr>
        <w:t xml:space="preserve"> and </w:t>
      </w:r>
      <w:r w:rsidRPr="00015112">
        <w:rPr>
          <w:rStyle w:val="Emphasis"/>
        </w:rPr>
        <w:t>valued</w:t>
      </w:r>
      <w:r w:rsidRPr="00015112">
        <w:rPr>
          <w:rStyle w:val="StyleUnderline"/>
        </w:rPr>
        <w:t xml:space="preserve"> in the Western academy: knowledge that is </w:t>
      </w:r>
      <w:r w:rsidRPr="00015112">
        <w:rPr>
          <w:rStyle w:val="Emphasis"/>
        </w:rPr>
        <w:t>abstract</w:t>
      </w:r>
      <w:r w:rsidRPr="00015112">
        <w:rPr>
          <w:rStyle w:val="StyleUnderline"/>
        </w:rPr>
        <w:t xml:space="preserve">, </w:t>
      </w:r>
      <w:r w:rsidRPr="00015112">
        <w:rPr>
          <w:rStyle w:val="Emphasis"/>
        </w:rPr>
        <w:t>generic</w:t>
      </w:r>
      <w:r w:rsidRPr="00015112">
        <w:rPr>
          <w:rStyle w:val="StyleUnderline"/>
        </w:rPr>
        <w:t xml:space="preserve">, and </w:t>
      </w:r>
      <w:r w:rsidRPr="00015112">
        <w:rPr>
          <w:rStyle w:val="Emphasis"/>
        </w:rPr>
        <w:t>applicable beyond a specific context</w:t>
      </w:r>
      <w:r w:rsidRPr="00015112">
        <w:rPr>
          <w:rStyle w:val="StyleUnderline"/>
        </w:rPr>
        <w:t xml:space="preserve">. Knowledge that is </w:t>
      </w:r>
      <w:r w:rsidRPr="00015112">
        <w:rPr>
          <w:rStyle w:val="Emphasis"/>
        </w:rPr>
        <w:t>driven</w:t>
      </w:r>
      <w:r w:rsidRPr="00015112">
        <w:rPr>
          <w:rStyle w:val="StyleUnderline"/>
        </w:rPr>
        <w:t xml:space="preserve"> by the desire to </w:t>
      </w:r>
      <w:r w:rsidRPr="00015112">
        <w:rPr>
          <w:rStyle w:val="Emphasis"/>
        </w:rPr>
        <w:t>know what is</w:t>
      </w:r>
      <w:r w:rsidRPr="00015112">
        <w:rPr>
          <w:rStyle w:val="StyleUnderline"/>
        </w:rPr>
        <w:t>.</w:t>
      </w:r>
      <w:r w:rsidRPr="00015112">
        <w:rPr>
          <w:sz w:val="16"/>
        </w:rPr>
        <w:t xml:space="preserve"> Knowledge that desires to know what holds the turtle—all the way down.</w:t>
      </w:r>
    </w:p>
    <w:p w14:paraId="63AD1637" w14:textId="45883108" w:rsidR="002B3CD5" w:rsidRPr="00015112" w:rsidRDefault="002B3CD5" w:rsidP="0043284B">
      <w:pPr>
        <w:pStyle w:val="Heading2"/>
      </w:pPr>
      <w:r w:rsidRPr="00015112">
        <w:t>Link</w:t>
      </w:r>
    </w:p>
    <w:p w14:paraId="7EC04223" w14:textId="51FCD0CE" w:rsidR="002B3CD5" w:rsidRPr="00015112" w:rsidRDefault="002B3CD5" w:rsidP="002B3CD5">
      <w:pPr>
        <w:pStyle w:val="Heading3"/>
      </w:pPr>
      <w:r w:rsidRPr="00015112">
        <w:t xml:space="preserve">2AC </w:t>
      </w:r>
      <w:r w:rsidR="00D62FB5" w:rsidRPr="00015112">
        <w:t>–</w:t>
      </w:r>
      <w:r w:rsidRPr="00015112">
        <w:t xml:space="preserve"> AT</w:t>
      </w:r>
      <w:r w:rsidR="00D62FB5" w:rsidRPr="00015112">
        <w:t>:</w:t>
      </w:r>
      <w:r w:rsidRPr="00015112">
        <w:t xml:space="preserve"> State Link</w:t>
      </w:r>
    </w:p>
    <w:p w14:paraId="30B64701" w14:textId="77777777" w:rsidR="002B3CD5" w:rsidRPr="00015112" w:rsidRDefault="002B3CD5" w:rsidP="002B3CD5">
      <w:pPr>
        <w:pStyle w:val="Heading4"/>
        <w:rPr>
          <w:rFonts w:asciiTheme="minorHAnsi" w:hAnsiTheme="minorHAnsi" w:cstheme="minorHAnsi"/>
        </w:rPr>
      </w:pPr>
      <w:r w:rsidRPr="00015112">
        <w:rPr>
          <w:rFonts w:asciiTheme="minorHAnsi" w:hAnsiTheme="minorHAnsi" w:cstheme="minorHAnsi"/>
        </w:rPr>
        <w:t>The state is inevitable in the long term but abdicating a discussion of the intricacies of the state forecloses the knowledge necessary to combat the state.</w:t>
      </w:r>
    </w:p>
    <w:p w14:paraId="5BCEC8CE" w14:textId="77777777" w:rsidR="002B3CD5" w:rsidRPr="00015112" w:rsidRDefault="002B3CD5" w:rsidP="002B3CD5">
      <w:pPr>
        <w:rPr>
          <w:rFonts w:asciiTheme="minorHAnsi" w:hAnsiTheme="minorHAnsi" w:cstheme="minorHAnsi"/>
        </w:rPr>
      </w:pPr>
      <w:r w:rsidRPr="00015112">
        <w:rPr>
          <w:rStyle w:val="Style13ptBold"/>
          <w:rFonts w:asciiTheme="minorHAnsi" w:hAnsiTheme="minorHAnsi" w:cstheme="minorHAnsi"/>
          <w:szCs w:val="24"/>
        </w:rPr>
        <w:t>Turner ‘06</w:t>
      </w:r>
      <w:r w:rsidRPr="00015112">
        <w:rPr>
          <w:rFonts w:asciiTheme="minorHAnsi" w:hAnsiTheme="minorHAnsi" w:cstheme="minorHAnsi"/>
        </w:rPr>
        <w:t xml:space="preserve"> </w:t>
      </w:r>
      <w:r w:rsidRPr="00015112">
        <w:rPr>
          <w:rFonts w:asciiTheme="minorHAnsi" w:hAnsiTheme="minorHAnsi" w:cstheme="minorHAnsi"/>
          <w:sz w:val="18"/>
          <w:szCs w:val="18"/>
        </w:rPr>
        <w:t xml:space="preserve">(Dale – member of the Temagami First Nation and Associate Professor of Government and Native American Studies @ Dartmouth College, </w:t>
      </w:r>
      <w:r w:rsidRPr="00015112">
        <w:rPr>
          <w:rFonts w:asciiTheme="minorHAnsi" w:hAnsiTheme="minorHAnsi" w:cstheme="minorHAnsi"/>
          <w:sz w:val="18"/>
          <w:szCs w:val="18"/>
          <w:u w:val="single"/>
        </w:rPr>
        <w:t>This Is Not a Peace Pipe: Towards a Critical Indigenous Philosophy</w:t>
      </w:r>
      <w:r w:rsidRPr="00015112">
        <w:rPr>
          <w:rFonts w:asciiTheme="minorHAnsi" w:hAnsiTheme="minorHAnsi" w:cstheme="minorHAnsi"/>
          <w:sz w:val="18"/>
          <w:szCs w:val="18"/>
        </w:rPr>
        <w:t>, p. 113-114)</w:t>
      </w:r>
    </w:p>
    <w:p w14:paraId="26FA5FB4" w14:textId="77777777" w:rsidR="002B3CD5" w:rsidRPr="00015112" w:rsidRDefault="002B3CD5" w:rsidP="002B3CD5">
      <w:pPr>
        <w:rPr>
          <w:rFonts w:asciiTheme="minorHAnsi" w:hAnsiTheme="minorHAnsi" w:cstheme="minorHAnsi"/>
          <w:sz w:val="16"/>
        </w:rPr>
      </w:pPr>
      <w:r w:rsidRPr="00015112">
        <w:rPr>
          <w:rStyle w:val="StyleUnderline"/>
          <w:rFonts w:asciiTheme="minorHAnsi" w:hAnsiTheme="minorHAnsi" w:cstheme="minorHAnsi"/>
        </w:rPr>
        <w:t>I do not agree that law does not have a role to play in securing a political relationship that will allow indigenous communities to thrive</w:t>
      </w:r>
      <w:r w:rsidRPr="00015112">
        <w:rPr>
          <w:rFonts w:asciiTheme="minorHAnsi" w:hAnsiTheme="minorHAnsi" w:cstheme="minorHAnsi"/>
          <w:sz w:val="16"/>
        </w:rPr>
        <w:t xml:space="preserve">, but Monture is right to point towards indigenous philosophy as the source of our future well-being as indigenous peoples. Her work highlights another important point about indigenous intellectual communities: we must resolve our own societal problems, and in our own ways, but we cannot do so while we are still held in a legal and political straitjacket by the Canadian state. Her experiences as a law professor show how hostile the dominant intellectual culture can be, but it does not follow from this hostility that indigenous peoples must riot participate in these agonic communities. Regardless, Monture has travelled a rough road and continues to be an important and active voice in Canadian indigenous intellectual culture. Indigenous intellectuals, then - at least those who explicitly engage the legal and political discourses of the state - need to engage in three kinds of overlapping activities. First, they must engage colonialism in its physical and intellectual contexts and in the process strive to overcome the colonial mindset in both indigenous and non-indigenous communities. Second, they must protect and defend our 'indigeneity'; that is, they must work to ensure that indigenous ways of knowing the world are not devalued, marginalized, or ridiculed in the marketplace of ideas. Third and finally, </w:t>
      </w:r>
      <w:r w:rsidRPr="00015112">
        <w:rPr>
          <w:rStyle w:val="StyleUnderline"/>
          <w:rFonts w:asciiTheme="minorHAnsi" w:hAnsiTheme="minorHAnsi" w:cstheme="minorHAnsi"/>
        </w:rPr>
        <w:t>an indigenous intellectual community must assert and defend the integrity of indigenous political rights in the legal and political discourses of the state. This is no easy task, but I see hope in many of the young indigenous and non-indigenous people who seek justice for indigenous peoples</w:t>
      </w:r>
      <w:r w:rsidRPr="00015112">
        <w:rPr>
          <w:rFonts w:asciiTheme="minorHAnsi" w:hAnsiTheme="minorHAnsi" w:cstheme="minorHAnsi"/>
          <w:sz w:val="16"/>
        </w:rPr>
        <w:t xml:space="preserve">. Still, there is much intellectual work to be done. Alfred, Borrows, and Monture are not philosophers - that is, philosophers trained in the European tradition. Which leads one to ask: What can an indigenous person who is trained in European philosophy do to play a more effective role in the relationship between the indigenous political leadership, which finds its roots in indigenous philosophy, and the European intellectual tradition, which is used in articulating the content of Aboriginal rights discourse in Canada? 40 I believe there are two important roles a philosopher can play. The first is pedagogical. From my own experience, I have seen too many indigenous </w:t>
      </w:r>
      <w:r w:rsidRPr="00015112">
        <w:rPr>
          <w:rStyle w:val="StyleUnderline"/>
          <w:rFonts w:asciiTheme="minorHAnsi" w:hAnsiTheme="minorHAnsi" w:cstheme="minorHAnsi"/>
        </w:rPr>
        <w:t>students come into university resisting the idea that learning European forms of knowledge, never mind critiquing European ways of thinking, is important for their intellectual development</w:t>
      </w:r>
      <w:r w:rsidRPr="00015112">
        <w:rPr>
          <w:rFonts w:asciiTheme="minorHAnsi" w:hAnsiTheme="minorHAnsi" w:cstheme="minorHAnsi"/>
          <w:sz w:val="16"/>
        </w:rPr>
        <w:t xml:space="preserve">. Don't get me wrong - there are very good reasons for this resistance, and I don't think every person, indigenous or non-indigenous, is suited to this kind of intellectual journey. Indigenous professors are obligated to guide their students through complex intellectual landscapes so that they can begin to think for themselves how ideas relate to their indigeneity. Like all students, indigenous </w:t>
      </w:r>
      <w:r w:rsidRPr="00015112">
        <w:rPr>
          <w:rStyle w:val="StyleUnderline"/>
          <w:rFonts w:asciiTheme="minorHAnsi" w:hAnsiTheme="minorHAnsi" w:cstheme="minorHAnsi"/>
        </w:rPr>
        <w:t>students need to learn bodies of knowledge in order to be able to think effectively; and if</w:t>
      </w:r>
      <w:r w:rsidRPr="00015112">
        <w:rPr>
          <w:rFonts w:asciiTheme="minorHAnsi" w:hAnsiTheme="minorHAnsi" w:cstheme="minorHAnsi"/>
          <w:sz w:val="16"/>
        </w:rPr>
        <w:t xml:space="preserve"> indigenous </w:t>
      </w:r>
      <w:r w:rsidRPr="00015112">
        <w:rPr>
          <w:rStyle w:val="StyleUnderline"/>
          <w:rFonts w:asciiTheme="minorHAnsi" w:hAnsiTheme="minorHAnsi" w:cstheme="minorHAnsi"/>
        </w:rPr>
        <w:t>students leave university without at least knowing the social, legal, and political history of the Indian-white relationship, they have failed to receive a good education and their chances of becoming effective indigenous intellectuals are severely limited</w:t>
      </w:r>
      <w:r w:rsidRPr="00015112">
        <w:rPr>
          <w:rFonts w:asciiTheme="minorHAnsi" w:hAnsiTheme="minorHAnsi" w:cstheme="minorHAnsi"/>
          <w:sz w:val="16"/>
        </w:rPr>
        <w:t xml:space="preserve">. But 'thinking about thinking' is the philosopher's intellectual domain, and indigenous philosophy professors can explicitly weave the third intellectual project into their teaching. As I stated earlier: indigenous intellectuals engage European ideas both as a philosophical exercise and as a political activity. </w:t>
      </w:r>
      <w:r w:rsidRPr="00015112">
        <w:rPr>
          <w:rStyle w:val="StyleUnderline"/>
          <w:rFonts w:asciiTheme="minorHAnsi" w:hAnsiTheme="minorHAnsi" w:cstheme="minorHAnsi"/>
        </w:rPr>
        <w:t>It is not enough to simply engage European thought on its own terms; indigenous intellectuals need to critically engage European ideas, methodologies, and theories to show how they have marginalized, distorted, and ignored indigenous voices. In order to do this effectively, we must first come to understand</w:t>
      </w:r>
      <w:r w:rsidRPr="00015112">
        <w:rPr>
          <w:rFonts w:asciiTheme="minorHAnsi" w:hAnsiTheme="minorHAnsi" w:cstheme="minorHAnsi"/>
          <w:sz w:val="16"/>
        </w:rPr>
        <w:t xml:space="preserve">, as best we can, </w:t>
      </w:r>
      <w:r w:rsidRPr="00015112">
        <w:rPr>
          <w:rStyle w:val="StyleUnderline"/>
          <w:rFonts w:asciiTheme="minorHAnsi" w:hAnsiTheme="minorHAnsi" w:cstheme="minorHAnsi"/>
        </w:rPr>
        <w:t>the European history of ideas on its own terms</w:t>
      </w:r>
      <w:r w:rsidRPr="00015112">
        <w:rPr>
          <w:rFonts w:asciiTheme="minorHAnsi" w:hAnsiTheme="minorHAnsi" w:cstheme="minorHAnsi"/>
          <w:sz w:val="16"/>
        </w:rPr>
        <w:t>.41 This means we need to understand how normative language - that is, the language that makes substantive claims about 'what is the case' - is put to use in a particular way of perceiving the world. Once we do understand, we can assess whether this normative language is useful for us as indigenous intellectuals.</w:t>
      </w:r>
    </w:p>
    <w:p w14:paraId="3C72C63D" w14:textId="77777777" w:rsidR="00067F46" w:rsidRPr="00015112" w:rsidRDefault="00067F46" w:rsidP="002B3CD5">
      <w:pPr>
        <w:rPr>
          <w:rFonts w:asciiTheme="minorHAnsi" w:hAnsiTheme="minorHAnsi" w:cstheme="minorHAnsi"/>
          <w:sz w:val="16"/>
        </w:rPr>
      </w:pPr>
    </w:p>
    <w:p w14:paraId="3249CD21" w14:textId="77777777" w:rsidR="002B3CD5" w:rsidRPr="00015112" w:rsidRDefault="002B3CD5" w:rsidP="002B3CD5">
      <w:pPr>
        <w:pStyle w:val="Heading4"/>
        <w:rPr>
          <w:rFonts w:asciiTheme="minorHAnsi" w:hAnsiTheme="minorHAnsi" w:cstheme="minorHAnsi"/>
        </w:rPr>
      </w:pPr>
      <w:r w:rsidRPr="00015112">
        <w:rPr>
          <w:rFonts w:asciiTheme="minorHAnsi" w:hAnsiTheme="minorHAnsi" w:cstheme="minorHAnsi"/>
        </w:rPr>
        <w:t>Understanding the intricacies of the state is a necessary component of dismantling it and ensuring the self-determining status of indigenous peoples as international nations.</w:t>
      </w:r>
    </w:p>
    <w:p w14:paraId="544F3458" w14:textId="77777777" w:rsidR="002B3CD5" w:rsidRPr="00015112" w:rsidRDefault="002B3CD5" w:rsidP="002B3CD5">
      <w:pPr>
        <w:rPr>
          <w:rFonts w:asciiTheme="minorHAnsi" w:hAnsiTheme="minorHAnsi" w:cstheme="minorHAnsi"/>
          <w:sz w:val="18"/>
          <w:szCs w:val="18"/>
        </w:rPr>
      </w:pPr>
      <w:r w:rsidRPr="00015112">
        <w:rPr>
          <w:rStyle w:val="Style13ptBold"/>
          <w:rFonts w:asciiTheme="minorHAnsi" w:hAnsiTheme="minorHAnsi" w:cstheme="minorHAnsi"/>
          <w:szCs w:val="24"/>
        </w:rPr>
        <w:t>Turner ‘06</w:t>
      </w:r>
      <w:r w:rsidRPr="00015112">
        <w:rPr>
          <w:rFonts w:asciiTheme="minorHAnsi" w:hAnsiTheme="minorHAnsi" w:cstheme="minorHAnsi"/>
          <w:sz w:val="24"/>
          <w:szCs w:val="24"/>
        </w:rPr>
        <w:t xml:space="preserve"> (</w:t>
      </w:r>
      <w:r w:rsidRPr="00015112">
        <w:rPr>
          <w:rFonts w:asciiTheme="minorHAnsi" w:hAnsiTheme="minorHAnsi" w:cstheme="minorHAnsi"/>
          <w:sz w:val="18"/>
          <w:szCs w:val="18"/>
        </w:rPr>
        <w:t xml:space="preserve">Dale – member of the Temagami First Nation and Associate Professor of Government and Native American Studies @ Dartmouth College, </w:t>
      </w:r>
      <w:r w:rsidRPr="00015112">
        <w:rPr>
          <w:rFonts w:asciiTheme="minorHAnsi" w:hAnsiTheme="minorHAnsi" w:cstheme="minorHAnsi"/>
          <w:sz w:val="18"/>
          <w:szCs w:val="18"/>
          <w:u w:val="single"/>
        </w:rPr>
        <w:t>This Is Not a Peace Pipe: Towards a Critical Indigenous Philosophy</w:t>
      </w:r>
      <w:r w:rsidRPr="00015112">
        <w:rPr>
          <w:rFonts w:asciiTheme="minorHAnsi" w:hAnsiTheme="minorHAnsi" w:cstheme="minorHAnsi"/>
          <w:sz w:val="18"/>
          <w:szCs w:val="18"/>
        </w:rPr>
        <w:t>, p. 9-11)</w:t>
      </w:r>
    </w:p>
    <w:p w14:paraId="7D97E723" w14:textId="77777777" w:rsidR="002B3CD5" w:rsidRPr="00015112" w:rsidRDefault="002B3CD5" w:rsidP="002B3CD5">
      <w:pPr>
        <w:rPr>
          <w:rFonts w:asciiTheme="minorHAnsi" w:hAnsiTheme="minorHAnsi" w:cstheme="minorHAnsi"/>
          <w:sz w:val="16"/>
        </w:rPr>
      </w:pPr>
      <w:r w:rsidRPr="00015112">
        <w:rPr>
          <w:rFonts w:asciiTheme="minorHAnsi" w:hAnsiTheme="minorHAnsi" w:cstheme="minorHAnsi"/>
          <w:sz w:val="16"/>
        </w:rPr>
        <w:t xml:space="preserve">These three projects, as a whole, will create what I call a 'critical indigenous philosophy.' The division of intellectual labour gives rise to both practical and philosophical problems. First, very few indigenous intellectuals are able - or even permitted - to undertake the first philosophical project: indigenous philosophies are highly specialized forms of knowledge, and not every indigenous intellectual has the right to know and articulate them. Second, </w:t>
      </w:r>
      <w:r w:rsidRPr="00015112">
        <w:rPr>
          <w:rStyle w:val="StyleUnderline"/>
          <w:rFonts w:asciiTheme="minorHAnsi" w:hAnsiTheme="minorHAnsi" w:cstheme="minorHAnsi"/>
        </w:rPr>
        <w:t>there are few indigenous philosophers, and even fewer indigenous intellectuals, effectively engaging the Western European history of ideas.</w:t>
      </w:r>
      <w:r w:rsidRPr="00015112">
        <w:rPr>
          <w:rFonts w:asciiTheme="minorHAnsi" w:hAnsiTheme="minorHAnsi" w:cstheme="minorHAnsi"/>
          <w:sz w:val="16"/>
        </w:rPr>
        <w:t xml:space="preserve"> Word warriors explicitly engage the second and third projects, but ought to do so guided by their understandings of indigenous philosophy.12 At this time in our development as an intellectual culture (as part of mainstream intellectual culture), our numbers are small - to the dominant culture almost insignificant – which means that we must make our intellectual labour count – </w:t>
      </w:r>
      <w:r w:rsidRPr="00015112">
        <w:rPr>
          <w:rStyle w:val="StyleUnderline"/>
          <w:rFonts w:asciiTheme="minorHAnsi" w:hAnsiTheme="minorHAnsi" w:cstheme="minorHAnsi"/>
        </w:rPr>
        <w:t>we need to be effective in engaging the existing legal and political discourses of the state</w:t>
      </w:r>
      <w:r w:rsidRPr="00015112">
        <w:rPr>
          <w:rFonts w:asciiTheme="minorHAnsi" w:hAnsiTheme="minorHAnsi" w:cstheme="minorHAnsi"/>
          <w:sz w:val="16"/>
        </w:rPr>
        <w:t xml:space="preserve">. </w:t>
      </w:r>
      <w:r w:rsidRPr="00015112">
        <w:rPr>
          <w:rStyle w:val="StyleUnderline"/>
          <w:rFonts w:asciiTheme="minorHAnsi" w:hAnsiTheme="minorHAnsi" w:cstheme="minorHAnsi"/>
        </w:rPr>
        <w:t>For us to make any successful inroads into mainstream intellectual culture, we will have to be very careful about how our ways of knowing the world are talked about, written about, and ultimately put to use in legal and political practices (such as Supreme Court decisions and public policies</w:t>
      </w:r>
      <w:r w:rsidRPr="00015112">
        <w:rPr>
          <w:rFonts w:asciiTheme="minorHAnsi" w:hAnsiTheme="minorHAnsi" w:cstheme="minorHAnsi"/>
          <w:sz w:val="16"/>
        </w:rPr>
        <w:t xml:space="preserve">). Yet the 'our' I am referring to can be misleading. There is a great diversity of indigenous knowledge in the world, so we must consider making these intellectual inroads into the dominant culture as a community of indigenous intellectuals. In other words, our </w:t>
      </w:r>
      <w:r w:rsidRPr="00015112">
        <w:rPr>
          <w:rStyle w:val="StyleUnderline"/>
          <w:rFonts w:asciiTheme="minorHAnsi" w:hAnsiTheme="minorHAnsi" w:cstheme="minorHAnsi"/>
        </w:rPr>
        <w:t>critical indigenous intellectual community would consist of intellectuals from many nations, all of them in dialogue with one another. Once our ways of thinking about the world are up for 'negotiation' in the legal and political discourses of states, we will be in the position of having to defend our world views as legal and political arguments</w:t>
      </w:r>
      <w:r w:rsidRPr="00015112">
        <w:rPr>
          <w:rFonts w:asciiTheme="minorHAnsi" w:hAnsiTheme="minorHAnsi" w:cstheme="minorHAnsi"/>
          <w:sz w:val="16"/>
        </w:rPr>
        <w:t xml:space="preserve">. Sound arguments evolve from a series of propositions that can be shown to be true, and an indigenous intellectual community must construct these arguments so that they are coherent and most of all convincing. </w:t>
      </w:r>
      <w:r w:rsidRPr="00015112">
        <w:rPr>
          <w:rStyle w:val="StyleUnderline"/>
          <w:rFonts w:asciiTheme="minorHAnsi" w:hAnsiTheme="minorHAnsi" w:cstheme="minorHAnsi"/>
        </w:rPr>
        <w:t>This imperative may be unjust, but our survival as independent and self-determining nations demands that we bow to it</w:t>
      </w:r>
      <w:r w:rsidRPr="00015112">
        <w:rPr>
          <w:rFonts w:asciiTheme="minorHAnsi" w:hAnsiTheme="minorHAnsi" w:cstheme="minorHAnsi"/>
          <w:sz w:val="16"/>
        </w:rPr>
        <w:t xml:space="preserve">. However, this reality check is met with an indigenous imperative: </w:t>
      </w:r>
      <w:r w:rsidRPr="00015112">
        <w:rPr>
          <w:rStyle w:val="StyleUnderline"/>
          <w:rFonts w:asciiTheme="minorHAnsi" w:hAnsiTheme="minorHAnsi" w:cstheme="minorHAnsi"/>
        </w:rPr>
        <w:t>indigenous peoples are not going away, and they will always claim that they own their homelands</w:t>
      </w:r>
      <w:r w:rsidRPr="00015112">
        <w:rPr>
          <w:rFonts w:asciiTheme="minorHAnsi" w:hAnsiTheme="minorHAnsi" w:cstheme="minorHAnsi"/>
          <w:sz w:val="16"/>
        </w:rPr>
        <w:t xml:space="preserve">. Let me return to my earlier claim: If Aboriginal peoples want to assert that they possess different world views, and that these differences ought to matter in the political relationship between Aboriginal peoples and the Canadian state, they must engage the Canadian state's legal and political discourses in more effective ways. The sources of these differences lie in indigenous philosophies. Word warriors must protect these forms of knowledge from exploitation by indigenous and non-indigenous peoples, and must do so mainly by engaging Western European intellectual culture. Yet at the same time they must retain strong connections to their communities. If we want the indigenous intellectual community to benefit indigenous peoples, we must know what we are talking about in the political dialogue, and we must be clear about what we are doing in the process. </w:t>
      </w:r>
      <w:r w:rsidRPr="00015112">
        <w:rPr>
          <w:rStyle w:val="StyleUnderline"/>
          <w:rFonts w:asciiTheme="minorHAnsi" w:hAnsiTheme="minorHAnsi" w:cstheme="minorHAnsi"/>
        </w:rPr>
        <w:t>There are no guarantees that what indigenous intellectuals do will ultimately bring about a higher quality of life for their communities. That said, indigenous peoples cannot allow the dominant culture to continue to dictate their legal and political realities. Greater participation in the state's legal and political practices is vital to our survival as indigenous peoples</w:t>
      </w:r>
      <w:r w:rsidRPr="00015112">
        <w:rPr>
          <w:rFonts w:asciiTheme="minorHAnsi" w:hAnsiTheme="minorHAnsi" w:cstheme="minorHAnsi"/>
          <w:sz w:val="16"/>
        </w:rPr>
        <w:t>, but at this time in history it is by no means clear how we ought to participate.</w:t>
      </w:r>
    </w:p>
    <w:p w14:paraId="3A12CFF2" w14:textId="77777777" w:rsidR="002B3CD5" w:rsidRPr="00015112" w:rsidRDefault="002B3CD5" w:rsidP="002B3CD5"/>
    <w:p w14:paraId="39F0B295" w14:textId="44CF1313" w:rsidR="00793B9B" w:rsidRPr="00015112" w:rsidRDefault="00793B9B" w:rsidP="0043284B">
      <w:pPr>
        <w:pStyle w:val="Heading2"/>
      </w:pPr>
      <w:r w:rsidRPr="00015112">
        <w:t>Perm</w:t>
      </w:r>
    </w:p>
    <w:p w14:paraId="2900A868" w14:textId="62EDAD46" w:rsidR="00B827FD" w:rsidRPr="00015112" w:rsidRDefault="00D02A78" w:rsidP="0055495F">
      <w:pPr>
        <w:pStyle w:val="Heading3"/>
      </w:pPr>
      <w:r w:rsidRPr="00015112">
        <w:t xml:space="preserve">2AC </w:t>
      </w:r>
      <w:r w:rsidR="00A20036" w:rsidRPr="00015112">
        <w:t>–</w:t>
      </w:r>
      <w:r w:rsidRPr="00015112">
        <w:t xml:space="preserve"> </w:t>
      </w:r>
      <w:r w:rsidR="00B827FD" w:rsidRPr="00015112">
        <w:t>Perm – Environmental Reform</w:t>
      </w:r>
    </w:p>
    <w:p w14:paraId="19495E86" w14:textId="77777777" w:rsidR="00B827FD" w:rsidRPr="00015112" w:rsidRDefault="00B827FD" w:rsidP="00B827FD">
      <w:pPr>
        <w:pStyle w:val="Heading4"/>
      </w:pPr>
      <w:r w:rsidRPr="00015112">
        <w:t xml:space="preserve">Challenging environmental injustice through </w:t>
      </w:r>
      <w:r w:rsidRPr="00015112">
        <w:rPr>
          <w:u w:val="single"/>
        </w:rPr>
        <w:t>state engagement</w:t>
      </w:r>
      <w:r w:rsidRPr="00015112">
        <w:t xml:space="preserve"> is key – that includes action through </w:t>
      </w:r>
      <w:r w:rsidRPr="00015112">
        <w:rPr>
          <w:u w:val="single"/>
        </w:rPr>
        <w:t>the court</w:t>
      </w:r>
    </w:p>
    <w:p w14:paraId="2EBBEBC2" w14:textId="77777777" w:rsidR="00B827FD" w:rsidRPr="00015112" w:rsidRDefault="00B827FD" w:rsidP="00B827FD">
      <w:r w:rsidRPr="00015112">
        <w:rPr>
          <w:rStyle w:val="Style13ptBold"/>
        </w:rPr>
        <w:t>NoiseCat 16</w:t>
      </w:r>
      <w:r w:rsidRPr="00015112">
        <w:t xml:space="preserve"> (Julian Brave - enrolled member of the Canim Lake Band Tsq'escen in British Columbia where he was nominated to run for Chief in 2014 AND a graduate of Columbia University and the University of Oxford, “The Indigenous Revolution,” 11/24/16, https://www.jacobinmag.com/2016/11/standing-rock-dakota-access-pipeline-obama/)</w:t>
      </w:r>
    </w:p>
    <w:p w14:paraId="7A504A57" w14:textId="77777777" w:rsidR="00B827FD" w:rsidRPr="00015112" w:rsidRDefault="00B827FD" w:rsidP="00B827FD">
      <w:pPr>
        <w:rPr>
          <w:sz w:val="16"/>
        </w:rPr>
      </w:pPr>
      <w:r w:rsidRPr="00015112">
        <w:rPr>
          <w:rStyle w:val="Emphasis"/>
        </w:rPr>
        <w:t>Movements working to reshape</w:t>
      </w:r>
      <w:r w:rsidRPr="00015112">
        <w:rPr>
          <w:rStyle w:val="StyleUnderline"/>
        </w:rPr>
        <w:t xml:space="preserve"> infrastructure, </w:t>
      </w:r>
      <w:r w:rsidRPr="00015112">
        <w:rPr>
          <w:rStyle w:val="Emphasis"/>
        </w:rPr>
        <w:t>environmental policy</w:t>
      </w:r>
      <w:r w:rsidRPr="00015112">
        <w:rPr>
          <w:rStyle w:val="StyleUnderline"/>
        </w:rPr>
        <w:t xml:space="preserve">, financial systems, policing, and work </w:t>
      </w:r>
      <w:r w:rsidRPr="00015112">
        <w:rPr>
          <w:rStyle w:val="Emphasis"/>
        </w:rPr>
        <w:t>will be of particular importance to indigenous people.</w:t>
      </w:r>
      <w:r w:rsidRPr="00015112">
        <w:rPr>
          <w:sz w:val="16"/>
        </w:rPr>
        <w:t xml:space="preserve"> </w:t>
      </w:r>
      <w:r w:rsidRPr="00015112">
        <w:rPr>
          <w:rStyle w:val="StyleUnderline"/>
        </w:rPr>
        <w:t xml:space="preserve">Fossil fuel divestment and the </w:t>
      </w:r>
      <w:r w:rsidRPr="00015112">
        <w:rPr>
          <w:rStyle w:val="Emphasis"/>
        </w:rPr>
        <w:t>“Keep It in the Ground” movement can weaken and even undermine companies seeking to exploit fossil fuels on indigenous lands.</w:t>
      </w:r>
      <w:r w:rsidRPr="00015112">
        <w:rPr>
          <w:sz w:val="16"/>
        </w:rPr>
        <w:t xml:space="preserve"> </w:t>
      </w:r>
      <w:r w:rsidRPr="00015112">
        <w:rPr>
          <w:rStyle w:val="StyleUnderline"/>
        </w:rPr>
        <w:t>Regulations that dismantle financial instruments and policies that profit from natural resource speculation could divert and damage returns on capital flows.</w:t>
      </w:r>
      <w:r w:rsidRPr="00015112">
        <w:rPr>
          <w:sz w:val="16"/>
        </w:rPr>
        <w:t xml:space="preserve"> The abolition of mass incarceration would loosen the death grip of prisons and police on indigenous communities. Unions can turn individual workers into collective forces of resistance, helping drive up costs for developers and protect laborers from unsafe working conditions. Long-term efforts to reimagine work through full automation and a universal basic income could prevent laborers from having to seek such dangerous work in the first place. As Standing Rock has shown, </w:t>
      </w:r>
      <w:r w:rsidRPr="00015112">
        <w:rPr>
          <w:rStyle w:val="StyleUnderline"/>
        </w:rPr>
        <w:t xml:space="preserve">indigenous nations that use their unique standing to advocate for viable alternatives to unjust systems will gain supporters. Our traditional territories encompass the rivers, mountains, and forests that capital exploits with abandon. Our resistance — to the pipelines, bulldozers, and mines that cut through our lands and communities — has greater potential than yet realized. Ours is a powerful voice envisioning a more harmonious and sustainable relationship with the natural world rooted in the resurgence of indigenous sovereignty. As long as indigenous people continue to make this argument, </w:t>
      </w:r>
      <w:r w:rsidRPr="00015112">
        <w:rPr>
          <w:rStyle w:val="Emphasis"/>
        </w:rPr>
        <w:t>we are positioned to win policies, court decisions, and international agreements that protect and enlarge our sovereignty and jurisdiction.</w:t>
      </w:r>
      <w:r w:rsidRPr="00015112">
        <w:rPr>
          <w:sz w:val="16"/>
        </w:rPr>
        <w:t xml:space="preserve"> </w:t>
      </w:r>
      <w:r w:rsidRPr="00015112">
        <w:rPr>
          <w:rStyle w:val="StyleUnderline"/>
        </w:rPr>
        <w:t>As our jurisdiction and sovereignty grow, we will have more power to stop, reroute, and transform carbon-based, capitalist, and colonial infrastructure.</w:t>
      </w:r>
      <w:r w:rsidRPr="00015112">
        <w:rPr>
          <w:sz w:val="16"/>
        </w:rPr>
        <w:t xml:space="preserve"> When the Justice Department halted construction of DAPL in October, they also said they would begin looking into Free Prior Informed Consent legislation. This is a minimal first step, and we must hold them to it. </w:t>
      </w:r>
      <w:r w:rsidRPr="00015112">
        <w:rPr>
          <w:rStyle w:val="Emphasis"/>
        </w:rPr>
        <w:t>Longstanding alliances with progressive parties and politicians are key to our success.</w:t>
      </w:r>
      <w:r w:rsidRPr="00015112">
        <w:rPr>
          <w:sz w:val="16"/>
        </w:rPr>
        <w:t xml:space="preserve"> In the United States, </w:t>
      </w:r>
      <w:r w:rsidRPr="00015112">
        <w:rPr>
          <w:rStyle w:val="StyleUnderline"/>
        </w:rPr>
        <w:t>Native people have worked with Democratic elected officials like Bernie Sanders and Raúl Grijalva to advance bills like the Save Oak Flat Act, which aimed to stop an international mining conglomerate from exploiting an Apache sacred site in Arizona.</w:t>
      </w:r>
      <w:r w:rsidRPr="00015112">
        <w:rPr>
          <w:sz w:val="16"/>
        </w:rPr>
        <w:t xml:space="preserve"> In Canada, First Nations have supported the New Democratic Party. In New Zealand, the Maori Rātana religious and political movement has an alliance with the Labour Party that stretches back to the 1930s. Some indigenous leaders, such as outspoken Aboriginal Australian leader Pat Dodson, a Labour senator for Western Australia, have won prominent positions in these parties. This does not mean, of course, that we should pay deference to elected officials. In 2014, Obama became one of the first sitting presidents to visit an Indian reservation when he travelled to Standing Rock. His visit was historically symbolic and emotionally important, but if Obama fails to stop DAPL, indigenous people should renounce him. Politicians are helpful when they change policies and outcomes. We cannot and should not settle for symbolic victories. If there is to be an enduring indigenous-left coalition, the Left must support indigenous demands for land, jurisdiction, and sovereignty. At their core, these demands undermine the imperial cut-and-paste model of the nation-state, stretching from Hobbes to the present, which insists that there is room for just one sovereign entity in the state apparatus. Thomas </w:t>
      </w:r>
      <w:r w:rsidRPr="00015112">
        <w:rPr>
          <w:rStyle w:val="StyleUnderline"/>
        </w:rPr>
        <w:t>Piketty</w:t>
      </w:r>
      <w:r w:rsidRPr="00015112">
        <w:rPr>
          <w:sz w:val="16"/>
        </w:rPr>
        <w:t xml:space="preserve">’s call for a global wealth tax implies an international governance structure to levy such a tax. He </w:t>
      </w:r>
      <w:r w:rsidRPr="00015112">
        <w:rPr>
          <w:rStyle w:val="StyleUnderline"/>
        </w:rPr>
        <w:t xml:space="preserve">pushes us to think beyond the state. Similarly, indigenous demands for lands, jurisdiction, and sovereignty imply that we must think beneath it. </w:t>
      </w:r>
      <w:r w:rsidRPr="00015112">
        <w:rPr>
          <w:sz w:val="16"/>
        </w:rPr>
        <w:t>As the Fourth World continues to push states to recognize our inherent, constitutional, and treaty rights as sovereign nations, the Left cannot remain neutral. To remain neutral is to perpetuate a long history of colonization. To remain neutral is to lose a valuable, organized, and powerful ally.</w:t>
      </w:r>
    </w:p>
    <w:p w14:paraId="5AB1CB00" w14:textId="77777777" w:rsidR="00793B9B" w:rsidRPr="00015112" w:rsidRDefault="00793B9B" w:rsidP="00793B9B"/>
    <w:p w14:paraId="757FEBF4" w14:textId="7B3EF959" w:rsidR="006C1B56" w:rsidRPr="00015112" w:rsidRDefault="006C1B56" w:rsidP="0043284B">
      <w:pPr>
        <w:pStyle w:val="Heading2"/>
      </w:pPr>
      <w:r w:rsidRPr="00015112">
        <w:t>Impact</w:t>
      </w:r>
    </w:p>
    <w:p w14:paraId="75978776" w14:textId="2A3A61A4" w:rsidR="00EF633D" w:rsidRPr="00015112" w:rsidRDefault="00A83A59" w:rsidP="00EF633D">
      <w:pPr>
        <w:pStyle w:val="Heading3"/>
      </w:pPr>
      <w:r w:rsidRPr="00015112">
        <w:t xml:space="preserve">2AC </w:t>
      </w:r>
      <w:r w:rsidR="00753A86" w:rsidRPr="00015112">
        <w:t>–</w:t>
      </w:r>
      <w:r w:rsidRPr="00015112">
        <w:t xml:space="preserve"> </w:t>
      </w:r>
      <w:r w:rsidR="00EF633D" w:rsidRPr="00015112">
        <w:t xml:space="preserve">Extinction First </w:t>
      </w:r>
    </w:p>
    <w:p w14:paraId="5134B92B" w14:textId="77777777" w:rsidR="00EF633D" w:rsidRPr="00015112" w:rsidRDefault="00EF633D" w:rsidP="00EF633D">
      <w:pPr>
        <w:pStyle w:val="Heading4"/>
        <w:rPr>
          <w:rFonts w:cs="Arial"/>
        </w:rPr>
      </w:pPr>
      <w:r w:rsidRPr="00015112">
        <w:rPr>
          <w:rFonts w:cs="Arial"/>
        </w:rPr>
        <w:t xml:space="preserve">Vote AFF if the </w:t>
      </w:r>
      <w:r w:rsidRPr="00015112">
        <w:rPr>
          <w:rFonts w:cs="Arial"/>
          <w:u w:val="single"/>
        </w:rPr>
        <w:t>plan</w:t>
      </w:r>
      <w:r w:rsidRPr="00015112">
        <w:rPr>
          <w:rFonts w:cs="Arial"/>
        </w:rPr>
        <w:t xml:space="preserve"> reduces existential risk---It’s a prerequisite to any other impact and scope neglect results in ignoring true risks</w:t>
      </w:r>
    </w:p>
    <w:p w14:paraId="6EB097D6" w14:textId="77777777" w:rsidR="00EF633D" w:rsidRPr="00015112" w:rsidRDefault="00EF633D" w:rsidP="00EF633D">
      <w:r w:rsidRPr="00015112">
        <w:t>Seth D.</w:t>
      </w:r>
      <w:r w:rsidRPr="00015112">
        <w:rPr>
          <w:sz w:val="24"/>
          <w:szCs w:val="24"/>
        </w:rPr>
        <w:t xml:space="preserve"> </w:t>
      </w:r>
      <w:r w:rsidRPr="00015112">
        <w:rPr>
          <w:b/>
          <w:sz w:val="24"/>
          <w:szCs w:val="24"/>
        </w:rPr>
        <w:t>Baum &amp;</w:t>
      </w:r>
      <w:r w:rsidRPr="00015112">
        <w:rPr>
          <w:sz w:val="24"/>
          <w:szCs w:val="24"/>
        </w:rPr>
        <w:t xml:space="preserve"> </w:t>
      </w:r>
      <w:r w:rsidRPr="00015112">
        <w:t xml:space="preserve">Anthony M. </w:t>
      </w:r>
      <w:r w:rsidRPr="00015112">
        <w:rPr>
          <w:b/>
          <w:sz w:val="24"/>
          <w:szCs w:val="24"/>
        </w:rPr>
        <w:t>Barrett 18</w:t>
      </w:r>
      <w:r w:rsidRPr="00015112">
        <w:t>. Global Catastrophic Risk Institute. 2018. “Global Catastrophes: The Most Extreme Risks.” Risk in Extreme Environments: Preparing, Avoiding, Mitigating, and Managing, edited by Vicki Bier, Routledge, pp. 174–184.</w:t>
      </w:r>
    </w:p>
    <w:p w14:paraId="5D426A5E" w14:textId="506D84E7" w:rsidR="00EF633D" w:rsidRPr="00015112" w:rsidRDefault="00EF633D" w:rsidP="00EF633D">
      <w:pPr>
        <w:rPr>
          <w:rStyle w:val="StyleUnderline"/>
        </w:rPr>
      </w:pPr>
      <w:r w:rsidRPr="00015112">
        <w:rPr>
          <w:sz w:val="16"/>
        </w:rPr>
        <w:t xml:space="preserve">2. What Is GCR And Why Is It Important? </w:t>
      </w:r>
      <w:r w:rsidRPr="00015112">
        <w:rPr>
          <w:rStyle w:val="StyleUnderline"/>
        </w:rPr>
        <w:t xml:space="preserve">Taken </w:t>
      </w:r>
      <w:r w:rsidRPr="00015112">
        <w:rPr>
          <w:rStyle w:val="Emphasis"/>
        </w:rPr>
        <w:t>literally</w:t>
      </w:r>
      <w:r w:rsidRPr="00015112">
        <w:rPr>
          <w:rStyle w:val="StyleUnderline"/>
        </w:rPr>
        <w:t>, a global catastrophe can be any event that is in some way catastrophic across the globe</w:t>
      </w:r>
      <w:r w:rsidRPr="00015112">
        <w:rPr>
          <w:sz w:val="16"/>
        </w:rPr>
        <w:t xml:space="preserve">. </w:t>
      </w:r>
      <w:r w:rsidRPr="00015112">
        <w:rPr>
          <w:rStyle w:val="StyleUnderline"/>
        </w:rPr>
        <w:t>This suggests a rather low threshold</w:t>
      </w:r>
      <w:r w:rsidRPr="00015112">
        <w:rPr>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015112">
        <w:rPr>
          <w:rStyle w:val="StyleUnderline"/>
        </w:rPr>
        <w:t xml:space="preserve">However, in common usage, a global catastrophe would be </w:t>
      </w:r>
      <w:r w:rsidRPr="00015112">
        <w:rPr>
          <w:rStyle w:val="Emphasis"/>
        </w:rPr>
        <w:t>catastrophic</w:t>
      </w:r>
      <w:r w:rsidRPr="00015112">
        <w:rPr>
          <w:rStyle w:val="StyleUnderline"/>
        </w:rPr>
        <w:t xml:space="preserve"> for a significant portion of the globe</w:t>
      </w:r>
      <w:r w:rsidRPr="00015112">
        <w:rPr>
          <w:sz w:val="16"/>
        </w:rPr>
        <w:t xml:space="preserve">. Minimum thresholds have variously been set around ten thousand to ten million deaths or $10 billion to $10 trillion in damages (Bostrom and Ćirković 2008), or death of one quarter of the human population (Atkinson 1999; Hempsell 2004). </w:t>
      </w:r>
      <w:r w:rsidRPr="00015112">
        <w:rPr>
          <w:rStyle w:val="StyleUnderline"/>
        </w:rPr>
        <w:t xml:space="preserve">Others have emphasized catastrophes that cause </w:t>
      </w:r>
      <w:r w:rsidRPr="00015112">
        <w:rPr>
          <w:rStyle w:val="Emphasis"/>
        </w:rPr>
        <w:t>long-term declines in the trajectory of human civilization</w:t>
      </w:r>
      <w:r w:rsidRPr="00015112">
        <w:rPr>
          <w:sz w:val="16"/>
        </w:rPr>
        <w:t xml:space="preserve"> (Beckstead 2013), </w:t>
      </w:r>
      <w:r w:rsidRPr="00015112">
        <w:rPr>
          <w:rStyle w:val="StyleUnderline"/>
        </w:rPr>
        <w:t xml:space="preserve">that human civilization </w:t>
      </w:r>
      <w:r w:rsidRPr="00015112">
        <w:rPr>
          <w:rStyle w:val="Emphasis"/>
        </w:rPr>
        <w:t>does not recover from</w:t>
      </w:r>
      <w:r w:rsidRPr="00015112">
        <w:rPr>
          <w:sz w:val="16"/>
        </w:rPr>
        <w:t xml:space="preserve"> (Maher and Baum 2013), </w:t>
      </w:r>
      <w:r w:rsidRPr="00015112">
        <w:rPr>
          <w:rStyle w:val="StyleUnderline"/>
        </w:rPr>
        <w:t>that drastically reduce humanity’s potential for future achievements</w:t>
      </w:r>
      <w:r w:rsidRPr="00015112">
        <w:rPr>
          <w:sz w:val="16"/>
        </w:rPr>
        <w:t xml:space="preserve"> (</w:t>
      </w:r>
      <w:r w:rsidRPr="00015112">
        <w:rPr>
          <w:rStyle w:val="StyleUnderline"/>
        </w:rPr>
        <w:t>Bostrom</w:t>
      </w:r>
      <w:r w:rsidRPr="00015112">
        <w:rPr>
          <w:sz w:val="16"/>
        </w:rPr>
        <w:t xml:space="preserve"> 2002, </w:t>
      </w:r>
      <w:r w:rsidRPr="00015112">
        <w:rPr>
          <w:rStyle w:val="StyleUnderline"/>
        </w:rPr>
        <w:t>using the term “</w:t>
      </w:r>
      <w:r w:rsidRPr="00015112">
        <w:rPr>
          <w:rStyle w:val="Emphasis"/>
        </w:rPr>
        <w:t>existential risk</w:t>
      </w:r>
      <w:r w:rsidRPr="00015112">
        <w:rPr>
          <w:rStyle w:val="StyleUnderline"/>
        </w:rPr>
        <w:t xml:space="preserve">”), or that result in </w:t>
      </w:r>
      <w:r w:rsidRPr="00015112">
        <w:rPr>
          <w:rStyle w:val="Emphasis"/>
        </w:rPr>
        <w:t>human extinction</w:t>
      </w:r>
      <w:r w:rsidRPr="00015112">
        <w:rPr>
          <w:sz w:val="16"/>
        </w:rPr>
        <w:t xml:space="preserve"> (Matheny 2007; Posner 2004). </w:t>
      </w:r>
      <w:r w:rsidRPr="00015112">
        <w:rPr>
          <w:rStyle w:val="StyleUnderline"/>
        </w:rPr>
        <w:t xml:space="preserve">A common theme across all these treatments of GCR is that </w:t>
      </w:r>
      <w:r w:rsidRPr="00015112">
        <w:rPr>
          <w:rStyle w:val="Emphasis"/>
        </w:rPr>
        <w:t>some catastrophes are vastly more important than others</w:t>
      </w:r>
      <w:r w:rsidRPr="00015112">
        <w:rPr>
          <w:sz w:val="16"/>
        </w:rPr>
        <w:t xml:space="preserve">. Carl Sagan was perhaps the first to recognize this, in his commentary on nuclear winter (Sagan 1983). </w:t>
      </w:r>
      <w:r w:rsidRPr="00015112">
        <w:rPr>
          <w:rStyle w:val="StyleUnderline"/>
        </w:rPr>
        <w:t xml:space="preserve">Without nuclear winter, a global nuclear war might kill several hundred million people. This is obviously a major catastrophe, but humanity would presumably carry on. However, with </w:t>
      </w:r>
      <w:r w:rsidRPr="00015112">
        <w:rPr>
          <w:rStyle w:val="Emphasis"/>
        </w:rPr>
        <w:t>nuclear winter</w:t>
      </w:r>
      <w:r w:rsidRPr="00015112">
        <w:rPr>
          <w:sz w:val="16"/>
        </w:rPr>
        <w:t xml:space="preserve">, per Sagan, </w:t>
      </w:r>
      <w:r w:rsidRPr="00015112">
        <w:rPr>
          <w:rStyle w:val="Emphasis"/>
        </w:rPr>
        <w:t>humanity could go extinct</w:t>
      </w:r>
      <w:r w:rsidRPr="00015112">
        <w:rPr>
          <w:rStyle w:val="StyleUnderline"/>
        </w:rPr>
        <w:t xml:space="preserve">. The loss would be not just an additional four billion or so deaths, but the loss of </w:t>
      </w:r>
      <w:r w:rsidRPr="00015112">
        <w:rPr>
          <w:rStyle w:val="Emphasis"/>
        </w:rPr>
        <w:t>all future generations</w:t>
      </w:r>
      <w:r w:rsidRPr="00015112">
        <w:rPr>
          <w:sz w:val="16"/>
        </w:rPr>
        <w:t xml:space="preserve">. To paraphrase Sagan, </w:t>
      </w:r>
      <w:r w:rsidRPr="00015112">
        <w:rPr>
          <w:rStyle w:val="StyleUnderline"/>
        </w:rPr>
        <w:t xml:space="preserve">the loss would be billions and billions of lives, or even </w:t>
      </w:r>
      <w:r w:rsidRPr="00015112">
        <w:rPr>
          <w:rStyle w:val="Emphasis"/>
        </w:rPr>
        <w:t>more</w:t>
      </w:r>
      <w:r w:rsidRPr="00015112">
        <w:rPr>
          <w:sz w:val="16"/>
        </w:rPr>
        <w:t xml:space="preserve">. </w:t>
      </w:r>
      <w:r w:rsidRPr="00015112">
        <w:rPr>
          <w:rStyle w:val="StyleUnderline"/>
        </w:rPr>
        <w:t xml:space="preserve">Sagan estimated </w:t>
      </w:r>
      <w:r w:rsidRPr="00015112">
        <w:rPr>
          <w:rStyle w:val="Emphasis"/>
        </w:rPr>
        <w:t>500 trillion lives</w:t>
      </w:r>
      <w:r w:rsidRPr="00015112">
        <w:rPr>
          <w:rStyle w:val="StyleUnderline"/>
        </w:rPr>
        <w:t xml:space="preserve">, assuming humanity would continue for ten million more years, which he cited as typical for a successful species. Sagan’s 500 trillion number may even be an </w:t>
      </w:r>
      <w:r w:rsidRPr="00015112">
        <w:rPr>
          <w:rStyle w:val="Emphasis"/>
        </w:rPr>
        <w:t>underestimate</w:t>
      </w:r>
      <w:r w:rsidRPr="00015112">
        <w:rPr>
          <w:sz w:val="16"/>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015112">
        <w:rPr>
          <w:rStyle w:val="StyleUnderline"/>
        </w:rPr>
        <w:t xml:space="preserve">An open question in astronomy is whether it is possible for the descendants of humanity to continue living for an </w:t>
      </w:r>
      <w:r w:rsidRPr="00015112">
        <w:rPr>
          <w:rStyle w:val="Emphasis"/>
        </w:rPr>
        <w:t>infinite length of time</w:t>
      </w:r>
      <w:r w:rsidRPr="00015112">
        <w:rPr>
          <w:rStyle w:val="StyleUnderline"/>
        </w:rPr>
        <w:t xml:space="preserve"> or instead merely an </w:t>
      </w:r>
      <w:r w:rsidRPr="00015112">
        <w:rPr>
          <w:rStyle w:val="Emphasis"/>
        </w:rPr>
        <w:t>astronomically large but finite</w:t>
      </w:r>
      <w:r w:rsidRPr="00015112">
        <w:rPr>
          <w:rStyle w:val="StyleUnderline"/>
        </w:rPr>
        <w:t xml:space="preserve"> length of time</w:t>
      </w:r>
      <w:r w:rsidRPr="00015112">
        <w:rPr>
          <w:sz w:val="16"/>
        </w:rPr>
        <w:t xml:space="preserve"> (see e.g. Ćirković 2002; Kaku 2005). Either way,</w:t>
      </w:r>
      <w:r w:rsidRPr="00015112">
        <w:rPr>
          <w:rStyle w:val="StyleUnderline"/>
        </w:rPr>
        <w:t xml:space="preserve"> the stakes with global catastrophes </w:t>
      </w:r>
      <w:r w:rsidRPr="00015112">
        <w:rPr>
          <w:rStyle w:val="Emphasis"/>
        </w:rPr>
        <w:t>could</w:t>
      </w:r>
      <w:r w:rsidRPr="00015112">
        <w:rPr>
          <w:rStyle w:val="StyleUnderline"/>
        </w:rPr>
        <w:t xml:space="preserve"> be </w:t>
      </w:r>
      <w:r w:rsidRPr="00015112">
        <w:rPr>
          <w:rStyle w:val="Emphasis"/>
        </w:rPr>
        <w:t xml:space="preserve">much larger than the loss of 500 trillion lives. </w:t>
      </w:r>
      <w:r w:rsidRPr="00015112">
        <w:rPr>
          <w:rStyle w:val="StyleUnderline"/>
        </w:rPr>
        <w:t>Debates about the infinite vs. the merely astronomical are of theoretical interest</w:t>
      </w:r>
      <w:r w:rsidRPr="00015112">
        <w:rPr>
          <w:sz w:val="16"/>
        </w:rPr>
        <w:t xml:space="preserve"> (Ng 1991; Bossert et al. 2007), </w:t>
      </w:r>
      <w:r w:rsidRPr="00015112">
        <w:rPr>
          <w:rStyle w:val="StyleUnderline"/>
        </w:rPr>
        <w:t xml:space="preserve">but they have </w:t>
      </w:r>
      <w:r w:rsidRPr="00015112">
        <w:rPr>
          <w:rStyle w:val="Emphasis"/>
        </w:rPr>
        <w:t>limited practical significance</w:t>
      </w:r>
      <w:r w:rsidRPr="00015112">
        <w:rPr>
          <w:rStyle w:val="StyleUnderline"/>
        </w:rPr>
        <w:t xml:space="preserve">. This can be seen when </w:t>
      </w:r>
      <w:r w:rsidRPr="00015112">
        <w:rPr>
          <w:rStyle w:val="Emphasis"/>
        </w:rPr>
        <w:t>evaluating GCRs from a standard risk-equals-probability-times-magnitude framework</w:t>
      </w:r>
      <w:r w:rsidRPr="00015112">
        <w:rPr>
          <w:rStyle w:val="StyleUnderline"/>
        </w:rPr>
        <w:t xml:space="preserve">. Using Sagan’s 500 trillion lives estimate, it follows that reducing the probability of global catastrophe by a mere one-in-500-trillion chance is of the same significance as saving one human life. Phrased differently, society should </w:t>
      </w:r>
      <w:r w:rsidRPr="00015112">
        <w:rPr>
          <w:rStyle w:val="Emphasis"/>
        </w:rPr>
        <w:t>try 500 trillion times harder to prevent a global catastrophe than it should to save a person’s life</w:t>
      </w:r>
      <w:r w:rsidRPr="00015112">
        <w:rPr>
          <w:rStyle w:val="StyleUnderline"/>
        </w:rPr>
        <w:t xml:space="preserve">. Or, preventing one million deaths is equivalent to a one-in500-million reduction in the probability of global catastrophe. This suggests society should </w:t>
      </w:r>
      <w:r w:rsidRPr="00015112">
        <w:rPr>
          <w:rStyle w:val="Emphasis"/>
        </w:rPr>
        <w:t xml:space="preserve">make extremely large investment in GCR reduction, at the expense of virtually all other objectives. </w:t>
      </w:r>
      <w:r w:rsidRPr="00015112">
        <w:rPr>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015112">
        <w:rPr>
          <w:rStyle w:val="StyleUnderline"/>
        </w:rPr>
        <w:t>society should be willing to spend</w:t>
      </w:r>
      <w:r w:rsidRPr="00015112">
        <w:rPr>
          <w:sz w:val="16"/>
        </w:rPr>
        <w:t xml:space="preserve"> at least that much to prevent a global catastrophe, which converts to being willing to spend at least </w:t>
      </w:r>
      <w:r w:rsidRPr="00015112">
        <w:rPr>
          <w:rStyle w:val="StyleUnderline"/>
        </w:rPr>
        <w:t>$1 million for a one-in-500-million reduction in the probability of global catastrophe</w:t>
      </w:r>
      <w:r w:rsidRPr="00015112">
        <w:rPr>
          <w:sz w:val="16"/>
        </w:rPr>
        <w:t xml:space="preserve">. Thus </w:t>
      </w:r>
      <w:r w:rsidRPr="00015112">
        <w:rPr>
          <w:rStyle w:val="StyleUnderline"/>
        </w:rPr>
        <w:t xml:space="preserve">while reasonable disagreement exists on how large of a VSL to use and how much to count future generations, even low-end positions suggest </w:t>
      </w:r>
      <w:r w:rsidRPr="00015112">
        <w:rPr>
          <w:rStyle w:val="Emphasis"/>
        </w:rPr>
        <w:t>vast resource allocations</w:t>
      </w:r>
      <w:r w:rsidRPr="00015112">
        <w:rPr>
          <w:rStyle w:val="StyleUnderline"/>
        </w:rPr>
        <w:t xml:space="preserve"> should be redirected to reducing GCR. This conclusion is only </w:t>
      </w:r>
      <w:r w:rsidRPr="00015112">
        <w:rPr>
          <w:rStyle w:val="Emphasis"/>
        </w:rPr>
        <w:t>strengthened</w:t>
      </w:r>
      <w:r w:rsidRPr="00015112">
        <w:rPr>
          <w:rStyle w:val="StyleUnderline"/>
        </w:rPr>
        <w:t xml:space="preserve"> when considering the </w:t>
      </w:r>
      <w:r w:rsidRPr="00015112">
        <w:rPr>
          <w:rStyle w:val="Emphasis"/>
        </w:rPr>
        <w:t>astronomical size of the stakes</w:t>
      </w:r>
      <w:r w:rsidRPr="00015112">
        <w:rPr>
          <w:sz w:val="16"/>
        </w:rPr>
        <w:t xml:space="preserve">, but the same point holds either way. The bottom line is that, </w:t>
      </w:r>
      <w:r w:rsidRPr="00015112">
        <w:rPr>
          <w:rStyle w:val="StyleUnderline"/>
        </w:rPr>
        <w:t xml:space="preserve">as long as something along the lines of the standard riskequals-probability-times-magnitude framework is being used, then </w:t>
      </w:r>
      <w:r w:rsidRPr="00015112">
        <w:rPr>
          <w:rStyle w:val="Emphasis"/>
        </w:rPr>
        <w:t>even tiny GCR reductions</w:t>
      </w:r>
      <w:r w:rsidRPr="00015112">
        <w:rPr>
          <w:rStyle w:val="StyleUnderline"/>
        </w:rPr>
        <w:t xml:space="preserve"> merit significant effort. This point holds especially strongly for risks of catastrophes that would cause </w:t>
      </w:r>
      <w:r w:rsidRPr="00015112">
        <w:rPr>
          <w:rStyle w:val="Emphasis"/>
        </w:rPr>
        <w:t>permanent harm to global human civilization</w:t>
      </w:r>
      <w:r w:rsidRPr="00015112">
        <w:rPr>
          <w:rStyle w:val="StyleUnderline"/>
        </w:rPr>
        <w:t xml:space="preserve">. The discussion thus far has assumed that all human lives are valued equally. This assumption is </w:t>
      </w:r>
      <w:r w:rsidRPr="00015112">
        <w:rPr>
          <w:rStyle w:val="Emphasis"/>
        </w:rPr>
        <w:t>not universally held</w:t>
      </w:r>
      <w:r w:rsidRPr="00015112">
        <w:rPr>
          <w:sz w:val="16"/>
        </w:rPr>
        <w:t xml:space="preserve">. </w:t>
      </w:r>
      <w:r w:rsidRPr="00015112">
        <w:rPr>
          <w:rStyle w:val="StyleUnderline"/>
        </w:rPr>
        <w:t>People often value some people more than others</w:t>
      </w:r>
      <w:r w:rsidRPr="00015112">
        <w:rPr>
          <w:sz w:val="16"/>
        </w:rPr>
        <w:t xml:space="preserve">, favoring themselves, their family and friends, their compatriots, their generation, or others whom they identify with. </w:t>
      </w:r>
      <w:r w:rsidRPr="00015112">
        <w:rPr>
          <w:rStyle w:val="StyleUnderline"/>
        </w:rPr>
        <w:t>Great debates rage on across moral philosophy, economics, and other fields about how much people should value others</w:t>
      </w:r>
      <w:r w:rsidRPr="00015112">
        <w:rPr>
          <w:sz w:val="16"/>
        </w:rPr>
        <w:t xml:space="preserve"> who are distant in space, time, or social relation, as well as the unborn members of future generations. </w:t>
      </w:r>
      <w:r w:rsidRPr="00015112">
        <w:rPr>
          <w:rStyle w:val="StyleUnderline"/>
        </w:rPr>
        <w:t>This debate is crucial</w:t>
      </w:r>
      <w:r w:rsidRPr="00015112">
        <w:rPr>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015112">
        <w:rPr>
          <w:rStyle w:val="StyleUnderline"/>
        </w:rPr>
        <w:t xml:space="preserve">While everyone has the right to their </w:t>
      </w:r>
      <w:r w:rsidRPr="00015112">
        <w:rPr>
          <w:rStyle w:val="Emphasis"/>
        </w:rPr>
        <w:t>own views and feelings</w:t>
      </w:r>
      <w:r w:rsidRPr="00015112">
        <w:rPr>
          <w:sz w:val="16"/>
        </w:rPr>
        <w:t xml:space="preserve">, we find that </w:t>
      </w:r>
      <w:r w:rsidRPr="00015112">
        <w:rPr>
          <w:rStyle w:val="StyleUnderline"/>
        </w:rPr>
        <w:t xml:space="preserve">the strongest arguments are for the </w:t>
      </w:r>
      <w:r w:rsidRPr="00015112">
        <w:rPr>
          <w:rStyle w:val="Emphasis"/>
        </w:rPr>
        <w:t>widely held position</w:t>
      </w:r>
      <w:r w:rsidRPr="00015112">
        <w:rPr>
          <w:rStyle w:val="StyleUnderline"/>
        </w:rPr>
        <w:t xml:space="preserve"> that </w:t>
      </w:r>
      <w:r w:rsidRPr="00015112">
        <w:rPr>
          <w:rStyle w:val="Emphasis"/>
        </w:rPr>
        <w:t>all human lives should be valued equally</w:t>
      </w:r>
      <w:r w:rsidRPr="00015112">
        <w:rPr>
          <w:rStyle w:val="StyleUnderline"/>
        </w:rPr>
        <w:t>.</w:t>
      </w:r>
      <w:r w:rsidRPr="00015112">
        <w:rPr>
          <w:sz w:val="16"/>
        </w:rPr>
        <w:t xml:space="preserve"> This position is succinctly stated in the United States Declaration of Independence, updated in the 1848 Declaration of Sentiments: “We hold these truths to be self-evident: that all men and 3 women are created equal”. </w:t>
      </w:r>
      <w:r w:rsidRPr="00015112">
        <w:rPr>
          <w:rStyle w:val="StyleUnderline"/>
        </w:rPr>
        <w:t>Philosophers speak of an agent-neutral, objective “view from nowhere”</w:t>
      </w:r>
      <w:r w:rsidRPr="00015112">
        <w:rPr>
          <w:sz w:val="16"/>
        </w:rPr>
        <w:t xml:space="preserve"> (Nagel 1986) </w:t>
      </w:r>
      <w:r w:rsidRPr="00015112">
        <w:rPr>
          <w:rStyle w:val="StyleUnderline"/>
        </w:rPr>
        <w:t>or a “veil of ignorance”</w:t>
      </w:r>
      <w:r w:rsidRPr="00015112">
        <w:rPr>
          <w:sz w:val="16"/>
        </w:rPr>
        <w:t xml:space="preserve"> (Rawls 1971) </w:t>
      </w:r>
      <w:r w:rsidRPr="00015112">
        <w:rPr>
          <w:rStyle w:val="StyleUnderline"/>
        </w:rPr>
        <w:t xml:space="preserve">in which each person considers what is best for society </w:t>
      </w:r>
      <w:r w:rsidRPr="00015112">
        <w:rPr>
          <w:rStyle w:val="Emphasis"/>
        </w:rPr>
        <w:t>irrespective of which member of society they happen to be</w:t>
      </w:r>
      <w:r w:rsidRPr="00015112">
        <w:rPr>
          <w:sz w:val="16"/>
        </w:rPr>
        <w:t xml:space="preserve">. </w:t>
      </w:r>
      <w:r w:rsidRPr="00015112">
        <w:rPr>
          <w:rStyle w:val="StyleUnderline"/>
        </w:rPr>
        <w:t xml:space="preserve">Such a perspective </w:t>
      </w:r>
      <w:r w:rsidRPr="00015112">
        <w:rPr>
          <w:rStyle w:val="Emphasis"/>
        </w:rPr>
        <w:t>suggests valuing everyone equally</w:t>
      </w:r>
      <w:r w:rsidRPr="00015112">
        <w:rPr>
          <w:rStyle w:val="StyleUnderline"/>
        </w:rPr>
        <w:t xml:space="preserve">, regardless of who they are or where or when they live. This in turn suggests a </w:t>
      </w:r>
      <w:r w:rsidRPr="00015112">
        <w:rPr>
          <w:rStyle w:val="Emphasis"/>
        </w:rPr>
        <w:t>very high value for reducing GCR</w:t>
      </w:r>
      <w:r w:rsidRPr="00015112">
        <w:rPr>
          <w:rStyle w:val="StyleUnderline"/>
        </w:rPr>
        <w:t xml:space="preserve">, or a high degree of priority for GCR reduction efforts. </w:t>
      </w:r>
    </w:p>
    <w:p w14:paraId="13876127" w14:textId="77777777" w:rsidR="00A66608" w:rsidRPr="00015112" w:rsidRDefault="00A66608" w:rsidP="00EF633D">
      <w:pPr>
        <w:rPr>
          <w:rStyle w:val="StyleUnderline"/>
        </w:rPr>
      </w:pPr>
    </w:p>
    <w:p w14:paraId="007CFC49" w14:textId="77777777" w:rsidR="00A66608" w:rsidRPr="00015112" w:rsidRDefault="00A66608" w:rsidP="00A66608">
      <w:pPr>
        <w:pStyle w:val="Heading4"/>
      </w:pPr>
      <w:r w:rsidRPr="00015112">
        <w:rPr>
          <w:u w:val="single"/>
        </w:rPr>
        <w:t>Existential</w:t>
      </w:r>
      <w:r w:rsidRPr="00015112">
        <w:t xml:space="preserve"> fears need not be </w:t>
      </w:r>
      <w:r w:rsidRPr="00015112">
        <w:rPr>
          <w:u w:val="single"/>
        </w:rPr>
        <w:t>settler</w:t>
      </w:r>
      <w:r w:rsidRPr="00015112">
        <w:t xml:space="preserve"> projections of demise but can be </w:t>
      </w:r>
      <w:r w:rsidRPr="00015112">
        <w:rPr>
          <w:u w:val="single"/>
        </w:rPr>
        <w:t>contingently</w:t>
      </w:r>
      <w:r w:rsidRPr="00015112">
        <w:t xml:space="preserve"> appropriated to </w:t>
      </w:r>
      <w:r w:rsidRPr="00015112">
        <w:rPr>
          <w:u w:val="single"/>
        </w:rPr>
        <w:t>reverse</w:t>
      </w:r>
      <w:r w:rsidRPr="00015112">
        <w:t xml:space="preserve"> indigenous erasure</w:t>
      </w:r>
    </w:p>
    <w:p w14:paraId="55E7376A" w14:textId="77777777" w:rsidR="00A66608" w:rsidRPr="00015112" w:rsidRDefault="00A66608" w:rsidP="00A66608">
      <w:pPr>
        <w:rPr>
          <w:sz w:val="16"/>
          <w:szCs w:val="16"/>
        </w:rPr>
      </w:pPr>
      <w:r w:rsidRPr="00015112">
        <w:rPr>
          <w:rStyle w:val="Style13ptBold"/>
        </w:rPr>
        <w:t>Weiss 15</w:t>
      </w:r>
      <w:r w:rsidRPr="00015112">
        <w:rPr>
          <w:sz w:val="16"/>
          <w:szCs w:val="16"/>
        </w:rPr>
        <w:t>—Ph.D. candidate, Anthropology, University of Chicago (Joseph, “UNSETTLING FUTURES: HAIDA FUTURE-MAKING, POLITICS AND MOBILITY IN THE SETTLER COLONIAL PRESENT,” Dissertation submitted to the Faculty of the Division of Social Sciences, Department of Anthropology, University of Chicago, December 2015, 223-232, dml)</w:t>
      </w:r>
    </w:p>
    <w:p w14:paraId="2245AE82" w14:textId="77777777" w:rsidR="00A66608" w:rsidRPr="00015112" w:rsidRDefault="00A66608" w:rsidP="00A66608">
      <w:pPr>
        <w:rPr>
          <w:rStyle w:val="StyleUnderline"/>
        </w:rPr>
      </w:pPr>
      <w:r w:rsidRPr="00015112">
        <w:rPr>
          <w:sz w:val="16"/>
        </w:rPr>
        <w:t xml:space="preserve">And yet, something has changed in this landscape from the initial erasures of Native futurity we drew out in the first chapter. In the narratives of colonial actors like Duncan Campbell Scott, it was absolutely clear that “Indians” were disappearing because their social worlds were being superseded by more “civilized” ways of living and being, ones that these Native subjects would also, inevitably, in the end, adopt (or failing that, perish outright). There was a future. It was simply a settler one. But the </w:t>
      </w:r>
      <w:r w:rsidRPr="00015112">
        <w:rPr>
          <w:rStyle w:val="Emphasis"/>
        </w:rPr>
        <w:t>nightmare futures</w:t>
      </w:r>
      <w:r w:rsidRPr="00015112">
        <w:rPr>
          <w:sz w:val="16"/>
        </w:rPr>
        <w:t xml:space="preserve"> of that my Haida interlocutors ward against in their own future-making reach beyond Haida life alone. Environmental collapse, most dramatically, </w:t>
      </w:r>
      <w:r w:rsidRPr="00015112">
        <w:rPr>
          <w:rStyle w:val="Emphasis"/>
        </w:rPr>
        <w:t>threatens the sustainability of all life</w:t>
      </w:r>
      <w:r w:rsidRPr="00015112">
        <w:rPr>
          <w:rStyle w:val="StyleUnderline"/>
        </w:rPr>
        <w:t xml:space="preserve">; toxins in the land and the waters </w:t>
      </w:r>
      <w:r w:rsidRPr="00015112">
        <w:rPr>
          <w:rStyle w:val="Emphasis"/>
        </w:rPr>
        <w:t>threaten human lives regardless of their relative indigeneity</w:t>
      </w:r>
      <w:r w:rsidRPr="00015112">
        <w:rPr>
          <w:rStyle w:val="StyleUnderline"/>
        </w:rPr>
        <w:t xml:space="preserve">, </w:t>
      </w:r>
      <w:r w:rsidRPr="00015112">
        <w:rPr>
          <w:rStyle w:val="Emphasis"/>
        </w:rPr>
        <w:t>race</w:t>
      </w:r>
      <w:r w:rsidRPr="00015112">
        <w:rPr>
          <w:rStyle w:val="StyleUnderline"/>
        </w:rPr>
        <w:t xml:space="preserve">, or </w:t>
      </w:r>
      <w:r w:rsidRPr="00015112">
        <w:rPr>
          <w:rStyle w:val="Emphasis"/>
        </w:rPr>
        <w:t>gender</w:t>
      </w:r>
      <w:r w:rsidRPr="00015112">
        <w:rPr>
          <w:sz w:val="16"/>
        </w:rPr>
        <w:t xml:space="preserve"> (e.g. Choy 2011; Crate 2011). Put another way, </w:t>
      </w:r>
      <w:r w:rsidRPr="00015112">
        <w:rPr>
          <w:rStyle w:val="StyleUnderline"/>
        </w:rPr>
        <w:t>the impetus for</w:t>
      </w:r>
      <w:r w:rsidRPr="00015112">
        <w:rPr>
          <w:sz w:val="16"/>
        </w:rPr>
        <w:t xml:space="preserve"> non-Haida (and </w:t>
      </w:r>
      <w:r w:rsidRPr="00015112">
        <w:rPr>
          <w:rStyle w:val="StyleUnderline"/>
        </w:rPr>
        <w:t>non-First Nations subjects</w:t>
      </w:r>
      <w:r w:rsidRPr="00015112">
        <w:rPr>
          <w:sz w:val="16"/>
        </w:rPr>
        <w:t xml:space="preserve"> more generally) </w:t>
      </w:r>
      <w:r w:rsidRPr="00015112">
        <w:rPr>
          <w:rStyle w:val="StyleUnderline"/>
        </w:rPr>
        <w:t>to be</w:t>
      </w:r>
      <w:r w:rsidRPr="00015112">
        <w:rPr>
          <w:sz w:val="16"/>
        </w:rPr>
        <w:t xml:space="preserve"> “</w:t>
      </w:r>
      <w:r w:rsidRPr="00015112">
        <w:rPr>
          <w:rStyle w:val="Emphasis"/>
        </w:rPr>
        <w:t>united</w:t>
      </w:r>
      <w:r w:rsidRPr="00015112">
        <w:rPr>
          <w:sz w:val="16"/>
        </w:rPr>
        <w:t xml:space="preserve"> against Enbridge” </w:t>
      </w:r>
      <w:r w:rsidRPr="00015112">
        <w:rPr>
          <w:rStyle w:val="StyleUnderline"/>
        </w:rPr>
        <w:t>with their indigenous neighbours comes</w:t>
      </w:r>
      <w:r w:rsidRPr="00015112">
        <w:rPr>
          <w:sz w:val="16"/>
        </w:rPr>
        <w:t xml:space="preserve"> in no small part </w:t>
      </w:r>
      <w:r w:rsidRPr="00015112">
        <w:rPr>
          <w:rStyle w:val="StyleUnderline"/>
        </w:rPr>
        <w:t>because</w:t>
      </w:r>
      <w:r w:rsidRPr="00015112">
        <w:rPr>
          <w:sz w:val="16"/>
        </w:rPr>
        <w:t xml:space="preserve"> an oil spill also profoundly threatens the lives and livelihoods of non-Aboriginal coastal residents,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w:t>
      </w:r>
      <w:r w:rsidRPr="00015112">
        <w:rPr>
          <w:rStyle w:val="StyleUnderline"/>
        </w:rPr>
        <w:t>the</w:t>
      </w:r>
      <w:r w:rsidRPr="00015112">
        <w:rPr>
          <w:sz w:val="16"/>
        </w:rPr>
        <w:t xml:space="preserve"> globe. The </w:t>
      </w:r>
      <w:r w:rsidRPr="00015112">
        <w:rPr>
          <w:rStyle w:val="StyleUnderline"/>
        </w:rPr>
        <w:t xml:space="preserve">nightmare futures that Haida people constitute alternative futures to ward against are </w:t>
      </w:r>
      <w:r w:rsidRPr="00015112">
        <w:rPr>
          <w:rStyle w:val="Emphasis"/>
        </w:rPr>
        <w:t>not just future of indigenous erasure</w:t>
      </w:r>
      <w:r w:rsidRPr="00015112">
        <w:rPr>
          <w:rStyle w:val="StyleUnderline"/>
        </w:rPr>
        <w:t xml:space="preserve"> under settler colonialism. They are </w:t>
      </w:r>
      <w:r w:rsidRPr="00015112">
        <w:rPr>
          <w:rStyle w:val="Emphasis"/>
        </w:rPr>
        <w:t>erasures of settler society itself</w:t>
      </w:r>
      <w:r w:rsidRPr="00015112">
        <w:rPr>
          <w:rStyle w:val="StyleUnderline"/>
        </w:rPr>
        <w:t xml:space="preserve">. </w:t>
      </w:r>
    </w:p>
    <w:p w14:paraId="5C714550" w14:textId="3926F9B1" w:rsidR="00A66608" w:rsidRPr="00015112" w:rsidRDefault="00A66608" w:rsidP="00EF633D">
      <w:pPr>
        <w:rPr>
          <w:sz w:val="16"/>
        </w:rPr>
      </w:pPr>
      <w:r w:rsidRPr="00015112">
        <w:rPr>
          <w:rStyle w:val="StyleUnderline"/>
        </w:rPr>
        <w:t xml:space="preserve">There is thus an </w:t>
      </w:r>
      <w:r w:rsidRPr="00015112">
        <w:rPr>
          <w:rStyle w:val="Emphasis"/>
        </w:rPr>
        <w:t>extraordinary political claim</w:t>
      </w:r>
      <w:r w:rsidRPr="00015112">
        <w:rPr>
          <w:rStyle w:val="StyleUnderline"/>
        </w:rPr>
        <w:t xml:space="preserve"> embedded in</w:t>
      </w:r>
      <w:r w:rsidRPr="00015112">
        <w:rPr>
          <w:sz w:val="16"/>
        </w:rPr>
        <w:t xml:space="preserve"> Haida </w:t>
      </w:r>
      <w:r w:rsidRPr="00015112">
        <w:rPr>
          <w:rStyle w:val="StyleUnderline"/>
        </w:rPr>
        <w:t>future-making</w:t>
      </w:r>
      <w:r w:rsidRPr="00015112">
        <w:rPr>
          <w:sz w:val="16"/>
        </w:rPr>
        <w:t xml:space="preserve">, a claim </w:t>
      </w:r>
      <w:r w:rsidRPr="00015112">
        <w:rPr>
          <w:rStyle w:val="StyleUnderline"/>
        </w:rPr>
        <w:t xml:space="preserve">which gains its power </w:t>
      </w:r>
      <w:r w:rsidRPr="00015112">
        <w:rPr>
          <w:rStyle w:val="Emphasis"/>
        </w:rPr>
        <w:t>precisely because</w:t>
      </w:r>
      <w:r w:rsidRPr="00015112">
        <w:rPr>
          <w:sz w:val="16"/>
        </w:rPr>
        <w:t xml:space="preserve"> Haida </w:t>
      </w:r>
      <w:r w:rsidRPr="00015112">
        <w:rPr>
          <w:rStyle w:val="StyleUnderline"/>
        </w:rPr>
        <w:t>future-making</w:t>
      </w:r>
      <w:r w:rsidRPr="00015112">
        <w:rPr>
          <w:sz w:val="16"/>
        </w:rPr>
        <w:t xml:space="preserve"> as we have seen it </w:t>
      </w:r>
      <w:r w:rsidRPr="00015112">
        <w:rPr>
          <w:rStyle w:val="Emphasis"/>
        </w:rPr>
        <w:t>does not</w:t>
      </w:r>
      <w:r w:rsidRPr="00015112">
        <w:rPr>
          <w:rStyle w:val="StyleUnderline"/>
        </w:rPr>
        <w:t xml:space="preserve"> (perhaps </w:t>
      </w:r>
      <w:r w:rsidRPr="00015112">
        <w:rPr>
          <w:rStyle w:val="Emphasis"/>
        </w:rPr>
        <w:t>cannot</w:t>
      </w:r>
      <w:r w:rsidRPr="00015112">
        <w:rPr>
          <w:rStyle w:val="StyleUnderline"/>
        </w:rPr>
        <w:t xml:space="preserve">) </w:t>
      </w:r>
      <w:r w:rsidRPr="00015112">
        <w:rPr>
          <w:rStyle w:val="Emphasis"/>
        </w:rPr>
        <w:t>escape</w:t>
      </w:r>
      <w:r w:rsidRPr="00015112">
        <w:rPr>
          <w:rStyle w:val="StyleUnderline"/>
        </w:rPr>
        <w:t xml:space="preserve"> from the </w:t>
      </w:r>
      <w:r w:rsidRPr="00015112">
        <w:rPr>
          <w:rStyle w:val="Emphasis"/>
        </w:rPr>
        <w:t>larger field of settler-colonial determination</w:t>
      </w:r>
      <w:r w:rsidRPr="00015112">
        <w:rPr>
          <w:sz w:val="16"/>
        </w:rPr>
        <w:t xml:space="preserve">. Instead, in Haida future-making </w:t>
      </w:r>
      <w:r w:rsidRPr="00015112">
        <w:rPr>
          <w:rStyle w:val="StyleUnderline"/>
        </w:rPr>
        <w:t xml:space="preserve">we find the </w:t>
      </w:r>
      <w:r w:rsidRPr="00015112">
        <w:rPr>
          <w:rStyle w:val="Emphasis"/>
        </w:rPr>
        <w:t>implicit assertion</w:t>
      </w:r>
      <w:r w:rsidRPr="00015112">
        <w:rPr>
          <w:rStyle w:val="StyleUnderline"/>
        </w:rPr>
        <w:t xml:space="preserve"> that Haida people can make futures that address the dilemmas of </w:t>
      </w:r>
      <w:r w:rsidRPr="00015112">
        <w:rPr>
          <w:rStyle w:val="Emphasis"/>
        </w:rPr>
        <w:t>Haida</w:t>
      </w:r>
      <w:r w:rsidRPr="00015112">
        <w:rPr>
          <w:rStyle w:val="StyleUnderline"/>
        </w:rPr>
        <w:t xml:space="preserve"> and </w:t>
      </w:r>
      <w:r w:rsidRPr="00015112">
        <w:rPr>
          <w:rStyle w:val="Emphasis"/>
        </w:rPr>
        <w:t>settler life alike</w:t>
      </w:r>
      <w:r w:rsidRPr="00015112">
        <w:rPr>
          <w:rStyle w:val="StyleUnderline"/>
        </w:rPr>
        <w:t>, ones that can at least “</w:t>
      </w:r>
      <w:r w:rsidRPr="00015112">
        <w:rPr>
          <w:rStyle w:val="Emphasis"/>
        </w:rPr>
        <w:t>navigate</w:t>
      </w:r>
      <w:r w:rsidRPr="00015112">
        <w:rPr>
          <w:rStyle w:val="StyleUnderline"/>
        </w:rPr>
        <w:t>,”</w:t>
      </w:r>
      <w:r w:rsidRPr="00015112">
        <w:rPr>
          <w:sz w:val="16"/>
        </w:rPr>
        <w:t xml:space="preserve"> to borrow Appadurai’s phrasing, </w:t>
      </w:r>
      <w:r w:rsidRPr="00015112">
        <w:rPr>
          <w:rStyle w:val="StyleUnderline"/>
        </w:rPr>
        <w:t xml:space="preserve">towards possible futures that </w:t>
      </w:r>
      <w:r w:rsidRPr="00015112">
        <w:rPr>
          <w:rStyle w:val="Emphasis"/>
        </w:rPr>
        <w:t>do not end in absolute erasure</w:t>
      </w:r>
      <w:r w:rsidRPr="00015112">
        <w:rPr>
          <w:sz w:val="16"/>
        </w:rPr>
        <w:t xml:space="preserve">. </w:t>
      </w:r>
      <w:r w:rsidRPr="00015112">
        <w:rPr>
          <w:rStyle w:val="StyleUnderline"/>
        </w:rPr>
        <w:t>If</w:t>
      </w:r>
      <w:r w:rsidRPr="00015112">
        <w:rPr>
          <w:sz w:val="16"/>
        </w:rPr>
        <w:t xml:space="preserve"> Povinelli and Byrd are correct and </w:t>
      </w:r>
      <w:r w:rsidRPr="00015112">
        <w:rPr>
          <w:rStyle w:val="StyleUnderline"/>
        </w:rPr>
        <w:t xml:space="preserve">settler liberal governance </w:t>
      </w:r>
      <w:r w:rsidRPr="00015112">
        <w:rPr>
          <w:rStyle w:val="Emphasis"/>
        </w:rPr>
        <w:t>makes itself possible</w:t>
      </w:r>
      <w:r w:rsidRPr="00015112">
        <w:rPr>
          <w:rStyle w:val="StyleUnderline"/>
        </w:rPr>
        <w:t xml:space="preserve"> and </w:t>
      </w:r>
      <w:r w:rsidRPr="00015112">
        <w:rPr>
          <w:rStyle w:val="Emphasis"/>
        </w:rPr>
        <w:t>legitimate</w:t>
      </w:r>
      <w:r w:rsidRPr="00015112">
        <w:rPr>
          <w:rStyle w:val="StyleUnderline"/>
        </w:rPr>
        <w:t xml:space="preserve"> through a </w:t>
      </w:r>
      <w:r w:rsidRPr="00015112">
        <w:rPr>
          <w:rStyle w:val="Emphasis"/>
        </w:rPr>
        <w:t>perpetual deferral</w:t>
      </w:r>
      <w:r w:rsidRPr="00015112">
        <w:rPr>
          <w:rStyle w:val="StyleUnderline"/>
        </w:rPr>
        <w:t xml:space="preserve"> of the problems of the present, then part of the power of</w:t>
      </w:r>
      <w:r w:rsidRPr="00015112">
        <w:rPr>
          <w:sz w:val="16"/>
        </w:rPr>
        <w:t xml:space="preserve"> Haida </w:t>
      </w:r>
      <w:r w:rsidRPr="00015112">
        <w:rPr>
          <w:rStyle w:val="StyleUnderline"/>
        </w:rPr>
        <w:t xml:space="preserve">future-making is to </w:t>
      </w:r>
      <w:r w:rsidRPr="00015112">
        <w:rPr>
          <w:rStyle w:val="Emphasis"/>
        </w:rPr>
        <w:t>expose the threatening non-futures</w:t>
      </w:r>
      <w:r w:rsidRPr="00015112">
        <w:rPr>
          <w:rStyle w:val="StyleUnderline"/>
        </w:rPr>
        <w:t xml:space="preserve"> that might emerge out of this bracketed present</w:t>
      </w:r>
      <w:r w:rsidRPr="00015112">
        <w:rPr>
          <w:sz w:val="16"/>
        </w:rPr>
        <w:t xml:space="preserve">, to expose as lie the liberal promise of a good life always yet to come and to attempt to constitute alternatives. </w:t>
      </w:r>
    </w:p>
    <w:p w14:paraId="7E8B22FD" w14:textId="6C96EFF1" w:rsidR="00ED0FBC" w:rsidRPr="00015112" w:rsidRDefault="00582CE0" w:rsidP="0043284B">
      <w:pPr>
        <w:pStyle w:val="Heading2"/>
      </w:pPr>
      <w:r w:rsidRPr="00015112">
        <w:t>Alt</w:t>
      </w:r>
    </w:p>
    <w:p w14:paraId="47309379" w14:textId="3DA31483" w:rsidR="00571665" w:rsidRPr="00015112" w:rsidRDefault="00571665" w:rsidP="00571665">
      <w:pPr>
        <w:pStyle w:val="Heading3"/>
      </w:pPr>
      <w:r w:rsidRPr="00015112">
        <w:t>2AC – AT: Decolonization</w:t>
      </w:r>
    </w:p>
    <w:p w14:paraId="2D96656C" w14:textId="77777777" w:rsidR="00571665" w:rsidRPr="00015112" w:rsidRDefault="00571665" w:rsidP="00571665">
      <w:pPr>
        <w:pStyle w:val="Heading4"/>
      </w:pPr>
      <w:r w:rsidRPr="00015112">
        <w:t xml:space="preserve">The alt can’t solve material decolonization OR cause their impacts. </w:t>
      </w:r>
    </w:p>
    <w:p w14:paraId="7DBD9940" w14:textId="77777777" w:rsidR="00571665" w:rsidRPr="00015112" w:rsidRDefault="00571665" w:rsidP="00571665">
      <w:r w:rsidRPr="00015112">
        <w:rPr>
          <w:b/>
          <w:sz w:val="24"/>
          <w:szCs w:val="24"/>
        </w:rPr>
        <w:t>Laing ‘15</w:t>
      </w:r>
      <w:r w:rsidRPr="00015112">
        <w:t xml:space="preserve"> </w:t>
      </w:r>
      <w:r w:rsidRPr="00015112">
        <w:rPr>
          <w:sz w:val="18"/>
          <w:szCs w:val="18"/>
        </w:rPr>
        <w:t>(Anna Frances, Ph.D. candidate, School of Geographical and Earth Sciences, College of Science and Engineering, University of Glasgow, “Territory, resistance and struggles for the plurinational state: the spatial politics of the TIPNIS Conflict,” Ph.D. thesis, January 2015, p.215-216, http://theses.gla.ac.uk/5974/7/2015laingphd.pdf)</w:t>
      </w:r>
    </w:p>
    <w:p w14:paraId="6DAD3537" w14:textId="77777777" w:rsidR="00571665" w:rsidRPr="00015112" w:rsidRDefault="00571665" w:rsidP="00571665">
      <w:pPr>
        <w:rPr>
          <w:sz w:val="14"/>
        </w:rPr>
      </w:pPr>
      <w:r w:rsidRPr="00015112">
        <w:rPr>
          <w:sz w:val="14"/>
        </w:rPr>
        <w:t xml:space="preserve">The use of indigeneity as a common signifier has fostered mobilisation across different ethnic groups. This process has been aided by NGOs and técnicos (technical experts) that accompanied the Eighth and Ninth Marches. NGO representatives facilitated meetings, provided training, funded activities and constructed written announcements and texts. These mediatory actors therefore helped to re-articulate the grievances of the marchers under the banner of indigenous rights. This could be seen in the writing of open letters to the government during both the Eighth and Ninth Marches, made possible through the aid of technical experts from one of the principle legal organisations defending indigenous rights in Bolivia CEJIS (Centro de Estudios Jurídicos e Investigación Social; Centre of Legal Studies and Social Investigation). Therefore, </w:t>
      </w:r>
      <w:r w:rsidRPr="00015112">
        <w:rPr>
          <w:rStyle w:val="StyleUnderline"/>
        </w:rPr>
        <w:t>in order to ‘speak’ and be heard, the indigenous peoples have to undergo a process of representation through the language of legal rights. They therefore remain ‘subaltern’ because their attempts at self-representation fall outside the ‘the lines laid down by the official institutional structures of representation’</w:t>
      </w:r>
      <w:r w:rsidRPr="00015112">
        <w:rPr>
          <w:sz w:val="14"/>
        </w:rPr>
        <w:t xml:space="preserve"> (Spivak 1996: 306). Thus, Glenn (2011) contends that the UN Declaration on the Rights of Indigenous Peoples is </w:t>
      </w:r>
      <w:r w:rsidRPr="00015112">
        <w:rPr>
          <w:rStyle w:val="StyleUnderline"/>
        </w:rPr>
        <w:t>ironic since it seeks the recognition of alternative epistemologies through civic institutions that have homogenising and universalising tendencies. However</w:t>
      </w:r>
      <w:r w:rsidRPr="00015112">
        <w:rPr>
          <w:sz w:val="14"/>
        </w:rPr>
        <w:t xml:space="preserve">, as Fabricant notes in her work with the Landless Peasants Movement in Bolivia, movements ‘take NGO ideas and meld them with their own creative strategies to come up with solutions that will work for their communities’ (2012: 120). Moreover, Gustafson (2009b) offers a balanced interpretation of the ways that NGOs offer a language and model for politicising alternative worldviews. </w:t>
      </w:r>
      <w:r w:rsidRPr="00015112">
        <w:rPr>
          <w:rStyle w:val="StyleUnderline"/>
        </w:rPr>
        <w:t>The indigenous movement consciously reifies certain strategic essentialisms whilst at other times actively resisting them. Indeed, indigenous knowledges do not exist outside of other knowledge forms</w:t>
      </w:r>
      <w:r w:rsidRPr="00015112">
        <w:rPr>
          <w:sz w:val="14"/>
        </w:rPr>
        <w:t xml:space="preserve"> (Walsh 2002). As Walsh argues ‘</w:t>
      </w:r>
      <w:r w:rsidRPr="00015112">
        <w:rPr>
          <w:rStyle w:val="StyleUnderline"/>
        </w:rPr>
        <w:t xml:space="preserve">[t]he </w:t>
      </w:r>
      <w:r w:rsidRPr="00015112">
        <w:rPr>
          <w:rStyle w:val="Emphasis"/>
        </w:rPr>
        <w:t>efficacy</w:t>
      </w:r>
      <w:r w:rsidRPr="00015112">
        <w:rPr>
          <w:rStyle w:val="StyleUnderline"/>
        </w:rPr>
        <w:t xml:space="preserve"> of the movement in fact derives from its ability to construct and use the </w:t>
      </w:r>
      <w:r w:rsidRPr="00015112">
        <w:rPr>
          <w:rStyle w:val="Emphasis"/>
        </w:rPr>
        <w:t>correspondences</w:t>
      </w:r>
      <w:r w:rsidRPr="00015112">
        <w:rPr>
          <w:rStyle w:val="StyleUnderline"/>
        </w:rPr>
        <w:t xml:space="preserve"> among various contemporary knowledge positions</w:t>
      </w:r>
      <w:r w:rsidRPr="00015112">
        <w:rPr>
          <w:sz w:val="14"/>
        </w:rPr>
        <w:t xml:space="preserve"> […] </w:t>
      </w:r>
      <w:r w:rsidRPr="00015112">
        <w:rPr>
          <w:rStyle w:val="StyleUnderline"/>
        </w:rPr>
        <w:t xml:space="preserve">in order to exercise </w:t>
      </w:r>
      <w:r w:rsidRPr="00015112">
        <w:rPr>
          <w:rStyle w:val="Emphasis"/>
        </w:rPr>
        <w:t>political tactics</w:t>
      </w:r>
      <w:r w:rsidRPr="00015112">
        <w:rPr>
          <w:rStyle w:val="StyleUnderline"/>
        </w:rPr>
        <w:t xml:space="preserve"> and strategies’</w:t>
      </w:r>
      <w:r w:rsidRPr="00015112">
        <w:rPr>
          <w:sz w:val="14"/>
        </w:rPr>
        <w:t xml:space="preserve"> (2002: 71). </w:t>
      </w:r>
      <w:r w:rsidRPr="00015112">
        <w:rPr>
          <w:rStyle w:val="Emphasis"/>
        </w:rPr>
        <w:t>A politics of refusal is unlikely to advance indigenous demands</w:t>
      </w:r>
      <w:r w:rsidRPr="00015112">
        <w:rPr>
          <w:sz w:val="14"/>
        </w:rPr>
        <w:t xml:space="preserve">. </w:t>
      </w:r>
      <w:r w:rsidRPr="00015112">
        <w:rPr>
          <w:rStyle w:val="StyleUnderline"/>
        </w:rPr>
        <w:t>As such</w:t>
      </w:r>
      <w:r w:rsidRPr="00015112">
        <w:rPr>
          <w:sz w:val="14"/>
        </w:rPr>
        <w:t xml:space="preserve">, Hale suggests an analytical framework based on the Gramscian notion of articulation to ask: will the subjugated knowledge and practices be articulated within the dominant, and neutralised? Or will they occupy the space opened from above while resisting its built in logic, connect with others, toward ‘transformative’ cultural-political alternatives that still cannot be fully imagined? (2002: 499). Indeed, </w:t>
      </w:r>
      <w:r w:rsidRPr="00015112">
        <w:rPr>
          <w:rStyle w:val="StyleUnderline"/>
        </w:rPr>
        <w:t xml:space="preserve">there is the danger that identifying under a </w:t>
      </w:r>
      <w:r w:rsidRPr="00015112">
        <w:rPr>
          <w:rStyle w:val="Emphasis"/>
        </w:rPr>
        <w:t>single</w:t>
      </w:r>
      <w:r w:rsidRPr="00015112">
        <w:rPr>
          <w:rStyle w:val="StyleUnderline"/>
        </w:rPr>
        <w:t xml:space="preserve"> indigenous label </w:t>
      </w:r>
      <w:r w:rsidRPr="00015112">
        <w:rPr>
          <w:rStyle w:val="Emphasis"/>
        </w:rPr>
        <w:t>risks losing</w:t>
      </w:r>
      <w:r w:rsidRPr="00015112">
        <w:rPr>
          <w:rStyle w:val="StyleUnderline"/>
        </w:rPr>
        <w:t xml:space="preserve"> the </w:t>
      </w:r>
      <w:r w:rsidRPr="00015112">
        <w:rPr>
          <w:rStyle w:val="Emphasis"/>
        </w:rPr>
        <w:t>complexities</w:t>
      </w:r>
      <w:r w:rsidRPr="00015112">
        <w:rPr>
          <w:rStyle w:val="StyleUnderline"/>
        </w:rPr>
        <w:t xml:space="preserve"> and processes that permeate the </w:t>
      </w:r>
      <w:r w:rsidRPr="00015112">
        <w:rPr>
          <w:rStyle w:val="Emphasis"/>
        </w:rPr>
        <w:t>heterogeneous inter-ethnic collectivity</w:t>
      </w:r>
      <w:r w:rsidRPr="00015112">
        <w:rPr>
          <w:rStyle w:val="StyleUnderline"/>
        </w:rPr>
        <w:t xml:space="preserve"> of the</w:t>
      </w:r>
      <w:r w:rsidRPr="00015112">
        <w:rPr>
          <w:sz w:val="14"/>
        </w:rPr>
        <w:t xml:space="preserve"> lowland </w:t>
      </w:r>
      <w:r w:rsidRPr="00015112">
        <w:rPr>
          <w:rStyle w:val="StyleUnderline"/>
        </w:rPr>
        <w:t>indigenous movement</w:t>
      </w:r>
      <w:r w:rsidRPr="00015112">
        <w:rPr>
          <w:sz w:val="14"/>
        </w:rPr>
        <w:t xml:space="preserve">. This acts to disembody the identity claims from some of the more radical tangents of the movement. </w:t>
      </w:r>
      <w:r w:rsidRPr="00015112">
        <w:rPr>
          <w:rStyle w:val="StyleUnderline"/>
        </w:rPr>
        <w:t xml:space="preserve">Mexican anthropologist Miguel Alberto Bartolomé argues that indigenous autonomy should contemplate ‘new modes of [interethnic, inter-cultural] social articulation that are more egalitarian than existing [ones]’ and that a multi-ethnic state ‘should explore </w:t>
      </w:r>
      <w:r w:rsidRPr="00015112">
        <w:rPr>
          <w:rStyle w:val="Emphasis"/>
        </w:rPr>
        <w:t>all possible paths</w:t>
      </w:r>
      <w:r w:rsidRPr="00015112">
        <w:rPr>
          <w:rStyle w:val="StyleUnderline"/>
        </w:rPr>
        <w:t xml:space="preserve"> in the search for novel forms of conviviality between culturally distinct groups’</w:t>
      </w:r>
      <w:r w:rsidRPr="00015112">
        <w:rPr>
          <w:sz w:val="14"/>
        </w:rPr>
        <w:t xml:space="preserve"> (2005: 146 cited in Gustafson 2009a: 998). Escobar similarly </w:t>
      </w:r>
      <w:r w:rsidRPr="00015112">
        <w:rPr>
          <w:rStyle w:val="StyleUnderline"/>
        </w:rPr>
        <w:t xml:space="preserve">calls for a </w:t>
      </w:r>
      <w:r w:rsidRPr="00015112">
        <w:rPr>
          <w:rStyle w:val="Emphasis"/>
        </w:rPr>
        <w:t>decolonisation</w:t>
      </w:r>
      <w:r w:rsidRPr="00015112">
        <w:rPr>
          <w:rStyle w:val="StyleUnderline"/>
        </w:rPr>
        <w:t xml:space="preserve"> that ‘can be started in earnest from a </w:t>
      </w:r>
      <w:r w:rsidRPr="00015112">
        <w:rPr>
          <w:rStyle w:val="Emphasis"/>
        </w:rPr>
        <w:t>deessentialized</w:t>
      </w:r>
      <w:r w:rsidRPr="00015112">
        <w:rPr>
          <w:rStyle w:val="StyleUnderline"/>
        </w:rPr>
        <w:t xml:space="preserve"> perspective’</w:t>
      </w:r>
      <w:r w:rsidRPr="00015112">
        <w:rPr>
          <w:sz w:val="14"/>
        </w:rPr>
        <w:t xml:space="preserve"> (2008: 305). </w:t>
      </w:r>
      <w:r w:rsidRPr="00015112">
        <w:rPr>
          <w:rStyle w:val="StyleUnderline"/>
        </w:rPr>
        <w:t>Indeed, the movement seeks the recognition of plurality without the homogenisation of indigenous cultures or ideologies or the ranking of difference that necessarily works to subordinate some cultures and let others dominate</w:t>
      </w:r>
      <w:r w:rsidRPr="00015112">
        <w:rPr>
          <w:sz w:val="14"/>
        </w:rPr>
        <w:t xml:space="preserve">. This project of emancipatory societal transformation is an on-going challenge for the lowland indigenous movement. </w:t>
      </w:r>
    </w:p>
    <w:p w14:paraId="0184ADD5" w14:textId="31FDA8DB" w:rsidR="009C409D" w:rsidRPr="00015112" w:rsidRDefault="00725AC0" w:rsidP="009C409D">
      <w:pPr>
        <w:pStyle w:val="Heading3"/>
      </w:pPr>
      <w:r w:rsidRPr="00015112">
        <w:t xml:space="preserve">2AC – </w:t>
      </w:r>
      <w:r w:rsidR="009C409D" w:rsidRPr="00015112">
        <w:t>AT</w:t>
      </w:r>
      <w:r w:rsidRPr="00015112">
        <w:t>:</w:t>
      </w:r>
      <w:r w:rsidR="009C409D" w:rsidRPr="00015112">
        <w:t xml:space="preserve"> Decolonizatio</w:t>
      </w:r>
      <w:r w:rsidR="0094489A" w:rsidRPr="00015112">
        <w:t xml:space="preserve">n </w:t>
      </w:r>
      <w:r w:rsidR="009C409D" w:rsidRPr="00015112">
        <w:t>–</w:t>
      </w:r>
      <w:r w:rsidR="008F117B" w:rsidRPr="00015112">
        <w:t xml:space="preserve"> </w:t>
      </w:r>
      <w:r w:rsidR="009C409D" w:rsidRPr="00015112">
        <w:t xml:space="preserve">Fails </w:t>
      </w:r>
    </w:p>
    <w:p w14:paraId="5A0D7707" w14:textId="77777777" w:rsidR="009C409D" w:rsidRPr="00015112" w:rsidRDefault="009C409D" w:rsidP="009C409D">
      <w:pPr>
        <w:pStyle w:val="Heading4"/>
      </w:pPr>
      <w:r w:rsidRPr="00015112">
        <w:t xml:space="preserve">Placing land return as the only solution </w:t>
      </w:r>
      <w:r w:rsidRPr="00015112">
        <w:rPr>
          <w:u w:val="single"/>
        </w:rPr>
        <w:t>enhances</w:t>
      </w:r>
      <w:r w:rsidRPr="00015112">
        <w:t xml:space="preserve"> the subjugation of indigenous peoples – at best it’s impossible </w:t>
      </w:r>
    </w:p>
    <w:p w14:paraId="519C3FA7" w14:textId="77777777" w:rsidR="009C409D" w:rsidRPr="00015112" w:rsidRDefault="009C409D" w:rsidP="009C409D">
      <w:r w:rsidRPr="00015112">
        <w:rPr>
          <w:rStyle w:val="Style13ptBold"/>
          <w:szCs w:val="24"/>
        </w:rPr>
        <w:t>Busbridge ‘17</w:t>
      </w:r>
      <w:r w:rsidRPr="00015112">
        <w:t xml:space="preserve"> </w:t>
      </w:r>
      <w:r w:rsidRPr="00015112">
        <w:rPr>
          <w:sz w:val="18"/>
          <w:szCs w:val="18"/>
        </w:rPr>
        <w:t>(Rachel, Alexander von Humboldt Postdoctoral Fellow in Institut für Islamwissenschaft (Institute of Islamic Studies), Freie Universität Berlin [“Israel-Palestine and the Settler Colonial ‘Turn’: From Interpretation to Decolonization,” Theory, Culture &amp; Society, First Published: January 23, 2017, p. 1-25)</w:t>
      </w:r>
    </w:p>
    <w:p w14:paraId="7242D57D" w14:textId="77777777" w:rsidR="009C409D" w:rsidRPr="00015112" w:rsidRDefault="009C409D" w:rsidP="009C409D">
      <w:pPr>
        <w:rPr>
          <w:sz w:val="16"/>
        </w:rPr>
      </w:pPr>
      <w:r w:rsidRPr="00015112">
        <w:rPr>
          <w:sz w:val="16"/>
        </w:rPr>
        <w:t xml:space="preserve">The prescription for decolonization – that is, a normative project committed to the liberation of the colonized and the overturning of colonial relationships of power (Kohn and McBride, 2011: 3) – is indeed one of the most counter-hegemonic implications of the settler colonial paradigm as applied to Israel-Palestine, potentially shifting it from a diagnostic frame to a prognostic one which offers a ‘proposed solution to the problem, or at least a plan of attack’ (Benford and Snow, 2000: 616). What, however, does the settler colonial paradigm offer by way of envisioning decolonization? As Veracini (2007) notes, </w:t>
      </w:r>
      <w:r w:rsidRPr="00015112">
        <w:rPr>
          <w:rStyle w:val="StyleUnderline"/>
        </w:rPr>
        <w:t>while settler colonial studies scholars have sought to address the lack of attention paid to the experiences of indigenous peoples in conventional historiographical accounts of decolonization</w:t>
      </w:r>
      <w:r w:rsidRPr="00015112">
        <w:rPr>
          <w:sz w:val="16"/>
        </w:rPr>
        <w:t xml:space="preserve"> (which have mostly focused on settler independence and the loosening of ties to the ‘motherland’), </w:t>
      </w:r>
      <w:r w:rsidRPr="00015112">
        <w:rPr>
          <w:rStyle w:val="StyleUnderline"/>
        </w:rPr>
        <w:t>there is nevertheless a ‘narrative deficit’ when it comes to imagining settler decolonization.</w:t>
      </w:r>
      <w:r w:rsidRPr="00015112">
        <w:rPr>
          <w:sz w:val="16"/>
        </w:rPr>
        <w:t xml:space="preserve"> While Veracini (2007) relates this deficit to a matter of conceptualization, it is apparent that </w:t>
      </w:r>
      <w:r w:rsidRPr="00015112">
        <w:rPr>
          <w:rStyle w:val="StyleUnderline"/>
        </w:rPr>
        <w:t xml:space="preserve">the structural perspective of the paradigm in many ways </w:t>
      </w:r>
      <w:r w:rsidRPr="00015112">
        <w:rPr>
          <w:rStyle w:val="Emphasis"/>
        </w:rPr>
        <w:t>closes down possibilities</w:t>
      </w:r>
      <w:r w:rsidRPr="00015112">
        <w:rPr>
          <w:rStyle w:val="StyleUnderline"/>
        </w:rPr>
        <w:t xml:space="preserve"> of imagining the type of social and political transformation to which the notion of decolonization aspires</w:t>
      </w:r>
      <w:r w:rsidRPr="00015112">
        <w:rPr>
          <w:sz w:val="16"/>
        </w:rPr>
        <w:t xml:space="preserve">. In this regard, </w:t>
      </w:r>
      <w:r w:rsidRPr="00015112">
        <w:rPr>
          <w:rStyle w:val="StyleUnderline"/>
        </w:rPr>
        <w:t xml:space="preserve">there is a worrying tendency (if not tautological discrepancy) in settler colonial studies, where the </w:t>
      </w:r>
      <w:r w:rsidRPr="00015112">
        <w:rPr>
          <w:rStyle w:val="Emphasis"/>
        </w:rPr>
        <w:t>only solution</w:t>
      </w:r>
      <w:r w:rsidRPr="00015112">
        <w:rPr>
          <w:rStyle w:val="StyleUnderline"/>
        </w:rPr>
        <w:t xml:space="preserve"> to settler colonialism is decolonization – which a faithful adherence to the paradigm </w:t>
      </w:r>
      <w:r w:rsidRPr="00015112">
        <w:rPr>
          <w:rStyle w:val="Emphasis"/>
        </w:rPr>
        <w:t>renders</w:t>
      </w:r>
      <w:r w:rsidRPr="00015112">
        <w:rPr>
          <w:rStyle w:val="StyleUnderline"/>
        </w:rPr>
        <w:t xml:space="preserve"> largely unachievable, if not </w:t>
      </w:r>
      <w:r w:rsidRPr="00015112">
        <w:rPr>
          <w:rStyle w:val="Emphasis"/>
        </w:rPr>
        <w:t>impossible</w:t>
      </w:r>
      <w:r w:rsidRPr="00015112">
        <w:rPr>
          <w:sz w:val="16"/>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structuralism of this account has immense power as a means of mapping forms of injustice and indignity as well as strategies of resistance and refusal, and Wolfe is careful to show how transmutations of the logic of elimination are complex, variable, discontinuous and uneven. Yet, </w:t>
      </w:r>
      <w:r w:rsidRPr="00015112">
        <w:rPr>
          <w:rStyle w:val="StyleUnderline"/>
        </w:rPr>
        <w:t>in seeking to elucidate the logic of elimination as the overarching historical force guiding settlernative relations there is an operational weakness in the theory, whereby such a logic is simply there, omnipresent and manifest even when (and perhaps especially when) it appears not to be; the settler colonial studies scholar need only read it into a situation or context</w:t>
      </w:r>
      <w:r w:rsidRPr="00015112">
        <w:rPr>
          <w:sz w:val="16"/>
        </w:rPr>
        <w:t xml:space="preserve">. </w:t>
      </w:r>
      <w:r w:rsidRPr="00015112">
        <w:rPr>
          <w:rStyle w:val="StyleUnderline"/>
        </w:rPr>
        <w:t>It thus hurtles from the past to the present into the future, never to be fully extinguished until the native is, or until history itself ends. There is thus a powerful ontological (if not metaphysical) dimension to Wolfe’s account, where there is such thing as a ‘settler will’ that inherently desires the elimination of the native and the distinction between the settler and the native can only ever be categorical, founded as it is on the ‘primal binarism of the frontier’</w:t>
      </w:r>
      <w:r w:rsidRPr="00015112">
        <w:rPr>
          <w:sz w:val="16"/>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t>
      </w:r>
      <w:r w:rsidRPr="00015112">
        <w:rPr>
          <w:rStyle w:val="StyleUnderline"/>
        </w:rPr>
        <w:t>Wolfe’s account brings its own ontology: the bourgeoisie/proletariat distinction becomes that of settler/native, and the class struggle the struggle between settler, who seeks to destroy and replace the native, and native, who can only ever push back</w:t>
      </w:r>
      <w:r w:rsidRPr="00015112">
        <w:rPr>
          <w:sz w:val="16"/>
        </w:rPr>
        <w:t xml:space="preserve">. Indeed, </w:t>
      </w:r>
      <w:r w:rsidRPr="00015112">
        <w:rPr>
          <w:rStyle w:val="StyleUnderline"/>
        </w:rPr>
        <w:t>if</w:t>
      </w:r>
      <w:r w:rsidRPr="00015112">
        <w:rPr>
          <w:rStyle w:val="Emphasis"/>
        </w:rPr>
        <w:t xml:space="preserve"> </w:t>
      </w:r>
      <w:r w:rsidRPr="00015112">
        <w:rPr>
          <w:rStyle w:val="StyleUnderline"/>
        </w:rPr>
        <w:t>the settler colonial paradigm views history in similar teleological terms to the Marxist framework, it does not offer the same hopeful vision of a liberated future.</w:t>
      </w:r>
      <w:r w:rsidRPr="00015112">
        <w:rPr>
          <w:sz w:val="16"/>
        </w:rPr>
        <w:t xml:space="preserve"> After all, </w:t>
      </w:r>
      <w:r w:rsidRPr="00015112">
        <w:rPr>
          <w:rStyle w:val="StyleUnderline"/>
        </w:rPr>
        <w:t>settler colonialism has only one story to tell – ‘either total victory or total failure’</w:t>
      </w:r>
      <w:r w:rsidRPr="00015112">
        <w:rPr>
          <w:sz w:val="16"/>
        </w:rPr>
        <w:t xml:space="preserve"> (Veracini, 2007). Veracini’s attempt to disaggregate different forms of settler decolonization is revealing of the </w:t>
      </w:r>
      <w:r w:rsidRPr="00015112">
        <w:rPr>
          <w:rStyle w:val="StyleUnderline"/>
        </w:rPr>
        <w:t>difficulties</w:t>
      </w:r>
      <w:r w:rsidRPr="00015112">
        <w:rPr>
          <w:sz w:val="16"/>
        </w:rPr>
        <w:t xml:space="preserve"> that </w:t>
      </w:r>
      <w:r w:rsidRPr="00015112">
        <w:rPr>
          <w:rStyle w:val="StyleUnderline"/>
        </w:rPr>
        <w:t>come along with this zero-sum perspective</w:t>
      </w:r>
      <w:r w:rsidRPr="00015112">
        <w:rPr>
          <w:sz w:val="16"/>
        </w:rPr>
        <w:t xml:space="preserve">. It is significant to note that </w:t>
      </w:r>
      <w:r w:rsidRPr="00015112">
        <w:rPr>
          <w:rStyle w:val="StyleUnderline"/>
        </w:rPr>
        <w:t>beyond settler evacuation (which may decolonize territory, he cautions, but not necessarily relationships) the picture he paints is a relatively bleak one</w:t>
      </w:r>
      <w:r w:rsidRPr="00015112">
        <w:rPr>
          <w:sz w:val="16"/>
        </w:rPr>
        <w:t xml:space="preserve">. For Veracini (2011: 5), claims for decolonization from indigenous peoples in settler societies can take two broad forms: an ‘anti-colonial rhetoric expressing a demand for indigenous sovereign independence and self-determination ...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w:t>
      </w:r>
      <w:r w:rsidRPr="00015112">
        <w:rPr>
          <w:rStyle w:val="StyleUnderline"/>
        </w:rPr>
        <w:t xml:space="preserve">This decolonisation actually </w:t>
      </w:r>
      <w:r w:rsidRPr="00015112">
        <w:rPr>
          <w:rStyle w:val="Emphasis"/>
        </w:rPr>
        <w:t>enhances the subjection of indigenous peoples</w:t>
      </w:r>
      <w:r w:rsidRPr="00015112">
        <w:rPr>
          <w:rStyle w:val="StyleUnderline"/>
        </w:rPr>
        <w:t xml:space="preserve">... it is </w:t>
      </w:r>
      <w:r w:rsidRPr="00015112">
        <w:rPr>
          <w:rStyle w:val="Emphasis"/>
        </w:rPr>
        <w:t>at best irrelevant</w:t>
      </w:r>
      <w:r w:rsidRPr="00015112">
        <w:rPr>
          <w:rStyle w:val="StyleUnderline"/>
        </w:rPr>
        <w:t xml:space="preserve"> and </w:t>
      </w:r>
      <w:r w:rsidRPr="00015112">
        <w:rPr>
          <w:rStyle w:val="Emphasis"/>
        </w:rPr>
        <w:t>at worst detrimental</w:t>
      </w:r>
      <w:r w:rsidRPr="00015112">
        <w:rPr>
          <w:rStyle w:val="StyleUnderline"/>
        </w:rPr>
        <w:t xml:space="preserve"> to indigenous peoples in settler societies</w:t>
      </w:r>
      <w:r w:rsidRPr="00015112">
        <w:rPr>
          <w:sz w:val="16"/>
        </w:rPr>
        <w:t>. (2011: 6–7)</w:t>
      </w:r>
    </w:p>
    <w:p w14:paraId="0385B465" w14:textId="7B4AFAE3" w:rsidR="00DC51B3" w:rsidRPr="00015112" w:rsidRDefault="00C870EB" w:rsidP="00DC51B3">
      <w:pPr>
        <w:pStyle w:val="Heading3"/>
      </w:pPr>
      <w:r w:rsidRPr="00015112">
        <w:t>2AC – AT: Refusal</w:t>
      </w:r>
    </w:p>
    <w:p w14:paraId="3B663932" w14:textId="77777777" w:rsidR="00DC51B3" w:rsidRPr="00015112" w:rsidRDefault="00DC51B3" w:rsidP="00DC51B3">
      <w:pPr>
        <w:pStyle w:val="Heading4"/>
      </w:pPr>
      <w:r w:rsidRPr="00015112">
        <w:t xml:space="preserve">Refusal won’t transform the world—the role of scholars should be to facilitate change that promotes better material conditions for indigenous populations </w:t>
      </w:r>
    </w:p>
    <w:p w14:paraId="5BACF6F9" w14:textId="77777777" w:rsidR="00DC51B3" w:rsidRPr="00015112" w:rsidRDefault="00DC51B3" w:rsidP="00DC51B3">
      <w:r w:rsidRPr="00015112">
        <w:rPr>
          <w:rStyle w:val="Style13ptBold"/>
        </w:rPr>
        <w:t>Snelgrove ‘14</w:t>
      </w:r>
      <w:r w:rsidRPr="00015112">
        <w:t xml:space="preserve"> </w:t>
      </w:r>
      <w:r w:rsidRPr="00015112">
        <w:rPr>
          <w:sz w:val="18"/>
          <w:szCs w:val="18"/>
        </w:rPr>
        <w:t>(University of British Columbia, Corey, Unsettling settler colonialism: The discourse and politics of settlers, and solidarity with Indigenous nation, Decolonization: Indigeneity, Education &amp; Society Vol. 3, No. 2, 2014, pp. 1-32)</w:t>
      </w:r>
    </w:p>
    <w:p w14:paraId="158B970F" w14:textId="77777777" w:rsidR="00DC51B3" w:rsidRPr="00015112" w:rsidRDefault="00DC51B3" w:rsidP="00DC51B3">
      <w:pPr>
        <w:rPr>
          <w:rStyle w:val="StyleUnderline"/>
        </w:rPr>
      </w:pPr>
      <w:r w:rsidRPr="00015112">
        <w:rPr>
          <w:sz w:val="16"/>
        </w:rPr>
        <w:t xml:space="preserve">In spite of this worldly reflection, it is not the world that I want to live in. Thus, </w:t>
      </w:r>
      <w:r w:rsidRPr="00015112">
        <w:rPr>
          <w:rStyle w:val="StyleUnderline"/>
        </w:rPr>
        <w:t>the term “settler</w:t>
      </w:r>
      <w:r w:rsidRPr="00015112">
        <w:rPr>
          <w:sz w:val="16"/>
        </w:rPr>
        <w:t xml:space="preserve">” and the reason for its use, which </w:t>
      </w:r>
      <w:r w:rsidRPr="00015112">
        <w:rPr>
          <w:rStyle w:val="StyleUnderline"/>
        </w:rPr>
        <w:t>brings forth the intimate and affective relationships to ancestral, social, cultural, economic, and political histories and presents which shape this world</w:t>
      </w:r>
      <w:r w:rsidRPr="00015112">
        <w:rPr>
          <w:sz w:val="16"/>
        </w:rPr>
        <w:t xml:space="preserve">, necessarily leads not to pride, but rather to shame, frustration, alienation, and anger towards myself, other settlers, as well as the structures of settler colonialism. </w:t>
      </w:r>
      <w:r w:rsidRPr="00015112">
        <w:rPr>
          <w:rStyle w:val="StyleUnderline"/>
        </w:rPr>
        <w:t>These feelings though also potentially signal an opening, a recognition of an un(der)realized interdependence</w:t>
      </w:r>
      <w:r w:rsidRPr="00015112">
        <w:rPr>
          <w:sz w:val="16"/>
        </w:rPr>
        <w:t xml:space="preserve">. </w:t>
      </w:r>
      <w:r w:rsidRPr="00015112">
        <w:rPr>
          <w:rStyle w:val="Emphasis"/>
        </w:rPr>
        <w:t>However, alone, these feelings are not sufficient</w:t>
      </w:r>
      <w:r w:rsidRPr="00015112">
        <w:rPr>
          <w:sz w:val="16"/>
        </w:rPr>
        <w:t xml:space="preserve">. After all, </w:t>
      </w:r>
      <w:r w:rsidRPr="00015112">
        <w:rPr>
          <w:rStyle w:val="Emphasis"/>
        </w:rPr>
        <w:t>I cannot just critique or declare that this world falls short of my desires and expect it to transform itself</w:t>
      </w:r>
      <w:r w:rsidRPr="00015112">
        <w:rPr>
          <w:sz w:val="16"/>
        </w:rPr>
        <w:t xml:space="preserve">. </w:t>
      </w:r>
      <w:r w:rsidRPr="00015112">
        <w:rPr>
          <w:rStyle w:val="StyleUnderline"/>
        </w:rPr>
        <w:t>Nor can I ignore the power differentials between settlers, as such willful acts risk stalling the decolonial engine</w:t>
      </w:r>
      <w:r w:rsidRPr="00015112">
        <w:rPr>
          <w:sz w:val="16"/>
        </w:rPr>
        <w:t xml:space="preserve">. Instead, </w:t>
      </w:r>
      <w:r w:rsidRPr="00015112">
        <w:rPr>
          <w:rStyle w:val="StyleUnderline"/>
        </w:rPr>
        <w:t>if these desires and</w:t>
      </w:r>
      <w:r w:rsidRPr="00015112">
        <w:rPr>
          <w:sz w:val="16"/>
        </w:rPr>
        <w:t xml:space="preserve"> simultaneous </w:t>
      </w:r>
      <w:r w:rsidRPr="00015112">
        <w:rPr>
          <w:rStyle w:val="StyleUnderline"/>
        </w:rPr>
        <w:t>feelings</w:t>
      </w:r>
      <w:r w:rsidRPr="00015112">
        <w:rPr>
          <w:sz w:val="16"/>
        </w:rPr>
        <w:t xml:space="preserve"> of shame, frustration, alienation, and anger </w:t>
      </w:r>
      <w:r w:rsidRPr="00015112">
        <w:rPr>
          <w:rStyle w:val="StyleUnderline"/>
        </w:rPr>
        <w:t>are to be at all transformative, they must be accompanied by</w:t>
      </w:r>
      <w:r w:rsidRPr="00015112">
        <w:rPr>
          <w:sz w:val="16"/>
        </w:rPr>
        <w:t xml:space="preserve"> thought and </w:t>
      </w:r>
      <w:r w:rsidRPr="00015112">
        <w:rPr>
          <w:rStyle w:val="Emphasis"/>
        </w:rPr>
        <w:t>practice</w:t>
      </w:r>
      <w:r w:rsidRPr="00015112">
        <w:rPr>
          <w:sz w:val="16"/>
        </w:rPr>
        <w:t xml:space="preserve"> </w:t>
      </w:r>
      <w:r w:rsidRPr="00015112">
        <w:rPr>
          <w:rStyle w:val="StyleUnderline"/>
        </w:rPr>
        <w:t>attentive to their respective sources</w:t>
      </w:r>
      <w:r w:rsidRPr="00015112">
        <w:rPr>
          <w:sz w:val="16"/>
        </w:rPr>
        <w:t xml:space="preserve">; they must be guided by accountability and respect, care and renewal, with urgency and insurgency, </w:t>
      </w:r>
      <w:r w:rsidRPr="00015112">
        <w:rPr>
          <w:rStyle w:val="StyleUnderline"/>
        </w:rPr>
        <w:t>to address and destroy the parasitical relations that exist between and among settlers and Indigenous peoples, as well as to support those (potentially) good relations that already exist, and those that we wish to establish between and among settlers and Indigenous peoples.</w:t>
      </w:r>
    </w:p>
    <w:p w14:paraId="24854CF8" w14:textId="77777777" w:rsidR="00C870EB" w:rsidRPr="00015112" w:rsidRDefault="00C870EB" w:rsidP="00DC51B3">
      <w:pPr>
        <w:rPr>
          <w:u w:val="single"/>
        </w:rPr>
      </w:pPr>
    </w:p>
    <w:p w14:paraId="4CE62902" w14:textId="77777777" w:rsidR="00DC51B3" w:rsidRPr="00015112" w:rsidRDefault="00DC51B3" w:rsidP="00DC51B3">
      <w:pPr>
        <w:pStyle w:val="Heading4"/>
      </w:pPr>
      <w:r w:rsidRPr="00015112">
        <w:t xml:space="preserve">Calls for refusal reproduce the colonial academic ways of knowing they criticize – the 1AC reinforces the status quo and produces academic distancing which merely masquerades as personal accountability </w:t>
      </w:r>
    </w:p>
    <w:p w14:paraId="34BFFD08" w14:textId="77777777" w:rsidR="00DC51B3" w:rsidRPr="00015112" w:rsidRDefault="00DC51B3" w:rsidP="00DC51B3">
      <w:r w:rsidRPr="00015112">
        <w:rPr>
          <w:rStyle w:val="Style13ptBold"/>
        </w:rPr>
        <w:t>Love ‘15</w:t>
      </w:r>
      <w:r w:rsidRPr="00015112">
        <w:t xml:space="preserve">, </w:t>
      </w:r>
      <w:r w:rsidRPr="00015112">
        <w:rPr>
          <w:sz w:val="18"/>
          <w:szCs w:val="18"/>
        </w:rPr>
        <w:t>(Heather, R. Jean Brownlee Term Associate Professor at the University of Pennsylvania, “Doing Being Deviant: Deviance Studies, Description, and the Queer Ordinary”, differences 2015 Volume 26, Number 1: 74-95)</w:t>
      </w:r>
    </w:p>
    <w:p w14:paraId="445AE470" w14:textId="77777777" w:rsidR="00DC51B3" w:rsidRDefault="00DC51B3" w:rsidP="00DC51B3">
      <w:pPr>
        <w:rPr>
          <w:sz w:val="16"/>
        </w:rPr>
      </w:pPr>
      <w:r w:rsidRPr="00015112">
        <w:rPr>
          <w:sz w:val="16"/>
        </w:rPr>
        <w:t xml:space="preserve">Today, queer studies—prestigious but unevenly institutionalized—still signals absolute refusal or criticality—all anti- and no normativity. In their influential 2004 essay, “The University and the Undercommons” (and in the 2013 book that followed from it), Fred </w:t>
      </w:r>
      <w:r w:rsidRPr="00015112">
        <w:rPr>
          <w:rStyle w:val="Emphasis"/>
        </w:rPr>
        <w:t>Moten</w:t>
      </w:r>
      <w:r w:rsidRPr="00015112">
        <w:rPr>
          <w:rStyle w:val="StyleUnderline"/>
        </w:rPr>
        <w:t xml:space="preserve"> and</w:t>
      </w:r>
      <w:r w:rsidRPr="00015112">
        <w:rPr>
          <w:sz w:val="16"/>
        </w:rPr>
        <w:t xml:space="preserve"> Stefano </w:t>
      </w:r>
      <w:r w:rsidRPr="00015112">
        <w:rPr>
          <w:rStyle w:val="StyleUnderline"/>
        </w:rPr>
        <w:t>Harney</w:t>
      </w:r>
      <w:r w:rsidRPr="00015112">
        <w:rPr>
          <w:sz w:val="16"/>
        </w:rPr>
        <w:t xml:space="preserve"> rely on such an understanding of queer (as well as concepts borrowed from black studies, feminism, ethnic studies, and anticolonial thought). </w:t>
      </w:r>
      <w:r w:rsidRPr="00015112">
        <w:rPr>
          <w:rStyle w:val="StyleUnderline"/>
        </w:rPr>
        <w:t>The</w:t>
      </w:r>
      <w:r w:rsidRPr="00015112">
        <w:rPr>
          <w:sz w:val="16"/>
        </w:rPr>
        <w:t xml:space="preserve">y </w:t>
      </w:r>
      <w:r w:rsidRPr="00015112">
        <w:rPr>
          <w:rStyle w:val="StyleUnderline"/>
        </w:rPr>
        <w:t xml:space="preserve">call for </w:t>
      </w:r>
      <w:r w:rsidRPr="00015112">
        <w:rPr>
          <w:rStyle w:val="Emphasis"/>
        </w:rPr>
        <w:t>betrayal</w:t>
      </w:r>
      <w:r w:rsidRPr="00015112">
        <w:rPr>
          <w:rStyle w:val="StyleUnderline"/>
        </w:rPr>
        <w:t xml:space="preserve">, </w:t>
      </w:r>
      <w:r w:rsidRPr="00015112">
        <w:rPr>
          <w:rStyle w:val="Emphasis"/>
        </w:rPr>
        <w:t>refusal</w:t>
      </w:r>
      <w:r w:rsidRPr="00015112">
        <w:rPr>
          <w:rStyle w:val="StyleUnderline"/>
        </w:rPr>
        <w:t xml:space="preserve">, </w:t>
      </w:r>
      <w:r w:rsidRPr="00015112">
        <w:rPr>
          <w:rStyle w:val="Emphasis"/>
        </w:rPr>
        <w:t>theft</w:t>
      </w:r>
      <w:r w:rsidRPr="00015112">
        <w:rPr>
          <w:rStyle w:val="StyleUnderline"/>
        </w:rPr>
        <w:t xml:space="preserve">, and </w:t>
      </w:r>
      <w:r w:rsidRPr="00015112">
        <w:rPr>
          <w:rStyle w:val="Emphasis"/>
        </w:rPr>
        <w:t>marronage</w:t>
      </w:r>
      <w:r w:rsidRPr="00015112">
        <w:rPr>
          <w:rStyle w:val="StyleUnderline"/>
        </w:rPr>
        <w:t xml:space="preserve"> as modes of resisting</w:t>
      </w:r>
      <w:r w:rsidRPr="00015112">
        <w:rPr>
          <w:sz w:val="16"/>
        </w:rPr>
        <w:t xml:space="preserve"> the iron grip of </w:t>
      </w:r>
      <w:r w:rsidRPr="00015112">
        <w:rPr>
          <w:rStyle w:val="StyleUnderline"/>
        </w:rPr>
        <w:t>the academy, pointing to</w:t>
      </w:r>
      <w:r w:rsidRPr="00015112">
        <w:rPr>
          <w:sz w:val="16"/>
        </w:rPr>
        <w:t xml:space="preserve"> an uncharted, underground, and collective space they call </w:t>
      </w:r>
      <w:r w:rsidRPr="00015112">
        <w:rPr>
          <w:rStyle w:val="Emphasis"/>
        </w:rPr>
        <w:t>the undercommons</w:t>
      </w:r>
      <w:r w:rsidRPr="00015112">
        <w:rPr>
          <w:sz w:val="16"/>
        </w:rPr>
        <w:t xml:space="preserve">. “To enter this space,” they write,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Yet </w:t>
      </w:r>
      <w:r w:rsidRPr="00015112">
        <w:rPr>
          <w:rStyle w:val="StyleUnderline"/>
        </w:rPr>
        <w:t xml:space="preserve">their imagination of that outside is </w:t>
      </w:r>
      <w:r w:rsidRPr="00015112">
        <w:rPr>
          <w:rStyle w:val="Emphasis"/>
        </w:rPr>
        <w:t>indebted to the inside</w:t>
      </w:r>
      <w:r w:rsidRPr="00015112">
        <w:rPr>
          <w:rStyle w:val="StyleUnderline"/>
        </w:rPr>
        <w:t xml:space="preserve">, in particular to the conception of deviance </w:t>
      </w:r>
      <w:r w:rsidRPr="00015112">
        <w:rPr>
          <w:rStyle w:val="Emphasis"/>
        </w:rPr>
        <w:t>produced within sociology</w:t>
      </w:r>
      <w:r w:rsidRPr="00015112">
        <w:rPr>
          <w:rStyle w:val="StyleUnderline"/>
        </w:rPr>
        <w:t xml:space="preserve">. Their account of the undercommons </w:t>
      </w:r>
      <w:r w:rsidRPr="00015112">
        <w:rPr>
          <w:rStyle w:val="Emphasis"/>
        </w:rPr>
        <w:t>reads like a rap sheet</w:t>
      </w:r>
      <w:r w:rsidRPr="00015112">
        <w:rPr>
          <w:rStyle w:val="StyleUnderline"/>
        </w:rPr>
        <w:t xml:space="preserve">, a list of the </w:t>
      </w:r>
      <w:r w:rsidRPr="00015112">
        <w:rPr>
          <w:rStyle w:val="Emphasis"/>
        </w:rPr>
        <w:t>traditional topics of deviance studies</w:t>
      </w:r>
      <w:r w:rsidRPr="00015112">
        <w:rPr>
          <w:sz w:val="16"/>
        </w:rPr>
        <w:t xml:space="preserve">: theft, homosexuality, prostitution, incarceration. </w:t>
      </w:r>
      <w:r w:rsidRPr="00015112">
        <w:rPr>
          <w:rStyle w:val="StyleUnderline"/>
        </w:rPr>
        <w:t xml:space="preserve">Moten and Harney </w:t>
      </w:r>
      <w:r w:rsidRPr="00015112">
        <w:rPr>
          <w:rStyle w:val="Emphasis"/>
        </w:rPr>
        <w:t>do not describe the undercommons</w:t>
      </w:r>
      <w:r w:rsidRPr="00015112">
        <w:rPr>
          <w:rStyle w:val="StyleUnderline"/>
        </w:rPr>
        <w:t>, but rather ask their readers to join it, to participate in active revolt against professional and disciplinary protocols</w:t>
      </w:r>
      <w:r w:rsidRPr="00015112">
        <w:rPr>
          <w:sz w:val="16"/>
        </w:rPr>
        <w:t xml:space="preserve">. To offer an objective account of the social position of radical academics would be to further business as usual in the academy; dwelling in the undercommons requires giving up on the usual protocols of description. </w:t>
      </w:r>
      <w:r w:rsidRPr="00015112">
        <w:rPr>
          <w:rStyle w:val="StyleUnderline"/>
        </w:rPr>
        <w:t>Moten and Harney argue against the traditional role of the “critical academic”</w:t>
      </w:r>
      <w:r w:rsidRPr="00015112">
        <w:rPr>
          <w:sz w:val="16"/>
        </w:rPr>
        <w:t xml:space="preserve"> (105), which they see as just another turn of the professional screw, </w:t>
      </w:r>
      <w:r w:rsidRPr="00015112">
        <w:rPr>
          <w:rStyle w:val="StyleUnderline"/>
        </w:rPr>
        <w:t>since work that opposes the academy does not challenge its basic structure or everyday operations</w:t>
      </w:r>
      <w:r w:rsidRPr="00015112">
        <w:rPr>
          <w:sz w:val="16"/>
        </w:rPr>
        <w:t xml:space="preserve">.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w:t>
      </w:r>
      <w:r w:rsidRPr="00015112">
        <w:rPr>
          <w:rStyle w:val="StyleUnderline"/>
        </w:rPr>
        <w:t>they forward the image of the “subversive intellectual” who is “in but not of” the academy</w:t>
      </w:r>
      <w:r w:rsidRPr="00015112">
        <w:rPr>
          <w:sz w:val="16"/>
        </w:rPr>
        <w:t xml:space="preserve"> (101). Without dismissing the galvanizing effect of such a call to the undercommons, </w:t>
      </w:r>
      <w:r w:rsidRPr="00015112">
        <w:rPr>
          <w:rStyle w:val="StyleUnderline"/>
        </w:rPr>
        <w:t xml:space="preserve">it is important to consider </w:t>
      </w:r>
      <w:r w:rsidRPr="00015112">
        <w:rPr>
          <w:rStyle w:val="Emphasis"/>
        </w:rPr>
        <w:t>the limits of the refusal of objectification as a strategy</w:t>
      </w:r>
      <w:r w:rsidRPr="00015112">
        <w:rPr>
          <w:rStyle w:val="StyleUnderline"/>
        </w:rPr>
        <w:t xml:space="preserve">. To be </w:t>
      </w:r>
      <w:r w:rsidRPr="00015112">
        <w:rPr>
          <w:rStyle w:val="Emphasis"/>
        </w:rPr>
        <w:t>unlocatable</w:t>
      </w:r>
      <w:r w:rsidRPr="00015112">
        <w:rPr>
          <w:rStyle w:val="StyleUnderline"/>
        </w:rPr>
        <w:t xml:space="preserve">, to be </w:t>
      </w:r>
      <w:r w:rsidRPr="00015112">
        <w:rPr>
          <w:rStyle w:val="Emphasis"/>
        </w:rPr>
        <w:t>nowhere</w:t>
      </w:r>
      <w:r w:rsidRPr="00015112">
        <w:rPr>
          <w:rStyle w:val="StyleUnderline"/>
        </w:rPr>
        <w:t xml:space="preserve">, to be in </w:t>
      </w:r>
      <w:r w:rsidRPr="00015112">
        <w:rPr>
          <w:rStyle w:val="Emphasis"/>
        </w:rPr>
        <w:t>permanent revolt</w:t>
      </w:r>
      <w:r w:rsidRPr="00015112">
        <w:rPr>
          <w:sz w:val="16"/>
        </w:rPr>
        <w:t xml:space="preserve">: </w:t>
      </w:r>
      <w:r w:rsidRPr="00015112">
        <w:rPr>
          <w:rStyle w:val="StyleUnderline"/>
        </w:rPr>
        <w:t>Moten and Harney describe the path</w:t>
      </w:r>
      <w:r w:rsidRPr="00015112">
        <w:rPr>
          <w:sz w:val="16"/>
        </w:rPr>
        <w:t xml:space="preserve"> that queer inquiry </w:t>
      </w:r>
      <w:r w:rsidRPr="00015112">
        <w:rPr>
          <w:rStyle w:val="StyleUnderline"/>
        </w:rPr>
        <w:t>laid out</w:t>
      </w:r>
      <w:r w:rsidRPr="00015112">
        <w:rPr>
          <w:sz w:val="16"/>
        </w:rPr>
        <w:t xml:space="preserve"> for itself. </w:t>
      </w:r>
      <w:r w:rsidRPr="00015112">
        <w:rPr>
          <w:rStyle w:val="StyleUnderline"/>
        </w:rPr>
        <w:t xml:space="preserve">Objectification—recognition, description, critique—can be a way to reinforce the status quo, but it is also a way of </w:t>
      </w:r>
      <w:r w:rsidRPr="00015112">
        <w:rPr>
          <w:rStyle w:val="Emphasis"/>
        </w:rPr>
        <w:t>acknowledging one’s institutional position</w:t>
      </w:r>
      <w:r w:rsidRPr="00015112">
        <w:rPr>
          <w:rStyle w:val="StyleUnderline"/>
        </w:rPr>
        <w:t xml:space="preserve"> and the </w:t>
      </w:r>
      <w:r w:rsidRPr="00015112">
        <w:rPr>
          <w:rStyle w:val="Emphasis"/>
        </w:rPr>
        <w:t>real differences</w:t>
      </w:r>
      <w:r w:rsidRPr="00015112">
        <w:rPr>
          <w:rStyle w:val="StyleUnderline"/>
        </w:rPr>
        <w:t xml:space="preserve"> between inside and outside. Even the most subversive intellectuals in the academy are “</w:t>
      </w:r>
      <w:r w:rsidRPr="00015112">
        <w:rPr>
          <w:rStyle w:val="Emphasis"/>
        </w:rPr>
        <w:t>on the stroll</w:t>
      </w:r>
      <w:r w:rsidRPr="00015112">
        <w:rPr>
          <w:rStyle w:val="StyleUnderline"/>
        </w:rPr>
        <w:t>” in a metaphorical but not a material sense. The fate</w:t>
      </w:r>
      <w:r w:rsidRPr="00015112">
        <w:rPr>
          <w:sz w:val="16"/>
        </w:rPr>
        <w:t xml:space="preserve"> of those who came “under false pretenses, with bad documents, out of love” (101), </w:t>
      </w:r>
      <w:r w:rsidRPr="00015112">
        <w:rPr>
          <w:rStyle w:val="StyleUnderline"/>
        </w:rPr>
        <w:t>if they survive, is to become “superordinates”</w:t>
      </w:r>
      <w:r w:rsidRPr="00015112">
        <w:rPr>
          <w:sz w:val="16"/>
        </w:rPr>
        <w:t xml:space="preserve"> in Becker’s sense. 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both the political and the methodological antinormativity of queer studies have made it difficult to address our implication in the violence of knowledge production, pedagogy, and social inequality. Such violence is inevitable, and critical histories of the disciplines—and the production of knowledge about social deviance—are essential. </w:t>
      </w:r>
      <w:r w:rsidRPr="00015112">
        <w:rPr>
          <w:rStyle w:val="StyleUnderline"/>
        </w:rPr>
        <w:t>Undertaking such work</w:t>
      </w:r>
      <w:r w:rsidRPr="00015112">
        <w:rPr>
          <w:sz w:val="16"/>
        </w:rPr>
        <w:t xml:space="preserve">, however, </w:t>
      </w:r>
      <w:r w:rsidRPr="00015112">
        <w:rPr>
          <w:rStyle w:val="Emphasis"/>
        </w:rPr>
        <w:t>will not allow escape</w:t>
      </w:r>
      <w:r w:rsidRPr="00015112">
        <w:rPr>
          <w:rStyle w:val="StyleUnderline"/>
        </w:rPr>
        <w:t xml:space="preserve"> into a radically different relation to our objects because we are (as Moten and Harney also argue) </w:t>
      </w:r>
      <w:r w:rsidRPr="00015112">
        <w:rPr>
          <w:rStyle w:val="Emphasis"/>
        </w:rPr>
        <w:t>part of that history</w:t>
      </w:r>
      <w:r w:rsidRPr="00015112">
        <w:rPr>
          <w:rStyle w:val="StyleUnderline"/>
        </w:rPr>
        <w:t>—we are its contemporary instantiation. To imagine a social world in which those relations are transformed</w:t>
      </w:r>
      <w:r w:rsidRPr="00015112">
        <w:rPr>
          <w:sz w:val="16"/>
        </w:rPr>
        <w:t>—in what Moten and Harney refer to as the “prophetic organization” (102)—</w:t>
      </w:r>
      <w:r w:rsidRPr="00015112">
        <w:rPr>
          <w:rStyle w:val="StyleUnderline"/>
        </w:rPr>
        <w:t xml:space="preserve">may be crucial for the achievement of social justice, but to </w:t>
      </w:r>
      <w:r w:rsidRPr="00015112">
        <w:rPr>
          <w:rStyle w:val="Emphasis"/>
        </w:rPr>
        <w:t>deny our own implication</w:t>
      </w:r>
      <w:r w:rsidRPr="00015112">
        <w:rPr>
          <w:rStyle w:val="StyleUnderline"/>
        </w:rPr>
        <w:t xml:space="preserve"> in existing structures is also a </w:t>
      </w:r>
      <w:r w:rsidRPr="00015112">
        <w:rPr>
          <w:rStyle w:val="Emphasis"/>
        </w:rPr>
        <w:t>form of violence</w:t>
      </w:r>
      <w:r w:rsidRPr="00015112">
        <w:rPr>
          <w:sz w:val="16"/>
        </w:rPr>
        <w:t>.</w:t>
      </w:r>
    </w:p>
    <w:sectPr w:rsidR="00DC51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64396810">
    <w:abstractNumId w:val="9"/>
  </w:num>
  <w:num w:numId="2" w16cid:durableId="54355891">
    <w:abstractNumId w:val="7"/>
  </w:num>
  <w:num w:numId="3" w16cid:durableId="346950260">
    <w:abstractNumId w:val="6"/>
  </w:num>
  <w:num w:numId="4" w16cid:durableId="1689140052">
    <w:abstractNumId w:val="5"/>
  </w:num>
  <w:num w:numId="5" w16cid:durableId="2068648337">
    <w:abstractNumId w:val="4"/>
  </w:num>
  <w:num w:numId="6" w16cid:durableId="216211784">
    <w:abstractNumId w:val="8"/>
  </w:num>
  <w:num w:numId="7" w16cid:durableId="272516514">
    <w:abstractNumId w:val="3"/>
  </w:num>
  <w:num w:numId="8" w16cid:durableId="44910039">
    <w:abstractNumId w:val="2"/>
  </w:num>
  <w:num w:numId="9" w16cid:durableId="1569684343">
    <w:abstractNumId w:val="1"/>
  </w:num>
  <w:num w:numId="10" w16cid:durableId="970983912">
    <w:abstractNumId w:val="0"/>
  </w:num>
  <w:num w:numId="11" w16cid:durableId="1705641298">
    <w:abstractNumId w:val="13"/>
  </w:num>
  <w:num w:numId="12" w16cid:durableId="1211695281">
    <w:abstractNumId w:val="12"/>
  </w:num>
  <w:num w:numId="13" w16cid:durableId="1146627773">
    <w:abstractNumId w:val="11"/>
  </w:num>
  <w:num w:numId="14" w16cid:durableId="17963689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54564536608"/>
    <w:docVar w:name="VerbatimVersion" w:val="5.1"/>
  </w:docVars>
  <w:rsids>
    <w:rsidRoot w:val="00EC52FE"/>
    <w:rsid w:val="000139A3"/>
    <w:rsid w:val="00015112"/>
    <w:rsid w:val="00027BC9"/>
    <w:rsid w:val="00067F46"/>
    <w:rsid w:val="00072AD9"/>
    <w:rsid w:val="000D01B3"/>
    <w:rsid w:val="000F21AB"/>
    <w:rsid w:val="00100833"/>
    <w:rsid w:val="0010326A"/>
    <w:rsid w:val="00104529"/>
    <w:rsid w:val="00105942"/>
    <w:rsid w:val="00144A4C"/>
    <w:rsid w:val="00165139"/>
    <w:rsid w:val="00176AB0"/>
    <w:rsid w:val="00177B7D"/>
    <w:rsid w:val="0018322D"/>
    <w:rsid w:val="001832E2"/>
    <w:rsid w:val="001B5776"/>
    <w:rsid w:val="001E527A"/>
    <w:rsid w:val="001F78CE"/>
    <w:rsid w:val="00214FB3"/>
    <w:rsid w:val="00251FC7"/>
    <w:rsid w:val="002855A7"/>
    <w:rsid w:val="002B146A"/>
    <w:rsid w:val="002B3CD5"/>
    <w:rsid w:val="002B5E17"/>
    <w:rsid w:val="002D36CA"/>
    <w:rsid w:val="002E09BE"/>
    <w:rsid w:val="00315690"/>
    <w:rsid w:val="00316B75"/>
    <w:rsid w:val="00325646"/>
    <w:rsid w:val="0034543E"/>
    <w:rsid w:val="003460F2"/>
    <w:rsid w:val="00350B24"/>
    <w:rsid w:val="0038158C"/>
    <w:rsid w:val="00386EC5"/>
    <w:rsid w:val="003902BA"/>
    <w:rsid w:val="003A09E2"/>
    <w:rsid w:val="003A26B1"/>
    <w:rsid w:val="003F18D8"/>
    <w:rsid w:val="003F5BD5"/>
    <w:rsid w:val="00407037"/>
    <w:rsid w:val="00414918"/>
    <w:rsid w:val="00425BA7"/>
    <w:rsid w:val="0043284B"/>
    <w:rsid w:val="00434088"/>
    <w:rsid w:val="004360BA"/>
    <w:rsid w:val="004605D6"/>
    <w:rsid w:val="004634EA"/>
    <w:rsid w:val="004C60E8"/>
    <w:rsid w:val="004E3579"/>
    <w:rsid w:val="004E728B"/>
    <w:rsid w:val="004F39E0"/>
    <w:rsid w:val="00521495"/>
    <w:rsid w:val="00537BD5"/>
    <w:rsid w:val="005438EA"/>
    <w:rsid w:val="0055495F"/>
    <w:rsid w:val="00571665"/>
    <w:rsid w:val="00582CE0"/>
    <w:rsid w:val="00585B3A"/>
    <w:rsid w:val="00590A92"/>
    <w:rsid w:val="005D2912"/>
    <w:rsid w:val="005E1BEC"/>
    <w:rsid w:val="006065BD"/>
    <w:rsid w:val="00607517"/>
    <w:rsid w:val="00645FA9"/>
    <w:rsid w:val="00647866"/>
    <w:rsid w:val="00665003"/>
    <w:rsid w:val="006A2AD0"/>
    <w:rsid w:val="006C1B56"/>
    <w:rsid w:val="006C2375"/>
    <w:rsid w:val="006C4B0E"/>
    <w:rsid w:val="006D4ECC"/>
    <w:rsid w:val="006E1C64"/>
    <w:rsid w:val="006F2276"/>
    <w:rsid w:val="006F427A"/>
    <w:rsid w:val="00722258"/>
    <w:rsid w:val="007243E5"/>
    <w:rsid w:val="00725AC0"/>
    <w:rsid w:val="00730011"/>
    <w:rsid w:val="00753A86"/>
    <w:rsid w:val="00766EA0"/>
    <w:rsid w:val="00775B43"/>
    <w:rsid w:val="00793B9B"/>
    <w:rsid w:val="007A2226"/>
    <w:rsid w:val="007B374A"/>
    <w:rsid w:val="007C49CF"/>
    <w:rsid w:val="007F5B66"/>
    <w:rsid w:val="00823A1C"/>
    <w:rsid w:val="00845B9D"/>
    <w:rsid w:val="00845D2F"/>
    <w:rsid w:val="00847573"/>
    <w:rsid w:val="00860984"/>
    <w:rsid w:val="008A6C1C"/>
    <w:rsid w:val="008B2041"/>
    <w:rsid w:val="008B3ECB"/>
    <w:rsid w:val="008B4E85"/>
    <w:rsid w:val="008C1B2E"/>
    <w:rsid w:val="008F117B"/>
    <w:rsid w:val="0091627E"/>
    <w:rsid w:val="00931E5B"/>
    <w:rsid w:val="0094489A"/>
    <w:rsid w:val="0097032B"/>
    <w:rsid w:val="00981214"/>
    <w:rsid w:val="009C409D"/>
    <w:rsid w:val="009D2EAD"/>
    <w:rsid w:val="009D54B2"/>
    <w:rsid w:val="009E1922"/>
    <w:rsid w:val="009F7ED2"/>
    <w:rsid w:val="00A20036"/>
    <w:rsid w:val="00A30CFD"/>
    <w:rsid w:val="00A63BB8"/>
    <w:rsid w:val="00A66608"/>
    <w:rsid w:val="00A83A59"/>
    <w:rsid w:val="00A93661"/>
    <w:rsid w:val="00A95652"/>
    <w:rsid w:val="00AC0AB8"/>
    <w:rsid w:val="00AC0ADE"/>
    <w:rsid w:val="00AC1C41"/>
    <w:rsid w:val="00B27F89"/>
    <w:rsid w:val="00B312ED"/>
    <w:rsid w:val="00B33C6D"/>
    <w:rsid w:val="00B3487E"/>
    <w:rsid w:val="00B4508F"/>
    <w:rsid w:val="00B55AD5"/>
    <w:rsid w:val="00B60B58"/>
    <w:rsid w:val="00B8057C"/>
    <w:rsid w:val="00B827FD"/>
    <w:rsid w:val="00B97642"/>
    <w:rsid w:val="00BA2B1B"/>
    <w:rsid w:val="00BC61DF"/>
    <w:rsid w:val="00BD5E51"/>
    <w:rsid w:val="00BD6238"/>
    <w:rsid w:val="00BF593B"/>
    <w:rsid w:val="00BF773A"/>
    <w:rsid w:val="00BF7E81"/>
    <w:rsid w:val="00C13773"/>
    <w:rsid w:val="00C17CC8"/>
    <w:rsid w:val="00C77416"/>
    <w:rsid w:val="00C83417"/>
    <w:rsid w:val="00C86FA4"/>
    <w:rsid w:val="00C870EB"/>
    <w:rsid w:val="00C9604F"/>
    <w:rsid w:val="00CA19AA"/>
    <w:rsid w:val="00CB1D9D"/>
    <w:rsid w:val="00CC5298"/>
    <w:rsid w:val="00CD736E"/>
    <w:rsid w:val="00CD798D"/>
    <w:rsid w:val="00CE161E"/>
    <w:rsid w:val="00CF59A8"/>
    <w:rsid w:val="00D02A78"/>
    <w:rsid w:val="00D065E6"/>
    <w:rsid w:val="00D325A9"/>
    <w:rsid w:val="00D36A8A"/>
    <w:rsid w:val="00D61409"/>
    <w:rsid w:val="00D62FB5"/>
    <w:rsid w:val="00D6691E"/>
    <w:rsid w:val="00D71170"/>
    <w:rsid w:val="00DA25D4"/>
    <w:rsid w:val="00DA6538"/>
    <w:rsid w:val="00DC51B3"/>
    <w:rsid w:val="00E15E75"/>
    <w:rsid w:val="00E21239"/>
    <w:rsid w:val="00E34651"/>
    <w:rsid w:val="00E43564"/>
    <w:rsid w:val="00E4709E"/>
    <w:rsid w:val="00E5262C"/>
    <w:rsid w:val="00E9357B"/>
    <w:rsid w:val="00EC52FE"/>
    <w:rsid w:val="00EC7DC4"/>
    <w:rsid w:val="00ED0FBC"/>
    <w:rsid w:val="00ED30CF"/>
    <w:rsid w:val="00ED6DC1"/>
    <w:rsid w:val="00EF23E7"/>
    <w:rsid w:val="00EF633D"/>
    <w:rsid w:val="00EF65AA"/>
    <w:rsid w:val="00F176EF"/>
    <w:rsid w:val="00F368A8"/>
    <w:rsid w:val="00F438C4"/>
    <w:rsid w:val="00F45E10"/>
    <w:rsid w:val="00F6364A"/>
    <w:rsid w:val="00F73E99"/>
    <w:rsid w:val="00F9113A"/>
    <w:rsid w:val="00FB2992"/>
    <w:rsid w:val="00FB59F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EC62B"/>
  <w15:chartTrackingRefBased/>
  <w15:docId w15:val="{CAEDA9B0-DD72-4E81-A642-C3C5CC5EB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312ED"/>
    <w:rPr>
      <w:rFonts w:ascii="Calibri" w:hAnsi="Calibri" w:cs="Calibri"/>
    </w:rPr>
  </w:style>
  <w:style w:type="paragraph" w:styleId="Heading1">
    <w:name w:val="heading 1"/>
    <w:aliases w:val="Pocket"/>
    <w:basedOn w:val="Normal"/>
    <w:next w:val="Normal"/>
    <w:link w:val="Heading1Char"/>
    <w:qFormat/>
    <w:rsid w:val="00B312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312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
    <w:basedOn w:val="Normal"/>
    <w:next w:val="Normal"/>
    <w:link w:val="Heading3Char"/>
    <w:uiPriority w:val="2"/>
    <w:unhideWhenUsed/>
    <w:qFormat/>
    <w:rsid w:val="00B312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B312E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15112"/>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B312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12ED"/>
  </w:style>
  <w:style w:type="character" w:customStyle="1" w:styleId="Heading1Char">
    <w:name w:val="Heading 1 Char"/>
    <w:aliases w:val="Pocket Char"/>
    <w:basedOn w:val="DefaultParagraphFont"/>
    <w:link w:val="Heading1"/>
    <w:rsid w:val="00B312E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312ED"/>
    <w:rPr>
      <w:rFonts w:ascii="Calibri" w:eastAsiaTheme="majorEastAsia" w:hAnsi="Calibri" w:cstheme="majorBidi"/>
      <w:b/>
      <w:sz w:val="44"/>
      <w:szCs w:val="26"/>
      <w:u w:val="double"/>
    </w:rPr>
  </w:style>
  <w:style w:type="character" w:customStyle="1" w:styleId="Heading3Char">
    <w:name w:val="Heading 3 Char"/>
    <w:aliases w:val="Block Char,Citation Char,Citation Char Char Char1,Heading 3 Char1 Char Char Char1,Heading 3 Char Char Char Char Char,Citation Char Char Char Char Char,Citation Char1 Char Char Char,Heading 3 Char Char1 Char,Citation Char Char1 Char"/>
    <w:basedOn w:val="DefaultParagraphFont"/>
    <w:link w:val="Heading3"/>
    <w:uiPriority w:val="2"/>
    <w:rsid w:val="00B312E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B312ED"/>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s"/>
    <w:basedOn w:val="DefaultParagraphFont"/>
    <w:link w:val="textbold"/>
    <w:uiPriority w:val="7"/>
    <w:qFormat/>
    <w:rsid w:val="00B312ED"/>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B312ED"/>
    <w:rPr>
      <w:b/>
      <w:bCs/>
      <w:sz w:val="26"/>
      <w:u w:val="none"/>
    </w:rPr>
  </w:style>
  <w:style w:type="character" w:customStyle="1" w:styleId="StyleUnderline">
    <w:name w:val="Style Underline"/>
    <w:aliases w:val="Underline,Style Bold Underline,Intense Emphasis1,Intense Emphasis11,Style,apple-style-span + 6 pt,Bold,Kern at 16 pt,Intense Emphasis2,HHeading 3 + 12 pt,Bold Cite Char,Citation Char Char Char,Heading 3 Char1 Char Char Char,ci,c,Bo,B"/>
    <w:basedOn w:val="DefaultParagraphFont"/>
    <w:uiPriority w:val="6"/>
    <w:qFormat/>
    <w:rsid w:val="00B312ED"/>
    <w:rPr>
      <w:b/>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B312ED"/>
    <w:rPr>
      <w:color w:val="auto"/>
      <w:u w:val="none"/>
    </w:rPr>
  </w:style>
  <w:style w:type="character" w:styleId="FollowedHyperlink">
    <w:name w:val="FollowedHyperlink"/>
    <w:basedOn w:val="DefaultParagraphFont"/>
    <w:uiPriority w:val="99"/>
    <w:semiHidden/>
    <w:unhideWhenUsed/>
    <w:rsid w:val="00B312ED"/>
    <w:rPr>
      <w:color w:val="auto"/>
      <w:u w:val="none"/>
    </w:rPr>
  </w:style>
  <w:style w:type="paragraph" w:customStyle="1" w:styleId="textbold">
    <w:name w:val="text bold"/>
    <w:basedOn w:val="Normal"/>
    <w:link w:val="Emphasis"/>
    <w:uiPriority w:val="7"/>
    <w:qFormat/>
    <w:rsid w:val="00EC52FE"/>
    <w:pPr>
      <w:ind w:left="720"/>
      <w:jc w:val="both"/>
    </w:pPr>
    <w:rPr>
      <w:b/>
      <w:iCs/>
      <w:u w:val="single"/>
      <w:bdr w:val="single" w:sz="8" w:space="0" w:color="auto"/>
    </w:rPr>
  </w:style>
  <w:style w:type="paragraph" w:customStyle="1" w:styleId="Card">
    <w:name w:val="Card"/>
    <w:aliases w:val="Note Level 2,Dont use,No Spacing41,No Spacing111112,No Spacing1121,No Spacing112,No Spacing1,Tag and Cite,nonunderlined,Small Text,tag,No Spacing6,No Spacing11211,Tag and Ci,No Spacing23,No Spacing7,No Spacing8,card,Medium Grid 21,Tags,No Spacing31"/>
    <w:basedOn w:val="Heading1"/>
    <w:link w:val="Hyperlink"/>
    <w:autoRedefine/>
    <w:uiPriority w:val="99"/>
    <w:qFormat/>
    <w:rsid w:val="00EC52FE"/>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AnalyticEmphasis">
    <w:name w:val="Analytic Emphasis"/>
    <w:basedOn w:val="Normal"/>
    <w:link w:val="AnalyticEmphasisChar"/>
    <w:qFormat/>
    <w:rsid w:val="00C77416"/>
    <w:rPr>
      <w:i/>
      <w:sz w:val="26"/>
      <w:u w:val="single"/>
    </w:rPr>
  </w:style>
  <w:style w:type="character" w:customStyle="1" w:styleId="AnalyticEmphasisChar">
    <w:name w:val="Analytic Emphasis Char"/>
    <w:basedOn w:val="DefaultParagraphFont"/>
    <w:link w:val="AnalyticEmphasis"/>
    <w:rsid w:val="00C77416"/>
    <w:rPr>
      <w:rFonts w:ascii="Times New Roman" w:hAnsi="Times New Roman" w:cs="Times New Roman"/>
      <w:i/>
      <w:sz w:val="26"/>
      <w:u w:val="single"/>
    </w:rPr>
  </w:style>
  <w:style w:type="paragraph" w:customStyle="1" w:styleId="CiteSpacing">
    <w:name w:val="Cite Spacing"/>
    <w:basedOn w:val="Normal"/>
    <w:uiPriority w:val="4"/>
    <w:qFormat/>
    <w:rsid w:val="00F368A8"/>
    <w:pPr>
      <w:spacing w:before="60" w:after="60" w:line="240" w:lineRule="auto"/>
    </w:pPr>
    <w:rPr>
      <w:rFonts w:ascii="Georgia" w:hAnsi="Georgia"/>
    </w:rPr>
  </w:style>
  <w:style w:type="character" w:customStyle="1" w:styleId="Heading5Char">
    <w:name w:val="Heading 5 Char"/>
    <w:basedOn w:val="DefaultParagraphFont"/>
    <w:link w:val="Heading5"/>
    <w:uiPriority w:val="9"/>
    <w:semiHidden/>
    <w:rsid w:val="00015112"/>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semiHidden/>
    <w:qFormat/>
    <w:rsid w:val="00015112"/>
    <w:rPr>
      <w:b/>
      <w:bCs/>
    </w:rPr>
  </w:style>
  <w:style w:type="character" w:styleId="BookTitle">
    <w:name w:val="Book Title"/>
    <w:basedOn w:val="DefaultParagraphFont"/>
    <w:uiPriority w:val="33"/>
    <w:semiHidden/>
    <w:qFormat/>
    <w:rsid w:val="00015112"/>
    <w:rPr>
      <w:b/>
      <w:bCs/>
      <w:i/>
      <w:iCs/>
      <w:spacing w:val="5"/>
    </w:rPr>
  </w:style>
  <w:style w:type="numbering" w:styleId="111111">
    <w:name w:val="Outline List 2"/>
    <w:basedOn w:val="NoList"/>
    <w:uiPriority w:val="99"/>
    <w:semiHidden/>
    <w:unhideWhenUsed/>
    <w:rsid w:val="00015112"/>
  </w:style>
  <w:style w:type="paragraph" w:styleId="Header">
    <w:name w:val="header"/>
    <w:basedOn w:val="Normal"/>
    <w:link w:val="HeaderChar"/>
    <w:uiPriority w:val="99"/>
    <w:semiHidden/>
    <w:rsid w:val="000151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15112"/>
    <w:rPr>
      <w:rFonts w:ascii="Calibri" w:hAnsi="Calibri" w:cs="Calibri"/>
      <w:sz w:val="20"/>
    </w:rPr>
  </w:style>
  <w:style w:type="paragraph" w:styleId="Footer">
    <w:name w:val="footer"/>
    <w:basedOn w:val="Normal"/>
    <w:link w:val="FooterChar"/>
    <w:uiPriority w:val="99"/>
    <w:semiHidden/>
    <w:rsid w:val="0001511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15112"/>
    <w:rPr>
      <w:rFonts w:ascii="Calibri" w:hAnsi="Calibri" w:cs="Calibri"/>
      <w:sz w:val="20"/>
    </w:rPr>
  </w:style>
  <w:style w:type="paragraph" w:styleId="BodyText">
    <w:name w:val="Body Text"/>
    <w:basedOn w:val="Normal"/>
    <w:link w:val="BodyTextChar"/>
    <w:uiPriority w:val="99"/>
    <w:semiHidden/>
    <w:unhideWhenUsed/>
    <w:rsid w:val="00015112"/>
    <w:pPr>
      <w:spacing w:after="120"/>
    </w:pPr>
  </w:style>
  <w:style w:type="character" w:customStyle="1" w:styleId="BodyTextChar">
    <w:name w:val="Body Text Char"/>
    <w:basedOn w:val="DefaultParagraphFont"/>
    <w:link w:val="BodyText"/>
    <w:uiPriority w:val="99"/>
    <w:semiHidden/>
    <w:rsid w:val="00015112"/>
    <w:rPr>
      <w:rFonts w:ascii="Calibri" w:hAnsi="Calibri" w:cs="Calibri"/>
      <w:sz w:val="20"/>
    </w:rPr>
  </w:style>
  <w:style w:type="paragraph" w:styleId="NoSpacing">
    <w:name w:val="No Spacing"/>
    <w:link w:val="NoSpacingChar"/>
    <w:uiPriority w:val="99"/>
    <w:semiHidden/>
    <w:unhideWhenUsed/>
    <w:qFormat/>
    <w:rsid w:val="0001511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15112"/>
    <w:rPr>
      <w:rFonts w:ascii="Calibri" w:hAnsi="Calibri" w:cs="Calibri"/>
    </w:rPr>
  </w:style>
  <w:style w:type="character" w:styleId="UnresolvedMention">
    <w:name w:val="Unresolved Mention"/>
    <w:basedOn w:val="DefaultParagraphFont"/>
    <w:uiPriority w:val="99"/>
    <w:semiHidden/>
    <w:unhideWhenUsed/>
    <w:rsid w:val="00015112"/>
    <w:rPr>
      <w:color w:val="605E5C"/>
      <w:shd w:val="clear" w:color="auto" w:fill="E1DFDD"/>
    </w:rPr>
  </w:style>
  <w:style w:type="character" w:customStyle="1" w:styleId="BoldUnderline">
    <w:name w:val="BoldUnderline"/>
    <w:basedOn w:val="DefaultParagraphFont"/>
    <w:uiPriority w:val="1"/>
    <w:qFormat/>
    <w:rsid w:val="006C4B0E"/>
    <w:rPr>
      <w:rFonts w:ascii="Arial" w:hAnsi="Arial"/>
      <w:b/>
      <w:sz w:val="20"/>
      <w:u w:val="single"/>
    </w:rPr>
  </w:style>
  <w:style w:type="paragraph" w:customStyle="1" w:styleId="Emphasis1">
    <w:name w:val="Emphasis1"/>
    <w:basedOn w:val="Normal"/>
    <w:autoRedefine/>
    <w:uiPriority w:val="8"/>
    <w:qFormat/>
    <w:rsid w:val="00A66608"/>
    <w:pPr>
      <w:pBdr>
        <w:top w:val="single" w:sz="4" w:space="1" w:color="auto"/>
        <w:left w:val="single" w:sz="4" w:space="4" w:color="auto"/>
        <w:bottom w:val="single" w:sz="4" w:space="1" w:color="auto"/>
        <w:right w:val="single" w:sz="4" w:space="4" w:color="auto"/>
      </w:pBdr>
      <w:ind w:left="720"/>
      <w:jc w:val="both"/>
    </w:pPr>
    <w:rPr>
      <w:rFonts w:eastAsiaTheme="minorEastAsia"/>
      <w:b/>
      <w:iCs/>
      <w:sz w:val="24"/>
      <w:u w:val="single"/>
      <w:bdr w:val="single" w:sz="8" w:space="0" w:color="auto"/>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rudit-org.proxy.lib.umich.edu/en/journals/uhr/2010-v38-n2-uhr3707/039672ar/" TargetMode="External"/><Relationship Id="rId3" Type="http://schemas.openxmlformats.org/officeDocument/2006/relationships/styles" Target="styles.xml"/><Relationship Id="rId7" Type="http://schemas.openxmlformats.org/officeDocument/2006/relationships/hyperlink" Target="https://clas.osu.edu/sites/clas.osu.edu/files/Tuck%20and%20Yang%202012%20Decolonization%20is%20not%20a%20metaphor.pdf"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dr.lib.unc.edu/indexablecontent/uuid:9612561b-744a-44fc-8e79-1296d79dbd9a"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youtube.com/watch?v=fP-2F9MXjRE" TargetMode="External"/><Relationship Id="rId4" Type="http://schemas.openxmlformats.org/officeDocument/2006/relationships/settings" Target="settings.xml"/><Relationship Id="rId9" Type="http://schemas.openxmlformats.org/officeDocument/2006/relationships/hyperlink" Target="https://www.academia.edu/39219089/Indigenous_Lifeworlds?auto=download%5d//vika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l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46</TotalTime>
  <Pages>1</Pages>
  <Words>46071</Words>
  <Characters>262608</Characters>
  <Application>Microsoft Office Word</Application>
  <DocSecurity>0</DocSecurity>
  <Lines>2188</Lines>
  <Paragraphs>616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Williams</dc:creator>
  <cp:keywords>5.1.1</cp:keywords>
  <dc:description/>
  <cp:lastModifiedBy>Ralph Anderson</cp:lastModifiedBy>
  <cp:revision>86</cp:revision>
  <dcterms:created xsi:type="dcterms:W3CDTF">2023-05-15T05:39:00Z</dcterms:created>
  <dcterms:modified xsi:type="dcterms:W3CDTF">2023-06-21T15:47:00Z</dcterms:modified>
</cp:coreProperties>
</file>